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color w:val="000000" w:themeColor="text1"/>
          <w14:textFill>
            <w14:solidFill>
              <w14:schemeClr w14:val="tx1"/>
            </w14:solidFill>
          </w14:textFill>
        </w:rPr>
      </w:pPr>
    </w:p>
    <w:p>
      <w:pPr>
        <w:jc w:val="right"/>
        <w:rPr>
          <w:rFonts w:ascii="楷体_GB2312" w:eastAsia="楷体_GB2312"/>
          <w:b/>
          <w:color w:val="000000" w:themeColor="text1"/>
          <w14:textFill>
            <w14:solidFill>
              <w14:schemeClr w14:val="tx1"/>
            </w14:solidFill>
          </w14:textFill>
        </w:rPr>
      </w:pPr>
    </w:p>
    <w:p>
      <w:pPr>
        <w:spacing w:line="360" w:lineRule="auto"/>
        <w:jc w:val="center"/>
        <w:rPr>
          <w:rFonts w:ascii="仿宋_GB2312" w:hAnsi="宋体" w:eastAsia="仿宋_GB2312"/>
          <w:b/>
          <w:bCs/>
          <w:color w:val="000000" w:themeColor="text1"/>
          <w:sz w:val="52"/>
          <w:szCs w:val="52"/>
          <w14:textFill>
            <w14:solidFill>
              <w14:schemeClr w14:val="tx1"/>
            </w14:solidFill>
          </w14:textFill>
        </w:rPr>
      </w:pPr>
      <w:bookmarkStart w:id="0" w:name="_Toc154996575"/>
    </w:p>
    <w:p>
      <w:pPr>
        <w:spacing w:line="360" w:lineRule="auto"/>
        <w:jc w:val="center"/>
        <w:rPr>
          <w:rFonts w:hint="eastAsia" w:ascii="仿宋_GB2312" w:hAnsi="宋体" w:eastAsia="仿宋_GB2312"/>
          <w:b/>
          <w:bCs/>
          <w:color w:val="000000" w:themeColor="text1"/>
          <w:sz w:val="52"/>
          <w:szCs w:val="52"/>
          <w:lang w:eastAsia="zh-CN"/>
          <w14:textFill>
            <w14:solidFill>
              <w14:schemeClr w14:val="tx1"/>
            </w14:solidFill>
          </w14:textFill>
        </w:rPr>
      </w:pPr>
      <w:r>
        <w:rPr>
          <w:rFonts w:hint="eastAsia" w:ascii="仿宋_GB2312" w:hAnsi="宋体" w:eastAsia="仿宋_GB2312"/>
          <w:b/>
          <w:bCs/>
          <w:color w:val="000000" w:themeColor="text1"/>
          <w:sz w:val="52"/>
          <w:szCs w:val="52"/>
          <w:lang w:eastAsia="zh-CN"/>
          <w14:textFill>
            <w14:solidFill>
              <w14:schemeClr w14:val="tx1"/>
            </w14:solidFill>
          </w14:textFill>
        </w:rPr>
        <w:t>新疆财经大学2022年图书馆资源数字化建设项目-中国知网系列产品</w:t>
      </w: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p>
    <w:p>
      <w:pPr>
        <w:spacing w:line="360" w:lineRule="auto"/>
        <w:jc w:val="center"/>
        <w:rPr>
          <w:rFonts w:ascii="仿宋_GB2312" w:hAnsi="宋体" w:eastAsia="仿宋_GB2312"/>
          <w:b/>
          <w:bCs/>
          <w:color w:val="000000" w:themeColor="text1"/>
          <w:sz w:val="72"/>
          <w:szCs w:val="72"/>
          <w14:textFill>
            <w14:solidFill>
              <w14:schemeClr w14:val="tx1"/>
            </w14:solidFill>
          </w14:textFill>
        </w:rPr>
      </w:pPr>
      <w:r>
        <w:rPr>
          <w:rFonts w:hint="eastAsia" w:ascii="仿宋_GB2312" w:hAnsi="宋体" w:eastAsia="仿宋_GB2312"/>
          <w:b/>
          <w:bCs/>
          <w:color w:val="000000" w:themeColor="text1"/>
          <w:sz w:val="72"/>
          <w:szCs w:val="72"/>
          <w14:textFill>
            <w14:solidFill>
              <w14:schemeClr w14:val="tx1"/>
            </w14:solidFill>
          </w14:textFill>
        </w:rPr>
        <w:t>单一来源采购文件</w:t>
      </w:r>
    </w:p>
    <w:p>
      <w:pPr>
        <w:overflowPunct w:val="0"/>
        <w:spacing w:line="500" w:lineRule="exact"/>
        <w:ind w:firstLine="2249" w:firstLineChars="800"/>
        <w:jc w:val="left"/>
        <w:rPr>
          <w:rFonts w:hint="eastAsia" w:ascii="仿宋_GB2312" w:eastAsia="仿宋_GB2312"/>
          <w:b/>
          <w:bCs/>
          <w:color w:val="000000" w:themeColor="text1"/>
          <w:w w:val="95"/>
          <w:sz w:val="32"/>
          <w:szCs w:val="32"/>
          <w:lang w:eastAsia="zh-CN"/>
          <w14:textFill>
            <w14:solidFill>
              <w14:schemeClr w14:val="tx1"/>
            </w14:solidFill>
          </w14:textFill>
        </w:rPr>
      </w:pPr>
      <w:r>
        <w:rPr>
          <w:rFonts w:hint="eastAsia" w:ascii="仿宋_GB2312" w:hAnsi="宋体" w:eastAsia="仿宋_GB2312" w:cs="宋体"/>
          <w:b/>
          <w:color w:val="000000" w:themeColor="text1"/>
          <w:kern w:val="0"/>
          <w:sz w:val="28"/>
          <w:szCs w:val="28"/>
          <w:lang w:eastAsia="zh-CN"/>
          <w14:textFill>
            <w14:solidFill>
              <w14:schemeClr w14:val="tx1"/>
            </w14:solidFill>
          </w14:textFill>
        </w:rPr>
        <w:t>项目</w:t>
      </w:r>
      <w:r>
        <w:rPr>
          <w:rFonts w:hint="eastAsia" w:ascii="仿宋_GB2312" w:hAnsi="宋体" w:eastAsia="仿宋_GB2312" w:cs="宋体"/>
          <w:b/>
          <w:color w:val="000000" w:themeColor="text1"/>
          <w:kern w:val="0"/>
          <w:sz w:val="28"/>
          <w:szCs w:val="28"/>
          <w14:textFill>
            <w14:solidFill>
              <w14:schemeClr w14:val="tx1"/>
            </w14:solidFill>
          </w14:textFill>
        </w:rPr>
        <w:t>编号</w:t>
      </w:r>
      <w:r>
        <w:rPr>
          <w:rFonts w:hint="eastAsia" w:ascii="仿宋_GB2312" w:eastAsia="仿宋_GB2312"/>
          <w:b/>
          <w:bCs/>
          <w:color w:val="000000" w:themeColor="text1"/>
          <w:w w:val="95"/>
          <w:sz w:val="28"/>
          <w:szCs w:val="28"/>
          <w14:textFill>
            <w14:solidFill>
              <w14:schemeClr w14:val="tx1"/>
            </w14:solidFill>
          </w14:textFill>
        </w:rPr>
        <w:t>：</w:t>
      </w:r>
      <w:r>
        <w:rPr>
          <w:rFonts w:hint="eastAsia" w:ascii="仿宋_GB2312" w:eastAsia="仿宋_GB2312"/>
          <w:b/>
          <w:bCs/>
          <w:color w:val="000000" w:themeColor="text1"/>
          <w:w w:val="95"/>
          <w:sz w:val="28"/>
          <w:szCs w:val="28"/>
          <w:lang w:eastAsia="zh-CN"/>
          <w14:textFill>
            <w14:solidFill>
              <w14:schemeClr w14:val="tx1"/>
            </w14:solidFill>
          </w14:textFill>
        </w:rPr>
        <w:t>XJSZG2022-19-04</w:t>
      </w:r>
    </w:p>
    <w:p>
      <w:pPr>
        <w:overflowPunct w:val="0"/>
        <w:spacing w:line="500" w:lineRule="exact"/>
        <w:jc w:val="center"/>
        <w:rPr>
          <w:rFonts w:ascii="仿宋_GB2312" w:eastAsia="仿宋_GB2312"/>
          <w:b/>
          <w:bCs/>
          <w:color w:val="000000" w:themeColor="text1"/>
          <w:sz w:val="32"/>
          <w:szCs w:val="32"/>
          <w14:textFill>
            <w14:solidFill>
              <w14:schemeClr w14:val="tx1"/>
            </w14:solidFill>
          </w14:textFill>
        </w:rPr>
      </w:pPr>
    </w:p>
    <w:p>
      <w:pPr>
        <w:overflowPunct w:val="0"/>
        <w:spacing w:line="500" w:lineRule="exact"/>
        <w:rPr>
          <w:rFonts w:ascii="仿宋_GB2312" w:eastAsia="仿宋_GB2312"/>
          <w:color w:val="000000" w:themeColor="text1"/>
          <w:sz w:val="32"/>
          <w:szCs w:val="32"/>
          <w14:textFill>
            <w14:solidFill>
              <w14:schemeClr w14:val="tx1"/>
            </w14:solidFill>
          </w14:textFill>
        </w:rPr>
      </w:pPr>
    </w:p>
    <w:p>
      <w:pPr>
        <w:overflowPunct w:val="0"/>
        <w:spacing w:line="500" w:lineRule="exact"/>
        <w:rPr>
          <w:rFonts w:ascii="仿宋_GB2312" w:eastAsia="仿宋_GB2312"/>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采购人：</w:t>
      </w:r>
      <w:r>
        <w:rPr>
          <w:rFonts w:hint="eastAsia" w:ascii="仿宋_GB2312" w:eastAsia="仿宋_GB2312"/>
          <w:b/>
          <w:color w:val="000000" w:themeColor="text1"/>
          <w:sz w:val="30"/>
          <w:szCs w:val="30"/>
          <w:lang w:eastAsia="zh-CN"/>
          <w14:textFill>
            <w14:solidFill>
              <w14:schemeClr w14:val="tx1"/>
            </w14:solidFill>
          </w14:textFill>
        </w:rPr>
        <w:t>新疆财经大学</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采购代理机构：</w:t>
      </w:r>
      <w:r>
        <w:rPr>
          <w:rFonts w:hint="eastAsia" w:ascii="仿宋_GB2312" w:eastAsia="仿宋_GB2312"/>
          <w:b/>
          <w:color w:val="000000" w:themeColor="text1"/>
          <w:sz w:val="30"/>
          <w:szCs w:val="30"/>
          <w:lang w:eastAsia="zh-CN"/>
          <w14:textFill>
            <w14:solidFill>
              <w14:schemeClr w14:val="tx1"/>
            </w14:solidFill>
          </w14:textFill>
        </w:rPr>
        <w:t>新疆守正项目管理咨询有限公司</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二零二</w:t>
      </w:r>
      <w:r>
        <w:rPr>
          <w:rFonts w:hint="eastAsia" w:ascii="仿宋_GB2312" w:hAnsi="宋体" w:eastAsia="仿宋_GB2312"/>
          <w:b/>
          <w:color w:val="000000" w:themeColor="text1"/>
          <w:sz w:val="32"/>
          <w:szCs w:val="32"/>
          <w:lang w:eastAsia="zh-CN"/>
          <w14:textFill>
            <w14:solidFill>
              <w14:schemeClr w14:val="tx1"/>
            </w14:solidFill>
          </w14:textFill>
        </w:rPr>
        <w:t>二</w:t>
      </w:r>
      <w:r>
        <w:rPr>
          <w:rFonts w:hint="eastAsia" w:ascii="仿宋_GB2312" w:hAnsi="宋体" w:eastAsia="仿宋_GB2312"/>
          <w:b/>
          <w:color w:val="000000" w:themeColor="text1"/>
          <w:sz w:val="32"/>
          <w:szCs w:val="32"/>
          <w14:textFill>
            <w14:solidFill>
              <w14:schemeClr w14:val="tx1"/>
            </w14:solidFill>
          </w14:textFill>
        </w:rPr>
        <w:t>年</w:t>
      </w:r>
    </w:p>
    <w:p>
      <w:pPr>
        <w:pStyle w:val="36"/>
        <w:rPr>
          <w:rFonts w:ascii="仿宋_GB2312" w:eastAsia="仿宋_GB2312"/>
          <w:color w:val="000000" w:themeColor="text1"/>
          <w:spacing w:val="40"/>
          <w:sz w:val="32"/>
          <w:szCs w:val="32"/>
          <w14:textFill>
            <w14:solidFill>
              <w14:schemeClr w14:val="tx1"/>
            </w14:solidFill>
          </w14:textFill>
        </w:rPr>
        <w:sectPr>
          <w:headerReference r:id="rId3" w:type="first"/>
          <w:footerReference r:id="rId5" w:type="first"/>
          <w:footerReference r:id="rId4" w:type="even"/>
          <w:pgSz w:w="11906" w:h="16838"/>
          <w:pgMar w:top="1701" w:right="1797" w:bottom="1701" w:left="1797" w:header="1134" w:footer="1134" w:gutter="0"/>
          <w:pgNumType w:start="1"/>
          <w:cols w:space="720" w:num="1"/>
          <w:docGrid w:type="lines" w:linePitch="312" w:charSpace="0"/>
        </w:sectPr>
      </w:pPr>
    </w:p>
    <w:p>
      <w:pPr>
        <w:jc w:val="center"/>
        <w:rPr>
          <w:rFonts w:ascii="仿宋_GB2312" w:eastAsia="仿宋_GB2312"/>
          <w:b/>
          <w:color w:val="000000" w:themeColor="text1"/>
          <w:sz w:val="44"/>
          <w:szCs w:val="44"/>
          <w14:textFill>
            <w14:solidFill>
              <w14:schemeClr w14:val="tx1"/>
            </w14:solidFill>
          </w14:textFill>
        </w:rPr>
      </w:pPr>
      <w:r>
        <w:rPr>
          <w:rFonts w:hint="eastAsia" w:ascii="仿宋_GB2312" w:eastAsia="仿宋_GB2312"/>
          <w:b/>
          <w:color w:val="000000" w:themeColor="text1"/>
          <w:sz w:val="44"/>
          <w:szCs w:val="44"/>
          <w14:textFill>
            <w14:solidFill>
              <w14:schemeClr w14:val="tx1"/>
            </w14:solidFill>
          </w14:textFill>
        </w:rPr>
        <w:t>总目录</w:t>
      </w:r>
    </w:p>
    <w:p>
      <w:pPr>
        <w:jc w:val="center"/>
        <w:rPr>
          <w:rFonts w:ascii="仿宋_GB2312" w:eastAsia="仿宋_GB2312"/>
          <w:b/>
          <w:color w:val="000000" w:themeColor="text1"/>
          <w:sz w:val="44"/>
          <w:szCs w:val="44"/>
          <w14:textFill>
            <w14:solidFill>
              <w14:schemeClr w14:val="tx1"/>
            </w14:solidFill>
          </w14:textFill>
        </w:rPr>
      </w:pPr>
    </w:p>
    <w:p>
      <w:pPr>
        <w:jc w:val="center"/>
        <w:rPr>
          <w:rFonts w:ascii="仿宋_GB2312" w:eastAsia="仿宋_GB2312"/>
          <w:b/>
          <w:color w:val="000000" w:themeColor="text1"/>
          <w:sz w:val="44"/>
          <w:szCs w:val="44"/>
          <w14:textFill>
            <w14:solidFill>
              <w14:schemeClr w14:val="tx1"/>
            </w14:solidFill>
          </w14:textFill>
        </w:rPr>
      </w:pP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第一章</w:t>
      </w:r>
      <w:r>
        <w:rPr>
          <w:rFonts w:hint="eastAsia" w:ascii="仿宋_GB2312" w:eastAsia="仿宋_GB2312"/>
          <w:color w:val="000000" w:themeColor="text1"/>
          <w:sz w:val="28"/>
          <w:szCs w:val="28"/>
          <w14:textFill>
            <w14:solidFill>
              <w14:schemeClr w14:val="tx1"/>
            </w14:solidFill>
          </w14:textFill>
        </w:rPr>
        <w:tab/>
      </w:r>
      <w:r>
        <w:rPr>
          <w:rFonts w:hint="eastAsia" w:ascii="仿宋_GB2312" w:eastAsia="仿宋_GB2312"/>
          <w:color w:val="000000" w:themeColor="text1"/>
          <w:sz w:val="28"/>
          <w:szCs w:val="28"/>
          <w14:textFill>
            <w14:solidFill>
              <w14:schemeClr w14:val="tx1"/>
            </w14:solidFill>
          </w14:textFill>
        </w:rPr>
        <w:t>单一来源公示----------------------------------------第2页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第二章  供应商须知------------------------------------------第</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第三章  项目采购需求---------------------------------------第1</w:t>
      </w:r>
      <w:r>
        <w:rPr>
          <w:rFonts w:hint="eastAsia" w:ascii="仿宋_GB2312" w:eastAsia="仿宋_GB2312"/>
          <w:color w:val="000000" w:themeColor="text1"/>
          <w:sz w:val="28"/>
          <w:szCs w:val="28"/>
          <w:lang w:val="en-US" w:eastAsia="zh-CN"/>
          <w14:textFill>
            <w14:solidFill>
              <w14:schemeClr w14:val="tx1"/>
            </w14:solidFill>
          </w14:textFill>
        </w:rPr>
        <w:t>9</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第四章</w:t>
      </w:r>
      <w:r>
        <w:rPr>
          <w:rFonts w:hint="eastAsia" w:ascii="仿宋_GB2312" w:eastAsia="仿宋_GB2312"/>
          <w:color w:val="000000" w:themeColor="text1"/>
          <w:sz w:val="28"/>
          <w:szCs w:val="28"/>
          <w14:textFill>
            <w14:solidFill>
              <w14:schemeClr w14:val="tx1"/>
            </w14:solidFill>
          </w14:textFill>
        </w:rPr>
        <w:tab/>
      </w:r>
      <w:r>
        <w:rPr>
          <w:rFonts w:hint="eastAsia" w:ascii="仿宋_GB2312" w:eastAsia="仿宋_GB2312"/>
          <w:color w:val="000000" w:themeColor="text1"/>
          <w:sz w:val="28"/>
          <w:szCs w:val="28"/>
          <w:lang w:eastAsia="zh-CN"/>
          <w14:textFill>
            <w14:solidFill>
              <w14:schemeClr w14:val="tx1"/>
            </w14:solidFill>
          </w14:textFill>
        </w:rPr>
        <w:t>合同书</w:t>
      </w:r>
      <w:r>
        <w:rPr>
          <w:rFonts w:hint="eastAsia" w:ascii="仿宋_GB2312" w:eastAsia="仿宋_GB2312"/>
          <w:color w:val="000000" w:themeColor="text1"/>
          <w:sz w:val="28"/>
          <w:szCs w:val="28"/>
          <w14:textFill>
            <w14:solidFill>
              <w14:schemeClr w14:val="tx1"/>
            </w14:solidFill>
          </w14:textFill>
        </w:rPr>
        <w:t>---------------------------------------------第2</w:t>
      </w:r>
      <w:r>
        <w:rPr>
          <w:rFonts w:hint="eastAsia" w:ascii="仿宋_GB2312" w:eastAsia="仿宋_GB2312"/>
          <w:color w:val="000000" w:themeColor="text1"/>
          <w:sz w:val="28"/>
          <w:szCs w:val="28"/>
          <w:lang w:val="en-US" w:eastAsia="zh-CN"/>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第五章  响应文件格式---------------------------------------第2</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第六章  初步评审内容--------------------------------------第</w:t>
      </w:r>
      <w:r>
        <w:rPr>
          <w:rFonts w:hint="eastAsia" w:ascii="仿宋_GB2312" w:eastAsia="仿宋_GB2312"/>
          <w:color w:val="000000" w:themeColor="text1"/>
          <w:sz w:val="28"/>
          <w:szCs w:val="28"/>
          <w:lang w:val="en-US" w:eastAsia="zh-CN"/>
          <w14:textFill>
            <w14:solidFill>
              <w14:schemeClr w14:val="tx1"/>
            </w14:solidFill>
          </w14:textFill>
        </w:rPr>
        <w:t>34</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pStyle w:val="40"/>
        <w:numPr>
          <w:ilvl w:val="0"/>
          <w:numId w:val="3"/>
        </w:numPr>
        <w:spacing w:line="500" w:lineRule="exact"/>
        <w:ind w:firstLineChars="0"/>
        <w:jc w:val="center"/>
        <w:rPr>
          <w:rFonts w:ascii="仿宋_GB2312" w:eastAsia="仿宋_GB2312" w:cs="Arial"/>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单一来源公示</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ascii="仿宋" w:hAnsi="仿宋" w:eastAsia="仿宋" w:cs="仿宋"/>
          <w:i w:val="0"/>
          <w:caps w:val="0"/>
          <w:spacing w:val="0"/>
          <w:sz w:val="27"/>
          <w:szCs w:val="27"/>
          <w:shd w:val="clear" w:fill="FFFFFF"/>
        </w:rPr>
        <w:t>   </w:t>
      </w:r>
      <w:r>
        <w:rPr>
          <w:rFonts w:ascii="仿宋" w:hAnsi="仿宋" w:eastAsia="仿宋" w:cs="仿宋"/>
          <w:i w:val="0"/>
          <w:caps w:val="0"/>
          <w:spacing w:val="0"/>
          <w:sz w:val="21"/>
          <w:szCs w:val="21"/>
          <w:shd w:val="clear" w:fill="FFFFFF"/>
        </w:rPr>
        <w:t xml:space="preserve"> 采购人： </w:t>
      </w:r>
      <w:r>
        <w:rPr>
          <w:rStyle w:val="32"/>
          <w:rFonts w:hint="eastAsia" w:ascii="仿宋" w:hAnsi="仿宋" w:eastAsia="仿宋" w:cs="仿宋"/>
          <w:i w:val="0"/>
          <w:caps w:val="0"/>
          <w:spacing w:val="0"/>
          <w:sz w:val="21"/>
          <w:szCs w:val="21"/>
          <w:shd w:val="clear" w:fill="FFFFFF"/>
        </w:rPr>
        <w:t>新疆财经大学</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项目名称： </w:t>
      </w:r>
      <w:r>
        <w:rPr>
          <w:rStyle w:val="32"/>
          <w:rFonts w:hint="eastAsia" w:ascii="仿宋" w:hAnsi="仿宋" w:eastAsia="仿宋" w:cs="仿宋"/>
          <w:i w:val="0"/>
          <w:caps w:val="0"/>
          <w:spacing w:val="0"/>
          <w:sz w:val="21"/>
          <w:szCs w:val="21"/>
          <w:shd w:val="clear" w:fill="FFFFFF"/>
        </w:rPr>
        <w:t>新疆财经大学2022年图书馆资源数字化建设项目-中国知网系列产品</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拟采购的货物或服务的说明：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caps w:val="0"/>
          <w:spacing w:val="0"/>
          <w:sz w:val="21"/>
          <w:szCs w:val="21"/>
        </w:rPr>
      </w:pP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spacing w:val="0"/>
          <w:kern w:val="0"/>
          <w:sz w:val="21"/>
          <w:szCs w:val="21"/>
          <w:shd w:val="clear" w:fill="FFFFFF"/>
          <w:lang w:val="en-US" w:eastAsia="zh-CN" w:bidi="ar"/>
        </w:rPr>
        <w:br w:type="textWrapping"/>
      </w: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color w:val="595959"/>
          <w:spacing w:val="0"/>
          <w:kern w:val="0"/>
          <w:sz w:val="21"/>
          <w:szCs w:val="21"/>
          <w:shd w:val="clear" w:fill="FFFFFF"/>
          <w:lang w:val="en-US" w:eastAsia="zh-CN" w:bidi="ar"/>
        </w:rPr>
        <w:t>标的名称：</w:t>
      </w:r>
      <w:r>
        <w:rPr>
          <w:rFonts w:hint="eastAsia" w:ascii="仿宋" w:hAnsi="仿宋" w:eastAsia="仿宋" w:cs="仿宋"/>
          <w:i w:val="0"/>
          <w:caps w:val="0"/>
          <w:color w:val="1B78FF"/>
          <w:spacing w:val="0"/>
          <w:kern w:val="0"/>
          <w:sz w:val="21"/>
          <w:szCs w:val="21"/>
          <w:shd w:val="clear" w:fill="FFFFFF"/>
          <w:lang w:val="en-US" w:eastAsia="zh-CN" w:bidi="ar"/>
        </w:rPr>
        <w:t> </w:t>
      </w:r>
      <w:r>
        <w:rPr>
          <w:rFonts w:hint="eastAsia" w:ascii="仿宋" w:hAnsi="仿宋" w:eastAsia="仿宋" w:cs="仿宋"/>
          <w:i w:val="0"/>
          <w:caps w:val="0"/>
          <w:spacing w:val="0"/>
          <w:kern w:val="0"/>
          <w:sz w:val="21"/>
          <w:szCs w:val="21"/>
          <w:shd w:val="clear" w:fill="FFFFFF"/>
          <w:lang w:val="en-US" w:eastAsia="zh-CN" w:bidi="ar"/>
        </w:rPr>
        <w:t>     </w:t>
      </w:r>
      <w:r>
        <w:rPr>
          <w:rStyle w:val="32"/>
          <w:rFonts w:hint="eastAsia" w:ascii="仿宋" w:hAnsi="仿宋" w:eastAsia="仿宋" w:cs="仿宋"/>
          <w:i w:val="0"/>
          <w:caps w:val="0"/>
          <w:spacing w:val="0"/>
          <w:kern w:val="0"/>
          <w:sz w:val="21"/>
          <w:szCs w:val="21"/>
          <w:shd w:val="clear" w:fill="FFFFFF"/>
          <w:lang w:val="en-US" w:eastAsia="zh-CN" w:bidi="ar"/>
        </w:rPr>
        <w:t>中国知网系列产品</w:t>
      </w:r>
      <w:r>
        <w:rPr>
          <w:rFonts w:hint="eastAsia" w:ascii="仿宋" w:hAnsi="仿宋" w:eastAsia="仿宋" w:cs="仿宋"/>
          <w:i w:val="0"/>
          <w:caps w:val="0"/>
          <w:spacing w:val="0"/>
          <w:kern w:val="0"/>
          <w:sz w:val="21"/>
          <w:szCs w:val="21"/>
          <w:shd w:val="clear" w:fill="FFFFFF"/>
          <w:lang w:val="en-US" w:eastAsia="zh-CN" w:bidi="ar"/>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color w:val="1B78FF"/>
          <w:spacing w:val="0"/>
          <w:sz w:val="21"/>
          <w:szCs w:val="21"/>
          <w:shd w:val="clear" w:fill="FFFFFF"/>
        </w:rPr>
        <w:t> </w:t>
      </w:r>
      <w:r>
        <w:rPr>
          <w:rFonts w:hint="eastAsia" w:ascii="仿宋" w:hAnsi="仿宋" w:eastAsia="仿宋" w:cs="仿宋"/>
          <w:i w:val="0"/>
          <w:caps w:val="0"/>
          <w:color w:val="595959"/>
          <w:spacing w:val="0"/>
          <w:sz w:val="21"/>
          <w:szCs w:val="21"/>
          <w:shd w:val="clear" w:fill="FFFFFF"/>
        </w:rPr>
        <w:t>数量： </w:t>
      </w:r>
      <w:r>
        <w:rPr>
          <w:rStyle w:val="32"/>
          <w:rFonts w:hint="eastAsia" w:ascii="仿宋" w:hAnsi="仿宋" w:eastAsia="仿宋" w:cs="仿宋"/>
          <w:i w:val="0"/>
          <w:caps w:val="0"/>
          <w:spacing w:val="0"/>
          <w:sz w:val="21"/>
          <w:szCs w:val="21"/>
          <w:shd w:val="clear" w:fill="FFFFFF"/>
        </w:rPr>
        <w:t>1</w:t>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shd w:val="clear" w:fill="FFFFFF"/>
        </w:rPr>
        <w:br w:type="textWrapping"/>
      </w:r>
      <w:r>
        <w:rPr>
          <w:rFonts w:hint="eastAsia" w:ascii="仿宋" w:hAnsi="仿宋" w:eastAsia="仿宋" w:cs="仿宋"/>
          <w:i w:val="0"/>
          <w:caps w:val="0"/>
          <w:color w:val="1B78FF"/>
          <w:spacing w:val="0"/>
          <w:sz w:val="21"/>
          <w:szCs w:val="21"/>
          <w:shd w:val="clear" w:fill="FFFFFF"/>
        </w:rPr>
        <w:t> </w:t>
      </w:r>
      <w:r>
        <w:rPr>
          <w:rFonts w:hint="eastAsia" w:ascii="仿宋" w:hAnsi="仿宋" w:eastAsia="仿宋" w:cs="仿宋"/>
          <w:i w:val="0"/>
          <w:caps w:val="0"/>
          <w:color w:val="595959"/>
          <w:spacing w:val="0"/>
          <w:sz w:val="21"/>
          <w:szCs w:val="21"/>
          <w:shd w:val="clear" w:fill="FFFFFF"/>
        </w:rPr>
        <w:t>预算金额(元)：</w:t>
      </w:r>
      <w:r>
        <w:rPr>
          <w:rFonts w:hint="eastAsia" w:ascii="仿宋" w:hAnsi="仿宋" w:eastAsia="仿宋" w:cs="仿宋"/>
          <w:i w:val="0"/>
          <w:caps w:val="0"/>
          <w:spacing w:val="0"/>
          <w:sz w:val="21"/>
          <w:szCs w:val="21"/>
          <w:shd w:val="clear" w:fill="FFFFFF"/>
        </w:rPr>
        <w:t> </w:t>
      </w:r>
      <w:r>
        <w:rPr>
          <w:rStyle w:val="32"/>
          <w:rFonts w:hint="eastAsia" w:ascii="仿宋" w:hAnsi="仿宋" w:eastAsia="仿宋" w:cs="仿宋"/>
          <w:i w:val="0"/>
          <w:caps w:val="0"/>
          <w:spacing w:val="0"/>
          <w:sz w:val="21"/>
          <w:szCs w:val="21"/>
          <w:shd w:val="clear" w:fill="FFFFFF"/>
        </w:rPr>
        <w:t>220000</w:t>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shd w:val="clear" w:fill="FFFFFF"/>
        </w:rPr>
        <w:br w:type="textWrapping"/>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color w:val="595959"/>
          <w:spacing w:val="0"/>
          <w:sz w:val="21"/>
          <w:szCs w:val="21"/>
          <w:shd w:val="clear" w:fill="FFFFFF"/>
        </w:rPr>
        <w:t>单位：</w:t>
      </w:r>
      <w:r>
        <w:rPr>
          <w:rFonts w:hint="eastAsia" w:ascii="仿宋" w:hAnsi="仿宋" w:eastAsia="仿宋" w:cs="仿宋"/>
          <w:i w:val="0"/>
          <w:caps w:val="0"/>
          <w:color w:val="000000"/>
          <w:spacing w:val="0"/>
          <w:sz w:val="21"/>
          <w:szCs w:val="21"/>
          <w:shd w:val="clear" w:fill="FFFFFF"/>
        </w:rPr>
        <w:t> </w:t>
      </w:r>
      <w:r>
        <w:rPr>
          <w:rStyle w:val="32"/>
          <w:rFonts w:hint="eastAsia" w:ascii="仿宋" w:hAnsi="仿宋" w:eastAsia="仿宋" w:cs="仿宋"/>
          <w:i w:val="0"/>
          <w:caps w:val="0"/>
          <w:spacing w:val="0"/>
          <w:sz w:val="21"/>
          <w:szCs w:val="21"/>
          <w:shd w:val="clear" w:fill="FFFFFF"/>
        </w:rPr>
        <w:t>项</w:t>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shd w:val="clear" w:fill="FFFFFF"/>
        </w:rPr>
        <w:br w:type="textWrapping"/>
      </w:r>
      <w:r>
        <w:rPr>
          <w:rFonts w:hint="eastAsia" w:ascii="仿宋" w:hAnsi="仿宋" w:eastAsia="仿宋" w:cs="仿宋"/>
          <w:i w:val="0"/>
          <w:caps w:val="0"/>
          <w:color w:val="1B78FF"/>
          <w:spacing w:val="0"/>
          <w:sz w:val="21"/>
          <w:szCs w:val="21"/>
          <w:shd w:val="clear" w:fill="FFFFFF"/>
        </w:rPr>
        <w:t> </w:t>
      </w:r>
      <w:r>
        <w:rPr>
          <w:rFonts w:hint="eastAsia" w:ascii="仿宋" w:hAnsi="仿宋" w:eastAsia="仿宋" w:cs="仿宋"/>
          <w:i w:val="0"/>
          <w:caps w:val="0"/>
          <w:color w:val="595959"/>
          <w:spacing w:val="0"/>
          <w:sz w:val="21"/>
          <w:szCs w:val="21"/>
          <w:shd w:val="clear" w:fill="FFFFFF"/>
        </w:rPr>
        <w:t>货物或服务的说明: </w:t>
      </w:r>
      <w:r>
        <w:rPr>
          <w:rStyle w:val="32"/>
          <w:rFonts w:hint="eastAsia" w:ascii="仿宋" w:hAnsi="仿宋" w:eastAsia="仿宋" w:cs="仿宋"/>
          <w:i w:val="0"/>
          <w:caps w:val="0"/>
          <w:spacing w:val="0"/>
          <w:sz w:val="21"/>
          <w:szCs w:val="21"/>
          <w:shd w:val="clear" w:fill="FFFFFF"/>
        </w:rPr>
        <w:t>新疆财经大学2022年图书馆资源数字化建设项目-中国知网系列产品</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拟采购的货物或服务的预算总金额（元）： </w:t>
      </w:r>
      <w:r>
        <w:rPr>
          <w:rStyle w:val="32"/>
          <w:rFonts w:hint="eastAsia" w:ascii="仿宋" w:hAnsi="仿宋" w:eastAsia="仿宋" w:cs="仿宋"/>
          <w:i w:val="0"/>
          <w:caps w:val="0"/>
          <w:spacing w:val="0"/>
          <w:sz w:val="21"/>
          <w:szCs w:val="21"/>
          <w:shd w:val="clear" w:fill="FFFFFF"/>
        </w:rPr>
        <w:t>220000</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采用单一来源采购方式的原因及说明： </w:t>
      </w:r>
      <w:r>
        <w:rPr>
          <w:rStyle w:val="32"/>
          <w:rFonts w:hint="eastAsia" w:ascii="仿宋" w:hAnsi="仿宋" w:eastAsia="仿宋" w:cs="仿宋"/>
          <w:i w:val="0"/>
          <w:caps w:val="0"/>
          <w:spacing w:val="0"/>
          <w:sz w:val="21"/>
          <w:szCs w:val="21"/>
          <w:shd w:val="clear" w:fill="FFFFFF"/>
        </w:rPr>
        <w:t>1、《中国学术期刊（网络版）》网络连续型出版物于2015年8月获国家新闻出版广电总局同意出版，新编国内统一连续出版物号CN11—6037/Z，至此，停用“中国学术期刊网络出版总库”名称，启用《中国学术期刊（网络版）》刊名。《中国学术期刊（网络版）》（CN11—6037/Z）是第一部以全文数据库形式大规模集成出版学术期刊文献的电子期刊，它是目前全球最大的连续动态更新的中文学术期刊全文数据库，是国家学术期刊最具权威性的文献检索工具和网络出版平台，基本完整收录了我国的全部学术期刊，覆盖所有学科的内容。它为国家“十五”、“十一五”国家重大电子与网络出版工程项目，并于2008年获得国家最高出版荣誉奖——“首届中国出版政府奖—网络出版物奖”。</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2、《中国博士学位论文全文数据库》是国内资源内容最完备、质量最高、出版周期最短、数据最规范的博士学位论文全文数据库，是国务院学位委员会指定的唯一博士学位点评估依据数据库。</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3、《中国优秀硕士学位论文全文数据库》是国内资源内容最完备、质量最高、出版周期最短、数据最规范的优秀硕士学位论文全文数据库，是国务院学位委员会指定的唯一硕士学位点评估依据数据库。</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4、《中国重要会议论文全文数据库》汇集了国内近3万次重要会议主办单位或论文汇编单位书面授权投稿的论文，基本囊括了我国各学科重要会议论文，是我国第一个连续出版重要会议论文的全文数据库。</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二、拟定供应商信息</w:t>
      </w:r>
      <w:r>
        <w:rPr>
          <w:rFonts w:ascii="黑体" w:hAnsi="宋体" w:eastAsia="黑体" w:cs="黑体"/>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名称： </w:t>
      </w:r>
      <w:r>
        <w:rPr>
          <w:rStyle w:val="32"/>
          <w:rFonts w:hint="eastAsia" w:ascii="仿宋" w:hAnsi="仿宋" w:eastAsia="仿宋" w:cs="仿宋"/>
          <w:i w:val="0"/>
          <w:caps w:val="0"/>
          <w:spacing w:val="0"/>
          <w:sz w:val="21"/>
          <w:szCs w:val="21"/>
          <w:shd w:val="clear" w:fill="FFFFFF"/>
        </w:rPr>
        <w:t>同方知网（北京）技术有限公司</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地址：  </w:t>
      </w:r>
      <w:r>
        <w:rPr>
          <w:rStyle w:val="32"/>
          <w:rFonts w:hint="eastAsia" w:ascii="仿宋" w:hAnsi="仿宋" w:eastAsia="仿宋" w:cs="仿宋"/>
          <w:i w:val="0"/>
          <w:caps w:val="0"/>
          <w:spacing w:val="0"/>
          <w:sz w:val="21"/>
          <w:szCs w:val="21"/>
          <w:shd w:val="clear" w:fill="FFFFFF"/>
        </w:rPr>
        <w:t>北京市海淀区西小口路66号东升科技园北领地A区第2号楼</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三、公示期限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caps w:val="0"/>
          <w:spacing w:val="0"/>
          <w:sz w:val="21"/>
          <w:szCs w:val="21"/>
        </w:rPr>
      </w:pPr>
      <w:r>
        <w:rPr>
          <w:rStyle w:val="32"/>
          <w:rFonts w:hint="eastAsia" w:ascii="仿宋" w:hAnsi="仿宋" w:eastAsia="仿宋" w:cs="仿宋"/>
          <w:i w:val="0"/>
          <w:caps w:val="0"/>
          <w:spacing w:val="0"/>
          <w:kern w:val="0"/>
          <w:sz w:val="21"/>
          <w:szCs w:val="21"/>
          <w:shd w:val="clear" w:fill="FFFFFF"/>
          <w:lang w:val="en-US" w:eastAsia="zh-CN" w:bidi="ar"/>
        </w:rPr>
        <w:t>2022年04月07日</w:t>
      </w: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spacing w:val="0"/>
          <w:kern w:val="0"/>
          <w:sz w:val="21"/>
          <w:szCs w:val="21"/>
          <w:u w:val="none"/>
          <w:shd w:val="clear" w:fill="FFFFFF"/>
          <w:lang w:val="en-US" w:eastAsia="zh-CN" w:bidi="ar"/>
        </w:rPr>
        <w:t>至</w:t>
      </w:r>
      <w:r>
        <w:rPr>
          <w:rFonts w:hint="eastAsia" w:ascii="仿宋" w:hAnsi="仿宋" w:eastAsia="仿宋" w:cs="仿宋"/>
          <w:i w:val="0"/>
          <w:caps w:val="0"/>
          <w:spacing w:val="0"/>
          <w:kern w:val="0"/>
          <w:sz w:val="21"/>
          <w:szCs w:val="21"/>
          <w:shd w:val="clear" w:fill="FFFFFF"/>
          <w:lang w:val="en-US" w:eastAsia="zh-CN" w:bidi="ar"/>
        </w:rPr>
        <w:t>        </w:t>
      </w:r>
      <w:r>
        <w:rPr>
          <w:rStyle w:val="32"/>
          <w:rFonts w:hint="eastAsia" w:ascii="仿宋" w:hAnsi="仿宋" w:eastAsia="仿宋" w:cs="仿宋"/>
          <w:i w:val="0"/>
          <w:caps w:val="0"/>
          <w:spacing w:val="0"/>
          <w:kern w:val="0"/>
          <w:sz w:val="21"/>
          <w:szCs w:val="21"/>
          <w:shd w:val="clear" w:fill="FFFFFF"/>
          <w:lang w:val="en-US" w:eastAsia="zh-CN" w:bidi="ar"/>
        </w:rPr>
        <w:t>2022年04月14日</w:t>
      </w:r>
      <w:r>
        <w:rPr>
          <w:rFonts w:hint="eastAsia" w:ascii="仿宋" w:hAnsi="仿宋" w:eastAsia="仿宋" w:cs="仿宋"/>
          <w:i w:val="0"/>
          <w:caps w:val="0"/>
          <w:spacing w:val="0"/>
          <w:kern w:val="0"/>
          <w:sz w:val="21"/>
          <w:szCs w:val="21"/>
          <w:shd w:val="clear" w:fill="FFFFFF"/>
          <w:lang w:val="en-US" w:eastAsia="zh-CN" w:bidi="ar"/>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四、其他补充事宜</w:t>
      </w:r>
      <w:r>
        <w:rPr>
          <w:rFonts w:ascii="黑体" w:hAnsi="宋体" w:eastAsia="黑体" w:cs="黑体"/>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sz w:val="21"/>
          <w:szCs w:val="21"/>
        </w:rPr>
      </w:pP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u w:val="none"/>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45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五、联系方式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1.采购人信息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 系 人：  </w:t>
      </w:r>
      <w:r>
        <w:rPr>
          <w:rStyle w:val="32"/>
          <w:rFonts w:hint="eastAsia" w:ascii="仿宋" w:hAnsi="仿宋" w:eastAsia="仿宋" w:cs="仿宋"/>
          <w:i w:val="0"/>
          <w:caps w:val="0"/>
          <w:spacing w:val="0"/>
          <w:sz w:val="21"/>
          <w:szCs w:val="21"/>
          <w:shd w:val="clear" w:fill="FFFFFF"/>
        </w:rPr>
        <w:t>赵老师</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联系电话：  </w:t>
      </w:r>
      <w:r>
        <w:rPr>
          <w:rStyle w:val="32"/>
          <w:rFonts w:hint="eastAsia" w:ascii="仿宋" w:hAnsi="仿宋" w:eastAsia="仿宋" w:cs="仿宋"/>
          <w:i w:val="0"/>
          <w:caps w:val="0"/>
          <w:spacing w:val="0"/>
          <w:sz w:val="21"/>
          <w:szCs w:val="21"/>
          <w:shd w:val="clear" w:fill="FFFFFF"/>
        </w:rPr>
        <w:t>0991-7843541</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联系地址： </w:t>
      </w:r>
      <w:r>
        <w:rPr>
          <w:rStyle w:val="32"/>
          <w:rFonts w:hint="eastAsia" w:ascii="仿宋" w:hAnsi="仿宋" w:eastAsia="仿宋" w:cs="仿宋"/>
          <w:i w:val="0"/>
          <w:caps w:val="0"/>
          <w:spacing w:val="0"/>
          <w:sz w:val="21"/>
          <w:szCs w:val="21"/>
          <w:shd w:val="clear" w:fill="FFFFFF"/>
        </w:rPr>
        <w:t>新疆乌鲁木齐市新市区北京中路449号</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2.财政部门</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 系 人：  </w:t>
      </w:r>
      <w:r>
        <w:rPr>
          <w:rStyle w:val="32"/>
          <w:rFonts w:hint="eastAsia" w:ascii="仿宋" w:hAnsi="仿宋" w:eastAsia="仿宋" w:cs="仿宋"/>
          <w:i w:val="0"/>
          <w:caps w:val="0"/>
          <w:spacing w:val="0"/>
          <w:sz w:val="21"/>
          <w:szCs w:val="21"/>
          <w:shd w:val="clear" w:fill="FFFFFF"/>
        </w:rPr>
        <w:t>包文泉</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联系电话： </w:t>
      </w:r>
      <w:r>
        <w:rPr>
          <w:rStyle w:val="32"/>
          <w:rFonts w:hint="eastAsia" w:ascii="仿宋" w:hAnsi="仿宋" w:eastAsia="仿宋" w:cs="仿宋"/>
          <w:i w:val="0"/>
          <w:caps w:val="0"/>
          <w:spacing w:val="0"/>
          <w:sz w:val="21"/>
          <w:szCs w:val="21"/>
          <w:shd w:val="clear" w:fill="FFFFFF"/>
        </w:rPr>
        <w:t>0991-2359482</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联系地址： </w:t>
      </w:r>
      <w:r>
        <w:rPr>
          <w:rStyle w:val="32"/>
          <w:rFonts w:hint="eastAsia" w:ascii="仿宋" w:hAnsi="仿宋" w:eastAsia="仿宋" w:cs="仿宋"/>
          <w:i w:val="0"/>
          <w:caps w:val="0"/>
          <w:spacing w:val="0"/>
          <w:sz w:val="21"/>
          <w:szCs w:val="21"/>
          <w:shd w:val="clear" w:fill="FFFFFF"/>
        </w:rPr>
        <w:t>自治区财政厅政府采购管理处</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3.采购代理机构（如有）</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联 系 人： </w:t>
      </w:r>
      <w:r>
        <w:rPr>
          <w:rStyle w:val="32"/>
          <w:rFonts w:hint="eastAsia" w:ascii="仿宋" w:hAnsi="仿宋" w:eastAsia="仿宋" w:cs="仿宋"/>
          <w:i w:val="0"/>
          <w:caps w:val="0"/>
          <w:spacing w:val="0"/>
          <w:sz w:val="21"/>
          <w:szCs w:val="21"/>
          <w:shd w:val="clear" w:fill="FFFFFF"/>
        </w:rPr>
        <w:t>郑步岳</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联系电话： </w:t>
      </w:r>
      <w:r>
        <w:rPr>
          <w:rStyle w:val="32"/>
          <w:rFonts w:hint="eastAsia" w:ascii="仿宋" w:hAnsi="仿宋" w:eastAsia="仿宋" w:cs="仿宋"/>
          <w:i w:val="0"/>
          <w:caps w:val="0"/>
          <w:spacing w:val="0"/>
          <w:sz w:val="21"/>
          <w:szCs w:val="21"/>
          <w:shd w:val="clear" w:fill="FFFFFF"/>
        </w:rPr>
        <w:t>18599104040</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联系地址： </w:t>
      </w:r>
      <w:r>
        <w:rPr>
          <w:rStyle w:val="32"/>
          <w:rFonts w:hint="eastAsia" w:ascii="仿宋" w:hAnsi="仿宋" w:eastAsia="仿宋" w:cs="仿宋"/>
          <w:i w:val="0"/>
          <w:caps w:val="0"/>
          <w:spacing w:val="0"/>
          <w:sz w:val="21"/>
          <w:szCs w:val="21"/>
          <w:shd w:val="clear" w:fill="FFFFFF"/>
        </w:rPr>
        <w:t>/</w:t>
      </w:r>
      <w:r>
        <w:rPr>
          <w:rFonts w:hint="eastAsia" w:ascii="仿宋" w:hAnsi="仿宋" w:eastAsia="仿宋" w:cs="仿宋"/>
          <w:i w:val="0"/>
          <w:caps w:val="0"/>
          <w:spacing w:val="0"/>
          <w:sz w:val="21"/>
          <w:szCs w:val="21"/>
          <w:shd w:val="clear" w:fill="FFFFFF"/>
        </w:rPr>
        <w:t> </w:t>
      </w:r>
    </w:p>
    <w:p>
      <w:pPr>
        <w:rPr>
          <w:rFonts w:hint="eastAsia" w:ascii="仿宋" w:hAnsi="仿宋" w:eastAsia="仿宋" w:cs="仿宋"/>
          <w:i w:val="0"/>
          <w:caps w:val="0"/>
          <w:spacing w:val="0"/>
          <w:sz w:val="27"/>
          <w:szCs w:val="27"/>
          <w:shd w:val="clear" w:fill="FFFFFF"/>
        </w:rPr>
      </w:pPr>
      <w:r>
        <w:rPr>
          <w:rFonts w:hint="eastAsia" w:ascii="仿宋" w:hAnsi="仿宋" w:eastAsia="仿宋" w:cs="仿宋"/>
          <w:i w:val="0"/>
          <w:caps w:val="0"/>
          <w:spacing w:val="0"/>
          <w:sz w:val="27"/>
          <w:szCs w:val="27"/>
          <w:shd w:val="clear" w:fill="FFFFFF"/>
        </w:rPr>
        <w:br w:type="page"/>
      </w:r>
    </w:p>
    <w:p>
      <w:pPr>
        <w:rPr>
          <w:rFonts w:hint="eastAsia" w:ascii="仿宋_GB2312" w:eastAsia="仿宋_GB2312" w:cs="Arial"/>
          <w:b/>
          <w:color w:val="000000" w:themeColor="text1"/>
          <w:sz w:val="24"/>
          <w:szCs w:val="24"/>
          <w14:textFill>
            <w14:solidFill>
              <w14:schemeClr w14:val="tx1"/>
            </w14:solidFill>
          </w14:textFill>
        </w:rPr>
      </w:pPr>
    </w:p>
    <w:p>
      <w:pPr>
        <w:spacing w:line="300" w:lineRule="exact"/>
        <w:jc w:val="center"/>
        <w:rPr>
          <w:rFonts w:ascii="仿宋_GB2312" w:eastAsia="仿宋_GB2312" w:cs="Arial"/>
          <w:b/>
          <w:color w:val="000000" w:themeColor="text1"/>
          <w:sz w:val="28"/>
          <w:szCs w:val="28"/>
          <w14:textFill>
            <w14:solidFill>
              <w14:schemeClr w14:val="tx1"/>
            </w14:solidFill>
          </w14:textFill>
        </w:rPr>
      </w:pPr>
      <w:r>
        <w:rPr>
          <w:rFonts w:hint="eastAsia" w:ascii="仿宋_GB2312" w:eastAsia="仿宋_GB2312" w:cs="Arial"/>
          <w:b/>
          <w:color w:val="000000" w:themeColor="text1"/>
          <w:sz w:val="28"/>
          <w:szCs w:val="28"/>
          <w14:textFill>
            <w14:solidFill>
              <w14:schemeClr w14:val="tx1"/>
            </w14:solidFill>
          </w14:textFill>
        </w:rPr>
        <w:t>第二章 供应商须知</w:t>
      </w:r>
    </w:p>
    <w:p>
      <w:pPr>
        <w:spacing w:line="300" w:lineRule="exact"/>
        <w:jc w:val="center"/>
        <w:rPr>
          <w:rFonts w:ascii="仿宋_GB2312" w:eastAsia="仿宋_GB2312" w:cs="Arial"/>
          <w:b/>
          <w:color w:val="000000" w:themeColor="text1"/>
          <w:sz w:val="28"/>
          <w:szCs w:val="28"/>
          <w14:textFill>
            <w14:solidFill>
              <w14:schemeClr w14:val="tx1"/>
            </w14:solidFill>
          </w14:textFill>
        </w:rPr>
      </w:pPr>
      <w:r>
        <w:rPr>
          <w:rFonts w:hint="eastAsia" w:ascii="仿宋_GB2312" w:eastAsia="仿宋_GB2312" w:cs="Arial"/>
          <w:b/>
          <w:color w:val="000000" w:themeColor="text1"/>
          <w:sz w:val="28"/>
          <w:szCs w:val="28"/>
          <w14:textFill>
            <w14:solidFill>
              <w14:schemeClr w14:val="tx1"/>
            </w14:solidFill>
          </w14:textFill>
        </w:rPr>
        <w:t>前附表</w:t>
      </w:r>
    </w:p>
    <w:tbl>
      <w:tblPr>
        <w:tblStyle w:val="25"/>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项号</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项目名称：</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新疆财经大学2022年图书馆资源数字化建设项目-中国知网系列产品</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文件编号：</w:t>
            </w:r>
            <w:r>
              <w:rPr>
                <w:rFonts w:hint="eastAsia" w:ascii="仿宋_GB2312" w:hAnsi="仿宋_GB2312" w:eastAsia="仿宋_GB2312" w:cs="仿宋_GB2312"/>
                <w:color w:val="000000" w:themeColor="text1"/>
                <w:sz w:val="24"/>
                <w:szCs w:val="24"/>
                <w:lang w:eastAsia="zh-CN"/>
                <w14:textFill>
                  <w14:solidFill>
                    <w14:schemeClr w14:val="tx1"/>
                  </w14:solidFill>
                </w14:textFill>
              </w:rPr>
              <w:t>XJSZG2022-19-04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p>
        </w:tc>
        <w:tc>
          <w:tcPr>
            <w:tcW w:w="9480" w:type="dxa"/>
            <w:vAlign w:val="top"/>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新疆财经大学</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  址：</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新疆乌鲁木齐市新市区北京中路449号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邮政编码：830000  </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赵老师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联系电话：0991-7843541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9480" w:type="dxa"/>
          </w:tcPr>
          <w:p>
            <w:pPr>
              <w:pStyle w:val="15"/>
              <w:keepNext w:val="0"/>
              <w:keepLines w:val="0"/>
              <w:pageBreakBefore w:val="0"/>
              <w:widowControl w:val="0"/>
              <w:kinsoku/>
              <w:wordWrap/>
              <w:overflowPunct/>
              <w:topLinePunct w:val="0"/>
              <w:autoSpaceDE/>
              <w:autoSpaceDN/>
              <w:bidi w:val="0"/>
              <w:adjustRightInd/>
              <w:snapToGrid/>
              <w:spacing w:line="420" w:lineRule="exact"/>
              <w:ind w:left="0" w:leftChars="0"/>
              <w:jc w:val="left"/>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领取采购文件及相关资料截止时间：202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lang w:val="en-US" w:eastAsia="zh-CN"/>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lang w:val="en-US" w:eastAsia="zh-CN"/>
                <w14:textFill>
                  <w14:solidFill>
                    <w14:schemeClr w14:val="tx1"/>
                  </w14:solidFill>
                </w14:textFill>
              </w:rPr>
              <w:t>22</w:t>
            </w:r>
            <w:r>
              <w:rPr>
                <w:rFonts w:hint="eastAsia" w:ascii="仿宋_GB2312" w:hAnsi="仿宋_GB2312" w:eastAsia="仿宋_GB2312" w:cs="仿宋_GB2312"/>
                <w:color w:val="000000" w:themeColor="text1"/>
                <w:sz w:val="24"/>
                <w14:textFill>
                  <w14:solidFill>
                    <w14:schemeClr w14:val="tx1"/>
                  </w14:solidFill>
                </w14:textFill>
              </w:rPr>
              <w:t>日</w:t>
            </w:r>
            <w:r>
              <w:rPr>
                <w:rFonts w:hint="eastAsia" w:ascii="仿宋_GB2312" w:hAnsi="仿宋_GB2312" w:eastAsia="仿宋_GB2312" w:cs="仿宋_GB2312"/>
                <w:color w:val="000000" w:themeColor="text1"/>
                <w:sz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供应商登录政采云平台https://www.zcygov.cn/在线申请获取采购文件（进入“项目采购”应用，在获取采购文件菜单中选择项目，申请获取采购文件）</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宋体" w:eastAsia="仿宋_GB2312"/>
                <w:bCs/>
                <w:color w:val="000000" w:themeColor="text1"/>
                <w:sz w:val="24"/>
                <w:szCs w:val="24"/>
                <w:lang w:eastAsia="zh-CN"/>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采购代理机构：</w:t>
            </w:r>
            <w:r>
              <w:rPr>
                <w:rFonts w:hint="eastAsia" w:ascii="仿宋_GB2312" w:hAnsi="宋体" w:eastAsia="仿宋_GB2312"/>
                <w:bCs/>
                <w:color w:val="000000" w:themeColor="text1"/>
                <w:sz w:val="24"/>
                <w:szCs w:val="24"/>
                <w:lang w:eastAsia="zh-CN"/>
                <w14:textFill>
                  <w14:solidFill>
                    <w14:schemeClr w14:val="tx1"/>
                  </w14:solidFill>
                </w14:textFill>
              </w:rPr>
              <w:t>新疆守正项目管理咨询有限公司</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宋体" w:eastAsia="仿宋_GB2312"/>
                <w:bCs/>
                <w:color w:val="000000" w:themeColor="text1"/>
                <w:sz w:val="24"/>
                <w:szCs w:val="24"/>
                <w:lang w:val="en-US" w:eastAsia="zh-CN"/>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地址：</w:t>
            </w:r>
            <w:r>
              <w:rPr>
                <w:rFonts w:hint="eastAsia" w:ascii="仿宋_GB2312" w:hAnsi="宋体" w:eastAsia="仿宋_GB2312"/>
                <w:bCs/>
                <w:color w:val="000000" w:themeColor="text1"/>
                <w:sz w:val="24"/>
                <w:szCs w:val="24"/>
                <w:lang w:eastAsia="zh-CN"/>
                <w14:textFill>
                  <w14:solidFill>
                    <w14:schemeClr w14:val="tx1"/>
                  </w14:solidFill>
                </w14:textFill>
              </w:rPr>
              <w:t>新疆乌鲁木齐经济技术开发区（头屯河区）高铁北六路99号丝绸之路经济带旅游集散中心11层1107室</w:t>
            </w:r>
            <w:r>
              <w:rPr>
                <w:rFonts w:hint="eastAsia" w:ascii="仿宋_GB2312" w:hAnsi="宋体" w:eastAsia="仿宋_GB2312"/>
                <w:bCs/>
                <w:color w:val="000000" w:themeColor="text1"/>
                <w:sz w:val="24"/>
                <w:szCs w:val="24"/>
                <w14:textFill>
                  <w14:solidFill>
                    <w14:schemeClr w14:val="tx1"/>
                  </w14:solidFill>
                </w14:textFill>
              </w:rPr>
              <w:t xml:space="preserve">     邮政编码：</w:t>
            </w:r>
            <w:r>
              <w:rPr>
                <w:rFonts w:hint="eastAsia" w:ascii="仿宋_GB2312" w:hAnsi="宋体" w:eastAsia="仿宋_GB2312"/>
                <w:bCs/>
                <w:color w:val="000000" w:themeColor="text1"/>
                <w:sz w:val="24"/>
                <w:szCs w:val="24"/>
                <w:lang w:val="en-US" w:eastAsia="zh-CN"/>
                <w14:textFill>
                  <w14:solidFill>
                    <w14:schemeClr w14:val="tx1"/>
                  </w14:solidFill>
                </w14:textFill>
              </w:rPr>
              <w:t>830000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郑步岳</w:t>
            </w:r>
            <w:r>
              <w:rPr>
                <w:rFonts w:hint="eastAsia" w:ascii="仿宋_GB2312" w:hAnsi="仿宋_GB2312" w:eastAsia="仿宋_GB2312" w:cs="仿宋_GB2312"/>
                <w:color w:val="000000" w:themeColor="text1"/>
                <w:sz w:val="24"/>
                <w:szCs w:val="24"/>
                <w14:textFill>
                  <w14:solidFill>
                    <w14:schemeClr w14:val="tx1"/>
                  </w14:solidFill>
                </w14:textFill>
              </w:rPr>
              <w:t xml:space="preserve">    联系电话：</w:t>
            </w:r>
            <w:r>
              <w:rPr>
                <w:rFonts w:hint="eastAsia" w:ascii="仿宋_GB2312" w:hAnsi="仿宋_GB2312" w:eastAsia="仿宋_GB2312" w:cs="仿宋_GB2312"/>
                <w:color w:val="000000" w:themeColor="text1"/>
                <w:sz w:val="24"/>
                <w:szCs w:val="24"/>
                <w:lang w:eastAsia="zh-CN"/>
                <w14:textFill>
                  <w14:solidFill>
                    <w14:schemeClr w14:val="tx1"/>
                  </w14:solidFill>
                </w14:textFill>
              </w:rPr>
              <w:t>18599104040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响应文件有效期：递交响应文件截止之日起60天（日历日）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的电子版</w:t>
            </w:r>
            <w:r>
              <w:rPr>
                <w:rFonts w:hint="eastAsia" w:ascii="仿宋_GB2312" w:hAnsi="仿宋_GB2312" w:eastAsia="仿宋_GB2312" w:cs="仿宋_GB2312"/>
                <w:color w:val="000000" w:themeColor="text1"/>
                <w:sz w:val="24"/>
                <w:szCs w:val="24"/>
                <w14:textFill>
                  <w14:solidFill>
                    <w14:schemeClr w14:val="tx1"/>
                  </w14:solidFill>
                </w14:textFill>
              </w:rPr>
              <w:t>：1.响应文件电子版要求：按照本采购文件“第五章 响应文件格式”编写（第五章未附格式的，由供应商自行拟定），不可涂改并在规定位置加盖公章处加盖电子公章，否则响应文件按无效响应处理。</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2.响应文件电子版密封方式：电子响应文件通过平台有效CA加密后在“政采云”平台投送。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采购人不统一组织供应商实地考察</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供应商如有疑问，于2</w:t>
            </w:r>
            <w:r>
              <w:rPr>
                <w:rFonts w:hint="eastAsia" w:ascii="仿宋_GB2312" w:hAnsi="仿宋_GB2312" w:eastAsia="仿宋_GB2312" w:cs="仿宋_GB2312"/>
                <w:color w:val="000000" w:themeColor="text1"/>
                <w:sz w:val="24"/>
                <w14:textFill>
                  <w14:solidFill>
                    <w14:schemeClr w14:val="tx1"/>
                  </w14:solidFill>
                </w14:textFill>
              </w:rPr>
              <w:t>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14:textFill>
                  <w14:solidFill>
                    <w14:schemeClr w14:val="tx1"/>
                  </w14:solidFill>
                </w14:textFill>
              </w:rPr>
              <w:t>：00前将有关疑问以</w:t>
            </w:r>
            <w:r>
              <w:rPr>
                <w:rFonts w:hint="eastAsia" w:ascii="仿宋_GB2312" w:hAnsi="仿宋_GB2312" w:eastAsia="仿宋_GB2312" w:cs="仿宋_GB2312"/>
                <w:color w:val="000000" w:themeColor="text1"/>
                <w:sz w:val="24"/>
                <w:szCs w:val="24"/>
                <w:lang w:eastAsia="zh-CN"/>
                <w14:textFill>
                  <w14:solidFill>
                    <w14:schemeClr w14:val="tx1"/>
                  </w14:solidFill>
                </w14:textFill>
              </w:rPr>
              <w:t>扫描件</w:t>
            </w:r>
            <w:r>
              <w:rPr>
                <w:rFonts w:hint="eastAsia" w:ascii="仿宋_GB2312" w:hAnsi="仿宋_GB2312" w:eastAsia="仿宋_GB2312" w:cs="仿宋_GB2312"/>
                <w:color w:val="000000" w:themeColor="text1"/>
                <w:sz w:val="24"/>
                <w:szCs w:val="24"/>
                <w14:textFill>
                  <w14:solidFill>
                    <w14:schemeClr w14:val="tx1"/>
                  </w14:solidFill>
                </w14:textFill>
              </w:rPr>
              <w:t>形式（必须加盖供应商公章）发至</w:t>
            </w:r>
            <w:r>
              <w:rPr>
                <w:rFonts w:hint="eastAsia" w:ascii="仿宋_GB2312" w:hAnsi="仿宋_GB2312" w:eastAsia="仿宋_GB2312" w:cs="仿宋_GB2312"/>
                <w:color w:val="000000" w:themeColor="text1"/>
                <w:sz w:val="24"/>
                <w:szCs w:val="24"/>
                <w:lang w:eastAsia="zh-CN"/>
                <w14:textFill>
                  <w14:solidFill>
                    <w14:schemeClr w14:val="tx1"/>
                  </w14:solidFill>
                </w14:textFill>
              </w:rPr>
              <w:t>邮箱279645499@qq.com</w:t>
            </w:r>
            <w:r>
              <w:rPr>
                <w:rFonts w:hint="eastAsia" w:ascii="仿宋_GB2312" w:hAnsi="仿宋_GB2312" w:eastAsia="仿宋_GB2312" w:cs="仿宋_GB2312"/>
                <w:color w:val="000000" w:themeColor="text1"/>
                <w:sz w:val="24"/>
                <w:szCs w:val="24"/>
                <w14:textFill>
                  <w14:solidFill>
                    <w14:schemeClr w14:val="tx1"/>
                  </w14:solidFill>
                </w14:textFill>
              </w:rPr>
              <w:t>，采购人将对所提疑问以书面形式发至领取</w:t>
            </w:r>
            <w:r>
              <w:rPr>
                <w:rFonts w:hint="eastAsia" w:ascii="仿宋_GB2312" w:hAnsi="仿宋_GB2312" w:eastAsia="仿宋_GB2312" w:cs="仿宋_GB2312"/>
                <w:color w:val="000000" w:themeColor="text1"/>
                <w:sz w:val="24"/>
                <w:szCs w:val="24"/>
                <w:lang w:eastAsia="zh-CN"/>
                <w14:textFill>
                  <w14:solidFill>
                    <w14:schemeClr w14:val="tx1"/>
                  </w14:solidFill>
                </w14:textFill>
              </w:rPr>
              <w:t>单一来源采购文件</w:t>
            </w:r>
            <w:r>
              <w:rPr>
                <w:rFonts w:hint="eastAsia" w:ascii="仿宋_GB2312" w:hAnsi="仿宋_GB2312" w:eastAsia="仿宋_GB2312" w:cs="仿宋_GB2312"/>
                <w:color w:val="000000" w:themeColor="text1"/>
                <w:sz w:val="24"/>
                <w:szCs w:val="24"/>
                <w14:textFill>
                  <w14:solidFill>
                    <w14:schemeClr w14:val="tx1"/>
                  </w14:solidFill>
                </w14:textFill>
              </w:rPr>
              <w:t>的每位供应商，超过此时间所提疑问采购人或采购代理机构均不予答复。</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书面提问传真截止时间：2</w:t>
            </w:r>
            <w:r>
              <w:rPr>
                <w:rFonts w:hint="eastAsia" w:ascii="仿宋_GB2312" w:hAnsi="仿宋_GB2312" w:eastAsia="仿宋_GB2312" w:cs="仿宋_GB2312"/>
                <w:color w:val="000000" w:themeColor="text1"/>
                <w:sz w:val="24"/>
                <w14:textFill>
                  <w14:solidFill>
                    <w14:schemeClr w14:val="tx1"/>
                  </w14:solidFill>
                </w14:textFill>
              </w:rPr>
              <w:t>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郑步岳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递交响应文件截止时间：</w:t>
            </w:r>
            <w:r>
              <w:rPr>
                <w:rFonts w:hint="eastAsia" w:ascii="仿宋_GB2312" w:hAnsi="仿宋_GB2312" w:eastAsia="仿宋_GB2312" w:cs="仿宋_GB2312"/>
                <w:color w:val="000000" w:themeColor="text1"/>
                <w:sz w:val="24"/>
                <w:szCs w:val="24"/>
                <w:lang w:eastAsia="zh-CN"/>
                <w14:textFill>
                  <w14:solidFill>
                    <w14:schemeClr w14:val="tx1"/>
                  </w14:solidFill>
                </w14:textFill>
              </w:rPr>
              <w:t>2022年04月2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lang w:eastAsia="zh-CN"/>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递交响应文件地点：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线上递交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响应文件开启时间：</w:t>
            </w:r>
            <w:r>
              <w:rPr>
                <w:rFonts w:hint="eastAsia" w:ascii="仿宋_GB2312" w:hAnsi="仿宋_GB2312" w:eastAsia="仿宋_GB2312" w:cs="仿宋_GB2312"/>
                <w:color w:val="000000" w:themeColor="text1"/>
                <w:sz w:val="24"/>
                <w:szCs w:val="24"/>
                <w:lang w:eastAsia="zh-CN"/>
                <w14:textFill>
                  <w14:solidFill>
                    <w14:schemeClr w14:val="tx1"/>
                  </w14:solidFill>
                </w14:textFill>
              </w:rPr>
              <w:t>2022年04月2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lang w:eastAsia="zh-CN"/>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响应文件开启地点：</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新疆守正项目管理咨询有限公司</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新疆乌鲁木齐经济技术开发区（头屯河区）高铁北六路99号丝绸之路经济带旅游集散中心11层1107室</w:t>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开启方式：政采云线上开启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项目采购预算</w:t>
            </w:r>
            <w:r>
              <w:rPr>
                <w:rFonts w:hint="eastAsia" w:ascii="仿宋_GB2312" w:hAnsi="宋体" w:eastAsia="仿宋_GB2312"/>
                <w:b/>
                <w:color w:val="000000" w:themeColor="text1"/>
                <w:sz w:val="24"/>
                <w:szCs w:val="24"/>
                <w14:textFill>
                  <w14:solidFill>
                    <w14:schemeClr w14:val="tx1"/>
                  </w14:solidFill>
                </w14:textFill>
              </w:rPr>
              <w:t>：</w:t>
            </w:r>
            <w:r>
              <w:rPr>
                <w:rFonts w:hint="default" w:ascii="仿宋_GB2312" w:hAnsi="宋体" w:eastAsia="仿宋_GB2312"/>
                <w:b/>
                <w:color w:val="000000" w:themeColor="text1"/>
                <w:sz w:val="24"/>
                <w:szCs w:val="24"/>
                <w14:textFill>
                  <w14:solidFill>
                    <w14:schemeClr w14:val="tx1"/>
                  </w14:solidFill>
                </w14:textFill>
              </w:rPr>
              <w:t>¥</w:t>
            </w:r>
            <w:r>
              <w:rPr>
                <w:rFonts w:hint="eastAsia" w:ascii="仿宋_GB2312" w:hAnsi="宋体" w:eastAsia="仿宋_GB2312"/>
                <w:b/>
                <w:color w:val="000000" w:themeColor="text1"/>
                <w:sz w:val="24"/>
                <w:szCs w:val="24"/>
                <w:lang w:val="en-US" w:eastAsia="zh-CN"/>
                <w14:textFill>
                  <w14:solidFill>
                    <w14:schemeClr w14:val="tx1"/>
                  </w14:solidFill>
                </w14:textFill>
              </w:rPr>
              <w:t> 22万元</w:t>
            </w:r>
            <w:r>
              <w:rPr>
                <w:rFonts w:hint="eastAsia" w:ascii="仿宋_GB2312" w:hAnsi="仿宋_GB2312" w:eastAsia="仿宋_GB2312" w:cs="仿宋_GB2312"/>
                <w:b/>
                <w:color w:val="000000" w:themeColor="text1"/>
                <w:sz w:val="24"/>
                <w:szCs w:val="24"/>
                <w14:textFill>
                  <w14:solidFill>
                    <w14:schemeClr w14:val="tx1"/>
                  </w14:solidFill>
                </w14:textFill>
              </w:rPr>
              <w:t>，供应商的商务报价如超过采购预算，则该供应商的响应文件作无效响应处理。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9480" w:type="dxa"/>
          </w:tcPr>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保证金:</w:t>
            </w:r>
            <w:r>
              <w:rPr>
                <w:rFonts w:hint="eastAsia" w:ascii="仿宋" w:hAnsi="仿宋" w:eastAsia="仿宋" w:cs="仿宋"/>
                <w:sz w:val="21"/>
                <w:szCs w:val="21"/>
                <w:lang w:val="en-US" w:eastAsia="zh-CN"/>
              </w:rPr>
              <w:t>4400</w:t>
            </w:r>
            <w:r>
              <w:rPr>
                <w:rFonts w:hint="eastAsia" w:ascii="仿宋" w:hAnsi="仿宋" w:eastAsia="仿宋" w:cs="仿宋"/>
                <w:sz w:val="21"/>
                <w:szCs w:val="21"/>
              </w:rPr>
              <w:t>.00元；</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（1）保证金以银行电汇或网银公账对公账的方式缴纳；</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）供应商在提交保证金时需在备注栏注明：所投项目的项目名称，换取收据时需携带银行汇票或电汇单复印件。未按时提交谈判保证金的谈判响应性文件无效；</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）账户信息：</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收款单位全称：新疆守正项目管理咨询有限公司</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开户银行：中国建设银行股份有限公司乌鲁木齐南湖路支行</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行    号：105881000575</w:t>
            </w:r>
          </w:p>
          <w:p>
            <w:pPr>
              <w:spacing w:line="360" w:lineRule="exact"/>
              <w:jc w:val="left"/>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 w:hAnsi="仿宋" w:eastAsia="仿宋" w:cs="仿宋"/>
                <w:sz w:val="21"/>
                <w:szCs w:val="21"/>
              </w:rPr>
              <w:t xml:space="preserve">银行账号：65050161604100001075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480" w:type="dxa"/>
          </w:tcPr>
          <w:p>
            <w:pPr>
              <w:spacing w:line="3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法律责任：</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bl>
    <w:p>
      <w:pPr>
        <w:spacing w:line="360" w:lineRule="auto"/>
        <w:jc w:val="center"/>
        <w:rPr>
          <w:rFonts w:ascii="仿宋_GB2312" w:eastAsia="仿宋_GB2312"/>
          <w:color w:val="000000" w:themeColor="text1"/>
          <w:sz w:val="28"/>
          <w:szCs w:val="28"/>
          <w14:textFill>
            <w14:solidFill>
              <w14:schemeClr w14:val="tx1"/>
            </w14:solidFill>
          </w14:textFill>
        </w:rPr>
      </w:pPr>
    </w:p>
    <w:p>
      <w:pP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br w:type="page"/>
      </w:r>
    </w:p>
    <w:p>
      <w:pPr>
        <w:spacing w:line="4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A</w:t>
      </w:r>
      <w:bookmarkEnd w:id="0"/>
      <w:bookmarkStart w:id="1" w:name="_Toc154996576"/>
      <w:r>
        <w:rPr>
          <w:rFonts w:hint="eastAsia" w:ascii="仿宋_GB2312" w:eastAsia="仿宋_GB2312"/>
          <w:b/>
          <w:color w:val="000000" w:themeColor="text1"/>
          <w:sz w:val="28"/>
          <w:szCs w:val="28"/>
          <w14:textFill>
            <w14:solidFill>
              <w14:schemeClr w14:val="tx1"/>
            </w14:solidFill>
          </w14:textFill>
        </w:rPr>
        <w:t>说明</w:t>
      </w:r>
    </w:p>
    <w:p>
      <w:pPr>
        <w:pStyle w:val="14"/>
        <w:spacing w:line="460" w:lineRule="exact"/>
        <w:ind w:firstLine="480" w:firstLineChars="200"/>
        <w:outlineLvl w:val="1"/>
        <w:rPr>
          <w:rFonts w:ascii="仿宋_GB2312" w:eastAsia="仿宋_GB2312"/>
          <w:color w:val="000000" w:themeColor="text1"/>
          <w:sz w:val="24"/>
          <w14:textFill>
            <w14:solidFill>
              <w14:schemeClr w14:val="tx1"/>
            </w14:solidFill>
          </w14:textFill>
        </w:rPr>
      </w:pPr>
      <w:bookmarkStart w:id="2" w:name="_Toc246216180"/>
      <w:bookmarkStart w:id="3" w:name="_Toc233274811"/>
      <w:bookmarkStart w:id="4" w:name="_Toc243907571"/>
      <w:bookmarkStart w:id="5" w:name="_Toc243906311"/>
      <w:r>
        <w:rPr>
          <w:rFonts w:hint="eastAsia" w:ascii="仿宋_GB2312" w:eastAsia="仿宋_GB2312"/>
          <w:color w:val="000000" w:themeColor="text1"/>
          <w:sz w:val="24"/>
          <w14:textFill>
            <w14:solidFill>
              <w14:schemeClr w14:val="tx1"/>
            </w14:solidFill>
          </w14:textFill>
        </w:rPr>
        <w:t>1、适用范围</w:t>
      </w:r>
      <w:bookmarkEnd w:id="2"/>
      <w:bookmarkEnd w:id="3"/>
      <w:bookmarkEnd w:id="4"/>
      <w:bookmarkEnd w:id="5"/>
      <w:r>
        <w:rPr>
          <w:rFonts w:hint="eastAsia" w:ascii="仿宋_GB2312" w:eastAsia="仿宋_GB2312"/>
          <w:color w:val="000000" w:themeColor="text1"/>
          <w:sz w:val="24"/>
          <w14:textFill>
            <w14:solidFill>
              <w14:schemeClr w14:val="tx1"/>
            </w14:solidFill>
          </w14:textFill>
        </w:rPr>
        <w:t>及采购依据</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 适用范围</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本单一来源采购文件仅适用</w:t>
      </w:r>
      <w:r>
        <w:rPr>
          <w:rFonts w:hint="eastAsia" w:ascii="仿宋_GB2312" w:eastAsia="仿宋_GB2312"/>
          <w:color w:val="000000" w:themeColor="text1"/>
          <w:sz w:val="24"/>
          <w:lang w:eastAsia="zh-CN"/>
          <w14:textFill>
            <w14:solidFill>
              <w14:schemeClr w14:val="tx1"/>
            </w14:solidFill>
          </w14:textFill>
        </w:rPr>
        <w:t>新疆财经大学2022年图书馆资源数字化建设项目-中国知网系列产品</w:t>
      </w:r>
      <w:r>
        <w:rPr>
          <w:rFonts w:hint="eastAsia" w:ascii="仿宋_GB2312" w:hAnsi="宋体" w:eastAsia="仿宋_GB2312" w:cs="宋体"/>
          <w:color w:val="000000" w:themeColor="text1"/>
          <w:kern w:val="0"/>
          <w:sz w:val="24"/>
          <w14:textFill>
            <w14:solidFill>
              <w14:schemeClr w14:val="tx1"/>
            </w14:solidFill>
          </w14:textFill>
        </w:rPr>
        <w:t>的采购</w:t>
      </w:r>
      <w:r>
        <w:rPr>
          <w:rFonts w:hint="eastAsia" w:ascii="仿宋_GB2312" w:eastAsia="仿宋_GB2312"/>
          <w:color w:val="000000" w:themeColor="text1"/>
          <w:sz w:val="24"/>
          <w:szCs w:val="24"/>
          <w14:textFill>
            <w14:solidFill>
              <w14:schemeClr w14:val="tx1"/>
            </w14:solidFill>
          </w14:textFill>
        </w:rPr>
        <w:t>。</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w:t>
      </w:r>
      <w:r>
        <w:rPr>
          <w:rFonts w:hint="eastAsia" w:ascii="仿宋_GB2312" w:hAnsi="宋体" w:eastAsia="仿宋_GB2312"/>
          <w:color w:val="000000" w:themeColor="text1"/>
          <w:sz w:val="24"/>
          <w14:textFill>
            <w14:solidFill>
              <w14:schemeClr w14:val="tx1"/>
            </w14:solidFill>
          </w14:textFill>
        </w:rPr>
        <w:t>采购依据</w:t>
      </w:r>
    </w:p>
    <w:p>
      <w:pPr>
        <w:widowControl/>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根据《中华人民共和国政府采购法》、《中华人民共和国政府采购法实施条例》、《政府采购非招标采购方式管理办法》及有关法律、法规。</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 w:name="_Toc233274812"/>
      <w:bookmarkStart w:id="7" w:name="_Toc246216181"/>
      <w:bookmarkStart w:id="8" w:name="_Toc243906312"/>
      <w:bookmarkStart w:id="9" w:name="_Toc243907572"/>
      <w:r>
        <w:rPr>
          <w:rFonts w:hint="eastAsia" w:ascii="仿宋_GB2312" w:eastAsia="仿宋_GB2312"/>
          <w:color w:val="000000" w:themeColor="text1"/>
          <w:sz w:val="24"/>
          <w14:textFill>
            <w14:solidFill>
              <w14:schemeClr w14:val="tx1"/>
            </w14:solidFill>
          </w14:textFill>
        </w:rPr>
        <w:t>2、定义</w:t>
      </w:r>
      <w:bookmarkEnd w:id="6"/>
      <w:bookmarkEnd w:id="7"/>
      <w:bookmarkEnd w:id="8"/>
      <w:bookmarkEnd w:id="9"/>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 “采购人”系指</w:t>
      </w:r>
      <w:r>
        <w:rPr>
          <w:rFonts w:hint="eastAsia" w:ascii="仿宋_GB2312" w:eastAsia="仿宋_GB2312"/>
          <w:color w:val="000000" w:themeColor="text1"/>
          <w:sz w:val="24"/>
          <w:lang w:eastAsia="zh-CN"/>
          <w14:textFill>
            <w14:solidFill>
              <w14:schemeClr w14:val="tx1"/>
            </w14:solidFill>
          </w14:textFill>
        </w:rPr>
        <w:t>新疆财经大学</w:t>
      </w:r>
      <w:r>
        <w:rPr>
          <w:rFonts w:hint="eastAsia" w:ascii="仿宋_GB2312" w:eastAsia="仿宋_GB2312"/>
          <w:color w:val="000000" w:themeColor="text1"/>
          <w:sz w:val="24"/>
          <w14:textFill>
            <w14:solidFill>
              <w14:schemeClr w14:val="tx1"/>
            </w14:solidFill>
          </w14:textFill>
        </w:rPr>
        <w:t>，在签订和执行合同阶段称“甲方”。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2.3 “供应商”系指具备资格并响应单一来源采购文件要求提交响应文件的法人，供应商若成交，在签订和执行合同阶段称“乙方”。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2.4 “单一来源采购文件”系指由采购人向供应商发出的本采购项目的全部文件（包括修改文件、项目采购需求、补充文件、答疑纪要、各种通知和附件等）。</w:t>
      </w:r>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2.5 “响应文件”系指供应商根据单一来源采购文件提交的所有文件。</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Times New Roman" w:eastAsia="仿宋_GB2312" w:cs="Times New Roman"/>
          <w:color w:val="000000" w:themeColor="text1"/>
          <w:sz w:val="24"/>
          <w:lang w:eastAsia="zh-CN"/>
          <w14:textFill>
            <w14:solidFill>
              <w14:schemeClr w14:val="tx1"/>
            </w14:solidFill>
          </w14:textFill>
        </w:rPr>
      </w:pPr>
      <w:bookmarkStart w:id="10" w:name="_Toc246216182"/>
      <w:bookmarkStart w:id="11" w:name="_Toc233274813"/>
      <w:bookmarkStart w:id="12" w:name="_Toc243906313"/>
      <w:bookmarkStart w:id="13" w:name="_Toc243907573"/>
      <w:r>
        <w:rPr>
          <w:rFonts w:hint="eastAsia" w:ascii="仿宋_GB2312" w:eastAsia="仿宋_GB2312"/>
          <w:color w:val="000000" w:themeColor="text1"/>
          <w:sz w:val="24"/>
          <w14:textFill>
            <w14:solidFill>
              <w14:schemeClr w14:val="tx1"/>
            </w14:solidFill>
          </w14:textFill>
        </w:rPr>
        <w:t xml:space="preserve">2.6 </w:t>
      </w:r>
      <w:r>
        <w:rPr>
          <w:rFonts w:hint="eastAsia" w:ascii="仿宋_GB2312" w:hAnsi="Times New Roman" w:eastAsia="仿宋_GB2312" w:cs="Times New Roman"/>
          <w:color w:val="000000" w:themeColor="text1"/>
          <w:sz w:val="24"/>
          <w14:textFill>
            <w14:solidFill>
              <w14:schemeClr w14:val="tx1"/>
            </w14:solidFill>
          </w14:textFill>
        </w:rPr>
        <w:t>“服务”系指合同条款、技术规范及标准、项目需求及技术要求、本</w:t>
      </w:r>
      <w:r>
        <w:rPr>
          <w:rFonts w:hint="eastAsia" w:ascii="仿宋_GB2312" w:eastAsia="仿宋_GB2312" w:cs="Times New Roman"/>
          <w:color w:val="000000" w:themeColor="text1"/>
          <w:sz w:val="24"/>
          <w:lang w:eastAsia="zh-CN"/>
          <w14:textFill>
            <w14:solidFill>
              <w14:schemeClr w14:val="tx1"/>
            </w14:solidFill>
          </w14:textFill>
        </w:rPr>
        <w:t>单一来源采购文件</w:t>
      </w:r>
      <w:r>
        <w:rPr>
          <w:rFonts w:hint="eastAsia" w:ascii="仿宋_GB2312" w:hAnsi="Times New Roman" w:eastAsia="仿宋_GB2312" w:cs="Times New Roman"/>
          <w:color w:val="000000" w:themeColor="text1"/>
          <w:sz w:val="24"/>
          <w14:textFill>
            <w14:solidFill>
              <w14:schemeClr w14:val="tx1"/>
            </w14:solidFill>
          </w14:textFill>
        </w:rPr>
        <w:t>规定，成交供应商</w:t>
      </w:r>
      <w:r>
        <w:rPr>
          <w:rFonts w:hint="eastAsia" w:ascii="仿宋_GB2312" w:hAnsi="Times New Roman" w:eastAsia="仿宋_GB2312" w:cs="Times New Roman"/>
          <w:color w:val="000000" w:themeColor="text1"/>
          <w:sz w:val="24"/>
          <w:lang w:val="en-US" w:eastAsia="zh-CN"/>
          <w14:textFill>
            <w14:solidFill>
              <w14:schemeClr w14:val="tx1"/>
            </w14:solidFill>
          </w14:textFill>
        </w:rPr>
        <w:t>在服务期限限内完成</w:t>
      </w:r>
      <w:r>
        <w:rPr>
          <w:rFonts w:hint="eastAsia" w:ascii="仿宋_GB2312" w:hAnsi="仿宋_GB2312" w:eastAsia="仿宋_GB2312" w:cs="仿宋_GB2312"/>
          <w:kern w:val="0"/>
          <w:sz w:val="24"/>
          <w:szCs w:val="32"/>
          <w:lang w:eastAsia="zh-CN"/>
        </w:rPr>
        <w:t>新疆财经大学2022年图书馆资源数字化建设项目-中国知网系列产品</w:t>
      </w:r>
      <w:r>
        <w:rPr>
          <w:rFonts w:hint="eastAsia" w:ascii="仿宋_GB2312" w:hAnsi="Times New Roman" w:eastAsia="仿宋_GB2312" w:cs="Times New Roman"/>
          <w:color w:val="000000" w:themeColor="text1"/>
          <w:sz w:val="24"/>
          <w:lang w:val="en-US" w:eastAsia="zh-CN"/>
          <w14:textFill>
            <w14:solidFill>
              <w14:schemeClr w14:val="tx1"/>
            </w14:solidFill>
          </w14:textFill>
        </w:rPr>
        <w:t>应承担的所有工作</w:t>
      </w:r>
      <w:r>
        <w:rPr>
          <w:rFonts w:hint="eastAsia" w:ascii="仿宋_GB2312" w:hAnsi="Times New Roman" w:eastAsia="仿宋_GB2312" w:cs="Times New Roman"/>
          <w:color w:val="000000" w:themeColor="text1"/>
          <w:sz w:val="24"/>
          <w:lang w:eastAsia="zh-CN"/>
          <w14:textFill>
            <w14:solidFill>
              <w14:schemeClr w14:val="tx1"/>
            </w14:solidFill>
          </w14:textFill>
        </w:rPr>
        <w:t>以及合同条款、技术规范及标准、项目采购需求、单一来源采购文件约定的全部内容及责任和义务。</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2.7凡提及的“天、日期、星期、月份和年份”系指公历日历的日历天、日期、星期、月份和年份。 </w:t>
      </w:r>
    </w:p>
    <w:p>
      <w:pPr>
        <w:pStyle w:val="14"/>
        <w:spacing w:line="360" w:lineRule="auto"/>
        <w:ind w:firstLine="482" w:firstLineChars="200"/>
        <w:outlineLvl w:val="1"/>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3、</w:t>
      </w:r>
      <w:bookmarkEnd w:id="10"/>
      <w:bookmarkEnd w:id="11"/>
      <w:bookmarkEnd w:id="12"/>
      <w:bookmarkEnd w:id="13"/>
      <w:bookmarkStart w:id="14" w:name="_Toc243906314"/>
      <w:bookmarkStart w:id="15" w:name="_Toc246216183"/>
      <w:bookmarkStart w:id="16" w:name="_Toc233274814"/>
      <w:bookmarkStart w:id="17" w:name="_Toc243907574"/>
      <w:r>
        <w:rPr>
          <w:rFonts w:hint="eastAsia" w:ascii="黑体" w:eastAsia="黑体"/>
          <w:b/>
          <w:color w:val="000000" w:themeColor="text1"/>
          <w:sz w:val="24"/>
          <w14:textFill>
            <w14:solidFill>
              <w14:schemeClr w14:val="tx1"/>
            </w14:solidFill>
          </w14:textFill>
        </w:rPr>
        <w:t>采购范围及服务期限</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3.1采购范围：成交供应商在服务期限限内完成新疆财经大学2022年图书馆资源数字化建设项目-中国知网系列产品应承担的所有工作以及合同条款、技术规范及标准、项目采购需求、单一来源采购文件约定的全部内容及责任和义务。</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3.2服务期限：自签订合同之日起一年。</w:t>
      </w:r>
    </w:p>
    <w:p>
      <w:pPr>
        <w:spacing w:line="360" w:lineRule="auto"/>
        <w:ind w:firstLine="480" w:firstLineChars="200"/>
        <w:rPr>
          <w:rFonts w:hint="eastAsia" w:ascii="仿宋_GB2312" w:hAnsi="宋体" w:eastAsia="仿宋_GB2312" w:cs="宋体"/>
          <w:b/>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bookmarkEnd w:id="14"/>
      <w:bookmarkEnd w:id="15"/>
      <w:bookmarkEnd w:id="16"/>
      <w:bookmarkEnd w:id="17"/>
      <w:r>
        <w:rPr>
          <w:rFonts w:hint="eastAsia" w:ascii="仿宋_GB2312" w:eastAsia="仿宋_GB2312"/>
          <w:color w:val="000000" w:themeColor="text1"/>
          <w:sz w:val="24"/>
          <w14:textFill>
            <w14:solidFill>
              <w14:schemeClr w14:val="tx1"/>
            </w14:solidFill>
          </w14:textFill>
        </w:rPr>
        <w:t>合格供应商资格要求</w:t>
      </w:r>
      <w:r>
        <w:rPr>
          <w:rFonts w:hint="eastAsia" w:ascii="仿宋_GB2312" w:eastAsia="仿宋_GB2312"/>
          <w:color w:val="000000" w:themeColor="text1"/>
          <w:sz w:val="24"/>
          <w:lang w:eastAsia="zh-CN"/>
          <w14:textFill>
            <w14:solidFill>
              <w14:schemeClr w14:val="tx1"/>
            </w14:solidFill>
          </w14:textFill>
        </w:rPr>
        <w:t>及回避</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4.1详见第一章“单一来源采购方式公示表”中的供应商资格要求。</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bookmarkStart w:id="18" w:name="_Toc245897275"/>
      <w:bookmarkStart w:id="19" w:name="_Toc233274815"/>
      <w:bookmarkStart w:id="20" w:name="_Toc243907575"/>
      <w:bookmarkStart w:id="21" w:name="_Toc243906315"/>
      <w:r>
        <w:rPr>
          <w:rFonts w:hint="eastAsia" w:ascii="仿宋_GB2312" w:eastAsia="仿宋_GB2312"/>
          <w:b/>
          <w:bCs/>
          <w:color w:val="000000" w:themeColor="text1"/>
          <w:kern w:val="2"/>
          <w:sz w:val="24"/>
          <w:szCs w:val="24"/>
          <w14:textFill>
            <w14:solidFill>
              <w14:schemeClr w14:val="tx1"/>
            </w14:solidFill>
          </w14:textFill>
        </w:rPr>
        <w:t>4.2回避。政府采购活动中，采购人员及相关人员与供应商有下列利害关系之一的，应当回避：</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（1）参加采购活动前3年内与供应商存在劳动关系；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（2）参加采购活动前3年内担任供应商的董事、监事；</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（3）参加采购活动前3年内是供应商的控股股东或者实际控制人；</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（4）与供应商的法定代表人或者负责人有夫妻、直系血亲、三代以内旁系血亲或者近姻亲关系；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（5）与供应商有其他可能影响政府采购活动公平、公正进行的关系。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仿宋_GB2312" w:eastAsia="仿宋_GB2312"/>
          <w:b/>
          <w:bCs/>
          <w:color w:val="000000" w:themeColor="text1"/>
          <w:kern w:val="2"/>
          <w:sz w:val="24"/>
          <w:szCs w:val="24"/>
          <w:lang w:eastAsia="zh-CN"/>
          <w14:textFill>
            <w14:solidFill>
              <w14:schemeClr w14:val="tx1"/>
            </w14:solidFill>
          </w14:textFill>
        </w:rPr>
        <w:t>协商</w:t>
      </w:r>
      <w:r>
        <w:rPr>
          <w:rFonts w:hint="eastAsia" w:ascii="仿宋_GB2312" w:eastAsia="仿宋_GB2312"/>
          <w:b/>
          <w:bCs/>
          <w:color w:val="000000" w:themeColor="text1"/>
          <w:kern w:val="2"/>
          <w:sz w:val="24"/>
          <w:szCs w:val="24"/>
          <w14:textFill>
            <w14:solidFill>
              <w14:schemeClr w14:val="tx1"/>
            </w14:solidFill>
          </w14:textFill>
        </w:rPr>
        <w:t>小组成员。</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5、实地勘察和费用</w:t>
      </w:r>
      <w:bookmarkEnd w:id="18"/>
      <w:bookmarkEnd w:id="19"/>
      <w:bookmarkEnd w:id="20"/>
      <w:bookmarkEnd w:id="2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5.1实地考察</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人不统一组织供应商的实地考察。供应商须自行对采购项目的现场及采购项目所涉及的国家、自治区、相关部门等与此相关的政策进行充分的调查、研究，参观并勘察现场及其周围环境（包括当地气候条件及自然环境等）以取得所有与准备采购和实施采购有关的必要资料及信息。实地考察所发生的任何费用均由供应商自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5.2参与采购费用</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5.2.1供应商应承担所有与采购准备和采购有关的全部费用，不论采购结果如何，采购人和采购代理机构无义务和责任承担供应商所发生的一切费用。</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5.2.2供应商在采购准备、实地考察和采购的全过程中，如果发生人身伤亡、财物或其它任何损失，不论何种原因所造成，均由供应商自行承担全部责任和损失。</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22" w:name="_Toc233274816"/>
      <w:bookmarkStart w:id="23" w:name="_Toc245897276"/>
      <w:bookmarkStart w:id="24" w:name="_Toc243906316"/>
      <w:bookmarkStart w:id="25" w:name="_Toc243907576"/>
      <w:r>
        <w:rPr>
          <w:rFonts w:hint="eastAsia" w:ascii="仿宋_GB2312" w:eastAsia="仿宋_GB2312"/>
          <w:color w:val="000000" w:themeColor="text1"/>
          <w:sz w:val="24"/>
          <w14:textFill>
            <w14:solidFill>
              <w14:schemeClr w14:val="tx1"/>
            </w14:solidFill>
          </w14:textFill>
        </w:rPr>
        <w:t>6、法律适用</w:t>
      </w:r>
      <w:bookmarkEnd w:id="22"/>
      <w:bookmarkEnd w:id="23"/>
      <w:bookmarkEnd w:id="24"/>
      <w:bookmarkEnd w:id="25"/>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6.1本次采购活动及由本次采购产生的合同受中国法律制约和保护。</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26" w:name="_Toc245897277"/>
      <w:bookmarkStart w:id="27" w:name="_Toc243906317"/>
      <w:bookmarkStart w:id="28" w:name="_Toc243907577"/>
      <w:bookmarkStart w:id="29" w:name="_Toc233274817"/>
      <w:r>
        <w:rPr>
          <w:rFonts w:hint="eastAsia" w:ascii="仿宋_GB2312" w:eastAsia="仿宋_GB2312"/>
          <w:color w:val="000000" w:themeColor="text1"/>
          <w:sz w:val="24"/>
          <w14:textFill>
            <w14:solidFill>
              <w14:schemeClr w14:val="tx1"/>
            </w14:solidFill>
          </w14:textFill>
        </w:rPr>
        <w:t>7、单一来源采购文件的约束力</w:t>
      </w:r>
      <w:bookmarkEnd w:id="26"/>
      <w:bookmarkEnd w:id="27"/>
      <w:bookmarkEnd w:id="28"/>
      <w:bookmarkEnd w:id="29"/>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7.1供应商若成交，即被认为接受了本单一来源采购文件中的所有条件和规定。是采购人与成交供应商签订合同的依据且是合同的组成部分。</w:t>
      </w:r>
    </w:p>
    <w:bookmarkEnd w:id="1"/>
    <w:p>
      <w:pPr>
        <w:pStyle w:val="14"/>
        <w:spacing w:line="360" w:lineRule="auto"/>
        <w:jc w:val="center"/>
        <w:outlineLvl w:val="1"/>
        <w:rPr>
          <w:rFonts w:hint="eastAsia" w:ascii="仿宋_GB2312" w:eastAsia="仿宋_GB2312"/>
          <w:b/>
          <w:bCs/>
          <w:color w:val="000000" w:themeColor="text1"/>
          <w:sz w:val="28"/>
          <w:szCs w:val="28"/>
          <w14:textFill>
            <w14:solidFill>
              <w14:schemeClr w14:val="tx1"/>
            </w14:solidFill>
          </w14:textFill>
        </w:rPr>
      </w:pPr>
    </w:p>
    <w:p>
      <w:pPr>
        <w:pStyle w:val="14"/>
        <w:spacing w:line="360" w:lineRule="auto"/>
        <w:jc w:val="center"/>
        <w:outlineLvl w:val="1"/>
        <w:rPr>
          <w:rFonts w:ascii="仿宋_GB2312" w:eastAsia="仿宋_GB2312"/>
          <w:b/>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B     单一来源采购文件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0" w:name="_Toc243907579"/>
      <w:bookmarkStart w:id="31" w:name="_Toc233274819"/>
      <w:bookmarkStart w:id="32" w:name="_Toc243906319"/>
      <w:bookmarkStart w:id="33" w:name="_Toc246216188"/>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8、单一来源采购文件的组成</w:t>
      </w:r>
      <w:bookmarkEnd w:id="30"/>
      <w:bookmarkEnd w:id="31"/>
      <w:bookmarkEnd w:id="32"/>
      <w:bookmarkEnd w:id="33"/>
    </w:p>
    <w:p>
      <w:pPr>
        <w:spacing w:line="360" w:lineRule="auto"/>
        <w:ind w:firstLine="481"/>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8.1 本单一来源采购文件是对</w:t>
      </w:r>
      <w:r>
        <w:rPr>
          <w:rFonts w:hint="eastAsia" w:ascii="仿宋_GB2312" w:eastAsia="仿宋_GB2312"/>
          <w:color w:val="000000" w:themeColor="text1"/>
          <w:sz w:val="24"/>
          <w:lang w:eastAsia="zh-CN"/>
          <w14:textFill>
            <w14:solidFill>
              <w14:schemeClr w14:val="tx1"/>
            </w14:solidFill>
          </w14:textFill>
        </w:rPr>
        <w:t>新疆财经大学2022年图书馆资源数字化建设项目-中国知网系列产品</w:t>
      </w:r>
      <w:r>
        <w:rPr>
          <w:rFonts w:hint="eastAsia" w:ascii="仿宋_GB2312" w:eastAsia="仿宋_GB2312"/>
          <w:color w:val="000000" w:themeColor="text1"/>
          <w:sz w:val="24"/>
          <w14:textFill>
            <w14:solidFill>
              <w14:schemeClr w14:val="tx1"/>
            </w14:solidFill>
          </w14:textFill>
        </w:rPr>
        <w:t>采购程序、合同条款进行说明。单一来源采购文件包括下列内容：</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第一章  单一来源采购公示表</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第二章  供应商须知</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第三章  项目采购需求</w:t>
      </w:r>
    </w:p>
    <w:p>
      <w:pPr>
        <w:pStyle w:val="14"/>
        <w:spacing w:line="360" w:lineRule="auto"/>
        <w:ind w:firstLine="440"/>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第四章  合同</w:t>
      </w:r>
      <w:r>
        <w:rPr>
          <w:rFonts w:hint="eastAsia" w:ascii="仿宋_GB2312" w:eastAsia="仿宋_GB2312"/>
          <w:color w:val="000000" w:themeColor="text1"/>
          <w:sz w:val="24"/>
          <w:lang w:eastAsia="zh-CN"/>
          <w14:textFill>
            <w14:solidFill>
              <w14:schemeClr w14:val="tx1"/>
            </w14:solidFill>
          </w14:textFill>
        </w:rPr>
        <w:t>书</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第五章  响应文件格式</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第六章  初步评审</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8.2 单一来源采购文件以中文编印，以中文文本为准。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8.3 除非有特殊要求，单一来源采购文件不单独提供采购项目使用地的自然环境、气候条件、劳动力及公用设施等情况，供应商被视为熟悉上述条件或若成交履行合同有关的一切情况。</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8.4采购人向供应商提供的有关数据和资料，是采购人现有的能被供应商利用的资料，供应商对此做出的推论、理解和结论自行负责。</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4" w:name="_Toc243907580"/>
      <w:bookmarkStart w:id="35" w:name="_Toc245897280"/>
      <w:bookmarkStart w:id="36" w:name="_Toc243906320"/>
      <w:bookmarkStart w:id="37" w:name="_Toc233274820"/>
      <w:r>
        <w:rPr>
          <w:rFonts w:hint="eastAsia" w:ascii="仿宋_GB2312" w:eastAsia="仿宋_GB2312"/>
          <w:color w:val="000000" w:themeColor="text1"/>
          <w:sz w:val="24"/>
          <w14:textFill>
            <w14:solidFill>
              <w14:schemeClr w14:val="tx1"/>
            </w14:solidFill>
          </w14:textFill>
        </w:rPr>
        <w:t>9、单一来源采购文件的澄清</w:t>
      </w:r>
      <w:bookmarkEnd w:id="34"/>
      <w:bookmarkEnd w:id="35"/>
      <w:bookmarkEnd w:id="36"/>
      <w:bookmarkEnd w:id="37"/>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9.1 供应商对单一来源采购文件如有疑问，可要求澄清，应按单一来源采购文件“供应商须知前附表</w:t>
      </w:r>
      <w:r>
        <w:rPr>
          <w:rFonts w:hint="eastAsia" w:ascii="仿宋_GB2312" w:hAnsi="新宋体" w:eastAsia="仿宋_GB2312" w:cs="Times New Roman"/>
          <w:b/>
          <w:color w:val="000000" w:themeColor="text1"/>
          <w:sz w:val="24"/>
          <w:szCs w:val="24"/>
          <w14:textFill>
            <w14:solidFill>
              <w14:schemeClr w14:val="tx1"/>
            </w14:solidFill>
          </w14:textFill>
        </w:rPr>
        <w:t>第6条</w:t>
      </w:r>
      <w:r>
        <w:rPr>
          <w:rFonts w:hint="eastAsia" w:ascii="仿宋_GB2312" w:eastAsia="仿宋_GB2312"/>
          <w:color w:val="000000" w:themeColor="text1"/>
          <w:sz w:val="24"/>
          <w14:textFill>
            <w14:solidFill>
              <w14:schemeClr w14:val="tx1"/>
            </w14:solidFill>
          </w14:textFill>
        </w:rPr>
        <w:t>”以</w:t>
      </w:r>
      <w:r>
        <w:rPr>
          <w:rFonts w:hint="eastAsia" w:ascii="仿宋_GB2312" w:eastAsia="仿宋_GB2312"/>
          <w:color w:val="000000" w:themeColor="text1"/>
          <w:sz w:val="24"/>
          <w:lang w:eastAsia="zh-CN"/>
          <w14:textFill>
            <w14:solidFill>
              <w14:schemeClr w14:val="tx1"/>
            </w14:solidFill>
          </w14:textFill>
        </w:rPr>
        <w:t>扫描件</w:t>
      </w:r>
      <w:r>
        <w:rPr>
          <w:rFonts w:hint="eastAsia" w:ascii="仿宋_GB2312" w:eastAsia="仿宋_GB2312"/>
          <w:color w:val="000000" w:themeColor="text1"/>
          <w:sz w:val="24"/>
          <w14:textFill>
            <w14:solidFill>
              <w14:schemeClr w14:val="tx1"/>
            </w14:solidFill>
          </w14:textFill>
        </w:rPr>
        <w:t>形式（必须加盖供应商公章）</w:t>
      </w:r>
      <w:r>
        <w:rPr>
          <w:rFonts w:hint="eastAsia" w:ascii="黑体" w:eastAsia="黑体"/>
          <w:b/>
          <w:color w:val="000000" w:themeColor="text1"/>
          <w:sz w:val="24"/>
          <w14:textFill>
            <w14:solidFill>
              <w14:schemeClr w14:val="tx1"/>
            </w14:solidFill>
          </w14:textFill>
        </w:rPr>
        <w:t>发至</w:t>
      </w:r>
      <w:r>
        <w:rPr>
          <w:rFonts w:hint="eastAsia" w:ascii="黑体" w:eastAsia="黑体"/>
          <w:b/>
          <w:color w:val="000000" w:themeColor="text1"/>
          <w:sz w:val="24"/>
          <w:lang w:eastAsia="zh-CN"/>
          <w14:textFill>
            <w14:solidFill>
              <w14:schemeClr w14:val="tx1"/>
            </w14:solidFill>
          </w14:textFill>
        </w:rPr>
        <w:t>邮箱</w:t>
      </w:r>
      <w:r>
        <w:rPr>
          <w:rFonts w:hint="eastAsia" w:ascii="仿宋_GB2312" w:eastAsia="仿宋_GB2312"/>
          <w:b/>
          <w:color w:val="000000" w:themeColor="text1"/>
          <w:sz w:val="24"/>
          <w:lang w:eastAsia="zh-CN"/>
          <w14:textFill>
            <w14:solidFill>
              <w14:schemeClr w14:val="tx1"/>
            </w14:solidFill>
          </w14:textFill>
        </w:rPr>
        <w:t>279645499@qq.com</w:t>
      </w:r>
      <w:r>
        <w:rPr>
          <w:rFonts w:hint="eastAsia" w:ascii="仿宋_GB2312" w:eastAsia="仿宋_GB2312"/>
          <w:color w:val="000000" w:themeColor="text1"/>
          <w:sz w:val="24"/>
          <w14:textFill>
            <w14:solidFill>
              <w14:schemeClr w14:val="tx1"/>
            </w14:solidFill>
          </w14:textFill>
        </w:rPr>
        <w:t>。采购人和采购代理机构将视情况以书面形式予以答复，并发至领取单一来源采购文件的供应商。答复中包括所提问题，但不包括问题的来源。</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9.2 如果上述答复涉及对单一来源采购文件的修改或补充，则它将被视为单一来源采购文件的组成部分。凡原先所发单一来源采购文件中的内容与答复中的内容不一致之处，以最后书面答复为准。任何电话或口头咨询和答复的意思解释均不具有法律约束力。</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8" w:name="_Toc245897281"/>
      <w:bookmarkStart w:id="39" w:name="_Toc233274821"/>
      <w:bookmarkStart w:id="40" w:name="_Toc243906321"/>
      <w:bookmarkStart w:id="41" w:name="_Toc243907581"/>
      <w:r>
        <w:rPr>
          <w:rFonts w:hint="eastAsia" w:ascii="仿宋_GB2312" w:eastAsia="仿宋_GB2312"/>
          <w:color w:val="000000" w:themeColor="text1"/>
          <w:sz w:val="24"/>
          <w14:textFill>
            <w14:solidFill>
              <w14:schemeClr w14:val="tx1"/>
            </w14:solidFill>
          </w14:textFill>
        </w:rPr>
        <w:t>10、单一来源采购文件的修改和补充</w:t>
      </w:r>
      <w:bookmarkEnd w:id="38"/>
      <w:bookmarkEnd w:id="39"/>
      <w:bookmarkEnd w:id="40"/>
      <w:bookmarkEnd w:id="4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10.1在前附表规定的递交响应文件截止日期前的任何时候，采购人可主动地或依据供应商要求澄清的疑问而修改、补充单一来源采购文件，采购代理机构将对修改和补充的内容以书面形式发至获取单一来源采购文件的供应商，修改和补充文件将作为单一来源采购文件的组成部分，对供应商具有约束力。</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10.2为使供应商在准备响应文件时有合理的时间考虑单一来源采购文件的修改和/或补充，采购代理机构可延长递交响应文件截止时间和开启时间，</w:t>
      </w:r>
      <w:r>
        <w:rPr>
          <w:rFonts w:hint="eastAsia" w:ascii="仿宋_GB2312" w:hAnsi="宋体" w:eastAsia="仿宋_GB2312" w:cs="宋体"/>
          <w:color w:val="000000" w:themeColor="text1"/>
          <w:sz w:val="24"/>
          <w14:textFill>
            <w14:solidFill>
              <w14:schemeClr w14:val="tx1"/>
            </w14:solidFill>
          </w14:textFill>
        </w:rPr>
        <w:t>但至少应当在规定的递交响应文件的截止时间前，</w:t>
      </w:r>
      <w:r>
        <w:rPr>
          <w:rFonts w:hint="eastAsia" w:ascii="仿宋_GB2312" w:eastAsia="仿宋_GB2312"/>
          <w:color w:val="000000" w:themeColor="text1"/>
          <w:sz w:val="24"/>
          <w14:textFill>
            <w14:solidFill>
              <w14:schemeClr w14:val="tx1"/>
            </w14:solidFill>
          </w14:textFill>
        </w:rPr>
        <w:t>以书面形式通知获取单一来源采购文件的供应商。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10.3供应商在每次收到采购代理机构发至的书面文件后，应在收到后24小时内以书面形式并加盖供应商公章予以确认。</w:t>
      </w:r>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bookmarkStart w:id="42" w:name="_Toc243906322"/>
      <w:bookmarkStart w:id="43" w:name="_Toc246216191"/>
      <w:bookmarkStart w:id="44" w:name="_Toc233274822"/>
      <w:bookmarkStart w:id="45" w:name="_Toc243907582"/>
      <w:bookmarkStart w:id="46" w:name="_Toc154996580"/>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C   响应文件的编写</w:t>
      </w:r>
      <w:bookmarkEnd w:id="42"/>
      <w:bookmarkEnd w:id="43"/>
      <w:bookmarkEnd w:id="44"/>
      <w:bookmarkEnd w:id="45"/>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47" w:name="_Toc233274823"/>
      <w:bookmarkStart w:id="48" w:name="_Toc243907583"/>
      <w:bookmarkStart w:id="49" w:name="_Toc245897283"/>
      <w:bookmarkStart w:id="50" w:name="_Toc243906323"/>
      <w:r>
        <w:rPr>
          <w:rFonts w:hint="eastAsia" w:ascii="仿宋_GB2312" w:eastAsia="仿宋_GB2312"/>
          <w:color w:val="000000" w:themeColor="text1"/>
          <w:sz w:val="24"/>
          <w14:textFill>
            <w14:solidFill>
              <w14:schemeClr w14:val="tx1"/>
            </w14:solidFill>
          </w14:textFill>
        </w:rPr>
        <w:t>11</w:t>
      </w:r>
      <w:bookmarkEnd w:id="47"/>
      <w:r>
        <w:rPr>
          <w:rFonts w:hint="eastAsia" w:ascii="仿宋_GB2312" w:eastAsia="仿宋_GB2312"/>
          <w:color w:val="000000" w:themeColor="text1"/>
          <w:sz w:val="24"/>
          <w14:textFill>
            <w14:solidFill>
              <w14:schemeClr w14:val="tx1"/>
            </w14:solidFill>
          </w14:textFill>
        </w:rPr>
        <w:t>、响应文件的编写</w:t>
      </w:r>
      <w:bookmarkEnd w:id="48"/>
      <w:bookmarkEnd w:id="49"/>
      <w:bookmarkEnd w:id="50"/>
    </w:p>
    <w:p>
      <w:pPr>
        <w:spacing w:line="360" w:lineRule="auto"/>
        <w:ind w:firstLine="481"/>
        <w:rPr>
          <w:rFonts w:ascii="仿宋_GB2312" w:hAnsi="仿宋_GB2312" w:eastAsia="仿宋_GB2312" w:cs="仿宋_GB2312"/>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11.1供应商必须详细阅读单一来源采购文件的章、节、条款、格式等所有内容，按单一来源采购文件的要求提交响应文件，并保证所提供的全部文件及相关资料的真实性，以使其对单一来源采购文件做出实质性响应。供应商应仔细阅读并充分理解单一来源采购文件、技术规范及标准、项目采购需求、合同条款后</w:t>
      </w:r>
      <w:r>
        <w:rPr>
          <w:rFonts w:hint="eastAsia" w:ascii="仿宋_GB2312" w:hAnsi="仿宋_GB2312" w:eastAsia="仿宋_GB2312" w:cs="仿宋_GB2312"/>
          <w:b/>
          <w:color w:val="000000" w:themeColor="text1"/>
          <w:sz w:val="24"/>
          <w14:textFill>
            <w14:solidFill>
              <w14:schemeClr w14:val="tx1"/>
            </w14:solidFill>
          </w14:textFill>
        </w:rPr>
        <w:t>安装响应文件</w:t>
      </w:r>
      <w:r>
        <w:rPr>
          <w:rFonts w:hint="eastAsia" w:ascii="仿宋_GB2312" w:hAnsi="仿宋_GB2312" w:eastAsia="仿宋_GB2312" w:cs="仿宋_GB2312"/>
          <w:color w:val="000000" w:themeColor="text1"/>
          <w:sz w:val="24"/>
          <w14:textFill>
            <w14:solidFill>
              <w14:schemeClr w14:val="tx1"/>
            </w14:solidFill>
          </w14:textFill>
        </w:rPr>
        <w:t>。</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51" w:name="_Toc243906324"/>
      <w:bookmarkStart w:id="52" w:name="_Toc233274824"/>
      <w:bookmarkStart w:id="53" w:name="_Toc245897284"/>
      <w:bookmarkStart w:id="54" w:name="_Toc243907584"/>
      <w:r>
        <w:rPr>
          <w:rFonts w:hint="eastAsia" w:ascii="仿宋_GB2312" w:eastAsia="仿宋_GB2312"/>
          <w:color w:val="000000" w:themeColor="text1"/>
          <w:sz w:val="24"/>
          <w14:textFill>
            <w14:solidFill>
              <w14:schemeClr w14:val="tx1"/>
            </w14:solidFill>
          </w14:textFill>
        </w:rPr>
        <w:t>12、响应文件的语言及计量单位</w:t>
      </w:r>
      <w:bookmarkEnd w:id="51"/>
      <w:bookmarkEnd w:id="52"/>
      <w:bookmarkEnd w:id="53"/>
      <w:bookmarkEnd w:id="54"/>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12.1 响应文件及供应商和采购人及采购代理机构就有关采购的所有文件和来往函件，应以中文书写。供应商可以提交用其他语言（原文）打印的资料，但必须翻译成中文，当原文和译文（中文）之间存有差异和/或矛盾时，以中文为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12.2 除在单一来源采购文件的项目采购需求中另有规定外，计量单位应使用中华人民共和国法定计量单位（国际单位制和国家选定的其它计量单位）。如供应商采用其它计量单位，需事先得到采购人的同意。</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13、知识产权</w:t>
      </w:r>
    </w:p>
    <w:p>
      <w:pPr>
        <w:pStyle w:val="14"/>
        <w:spacing w:line="360" w:lineRule="auto"/>
        <w:ind w:firstLine="480" w:firstLineChars="200"/>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13.1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13.2 采购人享有本项目实施过程中产生的知识成果及知识产权。</w:t>
      </w:r>
    </w:p>
    <w:p>
      <w:pPr>
        <w:spacing w:line="360"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13.3供应商如欲在项目实施过程中采用自有知识成果，需在响应文件中声明，并提供相关知识产权证明文件。使用该知识成果后，供应商需承诺提供无限期技术支持，采购人享有永久使用权。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 xml:space="preserve">13.4 供应商如采用其所不拥有的知识产权，则在其商务报价中必须包括合法获取该知识产权的相关费用。 </w:t>
      </w:r>
    </w:p>
    <w:p>
      <w:pPr>
        <w:pStyle w:val="14"/>
        <w:spacing w:line="360" w:lineRule="auto"/>
        <w:ind w:firstLine="480" w:firstLineChars="200"/>
        <w:outlineLvl w:val="1"/>
        <w:rPr>
          <w:rFonts w:ascii="仿宋_GB2312" w:eastAsia="仿宋_GB2312"/>
          <w:b/>
          <w:color w:val="000000" w:themeColor="text1"/>
          <w:sz w:val="24"/>
          <w14:textFill>
            <w14:solidFill>
              <w14:schemeClr w14:val="tx1"/>
            </w14:solidFill>
          </w14:textFill>
        </w:rPr>
      </w:pPr>
      <w:bookmarkStart w:id="55" w:name="_Toc243906325"/>
      <w:bookmarkStart w:id="56" w:name="_Toc245897285"/>
      <w:bookmarkStart w:id="57" w:name="_Toc233274825"/>
      <w:bookmarkStart w:id="58" w:name="_Toc243907585"/>
      <w:r>
        <w:rPr>
          <w:rFonts w:hint="eastAsia" w:ascii="仿宋_GB2312" w:eastAsia="仿宋_GB2312"/>
          <w:color w:val="000000" w:themeColor="text1"/>
          <w:sz w:val="24"/>
          <w14:textFill>
            <w14:solidFill>
              <w14:schemeClr w14:val="tx1"/>
            </w14:solidFill>
          </w14:textFill>
        </w:rPr>
        <w:t>14、响应文件的组成</w:t>
      </w:r>
      <w:bookmarkEnd w:id="55"/>
      <w:bookmarkEnd w:id="56"/>
      <w:bookmarkEnd w:id="57"/>
      <w:bookmarkEnd w:id="58"/>
    </w:p>
    <w:p>
      <w:pPr>
        <w:pStyle w:val="14"/>
        <w:spacing w:line="360" w:lineRule="auto"/>
        <w:ind w:firstLine="482" w:firstLineChars="200"/>
        <w:outlineLvl w:val="1"/>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供应商应对照“第三章 项目采购需求”提供相关的证明文件及资料，响应文件需安装目录及页码。响应文件包括但不限于以下内容：</w:t>
      </w:r>
    </w:p>
    <w:p>
      <w:pPr>
        <w:spacing w:line="360" w:lineRule="auto"/>
        <w:ind w:firstLine="481"/>
        <w:rPr>
          <w:rFonts w:ascii="仿宋_GB2312" w:eastAsia="仿宋_GB2312"/>
          <w:color w:val="000000" w:themeColor="text1"/>
          <w:sz w:val="24"/>
          <w14:textFill>
            <w14:solidFill>
              <w14:schemeClr w14:val="tx1"/>
            </w14:solidFill>
          </w14:textFill>
        </w:rPr>
      </w:pPr>
      <w:bookmarkStart w:id="59" w:name="_Toc245897286"/>
      <w:bookmarkStart w:id="60" w:name="_Toc243907587"/>
      <w:bookmarkStart w:id="61" w:name="_Toc233274827"/>
      <w:bookmarkStart w:id="62" w:name="_Toc243906326"/>
      <w:bookmarkStart w:id="63" w:name="_Toc246216196"/>
      <w:r>
        <w:rPr>
          <w:rFonts w:hint="eastAsia" w:ascii="仿宋_GB2312" w:eastAsia="仿宋_GB2312"/>
          <w:color w:val="000000" w:themeColor="text1"/>
          <w:sz w:val="24"/>
          <w14:textFill>
            <w14:solidFill>
              <w14:schemeClr w14:val="tx1"/>
            </w14:solidFill>
          </w14:textFill>
        </w:rPr>
        <w:t>（1）响应函（详见格式1）；</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（2）法定代表人资格证明书（详见格式2）；</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（3）供应商法定代表人授权书（详见格式3）；</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（4）供应商资格声明（详见格式4）；</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（5）有效期的营业执照（复印件）；</w:t>
      </w:r>
    </w:p>
    <w:p>
      <w:pPr>
        <w:spacing w:line="360" w:lineRule="auto"/>
        <w:ind w:firstLine="481"/>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（6）商务报价一览表（详见格式5）；</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7</w:t>
      </w:r>
      <w:r>
        <w:rPr>
          <w:rFonts w:hint="eastAsia" w:ascii="仿宋_GB2312" w:eastAsia="仿宋_GB2312"/>
          <w:color w:val="000000" w:themeColor="text1"/>
          <w:sz w:val="24"/>
          <w14:textFill>
            <w14:solidFill>
              <w14:schemeClr w14:val="tx1"/>
            </w14:solidFill>
          </w14:textFill>
        </w:rPr>
        <w:t>）供应商近三年（</w:t>
      </w:r>
      <w:r>
        <w:rPr>
          <w:rFonts w:hint="eastAsia" w:ascii="仿宋_GB2312" w:eastAsia="仿宋_GB2312"/>
          <w:color w:val="000000" w:themeColor="text1"/>
          <w:sz w:val="24"/>
          <w:lang w:eastAsia="zh-CN"/>
          <w14:textFill>
            <w14:solidFill>
              <w14:schemeClr w14:val="tx1"/>
            </w14:solidFill>
          </w14:textFill>
        </w:rPr>
        <w:t>2019年1月1日</w:t>
      </w:r>
      <w:r>
        <w:rPr>
          <w:rFonts w:hint="eastAsia" w:ascii="仿宋_GB2312" w:eastAsia="仿宋_GB2312"/>
          <w:color w:val="000000" w:themeColor="text1"/>
          <w:sz w:val="24"/>
          <w:lang w:val="en-US" w:eastAsia="zh-CN"/>
          <w14:textFill>
            <w14:solidFill>
              <w14:schemeClr w14:val="tx1"/>
            </w14:solidFill>
          </w14:textFill>
        </w:rPr>
        <w:t>至今</w:t>
      </w:r>
      <w:r>
        <w:rPr>
          <w:rFonts w:hint="eastAsia" w:ascii="仿宋_GB2312" w:eastAsia="仿宋_GB2312"/>
          <w:color w:val="000000" w:themeColor="text1"/>
          <w:sz w:val="24"/>
          <w14:textFill>
            <w14:solidFill>
              <w14:schemeClr w14:val="tx1"/>
            </w14:solidFill>
          </w14:textFill>
        </w:rPr>
        <w:t>至今）类似项目业绩表（详见格式</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本项目管理、服务及其他人员情况表</w:t>
      </w:r>
      <w:r>
        <w:rPr>
          <w:rFonts w:hint="eastAsia" w:ascii="仿宋" w:hAnsi="仿宋" w:eastAsia="仿宋" w:cs="仿宋"/>
          <w:b w:val="0"/>
          <w:bCs w:val="0"/>
          <w:color w:val="000000"/>
          <w:sz w:val="24"/>
          <w:szCs w:val="24"/>
          <w:highlight w:val="none"/>
        </w:rPr>
        <w:t>（详见格式</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）资格性/符合性自查表（详见文件格式</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rPr>
        <w:t>）项目管理机构运作方法及管理制度：编制项目管理机构、工作职能组织运行图，阐述项目负责人的管理职责、内部管理的职责分工、日常管理制度和考核办法目录；</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11</w:t>
      </w:r>
      <w:r>
        <w:rPr>
          <w:rFonts w:hint="eastAsia" w:ascii="仿宋" w:hAnsi="仿宋" w:eastAsia="仿宋" w:cs="仿宋"/>
          <w:b w:val="0"/>
          <w:bCs w:val="0"/>
          <w:color w:val="000000"/>
          <w:sz w:val="24"/>
          <w:szCs w:val="24"/>
          <w:highlight w:val="none"/>
          <w:lang w:eastAsia="zh-CN"/>
        </w:rPr>
        <w:t>）保障措施及应急预案；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12</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运维</w:t>
      </w:r>
      <w:r>
        <w:rPr>
          <w:rFonts w:hint="eastAsia" w:ascii="仿宋" w:hAnsi="仿宋" w:eastAsia="仿宋" w:cs="仿宋"/>
          <w:b w:val="0"/>
          <w:bCs w:val="0"/>
          <w:color w:val="000000"/>
          <w:sz w:val="24"/>
          <w:szCs w:val="24"/>
          <w:highlight w:val="none"/>
        </w:rPr>
        <w:t>方案；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13</w:t>
      </w:r>
      <w:r>
        <w:rPr>
          <w:rFonts w:hint="eastAsia" w:ascii="仿宋" w:hAnsi="仿宋" w:eastAsia="仿宋" w:cs="仿宋"/>
          <w:b w:val="0"/>
          <w:bCs w:val="0"/>
          <w:color w:val="000000"/>
          <w:sz w:val="24"/>
          <w:szCs w:val="24"/>
          <w:highlight w:val="none"/>
        </w:rPr>
        <w:t>）服务及实质性的承诺；</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14</w:t>
      </w:r>
      <w:r>
        <w:rPr>
          <w:rFonts w:hint="eastAsia" w:ascii="仿宋" w:hAnsi="仿宋" w:eastAsia="仿宋" w:cs="仿宋"/>
          <w:b w:val="0"/>
          <w:bCs w:val="0"/>
          <w:color w:val="000000"/>
          <w:sz w:val="24"/>
          <w:szCs w:val="24"/>
          <w:highlight w:val="none"/>
        </w:rPr>
        <w:t>）服务总体方案及质量保证措施（提供具体可行、详细的服务方案、服务质量目标以及保证措施）；</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5</w:t>
      </w:r>
      <w:r>
        <w:rPr>
          <w:rFonts w:hint="eastAsia" w:ascii="仿宋_GB2312" w:eastAsia="仿宋_GB2312"/>
          <w:color w:val="000000" w:themeColor="text1"/>
          <w:sz w:val="24"/>
          <w14:textFill>
            <w14:solidFill>
              <w14:schemeClr w14:val="tx1"/>
            </w14:solidFill>
          </w14:textFill>
        </w:rPr>
        <w:t>）供应商近三年（</w:t>
      </w:r>
      <w:r>
        <w:rPr>
          <w:rFonts w:hint="eastAsia" w:ascii="仿宋_GB2312" w:eastAsia="仿宋_GB2312"/>
          <w:color w:val="000000" w:themeColor="text1"/>
          <w:sz w:val="24"/>
          <w:lang w:eastAsia="zh-CN"/>
          <w14:textFill>
            <w14:solidFill>
              <w14:schemeClr w14:val="tx1"/>
            </w14:solidFill>
          </w14:textFill>
        </w:rPr>
        <w:t>2019</w:t>
      </w:r>
      <w:r>
        <w:rPr>
          <w:rFonts w:hint="eastAsia" w:ascii="仿宋_GB2312" w:eastAsia="仿宋_GB2312"/>
          <w:color w:val="000000" w:themeColor="text1"/>
          <w:sz w:val="24"/>
          <w14:textFill>
            <w14:solidFill>
              <w14:schemeClr w14:val="tx1"/>
            </w14:solidFill>
          </w14:textFill>
        </w:rPr>
        <w:t>年至今）的获奖、荣誉证书等能够体现企业信誉及其它与本项目有关的能证明企业实力的各项证明资料；</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）全力配合采购人完成与本服务有关的所有工作的承诺，并全程跟踪服务的承诺；</w:t>
      </w:r>
    </w:p>
    <w:p>
      <w:pPr>
        <w:spacing w:line="360" w:lineRule="auto"/>
        <w:ind w:firstLine="481"/>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17</w:t>
      </w:r>
      <w:r>
        <w:rPr>
          <w:rFonts w:hint="eastAsia" w:ascii="仿宋_GB2312" w:eastAsia="仿宋_GB2312"/>
          <w:color w:val="000000" w:themeColor="text1"/>
          <w:sz w:val="24"/>
          <w14:textFill>
            <w14:solidFill>
              <w14:schemeClr w14:val="tx1"/>
            </w14:solidFill>
          </w14:textFill>
        </w:rPr>
        <w:t>）其它与本项目有关的能证明企业实力的各项证明资料</w:t>
      </w:r>
      <w:r>
        <w:rPr>
          <w:rFonts w:hint="eastAsia" w:ascii="仿宋_GB2312" w:eastAsia="仿宋_GB2312"/>
          <w:color w:val="000000" w:themeColor="text1"/>
          <w:sz w:val="24"/>
          <w:lang w:eastAsia="zh-CN"/>
          <w14:textFill>
            <w14:solidFill>
              <w14:schemeClr w14:val="tx1"/>
            </w14:solidFill>
          </w14:textFill>
        </w:rPr>
        <w:t>；</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28</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单一来源采购文件要求提供的其它材料以及供应商认为需要提交的材料</w:t>
      </w:r>
      <w:r>
        <w:rPr>
          <w:rFonts w:hint="eastAsia" w:ascii="仿宋_GB2312" w:hAnsi="华文中宋" w:eastAsia="仿宋_GB2312"/>
          <w:color w:val="000000" w:themeColor="text1"/>
          <w:sz w:val="24"/>
          <w14:textFill>
            <w14:solidFill>
              <w14:schemeClr w14:val="tx1"/>
            </w14:solidFill>
          </w14:textFill>
        </w:rPr>
        <w:t>。</w:t>
      </w:r>
    </w:p>
    <w:p>
      <w:pPr>
        <w:pStyle w:val="14"/>
        <w:spacing w:line="360" w:lineRule="auto"/>
        <w:ind w:firstLine="482" w:firstLineChars="200"/>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特别说明：①上述各种证件、证书复印件须加盖供应商公章。</w:t>
      </w:r>
    </w:p>
    <w:p>
      <w:pPr>
        <w:pStyle w:val="14"/>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②供应商应如实提供资料，并保证真实可靠，不得弄虚作假。如供应商隐瞒事实真相、弄虚作假，一经查实，取消该供应商的采购资格，若成交的，取消其成交资格。</w:t>
      </w:r>
    </w:p>
    <w:p>
      <w:pPr>
        <w:pStyle w:val="14"/>
        <w:spacing w:line="360" w:lineRule="auto"/>
        <w:ind w:firstLine="48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15、响应文件格式</w:t>
      </w:r>
      <w:bookmarkEnd w:id="59"/>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15.1供应商应按单一来源采购文件提供的格式及商务报价说明完整地填写所提供的合同服务以及数量、单价和合价等内容。</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16、商务报价</w:t>
      </w:r>
      <w:bookmarkEnd w:id="60"/>
      <w:bookmarkEnd w:id="61"/>
      <w:bookmarkEnd w:id="62"/>
      <w:bookmarkEnd w:id="63"/>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16.1</w:t>
      </w:r>
      <w:r>
        <w:rPr>
          <w:rFonts w:hint="eastAsia" w:ascii="仿宋_GB2312" w:hAnsi="宋体" w:eastAsia="仿宋_GB2312"/>
          <w:color w:val="000000" w:themeColor="text1"/>
          <w:sz w:val="24"/>
          <w14:textFill>
            <w14:solidFill>
              <w14:schemeClr w14:val="tx1"/>
            </w14:solidFill>
          </w14:textFill>
        </w:rPr>
        <w:t>供应商的商务报价应是为采购人提供全部合同服务，并保证项目验收合格并正常运行和使用以及质量保修期内的</w:t>
      </w:r>
      <w:r>
        <w:rPr>
          <w:rFonts w:hint="eastAsia" w:ascii="仿宋_GB2312" w:eastAsia="仿宋_GB2312"/>
          <w:color w:val="000000" w:themeColor="text1"/>
          <w:sz w:val="24"/>
          <w14:textFill>
            <w14:solidFill>
              <w14:schemeClr w14:val="tx1"/>
            </w14:solidFill>
          </w14:textFill>
        </w:rPr>
        <w:t>设备采购、售后服务等以及合同条款、技术规范及标准、项目采购需求、本单一来源采购文件约定的所有费用的总和。</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商务报价中不得包含合同条款、技术规范及标准、技术规格及要求、本单一来源采购文件要求以外的其他内容。</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16.2商务报价总价应包括的内容和计价因素</w:t>
      </w:r>
    </w:p>
    <w:p>
      <w:pPr>
        <w:keepNext w:val="0"/>
        <w:keepLines w:val="0"/>
        <w:pageBreakBefore w:val="0"/>
        <w:widowControl w:val="0"/>
        <w:kinsoku/>
        <w:wordWrap/>
        <w:overflowPunct/>
        <w:topLinePunct w:val="0"/>
        <w:autoSpaceDE/>
        <w:autoSpaceDN/>
        <w:bidi w:val="0"/>
        <w:spacing w:line="360" w:lineRule="auto"/>
        <w:ind w:firstLine="482" w:firstLineChars="200"/>
        <w:rPr>
          <w:rFonts w:ascii="仿宋_GB2312" w:hAnsi="新宋体" w:eastAsia="仿宋_GB2312"/>
          <w:b/>
          <w:color w:val="000000" w:themeColor="text1"/>
          <w:sz w:val="24"/>
          <w14:textFill>
            <w14:solidFill>
              <w14:schemeClr w14:val="tx1"/>
            </w14:solidFill>
          </w14:textFill>
        </w:rPr>
      </w:pPr>
      <w:r>
        <w:rPr>
          <w:rFonts w:hint="eastAsia" w:ascii="仿宋_GB2312" w:hAnsi="新宋体" w:eastAsia="仿宋_GB2312"/>
          <w:b/>
          <w:color w:val="000000" w:themeColor="text1"/>
          <w:sz w:val="24"/>
          <w14:textFill>
            <w14:solidFill>
              <w14:schemeClr w14:val="tx1"/>
            </w14:solidFill>
          </w14:textFill>
        </w:rPr>
        <w:t>（1）</w:t>
      </w:r>
      <w:r>
        <w:rPr>
          <w:rFonts w:hint="eastAsia" w:ascii="仿宋_GB2312" w:hAnsi="新宋体" w:eastAsia="仿宋_GB2312" w:cs="Times New Roman"/>
          <w:b/>
          <w:color w:val="auto"/>
          <w:kern w:val="2"/>
          <w:sz w:val="24"/>
          <w:szCs w:val="24"/>
          <w:highlight w:val="none"/>
          <w:lang w:val="en-US" w:eastAsia="zh-CN" w:bidi="ar-SA"/>
        </w:rPr>
        <w:t>成交供应商在服务期限限内完成新疆财经大学2022年图书馆资源数字化建设项目-中国知网系列产品应承担的所有工作以及合同条款、技术规范及标准、项目采购需求、单一来源采购文件约定的全部内容及责任和义务</w:t>
      </w:r>
      <w:r>
        <w:rPr>
          <w:rFonts w:hint="eastAsia" w:ascii="仿宋_GB2312" w:hAnsi="新宋体" w:eastAsia="仿宋_GB2312"/>
          <w:b/>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（2）供应商根据对本单一来源采购文件、技术规范和标准、项目采购需求、合同条款的理解，应达到的技术指标、检验及验收标准等要求，结合市场情况进行商务报价。供应商应充分考虑合同执行期内各类合同</w:t>
      </w:r>
      <w:r>
        <w:rPr>
          <w:rFonts w:hint="eastAsia" w:ascii="仿宋_GB2312" w:eastAsia="仿宋_GB2312"/>
          <w:color w:val="000000" w:themeColor="text1"/>
          <w:sz w:val="24"/>
          <w:lang w:eastAsia="zh-CN"/>
          <w14:textFill>
            <w14:solidFill>
              <w14:schemeClr w14:val="tx1"/>
            </w14:solidFill>
          </w14:textFill>
        </w:rPr>
        <w:t>服务</w:t>
      </w:r>
      <w:r>
        <w:rPr>
          <w:rFonts w:hint="eastAsia" w:ascii="仿宋_GB2312" w:eastAsia="仿宋_GB2312"/>
          <w:color w:val="000000" w:themeColor="text1"/>
          <w:sz w:val="24"/>
          <w14:textFill>
            <w14:solidFill>
              <w14:schemeClr w14:val="tx1"/>
            </w14:solidFill>
          </w14:textFill>
        </w:rPr>
        <w:t>的市场风险和国家政策性调整风险等因素对商务报价的影响。</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bookmarkStart w:id="64" w:name="_Toc246216197"/>
      <w:bookmarkStart w:id="65" w:name="_Toc233274828"/>
      <w:bookmarkStart w:id="66" w:name="_Toc243906327"/>
      <w:bookmarkStart w:id="67" w:name="_Toc243907588"/>
      <w:r>
        <w:rPr>
          <w:rFonts w:hint="eastAsia" w:ascii="仿宋_GB2312" w:eastAsia="仿宋_GB2312"/>
          <w:color w:val="000000" w:themeColor="text1"/>
          <w:sz w:val="24"/>
          <w14:textFill>
            <w14:solidFill>
              <w14:schemeClr w14:val="tx1"/>
            </w14:solidFill>
          </w14:textFill>
        </w:rPr>
        <w:t>16.3</w:t>
      </w:r>
      <w:r>
        <w:rPr>
          <w:rFonts w:hint="eastAsia" w:ascii="仿宋_GB2312" w:hAnsi="宋体" w:eastAsia="仿宋_GB2312"/>
          <w:color w:val="000000" w:themeColor="text1"/>
          <w:sz w:val="24"/>
          <w14:textFill>
            <w14:solidFill>
              <w14:schemeClr w14:val="tx1"/>
            </w14:solidFill>
          </w14:textFill>
        </w:rPr>
        <w:t>供应商应按照单一来源采购文件所附的格式完整地填写商务报价一览表。</w:t>
      </w:r>
      <w:r>
        <w:rPr>
          <w:rFonts w:hint="eastAsia" w:ascii="黑体" w:eastAsia="黑体"/>
          <w:b/>
          <w:color w:val="000000" w:themeColor="text1"/>
          <w:sz w:val="24"/>
          <w14:textFill>
            <w14:solidFill>
              <w14:schemeClr w14:val="tx1"/>
            </w14:solidFill>
          </w14:textFill>
        </w:rPr>
        <w:t>供应商应对采购范围内的全部内容进行报价。</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16.4供应商若成交，不得以任何理由在合同执行期间予以价格调整。任何包含价格调整的要求将被认为是非响应而予以拒绝。</w:t>
      </w:r>
    </w:p>
    <w:bookmarkEnd w:id="64"/>
    <w:bookmarkEnd w:id="65"/>
    <w:bookmarkEnd w:id="66"/>
    <w:bookmarkEnd w:id="67"/>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8" w:name="_Toc245897288"/>
      <w:r>
        <w:rPr>
          <w:rFonts w:hint="eastAsia" w:ascii="仿宋_GB2312" w:eastAsia="仿宋_GB2312"/>
          <w:color w:val="000000" w:themeColor="text1"/>
          <w:sz w:val="24"/>
          <w14:textFill>
            <w14:solidFill>
              <w14:schemeClr w14:val="tx1"/>
            </w14:solidFill>
          </w14:textFill>
        </w:rPr>
        <w:t>17、商务报价货币</w:t>
      </w:r>
      <w:bookmarkEnd w:id="68"/>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17.1商务报价一览表和响应文件中的所有报价一律使用人民币（RMB）填报。</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9" w:name="_Toc243907589"/>
      <w:bookmarkStart w:id="70" w:name="_Toc245897289"/>
      <w:bookmarkStart w:id="71" w:name="_Toc243906328"/>
      <w:bookmarkStart w:id="72" w:name="_Toc233274829"/>
      <w:r>
        <w:rPr>
          <w:rFonts w:hint="eastAsia" w:ascii="仿宋_GB2312" w:eastAsia="仿宋_GB2312"/>
          <w:color w:val="000000" w:themeColor="text1"/>
          <w:sz w:val="24"/>
          <w14:textFill>
            <w14:solidFill>
              <w14:schemeClr w14:val="tx1"/>
            </w14:solidFill>
          </w14:textFill>
        </w:rPr>
        <w:t>18、供应商资格证明文件</w:t>
      </w:r>
      <w:bookmarkEnd w:id="69"/>
      <w:bookmarkEnd w:id="70"/>
      <w:bookmarkEnd w:id="71"/>
      <w:bookmarkEnd w:id="72"/>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18.1 供应商必须提交证明其有资格参加采购和成交后有能力履行合同的文件。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73" w:name="_Toc243906329"/>
      <w:bookmarkStart w:id="74" w:name="_Toc243907590"/>
      <w:bookmarkStart w:id="75" w:name="_Toc245897290"/>
      <w:bookmarkStart w:id="76" w:name="_Toc233274830"/>
      <w:r>
        <w:rPr>
          <w:rFonts w:hint="eastAsia" w:ascii="仿宋_GB2312" w:eastAsia="仿宋_GB2312"/>
          <w:color w:val="000000" w:themeColor="text1"/>
          <w:sz w:val="24"/>
          <w14:textFill>
            <w14:solidFill>
              <w14:schemeClr w14:val="tx1"/>
            </w14:solidFill>
          </w14:textFill>
        </w:rPr>
        <w:t>19、提供的</w:t>
      </w:r>
      <w:r>
        <w:rPr>
          <w:rFonts w:hint="eastAsia" w:ascii="仿宋_GB2312" w:eastAsia="仿宋_GB2312"/>
          <w:color w:val="000000" w:themeColor="text1"/>
          <w:sz w:val="24"/>
          <w:lang w:eastAsia="zh-CN"/>
          <w14:textFill>
            <w14:solidFill>
              <w14:schemeClr w14:val="tx1"/>
            </w14:solidFill>
          </w14:textFill>
        </w:rPr>
        <w:t>服务</w:t>
      </w:r>
      <w:r>
        <w:rPr>
          <w:rFonts w:hint="eastAsia" w:ascii="仿宋_GB2312" w:eastAsia="仿宋_GB2312"/>
          <w:color w:val="000000" w:themeColor="text1"/>
          <w:sz w:val="24"/>
          <w14:textFill>
            <w14:solidFill>
              <w14:schemeClr w14:val="tx1"/>
            </w14:solidFill>
          </w14:textFill>
        </w:rPr>
        <w:t>符合单一来源采购文件规定的技术响应文件</w:t>
      </w:r>
      <w:bookmarkEnd w:id="73"/>
      <w:bookmarkEnd w:id="74"/>
      <w:bookmarkEnd w:id="75"/>
      <w:bookmarkEnd w:id="76"/>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19.1 供应商须提交证明其拟供服务符合单一来源采购文件、技术规范及标准、项目采购需求规定的技术响应文件，作为响应文件的一部分；</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供应商应逐条对单一来源采购文件、项目采购需求、合同条款等进行仔细阅读，提出自己提供的服务是否对其做出了实质性的响应。</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77" w:name="_Toc243907591"/>
      <w:bookmarkStart w:id="78" w:name="_Toc233274831"/>
      <w:bookmarkStart w:id="79" w:name="_Toc243906330"/>
      <w:bookmarkStart w:id="80" w:name="_Toc245897291"/>
      <w:r>
        <w:rPr>
          <w:rFonts w:hint="eastAsia" w:ascii="仿宋_GB2312" w:eastAsia="仿宋_GB2312"/>
          <w:color w:val="000000" w:themeColor="text1"/>
          <w:sz w:val="24"/>
          <w14:textFill>
            <w14:solidFill>
              <w14:schemeClr w14:val="tx1"/>
            </w14:solidFill>
          </w14:textFill>
        </w:rPr>
        <w:t>20、响应文件有效期</w:t>
      </w:r>
      <w:bookmarkEnd w:id="77"/>
      <w:bookmarkEnd w:id="78"/>
      <w:bookmarkEnd w:id="79"/>
      <w:bookmarkEnd w:id="80"/>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20.1</w:t>
      </w:r>
      <w:r>
        <w:rPr>
          <w:rFonts w:hint="eastAsia" w:ascii="仿宋_GB2312" w:eastAsia="仿宋_GB2312"/>
          <w:bCs/>
          <w:color w:val="000000" w:themeColor="text1"/>
          <w:sz w:val="24"/>
          <w14:textFill>
            <w14:solidFill>
              <w14:schemeClr w14:val="tx1"/>
            </w14:solidFill>
          </w14:textFill>
        </w:rPr>
        <w:t>响应文件</w:t>
      </w:r>
      <w:r>
        <w:rPr>
          <w:rFonts w:hint="eastAsia" w:ascii="仿宋_GB2312" w:eastAsia="仿宋_GB2312"/>
          <w:color w:val="000000" w:themeColor="text1"/>
          <w:sz w:val="24"/>
          <w14:textFill>
            <w14:solidFill>
              <w14:schemeClr w14:val="tx1"/>
            </w14:solidFill>
          </w14:textFill>
        </w:rPr>
        <w:t>有效期为</w:t>
      </w:r>
      <w:r>
        <w:rPr>
          <w:rFonts w:hint="eastAsia" w:ascii="仿宋_GB2312" w:hAnsi="宋体" w:eastAsia="仿宋_GB2312"/>
          <w:color w:val="000000" w:themeColor="text1"/>
          <w:sz w:val="24"/>
          <w14:textFill>
            <w14:solidFill>
              <w14:schemeClr w14:val="tx1"/>
            </w14:solidFill>
          </w14:textFill>
        </w:rPr>
        <w:t>递交响应文件截止之日起60天（日历日）</w:t>
      </w:r>
      <w:r>
        <w:rPr>
          <w:rFonts w:hint="eastAsia" w:ascii="仿宋_GB2312" w:eastAsia="仿宋_GB2312"/>
          <w:color w:val="000000" w:themeColor="text1"/>
          <w:sz w:val="24"/>
          <w14:textFill>
            <w14:solidFill>
              <w14:schemeClr w14:val="tx1"/>
            </w14:solidFill>
          </w14:textFill>
        </w:rPr>
        <w:t>。供应商的响应文件有效期比规定的有效期短的，将被视为非响应而予以拒绝。</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bookmarkEnd w:id="46"/>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81" w:name="_Toc233274832"/>
      <w:bookmarkStart w:id="82" w:name="_Toc243906331"/>
      <w:bookmarkStart w:id="83" w:name="_Toc243907592"/>
      <w:bookmarkStart w:id="84" w:name="_Toc245897292"/>
      <w:bookmarkStart w:id="85" w:name="_Toc154996585"/>
      <w:r>
        <w:rPr>
          <w:rFonts w:hint="eastAsia" w:ascii="仿宋_GB2312" w:eastAsia="仿宋_GB2312"/>
          <w:color w:val="000000" w:themeColor="text1"/>
          <w:sz w:val="24"/>
          <w14:textFill>
            <w14:solidFill>
              <w14:schemeClr w14:val="tx1"/>
            </w14:solidFill>
          </w14:textFill>
        </w:rPr>
        <w:t>21、响应文件的签署及规定</w:t>
      </w:r>
      <w:bookmarkEnd w:id="81"/>
      <w:bookmarkEnd w:id="82"/>
      <w:bookmarkEnd w:id="83"/>
      <w:bookmarkEnd w:id="84"/>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响应文件须由法定代表人或委托代理人签字或盖章。响应文件应加盖供应商的公章。</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 xml:space="preserve"> 除供应商对错误做必要修改外，响应文件中不许有增删、涂改或改写。若确有修改必须由签署响应文件的委托代理人签字或盖章。</w:t>
      </w:r>
    </w:p>
    <w:p>
      <w:pPr>
        <w:spacing w:line="360" w:lineRule="auto"/>
        <w:rPr>
          <w:rFonts w:ascii="仿宋_GB2312" w:hAnsi="宋体" w:eastAsia="仿宋_GB2312"/>
          <w:color w:val="000000" w:themeColor="text1"/>
          <w:sz w:val="24"/>
          <w14:textFill>
            <w14:solidFill>
              <w14:schemeClr w14:val="tx1"/>
            </w14:solidFill>
          </w14:textFill>
        </w:rPr>
      </w:pPr>
      <w:bookmarkStart w:id="189" w:name="_GoBack"/>
      <w:bookmarkEnd w:id="189"/>
    </w:p>
    <w:bookmarkEnd w:id="85"/>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bookmarkStart w:id="86" w:name="_Toc243907594"/>
      <w:bookmarkStart w:id="87" w:name="_Toc246216203"/>
      <w:bookmarkStart w:id="88" w:name="_Toc243906333"/>
      <w:bookmarkStart w:id="89" w:name="_Toc233274834"/>
      <w:r>
        <w:rPr>
          <w:rFonts w:hint="eastAsia" w:ascii="仿宋_GB2312" w:eastAsia="仿宋_GB2312"/>
          <w:b/>
          <w:bCs/>
          <w:color w:val="000000" w:themeColor="text1"/>
          <w:sz w:val="28"/>
          <w:szCs w:val="28"/>
          <w14:textFill>
            <w14:solidFill>
              <w14:schemeClr w14:val="tx1"/>
            </w14:solidFill>
          </w14:textFill>
        </w:rPr>
        <w:t>D  响应文件的递交、修改和撤回</w:t>
      </w:r>
      <w:bookmarkEnd w:id="86"/>
      <w:bookmarkEnd w:id="87"/>
      <w:bookmarkEnd w:id="88"/>
      <w:bookmarkEnd w:id="89"/>
    </w:p>
    <w:p>
      <w:pPr>
        <w:pStyle w:val="14"/>
        <w:spacing w:line="360" w:lineRule="auto"/>
        <w:jc w:val="center"/>
        <w:rPr>
          <w:rFonts w:ascii="仿宋_GB2312" w:eastAsia="仿宋_GB2312"/>
          <w:b/>
          <w:bCs/>
          <w:color w:val="000000" w:themeColor="text1"/>
          <w:sz w:val="24"/>
          <w14:textFill>
            <w14:solidFill>
              <w14:schemeClr w14:val="tx1"/>
            </w14:solidFill>
          </w14:textFill>
        </w:rPr>
      </w:pPr>
    </w:p>
    <w:p>
      <w:pPr>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0" w:name="_Toc243906334"/>
      <w:bookmarkStart w:id="91" w:name="_Toc233274835"/>
      <w:bookmarkStart w:id="92" w:name="_Toc243907595"/>
      <w:bookmarkStart w:id="93" w:name="_Toc245897295"/>
      <w:r>
        <w:rPr>
          <w:rFonts w:hint="eastAsia" w:ascii="仿宋_GB2312" w:eastAsia="仿宋_GB2312"/>
          <w:color w:val="000000" w:themeColor="text1"/>
          <w:sz w:val="24"/>
          <w14:textFill>
            <w14:solidFill>
              <w14:schemeClr w14:val="tx1"/>
            </w14:solidFill>
          </w14:textFill>
        </w:rPr>
        <w:t>22、响应文件的密封和标记</w:t>
      </w:r>
      <w:bookmarkEnd w:id="90"/>
      <w:bookmarkEnd w:id="91"/>
      <w:bookmarkEnd w:id="92"/>
      <w:bookmarkEnd w:id="93"/>
    </w:p>
    <w:p>
      <w:pPr>
        <w:pStyle w:val="14"/>
        <w:spacing w:line="360" w:lineRule="auto"/>
        <w:ind w:firstLine="482" w:firstLineChars="200"/>
        <w:rPr>
          <w:rFonts w:hint="eastAsia" w:ascii="仿宋_GB2312" w:eastAsia="仿宋_GB2312"/>
          <w:b/>
          <w:bCs/>
          <w:color w:val="000000" w:themeColor="text1"/>
          <w:sz w:val="24"/>
          <w:szCs w:val="24"/>
          <w:lang w:val="zh-CN"/>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lang w:val="zh-CN"/>
          <w14:textFill>
            <w14:solidFill>
              <w14:schemeClr w14:val="tx1"/>
            </w14:solidFill>
          </w14:textFill>
        </w:rPr>
        <w:t>.1供应商进行电子交易应安装客户端软件—“政采云电子交易客户端”，并按照单一来源采购文件和电子交易平台的要求编制并加密响应文件。供应商未按规定加密的响应文件，电子交易平台将拒收并提示。</w:t>
      </w:r>
    </w:p>
    <w:p>
      <w:pPr>
        <w:pStyle w:val="14"/>
        <w:spacing w:line="360" w:lineRule="auto"/>
        <w:ind w:firstLine="482" w:firstLineChars="200"/>
        <w:rPr>
          <w:rFonts w:hint="eastAsia" w:ascii="仿宋_GB2312" w:eastAsia="仿宋_GB2312"/>
          <w:b/>
          <w:bCs/>
          <w:color w:val="000000" w:themeColor="text1"/>
          <w:sz w:val="24"/>
          <w:szCs w:val="24"/>
          <w:lang w:val="zh-CN"/>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lang w:val="zh-CN"/>
          <w14:textFill>
            <w14:solidFill>
              <w14:schemeClr w14:val="tx1"/>
            </w14:solidFill>
          </w14:textFill>
        </w:rPr>
        <w:t>.2使用“政采云电子交易客户端”需要提前申领CA数字证书，申领流程见该项目采购公告附件。</w:t>
      </w:r>
    </w:p>
    <w:p>
      <w:pPr>
        <w:pStyle w:val="14"/>
        <w:spacing w:line="360" w:lineRule="auto"/>
        <w:ind w:firstLine="482" w:firstLineChars="200"/>
        <w:rPr>
          <w:rFonts w:hint="eastAsia"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14:textFill>
            <w14:solidFill>
              <w14:schemeClr w14:val="tx1"/>
            </w14:solidFill>
          </w14:textFill>
        </w:rPr>
        <w:t>.</w:t>
      </w:r>
      <w:r>
        <w:rPr>
          <w:rFonts w:hint="eastAsia" w:ascii="仿宋_GB2312" w:eastAsia="仿宋_GB2312"/>
          <w:b/>
          <w:bCs/>
          <w:color w:val="000000" w:themeColor="text1"/>
          <w:sz w:val="24"/>
          <w:szCs w:val="24"/>
          <w:lang w:eastAsia="zh-CN"/>
          <w14:textFill>
            <w14:solidFill>
              <w14:schemeClr w14:val="tx1"/>
            </w14:solidFill>
          </w14:textFill>
        </w:rPr>
        <w:t>3</w:t>
      </w:r>
      <w:r>
        <w:rPr>
          <w:rFonts w:hint="eastAsia" w:ascii="仿宋_GB2312" w:eastAsia="仿宋_GB2312"/>
          <w:b/>
          <w:bCs/>
          <w:color w:val="000000" w:themeColor="text1"/>
          <w:sz w:val="24"/>
          <w:szCs w:val="24"/>
          <w14:textFill>
            <w14:solidFill>
              <w14:schemeClr w14:val="tx1"/>
            </w14:solidFill>
          </w14:textFill>
        </w:rPr>
        <w:t>为确保网上操作合法、有效和安全，供应商应当在响应文件提交截止时间前完成在“政府采购云平台”的身份认证，确保在电子交易过程中能够对相关数据电文进行加密和使用电子签名。</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23.1 所有响应文件都必须按采购人</w:t>
      </w:r>
      <w:r>
        <w:rPr>
          <w:rFonts w:hint="eastAsia" w:ascii="仿宋_GB2312" w:eastAsia="仿宋_GB2312"/>
          <w:color w:val="000000" w:themeColor="text1"/>
          <w:sz w:val="24"/>
          <w14:textFill>
            <w14:solidFill>
              <w14:schemeClr w14:val="tx1"/>
            </w14:solidFill>
          </w14:textFill>
        </w:rPr>
        <w:t>在供应商须知前附表中规定的截止时间之前</w:t>
      </w:r>
      <w:r>
        <w:rPr>
          <w:rFonts w:hint="eastAsia" w:ascii="仿宋_GB2312" w:eastAsia="仿宋_GB2312"/>
          <w:color w:val="000000" w:themeColor="text1"/>
          <w:sz w:val="24"/>
          <w:lang w:eastAsia="zh-CN"/>
          <w14:textFill>
            <w14:solidFill>
              <w14:schemeClr w14:val="tx1"/>
            </w14:solidFill>
          </w14:textFill>
        </w:rPr>
        <w:t>递交</w:t>
      </w:r>
      <w:r>
        <w:rPr>
          <w:rFonts w:hint="eastAsia" w:ascii="仿宋_GB2312" w:eastAsia="仿宋_GB2312"/>
          <w:color w:val="000000" w:themeColor="text1"/>
          <w:sz w:val="24"/>
          <w14:textFill>
            <w14:solidFill>
              <w14:schemeClr w14:val="tx1"/>
            </w14:solidFill>
          </w14:textFill>
        </w:rPr>
        <w:t>。</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23.2出现因单一来源采购文件的修改推迟截止日期时，则按采购代理机构修改通知规定的时间递交响应文件。在此情况下，采购人和采购代理机构与供应商之间受截止期制约的所有权利和义务应延长至新的截止期。</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4" w:name="_Toc245897297"/>
      <w:bookmarkStart w:id="95" w:name="_Toc243907597"/>
      <w:bookmarkStart w:id="96" w:name="_Toc243906336"/>
      <w:bookmarkStart w:id="97" w:name="_Toc233274837"/>
      <w:r>
        <w:rPr>
          <w:rFonts w:hint="eastAsia" w:ascii="仿宋_GB2312" w:eastAsia="仿宋_GB2312"/>
          <w:color w:val="000000" w:themeColor="text1"/>
          <w:sz w:val="24"/>
          <w14:textFill>
            <w14:solidFill>
              <w14:schemeClr w14:val="tx1"/>
            </w14:solidFill>
          </w14:textFill>
        </w:rPr>
        <w:t>24、迟交的响应文件</w:t>
      </w:r>
      <w:bookmarkEnd w:id="94"/>
      <w:bookmarkEnd w:id="95"/>
      <w:bookmarkEnd w:id="96"/>
      <w:bookmarkEnd w:id="97"/>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24.1 采购人将拒绝并原封退回在其规定的截止时间后送达的响应文件。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8" w:name="_Toc233274838"/>
      <w:bookmarkStart w:id="99" w:name="_Toc243906337"/>
      <w:bookmarkStart w:id="100" w:name="_Toc245897298"/>
      <w:bookmarkStart w:id="101" w:name="_Toc243907598"/>
      <w:r>
        <w:rPr>
          <w:rFonts w:hint="eastAsia" w:ascii="仿宋_GB2312" w:eastAsia="仿宋_GB2312"/>
          <w:color w:val="000000" w:themeColor="text1"/>
          <w:sz w:val="24"/>
          <w14:textFill>
            <w14:solidFill>
              <w14:schemeClr w14:val="tx1"/>
            </w14:solidFill>
          </w14:textFill>
        </w:rPr>
        <w:t>25、响应文件的修改和撤回</w:t>
      </w:r>
      <w:bookmarkEnd w:id="98"/>
      <w:bookmarkEnd w:id="99"/>
      <w:bookmarkEnd w:id="100"/>
      <w:bookmarkEnd w:id="10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25.1 供应商在提交响应文件后可在截止时间前对其响应文件进行修改或撤回，但采购人须在截止时间之前收到该修改或撤回的书面通知，该通知须有供应商法定代表人或经有效授权的委托代理人签字或盖章。</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25.2 供应商对响应文件修改的书面材料或撤回的通知应按第22条和第23条规定进行编写、密封、标记和递交，并注明“修改响应文件”或“撤回响应文件”字样。</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25.3截止时间之后，供应商不得对响应文件做任何修改。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25.4 供应商不得在截止时间起至响应文件有效期期满前撤回响应文件。</w:t>
      </w:r>
    </w:p>
    <w:p>
      <w:pPr>
        <w:spacing w:line="360" w:lineRule="auto"/>
        <w:ind w:firstLine="480" w:firstLineChars="200"/>
        <w:outlineLvl w:val="1"/>
        <w:rPr>
          <w:rFonts w:ascii="仿宋_GB2312" w:hAnsi="宋体" w:eastAsia="仿宋_GB2312"/>
          <w:color w:val="000000" w:themeColor="text1"/>
          <w:sz w:val="24"/>
          <w14:textFill>
            <w14:solidFill>
              <w14:schemeClr w14:val="tx1"/>
            </w14:solidFill>
          </w14:textFill>
        </w:rPr>
      </w:pPr>
      <w:bookmarkStart w:id="102" w:name="_Toc245897299"/>
      <w:bookmarkStart w:id="103" w:name="_Toc233274839"/>
      <w:bookmarkStart w:id="104" w:name="_Toc243907599"/>
      <w:bookmarkStart w:id="105" w:name="_Toc243906338"/>
      <w:r>
        <w:rPr>
          <w:rFonts w:hint="eastAsia" w:ascii="仿宋_GB2312" w:hAnsi="宋体" w:eastAsia="仿宋_GB2312"/>
          <w:color w:val="000000" w:themeColor="text1"/>
          <w:sz w:val="24"/>
          <w14:textFill>
            <w14:solidFill>
              <w14:schemeClr w14:val="tx1"/>
            </w14:solidFill>
          </w14:textFill>
        </w:rPr>
        <w:t>26、递交响应文件</w:t>
      </w:r>
      <w:bookmarkEnd w:id="102"/>
      <w:bookmarkEnd w:id="103"/>
      <w:bookmarkEnd w:id="104"/>
      <w:bookmarkEnd w:id="105"/>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26.1供应商应按本供应商须知前附表第7项规定的时间及地点递交响应文件。</w:t>
      </w:r>
    </w:p>
    <w:p>
      <w:pPr>
        <w:spacing w:line="360" w:lineRule="auto"/>
        <w:ind w:firstLine="482" w:firstLineChars="200"/>
        <w:rPr>
          <w:rFonts w:ascii="黑体" w:hAnsi="宋体" w:eastAsia="黑体"/>
          <w:b/>
          <w:color w:val="000000" w:themeColor="text1"/>
          <w:sz w:val="24"/>
          <w14:textFill>
            <w14:solidFill>
              <w14:schemeClr w14:val="tx1"/>
            </w14:solidFill>
          </w14:textFill>
        </w:rPr>
      </w:pPr>
      <w:r>
        <w:rPr>
          <w:rFonts w:hint="eastAsia" w:ascii="黑体" w:hAnsi="宋体" w:eastAsia="黑体"/>
          <w:b/>
          <w:color w:val="000000" w:themeColor="text1"/>
          <w:sz w:val="24"/>
          <w14:textFill>
            <w14:solidFill>
              <w14:schemeClr w14:val="tx1"/>
            </w14:solidFill>
          </w14:textFill>
        </w:rPr>
        <w:t>26.2有下列情形之一的，采购人不予接收其响应文件：</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26.2.1供应商在递交响应文件截止时间后送达或未送达到指定地点的响应文件；</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26.2.2 响应文件未按单一来源采购文件要求密封的。</w:t>
      </w:r>
    </w:p>
    <w:p>
      <w:pPr>
        <w:spacing w:line="360" w:lineRule="auto"/>
        <w:ind w:firstLine="480" w:firstLineChars="200"/>
        <w:rPr>
          <w:rFonts w:ascii="仿宋_GB2312" w:eastAsia="仿宋_GB2312"/>
          <w:color w:val="000000" w:themeColor="text1"/>
          <w:sz w:val="24"/>
          <w14:textFill>
            <w14:solidFill>
              <w14:schemeClr w14:val="tx1"/>
            </w14:solidFill>
          </w14:textFill>
        </w:rPr>
      </w:pPr>
    </w:p>
    <w:p>
      <w:pPr>
        <w:spacing w:line="360" w:lineRule="auto"/>
        <w:jc w:val="center"/>
        <w:outlineLvl w:val="1"/>
        <w:rPr>
          <w:rFonts w:ascii="仿宋_GB2312" w:hAnsi="Courier New" w:eastAsia="仿宋_GB2312"/>
          <w:b/>
          <w:bCs/>
          <w:color w:val="000000" w:themeColor="text1"/>
          <w:sz w:val="28"/>
          <w:szCs w:val="28"/>
          <w14:textFill>
            <w14:solidFill>
              <w14:schemeClr w14:val="tx1"/>
            </w14:solidFill>
          </w14:textFill>
        </w:rPr>
      </w:pPr>
      <w:bookmarkStart w:id="106" w:name="_Toc246216209"/>
      <w:bookmarkStart w:id="107" w:name="_Toc243906339"/>
      <w:bookmarkStart w:id="108" w:name="_Toc233274840"/>
      <w:bookmarkStart w:id="109" w:name="_Toc243907600"/>
      <w:r>
        <w:rPr>
          <w:rFonts w:hint="eastAsia" w:ascii="仿宋_GB2312" w:hAnsi="Courier New" w:eastAsia="仿宋_GB2312"/>
          <w:b/>
          <w:bCs/>
          <w:color w:val="000000" w:themeColor="text1"/>
          <w:sz w:val="28"/>
          <w:szCs w:val="28"/>
          <w14:textFill>
            <w14:solidFill>
              <w14:schemeClr w14:val="tx1"/>
            </w14:solidFill>
          </w14:textFill>
        </w:rPr>
        <w:t xml:space="preserve">E  </w:t>
      </w:r>
      <w:bookmarkEnd w:id="106"/>
      <w:bookmarkEnd w:id="107"/>
      <w:bookmarkEnd w:id="108"/>
      <w:bookmarkEnd w:id="109"/>
      <w:r>
        <w:rPr>
          <w:rFonts w:hint="eastAsia" w:ascii="仿宋_GB2312" w:hAnsi="Courier New" w:eastAsia="仿宋_GB2312"/>
          <w:b/>
          <w:bCs/>
          <w:color w:val="000000" w:themeColor="text1"/>
          <w:sz w:val="28"/>
          <w:szCs w:val="28"/>
          <w14:textFill>
            <w14:solidFill>
              <w14:schemeClr w14:val="tx1"/>
            </w14:solidFill>
          </w14:textFill>
        </w:rPr>
        <w:t>协商及商定成交价</w:t>
      </w:r>
    </w:p>
    <w:p>
      <w:pPr>
        <w:spacing w:line="360" w:lineRule="auto"/>
        <w:rPr>
          <w:rFonts w:ascii="仿宋_GB2312" w:hAnsi="Courier New" w:eastAsia="仿宋_GB2312"/>
          <w:color w:val="000000" w:themeColor="text1"/>
          <w:sz w:val="24"/>
          <w:szCs w:val="20"/>
          <w14:textFill>
            <w14:solidFill>
              <w14:schemeClr w14:val="tx1"/>
            </w14:solidFill>
          </w14:textFill>
        </w:rPr>
      </w:pPr>
    </w:p>
    <w:p>
      <w:pPr>
        <w:spacing w:line="360" w:lineRule="auto"/>
        <w:ind w:firstLine="480" w:firstLineChars="200"/>
        <w:outlineLvl w:val="1"/>
        <w:rPr>
          <w:rFonts w:ascii="仿宋_GB2312" w:hAnsi="宋体" w:eastAsia="仿宋_GB2312"/>
          <w:color w:val="000000" w:themeColor="text1"/>
          <w:sz w:val="24"/>
          <w:szCs w:val="20"/>
          <w14:textFill>
            <w14:solidFill>
              <w14:schemeClr w14:val="tx1"/>
            </w14:solidFill>
          </w14:textFill>
        </w:rPr>
      </w:pPr>
      <w:bookmarkStart w:id="110" w:name="_Toc243907601"/>
      <w:bookmarkStart w:id="111" w:name="_Toc233274841"/>
      <w:bookmarkStart w:id="112" w:name="_Toc245897301"/>
      <w:bookmarkStart w:id="113" w:name="_Toc243906340"/>
      <w:r>
        <w:rPr>
          <w:rFonts w:hint="eastAsia" w:ascii="仿宋_GB2312" w:hAnsi="宋体" w:eastAsia="仿宋_GB2312"/>
          <w:color w:val="000000" w:themeColor="text1"/>
          <w:sz w:val="24"/>
          <w:szCs w:val="20"/>
          <w14:textFill>
            <w14:solidFill>
              <w14:schemeClr w14:val="tx1"/>
            </w14:solidFill>
          </w14:textFill>
        </w:rPr>
        <w:t>27、</w:t>
      </w:r>
      <w:bookmarkEnd w:id="110"/>
      <w:bookmarkEnd w:id="111"/>
      <w:bookmarkEnd w:id="112"/>
      <w:bookmarkEnd w:id="113"/>
      <w:r>
        <w:rPr>
          <w:rFonts w:hint="eastAsia" w:ascii="仿宋_GB2312" w:hAnsi="宋体" w:eastAsia="仿宋_GB2312"/>
          <w:color w:val="000000" w:themeColor="text1"/>
          <w:sz w:val="24"/>
          <w:szCs w:val="20"/>
          <w14:textFill>
            <w14:solidFill>
              <w14:schemeClr w14:val="tx1"/>
            </w14:solidFill>
          </w14:textFill>
        </w:rPr>
        <w:t>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27.1采购人在本供应商须知前附表第8项规定的时间和地点组织协商会议。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27.2供应商应委派代表参加协商会议。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27.3协商会议由采购代理机构组织并主持。</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27.4在协商过程中，工作人员如发现响应文件组成部分不齐全，由协商小组认定其有效性。协商小组认定的无效响应文件将不进入协商。</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14" w:name="_Toc243906341"/>
      <w:bookmarkStart w:id="115" w:name="_Toc243907602"/>
      <w:bookmarkStart w:id="116" w:name="_Toc233274842"/>
      <w:bookmarkStart w:id="117" w:name="_Toc245897302"/>
      <w:r>
        <w:rPr>
          <w:rFonts w:hint="eastAsia" w:ascii="仿宋_GB2312" w:hAnsi="Courier New" w:eastAsia="仿宋_GB2312"/>
          <w:color w:val="000000" w:themeColor="text1"/>
          <w:sz w:val="24"/>
          <w:szCs w:val="20"/>
          <w14:textFill>
            <w14:solidFill>
              <w14:schemeClr w14:val="tx1"/>
            </w14:solidFill>
          </w14:textFill>
        </w:rPr>
        <w:t>28、</w:t>
      </w:r>
      <w:bookmarkEnd w:id="114"/>
      <w:bookmarkEnd w:id="115"/>
      <w:bookmarkEnd w:id="116"/>
      <w:bookmarkEnd w:id="117"/>
      <w:r>
        <w:rPr>
          <w:rFonts w:hint="eastAsia" w:ascii="仿宋_GB2312" w:hAnsi="Courier New" w:eastAsia="仿宋_GB2312"/>
          <w:color w:val="000000" w:themeColor="text1"/>
          <w:sz w:val="24"/>
          <w:szCs w:val="20"/>
          <w14:textFill>
            <w14:solidFill>
              <w14:schemeClr w14:val="tx1"/>
            </w14:solidFill>
          </w14:textFill>
        </w:rPr>
        <w:t>协商小组</w:t>
      </w:r>
    </w:p>
    <w:p>
      <w:pPr>
        <w:widowControl/>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28.1协商小组成员组成：按照</w:t>
      </w:r>
      <w:r>
        <w:rPr>
          <w:rFonts w:hint="eastAsia" w:ascii="仿宋_GB2312" w:hAnsi="宋体" w:eastAsia="仿宋_GB2312" w:cs="宋体"/>
          <w:color w:val="000000" w:themeColor="text1"/>
          <w:sz w:val="24"/>
          <w14:textFill>
            <w14:solidFill>
              <w14:schemeClr w14:val="tx1"/>
            </w14:solidFill>
          </w14:textFill>
        </w:rPr>
        <w:t>《中华人民共和国政府采购法》、</w:t>
      </w:r>
      <w:r>
        <w:rPr>
          <w:rFonts w:hint="eastAsia" w:ascii="仿宋_GB2312" w:eastAsia="仿宋_GB2312"/>
          <w:color w:val="000000" w:themeColor="text1"/>
          <w:sz w:val="24"/>
          <w14:textFill>
            <w14:solidFill>
              <w14:schemeClr w14:val="tx1"/>
            </w14:solidFill>
          </w14:textFill>
        </w:rPr>
        <w:t>《中华人民共和国政府采购法实施条例》、《政府采购非招标采购方式管理办法》</w:t>
      </w:r>
      <w:r>
        <w:rPr>
          <w:rFonts w:hint="eastAsia" w:ascii="仿宋_GB2312" w:hAnsi="Courier New" w:eastAsia="仿宋_GB2312"/>
          <w:color w:val="000000" w:themeColor="text1"/>
          <w:sz w:val="24"/>
          <w:szCs w:val="20"/>
          <w14:textFill>
            <w14:solidFill>
              <w14:schemeClr w14:val="tx1"/>
            </w14:solidFill>
          </w14:textFill>
        </w:rPr>
        <w:t>及相关法律、法规规定组建</w:t>
      </w:r>
      <w:r>
        <w:rPr>
          <w:rFonts w:hint="eastAsia" w:ascii="仿宋_GB2312" w:hAnsi="宋体" w:eastAsia="仿宋_GB2312" w:cs="宋体"/>
          <w:color w:val="000000" w:themeColor="text1"/>
          <w:sz w:val="24"/>
          <w14:textFill>
            <w14:solidFill>
              <w14:schemeClr w14:val="tx1"/>
            </w14:solidFill>
          </w14:textFill>
        </w:rPr>
        <w:t>，由采购人代表和具有相关经验的专业人员组成</w:t>
      </w:r>
      <w:r>
        <w:rPr>
          <w:rFonts w:hint="eastAsia" w:ascii="仿宋_GB2312" w:hAnsi="Courier New" w:eastAsia="仿宋_GB2312"/>
          <w:color w:val="000000" w:themeColor="text1"/>
          <w:sz w:val="24"/>
          <w:szCs w:val="20"/>
          <w14:textFill>
            <w14:solidFill>
              <w14:schemeClr w14:val="tx1"/>
            </w14:solidFill>
          </w14:textFill>
        </w:rPr>
        <w:t>。协商小组将负责对供应商提交的响应文件进行评审，确保协商过程公正、合法、保密。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29、协商及商定成交价</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29.1信用查询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29.1.1</w:t>
      </w:r>
      <w:r>
        <w:rPr>
          <w:rFonts w:hint="eastAsia" w:ascii="仿宋" w:hAnsi="仿宋" w:eastAsia="仿宋" w:cs="仿宋"/>
          <w:b/>
          <w:color w:val="auto"/>
          <w:sz w:val="24"/>
          <w:szCs w:val="20"/>
          <w:highlight w:val="none"/>
        </w:rPr>
        <w:t>信用查询</w:t>
      </w:r>
      <w:r>
        <w:rPr>
          <w:rFonts w:hint="eastAsia" w:ascii="仿宋" w:hAnsi="仿宋" w:eastAsia="仿宋" w:cs="仿宋"/>
          <w:b/>
          <w:color w:val="auto"/>
          <w:sz w:val="24"/>
          <w:szCs w:val="20"/>
          <w:highlight w:val="none"/>
          <w:lang w:eastAsia="zh-CN"/>
        </w:rPr>
        <w:t>：</w:t>
      </w:r>
      <w:r>
        <w:rPr>
          <w:rFonts w:hint="eastAsia" w:ascii="仿宋" w:hAnsi="仿宋" w:eastAsia="仿宋" w:cs="仿宋"/>
          <w:b/>
          <w:color w:val="auto"/>
          <w:sz w:val="24"/>
          <w:szCs w:val="20"/>
          <w:highlight w:val="none"/>
        </w:rPr>
        <w:t>按照《财政部关于在政府采购活动中查询及使用信用记录有关问题的通知》（财库〔2016〕125号）的要求，根据开标当日“信用中国”网站（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www.creditchina.gov.cn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www.ccgp.gov.cn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r>
        <w:rPr>
          <w:rFonts w:hint="eastAsia" w:ascii="仿宋" w:hAnsi="仿宋" w:eastAsia="仿宋" w:cs="仿宋"/>
          <w:b/>
          <w:color w:val="auto"/>
          <w:sz w:val="24"/>
          <w:szCs w:val="20"/>
          <w:highlight w:val="none"/>
        </w:rPr>
        <w:br w:type="textWrapping"/>
      </w:r>
      <w:r>
        <w:rPr>
          <w:rFonts w:hint="eastAsia" w:ascii="仿宋" w:hAnsi="仿宋" w:eastAsia="仿宋" w:cs="仿宋"/>
          <w:b/>
          <w:color w:val="auto"/>
          <w:sz w:val="24"/>
          <w:szCs w:val="20"/>
          <w:highlight w:val="none"/>
          <w:lang w:val="en-US" w:eastAsia="zh-CN"/>
        </w:rPr>
        <w:t xml:space="preserve">    </w:t>
      </w:r>
      <w:r>
        <w:rPr>
          <w:rFonts w:hint="eastAsia" w:ascii="仿宋_GB2312" w:hAnsi="Courier New" w:eastAsia="仿宋_GB2312"/>
          <w:b/>
          <w:color w:val="000000" w:themeColor="text1"/>
          <w:sz w:val="24"/>
          <w:szCs w:val="20"/>
          <w14:textFill>
            <w14:solidFill>
              <w14:schemeClr w14:val="tx1"/>
            </w14:solidFill>
          </w14:textFill>
        </w:rPr>
        <w:t>29.2响应文件</w:t>
      </w:r>
      <w:r>
        <w:rPr>
          <w:rFonts w:ascii="仿宋_GB2312" w:hAnsi="Courier New" w:eastAsia="仿宋_GB2312"/>
          <w:b/>
          <w:color w:val="000000" w:themeColor="text1"/>
          <w:sz w:val="24"/>
          <w:szCs w:val="20"/>
          <w14:textFill>
            <w14:solidFill>
              <w14:schemeClr w14:val="tx1"/>
            </w14:solidFill>
          </w14:textFill>
        </w:rPr>
        <w:t>初审。初审分为资格性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查和符合性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w:t>
      </w:r>
      <w:r>
        <w:rPr>
          <w:rFonts w:hint="eastAsia" w:ascii="仿宋_GB2312" w:hAnsi="Courier New" w:eastAsia="仿宋_GB2312"/>
          <w:b/>
          <w:color w:val="000000" w:themeColor="text1"/>
          <w:sz w:val="24"/>
          <w:szCs w:val="20"/>
          <w14:textFill>
            <w14:solidFill>
              <w14:schemeClr w14:val="tx1"/>
            </w14:solidFill>
          </w14:textFill>
        </w:rPr>
        <w:t>响应文件初审由协商小组根据供应商响应文件进行评审，初审内容详见第六章，未通过初审的供应商其响应文件按照无效响应文件处理。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29.2.</w:t>
      </w:r>
      <w:r>
        <w:rPr>
          <w:rFonts w:ascii="仿宋_GB2312" w:hAnsi="Courier New" w:eastAsia="仿宋_GB2312"/>
          <w:b/>
          <w:color w:val="000000" w:themeColor="text1"/>
          <w:sz w:val="24"/>
          <w:szCs w:val="20"/>
          <w14:textFill>
            <w14:solidFill>
              <w14:schemeClr w14:val="tx1"/>
            </w14:solidFill>
          </w14:textFill>
        </w:rPr>
        <w:t>1资格性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查。依据法律法规和</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的规定，对</w:t>
      </w:r>
      <w:r>
        <w:rPr>
          <w:rFonts w:hint="eastAsia" w:ascii="仿宋_GB2312" w:hAnsi="Courier New" w:eastAsia="仿宋_GB2312"/>
          <w:b/>
          <w:color w:val="000000" w:themeColor="text1"/>
          <w:sz w:val="24"/>
          <w:szCs w:val="20"/>
          <w14:textFill>
            <w14:solidFill>
              <w14:schemeClr w14:val="tx1"/>
            </w14:solidFill>
          </w14:textFill>
        </w:rPr>
        <w:t>响应文件</w:t>
      </w:r>
      <w:r>
        <w:rPr>
          <w:rFonts w:ascii="仿宋_GB2312" w:hAnsi="Courier New" w:eastAsia="仿宋_GB2312"/>
          <w:b/>
          <w:color w:val="000000" w:themeColor="text1"/>
          <w:sz w:val="24"/>
          <w:szCs w:val="20"/>
          <w14:textFill>
            <w14:solidFill>
              <w14:schemeClr w14:val="tx1"/>
            </w14:solidFill>
          </w14:textFill>
        </w:rPr>
        <w:t>中的资格</w:t>
      </w:r>
      <w:r>
        <w:rPr>
          <w:rFonts w:hint="eastAsia" w:ascii="仿宋_GB2312" w:hAnsi="Courier New" w:eastAsia="仿宋_GB2312"/>
          <w:b/>
          <w:color w:val="000000" w:themeColor="text1"/>
          <w:sz w:val="24"/>
          <w:szCs w:val="20"/>
          <w14:textFill>
            <w14:solidFill>
              <w14:schemeClr w14:val="tx1"/>
            </w14:solidFill>
          </w14:textFill>
        </w:rPr>
        <w:t>证明</w:t>
      </w:r>
      <w:r>
        <w:rPr>
          <w:rFonts w:ascii="仿宋_GB2312" w:hAnsi="Courier New" w:eastAsia="仿宋_GB2312"/>
          <w:b/>
          <w:color w:val="000000" w:themeColor="text1"/>
          <w:sz w:val="24"/>
          <w:szCs w:val="20"/>
          <w14:textFill>
            <w14:solidFill>
              <w14:schemeClr w14:val="tx1"/>
            </w14:solidFill>
          </w14:textFill>
        </w:rPr>
        <w:t>等进行审查，以确定</w:t>
      </w:r>
      <w:r>
        <w:rPr>
          <w:rFonts w:hint="eastAsia" w:ascii="仿宋_GB2312" w:hAnsi="Courier New" w:eastAsia="仿宋_GB2312"/>
          <w:b/>
          <w:color w:val="000000" w:themeColor="text1"/>
          <w:sz w:val="24"/>
          <w:szCs w:val="20"/>
          <w14:textFill>
            <w14:solidFill>
              <w14:schemeClr w14:val="tx1"/>
            </w14:solidFill>
          </w14:textFill>
        </w:rPr>
        <w:t>供应商</w:t>
      </w:r>
      <w:r>
        <w:rPr>
          <w:rFonts w:ascii="仿宋_GB2312" w:hAnsi="Courier New" w:eastAsia="仿宋_GB2312"/>
          <w:b/>
          <w:color w:val="000000" w:themeColor="text1"/>
          <w:sz w:val="24"/>
          <w:szCs w:val="20"/>
          <w14:textFill>
            <w14:solidFill>
              <w14:schemeClr w14:val="tx1"/>
            </w14:solidFill>
          </w14:textFill>
        </w:rPr>
        <w:t>是否具备</w:t>
      </w:r>
      <w:r>
        <w:rPr>
          <w:rFonts w:hint="eastAsia" w:ascii="仿宋_GB2312" w:hAnsi="Courier New" w:eastAsia="仿宋_GB2312"/>
          <w:b/>
          <w:color w:val="000000" w:themeColor="text1"/>
          <w:sz w:val="24"/>
          <w:szCs w:val="20"/>
          <w14:textFill>
            <w14:solidFill>
              <w14:schemeClr w14:val="tx1"/>
            </w14:solidFill>
          </w14:textFill>
        </w:rPr>
        <w:t>协商</w:t>
      </w:r>
      <w:r>
        <w:rPr>
          <w:rFonts w:ascii="仿宋_GB2312" w:hAnsi="Courier New" w:eastAsia="仿宋_GB2312"/>
          <w:b/>
          <w:color w:val="000000" w:themeColor="text1"/>
          <w:sz w:val="24"/>
          <w:szCs w:val="20"/>
          <w14:textFill>
            <w14:solidFill>
              <w14:schemeClr w14:val="tx1"/>
            </w14:solidFill>
          </w14:textFill>
        </w:rPr>
        <w:t>资格。</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29.2.2</w:t>
      </w:r>
      <w:r>
        <w:rPr>
          <w:rFonts w:ascii="仿宋_GB2312" w:hAnsi="Courier New" w:eastAsia="仿宋_GB2312"/>
          <w:b/>
          <w:color w:val="000000" w:themeColor="text1"/>
          <w:sz w:val="24"/>
          <w:szCs w:val="20"/>
          <w14:textFill>
            <w14:solidFill>
              <w14:schemeClr w14:val="tx1"/>
            </w14:solidFill>
          </w14:textFill>
        </w:rPr>
        <w:t>符合性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查。依据</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的规定，从</w:t>
      </w:r>
      <w:r>
        <w:rPr>
          <w:rFonts w:hint="eastAsia" w:ascii="仿宋_GB2312" w:hAnsi="Courier New" w:eastAsia="仿宋_GB2312"/>
          <w:b/>
          <w:color w:val="000000" w:themeColor="text1"/>
          <w:sz w:val="24"/>
          <w:szCs w:val="20"/>
          <w14:textFill>
            <w14:solidFill>
              <w14:schemeClr w14:val="tx1"/>
            </w14:solidFill>
          </w14:textFill>
        </w:rPr>
        <w:t>响应文件</w:t>
      </w:r>
      <w:r>
        <w:rPr>
          <w:rFonts w:ascii="仿宋_GB2312" w:hAnsi="Courier New" w:eastAsia="仿宋_GB2312"/>
          <w:b/>
          <w:color w:val="000000" w:themeColor="text1"/>
          <w:sz w:val="24"/>
          <w:szCs w:val="20"/>
          <w14:textFill>
            <w14:solidFill>
              <w14:schemeClr w14:val="tx1"/>
            </w14:solidFill>
          </w14:textFill>
        </w:rPr>
        <w:t>的有效性、完整性和对</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的响应程度进行审查，以确定是否对</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的实质性要求作出响应。</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29.3协商小组在协商过程中，不得改变单一来源采购文件所确定的技术和服务等要求、评审程序、评定成交的标准和合同文本等事项。</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29.4协商小组将对实质性响应单一来源采购文件的响应文件进行详细评审。对设备、材料技术规格、性能、价格等进行评审，并与单一来源采购文件、项目采购需求和采购人的实际需要进行评审。</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29.5</w:t>
      </w:r>
      <w:r>
        <w:rPr>
          <w:rFonts w:hint="eastAsia" w:ascii="仿宋_GB2312" w:hAnsi="Courier New" w:eastAsia="仿宋_GB2312"/>
          <w:b/>
          <w:color w:val="000000" w:themeColor="text1"/>
          <w:sz w:val="24"/>
          <w:szCs w:val="20"/>
          <w14:textFill>
            <w14:solidFill>
              <w14:schemeClr w14:val="tx1"/>
            </w14:solidFill>
          </w14:textFill>
        </w:rPr>
        <w:t>参加单一来源采购活动的供应商，应当按照单一来源采购文件的规定经协商后提交最后报价，最后报价是供应商响应文件的有效组成部分。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29.6如果响应文件实质上没有响应单一来源采购文件的要求，协商小组将予以拒绝，供应商不得通过修正或撤消不符合要求的偏离或保留，而使其成为实质上响应。</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29.6协商结束后，协商小组应当要求实质性响应的供应商在规定时间内提交最后报价。两轮（若有）以上报价的，供应商在未提高响应文件中承诺的产品及其服务质量的情况下，其最后报价不得高于对该项目之前的报价，否则，协商小组应当对其响应文件按无效处理，并书面告知供应商，说明理由。</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29.7采购代理机构应当在协商结束后2个工作日内将单一来源采购协商记录送采购人确认。</w:t>
      </w:r>
    </w:p>
    <w:p>
      <w:pPr>
        <w:spacing w:line="360" w:lineRule="auto"/>
        <w:ind w:firstLine="482" w:firstLineChars="200"/>
        <w:outlineLvl w:val="1"/>
        <w:rPr>
          <w:rFonts w:ascii="仿宋_GB2312" w:hAnsi="Courier New" w:eastAsia="仿宋_GB2312"/>
          <w:color w:val="000000" w:themeColor="text1"/>
          <w:sz w:val="24"/>
          <w:szCs w:val="20"/>
          <w14:textFill>
            <w14:solidFill>
              <w14:schemeClr w14:val="tx1"/>
            </w14:solidFill>
          </w14:textFill>
        </w:rPr>
      </w:pPr>
      <w:bookmarkStart w:id="118" w:name="_Toc243907607"/>
      <w:bookmarkStart w:id="119" w:name="_Toc245897306"/>
      <w:bookmarkStart w:id="120" w:name="_Toc233274845"/>
      <w:bookmarkStart w:id="121" w:name="_Toc243906346"/>
      <w:bookmarkStart w:id="122" w:name="_Toc233274843"/>
      <w:bookmarkStart w:id="123" w:name="_Toc243906344"/>
      <w:bookmarkStart w:id="124" w:name="_Toc245897304"/>
      <w:bookmarkStart w:id="125" w:name="_Toc243907605"/>
      <w:r>
        <w:rPr>
          <w:rFonts w:hint="eastAsia" w:ascii="黑体" w:hAnsi="Courier New" w:eastAsia="黑体"/>
          <w:b/>
          <w:color w:val="000000" w:themeColor="text1"/>
          <w:sz w:val="24"/>
          <w:szCs w:val="20"/>
          <w14:textFill>
            <w14:solidFill>
              <w14:schemeClr w14:val="tx1"/>
            </w14:solidFill>
          </w14:textFill>
        </w:rPr>
        <w:t>30、重大偏离</w:t>
      </w:r>
      <w:bookmarkEnd w:id="118"/>
      <w:bookmarkEnd w:id="119"/>
      <w:bookmarkEnd w:id="120"/>
      <w:bookmarkEnd w:id="121"/>
    </w:p>
    <w:p>
      <w:pPr>
        <w:spacing w:line="360" w:lineRule="auto"/>
        <w:ind w:firstLine="482" w:firstLineChars="200"/>
        <w:rPr>
          <w:rFonts w:ascii="黑体" w:hAnsi="Courier New" w:eastAsia="黑体"/>
          <w:b/>
          <w:color w:val="000000" w:themeColor="text1"/>
          <w:sz w:val="24"/>
          <w:szCs w:val="20"/>
          <w14:textFill>
            <w14:solidFill>
              <w14:schemeClr w14:val="tx1"/>
            </w14:solidFill>
          </w14:textFill>
        </w:rPr>
      </w:pPr>
      <w:bookmarkStart w:id="126" w:name="_Toc243907608"/>
      <w:bookmarkStart w:id="127" w:name="_Toc233274846"/>
      <w:bookmarkStart w:id="128" w:name="_Toc243906347"/>
      <w:bookmarkStart w:id="129" w:name="_Toc245897307"/>
      <w:r>
        <w:rPr>
          <w:rFonts w:hint="eastAsia" w:ascii="黑体" w:hAnsi="Courier New" w:eastAsia="黑体"/>
          <w:b/>
          <w:color w:val="000000" w:themeColor="text1"/>
          <w:sz w:val="24"/>
          <w:szCs w:val="20"/>
          <w14:textFill>
            <w14:solidFill>
              <w14:schemeClr w14:val="tx1"/>
            </w14:solidFill>
          </w14:textFill>
        </w:rPr>
        <w:t>重大偏离是指实质上影响合同的采购范围、质量和性能、服务期限等，或者实质上不满足单一来源采购文件的要求，而且限制了采购人的权力或减轻了供应商的义务。</w:t>
      </w:r>
    </w:p>
    <w:p>
      <w:pPr>
        <w:spacing w:line="360" w:lineRule="auto"/>
        <w:ind w:firstLine="482" w:firstLineChars="200"/>
        <w:outlineLvl w:val="1"/>
        <w:rPr>
          <w:rFonts w:ascii="黑体" w:hAnsi="Courier New" w:eastAsia="黑体"/>
          <w:b/>
          <w:color w:val="000000" w:themeColor="text1"/>
          <w:sz w:val="24"/>
          <w:szCs w:val="20"/>
          <w14:textFill>
            <w14:solidFill>
              <w14:schemeClr w14:val="tx1"/>
            </w14:solidFill>
          </w14:textFill>
        </w:rPr>
      </w:pPr>
      <w:r>
        <w:rPr>
          <w:rFonts w:hint="eastAsia" w:ascii="黑体" w:hAnsi="Courier New" w:eastAsia="黑体"/>
          <w:b/>
          <w:color w:val="000000" w:themeColor="text1"/>
          <w:sz w:val="24"/>
          <w:szCs w:val="20"/>
          <w14:textFill>
            <w14:solidFill>
              <w14:schemeClr w14:val="tx1"/>
            </w14:solidFill>
          </w14:textFill>
        </w:rPr>
        <w:t>31、</w:t>
      </w:r>
      <w:bookmarkEnd w:id="126"/>
      <w:bookmarkEnd w:id="127"/>
      <w:bookmarkEnd w:id="128"/>
      <w:bookmarkEnd w:id="129"/>
      <w:r>
        <w:rPr>
          <w:rFonts w:hint="eastAsia" w:ascii="黑体" w:hAnsi="Courier New" w:eastAsia="黑体"/>
          <w:b/>
          <w:color w:val="000000" w:themeColor="text1"/>
          <w:sz w:val="24"/>
          <w:szCs w:val="20"/>
          <w14:textFill>
            <w14:solidFill>
              <w14:schemeClr w14:val="tx1"/>
            </w14:solidFill>
          </w14:textFill>
        </w:rPr>
        <w:t>无效响应文件</w:t>
      </w:r>
    </w:p>
    <w:p>
      <w:pPr>
        <w:spacing w:line="360" w:lineRule="auto"/>
        <w:ind w:firstLine="482" w:firstLineChars="200"/>
        <w:rPr>
          <w:rFonts w:ascii="黑体" w:hAnsi="Courier New" w:eastAsia="黑体"/>
          <w:b/>
          <w:color w:val="000000" w:themeColor="text1"/>
          <w:sz w:val="24"/>
          <w:szCs w:val="20"/>
          <w14:textFill>
            <w14:solidFill>
              <w14:schemeClr w14:val="tx1"/>
            </w14:solidFill>
          </w14:textFill>
        </w:rPr>
      </w:pPr>
      <w:r>
        <w:rPr>
          <w:rFonts w:hint="eastAsia" w:ascii="黑体" w:hAnsi="Courier New" w:eastAsia="黑体"/>
          <w:b/>
          <w:color w:val="000000" w:themeColor="text1"/>
          <w:sz w:val="24"/>
          <w14:textFill>
            <w14:solidFill>
              <w14:schemeClr w14:val="tx1"/>
            </w14:solidFill>
          </w14:textFill>
        </w:rPr>
        <w:t>响应文件有下列情形之一的，由协商小组评审后按无效响应文件处理：</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31.1供应商递交两份或多份内容不同的响应文件；</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31.2</w:t>
      </w:r>
      <w:r>
        <w:rPr>
          <w:rFonts w:hint="eastAsia" w:ascii="仿宋_GB2312" w:hAnsi="宋体" w:eastAsia="仿宋_GB2312"/>
          <w:b/>
          <w:color w:val="000000" w:themeColor="text1"/>
          <w:kern w:val="0"/>
          <w:sz w:val="24"/>
          <w14:textFill>
            <w14:solidFill>
              <w14:schemeClr w14:val="tx1"/>
            </w14:solidFill>
          </w14:textFill>
        </w:rPr>
        <w:t>供应商的商务报价高于采购预算；</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31.3响应文件附有采购人不能接受条件的；</w:t>
      </w:r>
    </w:p>
    <w:p>
      <w:pPr>
        <w:widowControl/>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31.4</w:t>
      </w:r>
      <w:r>
        <w:rPr>
          <w:rFonts w:hint="eastAsia" w:ascii="仿宋_GB2312" w:hAnsi="宋体" w:eastAsia="仿宋_GB2312" w:cs="宋体"/>
          <w:color w:val="000000" w:themeColor="text1"/>
          <w:sz w:val="24"/>
          <w14:textFill>
            <w14:solidFill>
              <w14:schemeClr w14:val="tx1"/>
            </w14:solidFill>
          </w14:textFill>
        </w:rPr>
        <w:t>出现重大偏离的</w:t>
      </w:r>
      <w:r>
        <w:rPr>
          <w:rFonts w:hint="eastAsia" w:ascii="仿宋_GB2312" w:hAnsi="宋体" w:eastAsia="仿宋_GB2312"/>
          <w:color w:val="000000" w:themeColor="text1"/>
          <w:sz w:val="24"/>
          <w14:textFill>
            <w14:solidFill>
              <w14:schemeClr w14:val="tx1"/>
            </w14:solidFill>
          </w14:textFill>
        </w:rPr>
        <w:t>；</w:t>
      </w:r>
    </w:p>
    <w:p>
      <w:pPr>
        <w:widowControl/>
        <w:spacing w:line="360" w:lineRule="auto"/>
        <w:ind w:firstLine="480" w:firstLineChars="20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31.5</w:t>
      </w:r>
      <w:r>
        <w:rPr>
          <w:rFonts w:hint="eastAsia" w:ascii="仿宋_GB2312" w:hAnsi="宋体" w:eastAsia="仿宋_GB2312" w:cs="宋体"/>
          <w:color w:val="000000" w:themeColor="text1"/>
          <w:sz w:val="24"/>
          <w14:textFill>
            <w14:solidFill>
              <w14:schemeClr w14:val="tx1"/>
            </w14:solidFill>
          </w14:textFill>
        </w:rPr>
        <w:t>对单一来源采购文件提出的实质性要求和条件未能实质性响应；</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31.6《中华人民共和国政府采购法》、《中华人民共和国政府采购法实施条例》、《政府采购非招标采购方式管理办法》及相关法律法规及单一来源采购文件明确规定可以作无效响应文件的其他情形。</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30" w:name="_Toc243906348"/>
      <w:bookmarkStart w:id="131" w:name="_Toc233274847"/>
      <w:bookmarkStart w:id="132" w:name="_Toc245897308"/>
      <w:bookmarkStart w:id="133" w:name="_Toc243907609"/>
      <w:r>
        <w:rPr>
          <w:rFonts w:hint="eastAsia" w:ascii="仿宋_GB2312" w:hAnsi="Courier New" w:eastAsia="仿宋_GB2312"/>
          <w:bCs/>
          <w:color w:val="000000" w:themeColor="text1"/>
          <w:sz w:val="24"/>
          <w:szCs w:val="20"/>
          <w14:textFill>
            <w14:solidFill>
              <w14:schemeClr w14:val="tx1"/>
            </w14:solidFill>
          </w14:textFill>
        </w:rPr>
        <w:t>32、</w:t>
      </w:r>
      <w:bookmarkEnd w:id="122"/>
      <w:bookmarkEnd w:id="123"/>
      <w:bookmarkEnd w:id="124"/>
      <w:bookmarkEnd w:id="125"/>
      <w:bookmarkEnd w:id="130"/>
      <w:bookmarkEnd w:id="131"/>
      <w:bookmarkEnd w:id="132"/>
      <w:bookmarkEnd w:id="133"/>
      <w:r>
        <w:rPr>
          <w:rFonts w:hint="eastAsia" w:ascii="仿宋_GB2312" w:hAnsi="Courier New" w:eastAsia="仿宋_GB2312"/>
          <w:color w:val="000000" w:themeColor="text1"/>
          <w:sz w:val="24"/>
          <w:szCs w:val="20"/>
          <w14:textFill>
            <w14:solidFill>
              <w14:schemeClr w14:val="tx1"/>
            </w14:solidFill>
          </w14:textFill>
        </w:rPr>
        <w:t>商务报价错误的修正</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32.1如果发现商务报价存在计算或表达上错误，则按下列原则进行修正：</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bookmarkStart w:id="134" w:name="_Toc245897305"/>
      <w:bookmarkStart w:id="135" w:name="_Toc224623557"/>
      <w:bookmarkStart w:id="136" w:name="_Toc224624767"/>
      <w:bookmarkStart w:id="137" w:name="_Toc224620071"/>
      <w:bookmarkStart w:id="138" w:name="_Toc224624488"/>
      <w:bookmarkStart w:id="139" w:name="_Toc224624628"/>
      <w:bookmarkStart w:id="140" w:name="_Toc224623451"/>
      <w:bookmarkStart w:id="141" w:name="_Toc243907606"/>
      <w:bookmarkStart w:id="142" w:name="_Toc243906345"/>
      <w:bookmarkStart w:id="143" w:name="_Toc224620150"/>
      <w:bookmarkStart w:id="144" w:name="_Toc224623663"/>
      <w:bookmarkStart w:id="145" w:name="_Toc224622928"/>
      <w:r>
        <w:rPr>
          <w:rFonts w:hint="eastAsia" w:ascii="仿宋_GB2312" w:hAnsi="Courier New" w:eastAsia="仿宋_GB2312"/>
          <w:color w:val="000000" w:themeColor="text1"/>
          <w:sz w:val="24"/>
          <w14:textFill>
            <w14:solidFill>
              <w14:schemeClr w14:val="tx1"/>
            </w14:solidFill>
          </w14:textFill>
        </w:rPr>
        <w:t>（1）用数字表示的数额与用文字表示的数额不一致时，以文字数额为准；</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（2）单价与工程量的乘积与总价之间不一致时，以单价为准。若单价有明显小数点错位，应以总价为准，并修改单价。</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32.2协商小组将按第32.1条原则修正商务报价，并要求供应商进行确认。确认后的报价和文件将对供应商具有约束力。并以修正后的报价作为评审的依据。</w:t>
      </w:r>
    </w:p>
    <w:bookmarkEnd w:id="134"/>
    <w:bookmarkEnd w:id="135"/>
    <w:bookmarkEnd w:id="136"/>
    <w:bookmarkEnd w:id="137"/>
    <w:bookmarkEnd w:id="138"/>
    <w:bookmarkEnd w:id="139"/>
    <w:bookmarkEnd w:id="140"/>
    <w:bookmarkEnd w:id="141"/>
    <w:bookmarkEnd w:id="142"/>
    <w:bookmarkEnd w:id="143"/>
    <w:bookmarkEnd w:id="144"/>
    <w:bookmarkEnd w:id="145"/>
    <w:p>
      <w:pPr>
        <w:spacing w:line="360" w:lineRule="auto"/>
        <w:ind w:firstLine="470" w:firstLineChars="196"/>
        <w:outlineLvl w:val="1"/>
        <w:rPr>
          <w:rFonts w:ascii="仿宋_GB2312" w:hAnsi="Courier New" w:eastAsia="仿宋_GB2312"/>
          <w:color w:val="000000" w:themeColor="text1"/>
          <w:sz w:val="24"/>
          <w:szCs w:val="20"/>
          <w14:textFill>
            <w14:solidFill>
              <w14:schemeClr w14:val="tx1"/>
            </w14:solidFill>
          </w14:textFill>
        </w:rPr>
      </w:pPr>
      <w:bookmarkStart w:id="146" w:name="_Toc243907610"/>
      <w:bookmarkStart w:id="147" w:name="_Toc245897309"/>
      <w:bookmarkStart w:id="148" w:name="_Toc243906349"/>
      <w:bookmarkStart w:id="149" w:name="_Toc233274848"/>
      <w:r>
        <w:rPr>
          <w:rFonts w:hint="eastAsia" w:ascii="仿宋_GB2312" w:hAnsi="Courier New" w:eastAsia="仿宋_GB2312"/>
          <w:color w:val="000000" w:themeColor="text1"/>
          <w:sz w:val="24"/>
          <w:szCs w:val="20"/>
          <w14:textFill>
            <w14:solidFill>
              <w14:schemeClr w14:val="tx1"/>
            </w14:solidFill>
          </w14:textFill>
        </w:rPr>
        <w:t>33、采购人依法接受和拒绝任一或所有供应商的权力</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34、成交通知</w:t>
      </w:r>
      <w:bookmarkEnd w:id="146"/>
      <w:bookmarkEnd w:id="147"/>
      <w:bookmarkEnd w:id="148"/>
      <w:bookmarkEnd w:id="149"/>
      <w:r>
        <w:rPr>
          <w:rFonts w:hint="eastAsia" w:ascii="仿宋_GB2312" w:hAnsi="Courier New" w:eastAsia="仿宋_GB2312"/>
          <w:color w:val="000000" w:themeColor="text1"/>
          <w:sz w:val="24"/>
          <w:szCs w:val="20"/>
          <w14:textFill>
            <w14:solidFill>
              <w14:schemeClr w14:val="tx1"/>
            </w14:solidFill>
          </w14:textFill>
        </w:rPr>
        <w:t>书</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34.2《成交通知书》将是合同的组成部分。</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50" w:name="_Toc243907611"/>
      <w:bookmarkStart w:id="151" w:name="_Toc245897310"/>
      <w:bookmarkStart w:id="152" w:name="_Toc243906350"/>
      <w:bookmarkStart w:id="153" w:name="_Toc233274849"/>
      <w:r>
        <w:rPr>
          <w:rFonts w:hint="eastAsia" w:ascii="仿宋_GB2312" w:hAnsi="Courier New" w:eastAsia="仿宋_GB2312"/>
          <w:color w:val="000000" w:themeColor="text1"/>
          <w:sz w:val="24"/>
          <w:szCs w:val="20"/>
          <w14:textFill>
            <w14:solidFill>
              <w14:schemeClr w14:val="tx1"/>
            </w14:solidFill>
          </w14:textFill>
        </w:rPr>
        <w:t>35、纪律与保密事项</w:t>
      </w:r>
      <w:bookmarkEnd w:id="150"/>
      <w:bookmarkEnd w:id="151"/>
      <w:bookmarkEnd w:id="152"/>
      <w:bookmarkEnd w:id="153"/>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35.1凡参与采购工作的有关人员均应自觉接受有关主管部门的监督，不得向他人透露可能影响公平竞争的有关采购的其他情况。</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35.2领取本单一来源采购文件及其它相关资料者，应对文件进行保密，不得用作本次采购以外的任何用途。由采购人向供应商提供的技术资料和所有其它资料，均视为保密资料，除非得到采购人的同意，不得向第三方透露。</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35.3供应商不得与采购人串通采购，不得向采购人或者协商小组成员行贿谋取成交，不得以他人名义参与采购或者以其它任何方式弄虚作假骗取参与采购；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eastAsia="zh-CN"/>
          <w14:textFill>
            <w14:solidFill>
              <w14:schemeClr w14:val="tx1"/>
            </w14:solidFill>
          </w14:textFill>
        </w:rPr>
        <w:t>12</w:t>
      </w:r>
      <w:r>
        <w:rPr>
          <w:rFonts w:hint="eastAsia" w:ascii="仿宋_GB2312" w:eastAsia="仿宋_GB2312"/>
          <w:color w:val="000000" w:themeColor="text1"/>
          <w:sz w:val="24"/>
          <w14:textFill>
            <w14:solidFill>
              <w14:schemeClr w14:val="tx1"/>
            </w14:solidFill>
          </w14:textFill>
        </w:rPr>
        <w:t xml:space="preserve"> 采购之日起直至授予成交供应商合同为止，凡属于对响应文件的审查、澄清、评价、比较有关的资料和成交候选人的推荐情况及与评审有关的其他任何情况均严格保密。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35.6从采购之日起至授予合同期间，供应商试图向协商小组、采购代理机构施加任何影响或对采购人的比较及授予合同的决定进行影响，都可能导致其响应文件被拒绝。</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35.7除供应商被要求对响应文件进行澄清外，从采购之时起至授予合同期间，供应商不得就与其响应文件有关的事项主动与协商小组、采购代理机构以及采购人联系。</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35.8成交供应商确定后，采购人不对未成交供应商就评审过程以及未能成交原因作出任何解释，未成交供应商不得向协商小组或其他有关人员询问评审过程的情况和索取评审过程的资料。</w:t>
      </w:r>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F   授予合同</w:t>
      </w:r>
    </w:p>
    <w:p>
      <w:pPr>
        <w:pStyle w:val="14"/>
        <w:spacing w:line="360" w:lineRule="auto"/>
        <w:ind w:firstLine="480" w:firstLineChars="200"/>
        <w:outlineLvl w:val="1"/>
        <w:rPr>
          <w:rFonts w:ascii="仿宋_GB2312" w:eastAsia="仿宋_GB2312"/>
          <w:bCs/>
          <w:color w:val="000000" w:themeColor="text1"/>
          <w:sz w:val="24"/>
          <w:szCs w:val="24"/>
          <w14:textFill>
            <w14:solidFill>
              <w14:schemeClr w14:val="tx1"/>
            </w14:solidFill>
          </w14:textFill>
        </w:rPr>
      </w:pPr>
      <w:bookmarkStart w:id="154" w:name="_Toc245897315"/>
      <w:bookmarkStart w:id="155" w:name="_Toc243907618"/>
      <w:bookmarkStart w:id="156" w:name="_Toc243906355"/>
      <w:bookmarkStart w:id="157" w:name="_Toc233274853"/>
    </w:p>
    <w:bookmarkEnd w:id="154"/>
    <w:bookmarkEnd w:id="155"/>
    <w:bookmarkEnd w:id="156"/>
    <w:bookmarkEnd w:id="157"/>
    <w:p>
      <w:pPr>
        <w:pStyle w:val="14"/>
        <w:spacing w:line="360" w:lineRule="auto"/>
        <w:ind w:firstLine="480" w:firstLineChars="200"/>
        <w:outlineLvl w:val="1"/>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36、授予合同标准</w:t>
      </w:r>
    </w:p>
    <w:p>
      <w:pPr>
        <w:pStyle w:val="14"/>
        <w:spacing w:line="360" w:lineRule="auto"/>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36.1本采购项目的</w:t>
      </w:r>
      <w:r>
        <w:rPr>
          <w:rFonts w:hint="eastAsia" w:ascii="仿宋_GB2312" w:eastAsia="仿宋_GB2312"/>
          <w:bCs/>
          <w:color w:val="000000" w:themeColor="text1"/>
          <w:sz w:val="24"/>
          <w:szCs w:val="24"/>
          <w:lang w:eastAsia="zh-CN"/>
          <w14:textFill>
            <w14:solidFill>
              <w14:schemeClr w14:val="tx1"/>
            </w14:solidFill>
          </w14:textFill>
        </w:rPr>
        <w:t>服务</w:t>
      </w:r>
      <w:r>
        <w:rPr>
          <w:rFonts w:hint="eastAsia" w:ascii="仿宋_GB2312" w:eastAsia="仿宋_GB2312"/>
          <w:bCs/>
          <w:color w:val="000000" w:themeColor="text1"/>
          <w:sz w:val="24"/>
          <w:szCs w:val="24"/>
          <w14:textFill>
            <w14:solidFill>
              <w14:schemeClr w14:val="tx1"/>
            </w14:solidFill>
          </w14:textFill>
        </w:rPr>
        <w:t>采购合同将授予按本须知第</w:t>
      </w:r>
      <w:r>
        <w:rPr>
          <w:rFonts w:hint="eastAsia" w:ascii="仿宋_GB2312" w:eastAsia="仿宋_GB2312"/>
          <w:bCs/>
          <w:color w:val="000000" w:themeColor="text1"/>
          <w:sz w:val="24"/>
          <w:szCs w:val="24"/>
          <w:lang w:val="en-US" w:eastAsia="zh-CN"/>
          <w14:textFill>
            <w14:solidFill>
              <w14:schemeClr w14:val="tx1"/>
            </w14:solidFill>
          </w14:textFill>
        </w:rPr>
        <w:t>29</w:t>
      </w:r>
      <w:r>
        <w:rPr>
          <w:rFonts w:hint="eastAsia" w:ascii="仿宋_GB2312" w:eastAsia="仿宋_GB2312"/>
          <w:bCs/>
          <w:color w:val="000000" w:themeColor="text1"/>
          <w:sz w:val="24"/>
          <w:szCs w:val="24"/>
          <w14:textFill>
            <w14:solidFill>
              <w14:schemeClr w14:val="tx1"/>
            </w14:solidFill>
          </w14:textFill>
        </w:rPr>
        <w:t>条所确定成交供应商。</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158" w:name="_Toc245897317"/>
      <w:bookmarkStart w:id="159" w:name="_Toc243907620"/>
      <w:bookmarkStart w:id="160" w:name="_Toc233274855"/>
      <w:bookmarkStart w:id="161" w:name="_Toc243906357"/>
      <w:r>
        <w:rPr>
          <w:rFonts w:hint="eastAsia" w:ascii="仿宋_GB2312" w:eastAsia="仿宋_GB2312"/>
          <w:color w:val="000000" w:themeColor="text1"/>
          <w:sz w:val="24"/>
          <w14:textFill>
            <w14:solidFill>
              <w14:schemeClr w14:val="tx1"/>
            </w14:solidFill>
          </w14:textFill>
        </w:rPr>
        <w:t>37、签订合同</w:t>
      </w:r>
      <w:bookmarkEnd w:id="158"/>
      <w:bookmarkEnd w:id="159"/>
      <w:bookmarkEnd w:id="160"/>
      <w:bookmarkEnd w:id="16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37.1成交供应商应当自成交通知书发出之日起三十日内，按照单一来源采购文件和成交供应商的响应文件订立书面合同。成交供应商不得要求订立背离本响应文件合同条款等响应文件实质性内容的其他协议。</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37.2 成交通知书、成交供应商的响应文件及其技术规范及标准、项目采购需求、本单一来源采购文件（含修改文件或补充文件）及答疑纪要等，均为签订合同的依据。</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37.3采购人如不按本须知37.1条规定与成交供应商签订合同，或者采购人、成交供应商签订背离合同实质性内容的协议，由监督管理部门责令其改正。</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37.4成交供应商如不按本须知37.1条规定与采购人签订合同，则按违约处理，采购人将有权取消成交供应商资格，给采购人造成损失超过保证金数额的，还应当对超过部分予以赔偿，同时依法承担相应的法律责任。</w:t>
      </w:r>
    </w:p>
    <w:p>
      <w:pPr>
        <w:spacing w:line="360" w:lineRule="auto"/>
        <w:ind w:firstLine="481"/>
        <w:rPr>
          <w:rFonts w:ascii="仿宋_GB2312" w:eastAsia="仿宋_GB2312"/>
          <w:color w:val="000000" w:themeColor="text1"/>
          <w14:textFill>
            <w14:solidFill>
              <w14:schemeClr w14:val="tx1"/>
            </w14:solidFill>
          </w14:textFill>
        </w:rPr>
      </w:pPr>
      <w:r>
        <w:rPr>
          <w:rFonts w:hint="eastAsia" w:ascii="黑体" w:eastAsia="黑体"/>
          <w:b/>
          <w:color w:val="000000" w:themeColor="text1"/>
          <w:sz w:val="24"/>
          <w14:textFill>
            <w14:solidFill>
              <w14:schemeClr w14:val="tx1"/>
            </w14:solidFill>
          </w14:textFill>
        </w:rPr>
        <w:t>37.5采购人如遇成交供应商违约，采购人可重新开展采购活动。</w:t>
      </w:r>
    </w:p>
    <w:p>
      <w:pPr>
        <w:spacing w:line="360" w:lineRule="auto"/>
        <w:ind w:firstLine="481"/>
        <w:outlineLvl w:val="1"/>
        <w:rPr>
          <w:rFonts w:ascii="仿宋_GB2312" w:eastAsia="仿宋_GB2312"/>
          <w:color w:val="000000" w:themeColor="text1"/>
          <w14:textFill>
            <w14:solidFill>
              <w14:schemeClr w14:val="tx1"/>
            </w14:solidFill>
          </w14:textFill>
        </w:rPr>
      </w:pPr>
      <w:bookmarkStart w:id="162" w:name="_Toc243907621"/>
      <w:bookmarkStart w:id="163" w:name="_Toc245897318"/>
      <w:r>
        <w:rPr>
          <w:rFonts w:hint="eastAsia" w:ascii="仿宋_GB2312" w:eastAsia="仿宋_GB2312"/>
          <w:color w:val="000000" w:themeColor="text1"/>
          <w:sz w:val="24"/>
          <w14:textFill>
            <w14:solidFill>
              <w14:schemeClr w14:val="tx1"/>
            </w14:solidFill>
          </w14:textFill>
        </w:rPr>
        <w:t>38、合同的签订准则</w:t>
      </w:r>
      <w:bookmarkEnd w:id="162"/>
      <w:bookmarkEnd w:id="163"/>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38.1合同签订必须由采购人、成交供应商双方供应商代表人或其委托代理人签署并加盖法人公章后方能生效。</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38.2合同转包（实质性要求）</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成交供应商转包的，视同拒绝履行政府采购合同义务，将依法追究法律责任。</w:t>
      </w:r>
    </w:p>
    <w:p>
      <w:pPr>
        <w:spacing w:line="360" w:lineRule="auto"/>
        <w:ind w:firstLine="361" w:firstLineChars="15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39验收</w:t>
      </w:r>
    </w:p>
    <w:p>
      <w:pPr>
        <w:spacing w:line="360" w:lineRule="auto"/>
        <w:ind w:firstLine="360" w:firstLineChars="15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39.1本项目采购人将严格按照政府采购相关法律法规以及《政府采购项目需求论证和履约验收管理办法》（克财发〔</w:t>
      </w:r>
      <w:r>
        <w:rPr>
          <w:rFonts w:ascii="仿宋_GB2312" w:eastAsia="仿宋_GB2312"/>
          <w:color w:val="000000" w:themeColor="text1"/>
          <w:sz w:val="24"/>
          <w14:textFill>
            <w14:solidFill>
              <w14:schemeClr w14:val="tx1"/>
            </w14:solidFill>
          </w14:textFill>
        </w:rPr>
        <w:t>2016</w:t>
      </w:r>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9</w:t>
      </w:r>
      <w:r>
        <w:rPr>
          <w:rFonts w:hint="eastAsia" w:ascii="仿宋_GB2312" w:eastAsia="仿宋_GB2312"/>
          <w:color w:val="000000" w:themeColor="text1"/>
          <w:sz w:val="24"/>
          <w14:textFill>
            <w14:solidFill>
              <w14:schemeClr w14:val="tx1"/>
            </w14:solidFill>
          </w14:textFill>
        </w:rPr>
        <w:t>号）的要求进行验收。</w:t>
      </w: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r>
        <w:rPr>
          <w:rFonts w:hint="eastAsia" w:ascii="仿宋_GB2312" w:hAnsi="Courier New" w:eastAsia="仿宋_GB2312"/>
          <w:b/>
          <w:bCs/>
          <w:color w:val="000000" w:themeColor="text1"/>
          <w:kern w:val="0"/>
          <w:sz w:val="28"/>
          <w:szCs w:val="28"/>
          <w14:textFill>
            <w14:solidFill>
              <w14:schemeClr w14:val="tx1"/>
            </w14:solidFill>
          </w14:textFill>
        </w:rPr>
        <w:t>G  询问、质疑、投诉</w:t>
      </w:r>
    </w:p>
    <w:p>
      <w:pPr>
        <w:snapToGrid w:val="0"/>
        <w:spacing w:line="360" w:lineRule="auto"/>
        <w:ind w:firstLine="482" w:firstLineChars="20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40、询问</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40.1供应商对采购活动事项有疑问的，可以向采购人或采购代理机构提出询问，采购人或采购代理机构应当在三个工作日内对供应商依法提出的询问作出答复，但答复的内容不得涉及商业秘密。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41、质疑</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1 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41.2</w:t>
      </w:r>
      <w:r>
        <w:rPr>
          <w:rFonts w:ascii="仿宋_GB2312" w:eastAsia="仿宋_GB2312"/>
          <w:color w:val="000000" w:themeColor="text1"/>
          <w:sz w:val="24"/>
          <w14:textFill>
            <w14:solidFill>
              <w14:schemeClr w14:val="tx1"/>
            </w14:solidFill>
          </w14:textFill>
        </w:rPr>
        <w:t xml:space="preserve">上述应知其权益受到损害之日是指：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（1）对</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文件提出质疑的，为</w:t>
      </w:r>
      <w:r>
        <w:rPr>
          <w:rFonts w:hint="eastAsia" w:ascii="仿宋_GB2312" w:eastAsia="仿宋_GB2312"/>
          <w:color w:val="000000" w:themeColor="text1"/>
          <w:sz w:val="24"/>
          <w14:textFill>
            <w14:solidFill>
              <w14:schemeClr w14:val="tx1"/>
            </w14:solidFill>
          </w14:textFill>
        </w:rPr>
        <w:t>采购文件</w:t>
      </w:r>
      <w:r>
        <w:rPr>
          <w:rFonts w:ascii="仿宋_GB2312" w:eastAsia="仿宋_GB2312"/>
          <w:color w:val="000000" w:themeColor="text1"/>
          <w:sz w:val="24"/>
          <w14:textFill>
            <w14:solidFill>
              <w14:schemeClr w14:val="tx1"/>
            </w14:solidFill>
          </w14:textFill>
        </w:rPr>
        <w:t xml:space="preserve">公告期限届满之日起计算；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（2）对采购过程提出质疑的，自采购程序环节结束之日起计算；</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（3）对中标</w:t>
      </w:r>
      <w:r>
        <w:rPr>
          <w:rFonts w:hint="eastAsia" w:ascii="仿宋_GB2312" w:eastAsia="仿宋_GB2312"/>
          <w:color w:val="000000" w:themeColor="text1"/>
          <w:sz w:val="24"/>
          <w14:textFill>
            <w14:solidFill>
              <w14:schemeClr w14:val="tx1"/>
            </w14:solidFill>
          </w14:textFill>
        </w:rPr>
        <w:t>或者成交</w:t>
      </w:r>
      <w:r>
        <w:rPr>
          <w:rFonts w:ascii="仿宋_GB2312" w:eastAsia="仿宋_GB2312"/>
          <w:color w:val="000000" w:themeColor="text1"/>
          <w:sz w:val="24"/>
          <w14:textFill>
            <w14:solidFill>
              <w14:schemeClr w14:val="tx1"/>
            </w14:solidFill>
          </w14:textFill>
        </w:rPr>
        <w:t>结果提出质疑的，自中标</w:t>
      </w:r>
      <w:r>
        <w:rPr>
          <w:rFonts w:hint="eastAsia" w:ascii="仿宋_GB2312" w:eastAsia="仿宋_GB2312"/>
          <w:color w:val="000000" w:themeColor="text1"/>
          <w:sz w:val="24"/>
          <w14:textFill>
            <w14:solidFill>
              <w14:schemeClr w14:val="tx1"/>
            </w14:solidFill>
          </w14:textFill>
        </w:rPr>
        <w:t>或者成交</w:t>
      </w:r>
      <w:r>
        <w:rPr>
          <w:rFonts w:ascii="仿宋_GB2312" w:eastAsia="仿宋_GB2312"/>
          <w:color w:val="000000" w:themeColor="text1"/>
          <w:sz w:val="24"/>
          <w14:textFill>
            <w14:solidFill>
              <w14:schemeClr w14:val="tx1"/>
            </w14:solidFill>
          </w14:textFill>
        </w:rPr>
        <w:t>结果公告期限届满之日起计算。</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41.3</w:t>
      </w:r>
      <w:r>
        <w:rPr>
          <w:rFonts w:ascii="仿宋_GB2312" w:eastAsia="仿宋_GB2312"/>
          <w:color w:val="000000" w:themeColor="text1"/>
          <w:sz w:val="24"/>
          <w14:textFill>
            <w14:solidFill>
              <w14:schemeClr w14:val="tx1"/>
            </w14:solidFill>
          </w14:textFill>
        </w:rPr>
        <w:t>质疑供应商在法定质疑期内应当一次性提出针对同一采购环节提出质疑</w:t>
      </w:r>
      <w:r>
        <w:rPr>
          <w:rFonts w:hint="eastAsia" w:ascii="仿宋_GB2312" w:eastAsia="仿宋_GB2312"/>
          <w:color w:val="000000" w:themeColor="text1"/>
          <w:sz w:val="24"/>
          <w14:textFill>
            <w14:solidFill>
              <w14:schemeClr w14:val="tx1"/>
            </w14:solidFill>
          </w14:textFill>
        </w:rPr>
        <w:t>。</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41.4质疑文件应包括以下主要内容，并按照</w:t>
      </w:r>
      <w:r>
        <w:rPr>
          <w:rFonts w:ascii="仿宋_GB2312" w:eastAsia="仿宋_GB2312"/>
          <w:b/>
          <w:color w:val="000000" w:themeColor="text1"/>
          <w:sz w:val="24"/>
          <w14:textFill>
            <w14:solidFill>
              <w14:schemeClr w14:val="tx1"/>
            </w14:solidFill>
          </w14:textFill>
        </w:rPr>
        <w:t>“</w:t>
      </w:r>
      <w:r>
        <w:rPr>
          <w:rFonts w:hint="eastAsia" w:ascii="仿宋_GB2312" w:eastAsia="仿宋_GB2312"/>
          <w:b/>
          <w:color w:val="000000" w:themeColor="text1"/>
          <w:sz w:val="24"/>
          <w14:textFill>
            <w14:solidFill>
              <w14:schemeClr w14:val="tx1"/>
            </w14:solidFill>
          </w14:textFill>
        </w:rPr>
        <w:t>谁主张、谁举证</w:t>
      </w:r>
      <w:r>
        <w:rPr>
          <w:rFonts w:ascii="仿宋_GB2312" w:eastAsia="仿宋_GB2312"/>
          <w:b/>
          <w:color w:val="000000" w:themeColor="text1"/>
          <w:sz w:val="24"/>
          <w14:textFill>
            <w14:solidFill>
              <w14:schemeClr w14:val="tx1"/>
            </w14:solidFill>
          </w14:textFill>
        </w:rPr>
        <w:t>”</w:t>
      </w:r>
      <w:r>
        <w:rPr>
          <w:rFonts w:hint="eastAsia" w:ascii="仿宋_GB2312" w:eastAsia="仿宋_GB2312"/>
          <w:b/>
          <w:color w:val="000000" w:themeColor="text1"/>
          <w:sz w:val="24"/>
          <w14:textFill>
            <w14:solidFill>
              <w14:schemeClr w14:val="tx1"/>
            </w14:solidFill>
          </w14:textFill>
        </w:rPr>
        <w:t>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w:t>
      </w:r>
      <w:r>
        <w:rPr>
          <w:rFonts w:hint="eastAsia" w:ascii="仿宋_GB2312" w:eastAsia="仿宋_GB2312"/>
          <w:b/>
          <w:color w:val="000000" w:themeColor="text1"/>
          <w:sz w:val="24"/>
          <w:lang w:eastAsia="zh-CN"/>
          <w14:textFill>
            <w14:solidFill>
              <w14:schemeClr w14:val="tx1"/>
            </w14:solidFill>
          </w14:textFill>
        </w:rPr>
        <w:t>新疆</w:t>
      </w:r>
      <w:r>
        <w:rPr>
          <w:rFonts w:hint="eastAsia" w:ascii="仿宋_GB2312" w:eastAsia="仿宋_GB2312"/>
          <w:b/>
          <w:color w:val="000000" w:themeColor="text1"/>
          <w:sz w:val="24"/>
          <w14:textFill>
            <w14:solidFill>
              <w14:schemeClr w14:val="tx1"/>
            </w14:solidFill>
          </w14:textFill>
        </w:rPr>
        <w:t>政府采购网→下载专区）】：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（1）供应商的姓名或者名称、地址、邮编、联系人及联系电话（包括座机、手机、传真号码等）；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（2）质疑项目的名称、项目编号、包号、</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公告发布时间、</w:t>
      </w:r>
      <w:r>
        <w:rPr>
          <w:rFonts w:hint="eastAsia" w:ascii="仿宋_GB2312" w:eastAsia="仿宋_GB2312"/>
          <w:color w:val="000000" w:themeColor="text1"/>
          <w:sz w:val="24"/>
          <w14:textFill>
            <w14:solidFill>
              <w14:schemeClr w14:val="tx1"/>
            </w14:solidFill>
          </w14:textFill>
        </w:rPr>
        <w:t>递交</w:t>
      </w:r>
      <w:r>
        <w:rPr>
          <w:rFonts w:hint="eastAsia" w:ascii="仿宋_GB2312" w:eastAsia="仿宋_GB2312"/>
          <w:color w:val="000000" w:themeColor="text1"/>
          <w:sz w:val="24"/>
          <w:lang w:eastAsia="zh-CN"/>
          <w14:textFill>
            <w14:solidFill>
              <w14:schemeClr w14:val="tx1"/>
            </w14:solidFill>
          </w14:textFill>
        </w:rPr>
        <w:t>响应文件</w:t>
      </w:r>
      <w:r>
        <w:rPr>
          <w:rFonts w:hint="eastAsia" w:ascii="仿宋_GB2312" w:eastAsia="仿宋_GB2312"/>
          <w:color w:val="000000" w:themeColor="text1"/>
          <w:sz w:val="24"/>
          <w14:textFill>
            <w14:solidFill>
              <w14:schemeClr w14:val="tx1"/>
            </w14:solidFill>
          </w14:textFill>
        </w:rPr>
        <w:t>或响应文件截止</w:t>
      </w:r>
      <w:r>
        <w:rPr>
          <w:rFonts w:ascii="仿宋_GB2312" w:eastAsia="仿宋_GB2312"/>
          <w:color w:val="000000" w:themeColor="text1"/>
          <w:sz w:val="24"/>
          <w14:textFill>
            <w14:solidFill>
              <w14:schemeClr w14:val="tx1"/>
            </w14:solidFill>
          </w14:textFill>
        </w:rPr>
        <w:t xml:space="preserve">时间；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（3）具体、明确的质疑事项和与质疑事项相关的请求；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（5）必要的法律依据；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（6）提起质疑的日期</w:t>
      </w:r>
      <w:r>
        <w:rPr>
          <w:rFonts w:hint="eastAsia" w:ascii="仿宋_GB2312" w:eastAsia="仿宋_GB2312"/>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（8）供应商委托代理质疑的，应当提交授权委托书，</w:t>
      </w:r>
      <w:r>
        <w:rPr>
          <w:rFonts w:ascii="仿宋_GB2312" w:eastAsia="仿宋_GB2312"/>
          <w:color w:val="000000" w:themeColor="text1"/>
          <w:sz w:val="24"/>
          <w14:textFill>
            <w14:solidFill>
              <w14:schemeClr w14:val="tx1"/>
            </w14:solidFill>
          </w14:textFill>
        </w:rPr>
        <w:t>并载明代理人的姓名或者名称、代理事项、 具体权限、期限和相关事项</w:t>
      </w:r>
      <w:r>
        <w:rPr>
          <w:rFonts w:hint="eastAsia" w:ascii="仿宋_GB2312" w:eastAsia="仿宋_GB2312"/>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41.5质疑供应商是指直接参加本项目采购活动的供应商，</w:t>
      </w:r>
      <w:r>
        <w:rPr>
          <w:rFonts w:ascii="仿宋_GB2312" w:eastAsia="仿宋_GB2312"/>
          <w:color w:val="000000" w:themeColor="text1"/>
          <w:sz w:val="24"/>
          <w14:textFill>
            <w14:solidFill>
              <w14:schemeClr w14:val="tx1"/>
            </w14:solidFill>
          </w14:textFill>
        </w:rPr>
        <w:t>未参加</w:t>
      </w:r>
      <w:r>
        <w:rPr>
          <w:rFonts w:hint="eastAsia" w:ascii="仿宋_GB2312" w:eastAsia="仿宋_GB2312"/>
          <w:color w:val="000000" w:themeColor="text1"/>
          <w:sz w:val="24"/>
          <w14:textFill>
            <w14:solidFill>
              <w14:schemeClr w14:val="tx1"/>
            </w14:solidFill>
          </w14:textFill>
        </w:rPr>
        <w:t>政府采购</w:t>
      </w:r>
      <w:r>
        <w:rPr>
          <w:rFonts w:ascii="仿宋_GB2312" w:eastAsia="仿宋_GB2312"/>
          <w:color w:val="000000" w:themeColor="text1"/>
          <w:sz w:val="24"/>
          <w14:textFill>
            <w14:solidFill>
              <w14:schemeClr w14:val="tx1"/>
            </w14:solidFill>
          </w14:textFill>
        </w:rPr>
        <w:t>活动的供应商或在</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活动中自身权益未受到损害的供应商所提出的质疑不予受理。</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41.6采购人、采购代理机构在收到供应商的书面质疑后将及时组织调查核实，在七个工作日内作出答复，并以书面形式通知质疑供应商和其他有关供应商，答复的内容不涉及商业秘密。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42、投诉</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42.2供应商投诉的事项不得超出已质疑事项的范围，但基于质疑答复内容提出的投诉事项除外。</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43、诚实信用</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43</w:t>
      </w:r>
      <w:r>
        <w:rPr>
          <w:rFonts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供应商不得虚假质疑和恶意质疑，并对质疑内容的真实性承担责任。</w:t>
      </w:r>
      <w:r>
        <w:rPr>
          <w:rFonts w:ascii="仿宋_GB2312" w:eastAsia="仿宋_GB2312"/>
          <w:color w:val="000000" w:themeColor="text1"/>
          <w:sz w:val="24"/>
          <w14:textFill>
            <w14:solidFill>
              <w14:schemeClr w14:val="tx1"/>
            </w14:solidFill>
          </w14:textFill>
        </w:rPr>
        <w:t>如果供应商或者其他利害关系人通过捏造事实、伪造证明材料等方式提出质疑，干扰政府采购活动正常进行的，属于严重不良行为，</w:t>
      </w:r>
      <w:r>
        <w:rPr>
          <w:rFonts w:hint="eastAsia" w:ascii="仿宋_GB2312" w:eastAsia="仿宋_GB2312"/>
          <w:color w:val="000000" w:themeColor="text1"/>
          <w:sz w:val="24"/>
          <w14:textFill>
            <w14:solidFill>
              <w14:schemeClr w14:val="tx1"/>
            </w14:solidFill>
          </w14:textFill>
        </w:rPr>
        <w:t>采购人、采购代理机构将提请财政部门将其列入不良行为记录名单，并依法予以处罚。</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43.2 供应商不得虚假承诺，否则，按照提供虚假材料谋取中标或成交处理。</w:t>
      </w: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r>
        <w:rPr>
          <w:rFonts w:hint="eastAsia" w:ascii="仿宋_GB2312" w:hAnsi="Courier New" w:eastAsia="仿宋_GB2312"/>
          <w:b/>
          <w:bCs/>
          <w:color w:val="000000" w:themeColor="text1"/>
          <w:kern w:val="0"/>
          <w:sz w:val="28"/>
          <w:szCs w:val="28"/>
          <w14:textFill>
            <w14:solidFill>
              <w14:schemeClr w14:val="tx1"/>
            </w14:solidFill>
          </w14:textFill>
        </w:rPr>
        <w:t>H   义务、工作纪律</w:t>
      </w:r>
    </w:p>
    <w:p>
      <w:pPr>
        <w:tabs>
          <w:tab w:val="left" w:pos="7665"/>
        </w:tabs>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44、协商小组在政府采购活动中承担以下义务：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（一）遵守评审工作纪律；</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（二）按照客观、公正、审慎的原则，根据采购文件规定的评审程序、评审方法和评审标准进行独立评审；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（三）不得泄露评审文件、评审情况和在评审过程中获悉的商业秘密；</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（五）发现采购文件内容违反国家有关强制性规定或者采购文件存在歧义、重大缺陷导致评审工作无法进行时，停止评审并向采购人或者采购代理机构书面说明情况；</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（六）及时向财政、监察等部门举报在评审过程中受到非法干预的情况；</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（七）配合答复处理供应商的询问、质疑和投诉等事项；</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（八）法律、法规和规章规定的其他义务。</w:t>
      </w:r>
    </w:p>
    <w:p>
      <w:pPr>
        <w:tabs>
          <w:tab w:val="left" w:pos="7665"/>
        </w:tabs>
        <w:spacing w:line="360" w:lineRule="auto"/>
        <w:ind w:firstLine="482" w:firstLineChars="20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45、协商小组在政府采购活动中应当遵守以下工作纪律</w:t>
      </w:r>
      <w:r>
        <w:rPr>
          <w:rFonts w:hint="eastAsia" w:ascii="仿宋_GB2312" w:eastAsia="仿宋_GB2312"/>
          <w:color w:val="000000" w:themeColor="text1"/>
          <w:sz w:val="24"/>
          <w14:textFill>
            <w14:solidFill>
              <w14:schemeClr w14:val="tx1"/>
            </w14:solidFill>
          </w14:textFill>
        </w:rPr>
        <w:t>：</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（二）评审前，应当将通讯工具或者相关电子设备交由采购代理机构统一保管；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（四）评审过程中，不得发表影响评审公正的倾向性、歧视性言论，不得征询或者接受采购人的倾向性意见，不得明示或暗示供应商在澄清时表达与其响应文件原义不同的意见，不得以</w:t>
      </w:r>
      <w:r>
        <w:rPr>
          <w:rFonts w:hint="eastAsia" w:ascii="仿宋_GB2312" w:eastAsia="仿宋_GB2312"/>
          <w:color w:val="000000" w:themeColor="text1"/>
          <w:sz w:val="24"/>
          <w:lang w:eastAsia="zh-CN"/>
          <w14:textFill>
            <w14:solidFill>
              <w14:schemeClr w14:val="tx1"/>
            </w14:solidFill>
          </w14:textFill>
        </w:rPr>
        <w:t>单一来源采购</w:t>
      </w:r>
      <w:r>
        <w:rPr>
          <w:rFonts w:hint="eastAsia" w:ascii="仿宋_GB2312" w:eastAsia="仿宋_GB2312"/>
          <w:color w:val="000000" w:themeColor="text1"/>
          <w:sz w:val="24"/>
          <w14:textFill>
            <w14:solidFill>
              <w14:schemeClr w14:val="tx1"/>
            </w14:solidFill>
          </w14:textFill>
        </w:rPr>
        <w:t>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（五）在评审过程中和评审结束后，不得记录、复制或带走任何评审资料，不得向外界透露评审内容；</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（六）评审现场服从采购代理机构工作人员的管理，接受现场监督人员的合法监督；</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（七）遵守有关廉洁自律规定，不得私下接触供应商，不得收受供应商及有关业务单位和个人的财物或好处，不得接受采购代理机构的请托。</w:t>
      </w:r>
    </w:p>
    <w:p>
      <w:pPr>
        <w:snapToGrid w:val="0"/>
        <w:spacing w:line="360" w:lineRule="auto"/>
        <w:ind w:firstLine="361" w:firstLineChars="15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46、经与采购人协商，本项目采购代理服务费由成交供应商在领取成交通知书同时向采购代理机构支付，参照国家发展计划委员会“计价格（2002）1980号”文件、“发改办价格[2003]857号”文及发改办价格〔2011〕534号文的规定计取。</w:t>
      </w:r>
    </w:p>
    <w:p>
      <w:pPr>
        <w:snapToGrid w:val="0"/>
        <w:spacing w:line="360" w:lineRule="auto"/>
        <w:ind w:firstLine="361" w:firstLineChars="150"/>
        <w:jc w:val="left"/>
        <w:rPr>
          <w:rFonts w:ascii="仿宋_GB2312" w:eastAsia="仿宋_GB2312"/>
          <w:b/>
          <w:bCs/>
          <w:color w:val="000000" w:themeColor="text1"/>
          <w:sz w:val="24"/>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rPr>
          <w:rFonts w:ascii="仿宋_GB2312" w:eastAsia="仿宋_GB2312"/>
          <w:b/>
          <w:bCs/>
          <w:color w:val="000000" w:themeColor="text1"/>
          <w:sz w:val="28"/>
          <w:szCs w:val="28"/>
          <w14:textFill>
            <w14:solidFill>
              <w14:schemeClr w14:val="tx1"/>
            </w14:solidFill>
          </w14:textFill>
        </w:rPr>
      </w:pPr>
      <w:r>
        <w:rPr>
          <w:rFonts w:ascii="仿宋_GB2312" w:eastAsia="仿宋_GB2312"/>
          <w:b/>
          <w:bCs/>
          <w:color w:val="000000" w:themeColor="text1"/>
          <w:sz w:val="28"/>
          <w:szCs w:val="28"/>
          <w14:textFill>
            <w14:solidFill>
              <w14:schemeClr w14:val="tx1"/>
            </w14:solidFill>
          </w14:textFill>
        </w:rPr>
        <w:br w:type="page"/>
      </w:r>
    </w:p>
    <w:p>
      <w:pPr>
        <w:pStyle w:val="14"/>
        <w:adjustRightInd w:val="0"/>
        <w:snapToGrid w:val="0"/>
        <w:spacing w:line="360" w:lineRule="auto"/>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 xml:space="preserve">第三章 </w:t>
      </w:r>
      <w:r>
        <w:rPr>
          <w:rFonts w:hint="eastAsia" w:ascii="仿宋_GB2312" w:eastAsia="仿宋_GB2312"/>
          <w:b/>
          <w:color w:val="000000" w:themeColor="text1"/>
          <w:sz w:val="28"/>
          <w:szCs w:val="28"/>
          <w14:textFill>
            <w14:solidFill>
              <w14:schemeClr w14:val="tx1"/>
            </w14:solidFill>
          </w14:textFill>
        </w:rPr>
        <w:t>项目采购需求</w:t>
      </w:r>
    </w:p>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一、</w:t>
      </w:r>
      <w:r>
        <w:rPr>
          <w:rFonts w:hint="eastAsia" w:ascii="仿宋_GB2312" w:eastAsia="仿宋_GB2312"/>
          <w:color w:val="000000" w:themeColor="text1"/>
          <w:sz w:val="24"/>
          <w14:textFill>
            <w14:solidFill>
              <w14:schemeClr w14:val="tx1"/>
            </w14:solidFill>
          </w14:textFill>
        </w:rPr>
        <w:t>服务内容及要求</w:t>
      </w:r>
    </w:p>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bookmarkStart w:id="164" w:name="_Toc438456195"/>
      <w:r>
        <w:rPr>
          <w:rFonts w:hint="eastAsia" w:ascii="仿宋_GB2312" w:eastAsia="仿宋_GB2312"/>
          <w:color w:val="000000" w:themeColor="text1"/>
          <w:sz w:val="24"/>
          <w14:textFill>
            <w14:solidFill>
              <w14:schemeClr w14:val="tx1"/>
            </w14:solidFill>
          </w14:textFill>
        </w:rPr>
        <w:t>（一）</w:t>
      </w:r>
      <w:bookmarkEnd w:id="164"/>
      <w:bookmarkStart w:id="165" w:name="_Toc490672253"/>
      <w:r>
        <w:rPr>
          <w:rFonts w:hint="eastAsia" w:ascii="仿宋_GB2312" w:eastAsia="仿宋_GB2312"/>
          <w:color w:val="000000" w:themeColor="text1"/>
          <w:sz w:val="24"/>
          <w14:textFill>
            <w14:solidFill>
              <w14:schemeClr w14:val="tx1"/>
            </w14:solidFill>
          </w14:textFill>
        </w:rPr>
        <w:t>招标项目</w:t>
      </w:r>
      <w:bookmarkEnd w:id="165"/>
      <w:r>
        <w:rPr>
          <w:rFonts w:hint="eastAsia" w:ascii="仿宋_GB2312" w:eastAsia="仿宋_GB2312"/>
          <w:color w:val="000000" w:themeColor="text1"/>
          <w:sz w:val="24"/>
          <w14:textFill>
            <w14:solidFill>
              <w14:schemeClr w14:val="tx1"/>
            </w14:solidFill>
          </w14:textFill>
        </w:rPr>
        <w:t>名称、预算、服务期限</w:t>
      </w:r>
    </w:p>
    <w:tbl>
      <w:tblPr>
        <w:tblStyle w:val="25"/>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52"/>
        <w:gridCol w:w="2032"/>
        <w:gridCol w:w="242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序号</w:t>
            </w:r>
          </w:p>
        </w:tc>
        <w:tc>
          <w:tcPr>
            <w:tcW w:w="2452"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项目名称</w:t>
            </w:r>
          </w:p>
        </w:tc>
        <w:tc>
          <w:tcPr>
            <w:tcW w:w="2032"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采购预算（万元）</w:t>
            </w:r>
          </w:p>
        </w:tc>
        <w:tc>
          <w:tcPr>
            <w:tcW w:w="2420"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服务期限</w:t>
            </w:r>
          </w:p>
        </w:tc>
        <w:tc>
          <w:tcPr>
            <w:tcW w:w="1587"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2452" w:type="dxa"/>
            <w:vAlign w:val="center"/>
          </w:tcPr>
          <w:p>
            <w:pPr>
              <w:tabs>
                <w:tab w:val="left" w:pos="7665"/>
              </w:tabs>
              <w:spacing w:line="360" w:lineRule="auto"/>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仿宋_GB2312" w:eastAsia="仿宋_GB2312" w:cs="仿宋_GB2312"/>
                <w:kern w:val="0"/>
                <w:sz w:val="24"/>
                <w:szCs w:val="32"/>
                <w:lang w:eastAsia="zh-CN"/>
              </w:rPr>
              <w:t>新疆财经大学2022年图书馆资源数字化建设项目-中国知网系列产品</w:t>
            </w:r>
          </w:p>
        </w:tc>
        <w:tc>
          <w:tcPr>
            <w:tcW w:w="2032" w:type="dxa"/>
            <w:vAlign w:val="center"/>
          </w:tcPr>
          <w:p>
            <w:pPr>
              <w:tabs>
                <w:tab w:val="left" w:pos="7665"/>
              </w:tabs>
              <w:spacing w:line="360" w:lineRule="auto"/>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22</w:t>
            </w:r>
          </w:p>
        </w:tc>
        <w:tc>
          <w:tcPr>
            <w:tcW w:w="2420"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自签订合同之日起一年</w:t>
            </w:r>
          </w:p>
        </w:tc>
        <w:tc>
          <w:tcPr>
            <w:tcW w:w="1587" w:type="dxa"/>
            <w:vAlign w:val="center"/>
          </w:tcPr>
          <w:p>
            <w:pPr>
              <w:tabs>
                <w:tab w:val="left" w:pos="7665"/>
              </w:tabs>
              <w:spacing w:line="360" w:lineRule="auto"/>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无</w:t>
            </w:r>
          </w:p>
        </w:tc>
      </w:tr>
    </w:tbl>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（二）项目基本情况及服务内容</w:t>
      </w:r>
    </w:p>
    <w:p>
      <w:pPr>
        <w:pStyle w:val="4"/>
        <w:spacing w:after="300" w:line="700" w:lineRule="atLeast"/>
        <w:jc w:val="left"/>
        <w:rPr>
          <w:bCs/>
          <w:color w:val="000000" w:themeColor="text1"/>
          <w:sz w:val="21"/>
          <w:szCs w:val="21"/>
          <w14:textFill>
            <w14:solidFill>
              <w14:schemeClr w14:val="tx1"/>
            </w14:solidFill>
          </w14:textFill>
        </w:rPr>
      </w:pPr>
      <w:r>
        <w:rPr>
          <w:rFonts w:hint="eastAsia" w:ascii="仿宋_GB2312" w:eastAsia="仿宋_GB2312"/>
          <w:b/>
          <w:color w:val="000000" w:themeColor="text1"/>
          <w:sz w:val="21"/>
          <w:szCs w:val="21"/>
          <w:lang w:val="en-US" w:eastAsia="zh-CN"/>
          <w14:textFill>
            <w14:solidFill>
              <w14:schemeClr w14:val="tx1"/>
            </w14:solidFill>
          </w14:textFill>
        </w:rPr>
        <w:t>1.</w:t>
      </w:r>
      <w:r>
        <w:rPr>
          <w:rFonts w:hint="eastAsia" w:ascii="仿宋_GB2312" w:eastAsia="仿宋_GB2312"/>
          <w:b/>
          <w:color w:val="000000" w:themeColor="text1"/>
          <w:sz w:val="21"/>
          <w:szCs w:val="21"/>
          <w14:textFill>
            <w14:solidFill>
              <w14:schemeClr w14:val="tx1"/>
            </w14:solidFill>
          </w14:textFill>
        </w:rPr>
        <w:t>【中国学术期刊（网络版）（</w:t>
      </w:r>
      <w:r>
        <w:rPr>
          <w:rFonts w:ascii="仿宋_GB2312" w:eastAsia="仿宋_GB2312"/>
          <w:b/>
          <w:color w:val="000000" w:themeColor="text1"/>
          <w:sz w:val="21"/>
          <w:szCs w:val="21"/>
          <w14:textFill>
            <w14:solidFill>
              <w14:schemeClr w14:val="tx1"/>
            </w14:solidFill>
          </w14:textFill>
        </w:rPr>
        <w:t>CN11</w:t>
      </w:r>
      <w:r>
        <w:rPr>
          <w:rFonts w:hint="eastAsia" w:ascii="仿宋_GB2312" w:eastAsia="仿宋_GB2312"/>
          <w:b/>
          <w:color w:val="000000" w:themeColor="text1"/>
          <w:sz w:val="21"/>
          <w:szCs w:val="21"/>
          <w14:textFill>
            <w14:solidFill>
              <w14:schemeClr w14:val="tx1"/>
            </w14:solidFill>
          </w14:textFill>
        </w:rPr>
        <w:t>-</w:t>
      </w:r>
      <w:r>
        <w:rPr>
          <w:rFonts w:ascii="仿宋_GB2312" w:eastAsia="仿宋_GB2312"/>
          <w:b/>
          <w:color w:val="000000" w:themeColor="text1"/>
          <w:sz w:val="21"/>
          <w:szCs w:val="21"/>
          <w14:textFill>
            <w14:solidFill>
              <w14:schemeClr w14:val="tx1"/>
            </w14:solidFill>
          </w14:textFill>
        </w:rPr>
        <w:t>6037/Z</w:t>
      </w:r>
      <w:r>
        <w:rPr>
          <w:rFonts w:hint="eastAsia" w:ascii="仿宋_GB2312" w:eastAsia="仿宋_GB2312"/>
          <w:b/>
          <w:color w:val="000000" w:themeColor="text1"/>
          <w:sz w:val="21"/>
          <w:szCs w:val="21"/>
          <w14:textFill>
            <w14:solidFill>
              <w14:schemeClr w14:val="tx1"/>
            </w14:solidFill>
          </w14:textFill>
        </w:rPr>
        <w:t>）】</w:t>
      </w:r>
    </w:p>
    <w:p>
      <w:pPr>
        <w:spacing w:line="360" w:lineRule="auto"/>
        <w:ind w:firstLine="420" w:firstLineChars="200"/>
        <w:rPr>
          <w:rFonts w:ascii="Arial Narrow" w:hAnsi="Arial Narrow" w:eastAsia="仿宋_GB2312" w:cs="仿宋_GB2312"/>
          <w:color w:val="000000" w:themeColor="text1"/>
          <w:sz w:val="21"/>
          <w:szCs w:val="21"/>
          <w14:textFill>
            <w14:solidFill>
              <w14:schemeClr w14:val="tx1"/>
            </w14:solidFill>
          </w14:textFill>
        </w:rPr>
      </w:pPr>
      <w:r>
        <w:rPr>
          <w:rFonts w:ascii="Arial Narrow" w:hAnsi="Arial Narrow" w:eastAsia="仿宋_GB2312" w:cs="仿宋_GB2312"/>
          <w:color w:val="000000" w:themeColor="text1"/>
          <w:sz w:val="21"/>
          <w:szCs w:val="21"/>
          <w14:textFill>
            <w14:solidFill>
              <w14:schemeClr w14:val="tx1"/>
            </w14:solidFill>
          </w14:textFill>
        </w:rPr>
        <w:t>《中国学术期刊（网络版）》网络连续型出版物</w:t>
      </w:r>
      <w:r>
        <w:rPr>
          <w:rFonts w:hint="eastAsia" w:ascii="Arial Narrow" w:hAnsi="Arial Narrow" w:eastAsia="仿宋_GB2312" w:cs="仿宋_GB2312"/>
          <w:color w:val="000000" w:themeColor="text1"/>
          <w:sz w:val="21"/>
          <w:szCs w:val="21"/>
          <w14:textFill>
            <w14:solidFill>
              <w14:schemeClr w14:val="tx1"/>
            </w14:solidFill>
          </w14:textFill>
        </w:rPr>
        <w:t>于2015年8月</w:t>
      </w:r>
      <w:r>
        <w:rPr>
          <w:rFonts w:ascii="Arial Narrow" w:hAnsi="Arial Narrow" w:eastAsia="仿宋_GB2312" w:cs="仿宋_GB2312"/>
          <w:color w:val="000000" w:themeColor="text1"/>
          <w:sz w:val="21"/>
          <w:szCs w:val="21"/>
          <w14:textFill>
            <w14:solidFill>
              <w14:schemeClr w14:val="tx1"/>
            </w14:solidFill>
          </w14:textFill>
        </w:rPr>
        <w:t>获国家新闻出版广电总局同意出版，新编国内统一连续出版物号CN11</w:t>
      </w:r>
      <w:r>
        <w:rPr>
          <w:rFonts w:hint="eastAsia" w:ascii="Arial Narrow" w:hAnsi="Arial Narrow" w:eastAsia="仿宋_GB2312" w:cs="仿宋_GB2312"/>
          <w:color w:val="000000" w:themeColor="text1"/>
          <w:sz w:val="21"/>
          <w:szCs w:val="21"/>
          <w14:textFill>
            <w14:solidFill>
              <w14:schemeClr w14:val="tx1"/>
            </w14:solidFill>
          </w14:textFill>
        </w:rPr>
        <w:t>-</w:t>
      </w:r>
      <w:r>
        <w:rPr>
          <w:rFonts w:ascii="Arial Narrow" w:hAnsi="Arial Narrow" w:eastAsia="仿宋_GB2312" w:cs="仿宋_GB2312"/>
          <w:color w:val="000000" w:themeColor="text1"/>
          <w:sz w:val="21"/>
          <w:szCs w:val="21"/>
          <w14:textFill>
            <w14:solidFill>
              <w14:schemeClr w14:val="tx1"/>
            </w14:solidFill>
          </w14:textFill>
        </w:rPr>
        <w:t>6037/Z</w:t>
      </w:r>
      <w:r>
        <w:rPr>
          <w:rFonts w:hint="eastAsia" w:ascii="Arial Narrow" w:hAnsi="Arial Narrow" w:eastAsia="仿宋_GB2312" w:cs="仿宋_GB2312"/>
          <w:color w:val="000000" w:themeColor="text1"/>
          <w:sz w:val="21"/>
          <w:szCs w:val="21"/>
          <w14:textFill>
            <w14:solidFill>
              <w14:schemeClr w14:val="tx1"/>
            </w14:solidFill>
          </w14:textFill>
        </w:rPr>
        <w:t>（新广出审</w:t>
      </w:r>
      <w:r>
        <w:rPr>
          <w:rFonts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2015</w:t>
      </w:r>
      <w:r>
        <w:rPr>
          <w:rFonts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887号），国际刊号：ISSN 2096-4188。至此，停用“</w:t>
      </w:r>
      <w:r>
        <w:rPr>
          <w:rFonts w:ascii="Arial Narrow" w:hAnsi="Arial Narrow" w:eastAsia="仿宋_GB2312" w:cs="仿宋_GB2312"/>
          <w:color w:val="000000" w:themeColor="text1"/>
          <w:sz w:val="21"/>
          <w:szCs w:val="21"/>
          <w14:textFill>
            <w14:solidFill>
              <w14:schemeClr w14:val="tx1"/>
            </w14:solidFill>
          </w14:textFill>
        </w:rPr>
        <w:t>中国学术期刊网络出版总库</w:t>
      </w:r>
      <w:r>
        <w:rPr>
          <w:rFonts w:hint="eastAsia" w:ascii="Arial Narrow" w:hAnsi="Arial Narrow" w:eastAsia="仿宋_GB2312" w:cs="仿宋_GB2312"/>
          <w:color w:val="000000" w:themeColor="text1"/>
          <w:sz w:val="21"/>
          <w:szCs w:val="21"/>
          <w14:textFill>
            <w14:solidFill>
              <w14:schemeClr w14:val="tx1"/>
            </w14:solidFill>
          </w14:textFill>
        </w:rPr>
        <w:t>”</w:t>
      </w:r>
      <w:r>
        <w:rPr>
          <w:rFonts w:ascii="Arial Narrow" w:hAnsi="Arial Narrow" w:eastAsia="仿宋_GB2312" w:cs="仿宋_GB2312"/>
          <w:color w:val="000000" w:themeColor="text1"/>
          <w:sz w:val="21"/>
          <w:szCs w:val="21"/>
          <w14:textFill>
            <w14:solidFill>
              <w14:schemeClr w14:val="tx1"/>
            </w14:solidFill>
          </w14:textFill>
        </w:rPr>
        <w:t>名称</w:t>
      </w:r>
      <w:r>
        <w:rPr>
          <w:rFonts w:hint="eastAsia" w:ascii="Arial Narrow" w:hAnsi="Arial Narrow" w:eastAsia="仿宋_GB2312" w:cs="仿宋_GB2312"/>
          <w:color w:val="000000" w:themeColor="text1"/>
          <w:sz w:val="21"/>
          <w:szCs w:val="21"/>
          <w14:textFill>
            <w14:solidFill>
              <w14:schemeClr w14:val="tx1"/>
            </w14:solidFill>
          </w14:textFill>
        </w:rPr>
        <w:t>，</w:t>
      </w:r>
      <w:r>
        <w:rPr>
          <w:rFonts w:ascii="Arial Narrow" w:hAnsi="Arial Narrow" w:eastAsia="仿宋_GB2312" w:cs="仿宋_GB2312"/>
          <w:color w:val="000000" w:themeColor="text1"/>
          <w:sz w:val="21"/>
          <w:szCs w:val="21"/>
          <w14:textFill>
            <w14:solidFill>
              <w14:schemeClr w14:val="tx1"/>
            </w14:solidFill>
          </w14:textFill>
        </w:rPr>
        <w:t>启用《中国学术期刊（网络版）》刊名</w:t>
      </w:r>
      <w:r>
        <w:rPr>
          <w:rFonts w:hint="eastAsia" w:ascii="Arial Narrow" w:hAnsi="Arial Narrow" w:eastAsia="仿宋_GB2312" w:cs="仿宋_GB2312"/>
          <w:color w:val="000000" w:themeColor="text1"/>
          <w:sz w:val="21"/>
          <w:szCs w:val="21"/>
          <w14:textFill>
            <w14:solidFill>
              <w14:schemeClr w14:val="tx1"/>
            </w14:solidFill>
          </w14:textFill>
        </w:rPr>
        <w:t>。</w:t>
      </w:r>
      <w:r>
        <w:rPr>
          <w:rFonts w:ascii="Arial Narrow" w:hAnsi="Arial Narrow" w:eastAsia="仿宋_GB2312" w:cs="仿宋_GB2312"/>
          <w:color w:val="000000" w:themeColor="text1"/>
          <w:sz w:val="21"/>
          <w:szCs w:val="21"/>
          <w14:textFill>
            <w14:solidFill>
              <w14:schemeClr w14:val="tx1"/>
            </w14:solidFill>
          </w14:textFill>
        </w:rPr>
        <w:t>《中国学术期刊（网络版）》</w:t>
      </w:r>
      <w:r>
        <w:rPr>
          <w:rFonts w:hint="eastAsia" w:ascii="Arial Narrow" w:hAnsi="Arial Narrow" w:eastAsia="仿宋_GB2312" w:cs="仿宋_GB2312"/>
          <w:color w:val="000000" w:themeColor="text1"/>
          <w:sz w:val="21"/>
          <w:szCs w:val="21"/>
          <w14:textFill>
            <w14:solidFill>
              <w14:schemeClr w14:val="tx1"/>
            </w14:solidFill>
          </w14:textFill>
        </w:rPr>
        <w:t>（</w:t>
      </w:r>
      <w:r>
        <w:rPr>
          <w:rFonts w:ascii="Arial Narrow" w:hAnsi="Arial Narrow" w:eastAsia="仿宋_GB2312" w:cs="仿宋_GB2312"/>
          <w:color w:val="000000" w:themeColor="text1"/>
          <w:sz w:val="21"/>
          <w:szCs w:val="21"/>
          <w14:textFill>
            <w14:solidFill>
              <w14:schemeClr w14:val="tx1"/>
            </w14:solidFill>
          </w14:textFill>
        </w:rPr>
        <w:t>C</w:t>
      </w:r>
      <w:r>
        <w:rPr>
          <w:rFonts w:hint="eastAsia" w:ascii="Arial Narrow" w:hAnsi="Arial Narrow" w:eastAsia="仿宋_GB2312" w:cs="仿宋_GB2312"/>
          <w:color w:val="000000" w:themeColor="text1"/>
          <w:sz w:val="21"/>
          <w:szCs w:val="21"/>
          <w14:textFill>
            <w14:solidFill>
              <w14:schemeClr w14:val="tx1"/>
            </w14:solidFill>
          </w14:textFill>
        </w:rPr>
        <w:t>N11-6037/Z）是第一部以全文数据库形式大规模集成出版中国学术期刊文献的电子期刊，是国家学术期刊权威性文献检索工具和网络出版平台，基本完整收录了我国的全部学术期刊，覆盖所有学科的内容。该库为国家“十五”、“十一五”国家重大电子与网络出版工程项目，并于2008年获得国家最高出版荣誉奖</w:t>
      </w:r>
      <w:r>
        <w:rPr>
          <w:rFonts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“首届中国出版政府奖</w:t>
      </w:r>
      <w:r>
        <w:rPr>
          <w:rFonts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网络出版物奖”。</w:t>
      </w:r>
    </w:p>
    <w:p>
      <w:pPr>
        <w:spacing w:line="360" w:lineRule="auto"/>
        <w:ind w:firstLine="420" w:firstLineChars="2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该库共分</w:t>
      </w:r>
      <w:r>
        <w:rPr>
          <w:rFonts w:hint="eastAsia" w:ascii="Arial Narrow" w:hAnsi="Arial Narrow" w:eastAsia="仿宋_GB2312" w:cs="Arial Narrow"/>
          <w:color w:val="000000" w:themeColor="text1"/>
          <w:sz w:val="21"/>
          <w:szCs w:val="21"/>
          <w14:textFill>
            <w14:solidFill>
              <w14:schemeClr w14:val="tx1"/>
            </w14:solidFill>
          </w14:textFill>
        </w:rPr>
        <w:t>十</w:t>
      </w:r>
      <w:r>
        <w:rPr>
          <w:rFonts w:hint="eastAsia" w:ascii="Arial Narrow" w:hAnsi="Arial Narrow" w:eastAsia="仿宋_GB2312" w:cs="仿宋_GB2312"/>
          <w:color w:val="000000" w:themeColor="text1"/>
          <w:sz w:val="21"/>
          <w:szCs w:val="21"/>
          <w14:textFill>
            <w14:solidFill>
              <w14:schemeClr w14:val="tx1"/>
            </w14:solidFill>
          </w14:textFill>
        </w:rPr>
        <w:t>大专辑出版光盘版和网络版，均有正式出版物号（见刊号表）。</w:t>
      </w:r>
    </w:p>
    <w:p>
      <w:pPr>
        <w:tabs>
          <w:tab w:val="left" w:pos="1755"/>
        </w:tabs>
        <w:spacing w:line="240" w:lineRule="atLeast"/>
        <w:rPr>
          <w:rFonts w:ascii="Arial Narrow" w:hAnsi="Arial Narrow" w:eastAsia="仿宋_GB2312"/>
          <w:color w:val="000000" w:themeColor="text1"/>
          <w:sz w:val="21"/>
          <w:szCs w:val="21"/>
          <w:shd w:val="pct10" w:color="auto" w:fill="FFFFFF"/>
          <w14:textFill>
            <w14:solidFill>
              <w14:schemeClr w14:val="tx1"/>
            </w14:solidFill>
          </w14:textFill>
        </w:rPr>
      </w:pPr>
    </w:p>
    <w:p>
      <w:pPr>
        <w:spacing w:line="360" w:lineRule="auto"/>
        <w:ind w:left="1680"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收录范围</w:t>
      </w:r>
      <w:r>
        <w:rPr>
          <w:rFonts w:hint="eastAsia" w:ascii="Arial Narrow" w:hAnsi="Arial Narrow" w:eastAsia="仿宋_GB2312" w:cs="仿宋_GB2312"/>
          <w:color w:val="000000" w:themeColor="text1"/>
          <w:sz w:val="21"/>
          <w:szCs w:val="21"/>
          <w14:textFill>
            <w14:solidFill>
              <w14:schemeClr w14:val="tx1"/>
            </w14:solidFill>
          </w14:textFill>
        </w:rPr>
        <w:t xml:space="preserve">      我国公开出版发行的学术期刊（含英文版）全文文献，包括基础与应用基础研究、技术研究、工程研究、工程与项目管理、技术开发、实用工程技术、行业技术发展与评论、高级科普、学科教育教学类期刊。</w:t>
      </w:r>
    </w:p>
    <w:p>
      <w:pPr>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文献总量</w:t>
      </w:r>
      <w:r>
        <w:rPr>
          <w:rFonts w:hint="eastAsia" w:ascii="Arial Narrow" w:hAnsi="Arial Narrow" w:eastAsia="仿宋_GB2312" w:cs="仿宋_GB2312"/>
          <w:color w:val="000000" w:themeColor="text1"/>
          <w:sz w:val="21"/>
          <w:szCs w:val="21"/>
          <w14:textFill>
            <w14:solidFill>
              <w14:schemeClr w14:val="tx1"/>
            </w14:solidFill>
          </w14:textFill>
        </w:rPr>
        <w:t xml:space="preserve">     截至2022年1月20日，累计收录8540余种期刊，全文文献总量达6000余万篇。其中，收录核心期刊1970余种。2022年计划出版期刊6404种，预计出版的总文献量约达200万篇，其中专有授权期刊计划不少于577种（其中自科363种，社科214种）</w:t>
      </w:r>
    </w:p>
    <w:p>
      <w:pPr>
        <w:spacing w:line="360" w:lineRule="auto"/>
        <w:rPr>
          <w:rFonts w:ascii="Arial Narrow" w:hAnsi="Arial Narrow" w:eastAsia="仿宋_GB2312" w:cs="Arial Narrow"/>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收录年限</w:t>
      </w:r>
      <w:r>
        <w:rPr>
          <w:rFonts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Arial Narrow"/>
          <w:color w:val="000000" w:themeColor="text1"/>
          <w:sz w:val="21"/>
          <w:szCs w:val="21"/>
          <w14:textFill>
            <w14:solidFill>
              <w14:schemeClr w14:val="tx1"/>
            </w14:solidFill>
          </w14:textFill>
        </w:rPr>
        <w:t>1915年至今</w:t>
      </w:r>
    </w:p>
    <w:p>
      <w:pPr>
        <w:spacing w:line="360" w:lineRule="auto"/>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期刊文献收录完整率</w:t>
      </w:r>
      <w:r>
        <w:rPr>
          <w:rFonts w:hint="eastAsia" w:ascii="Arial Narrow" w:hAnsi="Arial Narrow" w:eastAsia="仿宋_GB2312" w:cs="仿宋_GB2312"/>
          <w:color w:val="000000" w:themeColor="text1"/>
          <w:sz w:val="21"/>
          <w:szCs w:val="21"/>
          <w14:textFill>
            <w14:solidFill>
              <w14:schemeClr w14:val="tx1"/>
            </w14:solidFill>
          </w14:textFill>
        </w:rPr>
        <w:t xml:space="preserve"> 核心期刊、重要评价性数据库来源期刊完整率高于</w:t>
      </w:r>
      <w:r>
        <w:rPr>
          <w:rFonts w:ascii="Arial Narrow" w:hAnsi="Arial Narrow" w:eastAsia="仿宋_GB2312" w:cs="Arial Narrow"/>
          <w:color w:val="000000" w:themeColor="text1"/>
          <w:sz w:val="21"/>
          <w:szCs w:val="21"/>
          <w14:textFill>
            <w14:solidFill>
              <w14:schemeClr w14:val="tx1"/>
            </w14:solidFill>
          </w14:textFill>
        </w:rPr>
        <w:t>95%</w:t>
      </w:r>
      <w:r>
        <w:rPr>
          <w:rFonts w:hint="eastAsia" w:ascii="Arial Narrow" w:hAnsi="Arial Narrow" w:eastAsia="仿宋_GB2312" w:cs="仿宋_GB2312"/>
          <w:color w:val="000000" w:themeColor="text1"/>
          <w:sz w:val="21"/>
          <w:szCs w:val="21"/>
          <w14:textFill>
            <w14:solidFill>
              <w14:schemeClr w14:val="tx1"/>
            </w14:solidFill>
          </w14:textFill>
        </w:rPr>
        <w:t>；其它学术期刊完整率高于</w:t>
      </w:r>
      <w:r>
        <w:rPr>
          <w:rFonts w:ascii="Arial Narrow" w:hAnsi="Arial Narrow" w:eastAsia="仿宋_GB2312" w:cs="Arial Narrow"/>
          <w:color w:val="000000" w:themeColor="text1"/>
          <w:sz w:val="21"/>
          <w:szCs w:val="21"/>
          <w14:textFill>
            <w14:solidFill>
              <w14:schemeClr w14:val="tx1"/>
            </w14:solidFill>
          </w14:textFill>
        </w:rPr>
        <w:t>93%</w:t>
      </w:r>
      <w:r>
        <w:rPr>
          <w:rFonts w:hint="eastAsia" w:ascii="Arial Narrow" w:hAnsi="Arial Narrow" w:eastAsia="仿宋_GB2312" w:cs="仿宋_GB2312"/>
          <w:color w:val="000000" w:themeColor="text1"/>
          <w:sz w:val="21"/>
          <w:szCs w:val="21"/>
          <w14:textFill>
            <w14:solidFill>
              <w14:schemeClr w14:val="tx1"/>
            </w14:solidFill>
          </w14:textFill>
        </w:rPr>
        <w:t>。</w:t>
      </w:r>
    </w:p>
    <w:p>
      <w:pPr>
        <w:spacing w:line="360" w:lineRule="auto"/>
        <w:ind w:left="2280" w:hanging="1995" w:hangingChars="95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文献期数收录完整率</w:t>
      </w:r>
      <w:r>
        <w:rPr>
          <w:rFonts w:hint="eastAsia" w:ascii="Arial Narrow" w:hAnsi="Arial Narrow" w:eastAsia="仿宋_GB2312" w:cs="仿宋_GB2312"/>
          <w:color w:val="000000" w:themeColor="text1"/>
          <w:sz w:val="21"/>
          <w:szCs w:val="21"/>
          <w14:textFill>
            <w14:solidFill>
              <w14:schemeClr w14:val="tx1"/>
            </w14:solidFill>
          </w14:textFill>
        </w:rPr>
        <w:t xml:space="preserve"> 文献收录期数完整率高于</w:t>
      </w:r>
      <w:r>
        <w:rPr>
          <w:rFonts w:ascii="Arial Narrow" w:hAnsi="Arial Narrow" w:eastAsia="仿宋_GB2312" w:cs="Arial Narrow"/>
          <w:color w:val="000000" w:themeColor="text1"/>
          <w:sz w:val="21"/>
          <w:szCs w:val="21"/>
          <w14:textFill>
            <w14:solidFill>
              <w14:schemeClr w14:val="tx1"/>
            </w14:solidFill>
          </w14:textFill>
        </w:rPr>
        <w:t>99</w:t>
      </w:r>
      <w:r>
        <w:rPr>
          <w:rFonts w:hint="eastAsia" w:ascii="Arial Narrow" w:hAnsi="Arial Narrow" w:eastAsia="仿宋_GB2312" w:cs="仿宋_GB2312"/>
          <w:color w:val="000000" w:themeColor="text1"/>
          <w:sz w:val="21"/>
          <w:szCs w:val="21"/>
          <w14:textFill>
            <w14:solidFill>
              <w14:schemeClr w14:val="tx1"/>
            </w14:solidFill>
          </w14:textFill>
        </w:rPr>
        <w:t>％。</w:t>
      </w:r>
    </w:p>
    <w:p>
      <w:pPr>
        <w:spacing w:line="360" w:lineRule="auto"/>
        <w:ind w:left="2280" w:hanging="1995" w:hangingChars="95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文献篇数收录完整率</w:t>
      </w:r>
      <w:r>
        <w:rPr>
          <w:rFonts w:hint="eastAsia" w:ascii="Arial Narrow" w:hAnsi="Arial Narrow" w:eastAsia="仿宋_GB2312" w:cs="仿宋_GB2312"/>
          <w:color w:val="000000" w:themeColor="text1"/>
          <w:sz w:val="21"/>
          <w:szCs w:val="21"/>
          <w14:textFill>
            <w14:solidFill>
              <w14:schemeClr w14:val="tx1"/>
            </w14:solidFill>
          </w14:textFill>
        </w:rPr>
        <w:t xml:space="preserve"> 文献篇数收录完整率高于</w:t>
      </w:r>
      <w:r>
        <w:rPr>
          <w:rFonts w:ascii="Arial Narrow" w:hAnsi="Arial Narrow" w:eastAsia="仿宋_GB2312" w:cs="Arial Narrow"/>
          <w:color w:val="000000" w:themeColor="text1"/>
          <w:sz w:val="21"/>
          <w:szCs w:val="21"/>
          <w14:textFill>
            <w14:solidFill>
              <w14:schemeClr w14:val="tx1"/>
            </w14:solidFill>
          </w14:textFill>
        </w:rPr>
        <w:t>99</w:t>
      </w:r>
      <w:r>
        <w:rPr>
          <w:rFonts w:hint="eastAsia" w:ascii="Arial Narrow" w:hAnsi="Arial Narrow" w:eastAsia="仿宋_GB2312" w:cs="仿宋_GB2312"/>
          <w:color w:val="000000" w:themeColor="text1"/>
          <w:sz w:val="21"/>
          <w:szCs w:val="21"/>
          <w14:textFill>
            <w14:solidFill>
              <w14:schemeClr w14:val="tx1"/>
            </w14:solidFill>
          </w14:textFill>
        </w:rPr>
        <w:t>％。</w:t>
      </w:r>
    </w:p>
    <w:p>
      <w:pPr>
        <w:spacing w:line="360" w:lineRule="auto"/>
        <w:ind w:left="1680" w:hanging="1470" w:hangingChars="700"/>
        <w:rPr>
          <w:rFonts w:ascii="Arial Narrow" w:hAnsi="Arial Narrow" w:eastAsia="仿宋_GB2312" w:cs="Arial Narrow"/>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出版时效</w:t>
      </w:r>
      <w:r>
        <w:rPr>
          <w:rFonts w:hint="eastAsia" w:ascii="Arial Narrow" w:hAnsi="Arial Narrow" w:eastAsia="仿宋_GB2312" w:cs="仿宋_GB2312"/>
          <w:color w:val="000000" w:themeColor="text1"/>
          <w:sz w:val="21"/>
          <w:szCs w:val="21"/>
          <w14:textFill>
            <w14:solidFill>
              <w14:schemeClr w14:val="tx1"/>
            </w14:solidFill>
          </w14:textFill>
        </w:rPr>
        <w:t xml:space="preserve">     </w:t>
      </w:r>
      <w:r>
        <w:rPr>
          <w:rFonts w:hint="eastAsia" w:ascii="Arial Narrow" w:hAnsi="Arial Narrow" w:eastAsia="仿宋_GB2312" w:cs="Arial Narrow"/>
          <w:color w:val="000000" w:themeColor="text1"/>
          <w:sz w:val="21"/>
          <w:szCs w:val="21"/>
          <w14:textFill>
            <w14:solidFill>
              <w14:schemeClr w14:val="tx1"/>
            </w14:solidFill>
          </w14:textFill>
        </w:rPr>
        <w:t>网络数据每日更新。平均不迟于纸质期刊出版之后2个月。原创平台、快速出版的发布流程，将期刊加工周期缩短至1到3天。网络首发的数字出版模式，平均提前</w:t>
      </w:r>
      <w:r>
        <w:rPr>
          <w:rFonts w:hint="eastAsia" w:ascii="宋体" w:hAnsi="宋体" w:eastAsia="仿宋_GB2312" w:cs="宋体"/>
          <w:color w:val="000000" w:themeColor="text1"/>
          <w:sz w:val="21"/>
          <w:szCs w:val="21"/>
          <w14:textFill>
            <w14:solidFill>
              <w14:schemeClr w14:val="tx1"/>
            </w14:solidFill>
          </w14:textFill>
        </w:rPr>
        <w:t>75</w:t>
      </w:r>
      <w:r>
        <w:rPr>
          <w:rFonts w:hint="eastAsia" w:ascii="宋体" w:hAnsi="宋体" w:cs="宋体"/>
          <w:color w:val="000000" w:themeColor="text1"/>
          <w:sz w:val="21"/>
          <w:szCs w:val="21"/>
          <w14:textFill>
            <w14:solidFill>
              <w14:schemeClr w14:val="tx1"/>
            </w14:solidFill>
          </w14:textFill>
        </w:rPr>
        <w:t>天（其中科技期刊平均提前85天，社科类期刊平均提前47天）</w:t>
      </w:r>
      <w:r>
        <w:rPr>
          <w:rFonts w:hint="eastAsia" w:ascii="Arial Narrow" w:hAnsi="Arial Narrow" w:eastAsia="仿宋_GB2312" w:cs="Arial Narrow"/>
          <w:color w:val="000000" w:themeColor="text1"/>
          <w:sz w:val="21"/>
          <w:szCs w:val="21"/>
          <w14:textFill>
            <w14:solidFill>
              <w14:schemeClr w14:val="tx1"/>
            </w14:solidFill>
          </w14:textFill>
        </w:rPr>
        <w:t>与读者见面。</w:t>
      </w:r>
    </w:p>
    <w:p>
      <w:pPr>
        <w:spacing w:line="360" w:lineRule="auto"/>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更新频率</w:t>
      </w:r>
      <w:r>
        <w:rPr>
          <w:rFonts w:hint="eastAsia" w:ascii="Arial Narrow" w:hAnsi="Arial Narrow" w:eastAsia="仿宋_GB2312" w:cs="仿宋_GB2312"/>
          <w:color w:val="000000" w:themeColor="text1"/>
          <w:sz w:val="21"/>
          <w:szCs w:val="21"/>
          <w14:textFill>
            <w14:solidFill>
              <w14:schemeClr w14:val="tx1"/>
            </w14:solidFill>
          </w14:textFill>
        </w:rPr>
        <w:t xml:space="preserve">     中心网站版实时发布，网络镜像版、光盘版每月更新。</w:t>
      </w:r>
    </w:p>
    <w:p>
      <w:pPr>
        <w:spacing w:line="360" w:lineRule="auto"/>
        <w:ind w:left="1478" w:hanging="1293" w:hangingChars="616"/>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导航体系</w:t>
      </w:r>
      <w:r>
        <w:rPr>
          <w:rFonts w:hint="eastAsia" w:ascii="Arial Narrow" w:hAnsi="Arial Narrow" w:eastAsia="仿宋_GB2312" w:cs="仿宋_GB2312"/>
          <w:color w:val="000000" w:themeColor="text1"/>
          <w:sz w:val="21"/>
          <w:szCs w:val="21"/>
          <w14:textFill>
            <w14:solidFill>
              <w14:schemeClr w14:val="tx1"/>
            </w14:solidFill>
          </w14:textFill>
        </w:rPr>
        <w:t xml:space="preserve">     学科导航、卓越期刊导航、数据库刊源导航、主办单位导航、出版周期导航、出版地导航、核心期刊导航。</w:t>
      </w:r>
    </w:p>
    <w:p>
      <w:pPr>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检索字段</w:t>
      </w:r>
      <w:r>
        <w:rPr>
          <w:rFonts w:hint="eastAsia" w:ascii="Arial Narrow" w:hAnsi="Arial Narrow" w:eastAsia="仿宋_GB2312" w:cs="仿宋_GB2312"/>
          <w:color w:val="000000" w:themeColor="text1"/>
          <w:sz w:val="21"/>
          <w:szCs w:val="21"/>
          <w14:textFill>
            <w14:solidFill>
              <w14:schemeClr w14:val="tx1"/>
            </w14:solidFill>
          </w14:textFill>
        </w:rPr>
        <w:t xml:space="preserve">     主题、篇关摘、篇名、关键词、摘要、小标题、全文、参考文献、中图分类号、DOI、栏目信息、基金、作者、第一作者、通讯作者、作者单位、第一单位、期刊名称、年、期、</w:t>
      </w:r>
      <w:r>
        <w:rPr>
          <w:rFonts w:ascii="Arial Narrow" w:hAnsi="Arial Narrow" w:eastAsia="仿宋_GB2312" w:cs="Arial Narrow"/>
          <w:color w:val="000000" w:themeColor="text1"/>
          <w:sz w:val="21"/>
          <w:szCs w:val="21"/>
          <w14:textFill>
            <w14:solidFill>
              <w14:schemeClr w14:val="tx1"/>
            </w14:solidFill>
          </w14:textFill>
        </w:rPr>
        <w:t>ISSN</w:t>
      </w:r>
      <w:r>
        <w:rPr>
          <w:rFonts w:hint="eastAsia" w:ascii="Arial Narrow" w:hAnsi="Arial Narrow" w:eastAsia="仿宋_GB2312" w:cs="仿宋_GB2312"/>
          <w:color w:val="000000" w:themeColor="text1"/>
          <w:sz w:val="21"/>
          <w:szCs w:val="21"/>
          <w14:textFill>
            <w14:solidFill>
              <w14:schemeClr w14:val="tx1"/>
            </w14:solidFill>
          </w14:textFill>
        </w:rPr>
        <w:t>、CN、来源类别。</w:t>
      </w:r>
    </w:p>
    <w:p>
      <w:pPr>
        <w:tabs>
          <w:tab w:val="left" w:pos="1830"/>
        </w:tabs>
        <w:spacing w:line="360" w:lineRule="auto"/>
        <w:ind w:left="1680"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知网节模块</w:t>
      </w:r>
      <w:r>
        <w:rPr>
          <w:rFonts w:ascii="Arial Narrow" w:hAnsi="Arial Narrow" w:eastAsia="仿宋_GB2312"/>
          <w:color w:val="000000" w:themeColor="text1"/>
          <w:sz w:val="21"/>
          <w:szCs w:val="21"/>
          <w14:textFill>
            <w14:solidFill>
              <w14:schemeClr w14:val="tx1"/>
            </w14:solidFill>
          </w14:textFill>
        </w:rPr>
        <w:tab/>
      </w:r>
      <w:r>
        <w:rPr>
          <w:rFonts w:hint="eastAsia" w:ascii="Arial Narrow" w:hAnsi="Arial Narrow" w:eastAsia="仿宋_GB2312"/>
          <w:color w:val="000000" w:themeColor="text1"/>
          <w:sz w:val="21"/>
          <w:szCs w:val="21"/>
          <w14:textFill>
            <w14:solidFill>
              <w14:schemeClr w14:val="tx1"/>
            </w14:solidFill>
          </w14:textFill>
        </w:rPr>
        <w:t>“知网节”是以揭示不同文献或知识之间的关联关系为目标，以某篇文献或者某个知识点为中心的知识网络。它通过文献或知识的聚类功能，将不同文献或知识之间的内在关系进行有机整合，将CNKI数据库中期刊、学位论文、报纸、会议论文、图书等不同类型的文献进行关联，在此基础上，进一步形成了文献知网节、作者知网节、基金知网节、机构知网节等，从而构建系统的知识网络和内容解释体系。</w:t>
      </w:r>
    </w:p>
    <w:p>
      <w:pPr>
        <w:tabs>
          <w:tab w:val="left" w:pos="1830"/>
        </w:tabs>
        <w:spacing w:line="360" w:lineRule="auto"/>
        <w:ind w:left="1680" w:hanging="1470" w:hangingChars="700"/>
        <w:rPr>
          <w:rFonts w:ascii="Arial Narrow" w:hAnsi="Arial Narrow" w:eastAsia="仿宋_GB2312"/>
          <w:color w:val="000000" w:themeColor="text1"/>
          <w:sz w:val="21"/>
          <w:szCs w:val="21"/>
          <w:highlight w:val="yellow"/>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检索结果处理</w:t>
      </w:r>
      <w:r>
        <w:rPr>
          <w:rFonts w:hint="eastAsia" w:ascii="Arial Narrow" w:hAnsi="Arial Narrow" w:eastAsia="仿宋_GB2312" w:cs="仿宋_GB2312"/>
          <w:color w:val="000000" w:themeColor="text1"/>
          <w:sz w:val="21"/>
          <w:szCs w:val="21"/>
          <w14:textFill>
            <w14:solidFill>
              <w14:schemeClr w14:val="tx1"/>
            </w14:solidFill>
          </w14:textFill>
        </w:rPr>
        <w:t xml:space="preserve">  支持通过分组排序检索结果进行进一步筛选，可按照科技、社科、主题</w:t>
      </w:r>
      <w:r>
        <w:rPr>
          <w:rFonts w:hint="eastAsia" w:ascii="Arial Narrow" w:hAnsi="Arial Narrow" w:eastAsia="仿宋_GB2312"/>
          <w:color w:val="000000" w:themeColor="text1"/>
          <w:sz w:val="21"/>
          <w:szCs w:val="21"/>
          <w14:textFill>
            <w14:solidFill>
              <w14:schemeClr w14:val="tx1"/>
            </w14:solidFill>
          </w14:textFill>
        </w:rPr>
        <w:t>（主要主题、次要主题）</w:t>
      </w:r>
      <w:r>
        <w:rPr>
          <w:rFonts w:hint="eastAsia" w:ascii="Arial Narrow" w:hAnsi="Arial Narrow" w:eastAsia="仿宋_GB2312" w:cs="仿宋_GB2312"/>
          <w:color w:val="000000" w:themeColor="text1"/>
          <w:sz w:val="21"/>
          <w:szCs w:val="21"/>
          <w14:textFill>
            <w14:solidFill>
              <w14:schemeClr w14:val="tx1"/>
            </w14:solidFill>
          </w14:textFill>
        </w:rPr>
        <w:t>、发表年度、研究层次、期刊、来源类别、学科、基金、作者、机构等条件进行分组聚类，并且对于检索结果还能够按照相关度、发表时间、被引频次、下载频次进行排序。提供批量下载、按多种格式导出文献、可视化分析、在线阅读功能方便读者使用文献。</w:t>
      </w:r>
    </w:p>
    <w:p>
      <w:pPr>
        <w:ind w:left="2108" w:hanging="2108"/>
        <w:rPr>
          <w:rFonts w:ascii="Arial Narrow" w:hAnsi="Arial Narrow" w:eastAsia="仿宋_GB2312"/>
          <w:b/>
          <w:bCs/>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刊号表</w:t>
      </w:r>
    </w:p>
    <w:p>
      <w:pPr>
        <w:tabs>
          <w:tab w:val="left" w:pos="1830"/>
        </w:tabs>
        <w:spacing w:line="360" w:lineRule="auto"/>
        <w:ind w:left="1661" w:leftChars="741" w:hanging="105" w:hangingChars="50"/>
        <w:rPr>
          <w:rFonts w:ascii="Arial Narrow" w:hAnsi="Arial Narrow" w:eastAsia="仿宋_GB2312"/>
          <w:color w:val="000000" w:themeColor="text1"/>
          <w:sz w:val="21"/>
          <w:szCs w:val="21"/>
          <w14:textFill>
            <w14:solidFill>
              <w14:schemeClr w14:val="tx1"/>
            </w14:solidFill>
          </w14:textFill>
        </w:rPr>
      </w:pPr>
      <w:r>
        <w:rPr>
          <w:rFonts w:ascii="Arial Narrow" w:hAnsi="Arial Narrow" w:eastAsia="仿宋_GB2312"/>
          <w:color w:val="000000" w:themeColor="text1"/>
          <w:sz w:val="21"/>
          <w:szCs w:val="21"/>
          <w14:textFill>
            <w14:solidFill>
              <w14:schemeClr w14:val="tx1"/>
            </w14:solidFill>
          </w14:textFill>
        </w:rPr>
        <w:drawing>
          <wp:inline distT="0" distB="0" distL="0" distR="0">
            <wp:extent cx="3638550" cy="1970405"/>
            <wp:effectExtent l="0" t="0" r="0" b="1079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38550" cy="1970405"/>
                    </a:xfrm>
                    <a:prstGeom prst="rect">
                      <a:avLst/>
                    </a:prstGeom>
                    <a:noFill/>
                    <a:ln>
                      <a:noFill/>
                    </a:ln>
                  </pic:spPr>
                </pic:pic>
              </a:graphicData>
            </a:graphic>
          </wp:inline>
        </w:drawing>
      </w:r>
    </w:p>
    <w:p>
      <w:pPr>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网络首发：</w:t>
      </w:r>
      <w:r>
        <w:rPr>
          <w:rFonts w:hint="eastAsia" w:ascii="Arial Narrow" w:hAnsi="Arial Narrow" w:eastAsia="仿宋_GB2312" w:cs="仿宋_GB2312"/>
          <w:color w:val="000000" w:themeColor="text1"/>
          <w:sz w:val="21"/>
          <w:szCs w:val="21"/>
          <w14:textFill>
            <w14:solidFill>
              <w14:schemeClr w14:val="tx1"/>
            </w14:solidFill>
          </w14:textFill>
        </w:rPr>
        <w:t xml:space="preserve">    网络首发是指先将论文网络出版，按出版网址和发布时间确认论文首发权，之后将论文全部或其根文本在期刊印刷版出版的出版方式。按照首发时的编辑状态分为3种：录用定稿、排版定稿、整期汇编定稿。2020年，中国知网遴选学术影响力在Q1区的高质量期刊开展网络首发，2021年网络首发文献量16.7万篇，提升了高质量学术期刊的传播时效性。</w:t>
      </w:r>
    </w:p>
    <w:p>
      <w:pPr>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增强出版：</w:t>
      </w:r>
      <w:r>
        <w:rPr>
          <w:rFonts w:hint="eastAsia" w:ascii="Arial Narrow" w:hAnsi="Arial Narrow" w:eastAsia="仿宋_GB2312" w:cs="仿宋_GB2312"/>
          <w:color w:val="000000" w:themeColor="text1"/>
          <w:sz w:val="21"/>
          <w:szCs w:val="21"/>
          <w14:textFill>
            <w14:solidFill>
              <w14:schemeClr w14:val="tx1"/>
            </w14:solidFill>
          </w14:textFill>
        </w:rPr>
        <w:t xml:space="preserve">   增强出版是指将根文本以及与之关联的其他数字资源经过组织和封装，形成一个有内在联系的复合数字作品的数字出版方式。其作品称为增强出版论文。其中的根文本部分可以用印刷方式或数字方式刊出，但增强内容仅通过网络呈现。</w:t>
      </w:r>
    </w:p>
    <w:p>
      <w:pPr>
        <w:spacing w:line="360" w:lineRule="auto"/>
        <w:ind w:left="1680" w:hanging="1470" w:hangingChars="700"/>
        <w:rPr>
          <w:rFonts w:hint="eastAsia"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期刊视频：    2015年12月，学术期刊视频上线。学术期刊视频将电子期刊内的视频加工制作上网，主要包括医学类学术报告、手术操作实例等内容。</w:t>
      </w:r>
    </w:p>
    <w:p>
      <w:pPr>
        <w:spacing w:line="360" w:lineRule="auto"/>
        <w:ind w:left="1680" w:hanging="1470" w:hangingChars="700"/>
        <w:rPr>
          <w:rFonts w:hint="eastAsia" w:ascii="Arial Narrow" w:hAnsi="Arial Narrow" w:eastAsia="仿宋_GB2312" w:cs="仿宋_GB2312"/>
          <w:color w:val="000000" w:themeColor="text1"/>
          <w:sz w:val="21"/>
          <w:szCs w:val="21"/>
          <w14:textFill>
            <w14:solidFill>
              <w14:schemeClr w14:val="tx1"/>
            </w14:solidFill>
          </w14:textFill>
        </w:rPr>
      </w:pPr>
    </w:p>
    <w:p>
      <w:pPr>
        <w:spacing w:line="360" w:lineRule="auto"/>
        <w:ind w:left="1680" w:hanging="1470" w:hangingChars="700"/>
        <w:rPr>
          <w:rFonts w:hint="eastAsia" w:ascii="Arial Narrow" w:hAnsi="Arial Narrow" w:eastAsia="仿宋_GB2312" w:cs="仿宋_GB2312"/>
          <w:color w:val="000000" w:themeColor="text1"/>
          <w:sz w:val="21"/>
          <w:szCs w:val="21"/>
          <w14:textFill>
            <w14:solidFill>
              <w14:schemeClr w14:val="tx1"/>
            </w14:solidFill>
          </w14:textFill>
        </w:rPr>
      </w:pPr>
    </w:p>
    <w:p>
      <w:pPr>
        <w:pStyle w:val="4"/>
        <w:spacing w:after="300" w:line="700" w:lineRule="atLeast"/>
        <w:jc w:val="left"/>
        <w:rPr>
          <w:rFonts w:ascii="仿宋_GB2312" w:eastAsia="仿宋_GB2312"/>
          <w:b/>
          <w:color w:val="000000" w:themeColor="text1"/>
          <w:sz w:val="21"/>
          <w:szCs w:val="21"/>
          <w14:textFill>
            <w14:solidFill>
              <w14:schemeClr w14:val="tx1"/>
            </w14:solidFill>
          </w14:textFill>
        </w:rPr>
      </w:pPr>
      <w:bookmarkStart w:id="166" w:name="_Toc95740428"/>
      <w:bookmarkStart w:id="167" w:name="_Toc4657687"/>
      <w:bookmarkStart w:id="168" w:name="_Toc508005974"/>
      <w:bookmarkStart w:id="169" w:name="_Toc474769663"/>
      <w:r>
        <w:rPr>
          <w:rFonts w:hint="eastAsia" w:ascii="仿宋_GB2312" w:eastAsia="仿宋_GB2312"/>
          <w:b/>
          <w:color w:val="000000" w:themeColor="text1"/>
          <w:sz w:val="21"/>
          <w:szCs w:val="21"/>
          <w:lang w:val="en-US" w:eastAsia="zh-CN"/>
          <w14:textFill>
            <w14:solidFill>
              <w14:schemeClr w14:val="tx1"/>
            </w14:solidFill>
          </w14:textFill>
        </w:rPr>
        <w:t>2.</w:t>
      </w:r>
      <w:r>
        <w:rPr>
          <w:rFonts w:hint="eastAsia" w:ascii="仿宋_GB2312" w:eastAsia="仿宋_GB2312"/>
          <w:b/>
          <w:color w:val="000000" w:themeColor="text1"/>
          <w:sz w:val="21"/>
          <w:szCs w:val="21"/>
          <w14:textFill>
            <w14:solidFill>
              <w14:schemeClr w14:val="tx1"/>
            </w14:solidFill>
          </w14:textFill>
        </w:rPr>
        <w:t>【中国博士学位论文全文数据库（</w:t>
      </w:r>
      <w:r>
        <w:rPr>
          <w:rFonts w:ascii="仿宋_GB2312" w:eastAsia="仿宋_GB2312"/>
          <w:b/>
          <w:color w:val="000000" w:themeColor="text1"/>
          <w:sz w:val="21"/>
          <w:szCs w:val="21"/>
          <w14:textFill>
            <w14:solidFill>
              <w14:schemeClr w14:val="tx1"/>
            </w14:solidFill>
          </w14:textFill>
        </w:rPr>
        <w:t>CDFD</w:t>
      </w:r>
      <w:r>
        <w:rPr>
          <w:rFonts w:hint="eastAsia" w:ascii="仿宋_GB2312" w:eastAsia="仿宋_GB2312"/>
          <w:b/>
          <w:color w:val="000000" w:themeColor="text1"/>
          <w:sz w:val="21"/>
          <w:szCs w:val="21"/>
          <w14:textFill>
            <w14:solidFill>
              <w14:schemeClr w14:val="tx1"/>
            </w14:solidFill>
          </w14:textFill>
        </w:rPr>
        <w:t>）】</w:t>
      </w:r>
      <w:bookmarkEnd w:id="166"/>
    </w:p>
    <w:p>
      <w:pPr>
        <w:spacing w:line="360" w:lineRule="auto"/>
        <w:ind w:firstLine="411" w:firstLineChars="196"/>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《中国博士学位论文全文数据库》</w:t>
      </w:r>
      <w:r>
        <w:rPr>
          <w:rFonts w:ascii="Arial Narrow" w:hAnsi="Arial Narrow" w:eastAsia="仿宋_GB2312" w:cs="仿宋_GB2312"/>
          <w:color w:val="000000" w:themeColor="text1"/>
          <w:sz w:val="21"/>
          <w:szCs w:val="21"/>
          <w14:textFill>
            <w14:solidFill>
              <w14:schemeClr w14:val="tx1"/>
            </w14:solidFill>
          </w14:textFill>
        </w:rPr>
        <w:t>是目前国内相关资源最完备、高质量、连续动态更新的中国博士学位论文全文数据库，覆盖基础科学、工程技术、农业、医学、哲学、人文、社会科学等各个领域。</w:t>
      </w:r>
    </w:p>
    <w:p>
      <w:pPr>
        <w:tabs>
          <w:tab w:val="left" w:pos="1755"/>
        </w:tabs>
        <w:spacing w:line="360" w:lineRule="auto"/>
        <w:rPr>
          <w:rFonts w:ascii="Arial Narrow" w:hAnsi="Arial Narrow" w:eastAsia="仿宋_GB2312" w:cs="Arial Narrow"/>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刊号</w:t>
      </w:r>
      <w:r>
        <w:rPr>
          <w:rFonts w:hint="eastAsia" w:ascii="Arial Narrow" w:hAnsi="Arial Narrow" w:eastAsia="仿宋_GB2312" w:cs="仿宋_GB2312"/>
          <w:color w:val="000000" w:themeColor="text1"/>
          <w:sz w:val="21"/>
          <w:szCs w:val="21"/>
          <w14:textFill>
            <w14:solidFill>
              <w14:schemeClr w14:val="tx1"/>
            </w14:solidFill>
          </w14:textFill>
        </w:rPr>
        <w:t>全国统一刊号：</w:t>
      </w:r>
      <w:r>
        <w:rPr>
          <w:rFonts w:ascii="Arial Narrow" w:hAnsi="Arial Narrow" w:eastAsia="仿宋_GB2312" w:cs="Arial Narrow"/>
          <w:color w:val="000000" w:themeColor="text1"/>
          <w:sz w:val="21"/>
          <w:szCs w:val="21"/>
          <w14:textFill>
            <w14:solidFill>
              <w14:schemeClr w14:val="tx1"/>
            </w14:solidFill>
          </w14:textFill>
        </w:rPr>
        <w:t xml:space="preserve">CN11-9133/G  </w:t>
      </w:r>
    </w:p>
    <w:p>
      <w:pPr>
        <w:tabs>
          <w:tab w:val="left" w:pos="1755"/>
        </w:tabs>
        <w:spacing w:line="360" w:lineRule="auto"/>
        <w:rPr>
          <w:rFonts w:ascii="Arial Narrow" w:hAnsi="Arial Narrow" w:eastAsia="仿宋_GB2312"/>
          <w:color w:val="000000" w:themeColor="text1"/>
          <w:sz w:val="21"/>
          <w:szCs w:val="21"/>
          <w:shd w:val="pct10" w:color="auto" w:fill="FFFFFF"/>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 xml:space="preserve">    国际标准刊号：</w:t>
      </w:r>
      <w:r>
        <w:rPr>
          <w:rFonts w:ascii="Arial Narrow" w:hAnsi="Arial Narrow" w:eastAsia="仿宋_GB2312" w:cs="Arial Narrow"/>
          <w:color w:val="000000" w:themeColor="text1"/>
          <w:sz w:val="21"/>
          <w:szCs w:val="21"/>
          <w14:textFill>
            <w14:solidFill>
              <w14:schemeClr w14:val="tx1"/>
            </w14:solidFill>
          </w14:textFill>
        </w:rPr>
        <w:t>ISSN1674-022X</w:t>
      </w:r>
    </w:p>
    <w:p>
      <w:pPr>
        <w:spacing w:line="360" w:lineRule="auto"/>
        <w:ind w:left="1518" w:leftChars="23"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收录范围</w:t>
      </w:r>
      <w:r>
        <w:rPr>
          <w:rFonts w:hint="eastAsia" w:ascii="Arial Narrow" w:hAnsi="Arial Narrow" w:eastAsia="仿宋_GB2312" w:cs="仿宋_GB2312"/>
          <w:color w:val="000000" w:themeColor="text1"/>
          <w:sz w:val="21"/>
          <w:szCs w:val="21"/>
          <w14:textFill>
            <w14:solidFill>
              <w14:schemeClr w14:val="tx1"/>
            </w14:solidFill>
          </w14:textFill>
        </w:rPr>
        <w:t>具有博士学位授予权的博士培养单位的已被授予学位的博士学位论文（涉及国家保密的论文除外）。</w:t>
      </w:r>
    </w:p>
    <w:p>
      <w:pPr>
        <w:spacing w:line="360" w:lineRule="auto"/>
        <w:ind w:left="1518" w:leftChars="23"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文献总量</w:t>
      </w:r>
      <w:r>
        <w:rPr>
          <w:rFonts w:hint="eastAsia" w:ascii="Arial Narrow" w:hAnsi="Arial Narrow" w:eastAsia="仿宋_GB2312" w:cs="Arial Narrow"/>
          <w:color w:val="000000" w:themeColor="text1"/>
          <w:sz w:val="21"/>
          <w:szCs w:val="21"/>
          <w14:textFill>
            <w14:solidFill>
              <w14:schemeClr w14:val="tx1"/>
            </w14:solidFill>
          </w14:textFill>
        </w:rPr>
        <w:t>截止到</w:t>
      </w:r>
      <w:r>
        <w:rPr>
          <w:rFonts w:ascii="Arial Narrow" w:hAnsi="Arial Narrow" w:eastAsia="仿宋_GB2312" w:cs="仿宋_GB2312"/>
          <w:color w:val="000000" w:themeColor="text1"/>
          <w:sz w:val="21"/>
          <w:szCs w:val="21"/>
          <w14:textFill>
            <w14:solidFill>
              <w14:schemeClr w14:val="tx1"/>
            </w14:solidFill>
          </w14:textFill>
        </w:rPr>
        <w:t>20</w:t>
      </w:r>
      <w:r>
        <w:rPr>
          <w:rFonts w:hint="eastAsia" w:ascii="Arial Narrow" w:hAnsi="Arial Narrow" w:eastAsia="仿宋_GB2312" w:cs="仿宋_GB2312"/>
          <w:color w:val="000000" w:themeColor="text1"/>
          <w:sz w:val="21"/>
          <w:szCs w:val="21"/>
          <w14:textFill>
            <w14:solidFill>
              <w14:schemeClr w14:val="tx1"/>
            </w14:solidFill>
          </w14:textFill>
        </w:rPr>
        <w:t>22年1月20日，收录博士学位论文48.1万余篇。其中，241家培养单位与</w:t>
      </w:r>
      <w:r>
        <w:rPr>
          <w:rFonts w:ascii="Arial Narrow" w:hAnsi="Arial Narrow" w:eastAsia="仿宋_GB2312" w:cs="仿宋_GB2312"/>
          <w:color w:val="000000" w:themeColor="text1"/>
          <w:sz w:val="21"/>
          <w:szCs w:val="21"/>
          <w14:textFill>
            <w14:solidFill>
              <w14:schemeClr w14:val="tx1"/>
            </w14:solidFill>
          </w14:textFill>
        </w:rPr>
        <w:t>CNKI</w:t>
      </w:r>
      <w:r>
        <w:rPr>
          <w:rFonts w:hint="eastAsia" w:ascii="Arial Narrow" w:hAnsi="Arial Narrow" w:eastAsia="仿宋_GB2312" w:cs="仿宋_GB2312"/>
          <w:color w:val="000000" w:themeColor="text1"/>
          <w:sz w:val="21"/>
          <w:szCs w:val="21"/>
          <w14:textFill>
            <w14:solidFill>
              <w14:schemeClr w14:val="tx1"/>
            </w14:solidFill>
          </w14:textFill>
        </w:rPr>
        <w:t>独家合作；包括“一流大学”建设高校16家</w:t>
      </w:r>
      <w:r>
        <w:rPr>
          <w:sz w:val="21"/>
          <w:szCs w:val="21"/>
        </w:rPr>
        <w:fldChar w:fldCharType="begin"/>
      </w:r>
      <w:r>
        <w:rPr>
          <w:sz w:val="21"/>
          <w:szCs w:val="21"/>
        </w:rPr>
        <w:instrText xml:space="preserve"> HYPERLINK "file:///E:\\qulihua\\培训\\2011年初培训\\学位论文培训\\链接\\独家名单.xls" \t "_parent" </w:instrText>
      </w:r>
      <w:r>
        <w:rPr>
          <w:sz w:val="21"/>
          <w:szCs w:val="21"/>
        </w:rPr>
        <w:fldChar w:fldCharType="separate"/>
      </w:r>
      <w:r>
        <w:rPr>
          <w:rFonts w:hint="eastAsia"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fldChar w:fldCharType="end"/>
      </w:r>
      <w:r>
        <w:rPr>
          <w:sz w:val="21"/>
          <w:szCs w:val="21"/>
        </w:rPr>
        <w:fldChar w:fldCharType="begin"/>
      </w:r>
      <w:r>
        <w:rPr>
          <w:sz w:val="21"/>
          <w:szCs w:val="21"/>
        </w:rPr>
        <w:instrText xml:space="preserve"> HYPERLINK "file:///E:\\qulihua\\培训\\2011年初培训\\学位论文培训\\链接\\独家名单.xls" \t "_parent" </w:instrText>
      </w:r>
      <w:r>
        <w:rPr>
          <w:sz w:val="21"/>
          <w:szCs w:val="21"/>
        </w:rPr>
        <w:fldChar w:fldCharType="separate"/>
      </w:r>
      <w:r>
        <w:rPr>
          <w:rFonts w:hint="eastAsia"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fldChar w:fldCharType="end"/>
      </w:r>
      <w:r>
        <w:rPr>
          <w:rFonts w:hint="eastAsia" w:eastAsia="仿宋_GB2312"/>
          <w:color w:val="000000" w:themeColor="text1"/>
          <w:sz w:val="21"/>
          <w:szCs w:val="21"/>
          <w14:textFill>
            <w14:solidFill>
              <w14:schemeClr w14:val="tx1"/>
            </w14:solidFill>
          </w14:textFill>
        </w:rPr>
        <w:t>一流学科”建设高校</w:t>
      </w:r>
      <w:r>
        <w:rPr>
          <w:sz w:val="21"/>
          <w:szCs w:val="21"/>
        </w:rPr>
        <w:fldChar w:fldCharType="begin"/>
      </w:r>
      <w:r>
        <w:rPr>
          <w:sz w:val="21"/>
          <w:szCs w:val="21"/>
        </w:rPr>
        <w:instrText xml:space="preserve"> HYPERLINK "file:///E:\\qulihua\\培训\\2011年初培训\\学位论文培训\\链接\\独家名单.xls" \t "_parent" </w:instrText>
      </w:r>
      <w:r>
        <w:rPr>
          <w:sz w:val="21"/>
          <w:szCs w:val="21"/>
        </w:rPr>
        <w:fldChar w:fldCharType="separate"/>
      </w:r>
      <w:r>
        <w:rPr>
          <w:rFonts w:hint="eastAsia" w:ascii="Arial Narrow" w:hAnsi="Arial Narrow" w:eastAsia="仿宋_GB2312" w:cs="仿宋_GB2312"/>
          <w:color w:val="000000" w:themeColor="text1"/>
          <w:sz w:val="21"/>
          <w:szCs w:val="21"/>
          <w14:textFill>
            <w14:solidFill>
              <w14:schemeClr w14:val="tx1"/>
            </w14:solidFill>
          </w14:textFill>
        </w:rPr>
        <w:t>63家</w:t>
      </w:r>
      <w:r>
        <w:rPr>
          <w:rFonts w:hint="eastAsia" w:ascii="Arial Narrow" w:hAnsi="Arial Narrow" w:eastAsia="仿宋_GB2312" w:cs="仿宋_GB2312"/>
          <w:color w:val="000000" w:themeColor="text1"/>
          <w:sz w:val="21"/>
          <w:szCs w:val="21"/>
          <w14:textFill>
            <w14:solidFill>
              <w14:schemeClr w14:val="tx1"/>
            </w14:solidFill>
          </w14:textFill>
        </w:rPr>
        <w:fldChar w:fldCharType="end"/>
      </w:r>
      <w:r>
        <w:rPr>
          <w:rFonts w:hint="eastAsia" w:ascii="Arial Narrow" w:hAnsi="Arial Narrow" w:eastAsia="仿宋_GB2312" w:cs="仿宋_GB2312"/>
          <w:color w:val="000000" w:themeColor="text1"/>
          <w:sz w:val="21"/>
          <w:szCs w:val="21"/>
          <w14:textFill>
            <w14:solidFill>
              <w14:schemeClr w14:val="tx1"/>
            </w14:solidFill>
          </w14:textFill>
        </w:rPr>
        <w:t>，分别占“一流大学</w:t>
      </w:r>
      <w:r>
        <w:rPr>
          <w:rFonts w:hint="eastAsia" w:eastAsia="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建设高校、</w:t>
      </w:r>
      <w:r>
        <w:rPr>
          <w:sz w:val="21"/>
          <w:szCs w:val="21"/>
        </w:rPr>
        <w:fldChar w:fldCharType="begin"/>
      </w:r>
      <w:r>
        <w:rPr>
          <w:sz w:val="21"/>
          <w:szCs w:val="21"/>
        </w:rPr>
        <w:instrText xml:space="preserve"> HYPERLINK "file:///E:\\qulihua\\培训\\2011年初培训\\学位论文培训\\链接\\独家名单.xls" \t "_parent" </w:instrText>
      </w:r>
      <w:r>
        <w:rPr>
          <w:sz w:val="21"/>
          <w:szCs w:val="21"/>
        </w:rPr>
        <w:fldChar w:fldCharType="separate"/>
      </w:r>
      <w:r>
        <w:rPr>
          <w:rFonts w:hint="eastAsia"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fldChar w:fldCharType="end"/>
      </w:r>
      <w:r>
        <w:rPr>
          <w:rFonts w:hint="eastAsia" w:eastAsia="仿宋_GB2312"/>
          <w:color w:val="000000" w:themeColor="text1"/>
          <w:sz w:val="21"/>
          <w:szCs w:val="21"/>
          <w14:textFill>
            <w14:solidFill>
              <w14:schemeClr w14:val="tx1"/>
            </w14:solidFill>
          </w14:textFill>
        </w:rPr>
        <w:t>一流学科”建设高校</w:t>
      </w:r>
      <w:r>
        <w:rPr>
          <w:rFonts w:hint="eastAsia" w:ascii="Arial Narrow" w:hAnsi="Arial Narrow" w:eastAsia="仿宋_GB2312" w:cs="仿宋_GB2312"/>
          <w:color w:val="000000" w:themeColor="text1"/>
          <w:sz w:val="21"/>
          <w:szCs w:val="21"/>
          <w14:textFill>
            <w14:solidFill>
              <w14:schemeClr w14:val="tx1"/>
            </w14:solidFill>
          </w14:textFill>
        </w:rPr>
        <w:t>总数的38</w:t>
      </w:r>
      <w:r>
        <w:rPr>
          <w:rFonts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和45</w:t>
      </w:r>
      <w:r>
        <w:rPr>
          <w:rFonts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w:t>
      </w:r>
    </w:p>
    <w:p>
      <w:pPr>
        <w:spacing w:line="360" w:lineRule="auto"/>
        <w:ind w:left="1724" w:leftChars="821"/>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2022年计划出版：3.49万篇。</w:t>
      </w:r>
    </w:p>
    <w:p>
      <w:pPr>
        <w:spacing w:line="240" w:lineRule="atLeast"/>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收录年限</w:t>
      </w:r>
      <w:r>
        <w:rPr>
          <w:rFonts w:ascii="Arial Narrow" w:hAnsi="Arial Narrow" w:eastAsia="仿宋_GB2312" w:cs="Arial Narrow"/>
          <w:color w:val="000000" w:themeColor="text1"/>
          <w:sz w:val="21"/>
          <w:szCs w:val="21"/>
          <w14:textFill>
            <w14:solidFill>
              <w14:schemeClr w14:val="tx1"/>
            </w14:solidFill>
          </w14:textFill>
        </w:rPr>
        <w:t xml:space="preserve">    </w:t>
      </w:r>
      <w:r>
        <w:rPr>
          <w:rFonts w:ascii="Arial Narrow" w:hAnsi="Arial Narrow" w:eastAsia="仿宋_GB2312" w:cs="仿宋_GB2312"/>
          <w:color w:val="000000" w:themeColor="text1"/>
          <w:sz w:val="21"/>
          <w:szCs w:val="21"/>
          <w14:textFill>
            <w14:solidFill>
              <w14:schemeClr w14:val="tx1"/>
            </w14:solidFill>
          </w14:textFill>
        </w:rPr>
        <w:t xml:space="preserve"> 从1984年至今的博士学位论文。</w:t>
      </w:r>
    </w:p>
    <w:p>
      <w:pPr>
        <w:spacing w:line="360" w:lineRule="auto"/>
        <w:rPr>
          <w:rFonts w:ascii="Arial Narrow" w:hAnsi="Arial Narrow" w:eastAsia="仿宋_GB2312"/>
          <w:color w:val="000000" w:themeColor="text1"/>
          <w:sz w:val="21"/>
          <w:szCs w:val="21"/>
          <w14:textFill>
            <w14:solidFill>
              <w14:schemeClr w14:val="tx1"/>
            </w14:solidFill>
          </w14:textFill>
        </w:rPr>
      </w:pPr>
    </w:p>
    <w:p>
      <w:pPr>
        <w:spacing w:line="360" w:lineRule="auto"/>
        <w:ind w:left="1680"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文献来源完整率</w:t>
      </w:r>
      <w:r>
        <w:rPr>
          <w:rFonts w:hint="eastAsia" w:ascii="Arial Narrow" w:hAnsi="Arial Narrow" w:eastAsia="仿宋_GB2312" w:cs="仿宋_GB2312"/>
          <w:color w:val="000000" w:themeColor="text1"/>
          <w:sz w:val="21"/>
          <w:szCs w:val="21"/>
          <w14:textFill>
            <w14:solidFill>
              <w14:schemeClr w14:val="tx1"/>
            </w14:solidFill>
          </w14:textFill>
        </w:rPr>
        <w:t>收录</w:t>
      </w:r>
      <w:r>
        <w:rPr>
          <w:rFonts w:ascii="Arial Narrow" w:hAnsi="Arial Narrow" w:eastAsia="仿宋_GB2312" w:cs="仿宋_GB2312"/>
          <w:color w:val="000000" w:themeColor="text1"/>
          <w:sz w:val="21"/>
          <w:szCs w:val="21"/>
          <w14:textFill>
            <w14:solidFill>
              <w14:schemeClr w14:val="tx1"/>
            </w14:solidFill>
          </w14:textFill>
        </w:rPr>
        <w:t>507家</w:t>
      </w:r>
      <w:r>
        <w:rPr>
          <w:rFonts w:hint="eastAsia" w:ascii="Arial Narrow" w:hAnsi="Arial Narrow" w:eastAsia="仿宋_GB2312" w:cs="仿宋_GB2312"/>
          <w:color w:val="000000" w:themeColor="text1"/>
          <w:sz w:val="21"/>
          <w:szCs w:val="21"/>
          <w14:textFill>
            <w14:solidFill>
              <w14:schemeClr w14:val="tx1"/>
            </w14:solidFill>
          </w14:textFill>
        </w:rPr>
        <w:t>博士培养单位（涉及国家保密的单位除外）的博士学位论文，占我国博士学位培养单位的</w:t>
      </w:r>
      <w:r>
        <w:rPr>
          <w:rFonts w:ascii="Arial Narrow" w:hAnsi="Arial Narrow" w:eastAsia="仿宋_GB2312" w:cs="Arial Narrow"/>
          <w:color w:val="000000" w:themeColor="text1"/>
          <w:sz w:val="21"/>
          <w:szCs w:val="21"/>
          <w14:textFill>
            <w14:solidFill>
              <w14:schemeClr w14:val="tx1"/>
            </w14:solidFill>
          </w14:textFill>
        </w:rPr>
        <w:t>9</w:t>
      </w:r>
      <w:r>
        <w:rPr>
          <w:rFonts w:hint="eastAsia" w:ascii="Arial Narrow" w:hAnsi="Arial Narrow" w:eastAsia="仿宋_GB2312" w:cs="Arial Narrow"/>
          <w:color w:val="000000" w:themeColor="text1"/>
          <w:sz w:val="21"/>
          <w:szCs w:val="21"/>
          <w14:textFill>
            <w14:solidFill>
              <w14:schemeClr w14:val="tx1"/>
            </w14:solidFill>
          </w14:textFill>
        </w:rPr>
        <w:t>9</w:t>
      </w:r>
      <w:r>
        <w:rPr>
          <w:rFonts w:hint="eastAsia" w:ascii="Arial Narrow" w:hAnsi="Arial Narrow" w:eastAsia="仿宋_GB2312" w:cs="仿宋_GB2312"/>
          <w:color w:val="000000" w:themeColor="text1"/>
          <w:sz w:val="21"/>
          <w:szCs w:val="21"/>
          <w14:textFill>
            <w14:solidFill>
              <w14:schemeClr w14:val="tx1"/>
            </w14:solidFill>
          </w14:textFill>
        </w:rPr>
        <w:t>％。“一流大学”、“一流学科”建设高校学位论文覆盖率达到</w:t>
      </w:r>
      <w:r>
        <w:rPr>
          <w:rFonts w:ascii="Arial Narrow" w:hAnsi="Arial Narrow" w:eastAsia="仿宋_GB2312" w:cs="Arial Narrow"/>
          <w:color w:val="000000" w:themeColor="text1"/>
          <w:sz w:val="21"/>
          <w:szCs w:val="21"/>
          <w14:textFill>
            <w14:solidFill>
              <w14:schemeClr w14:val="tx1"/>
            </w14:solidFill>
          </w14:textFill>
        </w:rPr>
        <w:t>100%</w:t>
      </w:r>
      <w:r>
        <w:rPr>
          <w:rFonts w:hint="eastAsia" w:ascii="Arial Narrow" w:hAnsi="Arial Narrow" w:eastAsia="仿宋_GB2312" w:cs="仿宋_GB2312"/>
          <w:color w:val="000000" w:themeColor="text1"/>
          <w:sz w:val="21"/>
          <w:szCs w:val="21"/>
          <w14:textFill>
            <w14:solidFill>
              <w14:schemeClr w14:val="tx1"/>
            </w14:solidFill>
          </w14:textFill>
        </w:rPr>
        <w:t>。</w:t>
      </w:r>
    </w:p>
    <w:p>
      <w:pPr>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文献收录完整率</w:t>
      </w:r>
      <w:r>
        <w:rPr>
          <w:rFonts w:hint="eastAsia" w:ascii="Arial Narrow" w:hAnsi="Arial Narrow" w:eastAsia="仿宋_GB2312" w:cs="仿宋_GB2312"/>
          <w:color w:val="000000" w:themeColor="text1"/>
          <w:sz w:val="21"/>
          <w:szCs w:val="21"/>
          <w14:textFill>
            <w14:solidFill>
              <w14:schemeClr w14:val="tx1"/>
            </w14:solidFill>
          </w14:textFill>
        </w:rPr>
        <w:t>2014年、2015年、</w:t>
      </w:r>
      <w:r>
        <w:rPr>
          <w:rFonts w:ascii="Arial Narrow" w:hAnsi="Arial Narrow" w:eastAsia="仿宋_GB2312" w:cs="Arial Narrow"/>
          <w:color w:val="000000" w:themeColor="text1"/>
          <w:sz w:val="21"/>
          <w:szCs w:val="21"/>
          <w14:textFill>
            <w14:solidFill>
              <w14:schemeClr w14:val="tx1"/>
            </w14:solidFill>
          </w14:textFill>
        </w:rPr>
        <w:t>201</w:t>
      </w:r>
      <w:r>
        <w:rPr>
          <w:rFonts w:hint="eastAsia" w:ascii="Arial Narrow" w:hAnsi="Arial Narrow" w:eastAsia="仿宋_GB2312" w:cs="Arial Narrow"/>
          <w:color w:val="000000" w:themeColor="text1"/>
          <w:sz w:val="21"/>
          <w:szCs w:val="21"/>
          <w14:textFill>
            <w14:solidFill>
              <w14:schemeClr w14:val="tx1"/>
            </w14:solidFill>
          </w14:textFill>
        </w:rPr>
        <w:t>6</w:t>
      </w:r>
      <w:r>
        <w:rPr>
          <w:rFonts w:hint="eastAsia" w:ascii="Arial Narrow" w:hAnsi="Arial Narrow" w:eastAsia="仿宋_GB2312" w:cs="仿宋_GB2312"/>
          <w:color w:val="000000" w:themeColor="text1"/>
          <w:sz w:val="21"/>
          <w:szCs w:val="21"/>
          <w14:textFill>
            <w14:solidFill>
              <w14:schemeClr w14:val="tx1"/>
            </w14:solidFill>
          </w14:textFill>
        </w:rPr>
        <w:t>年、2017年、2018年、2019年、2020年、2021年博士学位论文出版数量占全国当年毕业且可公开出版的博士学位论文总量的</w:t>
      </w:r>
      <w:r>
        <w:rPr>
          <w:rFonts w:ascii="Arial Narrow" w:hAnsi="Arial Narrow" w:eastAsia="仿宋_GB2312" w:cs="Arial Narrow"/>
          <w:color w:val="000000" w:themeColor="text1"/>
          <w:sz w:val="21"/>
          <w:szCs w:val="21"/>
          <w14:textFill>
            <w14:solidFill>
              <w14:schemeClr w14:val="tx1"/>
            </w14:solidFill>
          </w14:textFill>
        </w:rPr>
        <w:t>90</w:t>
      </w:r>
      <w:r>
        <w:rPr>
          <w:rFonts w:hint="eastAsia" w:ascii="Arial Narrow" w:hAnsi="Arial Narrow" w:eastAsia="仿宋_GB2312" w:cs="仿宋_GB2312"/>
          <w:color w:val="000000" w:themeColor="text1"/>
          <w:sz w:val="21"/>
          <w:szCs w:val="21"/>
          <w14:textFill>
            <w14:solidFill>
              <w14:schemeClr w14:val="tx1"/>
            </w14:solidFill>
          </w14:textFill>
        </w:rPr>
        <w:t>％以上。</w:t>
      </w:r>
    </w:p>
    <w:p>
      <w:pPr>
        <w:spacing w:line="360" w:lineRule="auto"/>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出版时效</w:t>
      </w:r>
      <w:r>
        <w:rPr>
          <w:rFonts w:hint="eastAsia" w:ascii="Arial Narrow" w:hAnsi="Arial Narrow" w:eastAsia="仿宋_GB2312" w:cs="仿宋_GB2312"/>
          <w:color w:val="000000" w:themeColor="text1"/>
          <w:sz w:val="21"/>
          <w:szCs w:val="21"/>
          <w14:textFill>
            <w14:solidFill>
              <w14:schemeClr w14:val="tx1"/>
            </w14:solidFill>
          </w14:textFill>
        </w:rPr>
        <w:t>大多数论文出版不晚于授予学位之后</w:t>
      </w:r>
      <w:r>
        <w:rPr>
          <w:rFonts w:ascii="Arial Narrow" w:hAnsi="Arial Narrow" w:eastAsia="仿宋_GB2312" w:cs="Arial Narrow"/>
          <w:color w:val="000000" w:themeColor="text1"/>
          <w:sz w:val="21"/>
          <w:szCs w:val="21"/>
          <w14:textFill>
            <w14:solidFill>
              <w14:schemeClr w14:val="tx1"/>
            </w14:solidFill>
          </w14:textFill>
        </w:rPr>
        <w:t>2</w:t>
      </w:r>
      <w:r>
        <w:rPr>
          <w:rFonts w:hint="eastAsia" w:ascii="Arial Narrow" w:hAnsi="Arial Narrow" w:eastAsia="仿宋_GB2312" w:cs="仿宋_GB2312"/>
          <w:color w:val="000000" w:themeColor="text1"/>
          <w:sz w:val="21"/>
          <w:szCs w:val="21"/>
          <w14:textFill>
            <w14:solidFill>
              <w14:schemeClr w14:val="tx1"/>
            </w14:solidFill>
          </w14:textFill>
        </w:rPr>
        <w:t>个月。</w:t>
      </w:r>
    </w:p>
    <w:p>
      <w:pPr>
        <w:spacing w:line="360" w:lineRule="auto"/>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更新频率</w:t>
      </w:r>
      <w:r>
        <w:rPr>
          <w:rFonts w:hint="eastAsia" w:ascii="Arial Narrow" w:hAnsi="Arial Narrow" w:eastAsia="仿宋_GB2312" w:cs="仿宋_GB2312"/>
          <w:color w:val="000000" w:themeColor="text1"/>
          <w:sz w:val="21"/>
          <w:szCs w:val="21"/>
          <w14:textFill>
            <w14:solidFill>
              <w14:schemeClr w14:val="tx1"/>
            </w14:solidFill>
          </w14:textFill>
        </w:rPr>
        <w:t>1、实时更新：云租用、云托管、云机构馆托管。</w:t>
      </w:r>
    </w:p>
    <w:p>
      <w:pPr>
        <w:numPr>
          <w:ilvl w:val="0"/>
          <w:numId w:val="4"/>
        </w:numPr>
        <w:spacing w:line="360" w:lineRule="auto"/>
        <w:ind w:firstLine="1470" w:firstLine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月出版：镜像版，每月10日出版。</w:t>
      </w:r>
    </w:p>
    <w:p>
      <w:pPr>
        <w:spacing w:line="360" w:lineRule="auto"/>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导航体系</w:t>
      </w:r>
      <w:r>
        <w:rPr>
          <w:rFonts w:hint="eastAsia" w:ascii="Arial Narrow" w:hAnsi="Arial Narrow" w:eastAsia="仿宋_GB2312" w:cs="仿宋_GB2312"/>
          <w:color w:val="000000" w:themeColor="text1"/>
          <w:sz w:val="21"/>
          <w:szCs w:val="21"/>
          <w14:textFill>
            <w14:solidFill>
              <w14:schemeClr w14:val="tx1"/>
            </w14:solidFill>
          </w14:textFill>
        </w:rPr>
        <w:t>学位授予单位导航(包括地域导航和学科专业导航)、文献分类导航。</w:t>
      </w:r>
    </w:p>
    <w:p>
      <w:pPr>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检索字段</w:t>
      </w:r>
      <w:r>
        <w:rPr>
          <w:rFonts w:hint="eastAsia" w:ascii="Arial Narrow" w:hAnsi="Arial Narrow" w:eastAsia="仿宋_GB2312" w:cs="仿宋_GB2312"/>
          <w:color w:val="000000" w:themeColor="text1"/>
          <w:sz w:val="21"/>
          <w:szCs w:val="21"/>
          <w14:textFill>
            <w14:solidFill>
              <w14:schemeClr w14:val="tx1"/>
            </w14:solidFill>
          </w14:textFill>
        </w:rPr>
        <w:t>主题、篇关摘、关键词、题名、全文、作者、作者单位、导师、第一导师、学位授予单位、基金、摘要、目录、参考文献、中图分类号、学科专业名称、DOI。</w:t>
      </w:r>
    </w:p>
    <w:p>
      <w:pPr>
        <w:spacing w:line="360" w:lineRule="auto"/>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下载方式</w:t>
      </w:r>
      <w:r>
        <w:rPr>
          <w:rFonts w:hint="eastAsia" w:ascii="Arial Narrow" w:hAnsi="Arial Narrow" w:eastAsia="仿宋_GB2312" w:cs="仿宋_GB2312"/>
          <w:color w:val="000000" w:themeColor="text1"/>
          <w:sz w:val="21"/>
          <w:szCs w:val="21"/>
          <w14:textFill>
            <w14:solidFill>
              <w14:schemeClr w14:val="tx1"/>
            </w14:solidFill>
          </w14:textFill>
        </w:rPr>
        <w:t>整本下载、分页下载、分章下载、在线阅读。</w:t>
      </w:r>
    </w:p>
    <w:p>
      <w:pPr>
        <w:tabs>
          <w:tab w:val="left" w:pos="1830"/>
        </w:tabs>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知网节模块</w:t>
      </w:r>
      <w:r>
        <w:rPr>
          <w:rFonts w:ascii="Arial Narrow" w:hAnsi="Arial Narrow" w:eastAsia="仿宋_GB2312"/>
          <w:color w:val="000000" w:themeColor="text1"/>
          <w:sz w:val="21"/>
          <w:szCs w:val="21"/>
          <w14:textFill>
            <w14:solidFill>
              <w14:schemeClr w14:val="tx1"/>
            </w14:solidFill>
          </w14:textFill>
        </w:rPr>
        <w:tab/>
      </w:r>
      <w:r>
        <w:rPr>
          <w:rFonts w:hint="eastAsia" w:ascii="Arial Narrow" w:hAnsi="Arial Narrow" w:eastAsia="仿宋_GB2312" w:cs="仿宋_GB2312"/>
          <w:color w:val="000000" w:themeColor="text1"/>
          <w:sz w:val="21"/>
          <w:szCs w:val="21"/>
          <w14:textFill>
            <w14:solidFill>
              <w14:schemeClr w14:val="tx1"/>
            </w14:solidFill>
          </w14:textFill>
        </w:rPr>
        <w:t>节点文献的二级参考文献、参考文献、共引文献、同被引文献、引证文献、二级引证文献、相似文献、关联作者、读者推荐、相关基金文献、攻读期成果、相关视频，可以链接到期刊、博硕、会议、报纸、专利、标准、年鉴、</w:t>
      </w:r>
      <w:r>
        <w:rPr>
          <w:rFonts w:hint="eastAsia" w:ascii="Arial Narrow" w:hAnsi="Arial Narrow" w:eastAsia="仿宋_GB2312" w:cs="Arial Narrow"/>
          <w:color w:val="000000" w:themeColor="text1"/>
          <w:sz w:val="21"/>
          <w:szCs w:val="21"/>
          <w14:textFill>
            <w14:solidFill>
              <w14:schemeClr w14:val="tx1"/>
            </w14:solidFill>
          </w14:textFill>
        </w:rPr>
        <w:t>国际</w:t>
      </w:r>
      <w:r>
        <w:rPr>
          <w:rFonts w:hint="eastAsia" w:ascii="Arial Narrow" w:hAnsi="Arial Narrow" w:eastAsia="仿宋_GB2312" w:cs="仿宋_GB2312"/>
          <w:color w:val="000000" w:themeColor="text1"/>
          <w:sz w:val="21"/>
          <w:szCs w:val="21"/>
          <w14:textFill>
            <w14:solidFill>
              <w14:schemeClr w14:val="tx1"/>
            </w14:solidFill>
          </w14:textFill>
        </w:rPr>
        <w:t>期刊、科技成果、图书等数据库使用。</w:t>
      </w:r>
    </w:p>
    <w:p>
      <w:pPr>
        <w:tabs>
          <w:tab w:val="left" w:pos="1830"/>
        </w:tabs>
        <w:spacing w:line="360" w:lineRule="auto"/>
        <w:ind w:left="1680" w:hanging="1470" w:hangingChars="700"/>
        <w:jc w:val="left"/>
        <w:rPr>
          <w:rFonts w:hint="eastAsia"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检索结果处理</w:t>
      </w:r>
      <w:r>
        <w:rPr>
          <w:rFonts w:hint="eastAsia" w:ascii="Arial Narrow" w:hAnsi="Arial Narrow" w:eastAsia="仿宋_GB2312" w:cs="仿宋_GB2312"/>
          <w:color w:val="000000" w:themeColor="text1"/>
          <w:sz w:val="21"/>
          <w:szCs w:val="21"/>
          <w14:textFill>
            <w14:solidFill>
              <w14:schemeClr w14:val="tx1"/>
            </w14:solidFill>
          </w14:textFill>
        </w:rPr>
        <w:t>支持通过分组排序检索结果进行进一步筛选，可按照主题（主要主题、次要主题）、学科、学位授予年度、研究层次、学位授予单位、基金、导师、学科专业等条件进行分组聚类，并且对于检索结果还能够按照相关度、出版时间、被引频次、下载频次、学位授予年度等进行排序。还可以对结果进行批量下载、12种格式的文献导出。</w:t>
      </w:r>
    </w:p>
    <w:p>
      <w:pPr>
        <w:tabs>
          <w:tab w:val="left" w:pos="1830"/>
        </w:tabs>
        <w:spacing w:line="360" w:lineRule="auto"/>
        <w:ind w:left="1680" w:hanging="1470" w:hangingChars="700"/>
        <w:jc w:val="left"/>
        <w:rPr>
          <w:rFonts w:hint="eastAsia" w:ascii="Arial Narrow" w:hAnsi="Arial Narrow" w:eastAsia="仿宋_GB2312" w:cs="仿宋_GB2312"/>
          <w:color w:val="000000" w:themeColor="text1"/>
          <w:sz w:val="21"/>
          <w:szCs w:val="21"/>
          <w14:textFill>
            <w14:solidFill>
              <w14:schemeClr w14:val="tx1"/>
            </w14:solidFill>
          </w14:textFill>
        </w:rPr>
      </w:pPr>
    </w:p>
    <w:p>
      <w:pPr>
        <w:pStyle w:val="4"/>
        <w:spacing w:after="300" w:line="700" w:lineRule="atLeast"/>
        <w:jc w:val="left"/>
        <w:rPr>
          <w:rFonts w:ascii="仿宋_GB2312" w:eastAsia="仿宋_GB2312"/>
          <w:b/>
          <w:color w:val="000000" w:themeColor="text1"/>
          <w:sz w:val="21"/>
          <w:szCs w:val="21"/>
          <w14:textFill>
            <w14:solidFill>
              <w14:schemeClr w14:val="tx1"/>
            </w14:solidFill>
          </w14:textFill>
        </w:rPr>
      </w:pPr>
      <w:bookmarkStart w:id="170" w:name="_Toc95740429"/>
      <w:r>
        <w:rPr>
          <w:rFonts w:hint="eastAsia" w:ascii="仿宋_GB2312" w:eastAsia="仿宋_GB2312"/>
          <w:b/>
          <w:color w:val="000000" w:themeColor="text1"/>
          <w:sz w:val="21"/>
          <w:szCs w:val="21"/>
          <w:lang w:val="en-US" w:eastAsia="zh-CN"/>
          <w14:textFill>
            <w14:solidFill>
              <w14:schemeClr w14:val="tx1"/>
            </w14:solidFill>
          </w14:textFill>
        </w:rPr>
        <w:t>3.</w:t>
      </w:r>
      <w:r>
        <w:rPr>
          <w:rFonts w:hint="eastAsia" w:ascii="仿宋_GB2312" w:eastAsia="仿宋_GB2312"/>
          <w:b/>
          <w:color w:val="000000" w:themeColor="text1"/>
          <w:sz w:val="21"/>
          <w:szCs w:val="21"/>
          <w14:textFill>
            <w14:solidFill>
              <w14:schemeClr w14:val="tx1"/>
            </w14:solidFill>
          </w14:textFill>
        </w:rPr>
        <w:t>【中国优秀硕士学位论文全文数据库（</w:t>
      </w:r>
      <w:r>
        <w:rPr>
          <w:rFonts w:ascii="仿宋_GB2312" w:eastAsia="仿宋_GB2312"/>
          <w:b/>
          <w:color w:val="000000" w:themeColor="text1"/>
          <w:sz w:val="21"/>
          <w:szCs w:val="21"/>
          <w14:textFill>
            <w14:solidFill>
              <w14:schemeClr w14:val="tx1"/>
            </w14:solidFill>
          </w14:textFill>
        </w:rPr>
        <w:t>CMFD</w:t>
      </w:r>
      <w:r>
        <w:rPr>
          <w:rFonts w:hint="eastAsia" w:ascii="仿宋_GB2312" w:eastAsia="仿宋_GB2312"/>
          <w:b/>
          <w:color w:val="000000" w:themeColor="text1"/>
          <w:sz w:val="21"/>
          <w:szCs w:val="21"/>
          <w14:textFill>
            <w14:solidFill>
              <w14:schemeClr w14:val="tx1"/>
            </w14:solidFill>
          </w14:textFill>
        </w:rPr>
        <w:t>）】</w:t>
      </w:r>
      <w:bookmarkEnd w:id="170"/>
    </w:p>
    <w:p>
      <w:pPr>
        <w:spacing w:line="360" w:lineRule="auto"/>
        <w:ind w:firstLine="411" w:firstLineChars="196"/>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《中国优秀硕士学位论文全文数据库》</w:t>
      </w:r>
      <w:r>
        <w:rPr>
          <w:rFonts w:ascii="Arial Narrow" w:hAnsi="Arial Narrow" w:eastAsia="仿宋_GB2312" w:cs="仿宋_GB2312"/>
          <w:color w:val="000000" w:themeColor="text1"/>
          <w:sz w:val="21"/>
          <w:szCs w:val="21"/>
          <w14:textFill>
            <w14:solidFill>
              <w14:schemeClr w14:val="tx1"/>
            </w14:solidFill>
          </w14:textFill>
        </w:rPr>
        <w:t>是目前国内相关资源最完备、高质量、连续动态更新的中国优秀硕士学位论文全文数据库，覆盖基础科学、工程技术、农业、医学、哲学、人文、社会科学等各个领域。</w:t>
      </w:r>
    </w:p>
    <w:p>
      <w:pPr>
        <w:spacing w:line="240" w:lineRule="atLeast"/>
        <w:ind w:firstLine="411" w:firstLineChars="196"/>
        <w:rPr>
          <w:rFonts w:ascii="Arial Narrow" w:hAnsi="Arial Narrow" w:eastAsia="仿宋_GB2312"/>
          <w:color w:val="000000" w:themeColor="text1"/>
          <w:sz w:val="21"/>
          <w:szCs w:val="21"/>
          <w:shd w:val="pct10" w:color="auto" w:fill="FFFFFF"/>
          <w14:textFill>
            <w14:solidFill>
              <w14:schemeClr w14:val="tx1"/>
            </w14:solidFill>
          </w14:textFill>
        </w:rPr>
      </w:pPr>
    </w:p>
    <w:p>
      <w:pPr>
        <w:tabs>
          <w:tab w:val="left" w:pos="1755"/>
        </w:tabs>
        <w:spacing w:line="360" w:lineRule="auto"/>
        <w:rPr>
          <w:rFonts w:ascii="Arial Narrow" w:hAnsi="Arial Narrow" w:eastAsia="仿宋_GB2312" w:cs="Arial Narrow"/>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刊号</w:t>
      </w:r>
      <w:r>
        <w:rPr>
          <w:rFonts w:hint="eastAsia" w:ascii="Arial Narrow" w:hAnsi="Arial Narrow" w:eastAsia="仿宋_GB2312" w:cs="仿宋_GB2312"/>
          <w:color w:val="000000" w:themeColor="text1"/>
          <w:sz w:val="21"/>
          <w:szCs w:val="21"/>
          <w14:textFill>
            <w14:solidFill>
              <w14:schemeClr w14:val="tx1"/>
            </w14:solidFill>
          </w14:textFill>
        </w:rPr>
        <w:t>全国统一刊号：</w:t>
      </w:r>
      <w:r>
        <w:rPr>
          <w:rFonts w:ascii="Arial Narrow" w:hAnsi="Arial Narrow" w:eastAsia="仿宋_GB2312" w:cs="Arial Narrow"/>
          <w:color w:val="000000" w:themeColor="text1"/>
          <w:sz w:val="21"/>
          <w:szCs w:val="21"/>
          <w14:textFill>
            <w14:solidFill>
              <w14:schemeClr w14:val="tx1"/>
            </w14:solidFill>
          </w14:textFill>
        </w:rPr>
        <w:t xml:space="preserve">CN11-9144/G  </w:t>
      </w:r>
    </w:p>
    <w:p>
      <w:pPr>
        <w:tabs>
          <w:tab w:val="left" w:pos="1755"/>
        </w:tabs>
        <w:spacing w:line="360" w:lineRule="auto"/>
        <w:rPr>
          <w:rFonts w:ascii="Arial Narrow" w:hAnsi="Arial Narrow" w:eastAsia="仿宋_GB2312"/>
          <w:color w:val="000000" w:themeColor="text1"/>
          <w:sz w:val="21"/>
          <w:szCs w:val="21"/>
          <w:shd w:val="pct10" w:color="auto" w:fill="FFFFFF"/>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 xml:space="preserve">    国际标准刊号</w:t>
      </w:r>
      <w:r>
        <w:rPr>
          <w:rFonts w:hint="eastAsia" w:ascii="Arial Narrow" w:hAnsi="Arial Narrow" w:eastAsia="仿宋_GB2312" w:cs="Arial Narrow"/>
          <w:color w:val="000000" w:themeColor="text1"/>
          <w:sz w:val="21"/>
          <w:szCs w:val="21"/>
          <w14:textFill>
            <w14:solidFill>
              <w14:schemeClr w14:val="tx1"/>
            </w14:solidFill>
          </w14:textFill>
        </w:rPr>
        <w:t>：</w:t>
      </w:r>
      <w:r>
        <w:rPr>
          <w:rFonts w:ascii="Arial Narrow" w:hAnsi="Arial Narrow" w:eastAsia="仿宋_GB2312" w:cs="Arial Narrow"/>
          <w:color w:val="000000" w:themeColor="text1"/>
          <w:sz w:val="21"/>
          <w:szCs w:val="21"/>
          <w14:textFill>
            <w14:solidFill>
              <w14:schemeClr w14:val="tx1"/>
            </w14:solidFill>
          </w14:textFill>
        </w:rPr>
        <w:t>ISSN1674-0246</w:t>
      </w:r>
    </w:p>
    <w:p>
      <w:pPr>
        <w:spacing w:line="360" w:lineRule="auto"/>
        <w:ind w:left="1680"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收录范围</w:t>
      </w:r>
      <w:r>
        <w:rPr>
          <w:rFonts w:hint="eastAsia" w:ascii="Arial Narrow" w:hAnsi="Arial Narrow" w:eastAsia="仿宋_GB2312" w:cs="仿宋_GB2312"/>
          <w:color w:val="000000" w:themeColor="text1"/>
          <w:sz w:val="21"/>
          <w:szCs w:val="21"/>
          <w14:textFill>
            <w14:solidFill>
              <w14:schemeClr w14:val="tx1"/>
            </w14:solidFill>
          </w14:textFill>
        </w:rPr>
        <w:t>具有博士学位授予权单位的硕士学位论文以及全国无博士学位授予权单位的优秀硕士学位论文。以优先保证文献质量为基本原则。</w:t>
      </w:r>
    </w:p>
    <w:p>
      <w:pPr>
        <w:spacing w:line="360" w:lineRule="auto"/>
        <w:ind w:left="1518" w:leftChars="23"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文献总量</w:t>
      </w:r>
      <w:r>
        <w:rPr>
          <w:rFonts w:hint="eastAsia" w:ascii="Arial Narrow" w:hAnsi="Arial Narrow" w:eastAsia="仿宋_GB2312" w:cs="Arial Narrow"/>
          <w:color w:val="000000" w:themeColor="text1"/>
          <w:sz w:val="21"/>
          <w:szCs w:val="21"/>
          <w14:textFill>
            <w14:solidFill>
              <w14:schemeClr w14:val="tx1"/>
            </w14:solidFill>
          </w14:textFill>
        </w:rPr>
        <w:t>截止到</w:t>
      </w:r>
      <w:r>
        <w:rPr>
          <w:rFonts w:ascii="Arial Narrow" w:hAnsi="Arial Narrow" w:eastAsia="仿宋_GB2312" w:cs="仿宋_GB2312"/>
          <w:color w:val="000000" w:themeColor="text1"/>
          <w:sz w:val="21"/>
          <w:szCs w:val="21"/>
          <w14:textFill>
            <w14:solidFill>
              <w14:schemeClr w14:val="tx1"/>
            </w14:solidFill>
          </w14:textFill>
        </w:rPr>
        <w:t>20</w:t>
      </w:r>
      <w:r>
        <w:rPr>
          <w:rFonts w:hint="eastAsia" w:ascii="Arial Narrow" w:hAnsi="Arial Narrow" w:eastAsia="仿宋_GB2312" w:cs="仿宋_GB2312"/>
          <w:color w:val="000000" w:themeColor="text1"/>
          <w:sz w:val="21"/>
          <w:szCs w:val="21"/>
          <w14:textFill>
            <w14:solidFill>
              <w14:schemeClr w14:val="tx1"/>
            </w14:solidFill>
          </w14:textFill>
        </w:rPr>
        <w:t>22年1月20日，</w:t>
      </w:r>
      <w:r>
        <w:rPr>
          <w:rFonts w:hint="eastAsia" w:ascii="仿宋_GB2312" w:eastAsia="仿宋_GB2312"/>
          <w:color w:val="000000" w:themeColor="text1"/>
          <w:sz w:val="21"/>
          <w:szCs w:val="21"/>
          <w14:textFill>
            <w14:solidFill>
              <w14:schemeClr w14:val="tx1"/>
            </w14:solidFill>
          </w14:textFill>
        </w:rPr>
        <w:t>收录硕士学位论文</w:t>
      </w:r>
      <w:r>
        <w:rPr>
          <w:rFonts w:hint="eastAsia" w:ascii="Arial Narrow" w:hAnsi="Arial Narrow" w:eastAsia="仿宋_GB2312" w:cs="Arial Narrow"/>
          <w:color w:val="000000" w:themeColor="text1"/>
          <w:sz w:val="21"/>
          <w:szCs w:val="21"/>
          <w14:textFill>
            <w14:solidFill>
              <w14:schemeClr w14:val="tx1"/>
            </w14:solidFill>
          </w14:textFill>
        </w:rPr>
        <w:t>480.6</w:t>
      </w:r>
      <w:r>
        <w:rPr>
          <w:rFonts w:hint="eastAsia" w:ascii="仿宋_GB2312" w:eastAsia="仿宋_GB2312"/>
          <w:color w:val="000000" w:themeColor="text1"/>
          <w:sz w:val="21"/>
          <w:szCs w:val="21"/>
          <w14:textFill>
            <w14:solidFill>
              <w14:schemeClr w14:val="tx1"/>
            </w14:solidFill>
          </w14:textFill>
        </w:rPr>
        <w:t>万余篇。其中，</w:t>
      </w:r>
      <w:r>
        <w:rPr>
          <w:rFonts w:hint="eastAsia" w:ascii="Arial Narrow" w:hAnsi="Arial Narrow" w:eastAsia="仿宋_GB2312" w:cs="Arial Narrow"/>
          <w:color w:val="000000" w:themeColor="text1"/>
          <w:sz w:val="21"/>
          <w:szCs w:val="21"/>
          <w14:textFill>
            <w14:solidFill>
              <w14:schemeClr w14:val="tx1"/>
            </w14:solidFill>
          </w14:textFill>
        </w:rPr>
        <w:t>464</w:t>
      </w:r>
      <w:r>
        <w:rPr>
          <w:rFonts w:hint="eastAsia" w:ascii="仿宋_GB2312" w:eastAsia="仿宋_GB2312"/>
          <w:color w:val="000000" w:themeColor="text1"/>
          <w:sz w:val="21"/>
          <w:szCs w:val="21"/>
          <w14:textFill>
            <w14:solidFill>
              <w14:schemeClr w14:val="tx1"/>
            </w14:solidFill>
          </w14:textFill>
        </w:rPr>
        <w:t>家培养单位与</w:t>
      </w:r>
      <w:r>
        <w:rPr>
          <w:rFonts w:ascii="Arial Narrow" w:hAnsi="Arial Narrow" w:eastAsia="仿宋_GB2312" w:cs="Arial Narrow"/>
          <w:color w:val="000000" w:themeColor="text1"/>
          <w:sz w:val="21"/>
          <w:szCs w:val="21"/>
          <w14:textFill>
            <w14:solidFill>
              <w14:schemeClr w14:val="tx1"/>
            </w14:solidFill>
          </w14:textFill>
        </w:rPr>
        <w:t>CNKI</w:t>
      </w:r>
      <w:r>
        <w:rPr>
          <w:rFonts w:hint="eastAsia" w:ascii="仿宋_GB2312" w:eastAsia="仿宋_GB2312"/>
          <w:color w:val="000000" w:themeColor="text1"/>
          <w:sz w:val="21"/>
          <w:szCs w:val="21"/>
          <w14:textFill>
            <w14:solidFill>
              <w14:schemeClr w14:val="tx1"/>
            </w14:solidFill>
          </w14:textFill>
        </w:rPr>
        <w:t>独家合作</w:t>
      </w:r>
      <w:r>
        <w:rPr>
          <w:rFonts w:ascii="仿宋_GB2312" w:eastAsia="仿宋_GB2312"/>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包括“一流大学”建设高校16家</w:t>
      </w:r>
      <w:r>
        <w:rPr>
          <w:sz w:val="21"/>
          <w:szCs w:val="21"/>
        </w:rPr>
        <w:fldChar w:fldCharType="begin"/>
      </w:r>
      <w:r>
        <w:rPr>
          <w:sz w:val="21"/>
          <w:szCs w:val="21"/>
        </w:rPr>
        <w:instrText xml:space="preserve"> HYPERLINK "file:///E:\\qulihua\\培训\\2011年初培训\\学位论文培训\\链接\\独家名单.xls" \t "_parent" </w:instrText>
      </w:r>
      <w:r>
        <w:rPr>
          <w:sz w:val="21"/>
          <w:szCs w:val="21"/>
        </w:rPr>
        <w:fldChar w:fldCharType="separate"/>
      </w:r>
      <w:r>
        <w:rPr>
          <w:rFonts w:hint="eastAsia"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fldChar w:fldCharType="end"/>
      </w:r>
      <w:r>
        <w:rPr>
          <w:sz w:val="21"/>
          <w:szCs w:val="21"/>
        </w:rPr>
        <w:fldChar w:fldCharType="begin"/>
      </w:r>
      <w:r>
        <w:rPr>
          <w:sz w:val="21"/>
          <w:szCs w:val="21"/>
        </w:rPr>
        <w:instrText xml:space="preserve"> HYPERLINK "file:///E:\\qulihua\\培训\\2011年初培训\\学位论文培训\\链接\\独家名单.xls" \t "_parent" </w:instrText>
      </w:r>
      <w:r>
        <w:rPr>
          <w:sz w:val="21"/>
          <w:szCs w:val="21"/>
        </w:rPr>
        <w:fldChar w:fldCharType="separate"/>
      </w:r>
      <w:r>
        <w:rPr>
          <w:rFonts w:hint="eastAsia"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fldChar w:fldCharType="end"/>
      </w:r>
      <w:r>
        <w:rPr>
          <w:rFonts w:hint="eastAsia" w:eastAsia="仿宋_GB2312"/>
          <w:color w:val="000000" w:themeColor="text1"/>
          <w:sz w:val="21"/>
          <w:szCs w:val="21"/>
          <w14:textFill>
            <w14:solidFill>
              <w14:schemeClr w14:val="tx1"/>
            </w14:solidFill>
          </w14:textFill>
        </w:rPr>
        <w:t>一流学科”建设高校</w:t>
      </w:r>
      <w:r>
        <w:rPr>
          <w:sz w:val="21"/>
          <w:szCs w:val="21"/>
        </w:rPr>
        <w:fldChar w:fldCharType="begin"/>
      </w:r>
      <w:r>
        <w:rPr>
          <w:sz w:val="21"/>
          <w:szCs w:val="21"/>
        </w:rPr>
        <w:instrText xml:space="preserve"> HYPERLINK "file:///E:\\qulihua\\培训\\2011年初培训\\学位论文培训\\链接\\独家名单.xls" \t "_parent" </w:instrText>
      </w:r>
      <w:r>
        <w:rPr>
          <w:sz w:val="21"/>
          <w:szCs w:val="21"/>
        </w:rPr>
        <w:fldChar w:fldCharType="separate"/>
      </w:r>
      <w:r>
        <w:rPr>
          <w:rFonts w:hint="eastAsia" w:ascii="Arial Narrow" w:hAnsi="Arial Narrow" w:eastAsia="仿宋_GB2312" w:cs="仿宋_GB2312"/>
          <w:color w:val="000000" w:themeColor="text1"/>
          <w:sz w:val="21"/>
          <w:szCs w:val="21"/>
          <w14:textFill>
            <w14:solidFill>
              <w14:schemeClr w14:val="tx1"/>
            </w14:solidFill>
          </w14:textFill>
        </w:rPr>
        <w:t>63家</w:t>
      </w:r>
      <w:r>
        <w:rPr>
          <w:rFonts w:hint="eastAsia" w:ascii="Arial Narrow" w:hAnsi="Arial Narrow" w:eastAsia="仿宋_GB2312" w:cs="仿宋_GB2312"/>
          <w:color w:val="000000" w:themeColor="text1"/>
          <w:sz w:val="21"/>
          <w:szCs w:val="21"/>
          <w14:textFill>
            <w14:solidFill>
              <w14:schemeClr w14:val="tx1"/>
            </w14:solidFill>
          </w14:textFill>
        </w:rPr>
        <w:fldChar w:fldCharType="end"/>
      </w:r>
      <w:r>
        <w:rPr>
          <w:rFonts w:hint="eastAsia" w:ascii="Arial Narrow" w:hAnsi="Arial Narrow" w:eastAsia="仿宋_GB2312" w:cs="仿宋_GB2312"/>
          <w:color w:val="000000" w:themeColor="text1"/>
          <w:sz w:val="21"/>
          <w:szCs w:val="21"/>
          <w14:textFill>
            <w14:solidFill>
              <w14:schemeClr w14:val="tx1"/>
            </w14:solidFill>
          </w14:textFill>
        </w:rPr>
        <w:t>，分别占“一流大学</w:t>
      </w:r>
      <w:r>
        <w:rPr>
          <w:rFonts w:hint="eastAsia" w:eastAsia="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建设高校、</w:t>
      </w:r>
      <w:r>
        <w:rPr>
          <w:sz w:val="21"/>
          <w:szCs w:val="21"/>
        </w:rPr>
        <w:fldChar w:fldCharType="begin"/>
      </w:r>
      <w:r>
        <w:rPr>
          <w:sz w:val="21"/>
          <w:szCs w:val="21"/>
        </w:rPr>
        <w:instrText xml:space="preserve"> HYPERLINK "file:///E:\\qulihua\\培训\\2011年初培训\\学位论文培训\\链接\\独家名单.xls" \t "_parent" </w:instrText>
      </w:r>
      <w:r>
        <w:rPr>
          <w:sz w:val="21"/>
          <w:szCs w:val="21"/>
        </w:rPr>
        <w:fldChar w:fldCharType="separate"/>
      </w:r>
      <w:r>
        <w:rPr>
          <w:rFonts w:hint="eastAsia"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fldChar w:fldCharType="end"/>
      </w:r>
      <w:r>
        <w:rPr>
          <w:rFonts w:hint="eastAsia" w:eastAsia="仿宋_GB2312"/>
          <w:color w:val="000000" w:themeColor="text1"/>
          <w:sz w:val="21"/>
          <w:szCs w:val="21"/>
          <w14:textFill>
            <w14:solidFill>
              <w14:schemeClr w14:val="tx1"/>
            </w14:solidFill>
          </w14:textFill>
        </w:rPr>
        <w:t>一流学科”建设高校</w:t>
      </w:r>
      <w:r>
        <w:rPr>
          <w:rFonts w:hint="eastAsia" w:ascii="Arial Narrow" w:hAnsi="Arial Narrow" w:eastAsia="仿宋_GB2312" w:cs="仿宋_GB2312"/>
          <w:color w:val="000000" w:themeColor="text1"/>
          <w:sz w:val="21"/>
          <w:szCs w:val="21"/>
          <w14:textFill>
            <w14:solidFill>
              <w14:schemeClr w14:val="tx1"/>
            </w14:solidFill>
          </w14:textFill>
        </w:rPr>
        <w:t>总数的38</w:t>
      </w:r>
      <w:r>
        <w:rPr>
          <w:rFonts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和45</w:t>
      </w:r>
      <w:r>
        <w:rPr>
          <w:rFonts w:ascii="Arial Narrow" w:hAnsi="Arial Narrow" w:eastAsia="仿宋_GB2312" w:cs="仿宋_GB2312"/>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w:t>
      </w:r>
    </w:p>
    <w:p>
      <w:pPr>
        <w:spacing w:line="360" w:lineRule="auto"/>
        <w:ind w:left="1518" w:leftChars="23" w:hanging="1470" w:hangingChars="700"/>
        <w:rPr>
          <w:rFonts w:ascii="仿宋_GB2312" w:eastAsia="仿宋_GB2312"/>
          <w:color w:val="000000" w:themeColor="text1"/>
          <w:sz w:val="21"/>
          <w:szCs w:val="21"/>
          <w14:textFill>
            <w14:solidFill>
              <w14:schemeClr w14:val="tx1"/>
            </w14:solidFill>
          </w14:textFill>
        </w:rPr>
      </w:pP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ascii="Arial Narrow" w:hAnsi="Arial Narrow" w:eastAsia="仿宋_GB2312" w:cs="Arial Narrow"/>
          <w:color w:val="000000" w:themeColor="text1"/>
          <w:sz w:val="21"/>
          <w:szCs w:val="21"/>
          <w14:textFill>
            <w14:solidFill>
              <w14:schemeClr w14:val="tx1"/>
            </w14:solidFill>
          </w14:textFill>
        </w:rPr>
        <w:t>20</w:t>
      </w:r>
      <w:r>
        <w:rPr>
          <w:rFonts w:hint="eastAsia" w:ascii="Arial Narrow" w:hAnsi="Arial Narrow" w:eastAsia="仿宋_GB2312" w:cs="Arial Narrow"/>
          <w:color w:val="000000" w:themeColor="text1"/>
          <w:sz w:val="21"/>
          <w:szCs w:val="21"/>
          <w14:textFill>
            <w14:solidFill>
              <w14:schemeClr w14:val="tx1"/>
            </w14:solidFill>
          </w14:textFill>
        </w:rPr>
        <w:t>22</w:t>
      </w:r>
      <w:r>
        <w:rPr>
          <w:rFonts w:hint="eastAsia" w:ascii="仿宋_GB2312" w:eastAsia="仿宋_GB2312"/>
          <w:color w:val="000000" w:themeColor="text1"/>
          <w:sz w:val="21"/>
          <w:szCs w:val="21"/>
          <w14:textFill>
            <w14:solidFill>
              <w14:schemeClr w14:val="tx1"/>
            </w14:solidFill>
          </w14:textFill>
        </w:rPr>
        <w:t>年计划出版：</w:t>
      </w:r>
      <w:r>
        <w:rPr>
          <w:rFonts w:hint="eastAsia" w:ascii="Arial Narrow" w:hAnsi="Arial Narrow" w:eastAsia="仿宋_GB2312" w:cs="Arial Narrow"/>
          <w:color w:val="000000" w:themeColor="text1"/>
          <w:sz w:val="21"/>
          <w:szCs w:val="21"/>
          <w14:textFill>
            <w14:solidFill>
              <w14:schemeClr w14:val="tx1"/>
            </w14:solidFill>
          </w14:textFill>
        </w:rPr>
        <w:t>38.05</w:t>
      </w:r>
      <w:r>
        <w:rPr>
          <w:rFonts w:hint="eastAsia" w:ascii="仿宋_GB2312" w:eastAsia="仿宋_GB2312"/>
          <w:color w:val="000000" w:themeColor="text1"/>
          <w:sz w:val="21"/>
          <w:szCs w:val="21"/>
          <w14:textFill>
            <w14:solidFill>
              <w14:schemeClr w14:val="tx1"/>
            </w14:solidFill>
          </w14:textFill>
        </w:rPr>
        <w:t>万篇。</w:t>
      </w:r>
    </w:p>
    <w:p>
      <w:pPr>
        <w:spacing w:line="360" w:lineRule="auto"/>
        <w:ind w:left="1680"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文献来源完整率</w:t>
      </w:r>
      <w:r>
        <w:rPr>
          <w:rFonts w:hint="eastAsia" w:ascii="Arial Narrow" w:hAnsi="Arial Narrow" w:eastAsia="仿宋_GB2312" w:cs="仿宋_GB2312"/>
          <w:color w:val="000000" w:themeColor="text1"/>
          <w:sz w:val="21"/>
          <w:szCs w:val="21"/>
          <w14:textFill>
            <w14:solidFill>
              <w14:schemeClr w14:val="tx1"/>
            </w14:solidFill>
          </w14:textFill>
        </w:rPr>
        <w:t>收录</w:t>
      </w:r>
      <w:r>
        <w:rPr>
          <w:rFonts w:ascii="Arial Narrow" w:hAnsi="Arial Narrow" w:eastAsia="仿宋_GB2312" w:cs="仿宋_GB2312"/>
          <w:color w:val="000000" w:themeColor="text1"/>
          <w:sz w:val="21"/>
          <w:szCs w:val="21"/>
          <w14:textFill>
            <w14:solidFill>
              <w14:schemeClr w14:val="tx1"/>
            </w14:solidFill>
          </w14:textFill>
        </w:rPr>
        <w:t>787家</w:t>
      </w:r>
      <w:r>
        <w:rPr>
          <w:rFonts w:hint="eastAsia" w:ascii="Arial Narrow" w:hAnsi="Arial Narrow" w:eastAsia="仿宋_GB2312" w:cs="仿宋_GB2312"/>
          <w:color w:val="000000" w:themeColor="text1"/>
          <w:sz w:val="21"/>
          <w:szCs w:val="21"/>
          <w14:textFill>
            <w14:solidFill>
              <w14:schemeClr w14:val="tx1"/>
            </w14:solidFill>
          </w14:textFill>
        </w:rPr>
        <w:t>硕士培养单位（涉及国家保密的单位除外）的硕士学位论文。“一流大学”、“一流学科”建设高校学位论文覆盖率达到</w:t>
      </w:r>
      <w:r>
        <w:rPr>
          <w:rFonts w:ascii="Arial Narrow" w:hAnsi="Arial Narrow" w:eastAsia="仿宋_GB2312" w:cs="Arial Narrow"/>
          <w:color w:val="000000" w:themeColor="text1"/>
          <w:sz w:val="21"/>
          <w:szCs w:val="21"/>
          <w14:textFill>
            <w14:solidFill>
              <w14:schemeClr w14:val="tx1"/>
            </w14:solidFill>
          </w14:textFill>
        </w:rPr>
        <w:t>100%</w:t>
      </w:r>
      <w:r>
        <w:rPr>
          <w:rFonts w:hint="eastAsia" w:ascii="Arial Narrow" w:hAnsi="Arial Narrow" w:eastAsia="仿宋_GB2312" w:cs="仿宋_GB2312"/>
          <w:color w:val="000000" w:themeColor="text1"/>
          <w:sz w:val="21"/>
          <w:szCs w:val="21"/>
          <w14:textFill>
            <w14:solidFill>
              <w14:schemeClr w14:val="tx1"/>
            </w14:solidFill>
          </w14:textFill>
        </w:rPr>
        <w:t>。</w:t>
      </w:r>
    </w:p>
    <w:p>
      <w:pPr>
        <w:spacing w:line="360" w:lineRule="auto"/>
        <w:ind w:left="1920" w:hanging="1680" w:hangingChars="8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文献收录完整率</w:t>
      </w:r>
      <w:r>
        <w:rPr>
          <w:rFonts w:hint="eastAsia" w:ascii="Arial Narrow" w:hAnsi="Arial Narrow" w:eastAsia="仿宋_GB2312" w:cs="Arial Narrow"/>
          <w:color w:val="000000" w:themeColor="text1"/>
          <w:sz w:val="21"/>
          <w:szCs w:val="21"/>
          <w14:textFill>
            <w14:solidFill>
              <w14:schemeClr w14:val="tx1"/>
            </w14:solidFill>
          </w14:textFill>
        </w:rPr>
        <w:t>2014</w:t>
      </w:r>
      <w:r>
        <w:rPr>
          <w:rFonts w:hint="eastAsia" w:ascii="仿宋_GB2312" w:eastAsia="仿宋_GB2312"/>
          <w:color w:val="000000" w:themeColor="text1"/>
          <w:sz w:val="21"/>
          <w:szCs w:val="21"/>
          <w14:textFill>
            <w14:solidFill>
              <w14:schemeClr w14:val="tx1"/>
            </w14:solidFill>
          </w14:textFill>
        </w:rPr>
        <w:t>年、</w:t>
      </w:r>
      <w:r>
        <w:rPr>
          <w:rFonts w:ascii="Arial Narrow" w:hAnsi="Arial Narrow" w:eastAsia="仿宋_GB2312" w:cs="Arial Narrow"/>
          <w:color w:val="000000" w:themeColor="text1"/>
          <w:sz w:val="21"/>
          <w:szCs w:val="21"/>
          <w14:textFill>
            <w14:solidFill>
              <w14:schemeClr w14:val="tx1"/>
            </w14:solidFill>
          </w14:textFill>
        </w:rPr>
        <w:t>2015</w:t>
      </w:r>
      <w:r>
        <w:rPr>
          <w:rFonts w:hint="eastAsia" w:ascii="仿宋_GB2312" w:eastAsia="仿宋_GB2312"/>
          <w:color w:val="000000" w:themeColor="text1"/>
          <w:sz w:val="21"/>
          <w:szCs w:val="21"/>
          <w14:textFill>
            <w14:solidFill>
              <w14:schemeClr w14:val="tx1"/>
            </w14:solidFill>
          </w14:textFill>
        </w:rPr>
        <w:t>年、</w:t>
      </w:r>
      <w:r>
        <w:rPr>
          <w:rFonts w:ascii="Arial Narrow" w:hAnsi="Arial Narrow" w:eastAsia="仿宋_GB2312" w:cs="Arial Narrow"/>
          <w:color w:val="000000" w:themeColor="text1"/>
          <w:sz w:val="21"/>
          <w:szCs w:val="21"/>
          <w14:textFill>
            <w14:solidFill>
              <w14:schemeClr w14:val="tx1"/>
            </w14:solidFill>
          </w14:textFill>
        </w:rPr>
        <w:t>2016</w:t>
      </w:r>
      <w:r>
        <w:rPr>
          <w:rFonts w:hint="eastAsia" w:ascii="仿宋_GB2312" w:eastAsia="仿宋_GB2312"/>
          <w:color w:val="000000" w:themeColor="text1"/>
          <w:sz w:val="21"/>
          <w:szCs w:val="21"/>
          <w14:textFill>
            <w14:solidFill>
              <w14:schemeClr w14:val="tx1"/>
            </w14:solidFill>
          </w14:textFill>
        </w:rPr>
        <w:t>年、</w:t>
      </w:r>
      <w:r>
        <w:rPr>
          <w:rFonts w:ascii="Arial Narrow" w:hAnsi="Arial Narrow" w:eastAsia="仿宋_GB2312" w:cs="Arial Narrow"/>
          <w:color w:val="000000" w:themeColor="text1"/>
          <w:sz w:val="21"/>
          <w:szCs w:val="21"/>
          <w14:textFill>
            <w14:solidFill>
              <w14:schemeClr w14:val="tx1"/>
            </w14:solidFill>
          </w14:textFill>
        </w:rPr>
        <w:t>2017</w:t>
      </w:r>
      <w:r>
        <w:rPr>
          <w:rFonts w:hint="eastAsia" w:ascii="仿宋_GB2312" w:eastAsia="仿宋_GB2312"/>
          <w:color w:val="000000" w:themeColor="text1"/>
          <w:sz w:val="21"/>
          <w:szCs w:val="21"/>
          <w14:textFill>
            <w14:solidFill>
              <w14:schemeClr w14:val="tx1"/>
            </w14:solidFill>
          </w14:textFill>
        </w:rPr>
        <w:t>年、</w:t>
      </w:r>
      <w:r>
        <w:rPr>
          <w:rFonts w:ascii="Arial Narrow" w:hAnsi="Arial Narrow" w:eastAsia="仿宋_GB2312" w:cs="Arial Narrow"/>
          <w:color w:val="000000" w:themeColor="text1"/>
          <w:sz w:val="21"/>
          <w:szCs w:val="21"/>
          <w14:textFill>
            <w14:solidFill>
              <w14:schemeClr w14:val="tx1"/>
            </w14:solidFill>
          </w14:textFill>
        </w:rPr>
        <w:t>2018</w:t>
      </w:r>
      <w:r>
        <w:rPr>
          <w:rFonts w:hint="eastAsia" w:ascii="仿宋_GB2312" w:eastAsia="仿宋_GB2312"/>
          <w:color w:val="000000" w:themeColor="text1"/>
          <w:sz w:val="21"/>
          <w:szCs w:val="21"/>
          <w14:textFill>
            <w14:solidFill>
              <w14:schemeClr w14:val="tx1"/>
            </w14:solidFill>
          </w14:textFill>
        </w:rPr>
        <w:t>年、</w:t>
      </w:r>
      <w:r>
        <w:rPr>
          <w:rFonts w:hint="eastAsia" w:ascii="Arial Narrow" w:hAnsi="Arial Narrow" w:eastAsia="仿宋_GB2312" w:cs="Arial Narrow"/>
          <w:color w:val="000000" w:themeColor="text1"/>
          <w:sz w:val="21"/>
          <w:szCs w:val="21"/>
          <w14:textFill>
            <w14:solidFill>
              <w14:schemeClr w14:val="tx1"/>
            </w14:solidFill>
          </w14:textFill>
        </w:rPr>
        <w:t>2019年、2020</w:t>
      </w:r>
      <w:r>
        <w:rPr>
          <w:rFonts w:hint="eastAsia" w:ascii="Arial Narrow" w:hAnsi="Arial Narrow" w:eastAsia="仿宋_GB2312" w:cs="仿宋_GB2312"/>
          <w:color w:val="000000" w:themeColor="text1"/>
          <w:sz w:val="21"/>
          <w:szCs w:val="21"/>
          <w14:textFill>
            <w14:solidFill>
              <w14:schemeClr w14:val="tx1"/>
            </w14:solidFill>
          </w14:textFill>
        </w:rPr>
        <w:t>年</w:t>
      </w:r>
      <w:r>
        <w:rPr>
          <w:rFonts w:hint="eastAsia" w:ascii="Arial Narrow" w:hAnsi="Arial Narrow" w:eastAsia="仿宋_GB2312" w:cs="Arial Narrow"/>
          <w:color w:val="000000" w:themeColor="text1"/>
          <w:sz w:val="21"/>
          <w:szCs w:val="21"/>
          <w14:textFill>
            <w14:solidFill>
              <w14:schemeClr w14:val="tx1"/>
            </w14:solidFill>
          </w14:textFill>
        </w:rPr>
        <w:t xml:space="preserve">、2021年 </w:t>
      </w:r>
      <w:r>
        <w:rPr>
          <w:rFonts w:hint="eastAsia" w:ascii="仿宋_GB2312" w:eastAsia="仿宋_GB2312"/>
          <w:color w:val="000000" w:themeColor="text1"/>
          <w:sz w:val="21"/>
          <w:szCs w:val="21"/>
          <w14:textFill>
            <w14:solidFill>
              <w14:schemeClr w14:val="tx1"/>
            </w14:solidFill>
          </w14:textFill>
        </w:rPr>
        <w:t>硕</w:t>
      </w:r>
      <w:r>
        <w:rPr>
          <w:rFonts w:hint="eastAsia" w:ascii="Arial Narrow" w:hAnsi="Arial Narrow" w:eastAsia="仿宋_GB2312" w:cs="仿宋_GB2312"/>
          <w:color w:val="000000" w:themeColor="text1"/>
          <w:sz w:val="21"/>
          <w:szCs w:val="21"/>
          <w14:textFill>
            <w14:solidFill>
              <w14:schemeClr w14:val="tx1"/>
            </w14:solidFill>
          </w14:textFill>
        </w:rPr>
        <w:t>士学位论文出版数量占全国当年毕业且可公开出版的硕士学位论文总量的</w:t>
      </w:r>
      <w:r>
        <w:rPr>
          <w:rFonts w:ascii="Arial Narrow" w:hAnsi="Arial Narrow" w:eastAsia="仿宋_GB2312" w:cs="Arial Narrow"/>
          <w:color w:val="000000" w:themeColor="text1"/>
          <w:sz w:val="21"/>
          <w:szCs w:val="21"/>
          <w14:textFill>
            <w14:solidFill>
              <w14:schemeClr w14:val="tx1"/>
            </w14:solidFill>
          </w14:textFill>
        </w:rPr>
        <w:t>90</w:t>
      </w:r>
      <w:r>
        <w:rPr>
          <w:rFonts w:hint="eastAsia" w:ascii="Arial Narrow" w:hAnsi="Arial Narrow" w:eastAsia="仿宋_GB2312" w:cs="仿宋_GB2312"/>
          <w:color w:val="000000" w:themeColor="text1"/>
          <w:sz w:val="21"/>
          <w:szCs w:val="21"/>
          <w14:textFill>
            <w14:solidFill>
              <w14:schemeClr w14:val="tx1"/>
            </w14:solidFill>
          </w14:textFill>
        </w:rPr>
        <w:t>％以上。</w:t>
      </w:r>
    </w:p>
    <w:p>
      <w:pPr>
        <w:spacing w:line="360" w:lineRule="auto"/>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收录年限</w:t>
      </w:r>
      <w:r>
        <w:rPr>
          <w:rFonts w:ascii="Arial Narrow" w:hAnsi="Arial Narrow" w:eastAsia="仿宋_GB2312" w:cs="Arial Narrow"/>
          <w:color w:val="000000" w:themeColor="text1"/>
          <w:sz w:val="21"/>
          <w:szCs w:val="21"/>
          <w14:textFill>
            <w14:solidFill>
              <w14:schemeClr w14:val="tx1"/>
            </w14:solidFill>
          </w14:textFill>
        </w:rPr>
        <w:t>从1984年至今的硕士学位论文</w:t>
      </w:r>
      <w:r>
        <w:rPr>
          <w:rFonts w:hint="eastAsia" w:ascii="Arial Narrow" w:hAnsi="Arial Narrow" w:eastAsia="仿宋_GB2312" w:cs="Arial Narrow"/>
          <w:color w:val="000000" w:themeColor="text1"/>
          <w:sz w:val="21"/>
          <w:szCs w:val="21"/>
          <w14:textFill>
            <w14:solidFill>
              <w14:schemeClr w14:val="tx1"/>
            </w14:solidFill>
          </w14:textFill>
        </w:rPr>
        <w:t>。</w:t>
      </w:r>
    </w:p>
    <w:p>
      <w:pPr>
        <w:spacing w:line="360" w:lineRule="auto"/>
        <w:rPr>
          <w:rFonts w:ascii="Arial Narrow" w:hAnsi="Arial Narrow" w:eastAsia="仿宋_GB2312"/>
          <w:color w:val="000000" w:themeColor="text1"/>
          <w:sz w:val="21"/>
          <w:szCs w:val="21"/>
          <w14:textFill>
            <w14:solidFill>
              <w14:schemeClr w14:val="tx1"/>
            </w14:solidFill>
          </w14:textFill>
        </w:rPr>
      </w:pPr>
    </w:p>
    <w:p>
      <w:pPr>
        <w:spacing w:line="360" w:lineRule="auto"/>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出版时效</w:t>
      </w:r>
      <w:r>
        <w:rPr>
          <w:rFonts w:hint="eastAsia" w:ascii="Arial Narrow" w:hAnsi="Arial Narrow" w:eastAsia="仿宋_GB2312" w:cs="仿宋_GB2312"/>
          <w:color w:val="000000" w:themeColor="text1"/>
          <w:sz w:val="21"/>
          <w:szCs w:val="21"/>
          <w14:textFill>
            <w14:solidFill>
              <w14:schemeClr w14:val="tx1"/>
            </w14:solidFill>
          </w14:textFill>
        </w:rPr>
        <w:t>大多数论文出版不晚于授予学位之后</w:t>
      </w:r>
      <w:r>
        <w:rPr>
          <w:rFonts w:ascii="Arial Narrow" w:hAnsi="Arial Narrow" w:eastAsia="仿宋_GB2312" w:cs="Arial Narrow"/>
          <w:color w:val="000000" w:themeColor="text1"/>
          <w:sz w:val="21"/>
          <w:szCs w:val="21"/>
          <w14:textFill>
            <w14:solidFill>
              <w14:schemeClr w14:val="tx1"/>
            </w14:solidFill>
          </w14:textFill>
        </w:rPr>
        <w:t>2</w:t>
      </w:r>
      <w:r>
        <w:rPr>
          <w:rFonts w:hint="eastAsia" w:ascii="Arial Narrow" w:hAnsi="Arial Narrow" w:eastAsia="仿宋_GB2312" w:cs="仿宋_GB2312"/>
          <w:color w:val="000000" w:themeColor="text1"/>
          <w:sz w:val="21"/>
          <w:szCs w:val="21"/>
          <w14:textFill>
            <w14:solidFill>
              <w14:schemeClr w14:val="tx1"/>
            </w14:solidFill>
          </w14:textFill>
        </w:rPr>
        <w:t>个月。</w:t>
      </w:r>
    </w:p>
    <w:p>
      <w:pPr>
        <w:spacing w:line="360" w:lineRule="auto"/>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更新频率</w:t>
      </w:r>
      <w:r>
        <w:rPr>
          <w:rFonts w:hint="eastAsia" w:ascii="Arial Narrow" w:hAnsi="Arial Narrow" w:eastAsia="仿宋_GB2312" w:cs="仿宋_GB2312"/>
          <w:color w:val="000000" w:themeColor="text1"/>
          <w:sz w:val="21"/>
          <w:szCs w:val="21"/>
          <w14:textFill>
            <w14:solidFill>
              <w14:schemeClr w14:val="tx1"/>
            </w14:solidFill>
          </w14:textFill>
        </w:rPr>
        <w:t>1、实时更新：云租用、云托管、云机构馆托管。</w:t>
      </w:r>
    </w:p>
    <w:p>
      <w:pPr>
        <w:spacing w:line="360" w:lineRule="auto"/>
        <w:ind w:firstLine="1470" w:firstLineChars="700"/>
        <w:rPr>
          <w:rFonts w:ascii="Arial Narrow" w:hAnsi="Arial Narrow" w:eastAsia="仿宋_GB2312" w:cs="仿宋_GB2312"/>
          <w:color w:val="000000" w:themeColor="text1"/>
          <w:sz w:val="21"/>
          <w:szCs w:val="21"/>
          <w:shd w:val="pct10" w:color="auto" w:fill="FFFFFF"/>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2、月出版：镜像版，每月10日出版。</w:t>
      </w:r>
    </w:p>
    <w:p>
      <w:pPr>
        <w:spacing w:line="360" w:lineRule="auto"/>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导航体系</w:t>
      </w:r>
      <w:r>
        <w:rPr>
          <w:rFonts w:hint="eastAsia" w:ascii="Arial Narrow" w:hAnsi="Arial Narrow" w:eastAsia="仿宋_GB2312" w:cs="仿宋_GB2312"/>
          <w:color w:val="000000" w:themeColor="text1"/>
          <w:sz w:val="21"/>
          <w:szCs w:val="21"/>
          <w14:textFill>
            <w14:solidFill>
              <w14:schemeClr w14:val="tx1"/>
            </w14:solidFill>
          </w14:textFill>
        </w:rPr>
        <w:t>学位授予单位导航(包括地域导航和学科专业导航)、文献分类导航。</w:t>
      </w:r>
    </w:p>
    <w:p>
      <w:pPr>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检索字段</w:t>
      </w:r>
      <w:r>
        <w:rPr>
          <w:rFonts w:hint="eastAsia" w:ascii="Arial Narrow" w:hAnsi="Arial Narrow" w:eastAsia="仿宋_GB2312" w:cs="仿宋_GB2312"/>
          <w:color w:val="000000" w:themeColor="text1"/>
          <w:sz w:val="21"/>
          <w:szCs w:val="21"/>
          <w14:textFill>
            <w14:solidFill>
              <w14:schemeClr w14:val="tx1"/>
            </w14:solidFill>
          </w14:textFill>
        </w:rPr>
        <w:t>主题、篇关摘、关键词、题名、全文、作者、作者单位、导师、第一导师、学位授予单位、基金、摘要、目录、参考文献、中图分类号、学科专业名称、DOI</w:t>
      </w:r>
    </w:p>
    <w:p>
      <w:pPr>
        <w:spacing w:line="360" w:lineRule="auto"/>
        <w:ind w:left="1680"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下载方式</w:t>
      </w:r>
      <w:r>
        <w:rPr>
          <w:rFonts w:hint="eastAsia" w:ascii="Arial Narrow" w:hAnsi="Arial Narrow" w:eastAsia="仿宋_GB2312" w:cs="仿宋_GB2312"/>
          <w:color w:val="000000" w:themeColor="text1"/>
          <w:sz w:val="21"/>
          <w:szCs w:val="21"/>
          <w14:textFill>
            <w14:solidFill>
              <w14:schemeClr w14:val="tx1"/>
            </w14:solidFill>
          </w14:textFill>
        </w:rPr>
        <w:t>整本下载、分页下载、分章下载、在线阅读</w:t>
      </w:r>
    </w:p>
    <w:p>
      <w:pPr>
        <w:tabs>
          <w:tab w:val="left" w:pos="1830"/>
        </w:tabs>
        <w:spacing w:line="360" w:lineRule="auto"/>
        <w:ind w:left="1680"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知网节模块</w:t>
      </w:r>
      <w:r>
        <w:rPr>
          <w:rFonts w:ascii="Arial Narrow" w:hAnsi="Arial Narrow" w:eastAsia="仿宋_GB2312"/>
          <w:color w:val="000000" w:themeColor="text1"/>
          <w:sz w:val="21"/>
          <w:szCs w:val="21"/>
          <w14:textFill>
            <w14:solidFill>
              <w14:schemeClr w14:val="tx1"/>
            </w14:solidFill>
          </w14:textFill>
        </w:rPr>
        <w:tab/>
      </w:r>
      <w:r>
        <w:rPr>
          <w:rFonts w:hint="eastAsia" w:ascii="Arial Narrow" w:hAnsi="Arial Narrow" w:eastAsia="仿宋_GB2312" w:cs="仿宋_GB2312"/>
          <w:color w:val="000000" w:themeColor="text1"/>
          <w:sz w:val="21"/>
          <w:szCs w:val="21"/>
          <w14:textFill>
            <w14:solidFill>
              <w14:schemeClr w14:val="tx1"/>
            </w14:solidFill>
          </w14:textFill>
        </w:rPr>
        <w:t>节点文献的二级参考文献、参考文献、共引文献、同被引文献、引证文献、二级引证文献、相似文献、关联作者、读者推荐、相关基金文献、攻读期成果、相关视频，可以链接到期刊、博硕、会议、报纸、专利、标准、年鉴、</w:t>
      </w:r>
      <w:r>
        <w:rPr>
          <w:rFonts w:hint="eastAsia" w:ascii="Arial Narrow" w:hAnsi="Arial Narrow" w:eastAsia="仿宋_GB2312" w:cs="Arial Narrow"/>
          <w:color w:val="000000" w:themeColor="text1"/>
          <w:sz w:val="21"/>
          <w:szCs w:val="21"/>
          <w14:textFill>
            <w14:solidFill>
              <w14:schemeClr w14:val="tx1"/>
            </w14:solidFill>
          </w14:textFill>
        </w:rPr>
        <w:t>国际</w:t>
      </w:r>
      <w:r>
        <w:rPr>
          <w:rFonts w:hint="eastAsia" w:ascii="Arial Narrow" w:hAnsi="Arial Narrow" w:eastAsia="仿宋_GB2312" w:cs="仿宋_GB2312"/>
          <w:color w:val="000000" w:themeColor="text1"/>
          <w:sz w:val="21"/>
          <w:szCs w:val="21"/>
          <w14:textFill>
            <w14:solidFill>
              <w14:schemeClr w14:val="tx1"/>
            </w14:solidFill>
          </w14:textFill>
        </w:rPr>
        <w:t>期刊、科技成果、图书等数据库使用。</w:t>
      </w:r>
    </w:p>
    <w:p>
      <w:pPr>
        <w:tabs>
          <w:tab w:val="left" w:pos="1830"/>
        </w:tabs>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检索结果处理</w:t>
      </w:r>
      <w:r>
        <w:rPr>
          <w:rFonts w:hint="eastAsia" w:ascii="Arial Narrow" w:hAnsi="Arial Narrow" w:eastAsia="仿宋_GB2312" w:cs="仿宋_GB2312"/>
          <w:color w:val="000000" w:themeColor="text1"/>
          <w:sz w:val="21"/>
          <w:szCs w:val="21"/>
          <w14:textFill>
            <w14:solidFill>
              <w14:schemeClr w14:val="tx1"/>
            </w14:solidFill>
          </w14:textFill>
        </w:rPr>
        <w:t>支持通过分组排序检索结果进行进一步筛选，可按照主题（主要主题、次要主题）、学科、学位授予年度、研究层次、学位授予单位、导师、基金、学科专业等条件进行分组聚类，并且对于检索结果还能够按照相关度、出版时间、被引频次、下载频次、学位授予年度等进行排序。还可以对结果进行批量下载、12种格式的文献导出。</w:t>
      </w: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bookmarkEnd w:id="167"/>
    <w:bookmarkEnd w:id="168"/>
    <w:bookmarkEnd w:id="169"/>
    <w:p>
      <w:pPr>
        <w:keepNext/>
        <w:keepLines/>
        <w:spacing w:after="300" w:line="700" w:lineRule="atLeast"/>
        <w:jc w:val="left"/>
        <w:outlineLvl w:val="1"/>
        <w:rPr>
          <w:rFonts w:ascii="仿宋_GB2312" w:eastAsia="仿宋_GB2312"/>
          <w:b/>
          <w:color w:val="000000" w:themeColor="text1"/>
          <w:sz w:val="21"/>
          <w:szCs w:val="21"/>
          <w14:textFill>
            <w14:solidFill>
              <w14:schemeClr w14:val="tx1"/>
            </w14:solidFill>
          </w14:textFill>
        </w:rPr>
      </w:pPr>
      <w:bookmarkStart w:id="171" w:name="_Toc95740431"/>
      <w:bookmarkStart w:id="172" w:name="_Toc446315151"/>
      <w:bookmarkStart w:id="173" w:name="_Toc446061774"/>
      <w:bookmarkStart w:id="174" w:name="_Toc443740185"/>
      <w:bookmarkStart w:id="175" w:name="_Toc3192960"/>
      <w:bookmarkStart w:id="176" w:name="_Toc414457021"/>
      <w:bookmarkStart w:id="177" w:name="_Toc445800061"/>
      <w:bookmarkStart w:id="178" w:name="_Toc445110667"/>
      <w:bookmarkStart w:id="179" w:name="_Toc414457022"/>
      <w:bookmarkStart w:id="180" w:name="_Toc443740170"/>
      <w:bookmarkStart w:id="181" w:name="_Toc443740169"/>
      <w:r>
        <w:rPr>
          <w:rFonts w:hint="eastAsia" w:ascii="仿宋_GB2312" w:eastAsia="仿宋_GB2312"/>
          <w:b/>
          <w:color w:val="000000" w:themeColor="text1"/>
          <w:sz w:val="21"/>
          <w:szCs w:val="21"/>
          <w:lang w:val="en-US" w:eastAsia="zh-CN"/>
          <w14:textFill>
            <w14:solidFill>
              <w14:schemeClr w14:val="tx1"/>
            </w14:solidFill>
          </w14:textFill>
        </w:rPr>
        <w:t>4.</w:t>
      </w:r>
      <w:r>
        <w:rPr>
          <w:rFonts w:hint="eastAsia" w:ascii="仿宋_GB2312" w:eastAsia="仿宋_GB2312"/>
          <w:b/>
          <w:color w:val="000000" w:themeColor="text1"/>
          <w:sz w:val="21"/>
          <w:szCs w:val="21"/>
          <w14:textFill>
            <w14:solidFill>
              <w14:schemeClr w14:val="tx1"/>
            </w14:solidFill>
          </w14:textFill>
        </w:rPr>
        <w:t>【中国重要会议论文全文数据库（</w:t>
      </w:r>
      <w:r>
        <w:rPr>
          <w:rFonts w:ascii="仿宋_GB2312" w:eastAsia="仿宋_GB2312"/>
          <w:b/>
          <w:color w:val="000000" w:themeColor="text1"/>
          <w:sz w:val="21"/>
          <w:szCs w:val="21"/>
          <w14:textFill>
            <w14:solidFill>
              <w14:schemeClr w14:val="tx1"/>
            </w14:solidFill>
          </w14:textFill>
        </w:rPr>
        <w:t>CP</w:t>
      </w:r>
      <w:r>
        <w:rPr>
          <w:rFonts w:hint="eastAsia" w:ascii="仿宋_GB2312" w:eastAsia="仿宋_GB2312"/>
          <w:b/>
          <w:color w:val="000000" w:themeColor="text1"/>
          <w:sz w:val="21"/>
          <w:szCs w:val="21"/>
          <w14:textFill>
            <w14:solidFill>
              <w14:schemeClr w14:val="tx1"/>
            </w14:solidFill>
          </w14:textFill>
        </w:rPr>
        <w:t>F</w:t>
      </w:r>
      <w:r>
        <w:rPr>
          <w:rFonts w:ascii="仿宋_GB2312" w:eastAsia="仿宋_GB2312"/>
          <w:b/>
          <w:color w:val="000000" w:themeColor="text1"/>
          <w:sz w:val="21"/>
          <w:szCs w:val="21"/>
          <w14:textFill>
            <w14:solidFill>
              <w14:schemeClr w14:val="tx1"/>
            </w14:solidFill>
          </w14:textFill>
        </w:rPr>
        <w:t>D</w:t>
      </w:r>
      <w:r>
        <w:rPr>
          <w:rFonts w:hint="eastAsia" w:ascii="仿宋_GB2312" w:eastAsia="仿宋_GB2312"/>
          <w:b/>
          <w:color w:val="000000" w:themeColor="text1"/>
          <w:sz w:val="21"/>
          <w:szCs w:val="21"/>
          <w14:textFill>
            <w14:solidFill>
              <w14:schemeClr w14:val="tx1"/>
            </w14:solidFill>
          </w14:textFill>
        </w:rPr>
        <w:t>）】</w:t>
      </w:r>
      <w:bookmarkEnd w:id="171"/>
    </w:p>
    <w:p>
      <w:pPr>
        <w:spacing w:line="360" w:lineRule="auto"/>
        <w:ind w:firstLine="420" w:firstLineChars="200"/>
        <w:rPr>
          <w:rFonts w:ascii="Arial Narrow" w:hAnsi="Arial Narrow" w:eastAsia="仿宋_GB2312"/>
          <w:color w:val="000000" w:themeColor="text1"/>
          <w:sz w:val="21"/>
          <w:szCs w:val="21"/>
          <w:shd w:val="pct10" w:color="auto" w:fill="FFFFFF"/>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《中国重要会议论文全文数据库》汇集了国内近3万次重要会议主办单位或论文汇编单位书面授权投稿的论文，基本囊括了我国各学科重要会议论文，是我国第一个连续出版重要会议论文的全文数据库。</w:t>
      </w:r>
    </w:p>
    <w:p>
      <w:pPr>
        <w:tabs>
          <w:tab w:val="left" w:pos="1515"/>
        </w:tabs>
        <w:spacing w:line="360" w:lineRule="auto"/>
        <w:rPr>
          <w:rFonts w:ascii="Arial Narrow" w:hAnsi="Arial Narrow" w:eastAsia="仿宋_GB2312"/>
          <w:color w:val="000000" w:themeColor="text1"/>
          <w:sz w:val="21"/>
          <w:szCs w:val="21"/>
          <w:shd w:val="pct10" w:color="auto" w:fill="FFFFFF"/>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刊号</w:t>
      </w:r>
      <w:r>
        <w:rPr>
          <w:rFonts w:ascii="Arial Narrow" w:hAnsi="Arial Narrow" w:eastAsia="仿宋_GB2312"/>
          <w:color w:val="000000" w:themeColor="text1"/>
          <w:sz w:val="21"/>
          <w:szCs w:val="21"/>
          <w14:textFill>
            <w14:solidFill>
              <w14:schemeClr w14:val="tx1"/>
            </w14:solidFill>
          </w14:textFill>
        </w:rPr>
        <w:tab/>
      </w:r>
      <w:r>
        <w:rPr>
          <w:rFonts w:hint="eastAsia" w:ascii="Arial Narrow" w:hAnsi="Arial Narrow" w:eastAsia="仿宋_GB2312" w:cs="仿宋_GB2312"/>
          <w:color w:val="000000" w:themeColor="text1"/>
          <w:sz w:val="21"/>
          <w:szCs w:val="21"/>
          <w14:textFill>
            <w14:solidFill>
              <w14:schemeClr w14:val="tx1"/>
            </w14:solidFill>
          </w14:textFill>
        </w:rPr>
        <w:t>全国统一刊号</w:t>
      </w:r>
      <w:r>
        <w:rPr>
          <w:rFonts w:ascii="Arial Narrow" w:hAnsi="Arial Narrow" w:eastAsia="仿宋_GB2312" w:cs="Arial Narrow"/>
          <w:color w:val="000000" w:themeColor="text1"/>
          <w:sz w:val="21"/>
          <w:szCs w:val="21"/>
          <w14:textFill>
            <w14:solidFill>
              <w14:schemeClr w14:val="tx1"/>
            </w14:solidFill>
          </w14:textFill>
        </w:rPr>
        <w:t xml:space="preserve">CN11-9251/G  </w:t>
      </w:r>
      <w:r>
        <w:rPr>
          <w:rFonts w:hint="eastAsia" w:ascii="Arial Narrow" w:hAnsi="Arial Narrow" w:eastAsia="仿宋_GB2312" w:cs="仿宋_GB2312"/>
          <w:color w:val="000000" w:themeColor="text1"/>
          <w:sz w:val="21"/>
          <w:szCs w:val="21"/>
          <w14:textFill>
            <w14:solidFill>
              <w14:schemeClr w14:val="tx1"/>
            </w14:solidFill>
          </w14:textFill>
        </w:rPr>
        <w:t>国际标准刊号</w:t>
      </w:r>
      <w:r>
        <w:rPr>
          <w:rFonts w:ascii="Arial Narrow" w:hAnsi="Arial Narrow" w:eastAsia="仿宋_GB2312" w:cs="Arial Narrow"/>
          <w:color w:val="000000" w:themeColor="text1"/>
          <w:sz w:val="21"/>
          <w:szCs w:val="21"/>
          <w14:textFill>
            <w14:solidFill>
              <w14:schemeClr w14:val="tx1"/>
            </w14:solidFill>
          </w14:textFill>
        </w:rPr>
        <w:t xml:space="preserve"> ISSN1671-6787</w:t>
      </w:r>
    </w:p>
    <w:p>
      <w:pPr>
        <w:tabs>
          <w:tab w:val="left" w:pos="1755"/>
        </w:tabs>
        <w:spacing w:line="360" w:lineRule="auto"/>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文献来源</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高校重点实验室、研究中心及院系主办的学术会议。</w:t>
      </w:r>
    </w:p>
    <w:p>
      <w:pPr>
        <w:tabs>
          <w:tab w:val="left" w:pos="1755"/>
        </w:tabs>
        <w:spacing w:line="360" w:lineRule="auto"/>
        <w:ind w:firstLine="1365" w:firstLineChars="65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全国性学会及其分会、专业委员会主办的学术会议或论文评选。</w:t>
      </w:r>
    </w:p>
    <w:p>
      <w:pPr>
        <w:tabs>
          <w:tab w:val="left" w:pos="1755"/>
        </w:tabs>
        <w:spacing w:line="360" w:lineRule="auto"/>
        <w:ind w:firstLine="1365" w:firstLineChars="65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全国性行业协会及其分会主办的行业活动或发布的行业报告。</w:t>
      </w:r>
    </w:p>
    <w:p>
      <w:pPr>
        <w:tabs>
          <w:tab w:val="left" w:pos="1755"/>
        </w:tabs>
        <w:spacing w:line="360" w:lineRule="auto"/>
        <w:ind w:firstLine="1365" w:firstLineChars="65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地方性学会</w:t>
      </w:r>
      <w:r>
        <w:rPr>
          <w:rFonts w:ascii="Arial Narrow" w:hAnsi="Arial Narrow" w:eastAsia="仿宋_GB2312" w:cs="Arial Narrow"/>
          <w:color w:val="000000" w:themeColor="text1"/>
          <w:sz w:val="21"/>
          <w:szCs w:val="21"/>
          <w14:textFill>
            <w14:solidFill>
              <w14:schemeClr w14:val="tx1"/>
            </w14:solidFill>
          </w14:textFill>
        </w:rPr>
        <w:t>/</w:t>
      </w:r>
      <w:r>
        <w:rPr>
          <w:rFonts w:hint="eastAsia" w:ascii="Arial Narrow" w:hAnsi="Arial Narrow" w:eastAsia="仿宋_GB2312" w:cs="仿宋_GB2312"/>
          <w:color w:val="000000" w:themeColor="text1"/>
          <w:sz w:val="21"/>
          <w:szCs w:val="21"/>
          <w14:textFill>
            <w14:solidFill>
              <w14:schemeClr w14:val="tx1"/>
            </w14:solidFill>
          </w14:textFill>
        </w:rPr>
        <w:t>协会主办的特色会议（选择性收录）。</w:t>
      </w:r>
    </w:p>
    <w:p>
      <w:pPr>
        <w:spacing w:line="360" w:lineRule="auto"/>
        <w:ind w:left="1560" w:hanging="1365" w:hangingChars="65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出版特点</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b/>
          <w:bCs/>
          <w:color w:val="000000" w:themeColor="text1"/>
          <w:sz w:val="21"/>
          <w:szCs w:val="21"/>
          <w14:textFill>
            <w14:solidFill>
              <w14:schemeClr w14:val="tx1"/>
            </w14:solidFill>
          </w14:textFill>
        </w:rPr>
        <w:t>系列化：</w:t>
      </w:r>
      <w:r>
        <w:rPr>
          <w:rFonts w:hint="eastAsia" w:ascii="Arial Narrow" w:hAnsi="Arial Narrow" w:eastAsia="仿宋_GB2312" w:cs="仿宋_GB2312"/>
          <w:color w:val="000000" w:themeColor="text1"/>
          <w:sz w:val="21"/>
          <w:szCs w:val="21"/>
          <w14:textFill>
            <w14:solidFill>
              <w14:schemeClr w14:val="tx1"/>
            </w14:solidFill>
          </w14:textFill>
        </w:rPr>
        <w:t>学术组织举办的重要会议具有固定的周期且连续性召开的特点，系列化出版完整体现了该学科领域不同阶段的热点问题，同时便于读者进行追溯研究。到目前为止，</w:t>
      </w:r>
      <w:r>
        <w:rPr>
          <w:rFonts w:ascii="Arial Narrow" w:hAnsi="Arial Narrow" w:eastAsia="仿宋_GB2312" w:cs="Arial Narrow"/>
          <w:color w:val="000000" w:themeColor="text1"/>
          <w:sz w:val="21"/>
          <w:szCs w:val="21"/>
          <w14:textFill>
            <w14:solidFill>
              <w14:schemeClr w14:val="tx1"/>
            </w14:solidFill>
          </w14:textFill>
        </w:rPr>
        <w:t xml:space="preserve">60% </w:t>
      </w:r>
      <w:r>
        <w:rPr>
          <w:rFonts w:hint="eastAsia" w:ascii="Arial Narrow" w:hAnsi="Arial Narrow" w:eastAsia="仿宋_GB2312" w:cs="仿宋_GB2312"/>
          <w:color w:val="000000" w:themeColor="text1"/>
          <w:sz w:val="21"/>
          <w:szCs w:val="21"/>
          <w14:textFill>
            <w14:solidFill>
              <w14:schemeClr w14:val="tx1"/>
            </w14:solidFill>
          </w14:textFill>
        </w:rPr>
        <w:t>的重要会议文献已实现系列化收录，可以为读者提供完整的系列化调研资料。</w:t>
      </w:r>
    </w:p>
    <w:p>
      <w:pPr>
        <w:spacing w:line="360" w:lineRule="auto"/>
        <w:ind w:left="1520" w:leftChars="724"/>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b/>
          <w:bCs/>
          <w:color w:val="000000" w:themeColor="text1"/>
          <w:sz w:val="21"/>
          <w:szCs w:val="21"/>
          <w14:textFill>
            <w14:solidFill>
              <w14:schemeClr w14:val="tx1"/>
            </w14:solidFill>
          </w14:textFill>
        </w:rPr>
        <w:t>系统化：</w:t>
      </w:r>
      <w:r>
        <w:rPr>
          <w:rFonts w:hint="eastAsia" w:ascii="Arial Narrow" w:hAnsi="Arial Narrow" w:eastAsia="仿宋_GB2312" w:cs="仿宋_GB2312"/>
          <w:color w:val="000000" w:themeColor="text1"/>
          <w:sz w:val="21"/>
          <w:szCs w:val="21"/>
          <w14:textFill>
            <w14:solidFill>
              <w14:schemeClr w14:val="tx1"/>
            </w14:solidFill>
          </w14:textFill>
        </w:rPr>
        <w:t>通过跨库检索、知网节功能与其他文献结合，实现与不同类型文献重新整合。</w:t>
      </w:r>
    </w:p>
    <w:p>
      <w:pPr>
        <w:spacing w:line="360" w:lineRule="auto"/>
        <w:ind w:left="1620" w:hanging="1417" w:hangingChars="675"/>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出版授权</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签定会议论文出版授权协议书，取得会议主办方或汇编方及论文作者出版授权。</w:t>
      </w:r>
    </w:p>
    <w:p>
      <w:pPr>
        <w:spacing w:line="360" w:lineRule="auto"/>
        <w:ind w:left="1620" w:hanging="1417" w:hangingChars="675"/>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收录范围</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收录了由国内外近3</w:t>
      </w:r>
      <w:r>
        <w:rPr>
          <w:rFonts w:ascii="Arial Narrow" w:hAnsi="Arial Narrow" w:eastAsia="仿宋_GB2312" w:cs="仿宋_GB2312"/>
          <w:color w:val="000000" w:themeColor="text1"/>
          <w:sz w:val="21"/>
          <w:szCs w:val="21"/>
          <w14:textFill>
            <w14:solidFill>
              <w14:schemeClr w14:val="tx1"/>
            </w14:solidFill>
          </w14:textFill>
        </w:rPr>
        <w:t>5</w:t>
      </w:r>
      <w:r>
        <w:rPr>
          <w:rFonts w:hint="eastAsia" w:ascii="Arial Narrow" w:hAnsi="Arial Narrow" w:eastAsia="仿宋_GB2312" w:cs="仿宋_GB2312"/>
          <w:color w:val="000000" w:themeColor="text1"/>
          <w:sz w:val="21"/>
          <w:szCs w:val="21"/>
          <w14:textFill>
            <w14:solidFill>
              <w14:schemeClr w14:val="tx1"/>
            </w14:solidFill>
          </w14:textFill>
        </w:rPr>
        <w:t>00余</w:t>
      </w:r>
      <w:r>
        <w:rPr>
          <w:rFonts w:ascii="Arial Narrow" w:hAnsi="Arial Narrow" w:eastAsia="仿宋_GB2312" w:cs="仿宋_GB2312"/>
          <w:color w:val="000000" w:themeColor="text1"/>
          <w:sz w:val="21"/>
          <w:szCs w:val="21"/>
          <w14:textFill>
            <w14:solidFill>
              <w14:schemeClr w14:val="tx1"/>
            </w14:solidFill>
          </w14:textFill>
        </w:rPr>
        <w:t>家</w:t>
      </w:r>
      <w:r>
        <w:rPr>
          <w:rFonts w:hint="eastAsia" w:ascii="仿宋_GB2312" w:eastAsia="仿宋_GB2312"/>
          <w:color w:val="000000" w:themeColor="text1"/>
          <w:sz w:val="21"/>
          <w:szCs w:val="21"/>
          <w14:textFill>
            <w14:solidFill>
              <w14:schemeClr w14:val="tx1"/>
            </w14:solidFill>
          </w14:textFill>
        </w:rPr>
        <w:t>授权单位推荐的 20</w:t>
      </w:r>
      <w:r>
        <w:rPr>
          <w:rFonts w:ascii="仿宋_GB2312" w:eastAsia="仿宋_GB2312"/>
          <w:color w:val="000000" w:themeColor="text1"/>
          <w:sz w:val="21"/>
          <w:szCs w:val="21"/>
          <w14:textFill>
            <w14:solidFill>
              <w14:schemeClr w14:val="tx1"/>
            </w14:solidFill>
          </w14:textFill>
        </w:rPr>
        <w:t>664</w:t>
      </w:r>
      <w:r>
        <w:rPr>
          <w:rFonts w:hint="eastAsia" w:ascii="仿宋_GB2312" w:eastAsia="仿宋_GB2312"/>
          <w:color w:val="000000" w:themeColor="text1"/>
          <w:sz w:val="21"/>
          <w:szCs w:val="21"/>
          <w14:textFill>
            <w14:solidFill>
              <w14:schemeClr w14:val="tx1"/>
            </w14:solidFill>
          </w14:textFill>
        </w:rPr>
        <w:t>余次</w:t>
      </w:r>
      <w:r>
        <w:rPr>
          <w:rFonts w:hint="eastAsia" w:ascii="Arial Narrow" w:hAnsi="Arial Narrow" w:eastAsia="仿宋_GB2312" w:cs="仿宋_GB2312"/>
          <w:color w:val="000000" w:themeColor="text1"/>
          <w:sz w:val="21"/>
          <w:szCs w:val="21"/>
          <w14:textFill>
            <w14:solidFill>
              <w14:schemeClr w14:val="tx1"/>
            </w14:solidFill>
          </w14:textFill>
        </w:rPr>
        <w:t>国内重要学术会议的论文，收录完整率达9</w:t>
      </w:r>
      <w:r>
        <w:rPr>
          <w:rFonts w:ascii="Arial Narrow" w:hAnsi="Arial Narrow" w:eastAsia="仿宋_GB2312" w:cs="仿宋_GB2312"/>
          <w:color w:val="000000" w:themeColor="text1"/>
          <w:sz w:val="21"/>
          <w:szCs w:val="21"/>
          <w14:textFill>
            <w14:solidFill>
              <w14:schemeClr w14:val="tx1"/>
            </w14:solidFill>
          </w14:textFill>
        </w:rPr>
        <w:t>0</w:t>
      </w:r>
      <w:r>
        <w:rPr>
          <w:rFonts w:hint="eastAsia" w:ascii="Arial Narrow" w:hAnsi="Arial Narrow" w:eastAsia="仿宋_GB2312" w:cs="仿宋_GB2312"/>
          <w:color w:val="000000" w:themeColor="text1"/>
          <w:sz w:val="21"/>
          <w:szCs w:val="21"/>
          <w14:textFill>
            <w14:solidFill>
              <w14:schemeClr w14:val="tx1"/>
            </w14:solidFill>
          </w14:textFill>
        </w:rPr>
        <w:t>％以上。</w:t>
      </w:r>
    </w:p>
    <w:p>
      <w:pPr>
        <w:spacing w:line="360" w:lineRule="auto"/>
        <w:ind w:left="1680" w:hanging="1470" w:hangingChars="700"/>
        <w:rPr>
          <w:rFonts w:ascii="Arial Narrow" w:hAnsi="Arial Narrow" w:eastAsia="仿宋_GB2312"/>
          <w:color w:val="000000" w:themeColor="text1"/>
          <w:kern w:val="0"/>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文献总量</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截至</w:t>
      </w:r>
      <w:r>
        <w:rPr>
          <w:rFonts w:ascii="仿宋_GB2312" w:eastAsia="仿宋_GB2312"/>
          <w:color w:val="000000" w:themeColor="text1"/>
          <w:sz w:val="21"/>
          <w:szCs w:val="21"/>
          <w14:textFill>
            <w14:solidFill>
              <w14:schemeClr w14:val="tx1"/>
            </w14:solidFill>
          </w14:textFill>
        </w:rPr>
        <w:t>2022</w:t>
      </w:r>
      <w:r>
        <w:rPr>
          <w:rFonts w:hint="eastAsia" w:ascii="仿宋_GB2312" w:eastAsia="仿宋_GB2312"/>
          <w:color w:val="000000" w:themeColor="text1"/>
          <w:sz w:val="21"/>
          <w:szCs w:val="21"/>
          <w14:textFill>
            <w14:solidFill>
              <w14:schemeClr w14:val="tx1"/>
            </w14:solidFill>
          </w14:textFill>
        </w:rPr>
        <w:t>年</w:t>
      </w:r>
      <w:r>
        <w:rPr>
          <w:rFonts w:ascii="仿宋_GB2312" w:eastAsia="仿宋_GB2312"/>
          <w:color w:val="000000" w:themeColor="text1"/>
          <w:sz w:val="21"/>
          <w:szCs w:val="21"/>
          <w14:textFill>
            <w14:solidFill>
              <w14:schemeClr w14:val="tx1"/>
            </w14:solidFill>
          </w14:textFill>
        </w:rPr>
        <w:t>1</w:t>
      </w:r>
      <w:r>
        <w:rPr>
          <w:rFonts w:hint="eastAsia" w:ascii="仿宋_GB2312" w:eastAsia="仿宋_GB2312"/>
          <w:color w:val="000000" w:themeColor="text1"/>
          <w:sz w:val="21"/>
          <w:szCs w:val="21"/>
          <w14:textFill>
            <w14:solidFill>
              <w14:schemeClr w14:val="tx1"/>
            </w14:solidFill>
          </w14:textFill>
        </w:rPr>
        <w:t>月收录论文25</w:t>
      </w:r>
      <w:r>
        <w:rPr>
          <w:rFonts w:ascii="仿宋_GB2312" w:eastAsia="仿宋_GB2312"/>
          <w:color w:val="000000" w:themeColor="text1"/>
          <w:sz w:val="21"/>
          <w:szCs w:val="21"/>
          <w14:textFill>
            <w14:solidFill>
              <w14:schemeClr w14:val="tx1"/>
            </w14:solidFill>
          </w14:textFill>
        </w:rPr>
        <w:t>3</w:t>
      </w:r>
      <w:r>
        <w:rPr>
          <w:rFonts w:hint="eastAsia" w:ascii="仿宋_GB2312" w:eastAsia="仿宋_GB2312"/>
          <w:color w:val="000000" w:themeColor="text1"/>
          <w:sz w:val="21"/>
          <w:szCs w:val="21"/>
          <w14:textFill>
            <w14:solidFill>
              <w14:schemeClr w14:val="tx1"/>
            </w14:solidFill>
          </w14:textFill>
        </w:rPr>
        <w:t>万余篇。</w:t>
      </w:r>
      <w:r>
        <w:rPr>
          <w:rFonts w:ascii="仿宋_GB2312" w:eastAsia="仿宋_GB2312"/>
          <w:color w:val="000000" w:themeColor="text1"/>
          <w:sz w:val="21"/>
          <w:szCs w:val="21"/>
          <w14:textFill>
            <w14:solidFill>
              <w14:schemeClr w14:val="tx1"/>
            </w14:solidFill>
          </w14:textFill>
        </w:rPr>
        <w:t>2022</w:t>
      </w:r>
      <w:r>
        <w:rPr>
          <w:rFonts w:hint="eastAsia" w:ascii="仿宋_GB2312" w:eastAsia="仿宋_GB2312"/>
          <w:color w:val="000000" w:themeColor="text1"/>
          <w:sz w:val="21"/>
          <w:szCs w:val="21"/>
          <w14:textFill>
            <w14:solidFill>
              <w14:schemeClr w14:val="tx1"/>
            </w14:solidFill>
          </w14:textFill>
        </w:rPr>
        <w:t>年计划出版：</w:t>
      </w:r>
      <w:r>
        <w:rPr>
          <w:rFonts w:ascii="仿宋_GB2312" w:eastAsia="仿宋_GB2312"/>
          <w:color w:val="000000" w:themeColor="text1"/>
          <w:sz w:val="21"/>
          <w:szCs w:val="21"/>
          <w14:textFill>
            <w14:solidFill>
              <w14:schemeClr w14:val="tx1"/>
            </w14:solidFill>
          </w14:textFill>
        </w:rPr>
        <w:t>154000</w:t>
      </w:r>
      <w:r>
        <w:rPr>
          <w:rFonts w:hint="eastAsia" w:ascii="仿宋_GB2312" w:eastAsia="仿宋_GB2312"/>
          <w:color w:val="000000" w:themeColor="text1"/>
          <w:sz w:val="21"/>
          <w:szCs w:val="21"/>
          <w14:textFill>
            <w14:solidFill>
              <w14:schemeClr w14:val="tx1"/>
            </w14:solidFill>
          </w14:textFill>
        </w:rPr>
        <w:t>篇。</w:t>
      </w:r>
    </w:p>
    <w:p>
      <w:pPr>
        <w:spacing w:line="360" w:lineRule="auto"/>
        <w:ind w:left="2196" w:hanging="1921" w:hangingChars="915"/>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收录年限</w:t>
      </w:r>
      <w:r>
        <w:rPr>
          <w:rFonts w:ascii="Arial Narrow" w:hAnsi="Arial Narrow" w:eastAsia="仿宋_GB2312" w:cs="Arial Narrow"/>
          <w:color w:val="000000" w:themeColor="text1"/>
          <w:sz w:val="21"/>
          <w:szCs w:val="21"/>
          <w14:textFill>
            <w14:solidFill>
              <w14:schemeClr w14:val="tx1"/>
            </w14:solidFill>
          </w14:textFill>
        </w:rPr>
        <w:t xml:space="preserve">     1953</w:t>
      </w:r>
      <w:r>
        <w:rPr>
          <w:rFonts w:hint="eastAsia" w:ascii="Arial Narrow" w:hAnsi="Arial Narrow" w:eastAsia="仿宋_GB2312" w:cs="仿宋_GB2312"/>
          <w:color w:val="000000" w:themeColor="text1"/>
          <w:sz w:val="21"/>
          <w:szCs w:val="21"/>
          <w14:textFill>
            <w14:solidFill>
              <w14:schemeClr w14:val="tx1"/>
            </w14:solidFill>
          </w14:textFill>
        </w:rPr>
        <w:t>年至今。</w:t>
      </w:r>
    </w:p>
    <w:p>
      <w:pPr>
        <w:spacing w:line="360" w:lineRule="auto"/>
        <w:ind w:left="2196" w:hanging="1921" w:hangingChars="915"/>
        <w:jc w:val="left"/>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收录完整率</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国家一级学会、协会召开的会议产出的论文收全率占</w:t>
      </w:r>
      <w:r>
        <w:rPr>
          <w:rFonts w:ascii="Arial Narrow" w:hAnsi="Arial Narrow" w:eastAsia="仿宋_GB2312" w:cs="Arial Narrow"/>
          <w:color w:val="000000" w:themeColor="text1"/>
          <w:sz w:val="21"/>
          <w:szCs w:val="21"/>
          <w14:textFill>
            <w14:solidFill>
              <w14:schemeClr w14:val="tx1"/>
            </w14:solidFill>
          </w14:textFill>
        </w:rPr>
        <w:t>95%</w:t>
      </w:r>
      <w:r>
        <w:rPr>
          <w:rFonts w:hint="eastAsia" w:ascii="Arial Narrow" w:hAnsi="Arial Narrow" w:eastAsia="仿宋_GB2312" w:cs="仿宋_GB2312"/>
          <w:color w:val="000000" w:themeColor="text1"/>
          <w:sz w:val="21"/>
          <w:szCs w:val="21"/>
          <w14:textFill>
            <w14:solidFill>
              <w14:schemeClr w14:val="tx1"/>
            </w14:solidFill>
          </w14:textFill>
        </w:rPr>
        <w:t>以上。</w:t>
      </w:r>
    </w:p>
    <w:p>
      <w:pPr>
        <w:spacing w:line="360" w:lineRule="auto"/>
        <w:ind w:left="2196" w:hanging="1921" w:hangingChars="915"/>
        <w:rPr>
          <w:rFonts w:ascii="Arial Narrow" w:hAnsi="Arial Narrow" w:eastAsia="仿宋_GB2312"/>
          <w:color w:val="000000" w:themeColor="text1"/>
          <w:sz w:val="21"/>
          <w:szCs w:val="21"/>
          <w:shd w:val="pct10" w:color="auto" w:fill="FFFFFF"/>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出版时效</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olor w:val="000000" w:themeColor="text1"/>
          <w:sz w:val="21"/>
          <w:szCs w:val="21"/>
          <w14:textFill>
            <w14:solidFill>
              <w14:schemeClr w14:val="tx1"/>
            </w14:solidFill>
          </w14:textFill>
        </w:rPr>
        <w:t>当</w:t>
      </w:r>
      <w:r>
        <w:rPr>
          <w:rFonts w:hint="eastAsia" w:ascii="Arial Narrow" w:hAnsi="Arial Narrow" w:eastAsia="仿宋_GB2312" w:cs="仿宋_GB2312"/>
          <w:color w:val="000000" w:themeColor="text1"/>
          <w:sz w:val="21"/>
          <w:szCs w:val="21"/>
          <w14:textFill>
            <w14:solidFill>
              <w14:schemeClr w14:val="tx1"/>
            </w14:solidFill>
          </w14:textFill>
        </w:rPr>
        <w:t>年</w:t>
      </w:r>
      <w:r>
        <w:rPr>
          <w:rFonts w:hint="eastAsia" w:ascii="Arial Narrow" w:hAnsi="Arial Narrow" w:eastAsia="仿宋_GB2312" w:cs="仿宋_GB2312"/>
          <w:color w:val="000000" w:themeColor="text1"/>
          <w:kern w:val="21"/>
          <w:sz w:val="21"/>
          <w:szCs w:val="21"/>
          <w14:textFill>
            <w14:solidFill>
              <w14:schemeClr w14:val="tx1"/>
            </w14:solidFill>
          </w14:textFill>
        </w:rPr>
        <w:t>会议结束之后</w:t>
      </w:r>
      <w:r>
        <w:rPr>
          <w:rFonts w:ascii="Arial Narrow" w:hAnsi="Arial Narrow" w:eastAsia="仿宋_GB2312" w:cs="Arial Narrow"/>
          <w:color w:val="000000" w:themeColor="text1"/>
          <w:kern w:val="21"/>
          <w:sz w:val="21"/>
          <w:szCs w:val="21"/>
          <w14:textFill>
            <w14:solidFill>
              <w14:schemeClr w14:val="tx1"/>
            </w14:solidFill>
          </w14:textFill>
        </w:rPr>
        <w:t>2</w:t>
      </w:r>
      <w:r>
        <w:rPr>
          <w:rFonts w:hint="eastAsia" w:ascii="Arial Narrow" w:hAnsi="Arial Narrow" w:eastAsia="仿宋_GB2312" w:cs="仿宋_GB2312"/>
          <w:color w:val="000000" w:themeColor="text1"/>
          <w:kern w:val="21"/>
          <w:sz w:val="21"/>
          <w:szCs w:val="21"/>
          <w14:textFill>
            <w14:solidFill>
              <w14:schemeClr w14:val="tx1"/>
            </w14:solidFill>
          </w14:textFill>
        </w:rPr>
        <w:t>个月内</w:t>
      </w:r>
      <w:r>
        <w:rPr>
          <w:rFonts w:hint="eastAsia" w:ascii="Arial Narrow" w:hAnsi="Arial Narrow" w:eastAsia="仿宋_GB2312" w:cs="仿宋_GB2312"/>
          <w:color w:val="000000" w:themeColor="text1"/>
          <w:sz w:val="21"/>
          <w:szCs w:val="21"/>
          <w14:textFill>
            <w14:solidFill>
              <w14:schemeClr w14:val="tx1"/>
            </w14:solidFill>
          </w14:textFill>
        </w:rPr>
        <w:t>出版</w:t>
      </w:r>
      <w:r>
        <w:rPr>
          <w:rFonts w:hint="eastAsia" w:ascii="Arial Narrow" w:hAnsi="Arial Narrow" w:eastAsia="仿宋_GB2312" w:cs="仿宋_GB2312"/>
          <w:color w:val="000000" w:themeColor="text1"/>
          <w:kern w:val="21"/>
          <w:sz w:val="21"/>
          <w:szCs w:val="21"/>
          <w14:textFill>
            <w14:solidFill>
              <w14:schemeClr w14:val="tx1"/>
            </w14:solidFill>
          </w14:textFill>
        </w:rPr>
        <w:t>会议论文</w:t>
      </w:r>
      <w:r>
        <w:rPr>
          <w:rFonts w:hint="eastAsia" w:ascii="Arial Narrow" w:hAnsi="Arial Narrow" w:eastAsia="仿宋_GB2312" w:cs="仿宋_GB2312"/>
          <w:color w:val="000000" w:themeColor="text1"/>
          <w:sz w:val="21"/>
          <w:szCs w:val="21"/>
          <w14:textFill>
            <w14:solidFill>
              <w14:schemeClr w14:val="tx1"/>
            </w14:solidFill>
          </w14:textFill>
        </w:rPr>
        <w:t>网络版</w:t>
      </w:r>
      <w:r>
        <w:rPr>
          <w:rFonts w:hint="eastAsia" w:ascii="Arial Narrow" w:hAnsi="Arial Narrow" w:eastAsia="仿宋_GB2312" w:cs="仿宋_GB2312"/>
          <w:color w:val="000000" w:themeColor="text1"/>
          <w:kern w:val="21"/>
          <w:sz w:val="21"/>
          <w:szCs w:val="21"/>
          <w14:textFill>
            <w14:solidFill>
              <w14:schemeClr w14:val="tx1"/>
            </w14:solidFill>
          </w14:textFill>
        </w:rPr>
        <w:t>。</w:t>
      </w:r>
    </w:p>
    <w:p>
      <w:pPr>
        <w:spacing w:line="360" w:lineRule="auto"/>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更新频率</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1、实时更新：云租用、云托管、云机构馆托管。</w:t>
      </w:r>
    </w:p>
    <w:p>
      <w:pPr>
        <w:spacing w:line="360" w:lineRule="auto"/>
        <w:ind w:firstLine="1470" w:firstLine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2、月出版：镜像版，每月10日出版。</w:t>
      </w:r>
    </w:p>
    <w:p>
      <w:pPr>
        <w:spacing w:line="360" w:lineRule="auto"/>
        <w:ind w:left="2196" w:hanging="1921" w:hangingChars="915"/>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导航体系</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文献分类导航、会议导航、论文集导航、主办单位导航、会议视频导航。</w:t>
      </w:r>
    </w:p>
    <w:p>
      <w:pPr>
        <w:spacing w:line="360" w:lineRule="auto"/>
        <w:ind w:left="1740" w:hanging="1522" w:hangingChars="725"/>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检索字段</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主题、篇关摘、篇名、关键词、摘要、作者、第一作者、单位、论文集名称、会议名称、主办单位、全文、参考文献、基金、小标题、中图分类号、DOI、会议时间、更新时间、报告级别、论文集类型、语种。</w:t>
      </w:r>
    </w:p>
    <w:p>
      <w:pPr>
        <w:spacing w:line="360" w:lineRule="auto"/>
        <w:ind w:left="1680"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检索结果处理</w:t>
      </w:r>
      <w:r>
        <w:rPr>
          <w:rFonts w:hint="eastAsia" w:ascii="Arial Narrow" w:hAnsi="Arial Narrow" w:eastAsia="仿宋_GB2312" w:cs="Arial Narrow"/>
          <w:color w:val="000000" w:themeColor="text1"/>
          <w:sz w:val="21"/>
          <w:szCs w:val="21"/>
          <w14:textFill>
            <w14:solidFill>
              <w14:schemeClr w14:val="tx1"/>
            </w14:solidFill>
          </w14:textFill>
        </w:rPr>
        <w:t xml:space="preserve">  </w:t>
      </w:r>
      <w:r>
        <w:rPr>
          <w:rFonts w:hint="eastAsia" w:ascii="Arial Narrow" w:hAnsi="Arial Narrow" w:eastAsia="仿宋_GB2312" w:cs="仿宋_GB2312"/>
          <w:color w:val="000000" w:themeColor="text1"/>
          <w:sz w:val="21"/>
          <w:szCs w:val="21"/>
          <w14:textFill>
            <w14:solidFill>
              <w14:schemeClr w14:val="tx1"/>
            </w14:solidFill>
          </w14:textFill>
        </w:rPr>
        <w:t>支持通过分组排序对检索结果进行进一步筛选，可以按照科技、社科、主题（主要主题、次要主题）、主办单位、学科、会议论文集、基金、作者、单位、发表年度等进行分组浏览，也可以按照会议召开时间、相关度、被引频次、下载频次等进行排序浏览。</w:t>
      </w:r>
    </w:p>
    <w:p>
      <w:pPr>
        <w:tabs>
          <w:tab w:val="left" w:pos="1830"/>
        </w:tabs>
        <w:spacing w:line="360" w:lineRule="auto"/>
        <w:ind w:left="1680" w:hanging="1470" w:hangingChars="700"/>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shd w:val="pct10" w:color="auto" w:fill="FFFFFF"/>
          <w14:textFill>
            <w14:solidFill>
              <w14:schemeClr w14:val="tx1"/>
            </w14:solidFill>
          </w14:textFill>
        </w:rPr>
        <w:t>知网节模块</w:t>
      </w:r>
      <w:r>
        <w:rPr>
          <w:rFonts w:ascii="Arial Narrow" w:hAnsi="Arial Narrow" w:eastAsia="仿宋_GB2312"/>
          <w:color w:val="000000" w:themeColor="text1"/>
          <w:sz w:val="21"/>
          <w:szCs w:val="21"/>
          <w14:textFill>
            <w14:solidFill>
              <w14:schemeClr w14:val="tx1"/>
            </w14:solidFill>
          </w14:textFill>
        </w:rPr>
        <w:tab/>
      </w:r>
      <w:r>
        <w:rPr>
          <w:rFonts w:hint="eastAsia" w:ascii="Arial Narrow" w:hAnsi="Arial Narrow" w:eastAsia="仿宋_GB2312"/>
          <w:color w:val="000000" w:themeColor="text1"/>
          <w:sz w:val="21"/>
          <w:szCs w:val="21"/>
          <w14:textFill>
            <w14:solidFill>
              <w14:schemeClr w14:val="tx1"/>
            </w14:solidFill>
          </w14:textFill>
        </w:rPr>
        <w:t>会议论文的基本信息、会议论文集名称、摘要、关键词、会议名称、会议时间、会议地点、专辑、专题、DOI、分类号、作者知网节、机构知网节、关键词知网节、基金知网节、节点文献的二级参考文献、参考文献、共引文献、同被引文献、引证文献、二级引证文献、相似文献、关联作者、读者推荐文献、相关基金文献、相关视频，并图示节点文献的引文网络，</w:t>
      </w:r>
      <w:r>
        <w:rPr>
          <w:rFonts w:hint="eastAsia" w:ascii="Arial Narrow" w:hAnsi="Arial Narrow" w:eastAsia="仿宋_GB2312" w:cs="仿宋_GB2312"/>
          <w:color w:val="000000" w:themeColor="text1"/>
          <w:sz w:val="21"/>
          <w:szCs w:val="21"/>
          <w14:textFill>
            <w14:solidFill>
              <w14:schemeClr w14:val="tx1"/>
            </w14:solidFill>
          </w14:textFill>
        </w:rPr>
        <w:t>可以链接到期刊、博硕、会议、报纸、专利、标准、年鉴、国际期刊、科技成果、图书等数据库使用。</w:t>
      </w:r>
    </w:p>
    <w:p>
      <w:pPr>
        <w:tabs>
          <w:tab w:val="left" w:pos="1830"/>
        </w:tabs>
        <w:spacing w:line="360" w:lineRule="auto"/>
        <w:ind w:left="1680" w:hanging="1470" w:hangingChars="700"/>
        <w:rPr>
          <w:rFonts w:ascii="Arial Narrow" w:hAnsi="Arial Narrow" w:eastAsia="仿宋_GB2312" w:cs="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各专辑文献来源一级学会（部分）列表：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tcPr>
          <w:p>
            <w:pPr>
              <w:jc w:val="cente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专辑</w:t>
            </w:r>
          </w:p>
        </w:tc>
        <w:tc>
          <w:tcPr>
            <w:tcW w:w="8287" w:type="dxa"/>
          </w:tcPr>
          <w:p>
            <w:pPr>
              <w:jc w:val="cente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学会名称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jc w:val="left"/>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基础科学</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olor w:val="000000" w:themeColor="text1"/>
                <w:sz w:val="21"/>
                <w:szCs w:val="21"/>
                <w14:textFill>
                  <w14:solidFill>
                    <w14:schemeClr w14:val="tx1"/>
                  </w14:solidFill>
                </w14:textFill>
              </w:rPr>
              <w:t>中国科学技术协会、中国力学学会、中国气象学会、中国地质学会、中国天文学会、中国地球物理学会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jc w:val="left"/>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工程科技</w:t>
            </w:r>
            <w:r>
              <w:rPr>
                <w:rFonts w:hint="eastAsia" w:ascii="宋体" w:hAnsi="宋体" w:cs="宋体"/>
                <w:color w:val="000000" w:themeColor="text1"/>
                <w:sz w:val="21"/>
                <w:szCs w:val="21"/>
                <w14:textFill>
                  <w14:solidFill>
                    <w14:schemeClr w14:val="tx1"/>
                  </w14:solidFill>
                </w14:textFill>
              </w:rPr>
              <w:t>Ⅰ</w:t>
            </w:r>
            <w:r>
              <w:rPr>
                <w:rFonts w:hint="eastAsia" w:ascii="Arial Narrow" w:hAnsi="Arial Narrow" w:eastAsia="仿宋_GB2312" w:cs="仿宋_GB2312"/>
                <w:color w:val="000000" w:themeColor="text1"/>
                <w:sz w:val="21"/>
                <w:szCs w:val="21"/>
                <w14:textFill>
                  <w14:solidFill>
                    <w14:schemeClr w14:val="tx1"/>
                  </w14:solidFill>
                </w14:textFill>
              </w:rPr>
              <w:t>辑</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olor w:val="000000" w:themeColor="text1"/>
                <w:sz w:val="21"/>
                <w:szCs w:val="21"/>
                <w14:textFill>
                  <w14:solidFill>
                    <w14:schemeClr w14:val="tx1"/>
                  </w14:solidFill>
                </w14:textFill>
              </w:rPr>
              <w:t>中国化学会、中国金属学会、中国煤炭学会、中国纺织工程学会、中国材料研究学会、中国环境科学学会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jc w:val="left"/>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工程科技</w:t>
            </w:r>
            <w:r>
              <w:rPr>
                <w:rFonts w:hint="eastAsia" w:ascii="宋体" w:hAnsi="宋体" w:cs="宋体"/>
                <w:color w:val="000000" w:themeColor="text1"/>
                <w:sz w:val="21"/>
                <w:szCs w:val="21"/>
                <w14:textFill>
                  <w14:solidFill>
                    <w14:schemeClr w14:val="tx1"/>
                  </w14:solidFill>
                </w14:textFill>
              </w:rPr>
              <w:t>Ⅱ</w:t>
            </w:r>
            <w:r>
              <w:rPr>
                <w:rFonts w:hint="eastAsia" w:ascii="Arial Narrow" w:hAnsi="Arial Narrow" w:eastAsia="仿宋_GB2312" w:cs="仿宋_GB2312"/>
                <w:color w:val="000000" w:themeColor="text1"/>
                <w:sz w:val="21"/>
                <w:szCs w:val="21"/>
                <w14:textFill>
                  <w14:solidFill>
                    <w14:schemeClr w14:val="tx1"/>
                  </w14:solidFill>
                </w14:textFill>
              </w:rPr>
              <w:t>辑</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olor w:val="000000" w:themeColor="text1"/>
                <w:sz w:val="21"/>
                <w:szCs w:val="21"/>
                <w14:textFill>
                  <w14:solidFill>
                    <w14:schemeClr w14:val="tx1"/>
                  </w14:solidFill>
                </w14:textFill>
              </w:rPr>
              <w:t>中国机械工程学会、中国土木工程学会、中国造船工程学会、中国核学会、中国水力发电工程学会、中国城市科学研究会、中国建筑学会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jc w:val="left"/>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农业科技</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olor w:val="000000" w:themeColor="text1"/>
                <w:sz w:val="21"/>
                <w:szCs w:val="21"/>
                <w14:textFill>
                  <w14:solidFill>
                    <w14:schemeClr w14:val="tx1"/>
                  </w14:solidFill>
                </w14:textFill>
              </w:rPr>
              <w:t>中国农学会、中国林学会、中国畜牧兽医学会、中国植物学会、中国园艺学会、中国作物学会、中国风景园林学会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jc w:val="left"/>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医药卫生科技</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olor w:val="000000" w:themeColor="text1"/>
                <w:sz w:val="21"/>
                <w:szCs w:val="21"/>
                <w14:textFill>
                  <w14:solidFill>
                    <w14:schemeClr w14:val="tx1"/>
                  </w14:solidFill>
                </w14:textFill>
              </w:rPr>
              <w:t>中华医学会、中华中医药学会、中国中西医结合学会、中华预防医学会、中国药学会、中国医院协会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jc w:val="left"/>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信息科技</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中国电子学会、中国通信学会、中国计算机学会、中国自动化学会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widowControl/>
              <w:jc w:val="left"/>
              <w:rPr>
                <w:rFonts w:ascii="Arial Narrow" w:hAnsi="Arial Narrow" w:eastAsia="仿宋_GB2312"/>
                <w:color w:val="000000" w:themeColor="text1"/>
                <w:kern w:val="0"/>
                <w:sz w:val="21"/>
                <w:szCs w:val="21"/>
                <w14:textFill>
                  <w14:solidFill>
                    <w14:schemeClr w14:val="tx1"/>
                  </w14:solidFill>
                </w14:textFill>
              </w:rPr>
            </w:pPr>
            <w:r>
              <w:rPr>
                <w:rFonts w:hint="eastAsia" w:ascii="Arial Narrow" w:hAnsi="Arial Narrow" w:eastAsia="仿宋_GB2312" w:cs="仿宋_GB2312"/>
                <w:color w:val="000000" w:themeColor="text1"/>
                <w:kern w:val="0"/>
                <w:sz w:val="21"/>
                <w:szCs w:val="21"/>
                <w14:textFill>
                  <w14:solidFill>
                    <w14:schemeClr w14:val="tx1"/>
                  </w14:solidFill>
                </w14:textFill>
              </w:rPr>
              <w:t>文史哲</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国际儒学联合会、中华美学学会、中国紫禁城学会、中国明史学会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widowControl/>
              <w:jc w:val="left"/>
              <w:rPr>
                <w:rFonts w:ascii="Arial Narrow" w:hAnsi="Arial Narrow" w:eastAsia="仿宋_GB2312"/>
                <w:color w:val="000000" w:themeColor="text1"/>
                <w:kern w:val="0"/>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社会科学</w:t>
            </w:r>
            <w:r>
              <w:rPr>
                <w:rFonts w:hint="eastAsia" w:ascii="宋体" w:hAnsi="宋体" w:cs="宋体"/>
                <w:color w:val="000000" w:themeColor="text1"/>
                <w:sz w:val="21"/>
                <w:szCs w:val="21"/>
                <w14:textFill>
                  <w14:solidFill>
                    <w14:schemeClr w14:val="tx1"/>
                  </w14:solidFill>
                </w14:textFill>
              </w:rPr>
              <w:t>Ⅰ</w:t>
            </w:r>
            <w:r>
              <w:rPr>
                <w:rFonts w:hint="eastAsia" w:ascii="Arial Narrow" w:hAnsi="Arial Narrow" w:eastAsia="仿宋_GB2312" w:cs="仿宋_GB2312"/>
                <w:color w:val="000000" w:themeColor="text1"/>
                <w:sz w:val="21"/>
                <w:szCs w:val="21"/>
                <w14:textFill>
                  <w14:solidFill>
                    <w14:schemeClr w14:val="tx1"/>
                  </w14:solidFill>
                </w14:textFill>
              </w:rPr>
              <w:t>辑</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中国统一战线理论研究会、中国领导科学研究会、</w:t>
            </w:r>
            <w:r>
              <w:rPr>
                <w:rFonts w:ascii="Arial Narrow" w:hAnsi="Arial Narrow" w:eastAsia="仿宋_GB2312" w:cs="仿宋_GB2312"/>
                <w:color w:val="000000" w:themeColor="text1"/>
                <w:sz w:val="21"/>
                <w:szCs w:val="21"/>
                <w14:textFill>
                  <w14:solidFill>
                    <w14:schemeClr w14:val="tx1"/>
                  </w14:solidFill>
                </w14:textFill>
              </w:rPr>
              <w:t>中国青少年研究会</w:t>
            </w:r>
            <w:r>
              <w:rPr>
                <w:rFonts w:hint="eastAsia" w:ascii="Arial Narrow" w:hAnsi="Arial Narrow" w:eastAsia="仿宋_GB2312" w:cs="仿宋_GB2312"/>
                <w:color w:val="000000" w:themeColor="text1"/>
                <w:sz w:val="21"/>
                <w:szCs w:val="21"/>
                <w14:textFill>
                  <w14:solidFill>
                    <w14:schemeClr w14:val="tx1"/>
                  </w14:solidFill>
                </w14:textFill>
              </w:rPr>
              <w:t>、中国国际关系学会、国家法官学院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widowControl/>
              <w:jc w:val="left"/>
              <w:rPr>
                <w:rFonts w:ascii="Arial Narrow" w:hAnsi="Arial Narrow" w:eastAsia="仿宋_GB2312"/>
                <w:color w:val="000000" w:themeColor="text1"/>
                <w:kern w:val="0"/>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社会科学</w:t>
            </w:r>
            <w:r>
              <w:rPr>
                <w:rFonts w:hint="eastAsia" w:ascii="宋体" w:hAnsi="宋体" w:cs="宋体"/>
                <w:color w:val="000000" w:themeColor="text1"/>
                <w:sz w:val="21"/>
                <w:szCs w:val="21"/>
                <w14:textFill>
                  <w14:solidFill>
                    <w14:schemeClr w14:val="tx1"/>
                  </w14:solidFill>
                </w14:textFill>
              </w:rPr>
              <w:t>Ⅱ</w:t>
            </w:r>
            <w:r>
              <w:rPr>
                <w:rFonts w:hint="eastAsia" w:ascii="Arial Narrow" w:hAnsi="Arial Narrow" w:eastAsia="仿宋_GB2312" w:cs="仿宋_GB2312"/>
                <w:color w:val="000000" w:themeColor="text1"/>
                <w:sz w:val="21"/>
                <w:szCs w:val="21"/>
                <w14:textFill>
                  <w14:solidFill>
                    <w14:schemeClr w14:val="tx1"/>
                  </w14:solidFill>
                </w14:textFill>
              </w:rPr>
              <w:t>辑</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s="仿宋_GB2312"/>
                <w:color w:val="000000" w:themeColor="text1"/>
                <w:sz w:val="21"/>
                <w:szCs w:val="21"/>
                <w14:textFill>
                  <w14:solidFill>
                    <w14:schemeClr w14:val="tx1"/>
                  </w14:solidFill>
                </w14:textFill>
              </w:rPr>
              <w:t>中国高等教育学会、中国体育科学学会、中华职业教育社、中国成人教育协会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widowControl/>
              <w:jc w:val="left"/>
              <w:rPr>
                <w:rFonts w:ascii="Arial Narrow" w:hAnsi="Arial Narrow" w:eastAsia="仿宋_GB2312"/>
                <w:color w:val="000000" w:themeColor="text1"/>
                <w:kern w:val="0"/>
                <w:sz w:val="21"/>
                <w:szCs w:val="21"/>
                <w14:textFill>
                  <w14:solidFill>
                    <w14:schemeClr w14:val="tx1"/>
                  </w14:solidFill>
                </w14:textFill>
              </w:rPr>
            </w:pPr>
            <w:r>
              <w:rPr>
                <w:rFonts w:hint="eastAsia" w:ascii="Arial Narrow" w:hAnsi="Arial Narrow" w:eastAsia="仿宋_GB2312" w:cs="仿宋_GB2312"/>
                <w:color w:val="000000" w:themeColor="text1"/>
                <w:kern w:val="0"/>
                <w:sz w:val="21"/>
                <w:szCs w:val="21"/>
                <w14:textFill>
                  <w14:solidFill>
                    <w14:schemeClr w14:val="tx1"/>
                  </w14:solidFill>
                </w14:textFill>
              </w:rPr>
              <w:t>经济与管理</w:t>
            </w:r>
          </w:p>
        </w:tc>
        <w:tc>
          <w:tcPr>
            <w:tcW w:w="8287" w:type="dxa"/>
          </w:tcPr>
          <w:p>
            <w:pPr>
              <w:rPr>
                <w:rFonts w:ascii="Arial Narrow" w:hAnsi="Arial Narrow" w:eastAsia="仿宋_GB2312"/>
                <w:color w:val="000000" w:themeColor="text1"/>
                <w:sz w:val="21"/>
                <w:szCs w:val="21"/>
                <w14:textFill>
                  <w14:solidFill>
                    <w14:schemeClr w14:val="tx1"/>
                  </w14:solidFill>
                </w14:textFill>
              </w:rPr>
            </w:pPr>
            <w:r>
              <w:rPr>
                <w:rFonts w:hint="eastAsia" w:ascii="Arial Narrow" w:hAnsi="Arial Narrow" w:eastAsia="仿宋_GB2312"/>
                <w:color w:val="000000" w:themeColor="text1"/>
                <w:sz w:val="21"/>
                <w:szCs w:val="21"/>
                <w14:textFill>
                  <w14:solidFill>
                    <w14:schemeClr w14:val="tx1"/>
                  </w14:solidFill>
                </w14:textFill>
              </w:rPr>
              <w:t>中国国际经济交流中心、中国经济体制改革研究会、中国商品学会、中国软科学研究会</w:t>
            </w:r>
          </w:p>
        </w:tc>
      </w:tr>
      <w:bookmarkEnd w:id="172"/>
      <w:bookmarkEnd w:id="173"/>
      <w:bookmarkEnd w:id="174"/>
      <w:bookmarkEnd w:id="175"/>
      <w:bookmarkEnd w:id="176"/>
      <w:bookmarkEnd w:id="177"/>
      <w:bookmarkEnd w:id="178"/>
      <w:bookmarkEnd w:id="179"/>
      <w:bookmarkEnd w:id="180"/>
      <w:bookmarkEnd w:id="181"/>
    </w:tbl>
    <w:p>
      <w:pPr>
        <w:rPr>
          <w:color w:val="000000" w:themeColor="text1"/>
          <w:sz w:val="21"/>
          <w:szCs w:val="21"/>
          <w14:textFill>
            <w14:solidFill>
              <w14:schemeClr w14:val="tx1"/>
            </w14:solidFill>
          </w14:textFill>
        </w:rPr>
      </w:pPr>
    </w:p>
    <w:p>
      <w:pPr>
        <w:rPr>
          <w:sz w:val="21"/>
          <w:szCs w:val="21"/>
        </w:rPr>
      </w:pPr>
    </w:p>
    <w:p>
      <w:pPr>
        <w:pStyle w:val="11"/>
        <w:rPr>
          <w:rFonts w:hint="eastAsia"/>
          <w:color w:val="000000" w:themeColor="text1"/>
          <w:sz w:val="21"/>
          <w:szCs w:val="21"/>
          <w14:textFill>
            <w14:solidFill>
              <w14:schemeClr w14:val="tx1"/>
            </w14:solidFill>
          </w14:textFill>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ascii="宋体" w:hAnsi="宋体"/>
          <w:b/>
          <w:color w:val="auto"/>
          <w:sz w:val="28"/>
          <w:szCs w:val="28"/>
        </w:rPr>
      </w:pPr>
      <w:r>
        <w:rPr>
          <w:rFonts w:hint="eastAsia" w:ascii="仿宋_GB2312" w:eastAsia="仿宋_GB2312"/>
          <w:b/>
          <w:bCs/>
          <w:color w:val="auto"/>
          <w:sz w:val="28"/>
          <w:szCs w:val="28"/>
        </w:rPr>
        <w:t>第四章  合　同　书</w:t>
      </w:r>
    </w:p>
    <w:p>
      <w:pPr>
        <w:tabs>
          <w:tab w:val="left" w:pos="720"/>
        </w:tabs>
        <w:spacing w:line="360" w:lineRule="auto"/>
        <w:ind w:firstLine="721"/>
        <w:jc w:val="center"/>
        <w:rPr>
          <w:rFonts w:ascii="宋体" w:hAnsi="宋体"/>
          <w:b/>
          <w:color w:val="auto"/>
          <w:sz w:val="36"/>
          <w:szCs w:val="36"/>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仿宋" w:hAnsi="仿宋" w:eastAsia="仿宋" w:cs="仿宋"/>
          <w:b/>
          <w:color w:val="auto"/>
          <w:sz w:val="24"/>
        </w:rPr>
      </w:pPr>
    </w:p>
    <w:tbl>
      <w:tblPr>
        <w:tblStyle w:val="25"/>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采购编号：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r>
              <w:rPr>
                <w:rFonts w:hint="eastAsia" w:ascii="仿宋" w:hAnsi="仿宋" w:eastAsia="仿宋" w:cs="仿宋"/>
                <w:b/>
                <w:color w:val="auto"/>
                <w:sz w:val="24"/>
              </w:rPr>
              <w:t>项目名称：</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p>
        </w:tc>
      </w:tr>
    </w:tbl>
    <w:p>
      <w:pPr>
        <w:spacing w:line="360" w:lineRule="auto"/>
        <w:ind w:firstLine="420"/>
        <w:rPr>
          <w:rFonts w:ascii="仿宋" w:hAnsi="仿宋" w:eastAsia="仿宋" w:cs="仿宋"/>
          <w:color w:val="auto"/>
          <w:sz w:val="24"/>
        </w:rPr>
      </w:pPr>
    </w:p>
    <w:p>
      <w:pPr>
        <w:spacing w:line="460" w:lineRule="exact"/>
        <w:ind w:firstLine="482" w:firstLineChars="200"/>
        <w:rPr>
          <w:rFonts w:ascii="仿宋" w:hAnsi="仿宋" w:eastAsia="仿宋" w:cs="仿宋"/>
          <w:color w:val="auto"/>
          <w:sz w:val="24"/>
        </w:rPr>
      </w:pPr>
      <w:r>
        <w:rPr>
          <w:rFonts w:hint="eastAsia" w:ascii="仿宋" w:hAnsi="仿宋" w:eastAsia="仿宋" w:cs="仿宋"/>
          <w:b/>
          <w:color w:val="auto"/>
          <w:sz w:val="24"/>
        </w:rPr>
        <w:t>注：本合同仅为合同的参考文本，合同签订双方可根据项目的具体要求进行修订。</w:t>
      </w:r>
    </w:p>
    <w:p>
      <w:pPr>
        <w:spacing w:line="360" w:lineRule="auto"/>
        <w:ind w:firstLine="420"/>
        <w:rPr>
          <w:rFonts w:ascii="仿宋" w:hAnsi="仿宋" w:eastAsia="仿宋" w:cs="仿宋"/>
          <w:color w:val="auto"/>
          <w:sz w:val="24"/>
        </w:rPr>
      </w:pPr>
    </w:p>
    <w:p>
      <w:pPr>
        <w:spacing w:line="360" w:lineRule="auto"/>
        <w:ind w:firstLine="420"/>
        <w:rPr>
          <w:rFonts w:ascii="仿宋" w:hAnsi="仿宋" w:eastAsia="仿宋" w:cs="仿宋"/>
          <w:b/>
          <w:color w:val="auto"/>
          <w:sz w:val="24"/>
        </w:rPr>
      </w:pPr>
      <w:r>
        <w:rPr>
          <w:rFonts w:hint="eastAsia" w:ascii="仿宋" w:hAnsi="仿宋" w:eastAsia="仿宋" w:cs="仿宋"/>
          <w:b/>
          <w:color w:val="auto"/>
          <w:sz w:val="24"/>
        </w:rPr>
        <w:t>甲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乙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w:t>
      </w:r>
      <w:r>
        <w:rPr>
          <w:rFonts w:hint="eastAsia" w:ascii="仿宋" w:hAnsi="仿宋" w:eastAsia="仿宋" w:cs="仿宋"/>
          <w:color w:val="auto"/>
          <w:sz w:val="24"/>
        </w:rPr>
        <w:t>　</w:t>
      </w: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一、总则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kern w:val="28"/>
          <w:sz w:val="24"/>
        </w:rPr>
      </w:pPr>
      <w:r>
        <w:rPr>
          <w:rFonts w:hint="eastAsia" w:ascii="仿宋" w:hAnsi="仿宋" w:eastAsia="仿宋" w:cs="仿宋"/>
          <w:color w:val="auto"/>
          <w:sz w:val="24"/>
        </w:rPr>
        <w:t xml:space="preserve">根据 </w:t>
      </w:r>
      <w:r>
        <w:rPr>
          <w:rFonts w:hint="eastAsia" w:ascii="仿宋" w:hAnsi="仿宋" w:eastAsia="仿宋" w:cs="仿宋"/>
          <w:color w:val="auto"/>
          <w:sz w:val="24"/>
          <w:u w:val="single"/>
        </w:rPr>
        <w:t xml:space="preserve">              项目</w:t>
      </w:r>
      <w:r>
        <w:rPr>
          <w:rFonts w:hint="eastAsia" w:ascii="仿宋" w:hAnsi="仿宋" w:eastAsia="仿宋" w:cs="仿宋"/>
          <w:color w:val="auto"/>
          <w:sz w:val="24"/>
        </w:rPr>
        <w:t>的采购结果，按照《中华人民共和国政府采购法》、《合同法》的规定，</w:t>
      </w:r>
      <w:r>
        <w:rPr>
          <w:rFonts w:hint="eastAsia" w:ascii="仿宋" w:hAnsi="仿宋" w:eastAsia="仿宋" w:cs="仿宋"/>
          <w:color w:val="auto"/>
          <w:kern w:val="28"/>
          <w:sz w:val="24"/>
        </w:rPr>
        <w:t>经双方协商，</w:t>
      </w:r>
      <w:r>
        <w:rPr>
          <w:rFonts w:hint="eastAsia" w:ascii="仿宋" w:hAnsi="仿宋" w:eastAsia="仿宋" w:cs="仿宋"/>
          <w:color w:val="auto"/>
          <w:sz w:val="24"/>
        </w:rPr>
        <w:t>本着平等互利和诚实信用的原则，</w:t>
      </w:r>
      <w:r>
        <w:rPr>
          <w:rFonts w:hint="eastAsia" w:ascii="仿宋" w:hAnsi="仿宋" w:eastAsia="仿宋" w:cs="仿宋"/>
          <w:color w:val="auto"/>
          <w:kern w:val="28"/>
          <w:sz w:val="24"/>
        </w:rPr>
        <w:t>一致同意签订本合同如下。</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二、服务内容、服务方式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三、服务期限、服务地点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服务期限：</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服务地点：</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四、提供的资料</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五、服务要求及标准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六、验收时间、地点和方式</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七、费用和支付方式</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合同金额为（大写）：_________________元（￥_______________元）人民币。</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八、违约责任与赔偿损失</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1.XXXXXXXXXXXXXXXXXXXXXXXXXXXXXXXXXXXXXXXXXXXXXXXXXXXX</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color w:val="auto"/>
          <w:sz w:val="24"/>
        </w:rPr>
        <w:t>2.其它违约责任按《中华人民</w:t>
      </w:r>
      <w:r>
        <w:rPr>
          <w:rFonts w:hint="eastAsia" w:ascii="仿宋" w:hAnsi="仿宋" w:eastAsia="仿宋" w:cs="仿宋"/>
          <w:bCs/>
          <w:color w:val="auto"/>
          <w:sz w:val="24"/>
        </w:rPr>
        <w:t>共和国合同法》处理。</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九、争议的解决</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合同执行过程中发生的任何争议，如双方不能通过友好协商解决，按相关法律法规处理(合同双方一致同意提请</w:t>
      </w:r>
      <w:r>
        <w:rPr>
          <w:rFonts w:hint="eastAsia" w:ascii="仿宋" w:hAnsi="仿宋" w:eastAsia="仿宋" w:cs="仿宋"/>
          <w:color w:val="auto"/>
          <w:sz w:val="24"/>
          <w:lang w:eastAsia="zh-CN"/>
        </w:rPr>
        <w:t>当地</w:t>
      </w:r>
      <w:r>
        <w:rPr>
          <w:rFonts w:hint="eastAsia" w:ascii="仿宋" w:hAnsi="仿宋" w:eastAsia="仿宋" w:cs="仿宋"/>
          <w:color w:val="auto"/>
          <w:sz w:val="24"/>
        </w:rPr>
        <w:t>仲裁委员会仲裁或向甲方所在地的人民法院提起诉讼)。</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十、不可抗力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十一、税费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在中国境内、外发生的与本合同执行有关的一切税费均由乙方负担。</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十二、其它</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1.本合同所有附件、</w:t>
      </w:r>
      <w:r>
        <w:rPr>
          <w:rFonts w:hint="eastAsia" w:ascii="仿宋" w:hAnsi="仿宋" w:eastAsia="仿宋" w:cs="仿宋"/>
          <w:color w:val="auto"/>
          <w:sz w:val="24"/>
          <w:lang w:eastAsia="zh-CN"/>
        </w:rPr>
        <w:t>采购文件</w:t>
      </w:r>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、中标通知书均为合同的有效组成部分，与本合同具有同等法律效力。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3.如一方地址、电话、传真号码有变更，应在变更当日内书面通知对方，否则，应承担相应责任。</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846" w:leftChars="-403" w:firstLine="1205" w:firstLineChars="500"/>
        <w:textAlignment w:val="auto"/>
        <w:rPr>
          <w:rFonts w:ascii="仿宋" w:hAnsi="仿宋" w:eastAsia="仿宋" w:cs="仿宋"/>
          <w:b/>
          <w:color w:val="auto"/>
          <w:sz w:val="24"/>
        </w:rPr>
      </w:pPr>
      <w:r>
        <w:rPr>
          <w:rFonts w:hint="eastAsia" w:ascii="仿宋" w:hAnsi="仿宋" w:eastAsia="仿宋" w:cs="仿宋"/>
          <w:b/>
          <w:color w:val="auto"/>
          <w:sz w:val="24"/>
        </w:rPr>
        <w:t>十三、合同生效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1.本合同在甲乙双方法人代表或其授权代表签字盖章后生效。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2.合同一式X份。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甲方（盖章）：</w:t>
      </w:r>
      <w:r>
        <w:rPr>
          <w:rFonts w:hint="eastAsia" w:ascii="仿宋" w:hAnsi="仿宋" w:eastAsia="仿宋" w:cs="仿宋"/>
          <w:color w:val="auto"/>
          <w:sz w:val="24"/>
        </w:rPr>
        <w:tab/>
      </w:r>
      <w:r>
        <w:rPr>
          <w:rFonts w:hint="eastAsia" w:ascii="仿宋" w:hAnsi="仿宋" w:eastAsia="仿宋" w:cs="仿宋"/>
          <w:color w:val="auto"/>
          <w:sz w:val="24"/>
        </w:rPr>
        <w:t>乙方（盖章）：</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法定代表人（负责人）：                 法定代表人（负责人）</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授权代表：</w:t>
      </w:r>
      <w:r>
        <w:rPr>
          <w:rFonts w:hint="eastAsia" w:ascii="仿宋" w:hAnsi="仿宋" w:eastAsia="仿宋" w:cs="仿宋"/>
          <w:color w:val="auto"/>
          <w:sz w:val="24"/>
        </w:rPr>
        <w:tab/>
      </w:r>
      <w:r>
        <w:rPr>
          <w:rFonts w:hint="eastAsia" w:ascii="仿宋" w:hAnsi="仿宋" w:eastAsia="仿宋" w:cs="仿宋"/>
          <w:color w:val="auto"/>
          <w:sz w:val="24"/>
        </w:rPr>
        <w:t xml:space="preserve">授权代表： </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签定日期：　　　年　　月　　日</w:t>
      </w:r>
      <w:r>
        <w:rPr>
          <w:rFonts w:hint="eastAsia" w:ascii="仿宋" w:hAnsi="仿宋" w:eastAsia="仿宋" w:cs="仿宋"/>
          <w:color w:val="auto"/>
          <w:sz w:val="24"/>
        </w:rPr>
        <w:tab/>
      </w:r>
      <w:r>
        <w:rPr>
          <w:rFonts w:hint="eastAsia" w:ascii="仿宋" w:hAnsi="仿宋" w:eastAsia="仿宋" w:cs="仿宋"/>
          <w:color w:val="auto"/>
          <w:sz w:val="24"/>
        </w:rPr>
        <w:t>签定日期：　　　年　　月　　日</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highlight w:val="none"/>
        </w:rPr>
      </w:pPr>
    </w:p>
    <w:p>
      <w:pPr>
        <w:ind w:firstLine="5040" w:firstLineChars="2100"/>
        <w:rPr>
          <w:color w:val="000000" w:themeColor="text1"/>
          <w:sz w:val="24"/>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 xml:space="preserve">第五章 </w:t>
      </w:r>
      <w:r>
        <w:rPr>
          <w:rFonts w:hint="eastAsia" w:ascii="仿宋_GB2312" w:eastAsia="仿宋_GB2312"/>
          <w:b/>
          <w:bCs/>
          <w:color w:val="000000" w:themeColor="text1"/>
          <w:sz w:val="28"/>
          <w:szCs w:val="28"/>
          <w14:textFill>
            <w14:solidFill>
              <w14:schemeClr w14:val="tx1"/>
            </w14:solidFill>
          </w14:textFill>
        </w:rPr>
        <w:t xml:space="preserve"> 响应文件格式</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响应文件封面</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格式1   响应函</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格式2   法定代表人资格证明书</w:t>
      </w:r>
    </w:p>
    <w:p>
      <w:pPr>
        <w:tabs>
          <w:tab w:val="left" w:pos="360"/>
          <w:tab w:val="left" w:pos="1800"/>
        </w:tabs>
        <w:spacing w:line="360" w:lineRule="auto"/>
        <w:ind w:firstLine="600" w:firstLineChars="250"/>
        <w:jc w:val="lef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格式3   供应商法定代表人授权书</w:t>
      </w:r>
    </w:p>
    <w:p>
      <w:pPr>
        <w:tabs>
          <w:tab w:val="left" w:pos="360"/>
          <w:tab w:val="left" w:pos="1800"/>
        </w:tabs>
        <w:spacing w:line="360" w:lineRule="auto"/>
        <w:ind w:firstLine="600" w:firstLineChars="250"/>
        <w:jc w:val="lef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格式4   供应商资格声明</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格式5   商务报价一览表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格式6   供应商近三年（</w:t>
      </w:r>
      <w:r>
        <w:rPr>
          <w:rFonts w:hint="eastAsia" w:ascii="仿宋_GB2312" w:eastAsia="仿宋_GB2312" w:cs="Times New Roman"/>
          <w:bCs/>
          <w:color w:val="000000" w:themeColor="text1"/>
          <w:sz w:val="24"/>
          <w:lang w:eastAsia="zh-CN"/>
          <w14:textFill>
            <w14:solidFill>
              <w14:schemeClr w14:val="tx1"/>
            </w14:solidFill>
          </w14:textFill>
        </w:rPr>
        <w:t>2019</w:t>
      </w:r>
      <w:r>
        <w:rPr>
          <w:rFonts w:hint="eastAsia" w:ascii="仿宋_GB2312" w:hAnsi="Times New Roman" w:eastAsia="仿宋_GB2312" w:cs="Times New Roman"/>
          <w:bCs/>
          <w:color w:val="000000" w:themeColor="text1"/>
          <w:sz w:val="24"/>
          <w14:textFill>
            <w14:solidFill>
              <w14:schemeClr w14:val="tx1"/>
            </w14:solidFill>
          </w14:textFill>
        </w:rPr>
        <w:t>年至今）类似项目业绩表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w:t>
      </w:r>
      <w:r>
        <w:rPr>
          <w:rFonts w:hint="eastAsia" w:ascii="仿宋_GB2312" w:hAnsi="Times New Roman" w:eastAsia="仿宋_GB2312" w:cs="Times New Roman"/>
          <w:bCs/>
          <w:color w:val="000000" w:themeColor="text1"/>
          <w:sz w:val="24"/>
          <w:lang w:val="en-US" w:eastAsia="zh-CN"/>
          <w14:textFill>
            <w14:solidFill>
              <w14:schemeClr w14:val="tx1"/>
            </w14:solidFill>
          </w14:textFill>
        </w:rPr>
        <w:t>7</w:t>
      </w:r>
      <w:r>
        <w:rPr>
          <w:rFonts w:hint="eastAsia" w:ascii="仿宋_GB2312" w:hAnsi="Times New Roman" w:eastAsia="仿宋_GB2312" w:cs="Times New Roman"/>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本项目管理、服务及其它人员情况表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w:t>
      </w:r>
      <w:r>
        <w:rPr>
          <w:rFonts w:hint="eastAsia" w:ascii="仿宋_GB2312" w:eastAsia="仿宋_GB2312" w:cs="Times New Roman"/>
          <w:bCs/>
          <w:color w:val="000000" w:themeColor="text1"/>
          <w:sz w:val="24"/>
          <w:lang w:val="en-US" w:eastAsia="zh-CN"/>
          <w14:textFill>
            <w14:solidFill>
              <w14:schemeClr w14:val="tx1"/>
            </w14:solidFill>
          </w14:textFill>
        </w:rPr>
        <w:t>8</w:t>
      </w:r>
      <w:r>
        <w:rPr>
          <w:rFonts w:hint="eastAsia" w:ascii="仿宋_GB2312" w:hAnsi="Times New Roman" w:eastAsia="仿宋_GB2312" w:cs="Times New Roman"/>
          <w:bCs/>
          <w:color w:val="000000" w:themeColor="text1"/>
          <w:sz w:val="24"/>
          <w14:textFill>
            <w14:solidFill>
              <w14:schemeClr w14:val="tx1"/>
            </w14:solidFill>
          </w14:textFill>
        </w:rPr>
        <w:t xml:space="preserve">   资格性/符合性自查表</w:t>
      </w:r>
    </w:p>
    <w:p>
      <w:pPr>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br w:type="page"/>
      </w:r>
    </w:p>
    <w:p>
      <w:pPr>
        <w:pStyle w:val="2"/>
        <w:rPr>
          <w:rFonts w:hint="eastAsia"/>
        </w:rPr>
      </w:pPr>
    </w:p>
    <w:p>
      <w:pPr>
        <w:spacing w:line="360" w:lineRule="auto"/>
        <w:jc w:val="center"/>
        <w:rPr>
          <w:rFonts w:hint="eastAsia" w:ascii="仿宋_GB2312" w:eastAsia="仿宋_GB2312"/>
          <w:b/>
          <w:color w:val="000000" w:themeColor="text1"/>
          <w:sz w:val="48"/>
          <w:szCs w:val="48"/>
          <w:lang w:eastAsia="zh-CN"/>
          <w14:textFill>
            <w14:solidFill>
              <w14:schemeClr w14:val="tx1"/>
            </w14:solidFill>
          </w14:textFill>
        </w:rPr>
      </w:pPr>
      <w:r>
        <w:rPr>
          <w:rFonts w:hint="eastAsia" w:ascii="仿宋_GB2312" w:eastAsia="仿宋_GB2312"/>
          <w:b/>
          <w:color w:val="000000" w:themeColor="text1"/>
          <w:sz w:val="52"/>
          <w:szCs w:val="52"/>
          <w:lang w:eastAsia="zh-CN"/>
          <w14:textFill>
            <w14:solidFill>
              <w14:schemeClr w14:val="tx1"/>
            </w14:solidFill>
          </w14:textFill>
        </w:rPr>
        <w:t>新疆财经大学2022年图书馆资源数字化建设项目-中国知网系列产品</w:t>
      </w:r>
    </w:p>
    <w:p>
      <w:pPr>
        <w:spacing w:line="360" w:lineRule="auto"/>
        <w:rPr>
          <w:color w:val="000000" w:themeColor="text1"/>
          <w:sz w:val="28"/>
          <w:szCs w:val="28"/>
          <w14:textFill>
            <w14:solidFill>
              <w14:schemeClr w14:val="tx1"/>
            </w14:solidFill>
          </w14:textFill>
        </w:rPr>
      </w:pPr>
    </w:p>
    <w:p>
      <w:pPr>
        <w:spacing w:line="360" w:lineRule="auto"/>
        <w:rPr>
          <w:color w:val="000000" w:themeColor="text1"/>
          <w:sz w:val="28"/>
          <w:szCs w:val="28"/>
          <w14:textFill>
            <w14:solidFill>
              <w14:schemeClr w14:val="tx1"/>
            </w14:solidFill>
          </w14:textFill>
        </w:rPr>
      </w:pPr>
    </w:p>
    <w:p>
      <w:pPr>
        <w:spacing w:line="360" w:lineRule="auto"/>
        <w:rPr>
          <w:color w:val="000000" w:themeColor="text1"/>
          <w:sz w:val="28"/>
          <w:szCs w:val="28"/>
          <w14:textFill>
            <w14:solidFill>
              <w14:schemeClr w14:val="tx1"/>
            </w14:solidFill>
          </w14:textFill>
        </w:rPr>
      </w:pPr>
    </w:p>
    <w:p>
      <w:pPr>
        <w:jc w:val="center"/>
        <w:rPr>
          <w:rFonts w:ascii="仿宋_GB2312" w:eastAsia="仿宋_GB2312"/>
          <w:b/>
          <w:color w:val="000000" w:themeColor="text1"/>
          <w:sz w:val="72"/>
          <w:szCs w:val="72"/>
          <w14:textFill>
            <w14:solidFill>
              <w14:schemeClr w14:val="tx1"/>
            </w14:solidFill>
          </w14:textFill>
        </w:rPr>
      </w:pPr>
      <w:r>
        <w:rPr>
          <w:rFonts w:hint="eastAsia" w:ascii="仿宋_GB2312" w:eastAsia="仿宋_GB2312"/>
          <w:b/>
          <w:color w:val="000000" w:themeColor="text1"/>
          <w:sz w:val="72"/>
          <w:szCs w:val="72"/>
          <w14:textFill>
            <w14:solidFill>
              <w14:schemeClr w14:val="tx1"/>
            </w14:solidFill>
          </w14:textFill>
        </w:rPr>
        <w:t>响  应  文  件</w:t>
      </w:r>
    </w:p>
    <w:p>
      <w:pPr>
        <w:snapToGrid w:val="0"/>
        <w:spacing w:line="374" w:lineRule="atLeast"/>
        <w:jc w:val="center"/>
        <w:rPr>
          <w:rFonts w:hint="eastAsia" w:ascii="仿宋_GB2312" w:eastAsia="仿宋_GB2312"/>
          <w:b/>
          <w:color w:val="000000" w:themeColor="text1"/>
          <w:sz w:val="30"/>
          <w:lang w:eastAsia="zh-CN"/>
          <w14:textFill>
            <w14:solidFill>
              <w14:schemeClr w14:val="tx1"/>
            </w14:solidFill>
          </w14:textFill>
        </w:rPr>
      </w:pPr>
      <w:r>
        <w:rPr>
          <w:rFonts w:hint="eastAsia" w:ascii="仿宋_GB2312" w:eastAsia="仿宋_GB2312"/>
          <w:b/>
          <w:color w:val="000000" w:themeColor="text1"/>
          <w:sz w:val="30"/>
          <w14:textFill>
            <w14:solidFill>
              <w14:schemeClr w14:val="tx1"/>
            </w14:solidFill>
          </w14:textFill>
        </w:rPr>
        <w:t>文件编号：</w:t>
      </w:r>
      <w:r>
        <w:rPr>
          <w:rFonts w:hint="eastAsia" w:ascii="仿宋_GB2312" w:eastAsia="仿宋_GB2312"/>
          <w:b/>
          <w:color w:val="000000" w:themeColor="text1"/>
          <w:sz w:val="30"/>
          <w:lang w:eastAsia="zh-CN"/>
          <w14:textFill>
            <w14:solidFill>
              <w14:schemeClr w14:val="tx1"/>
            </w14:solidFill>
          </w14:textFill>
        </w:rPr>
        <w:t>XJSZG2022-19-04</w:t>
      </w:r>
    </w:p>
    <w:p>
      <w:pPr>
        <w:spacing w:line="360" w:lineRule="auto"/>
        <w:rPr>
          <w:rFonts w:ascii="仿宋_GB2312" w:hAnsi="宋体" w:eastAsia="仿宋_GB2312"/>
          <w:b/>
          <w:color w:val="000000" w:themeColor="text1"/>
          <w:sz w:val="32"/>
          <w:szCs w:val="32"/>
          <w14:textFill>
            <w14:solidFill>
              <w14:schemeClr w14:val="tx1"/>
            </w14:solidFill>
          </w14:textFill>
        </w:rPr>
      </w:pPr>
    </w:p>
    <w:p>
      <w:pPr>
        <w:spacing w:line="360" w:lineRule="auto"/>
        <w:rPr>
          <w:rFonts w:ascii="仿宋_GB2312" w:hAnsi="宋体" w:eastAsia="仿宋_GB2312"/>
          <w:b/>
          <w:color w:val="000000" w:themeColor="text1"/>
          <w:sz w:val="32"/>
          <w:szCs w:val="32"/>
          <w14:textFill>
            <w14:solidFill>
              <w14:schemeClr w14:val="tx1"/>
            </w14:solidFill>
          </w14:textFill>
        </w:rPr>
      </w:pPr>
    </w:p>
    <w:p>
      <w:pPr>
        <w:spacing w:line="360" w:lineRule="auto"/>
        <w:ind w:firstLine="602"/>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供应商： （单位名称）盖章</w:t>
      </w:r>
    </w:p>
    <w:p>
      <w:pPr>
        <w:spacing w:line="360" w:lineRule="auto"/>
        <w:rPr>
          <w:rFonts w:ascii="仿宋_GB2312" w:eastAsia="仿宋_GB2312"/>
          <w:b/>
          <w:color w:val="000000" w:themeColor="text1"/>
          <w:sz w:val="30"/>
          <w:szCs w:val="30"/>
          <w14:textFill>
            <w14:solidFill>
              <w14:schemeClr w14:val="tx1"/>
            </w14:solidFill>
          </w14:textFill>
        </w:rPr>
      </w:pPr>
    </w:p>
    <w:p>
      <w:pPr>
        <w:spacing w:line="360" w:lineRule="auto"/>
        <w:ind w:firstLine="602"/>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单位地址：</w:t>
      </w:r>
    </w:p>
    <w:p>
      <w:pPr>
        <w:spacing w:line="360" w:lineRule="auto"/>
        <w:ind w:firstLine="602"/>
        <w:rPr>
          <w:rFonts w:ascii="仿宋_GB2312" w:eastAsia="仿宋_GB2312"/>
          <w:b/>
          <w:color w:val="000000" w:themeColor="text1"/>
          <w:sz w:val="30"/>
          <w:szCs w:val="30"/>
          <w14:textFill>
            <w14:solidFill>
              <w14:schemeClr w14:val="tx1"/>
            </w14:solidFill>
          </w14:textFill>
        </w:rPr>
      </w:pPr>
    </w:p>
    <w:p>
      <w:pPr>
        <w:pStyle w:val="14"/>
        <w:ind w:firstLine="596" w:firstLineChars="198"/>
        <w:outlineLvl w:val="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联系人：                   联系电话：</w:t>
      </w: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360" w:lineRule="auto"/>
        <w:jc w:val="center"/>
        <w:rPr>
          <w:rFonts w:hint="eastAsia" w:ascii="仿宋_GB2312" w:hAnsi="华文中宋" w:eastAsia="仿宋_GB2312"/>
          <w:b/>
          <w:color w:val="auto"/>
          <w:sz w:val="24"/>
          <w:highlight w:val="none"/>
        </w:rPr>
      </w:pPr>
    </w:p>
    <w:p>
      <w:pPr>
        <w:spacing w:line="360" w:lineRule="auto"/>
        <w:jc w:val="center"/>
        <w:rPr>
          <w:rFonts w:hint="eastAsia" w:ascii="仿宋_GB2312" w:hAnsi="华文中宋" w:eastAsia="仿宋_GB2312"/>
          <w:b/>
          <w:color w:val="auto"/>
          <w:sz w:val="24"/>
          <w:highlight w:val="none"/>
        </w:rPr>
      </w:pPr>
    </w:p>
    <w:p>
      <w:pPr>
        <w:spacing w:line="440" w:lineRule="exact"/>
        <w:jc w:val="center"/>
        <w:rPr>
          <w:rFonts w:ascii="仿宋_GB2312" w:hAnsi="华文中宋" w:eastAsia="仿宋_GB2312"/>
          <w:b/>
          <w:color w:val="000000" w:themeColor="text1"/>
          <w:sz w:val="24"/>
          <w14:textFill>
            <w14:solidFill>
              <w14:schemeClr w14:val="tx1"/>
            </w14:solidFill>
          </w14:textFill>
        </w:rPr>
      </w:pPr>
      <w:bookmarkStart w:id="182" w:name="_Toc243907641"/>
      <w:bookmarkStart w:id="183" w:name="_Toc246216304"/>
      <w:bookmarkStart w:id="184" w:name="_Toc246216281"/>
      <w:bookmarkStart w:id="185" w:name="_Toc243905166"/>
      <w:bookmarkStart w:id="186" w:name="_Toc246216439"/>
      <w:bookmarkStart w:id="187" w:name="_Toc243906411"/>
      <w:bookmarkStart w:id="188" w:name="_Toc245369914"/>
      <w:r>
        <w:rPr>
          <w:rFonts w:hint="eastAsia" w:ascii="仿宋_GB2312" w:hAnsi="华文中宋" w:eastAsia="仿宋_GB2312"/>
          <w:b/>
          <w:color w:val="000000" w:themeColor="text1"/>
          <w:sz w:val="24"/>
          <w14:textFill>
            <w14:solidFill>
              <w14:schemeClr w14:val="tx1"/>
            </w14:solidFill>
          </w14:textFill>
        </w:rPr>
        <w:t>格式1  响  应  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lang w:eastAsia="zh-CN"/>
          <w14:textFill>
            <w14:solidFill>
              <w14:schemeClr w14:val="tx1"/>
            </w14:solidFill>
          </w14:textFill>
        </w:rPr>
        <w:t>新疆财经大学</w:t>
      </w:r>
      <w:r>
        <w:rPr>
          <w:rFonts w:hint="eastAsia" w:ascii="仿宋_GB2312" w:hAnsi="宋体" w:eastAsia="仿宋_GB2312"/>
          <w:color w:val="000000" w:themeColor="text1"/>
          <w:sz w:val="32"/>
          <w:szCs w:val="32"/>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我方全面研究了 “</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”项目单一来源采购文件（文件编号：</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），决定参加本项目采购。我方授权（姓名、职务）</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代表我方（供应商的名称）</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全权处理本项目采购的有关事宜。</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1、我方自愿按照单一来源采购文件规定的各项要求向采购人提供所需服务，商务总报价为</w:t>
      </w:r>
      <w:r>
        <w:rPr>
          <w:rFonts w:hint="default" w:ascii="Arial" w:hAnsi="Arial" w:eastAsia="仿宋_GB2312" w:cs="Arial"/>
          <w:color w:val="000000" w:themeColor="text1"/>
          <w:szCs w:val="21"/>
          <w:u w:val="single"/>
          <w14:textFill>
            <w14:solidFill>
              <w14:schemeClr w14:val="tx1"/>
            </w14:solidFill>
          </w14:textFill>
        </w:rPr>
        <w:t>¥</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万元（大写：人民币</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color w:val="000000" w:themeColor="text1"/>
          <w14:textFill>
            <w14:solidFill>
              <w14:schemeClr w14:val="tx1"/>
            </w14:solidFill>
          </w14:textFill>
        </w:rPr>
      </w:pPr>
      <w:r>
        <w:rPr>
          <w:rFonts w:hint="eastAsia" w:ascii="仿宋_GB2312" w:hAnsi="仿宋_GB2312" w:eastAsia="仿宋_GB2312" w:cs="仿宋_GB2312"/>
          <w:b w:val="0"/>
          <w:bCs/>
          <w:color w:val="000000" w:themeColor="text1"/>
          <w:lang w:val="en-US" w:eastAsia="zh-CN"/>
          <w14:textFill>
            <w14:solidFill>
              <w14:schemeClr w14:val="tx1"/>
            </w14:solidFill>
          </w14:textFill>
        </w:rPr>
        <w:t>2、</w:t>
      </w:r>
      <w:r>
        <w:rPr>
          <w:rFonts w:hint="eastAsia" w:ascii="仿宋_GB2312" w:hAnsi="仿宋_GB2312" w:eastAsia="仿宋_GB2312" w:cs="仿宋_GB2312"/>
          <w:b w:val="0"/>
          <w:bCs/>
          <w:color w:val="000000" w:themeColor="text1"/>
          <w:lang w:eastAsia="zh-CN"/>
          <w14:textFill>
            <w14:solidFill>
              <w14:schemeClr w14:val="tx1"/>
            </w14:solidFill>
          </w14:textFill>
        </w:rPr>
        <w:t>我方承诺本项目</w:t>
      </w:r>
      <w:r>
        <w:rPr>
          <w:rFonts w:hint="eastAsia" w:ascii="仿宋_GB2312" w:hAnsi="仿宋_GB2312" w:eastAsia="仿宋_GB2312" w:cs="仿宋_GB2312"/>
          <w:b w:val="0"/>
          <w:bCs/>
          <w:color w:val="000000" w:themeColor="text1"/>
          <w14:textFill>
            <w14:solidFill>
              <w14:schemeClr w14:val="tx1"/>
            </w14:solidFill>
          </w14:textFill>
        </w:rPr>
        <w:t>投标有效期：递交</w:t>
      </w:r>
      <w:r>
        <w:rPr>
          <w:rFonts w:hint="eastAsia" w:ascii="仿宋_GB2312" w:hAnsi="仿宋_GB2312" w:eastAsia="仿宋_GB2312" w:cs="仿宋_GB2312"/>
          <w:b w:val="0"/>
          <w:bCs/>
          <w:color w:val="000000" w:themeColor="text1"/>
          <w:lang w:eastAsia="zh-CN"/>
          <w14:textFill>
            <w14:solidFill>
              <w14:schemeClr w14:val="tx1"/>
            </w14:solidFill>
          </w14:textFill>
        </w:rPr>
        <w:t>响应文件</w:t>
      </w:r>
      <w:r>
        <w:rPr>
          <w:rFonts w:hint="eastAsia" w:ascii="仿宋_GB2312" w:hAnsi="仿宋_GB2312" w:eastAsia="仿宋_GB2312" w:cs="仿宋_GB2312"/>
          <w:b w:val="0"/>
          <w:bCs/>
          <w:color w:val="000000" w:themeColor="text1"/>
          <w14:textFill>
            <w14:solidFill>
              <w14:schemeClr w14:val="tx1"/>
            </w14:solidFill>
          </w14:textFill>
        </w:rPr>
        <w:t>截止日起</w:t>
      </w:r>
      <w:r>
        <w:rPr>
          <w:rFonts w:hint="eastAsia" w:ascii="仿宋_GB2312" w:hAnsi="仿宋_GB2312" w:eastAsia="仿宋_GB2312" w:cs="仿宋_GB2312"/>
          <w:b w:val="0"/>
          <w:bCs/>
          <w:color w:val="000000" w:themeColor="text1"/>
          <w:u w:val="single"/>
          <w:lang w:val="en-US" w:eastAsia="zh-CN"/>
          <w14:textFill>
            <w14:solidFill>
              <w14:schemeClr w14:val="tx1"/>
            </w14:solidFill>
          </w14:textFill>
        </w:rPr>
        <w:t>60</w:t>
      </w:r>
      <w:r>
        <w:rPr>
          <w:rFonts w:hint="eastAsia" w:ascii="仿宋_GB2312" w:hAnsi="仿宋_GB2312" w:eastAsia="仿宋_GB2312" w:cs="仿宋_GB2312"/>
          <w:b w:val="0"/>
          <w:bCs/>
          <w:color w:val="000000" w:themeColor="text1"/>
          <w14:textFill>
            <w14:solidFill>
              <w14:schemeClr w14:val="tx1"/>
            </w14:solidFill>
          </w14:textFill>
        </w:rPr>
        <w:t>天（日历日）</w:t>
      </w:r>
      <w:r>
        <w:rPr>
          <w:rFonts w:hint="eastAsia" w:ascii="仿宋_GB2312" w:hAnsi="仿宋_GB2312" w:eastAsia="仿宋_GB2312" w:cs="仿宋_GB2312"/>
          <w:b w:val="0"/>
          <w:bCs/>
          <w:color w:val="000000" w:themeColor="text1"/>
          <w:lang w:eastAsia="zh-CN"/>
          <w14:textFill>
            <w14:solidFill>
              <w14:schemeClr w14:val="tx1"/>
            </w14:solidFill>
          </w14:textFill>
        </w:rPr>
        <w:t>。</w:t>
      </w:r>
      <w:r>
        <w:rPr>
          <w:rFonts w:hint="eastAsia" w:ascii="仿宋_GB2312" w:hAnsi="仿宋_GB2312" w:eastAsia="仿宋_GB2312" w:cs="仿宋_GB2312"/>
          <w:b w:val="0"/>
          <w:bCs/>
          <w:color w:val="000000" w:themeColor="text1"/>
          <w14:textFill>
            <w14:solidFill>
              <w14:schemeClr w14:val="tx1"/>
            </w14:solidFill>
          </w14:textFill>
        </w:rPr>
        <w:t>一旦我方</w:t>
      </w:r>
      <w:r>
        <w:rPr>
          <w:rFonts w:hint="eastAsia" w:ascii="仿宋_GB2312" w:hAnsi="仿宋_GB2312" w:eastAsia="仿宋_GB2312" w:cs="仿宋_GB2312"/>
          <w:b w:val="0"/>
          <w:bCs/>
          <w:color w:val="000000" w:themeColor="text1"/>
          <w:lang w:eastAsia="zh-CN"/>
          <w14:textFill>
            <w14:solidFill>
              <w14:schemeClr w14:val="tx1"/>
            </w14:solidFill>
          </w14:textFill>
        </w:rPr>
        <w:t>成交</w:t>
      </w:r>
      <w:r>
        <w:rPr>
          <w:rFonts w:hint="eastAsia" w:ascii="仿宋_GB2312" w:hAnsi="仿宋_GB2312" w:eastAsia="仿宋_GB2312" w:cs="仿宋_GB2312"/>
          <w:b w:val="0"/>
          <w:bCs/>
          <w:color w:val="000000" w:themeColor="text1"/>
          <w14:textFill>
            <w14:solidFill>
              <w14:schemeClr w14:val="tx1"/>
            </w14:solidFill>
          </w14:textFill>
        </w:rPr>
        <w:t>，我方将严格履行合同规定的责任和义务，保证按采购人要求及我方承诺完成所需</w:t>
      </w:r>
      <w:r>
        <w:rPr>
          <w:rFonts w:hint="eastAsia" w:ascii="仿宋_GB2312" w:hAnsi="仿宋_GB2312" w:eastAsia="仿宋_GB2312" w:cs="仿宋_GB2312"/>
          <w:b w:val="0"/>
          <w:bCs/>
          <w:color w:val="000000" w:themeColor="text1"/>
          <w:lang w:eastAsia="zh-CN"/>
          <w14:textFill>
            <w14:solidFill>
              <w14:schemeClr w14:val="tx1"/>
            </w14:solidFill>
          </w14:textFill>
        </w:rPr>
        <w:t>服务</w:t>
      </w:r>
      <w:r>
        <w:rPr>
          <w:rFonts w:hint="eastAsia" w:ascii="仿宋_GB2312" w:hAnsi="仿宋_GB2312" w:eastAsia="仿宋_GB2312" w:cs="仿宋_GB2312"/>
          <w:b w:val="0"/>
          <w:bCs/>
          <w:color w:val="000000" w:themeColor="text1"/>
          <w14:textFill>
            <w14:solidFill>
              <w14:schemeClr w14:val="tx1"/>
            </w14:solidFill>
          </w14:textFill>
        </w:rPr>
        <w:t>及应尽义务。</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3</w:t>
      </w:r>
      <w:r>
        <w:rPr>
          <w:rFonts w:hint="eastAsia" w:ascii="仿宋_GB2312" w:eastAsia="仿宋_GB2312"/>
          <w:b w:val="0"/>
          <w:bCs/>
          <w:color w:val="000000" w:themeColor="text1"/>
          <w14:textFill>
            <w14:solidFill>
              <w14:schemeClr w14:val="tx1"/>
            </w14:solidFill>
          </w14:textFill>
        </w:rPr>
        <w:t>、若我方成交，我方将严格履行合同规定的责任和义务，保证按采购人要求及我方承诺完成应尽义务，并交付采购人验收、使用。</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4</w:t>
      </w:r>
      <w:r>
        <w:rPr>
          <w:rFonts w:hint="eastAsia" w:ascii="仿宋_GB2312" w:eastAsia="仿宋_GB2312"/>
          <w:b w:val="0"/>
          <w:bCs/>
          <w:color w:val="000000" w:themeColor="text1"/>
          <w14:textFill>
            <w14:solidFill>
              <w14:schemeClr w14:val="tx1"/>
            </w14:solidFill>
          </w14:textFill>
        </w:rPr>
        <w:t>、我方为本项目提交的响应文件一式</w:t>
      </w:r>
      <w:r>
        <w:rPr>
          <w:rFonts w:hint="eastAsia" w:ascii="仿宋_GB2312" w:eastAsia="仿宋_GB2312"/>
          <w:b w:val="0"/>
          <w:bCs/>
          <w:color w:val="000000" w:themeColor="text1"/>
          <w:lang w:eastAsia="zh-CN"/>
          <w14:textFill>
            <w14:solidFill>
              <w14:schemeClr w14:val="tx1"/>
            </w14:solidFill>
          </w14:textFill>
        </w:rPr>
        <w:t>肆</w:t>
      </w:r>
      <w:r>
        <w:rPr>
          <w:rFonts w:hint="eastAsia" w:ascii="仿宋_GB2312" w:eastAsia="仿宋_GB2312"/>
          <w:b w:val="0"/>
          <w:bCs/>
          <w:color w:val="000000" w:themeColor="text1"/>
          <w14:textFill>
            <w14:solidFill>
              <w14:schemeClr w14:val="tx1"/>
            </w14:solidFill>
          </w14:textFill>
        </w:rPr>
        <w:t>份，其中正本壹份，副本</w:t>
      </w:r>
      <w:r>
        <w:rPr>
          <w:rFonts w:hint="eastAsia" w:ascii="仿宋_GB2312" w:hAnsi="宋体" w:eastAsia="仿宋_GB2312"/>
          <w:b w:val="0"/>
          <w:color w:val="000000" w:themeColor="text1"/>
          <w:lang w:eastAsia="zh-CN"/>
          <w14:textFill>
            <w14:solidFill>
              <w14:schemeClr w14:val="tx1"/>
            </w14:solidFill>
          </w14:textFill>
        </w:rPr>
        <w:t>叁</w:t>
      </w:r>
      <w:r>
        <w:rPr>
          <w:rFonts w:hint="eastAsia" w:ascii="仿宋_GB2312" w:eastAsia="仿宋_GB2312"/>
          <w:b w:val="0"/>
          <w:bCs/>
          <w:color w:val="000000" w:themeColor="text1"/>
          <w14:textFill>
            <w14:solidFill>
              <w14:schemeClr w14:val="tx1"/>
            </w14:solidFill>
          </w14:textFill>
        </w:rPr>
        <w:t>份。</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5</w:t>
      </w:r>
      <w:r>
        <w:rPr>
          <w:rFonts w:hint="eastAsia" w:ascii="仿宋_GB2312" w:eastAsia="仿宋_GB2312"/>
          <w:b w:val="0"/>
          <w:bCs/>
          <w:color w:val="000000" w:themeColor="text1"/>
          <w14:textFill>
            <w14:solidFill>
              <w14:schemeClr w14:val="tx1"/>
            </w14:solidFill>
          </w14:textFill>
        </w:rPr>
        <w:t>、我方愿意提供采购人可能另外要求的，与采购有关的文件资料，并保证我方已提供和将要提供的文件资料是真实、准确的。</w:t>
      </w:r>
    </w:p>
    <w:p>
      <w:pPr>
        <w:pStyle w:val="16"/>
        <w:ind w:left="838" w:hanging="837" w:hangingChars="349"/>
        <w:rPr>
          <w:rFonts w:ascii="仿宋_GB2312" w:eastAsia="仿宋_GB2312"/>
          <w:b w:val="0"/>
          <w:bCs/>
          <w:color w:val="000000" w:themeColor="text1"/>
          <w14:textFill>
            <w14:solidFill>
              <w14:schemeClr w14:val="tx1"/>
            </w14:solidFill>
          </w14:textFill>
        </w:rPr>
      </w:pPr>
    </w:p>
    <w:p>
      <w:pPr>
        <w:pStyle w:val="16"/>
        <w:ind w:left="838" w:hanging="837" w:hangingChars="349"/>
        <w:rPr>
          <w:rFonts w:ascii="仿宋_GB2312" w:eastAsia="仿宋_GB2312"/>
          <w:b w:val="0"/>
          <w:bCs/>
          <w:color w:val="000000" w:themeColor="text1"/>
          <w14:textFill>
            <w14:solidFill>
              <w14:schemeClr w14:val="tx1"/>
            </w14:solidFill>
          </w14:textFill>
        </w:rPr>
      </w:pP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供应商名称：        （盖章）</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供应商法定代表人或委托代理人（签字或盖章）：</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通讯地址：</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邮政编码：</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联系电话：</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传    真：</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日    期： 年  月  日</w:t>
      </w: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hint="eastAsia"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格式2  法定代表人资格证明书</w:t>
      </w:r>
    </w:p>
    <w:p>
      <w:pPr>
        <w:widowControl/>
        <w:spacing w:line="480" w:lineRule="atLeast"/>
        <w:ind w:left="540"/>
        <w:rPr>
          <w:rFonts w:ascii="仿宋_GB2312" w:hAnsi="宋体" w:eastAsia="仿宋_GB2312" w:cs="宋体"/>
          <w:color w:val="000000" w:themeColor="text1"/>
          <w:kern w:val="0"/>
          <w:sz w:val="24"/>
          <w14:textFill>
            <w14:solidFill>
              <w14:schemeClr w14:val="tx1"/>
            </w14:solidFill>
          </w14:textFill>
        </w:rPr>
      </w:pP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供应商名称：</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地址：</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 xml:space="preserve">姓名：        性别：       年龄：         职务： </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系</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单位）的法定代表人。为单一来源项目，签署上述项目的响应文件、进行合同</w:t>
      </w:r>
      <w:r>
        <w:rPr>
          <w:rFonts w:hint="eastAsia" w:ascii="仿宋_GB2312" w:hAnsi="宋体" w:eastAsia="仿宋_GB2312" w:cs="宋体"/>
          <w:color w:val="000000" w:themeColor="text1"/>
          <w:kern w:val="0"/>
          <w:sz w:val="24"/>
          <w:lang w:eastAsia="zh-CN"/>
          <w14:textFill>
            <w14:solidFill>
              <w14:schemeClr w14:val="tx1"/>
            </w14:solidFill>
          </w14:textFill>
        </w:rPr>
        <w:t>协商</w:t>
      </w:r>
      <w:r>
        <w:rPr>
          <w:rFonts w:hint="eastAsia" w:ascii="仿宋_GB2312" w:hAnsi="宋体" w:eastAsia="仿宋_GB2312" w:cs="宋体"/>
          <w:color w:val="000000" w:themeColor="text1"/>
          <w:kern w:val="0"/>
          <w:sz w:val="24"/>
          <w14:textFill>
            <w14:solidFill>
              <w14:schemeClr w14:val="tx1"/>
            </w14:solidFill>
          </w14:textFill>
        </w:rPr>
        <w:t>、签署合同和处理与之有关的一切事务。</w:t>
      </w:r>
    </w:p>
    <w:p>
      <w:pPr>
        <w:widowControl/>
        <w:spacing w:line="360" w:lineRule="auto"/>
        <w:rPr>
          <w:rFonts w:ascii="仿宋_GB2312" w:hAnsi="宋体" w:eastAsia="仿宋_GB2312" w:cs="宋体"/>
          <w:color w:val="000000" w:themeColor="text1"/>
          <w:kern w:val="0"/>
          <w:sz w:val="24"/>
          <w14:textFill>
            <w14:solidFill>
              <w14:schemeClr w14:val="tx1"/>
            </w14:solidFill>
          </w14:textFill>
        </w:rPr>
      </w:pP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特此证明。</w:t>
      </w:r>
    </w:p>
    <w:p>
      <w:pPr>
        <w:widowControl/>
        <w:spacing w:line="360" w:lineRule="auto"/>
        <w:ind w:left="45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供应商：（盖章）</w:t>
      </w:r>
    </w:p>
    <w:p>
      <w:pPr>
        <w:widowControl/>
        <w:spacing w:line="360" w:lineRule="auto"/>
        <w:ind w:left="45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日期：    年   月   日</w:t>
      </w:r>
    </w:p>
    <w:p>
      <w:pPr>
        <w:widowControl/>
        <w:spacing w:line="360" w:lineRule="auto"/>
        <w:ind w:firstLine="6000"/>
        <w:rPr>
          <w:rFonts w:ascii="仿宋_GB2312" w:hAnsi="宋体" w:eastAsia="仿宋_GB2312" w:cs="宋体"/>
          <w:color w:val="000000" w:themeColor="text1"/>
          <w:kern w:val="0"/>
          <w:sz w:val="24"/>
          <w14:textFill>
            <w14:solidFill>
              <w14:schemeClr w14:val="tx1"/>
            </w14:solidFill>
          </w14:textFill>
        </w:rPr>
      </w:pPr>
    </w:p>
    <w:tbl>
      <w:tblPr>
        <w:tblStyle w:val="25"/>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4496"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法定代表人身份证复印件或扫描件（正、反两面）</w:t>
            </w:r>
          </w:p>
        </w:tc>
      </w:tr>
    </w:tbl>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注：法定代表人身份证复印件或扫描件应反映出证件有效期等所载内容。</w:t>
      </w: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格式3  供应商法定代表人授权书</w:t>
      </w:r>
    </w:p>
    <w:p>
      <w:pPr>
        <w:widowControl/>
        <w:spacing w:line="480" w:lineRule="atLeast"/>
        <w:ind w:left="220" w:firstLine="513" w:firstLineChars="214"/>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本授权委托书声明：我</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姓名）系</w:t>
      </w:r>
      <w:r>
        <w:rPr>
          <w:rFonts w:hint="eastAsia" w:ascii="仿宋_GB2312" w:hAnsi="宋体" w:eastAsia="仿宋_GB2312" w:cs="宋体"/>
          <w:color w:val="000000" w:themeColor="text1"/>
          <w:kern w:val="0"/>
          <w:sz w:val="24"/>
          <w:u w:val="single"/>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供应商名称）的法定代表人，现授权委托</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供应商名称）的（姓名）</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，其身份证号为</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，为我供应商代理人，以本供应商的名义参加 </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采购人</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 单一来源项目名称）的单一来源活动。</w:t>
      </w:r>
    </w:p>
    <w:p>
      <w:pPr>
        <w:widowControl/>
        <w:spacing w:line="480" w:lineRule="atLeast"/>
        <w:ind w:left="239" w:leftChars="114" w:firstLine="544" w:firstLineChars="227"/>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代理人在递交响应文件、单一来源、合同单一来源过程中所签署的一切文件和处理与之有关的一切事务，我均予以承认。</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本授权委托书期限自</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年</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月</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日起至</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年</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月</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日止。</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委托代理人无转委权。特此委托。</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            性别：           年龄：</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单位：              部门：           职务：</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法定代表人：（签字或盖章）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委托代理人：（签字或盖章）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日期：      年     月     日</w:t>
      </w:r>
    </w:p>
    <w:p>
      <w:pPr>
        <w:widowControl/>
        <w:spacing w:line="480" w:lineRule="atLeast"/>
        <w:ind w:firstLine="3600"/>
        <w:rPr>
          <w:rFonts w:ascii="仿宋_GB2312" w:hAnsi="宋体" w:eastAsia="仿宋_GB2312" w:cs="宋体"/>
          <w:color w:val="000000" w:themeColor="text1"/>
          <w:kern w:val="0"/>
          <w:sz w:val="24"/>
          <w14:textFill>
            <w14:solidFill>
              <w14:schemeClr w14:val="tx1"/>
            </w14:solidFill>
          </w14:textFill>
        </w:rPr>
      </w:pPr>
    </w:p>
    <w:tbl>
      <w:tblPr>
        <w:tblStyle w:val="25"/>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3189"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委托代理人身份证复印件或扫描件（正、反两面）</w:t>
            </w:r>
          </w:p>
        </w:tc>
      </w:tr>
    </w:tbl>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注：法定代表人身份证复印件或扫描件应反映出证件有效期等所载内容。</w:t>
      </w: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宋体"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格式4  供应商资格声明</w:t>
      </w:r>
    </w:p>
    <w:tbl>
      <w:tblPr>
        <w:tblStyle w:val="25"/>
        <w:tblW w:w="9941" w:type="dxa"/>
        <w:jc w:val="center"/>
        <w:tblLayout w:type="fixed"/>
        <w:tblCellMar>
          <w:top w:w="120" w:type="dxa"/>
          <w:left w:w="120" w:type="dxa"/>
          <w:bottom w:w="120" w:type="dxa"/>
          <w:right w:w="120" w:type="dxa"/>
        </w:tblCellMar>
      </w:tblPr>
      <w:tblGrid>
        <w:gridCol w:w="2083"/>
        <w:gridCol w:w="1276"/>
        <w:gridCol w:w="2170"/>
        <w:gridCol w:w="1515"/>
        <w:gridCol w:w="1291"/>
        <w:gridCol w:w="1606"/>
      </w:tblGrid>
      <w:tr>
        <w:tblPrEx>
          <w:tblCellMar>
            <w:top w:w="120" w:type="dxa"/>
            <w:left w:w="120" w:type="dxa"/>
            <w:bottom w:w="120" w:type="dxa"/>
            <w:right w:w="120" w:type="dxa"/>
          </w:tblCellMar>
        </w:tblPrEx>
        <w:trPr>
          <w:trHeight w:val="31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供应商名称</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34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 址</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2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主管部门</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法定代表人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职 务</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08"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注册时间</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经济类型</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46"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营业执照号</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595"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近三年内（</w:t>
            </w:r>
            <w:r>
              <w:rPr>
                <w:rFonts w:hint="eastAsia" w:ascii="仿宋_GB2312" w:hAnsi="宋体" w:eastAsia="仿宋_GB2312" w:cs="宋体"/>
                <w:color w:val="000000" w:themeColor="text1"/>
                <w:kern w:val="0"/>
                <w:szCs w:val="21"/>
                <w:lang w:eastAsia="zh-CN"/>
                <w14:textFill>
                  <w14:solidFill>
                    <w14:schemeClr w14:val="tx1"/>
                  </w14:solidFill>
                </w14:textFill>
              </w:rPr>
              <w:t>2019</w:t>
            </w:r>
            <w:r>
              <w:rPr>
                <w:rFonts w:hint="eastAsia" w:ascii="仿宋_GB2312" w:hAnsi="宋体" w:eastAsia="仿宋_GB2312" w:cs="宋体"/>
                <w:color w:val="000000" w:themeColor="text1"/>
                <w:kern w:val="0"/>
                <w:szCs w:val="21"/>
                <w14:textFill>
                  <w14:solidFill>
                    <w14:schemeClr w14:val="tx1"/>
                  </w14:solidFill>
                </w14:textFill>
              </w:rPr>
              <w:t>年至</w:t>
            </w:r>
            <w:r>
              <w:rPr>
                <w:rFonts w:hint="eastAsia" w:ascii="仿宋_GB2312" w:hAnsi="宋体" w:eastAsia="仿宋_GB2312" w:cs="宋体"/>
                <w:color w:val="000000" w:themeColor="text1"/>
                <w:kern w:val="0"/>
                <w:szCs w:val="21"/>
                <w:lang w:eastAsia="zh-CN"/>
                <w14:textFill>
                  <w14:solidFill>
                    <w14:schemeClr w14:val="tx1"/>
                  </w14:solidFill>
                </w14:textFill>
              </w:rPr>
              <w:t>2021</w:t>
            </w:r>
            <w:r>
              <w:rPr>
                <w:rFonts w:hint="eastAsia" w:ascii="仿宋_GB2312" w:hAnsi="宋体" w:eastAsia="仿宋_GB2312" w:cs="宋体"/>
                <w:color w:val="000000" w:themeColor="text1"/>
                <w:kern w:val="0"/>
                <w:szCs w:val="21"/>
                <w14:textFill>
                  <w14:solidFill>
                    <w14:schemeClr w14:val="tx1"/>
                  </w14:solidFill>
                </w14:textFill>
              </w:rPr>
              <w:t>年）有经营活动中有无重大违法纪录</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是否依法缴纳税收</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是否依法缴纳社会保障资金</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位</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概</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况</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注册资本</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占地面积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平方米</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职工总数</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ind w:firstLine="156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平方米</w:t>
            </w:r>
          </w:p>
        </w:tc>
      </w:tr>
      <w:tr>
        <w:tblPrEx>
          <w:tblCellMar>
            <w:top w:w="120" w:type="dxa"/>
            <w:left w:w="120" w:type="dxa"/>
            <w:bottom w:w="120" w:type="dxa"/>
            <w:right w:w="120" w:type="dxa"/>
          </w:tblCellMar>
        </w:tblPrEx>
        <w:trPr>
          <w:trHeight w:val="316"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资产</w:t>
            </w:r>
          </w:p>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情况</w:t>
            </w: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净资产：        万元</w:t>
            </w:r>
          </w:p>
        </w:tc>
        <w:tc>
          <w:tcPr>
            <w:tcW w:w="2897" w:type="dxa"/>
            <w:gridSpan w:val="2"/>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固定资产原值 ：      万元</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固定资产净值：       万元</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负 债：         万元</w:t>
            </w:r>
          </w:p>
        </w:tc>
        <w:tc>
          <w:tcPr>
            <w:tcW w:w="28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r>
      <w:tr>
        <w:tblPrEx>
          <w:tblCellMar>
            <w:top w:w="120" w:type="dxa"/>
            <w:left w:w="120" w:type="dxa"/>
            <w:bottom w:w="120" w:type="dxa"/>
            <w:right w:w="120" w:type="dxa"/>
          </w:tblCellMar>
        </w:tblPrEx>
        <w:trPr>
          <w:trHeight w:val="167"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1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财务状况</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（最近三年</w:t>
            </w:r>
            <w:r>
              <w:rPr>
                <w:rFonts w:hint="eastAsia" w:ascii="仿宋_GB2312" w:hAnsi="宋体" w:eastAsia="仿宋_GB2312" w:cs="宋体"/>
                <w:color w:val="000000" w:themeColor="text1"/>
                <w:kern w:val="0"/>
                <w:szCs w:val="21"/>
                <w:lang w:eastAsia="zh-CN"/>
                <w14:textFill>
                  <w14:solidFill>
                    <w14:schemeClr w14:val="tx1"/>
                  </w14:solidFill>
                </w14:textFill>
              </w:rPr>
              <w:t>2019</w:t>
            </w:r>
            <w:r>
              <w:rPr>
                <w:rFonts w:hint="eastAsia" w:ascii="仿宋_GB2312" w:hAnsi="宋体" w:eastAsia="仿宋_GB2312" w:cs="宋体"/>
                <w:color w:val="000000" w:themeColor="text1"/>
                <w:kern w:val="0"/>
                <w:szCs w:val="21"/>
                <w14:textFill>
                  <w14:solidFill>
                    <w14:schemeClr w14:val="tx1"/>
                  </w14:solidFill>
                </w14:textFill>
              </w:rPr>
              <w:t>年至</w:t>
            </w:r>
            <w:r>
              <w:rPr>
                <w:rFonts w:hint="eastAsia" w:ascii="仿宋_GB2312" w:hAnsi="宋体" w:eastAsia="仿宋_GB2312" w:cs="宋体"/>
                <w:color w:val="000000" w:themeColor="text1"/>
                <w:kern w:val="0"/>
                <w:szCs w:val="21"/>
                <w:lang w:eastAsia="zh-CN"/>
                <w14:textFill>
                  <w14:solidFill>
                    <w14:schemeClr w14:val="tx1"/>
                  </w14:solidFill>
                </w14:textFill>
              </w:rPr>
              <w:t>2021</w:t>
            </w:r>
            <w:r>
              <w:rPr>
                <w:rFonts w:hint="eastAsia" w:ascii="仿宋_GB2312" w:hAnsi="宋体" w:eastAsia="仿宋_GB2312" w:cs="宋体"/>
                <w:color w:val="000000" w:themeColor="text1"/>
                <w:kern w:val="0"/>
                <w:szCs w:val="21"/>
                <w14:textFill>
                  <w14:solidFill>
                    <w14:schemeClr w14:val="tx1"/>
                  </w14:solidFill>
                </w14:textFill>
              </w:rPr>
              <w:t>年）</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年份</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主营收入</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收入总额</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利润总额</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净利润</w:t>
            </w:r>
          </w:p>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r>
      <w:tr>
        <w:tblPrEx>
          <w:tblCellMar>
            <w:top w:w="120" w:type="dxa"/>
            <w:left w:w="120" w:type="dxa"/>
            <w:bottom w:w="120" w:type="dxa"/>
            <w:right w:w="120" w:type="dxa"/>
          </w:tblCellMar>
        </w:tblPrEx>
        <w:trPr>
          <w:trHeight w:val="107"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191"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129"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经营范围</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备注 </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bl>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我们保证上述声明中的资料和数据是真实的、正确的，我们同意如贵方要求，可以出示相关证明文件。</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供应商（盖章）：</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法定代表人或委托代理人（签字或盖章）：</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电话号和传真号：</w:t>
      </w:r>
      <w:r>
        <w:rPr>
          <w:rFonts w:hint="eastAsia" w:ascii="宋体" w:hAnsi="宋体" w:cs="宋体"/>
          <w:color w:val="000000" w:themeColor="text1"/>
          <w:kern w:val="0"/>
          <w:sz w:val="24"/>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 日期：  年  月  日</w:t>
      </w:r>
    </w:p>
    <w:p>
      <w:pPr>
        <w:spacing w:line="440" w:lineRule="exact"/>
        <w:jc w:val="center"/>
        <w:rPr>
          <w:rFonts w:hint="eastAsia" w:ascii="仿宋_GB2312" w:hAnsi="宋体" w:eastAsia="仿宋_GB2312" w:cs="宋体"/>
          <w:b/>
          <w:bCs/>
          <w:color w:val="000000" w:themeColor="text1"/>
          <w:kern w:val="0"/>
          <w:sz w:val="24"/>
          <w14:textFill>
            <w14:solidFill>
              <w14:schemeClr w14:val="tx1"/>
            </w14:solidFill>
          </w14:textFill>
        </w:rPr>
      </w:pPr>
    </w:p>
    <w:p>
      <w:pPr>
        <w:spacing w:line="440" w:lineRule="exact"/>
        <w:jc w:val="center"/>
        <w:rPr>
          <w:rFonts w:hint="eastAsia" w:ascii="仿宋_GB2312" w:hAnsi="宋体" w:eastAsia="仿宋_GB2312" w:cs="宋体"/>
          <w:b/>
          <w:bCs/>
          <w:color w:val="000000" w:themeColor="text1"/>
          <w:kern w:val="0"/>
          <w:sz w:val="24"/>
          <w14:textFill>
            <w14:solidFill>
              <w14:schemeClr w14:val="tx1"/>
            </w14:solidFill>
          </w14:textFill>
        </w:rPr>
      </w:pPr>
    </w:p>
    <w:p>
      <w:pPr>
        <w:spacing w:line="440" w:lineRule="exact"/>
        <w:jc w:val="center"/>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格式5  </w:t>
      </w:r>
      <w:r>
        <w:rPr>
          <w:rFonts w:hint="eastAsia" w:ascii="仿宋_GB2312" w:hAnsi="仿宋_GB2312" w:eastAsia="仿宋_GB2312" w:cs="仿宋_GB2312"/>
          <w:b/>
          <w:bCs/>
          <w:color w:val="000000" w:themeColor="text1"/>
          <w:sz w:val="24"/>
          <w14:textFill>
            <w14:solidFill>
              <w14:schemeClr w14:val="tx1"/>
            </w14:solidFill>
          </w14:textFill>
        </w:rPr>
        <w:t>商务报价一览表</w:t>
      </w:r>
      <w:r>
        <w:rPr>
          <w:rFonts w:hint="eastAsia" w:ascii="仿宋_GB2312" w:hAnsi="仿宋_GB2312" w:eastAsia="仿宋_GB2312" w:cs="仿宋_GB2312"/>
          <w:b/>
          <w:bCs/>
          <w:color w:val="000000" w:themeColor="text1"/>
          <w:sz w:val="24"/>
          <w:lang w:eastAsia="zh-CN"/>
          <w14:textFill>
            <w14:solidFill>
              <w14:schemeClr w14:val="tx1"/>
            </w14:solidFill>
          </w14:textFill>
        </w:rPr>
        <w:t>（首次）</w:t>
      </w:r>
    </w:p>
    <w:tbl>
      <w:tblPr>
        <w:tblStyle w:val="25"/>
        <w:tblW w:w="1020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6"/>
        <w:gridCol w:w="1812"/>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trPr>
        <w:tc>
          <w:tcPr>
            <w:tcW w:w="826"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9380" w:type="dxa"/>
            <w:gridSpan w:val="2"/>
            <w:tcBorders>
              <w:top w:val="single" w:color="000000" w:sz="2"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atLeast"/>
        </w:trPr>
        <w:tc>
          <w:tcPr>
            <w:tcW w:w="826" w:type="dxa"/>
            <w:vMerge w:val="restart"/>
            <w:tcBorders>
              <w:top w:val="single" w:color="auto" w:sz="4"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181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Albertus (W1)" w:eastAsia="仿宋_GB2312"/>
                <w:b/>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报价（万元）</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小写：</w:t>
            </w:r>
            <w:r>
              <w:rPr>
                <w:rFonts w:hint="default" w:ascii="Arial" w:hAnsi="Arial" w:eastAsia="仿宋_GB2312" w:cs="Arial"/>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trPr>
        <w:tc>
          <w:tcPr>
            <w:tcW w:w="826" w:type="dxa"/>
            <w:vMerge w:val="continue"/>
            <w:tcBorders>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p>
        </w:tc>
        <w:tc>
          <w:tcPr>
            <w:tcW w:w="181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trPr>
        <w:tc>
          <w:tcPr>
            <w:tcW w:w="826" w:type="dxa"/>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1812" w:type="dxa"/>
            <w:tcBorders>
              <w:top w:val="single" w:color="auto" w:sz="4"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s="宋体"/>
                <w:color w:val="000000" w:themeColor="text1"/>
                <w:sz w:val="24"/>
                <w:lang w:eastAsia="zh-CN"/>
                <w14:textFill>
                  <w14:solidFill>
                    <w14:schemeClr w14:val="tx1"/>
                  </w14:solidFill>
                </w14:textFill>
              </w:rPr>
              <w:t>服务期限</w:t>
            </w:r>
          </w:p>
        </w:tc>
        <w:tc>
          <w:tcPr>
            <w:tcW w:w="7568"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Arial" w:eastAsia="仿宋_GB2312" w:cs="仿宋_GB2312"/>
                <w:color w:val="000000" w:themeColor="text1"/>
                <w:sz w:val="24"/>
                <w14:textFill>
                  <w14:solidFill>
                    <w14:schemeClr w14:val="tx1"/>
                  </w14:solidFill>
                </w14:textFill>
              </w:rPr>
            </w:pPr>
            <w:r>
              <w:rPr>
                <w:rFonts w:hint="eastAsia" w:ascii="仿宋_GB2312" w:hAnsi="宋体" w:eastAsia="仿宋_GB2312" w:cs="宋体"/>
                <w:b/>
                <w:color w:val="000000" w:themeColor="text1"/>
                <w:sz w:val="24"/>
                <w:lang w:eastAsia="zh-CN"/>
                <w14:textFill>
                  <w14:solidFill>
                    <w14:schemeClr w14:val="tx1"/>
                  </w14:solidFill>
                </w14:textFill>
              </w:rPr>
              <w:t>自签订合同之日起一年</w:t>
            </w:r>
            <w:r>
              <w:rPr>
                <w:rFonts w:hint="eastAsia" w:ascii="仿宋_GB2312" w:hAnsi="宋体" w:eastAsia="仿宋_GB2312" w:cs="宋体"/>
                <w:b/>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826" w:type="dxa"/>
            <w:tcBorders>
              <w:top w:val="single" w:color="auto" w:sz="4" w:space="0"/>
              <w:left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1812"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90"/>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供应商其它说明（由各供应商根据本采购项目要求自行列出需说明及承诺内容）</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10206" w:type="dxa"/>
            <w:gridSpan w:val="3"/>
            <w:tcBorders>
              <w:top w:val="single" w:color="auto"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 w:hAnsi="仿宋" w:eastAsia="仿宋" w:cs="仿宋"/>
                <w:b/>
                <w:color w:val="auto"/>
                <w:sz w:val="24"/>
                <w:szCs w:val="24"/>
                <w:highlight w:val="none"/>
              </w:rPr>
              <w:t>报价包含的内容：</w:t>
            </w:r>
            <w:r>
              <w:rPr>
                <w:rFonts w:hint="eastAsia" w:ascii="仿宋_GB2312" w:hAnsi="新宋体" w:eastAsia="仿宋_GB2312" w:cs="Times New Roman"/>
                <w:b/>
                <w:color w:val="auto"/>
                <w:kern w:val="2"/>
                <w:sz w:val="24"/>
                <w:szCs w:val="24"/>
                <w:highlight w:val="none"/>
                <w:lang w:val="en-US" w:eastAsia="zh-CN" w:bidi="ar-SA"/>
              </w:rPr>
              <w:t>成交供应商在服务期限限内完成新疆财经大学2022年图书馆资源数字化建设项目-中国知网系列产品应承担的所有工作以及合同条款、技术规范及标准、项目采购需求、单一来源采购文件约定的全部内容及责任和义务</w:t>
            </w:r>
            <w:r>
              <w:rPr>
                <w:rFonts w:hint="eastAsia" w:ascii="仿宋" w:hAnsi="仿宋" w:eastAsia="仿宋" w:cs="仿宋"/>
                <w:b/>
                <w:color w:val="auto"/>
                <w:sz w:val="24"/>
                <w:szCs w:val="24"/>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lang w:eastAsia="zh-CN"/>
          <w14:textFill>
            <w14:solidFill>
              <w14:schemeClr w14:val="tx1"/>
            </w14:solidFill>
          </w14:textFill>
        </w:rPr>
        <w:t>注：</w:t>
      </w:r>
      <w:r>
        <w:rPr>
          <w:rFonts w:hint="eastAsia" w:ascii="仿宋_GB2312" w:hAnsi="仿宋_GB2312" w:eastAsia="仿宋_GB2312" w:cs="仿宋_GB2312"/>
          <w:b/>
          <w:bCs/>
          <w:color w:val="000000" w:themeColor="text1"/>
          <w:sz w:val="24"/>
          <w:lang w:val="en-US" w:eastAsia="zh-CN"/>
          <w14:textFill>
            <w14:solidFill>
              <w14:schemeClr w14:val="tx1"/>
            </w14:solidFill>
          </w14:textFill>
        </w:rPr>
        <w:t>1、</w:t>
      </w:r>
      <w:r>
        <w:rPr>
          <w:rFonts w:hint="eastAsia" w:ascii="仿宋_GB2312" w:hAnsi="仿宋_GB2312" w:eastAsia="仿宋_GB2312" w:cs="仿宋_GB2312"/>
          <w:b/>
          <w:bCs/>
          <w:color w:val="000000" w:themeColor="text1"/>
          <w:sz w:val="24"/>
          <w:lang w:eastAsia="zh-CN"/>
          <w14:textFill>
            <w14:solidFill>
              <w14:schemeClr w14:val="tx1"/>
            </w14:solidFill>
          </w14:textFill>
        </w:rPr>
        <w:t>供应商须按本商务报价一览表格式制作“最后报价表”，并加盖单位公章后自行带至协商现场，经协商后由各供应商填写最后报价。</w:t>
      </w:r>
    </w:p>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lang w:eastAsia="zh-CN"/>
          <w14:textFill>
            <w14:solidFill>
              <w14:schemeClr w14:val="tx1"/>
            </w14:solidFill>
          </w14:textFill>
        </w:rPr>
        <w:t>供应商须提供详细报价书作为本表附件，详细对报价进行分析。</w:t>
      </w: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供应商(盖章)： </w:t>
      </w:r>
    </w:p>
    <w:p>
      <w:pPr>
        <w:spacing w:line="300" w:lineRule="exact"/>
        <w:ind w:firstLine="241" w:firstLineChars="100"/>
        <w:rPr>
          <w:rFonts w:ascii="仿宋_GB2312" w:hAnsi="仿宋_GB2312" w:eastAsia="仿宋_GB2312" w:cs="仿宋_GB2312"/>
          <w:b/>
          <w:color w:val="000000" w:themeColor="text1"/>
          <w:sz w:val="24"/>
          <w14:textFill>
            <w14:solidFill>
              <w14:schemeClr w14:val="tx1"/>
            </w14:solidFill>
          </w14:textFill>
        </w:rPr>
      </w:pPr>
    </w:p>
    <w:p>
      <w:pPr>
        <w:spacing w:line="30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法定代表人或委托代理人（签字或盖章）：</w:t>
      </w:r>
    </w:p>
    <w:p>
      <w:pPr>
        <w:spacing w:line="300" w:lineRule="exact"/>
        <w:jc w:val="right"/>
        <w:rPr>
          <w:rFonts w:ascii="仿宋_GB2312" w:hAnsi="仿宋_GB2312" w:eastAsia="仿宋_GB2312" w:cs="仿宋_GB2312"/>
          <w:color w:val="000000" w:themeColor="text1"/>
          <w:sz w:val="24"/>
          <w14:textFill>
            <w14:solidFill>
              <w14:schemeClr w14:val="tx1"/>
            </w14:solidFill>
          </w14:textFill>
        </w:rPr>
      </w:pPr>
    </w:p>
    <w:p>
      <w:pPr>
        <w:spacing w:line="300" w:lineRule="exact"/>
        <w:jc w:val="righ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报价日期：   年  月   日</w:t>
      </w: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spacing w:line="572" w:lineRule="atLeast"/>
        <w:jc w:val="center"/>
        <w:rPr>
          <w:rFonts w:ascii="仿宋_GB2312" w:eastAsia="仿宋_GB2312"/>
          <w:b/>
          <w:color w:val="000000" w:themeColor="text1"/>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格式6  </w:t>
      </w:r>
      <w:r>
        <w:rPr>
          <w:rFonts w:hint="eastAsia" w:ascii="仿宋_GB2312" w:eastAsia="仿宋_GB2312"/>
          <w:b/>
          <w:bCs/>
          <w:color w:val="000000" w:themeColor="text1"/>
          <w:sz w:val="24"/>
          <w14:textFill>
            <w14:solidFill>
              <w14:schemeClr w14:val="tx1"/>
            </w14:solidFill>
          </w14:textFill>
        </w:rPr>
        <w:t>供应商</w:t>
      </w:r>
      <w:r>
        <w:rPr>
          <w:rFonts w:hint="eastAsia" w:ascii="仿宋_GB2312" w:eastAsia="仿宋_GB2312"/>
          <w:b/>
          <w:color w:val="000000" w:themeColor="text1"/>
          <w:sz w:val="24"/>
          <w14:textFill>
            <w14:solidFill>
              <w14:schemeClr w14:val="tx1"/>
            </w14:solidFill>
          </w14:textFill>
        </w:rPr>
        <w:t>近三年（</w:t>
      </w:r>
      <w:r>
        <w:rPr>
          <w:rFonts w:hint="eastAsia" w:ascii="仿宋_GB2312" w:eastAsia="仿宋_GB2312"/>
          <w:b/>
          <w:color w:val="000000" w:themeColor="text1"/>
          <w:sz w:val="24"/>
          <w:lang w:eastAsia="zh-CN"/>
          <w14:textFill>
            <w14:solidFill>
              <w14:schemeClr w14:val="tx1"/>
            </w14:solidFill>
          </w14:textFill>
        </w:rPr>
        <w:t>2019年1月1日</w:t>
      </w:r>
      <w:r>
        <w:rPr>
          <w:rFonts w:hint="eastAsia" w:ascii="仿宋_GB2312" w:eastAsia="仿宋_GB2312"/>
          <w:b/>
          <w:color w:val="000000" w:themeColor="text1"/>
          <w:sz w:val="24"/>
          <w14:textFill>
            <w14:solidFill>
              <w14:schemeClr w14:val="tx1"/>
            </w14:solidFill>
          </w14:textFill>
        </w:rPr>
        <w:t>至今）类似项目业绩表</w:t>
      </w:r>
    </w:p>
    <w:p>
      <w:pPr>
        <w:spacing w:line="572" w:lineRule="atLeast"/>
        <w:jc w:val="center"/>
        <w:rPr>
          <w:rFonts w:ascii="仿宋_GB2312" w:eastAsia="仿宋_GB2312"/>
          <w:b/>
          <w:color w:val="000000" w:themeColor="text1"/>
          <w:sz w:val="24"/>
          <w14:textFill>
            <w14:solidFill>
              <w14:schemeClr w14:val="tx1"/>
            </w14:solidFill>
          </w14:textFill>
        </w:rPr>
      </w:pPr>
    </w:p>
    <w:tbl>
      <w:tblPr>
        <w:tblStyle w:val="25"/>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754"/>
        <w:gridCol w:w="1940"/>
        <w:gridCol w:w="992"/>
        <w:gridCol w:w="1134"/>
        <w:gridCol w:w="1134"/>
        <w:gridCol w:w="1276"/>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年份</w:t>
            </w:r>
          </w:p>
        </w:tc>
        <w:tc>
          <w:tcPr>
            <w:tcW w:w="75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项目名称</w:t>
            </w:r>
          </w:p>
        </w:tc>
        <w:tc>
          <w:tcPr>
            <w:tcW w:w="1940" w:type="dxa"/>
            <w:tcBorders>
              <w:righ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规格型号及数量</w:t>
            </w:r>
          </w:p>
        </w:tc>
        <w:tc>
          <w:tcPr>
            <w:tcW w:w="992" w:type="dxa"/>
            <w:tcBorders>
              <w:lef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用户名称</w:t>
            </w:r>
          </w:p>
        </w:tc>
        <w:tc>
          <w:tcPr>
            <w:tcW w:w="113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完成时间</w:t>
            </w:r>
          </w:p>
        </w:tc>
        <w:tc>
          <w:tcPr>
            <w:tcW w:w="113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合同金额</w:t>
            </w:r>
          </w:p>
        </w:tc>
        <w:tc>
          <w:tcPr>
            <w:tcW w:w="1276" w:type="dxa"/>
            <w:tcBorders>
              <w:lef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用户联系电话</w:t>
            </w:r>
          </w:p>
        </w:tc>
        <w:tc>
          <w:tcPr>
            <w:tcW w:w="992" w:type="dxa"/>
            <w:tcBorders>
              <w:left w:val="single" w:color="auto" w:sz="4" w:space="0"/>
            </w:tcBorders>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left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75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940"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注：供应商（仅限于供应商自身实施的）以上业绩需提供有关书面证明材料。“合同金额”需提供合同复印件。</w:t>
      </w:r>
    </w:p>
    <w:p>
      <w:pPr>
        <w:spacing w:line="400" w:lineRule="exact"/>
        <w:ind w:left="360"/>
        <w:jc w:val="center"/>
        <w:rPr>
          <w:rFonts w:ascii="仿宋_GB2312" w:hAnsi="宋体" w:eastAsia="仿宋_GB2312" w:cs="Arial"/>
          <w:color w:val="000000" w:themeColor="text1"/>
          <w:sz w:val="24"/>
          <w14:textFill>
            <w14:solidFill>
              <w14:schemeClr w14:val="tx1"/>
            </w14:solidFill>
          </w14:textFill>
        </w:rPr>
      </w:pPr>
    </w:p>
    <w:p>
      <w:pPr>
        <w:spacing w:line="400" w:lineRule="exact"/>
        <w:ind w:left="360"/>
        <w:jc w:val="center"/>
        <w:rPr>
          <w:rFonts w:ascii="仿宋_GB2312" w:hAnsi="宋体" w:eastAsia="仿宋_GB2312" w:cs="Arial"/>
          <w:color w:val="000000" w:themeColor="text1"/>
          <w14:textFill>
            <w14:solidFill>
              <w14:schemeClr w14:val="tx1"/>
            </w14:solidFill>
          </w14:textFill>
        </w:rPr>
      </w:pP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供应商名称：（盖章）</w:t>
      </w: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Courier New" w:eastAsia="仿宋_GB2312"/>
          <w:bCs/>
          <w:color w:val="000000" w:themeColor="text1"/>
          <w:sz w:val="24"/>
          <w14:textFill>
            <w14:solidFill>
              <w14:schemeClr w14:val="tx1"/>
            </w14:solidFill>
          </w14:textFill>
        </w:rPr>
        <w:t>法定代表</w:t>
      </w:r>
      <w:r>
        <w:rPr>
          <w:rFonts w:hint="eastAsia" w:ascii="仿宋_GB2312" w:hAnsi="宋体" w:eastAsia="仿宋_GB2312"/>
          <w:color w:val="000000" w:themeColor="text1"/>
          <w:sz w:val="24"/>
          <w14:textFill>
            <w14:solidFill>
              <w14:schemeClr w14:val="tx1"/>
            </w14:solidFill>
          </w14:textFill>
        </w:rPr>
        <w:t>人或授权代表（签字或盖章）</w:t>
      </w:r>
      <w:r>
        <w:rPr>
          <w:rFonts w:hint="eastAsia" w:ascii="仿宋_GB2312" w:hAnsi="宋体" w:eastAsia="仿宋_GB2312"/>
          <w:bCs/>
          <w:color w:val="000000" w:themeColor="text1"/>
          <w:sz w:val="24"/>
          <w14:textFill>
            <w14:solidFill>
              <w14:schemeClr w14:val="tx1"/>
            </w14:solidFill>
          </w14:textFill>
        </w:rPr>
        <w:t>：</w:t>
      </w:r>
    </w:p>
    <w:p>
      <w:pPr>
        <w:spacing w:line="400" w:lineRule="exact"/>
        <w:ind w:right="480" w:firstLine="480" w:firstLineChars="200"/>
        <w:jc w:val="center"/>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 xml:space="preserve">                                                               年  月  日</w:t>
      </w:r>
    </w:p>
    <w:p>
      <w:pPr>
        <w:spacing w:line="400" w:lineRule="exact"/>
        <w:rPr>
          <w:rFonts w:ascii="仿宋_GB2312" w:eastAsia="仿宋_GB2312"/>
          <w:color w:val="000000" w:themeColor="text1"/>
          <w14:textFill>
            <w14:solidFill>
              <w14:schemeClr w14:val="tx1"/>
            </w14:solidFill>
          </w14:textFill>
        </w:rPr>
      </w:pPr>
    </w:p>
    <w:p>
      <w:pPr>
        <w:spacing w:line="572" w:lineRule="atLeast"/>
        <w:rPr>
          <w:rFonts w:ascii="仿宋_GB2312" w:eastAsia="仿宋_GB2312"/>
          <w:b/>
          <w:bCs/>
          <w:color w:val="000000" w:themeColor="text1"/>
          <w:sz w:val="24"/>
          <w14:textFill>
            <w14:solidFill>
              <w14:schemeClr w14:val="tx1"/>
            </w14:solidFill>
          </w14:textFill>
        </w:rPr>
      </w:pPr>
    </w:p>
    <w:p>
      <w:pPr>
        <w:tabs>
          <w:tab w:val="left" w:pos="360"/>
          <w:tab w:val="left" w:pos="1800"/>
        </w:tabs>
        <w:spacing w:line="300" w:lineRule="exact"/>
        <w:jc w:val="center"/>
        <w:rPr>
          <w:rFonts w:hint="eastAsia" w:ascii="仿宋_GB2312" w:eastAsia="仿宋_GB2312"/>
          <w:b/>
          <w:color w:val="000000" w:themeColor="text1"/>
          <w:sz w:val="24"/>
          <w:szCs w:val="24"/>
          <w:highlight w:val="none"/>
          <w:lang w:eastAsia="zh-CN"/>
          <w14:textFill>
            <w14:solidFill>
              <w14:schemeClr w14:val="tx1"/>
            </w14:solidFill>
          </w14:textFill>
        </w:rPr>
      </w:pPr>
      <w:r>
        <w:rPr>
          <w:rFonts w:hint="eastAsia" w:ascii="仿宋_GB2312" w:eastAsia="仿宋_GB2312"/>
          <w:b/>
          <w:color w:val="000000" w:themeColor="text1"/>
          <w:sz w:val="24"/>
          <w:szCs w:val="24"/>
          <w:highlight w:val="none"/>
          <w:lang w:eastAsia="zh-CN"/>
          <w14:textFill>
            <w14:solidFill>
              <w14:schemeClr w14:val="tx1"/>
            </w14:solidFill>
          </w14:textFill>
        </w:rPr>
        <w:t>格式</w:t>
      </w:r>
      <w:r>
        <w:rPr>
          <w:rFonts w:hint="eastAsia" w:ascii="仿宋_GB2312" w:eastAsia="仿宋_GB2312"/>
          <w:b/>
          <w:color w:val="000000" w:themeColor="text1"/>
          <w:sz w:val="24"/>
          <w:szCs w:val="24"/>
          <w:highlight w:val="none"/>
          <w:lang w:val="en-US" w:eastAsia="zh-CN"/>
          <w14:textFill>
            <w14:solidFill>
              <w14:schemeClr w14:val="tx1"/>
            </w14:solidFill>
          </w14:textFill>
        </w:rPr>
        <w:t>7</w:t>
      </w:r>
      <w:r>
        <w:rPr>
          <w:rFonts w:hint="eastAsia" w:ascii="仿宋_GB2312" w:eastAsia="仿宋_GB2312"/>
          <w:b/>
          <w:color w:val="000000" w:themeColor="text1"/>
          <w:sz w:val="24"/>
          <w:szCs w:val="24"/>
          <w:highlight w:val="none"/>
          <w14:textFill>
            <w14:solidFill>
              <w14:schemeClr w14:val="tx1"/>
            </w14:solidFill>
          </w14:textFill>
        </w:rPr>
        <w:t xml:space="preserve">   </w:t>
      </w:r>
      <w:r>
        <w:rPr>
          <w:rFonts w:hint="eastAsia" w:ascii="仿宋_GB2312" w:eastAsia="仿宋_GB2312"/>
          <w:b/>
          <w:color w:val="000000" w:themeColor="text1"/>
          <w:sz w:val="24"/>
          <w:szCs w:val="24"/>
          <w:highlight w:val="none"/>
          <w:lang w:eastAsia="zh-CN"/>
          <w14:textFill>
            <w14:solidFill>
              <w14:schemeClr w14:val="tx1"/>
            </w14:solidFill>
          </w14:textFill>
        </w:rPr>
        <w:t>本项目管理、服务及其他人员情况表</w:t>
      </w:r>
    </w:p>
    <w:p>
      <w:pPr>
        <w:tabs>
          <w:tab w:val="left" w:pos="360"/>
          <w:tab w:val="left" w:pos="1800"/>
        </w:tabs>
        <w:spacing w:line="300" w:lineRule="exact"/>
        <w:jc w:val="center"/>
        <w:rPr>
          <w:rFonts w:ascii="仿宋_GB2312" w:eastAsia="仿宋_GB2312"/>
          <w:b/>
          <w:bCs/>
          <w:color w:val="000000" w:themeColor="text1"/>
          <w:sz w:val="24"/>
          <w:szCs w:val="24"/>
          <w:highlight w:val="none"/>
          <w14:textFill>
            <w14:solidFill>
              <w14:schemeClr w14:val="tx1"/>
            </w14:solidFill>
          </w14:textFill>
        </w:rPr>
      </w:pPr>
    </w:p>
    <w:tbl>
      <w:tblPr>
        <w:tblStyle w:val="25"/>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二、服务人员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注：需完整反映本项目要求的所有拟派人员信息，所提供的资料均附于本表后。</w:t>
            </w:r>
          </w:p>
        </w:tc>
      </w:tr>
    </w:tbl>
    <w:p>
      <w:pPr>
        <w:tabs>
          <w:tab w:val="left" w:pos="360"/>
          <w:tab w:val="left" w:pos="1800"/>
        </w:tabs>
        <w:spacing w:line="480" w:lineRule="exact"/>
        <w:ind w:firstLine="210" w:firstLineChars="10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lang w:eastAsia="zh-CN"/>
          <w14:textFill>
            <w14:solidFill>
              <w14:schemeClr w14:val="tx1"/>
            </w14:solidFill>
          </w14:textFill>
        </w:rPr>
        <w:t>供应商</w:t>
      </w:r>
      <w:r>
        <w:rPr>
          <w:rFonts w:hint="eastAsia" w:ascii="仿宋_GB2312" w:eastAsia="仿宋_GB2312"/>
          <w:color w:val="000000" w:themeColor="text1"/>
          <w:highlight w:val="none"/>
          <w14:textFill>
            <w14:solidFill>
              <w14:schemeClr w14:val="tx1"/>
            </w14:solidFill>
          </w14:textFill>
        </w:rPr>
        <w:t xml:space="preserve">：（盖章）             </w:t>
      </w:r>
    </w:p>
    <w:p>
      <w:pPr>
        <w:tabs>
          <w:tab w:val="left" w:pos="360"/>
          <w:tab w:val="left" w:pos="1800"/>
        </w:tabs>
        <w:spacing w:line="480" w:lineRule="exact"/>
        <w:ind w:firstLine="210" w:firstLineChars="100"/>
        <w:rPr>
          <w:rFonts w:hint="eastAsia" w:ascii="仿宋_GB2312" w:eastAsia="仿宋_GB2312"/>
          <w:color w:val="000000" w:themeColor="text1"/>
          <w:highlight w:val="none"/>
          <w14:textFill>
            <w14:solidFill>
              <w14:schemeClr w14:val="tx1"/>
            </w14:solidFill>
          </w14:textFill>
        </w:rPr>
      </w:pPr>
    </w:p>
    <w:p>
      <w:pPr>
        <w:tabs>
          <w:tab w:val="left" w:pos="360"/>
          <w:tab w:val="left" w:pos="1800"/>
        </w:tabs>
        <w:spacing w:line="480" w:lineRule="exact"/>
        <w:ind w:firstLine="210" w:firstLineChars="10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法定代表人或委托代理人：（签字或盖章）</w:t>
      </w:r>
    </w:p>
    <w:p>
      <w:pPr>
        <w:tabs>
          <w:tab w:val="left" w:pos="360"/>
          <w:tab w:val="left" w:pos="1800"/>
        </w:tabs>
        <w:spacing w:line="360" w:lineRule="auto"/>
        <w:ind w:right="960" w:firstLine="4935" w:firstLineChars="235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spacing w:line="360" w:lineRule="auto"/>
        <w:ind w:left="809" w:hanging="812" w:hangingChars="337"/>
        <w:jc w:val="center"/>
        <w:rPr>
          <w:rFonts w:hint="eastAsia" w:ascii="仿宋_GB2312" w:eastAsia="仿宋_GB2312"/>
          <w:b/>
          <w:bCs/>
          <w:color w:val="000000" w:themeColor="text1"/>
          <w:sz w:val="24"/>
          <w14:textFill>
            <w14:solidFill>
              <w14:schemeClr w14:val="tx1"/>
            </w14:solidFill>
          </w14:textFill>
        </w:rPr>
      </w:pPr>
    </w:p>
    <w:p>
      <w:pPr>
        <w:spacing w:line="360" w:lineRule="auto"/>
        <w:ind w:left="809" w:hanging="812" w:hangingChars="337"/>
        <w:jc w:val="center"/>
        <w:rPr>
          <w:rFonts w:hint="eastAsia" w:ascii="仿宋_GB2312" w:eastAsia="仿宋_GB2312"/>
          <w:b/>
          <w:bCs/>
          <w:color w:val="000000" w:themeColor="text1"/>
          <w:sz w:val="24"/>
          <w14:textFill>
            <w14:solidFill>
              <w14:schemeClr w14:val="tx1"/>
            </w14:solidFill>
          </w14:textFill>
        </w:rPr>
      </w:pPr>
    </w:p>
    <w:p>
      <w:pPr>
        <w:spacing w:line="360" w:lineRule="auto"/>
        <w:ind w:left="809" w:hanging="812" w:hangingChars="337"/>
        <w:jc w:val="center"/>
        <w:rPr>
          <w:rFonts w:ascii="仿宋_GB2312" w:hAnsi="仿宋" w:eastAsia="仿宋_GB2312"/>
          <w:bCs/>
          <w:color w:val="000000" w:themeColor="text1"/>
          <w:sz w:val="32"/>
          <w:szCs w:val="32"/>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格式</w:t>
      </w:r>
      <w:r>
        <w:rPr>
          <w:rFonts w:hint="eastAsia" w:ascii="仿宋_GB2312" w:eastAsia="仿宋_GB2312"/>
          <w:b/>
          <w:bCs/>
          <w:color w:val="000000" w:themeColor="text1"/>
          <w:sz w:val="24"/>
          <w:lang w:val="en-US" w:eastAsia="zh-CN"/>
          <w14:textFill>
            <w14:solidFill>
              <w14:schemeClr w14:val="tx1"/>
            </w14:solidFill>
          </w14:textFill>
        </w:rPr>
        <w:t xml:space="preserve">8 </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eastAsia="仿宋_GB2312"/>
          <w:b/>
          <w:color w:val="000000" w:themeColor="text1"/>
          <w:sz w:val="24"/>
          <w14:textFill>
            <w14:solidFill>
              <w14:schemeClr w14:val="tx1"/>
            </w14:solidFill>
          </w14:textFill>
        </w:rPr>
        <w:t>资格性/符合性自查表</w:t>
      </w:r>
    </w:p>
    <w:tbl>
      <w:tblPr>
        <w:tblStyle w:val="25"/>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采购文件要求</w:t>
            </w:r>
            <w:r>
              <w:rPr>
                <w:rFonts w:hint="eastAsia" w:ascii="仿宋_GB2312" w:hAnsi="仿宋" w:eastAsia="仿宋_GB2312"/>
                <w:color w:val="000000" w:themeColor="text1"/>
                <w14:textFill>
                  <w14:solidFill>
                    <w14:schemeClr w14:val="tx1"/>
                  </w14:solidFill>
                </w14:textFill>
              </w:rPr>
              <w:br w:type="textWrapping"/>
            </w:r>
            <w:r>
              <w:rPr>
                <w:rFonts w:hint="eastAsia" w:ascii="仿宋_GB2312" w:hAnsi="仿宋" w:eastAsia="仿宋_GB2312"/>
                <w:color w:val="000000" w:themeColor="text1"/>
                <w14:textFill>
                  <w14:solidFill>
                    <w14:schemeClr w14:val="tx1"/>
                  </w14:solidFill>
                </w14:textFill>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olor w:val="000000" w:themeColor="text1"/>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bl>
    <w:p>
      <w:pPr>
        <w:tabs>
          <w:tab w:val="left" w:pos="360"/>
          <w:tab w:val="left" w:pos="1800"/>
        </w:tabs>
        <w:ind w:firstLine="361" w:firstLineChars="150"/>
        <w:jc w:val="left"/>
        <w:rPr>
          <w:rFonts w:ascii="仿宋_GB2312" w:hAnsi="仿宋" w:eastAsia="仿宋_GB2312"/>
          <w:b/>
          <w:color w:val="000000" w:themeColor="text1"/>
          <w:w w:val="90"/>
          <w:sz w:val="24"/>
          <w14:textFill>
            <w14:solidFill>
              <w14:schemeClr w14:val="tx1"/>
            </w14:solidFill>
          </w14:textFill>
        </w:rPr>
      </w:pPr>
      <w:r>
        <w:rPr>
          <w:rFonts w:hint="eastAsia" w:ascii="仿宋_GB2312" w:hAnsi="仿宋" w:eastAsia="仿宋_GB2312"/>
          <w:b/>
          <w:color w:val="000000" w:themeColor="text1"/>
          <w:sz w:val="24"/>
          <w14:textFill>
            <w14:solidFill>
              <w14:schemeClr w14:val="tx1"/>
            </w14:solidFill>
          </w14:textFill>
        </w:rPr>
        <w:t>注：以上材料将作为投标供应商有效性审核的重要内容之一，供应商必须严格按照其内容及序列要求在响应文件中对应如</w:t>
      </w:r>
      <w:r>
        <w:rPr>
          <w:rFonts w:hint="eastAsia" w:ascii="仿宋_GB2312" w:hAnsi="仿宋" w:eastAsia="仿宋_GB2312"/>
          <w:b/>
          <w:color w:val="000000" w:themeColor="text1"/>
          <w:w w:val="90"/>
          <w:sz w:val="24"/>
          <w14:textFill>
            <w14:solidFill>
              <w14:schemeClr w14:val="tx1"/>
            </w14:solidFill>
          </w14:textFill>
        </w:rPr>
        <w:t>实提供，对资格性和符合性证明文件的任何缺漏和不符合项将会直接导致无效投标！供应商根据自查结论在对应的□打“√”。</w:t>
      </w:r>
    </w:p>
    <w:p>
      <w:pPr>
        <w:tabs>
          <w:tab w:val="left" w:pos="360"/>
          <w:tab w:val="left" w:pos="1800"/>
        </w:tabs>
        <w:ind w:firstLine="325" w:firstLineChars="150"/>
        <w:jc w:val="left"/>
        <w:rPr>
          <w:rFonts w:ascii="仿宋_GB2312" w:hAnsi="仿宋" w:eastAsia="仿宋_GB2312"/>
          <w:b/>
          <w:color w:val="000000" w:themeColor="text1"/>
          <w:w w:val="90"/>
          <w:sz w:val="24"/>
          <w14:textFill>
            <w14:solidFill>
              <w14:schemeClr w14:val="tx1"/>
            </w14:solidFill>
          </w14:textFill>
        </w:rPr>
      </w:pPr>
    </w:p>
    <w:p>
      <w:pPr>
        <w:spacing w:line="360" w:lineRule="auto"/>
        <w:jc w:val="center"/>
        <w:outlineLvl w:val="0"/>
        <w:rPr>
          <w:rFonts w:hint="eastAsia" w:ascii="仿宋" w:hAnsi="仿宋" w:eastAsia="仿宋" w:cs="仿宋"/>
          <w:b/>
          <w:bCs/>
          <w:color w:val="auto"/>
          <w:sz w:val="24"/>
          <w:highlight w:val="none"/>
        </w:rPr>
      </w:pPr>
    </w:p>
    <w:bookmarkEnd w:id="182"/>
    <w:bookmarkEnd w:id="183"/>
    <w:bookmarkEnd w:id="184"/>
    <w:bookmarkEnd w:id="185"/>
    <w:bookmarkEnd w:id="186"/>
    <w:bookmarkEnd w:id="187"/>
    <w:bookmarkEnd w:id="188"/>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eastAsia="zh-CN"/>
        </w:rPr>
        <w:t>第六章</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 xml:space="preserve"> </w:t>
      </w:r>
      <w:r>
        <w:rPr>
          <w:rFonts w:hint="eastAsia" w:ascii="仿宋_GB2312" w:eastAsia="仿宋_GB2312"/>
          <w:b/>
          <w:color w:val="auto"/>
          <w:sz w:val="28"/>
          <w:szCs w:val="28"/>
          <w:highlight w:val="none"/>
        </w:rPr>
        <w:t>评审标准</w:t>
      </w:r>
      <w:r>
        <w:rPr>
          <w:rFonts w:hint="eastAsia" w:ascii="仿宋_GB2312" w:eastAsia="仿宋_GB2312"/>
          <w:b/>
          <w:bCs/>
          <w:color w:val="auto"/>
          <w:sz w:val="28"/>
          <w:szCs w:val="28"/>
          <w:highlight w:val="none"/>
        </w:rPr>
        <w:t>（综合评分法）</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一、初审</w:t>
      </w:r>
    </w:p>
    <w:p>
      <w:pPr>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1、资格性审查</w:t>
      </w:r>
    </w:p>
    <w:tbl>
      <w:tblPr>
        <w:tblStyle w:val="25"/>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948"/>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序号</w:t>
            </w:r>
          </w:p>
        </w:tc>
        <w:tc>
          <w:tcPr>
            <w:tcW w:w="9042" w:type="dxa"/>
            <w:gridSpan w:val="2"/>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1</w:t>
            </w:r>
          </w:p>
        </w:tc>
        <w:tc>
          <w:tcPr>
            <w:tcW w:w="4948" w:type="dxa"/>
            <w:noWrap w:val="0"/>
            <w:vAlign w:val="center"/>
          </w:tcPr>
          <w:p>
            <w:pPr>
              <w:spacing w:line="288" w:lineRule="auto"/>
              <w:rPr>
                <w:rFonts w:ascii="仿宋_GB2312" w:hAnsi="宋体" w:eastAsia="仿宋_GB2312" w:cs="仿宋_GB2312"/>
                <w:color w:val="auto"/>
                <w:sz w:val="21"/>
                <w:szCs w:val="21"/>
                <w:highlight w:val="none"/>
                <w:lang w:val="zh-CN"/>
              </w:rPr>
            </w:pPr>
            <w:r>
              <w:rPr>
                <w:rFonts w:hint="eastAsia" w:ascii="仿宋_GB2312" w:hAnsi="仿宋_GB2312" w:eastAsia="仿宋_GB2312" w:cs="仿宋_GB2312"/>
                <w:color w:val="auto"/>
                <w:kern w:val="0"/>
                <w:sz w:val="21"/>
                <w:szCs w:val="21"/>
                <w:highlight w:val="none"/>
                <w:lang w:eastAsia="zh-CN"/>
              </w:rPr>
              <w:t>1、具有有效的营业执照或事业单位法人证书； 2、供应商如在“信用中国”网站（www.creditchina.gov.cn）、中国政府采购网（www.ccgp.gov.cn）被列入失信被执行人、重大税收违法案件当事人名单、政府采购严重违法失信行为记录名单的，尚在处罚期内的将被拒绝参加本次采购活动。</w:t>
            </w:r>
          </w:p>
        </w:tc>
        <w:tc>
          <w:tcPr>
            <w:tcW w:w="4094" w:type="dxa"/>
            <w:noWrap w:val="0"/>
            <w:vAlign w:val="center"/>
          </w:tcPr>
          <w:p>
            <w:pPr>
              <w:spacing w:line="288" w:lineRule="auto"/>
              <w:rPr>
                <w:rFonts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958" w:type="dxa"/>
            <w:noWrap w:val="0"/>
            <w:vAlign w:val="center"/>
          </w:tcPr>
          <w:p>
            <w:pPr>
              <w:spacing w:line="500" w:lineRule="exact"/>
              <w:jc w:val="center"/>
              <w:rPr>
                <w:rFonts w:hint="default" w:ascii="仿宋_GB2312" w:hAnsi="宋体" w:eastAsia="仿宋_GB2312"/>
                <w:color w:val="auto"/>
                <w:sz w:val="21"/>
                <w:szCs w:val="21"/>
                <w:highlight w:val="none"/>
                <w:lang w:val="en-US" w:eastAsia="zh-CN"/>
              </w:rPr>
            </w:pPr>
            <w:r>
              <w:rPr>
                <w:rFonts w:hint="eastAsia" w:ascii="仿宋_GB2312" w:hAnsi="宋体" w:eastAsia="仿宋_GB2312"/>
                <w:color w:val="auto"/>
                <w:sz w:val="21"/>
                <w:szCs w:val="21"/>
                <w:highlight w:val="none"/>
                <w:lang w:val="en-US" w:eastAsia="zh-CN"/>
              </w:rPr>
              <w:t>2</w:t>
            </w:r>
          </w:p>
        </w:tc>
        <w:tc>
          <w:tcPr>
            <w:tcW w:w="4948" w:type="dxa"/>
            <w:noWrap w:val="0"/>
            <w:vAlign w:val="center"/>
          </w:tcPr>
          <w:p>
            <w:pPr>
              <w:spacing w:line="288" w:lineRule="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本项目不接受联合体供应商</w:t>
            </w:r>
          </w:p>
        </w:tc>
        <w:tc>
          <w:tcPr>
            <w:tcW w:w="4094" w:type="dxa"/>
            <w:noWrap w:val="0"/>
            <w:vAlign w:val="center"/>
          </w:tcPr>
          <w:p>
            <w:pPr>
              <w:widowControl/>
              <w:spacing w:line="360" w:lineRule="auto"/>
              <w:jc w:val="left"/>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bl>
    <w:p>
      <w:pPr>
        <w:spacing w:line="360" w:lineRule="auto"/>
        <w:rPr>
          <w:rFonts w:hint="eastAsia" w:ascii="仿宋" w:hAnsi="仿宋" w:eastAsia="仿宋" w:cs="仿宋"/>
          <w:b/>
          <w:bCs/>
          <w:color w:val="auto"/>
          <w:sz w:val="24"/>
          <w:szCs w:val="24"/>
          <w:highlight w:val="none"/>
        </w:rPr>
      </w:pPr>
    </w:p>
    <w:p>
      <w:pPr>
        <w:spacing w:line="360" w:lineRule="auto"/>
        <w:rPr>
          <w:rFonts w:ascii="仿宋_GB2312" w:eastAsia="仿宋_GB2312"/>
          <w:b/>
          <w:bCs/>
          <w:color w:val="auto"/>
          <w:sz w:val="24"/>
          <w:highlight w:val="none"/>
        </w:rPr>
      </w:pPr>
      <w:r>
        <w:rPr>
          <w:rFonts w:hint="eastAsia" w:ascii="仿宋_GB2312" w:eastAsia="仿宋_GB2312"/>
          <w:b/>
          <w:bCs/>
          <w:color w:val="auto"/>
          <w:sz w:val="24"/>
          <w:highlight w:val="none"/>
        </w:rPr>
        <w:t>2、符合性审查</w:t>
      </w:r>
    </w:p>
    <w:tbl>
      <w:tblPr>
        <w:tblStyle w:val="2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1955"/>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3106" w:type="dxa"/>
            <w:gridSpan w:val="2"/>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评审因素</w:t>
            </w:r>
          </w:p>
        </w:tc>
        <w:tc>
          <w:tcPr>
            <w:tcW w:w="6284"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151"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有效性审查</w:t>
            </w:r>
          </w:p>
        </w:tc>
        <w:tc>
          <w:tcPr>
            <w:tcW w:w="1955"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报价</w:t>
            </w:r>
          </w:p>
        </w:tc>
        <w:tc>
          <w:tcPr>
            <w:tcW w:w="6284"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签署</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中法定代表人或其授权代表人的签字</w:t>
            </w:r>
            <w:r>
              <w:rPr>
                <w:rFonts w:hint="eastAsia" w:ascii="仿宋" w:hAnsi="仿宋" w:eastAsia="仿宋" w:cs="仿宋"/>
                <w:color w:val="auto"/>
                <w:sz w:val="21"/>
                <w:szCs w:val="21"/>
                <w:highlight w:val="none"/>
                <w:lang w:eastAsia="zh-CN"/>
              </w:rPr>
              <w:t>或盖章</w:t>
            </w:r>
            <w:r>
              <w:rPr>
                <w:rFonts w:hint="eastAsia" w:ascii="仿宋" w:hAnsi="仿宋" w:eastAsia="仿宋" w:cs="仿宋"/>
                <w:color w:val="auto"/>
                <w:sz w:val="21"/>
                <w:szCs w:val="21"/>
                <w:highlight w:val="none"/>
              </w:rPr>
              <w:t>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6284"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法定代表人身份证明及授权委托书有效，且符合</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151" w:type="dxa"/>
            <w:vMerge w:val="restart"/>
            <w:noWrap w:val="0"/>
            <w:vAlign w:val="center"/>
          </w:tcPr>
          <w:p>
            <w:pPr>
              <w:spacing w:line="500" w:lineRule="exact"/>
              <w:jc w:val="center"/>
              <w:rPr>
                <w:rFonts w:hint="eastAsia" w:ascii="仿宋" w:hAnsi="仿宋" w:eastAsia="仿宋" w:cs="仿宋"/>
                <w:color w:val="auto"/>
                <w:sz w:val="21"/>
                <w:szCs w:val="21"/>
                <w:highlight w:val="none"/>
                <w:lang w:val="zh-CN"/>
              </w:rPr>
            </w:pP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的响应程度审查</w:t>
            </w: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内容</w:t>
            </w:r>
          </w:p>
        </w:tc>
        <w:tc>
          <w:tcPr>
            <w:tcW w:w="6284" w:type="dxa"/>
            <w:noWrap w:val="0"/>
            <w:vAlign w:val="center"/>
          </w:tcPr>
          <w:p>
            <w:pPr>
              <w:pStyle w:val="15"/>
              <w:spacing w:line="500" w:lineRule="exact"/>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rPr>
              <w:t>响应文件内容齐全、无遗漏。</w:t>
            </w:r>
            <w:r>
              <w:rPr>
                <w:rFonts w:hint="eastAsia" w:ascii="仿宋" w:hAnsi="仿宋" w:eastAsia="仿宋" w:cs="仿宋"/>
                <w:color w:val="auto"/>
                <w:sz w:val="21"/>
                <w:szCs w:val="21"/>
                <w:highlight w:val="none"/>
                <w:lang w:val="en-US" w:eastAsia="zh-CN"/>
              </w:rPr>
              <w:t>对单一来源采购文件规定的内容全部做出响应。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质量技术</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服务期限</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r>
              <w:rPr>
                <w:rFonts w:hint="eastAsia" w:ascii="仿宋" w:hAnsi="仿宋" w:eastAsia="仿宋" w:cs="仿宋"/>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有效期</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3" w:type="dxa"/>
            <w:vMerge w:val="continue"/>
            <w:tcBorders>
              <w:bottom w:val="single" w:color="auto" w:sz="4" w:space="0"/>
            </w:tcBorders>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tcBorders>
              <w:bottom w:val="single" w:color="auto" w:sz="4" w:space="0"/>
            </w:tcBorders>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w:t>
            </w:r>
          </w:p>
        </w:tc>
        <w:tc>
          <w:tcPr>
            <w:tcW w:w="6284"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相关</w:t>
            </w:r>
            <w:r>
              <w:rPr>
                <w:rFonts w:hint="eastAsia" w:ascii="仿宋" w:hAnsi="仿宋" w:eastAsia="仿宋" w:cs="仿宋"/>
                <w:color w:val="auto"/>
                <w:sz w:val="21"/>
                <w:szCs w:val="21"/>
                <w:highlight w:val="none"/>
                <w:lang w:val="zh-CN"/>
              </w:rPr>
              <w:t>规定。</w:t>
            </w:r>
          </w:p>
        </w:tc>
      </w:tr>
    </w:tbl>
    <w:p>
      <w:pPr>
        <w:spacing w:line="360" w:lineRule="auto"/>
        <w:rPr>
          <w:rFonts w:ascii="仿宋_GB2312" w:eastAsia="仿宋_GB2312"/>
          <w:b/>
          <w:bCs/>
          <w:color w:val="auto"/>
          <w:sz w:val="28"/>
          <w:szCs w:val="28"/>
          <w:highlight w:val="none"/>
        </w:rPr>
      </w:pPr>
    </w:p>
    <w:p>
      <w:pPr>
        <w:spacing w:line="360" w:lineRule="auto"/>
        <w:rPr>
          <w:rFonts w:hint="eastAsia" w:ascii="仿宋_GB2312" w:eastAsia="仿宋_GB2312"/>
          <w:b/>
          <w:color w:val="auto"/>
          <w:sz w:val="24"/>
          <w:highlight w:val="none"/>
        </w:rPr>
      </w:pPr>
      <w:r>
        <w:rPr>
          <w:rFonts w:hint="eastAsia" w:ascii="仿宋_GB2312" w:eastAsia="仿宋_GB2312"/>
          <w:b/>
          <w:color w:val="auto"/>
          <w:sz w:val="24"/>
          <w:highlight w:val="none"/>
        </w:rPr>
        <w:t>注：资格性和符合性审查中的评审内容，有一项不通过者，视为供应商不通过，未通过资格性和符合性审查的供应商其响应文件将按照无效响应处理。</w:t>
      </w:r>
    </w:p>
    <w:p>
      <w:pPr>
        <w:spacing w:line="360" w:lineRule="auto"/>
        <w:rPr>
          <w:rFonts w:hint="eastAsia" w:ascii="仿宋_GB2312" w:eastAsia="仿宋_GB2312"/>
          <w:b/>
          <w:bCs/>
          <w:color w:val="auto"/>
          <w:sz w:val="24"/>
          <w:highlight w:val="none"/>
        </w:rPr>
      </w:pPr>
    </w:p>
    <w:p>
      <w:pPr>
        <w:spacing w:line="360" w:lineRule="auto"/>
        <w:rPr>
          <w:rFonts w:ascii="仿宋_GB2312" w:eastAsia="仿宋_GB2312"/>
          <w:b/>
          <w:bCs/>
          <w:color w:val="000000" w:themeColor="text1"/>
          <w:sz w:val="24"/>
          <w14:textFill>
            <w14:solidFill>
              <w14:schemeClr w14:val="tx1"/>
            </w14:solidFill>
          </w14:textFill>
        </w:rPr>
      </w:pPr>
    </w:p>
    <w:sectPr>
      <w:footerReference r:id="rId6" w:type="default"/>
      <w:pgSz w:w="11906" w:h="16838"/>
      <w:pgMar w:top="1440" w:right="1077" w:bottom="1440" w:left="107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Albertus (W1)">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2"/>
      <w:rPr>
        <w:rStyle w:val="30"/>
      </w:rPr>
    </w:pPr>
    <w:r>
      <w:fldChar w:fldCharType="begin"/>
    </w:r>
    <w:r>
      <w:rPr>
        <w:rStyle w:val="30"/>
      </w:rPr>
      <w:instrText xml:space="preserve">PAGE  </w:instrText>
    </w:r>
    <w:r>
      <w:fldChar w:fldCharType="separate"/>
    </w:r>
    <w:r>
      <w:rPr>
        <w:rStyle w:val="30"/>
      </w:rPr>
      <w:t>28</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2</w:t>
    </w:r>
    <w:r>
      <w:rPr>
        <w:lang w:val="zh-CN"/>
      </w:rP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 PAGE   \* MERGEFORMAT </w:instrText>
    </w:r>
    <w:r>
      <w:fldChar w:fldCharType="separate"/>
    </w:r>
    <w:r>
      <w:rPr>
        <w:lang w:val="zh-CN"/>
      </w:rPr>
      <w:t>2</w:t>
    </w:r>
    <w:r>
      <w:rPr>
        <w:lang w:val="zh-CN"/>
      </w:rPr>
      <w:fldChar w:fldCharType="end"/>
    </w: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4C00"/>
    <w:multiLevelType w:val="singleLevel"/>
    <w:tmpl w:val="015D4C00"/>
    <w:lvl w:ilvl="0" w:tentative="0">
      <w:start w:val="2"/>
      <w:numFmt w:val="decimal"/>
      <w:suff w:val="nothing"/>
      <w:lvlText w:val="%1、"/>
      <w:lvlJc w:val="left"/>
    </w:lvl>
  </w:abstractNum>
  <w:abstractNum w:abstractNumId="1">
    <w:nsid w:val="183C604A"/>
    <w:multiLevelType w:val="singleLevel"/>
    <w:tmpl w:val="183C604A"/>
    <w:lvl w:ilvl="0" w:tentative="0">
      <w:start w:val="1"/>
      <w:numFmt w:val="japaneseCounting"/>
      <w:pStyle w:val="84"/>
      <w:lvlText w:val="%1、"/>
      <w:lvlJc w:val="left"/>
      <w:pPr>
        <w:tabs>
          <w:tab w:val="left" w:pos="960"/>
        </w:tabs>
        <w:ind w:left="960" w:hanging="480"/>
      </w:pPr>
      <w:rPr>
        <w:rFonts w:hint="eastAsia"/>
        <w:b/>
      </w:rPr>
    </w:lvl>
  </w:abstractNum>
  <w:abstractNum w:abstractNumId="2">
    <w:nsid w:val="22D32E6E"/>
    <w:multiLevelType w:val="multilevel"/>
    <w:tmpl w:val="22D32E6E"/>
    <w:lvl w:ilvl="0" w:tentative="0">
      <w:start w:val="1"/>
      <w:numFmt w:val="bullet"/>
      <w:pStyle w:val="7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70D67F26"/>
    <w:multiLevelType w:val="multilevel"/>
    <w:tmpl w:val="70D67F26"/>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61"/>
    <w:rsid w:val="0000262F"/>
    <w:rsid w:val="000060DE"/>
    <w:rsid w:val="000064B0"/>
    <w:rsid w:val="00006A5C"/>
    <w:rsid w:val="00006B79"/>
    <w:rsid w:val="00006C5B"/>
    <w:rsid w:val="000102F5"/>
    <w:rsid w:val="000113A5"/>
    <w:rsid w:val="000272BA"/>
    <w:rsid w:val="00037F8C"/>
    <w:rsid w:val="00040E70"/>
    <w:rsid w:val="0004120F"/>
    <w:rsid w:val="00042997"/>
    <w:rsid w:val="00054CEA"/>
    <w:rsid w:val="00067701"/>
    <w:rsid w:val="00070049"/>
    <w:rsid w:val="00071648"/>
    <w:rsid w:val="00074E55"/>
    <w:rsid w:val="00076890"/>
    <w:rsid w:val="00082D10"/>
    <w:rsid w:val="00083CE5"/>
    <w:rsid w:val="00085E9E"/>
    <w:rsid w:val="00087EBA"/>
    <w:rsid w:val="000A07FC"/>
    <w:rsid w:val="000A295D"/>
    <w:rsid w:val="000B5574"/>
    <w:rsid w:val="000B7050"/>
    <w:rsid w:val="000C6152"/>
    <w:rsid w:val="000D1AAD"/>
    <w:rsid w:val="000D5BFF"/>
    <w:rsid w:val="000E2ECB"/>
    <w:rsid w:val="000E6B38"/>
    <w:rsid w:val="000E72BD"/>
    <w:rsid w:val="000E7CF0"/>
    <w:rsid w:val="000F0D13"/>
    <w:rsid w:val="000F2BF1"/>
    <w:rsid w:val="001007AE"/>
    <w:rsid w:val="0010149F"/>
    <w:rsid w:val="00102FDB"/>
    <w:rsid w:val="00103108"/>
    <w:rsid w:val="0011570C"/>
    <w:rsid w:val="001221DF"/>
    <w:rsid w:val="00126674"/>
    <w:rsid w:val="00132588"/>
    <w:rsid w:val="0013387F"/>
    <w:rsid w:val="0013470C"/>
    <w:rsid w:val="00136182"/>
    <w:rsid w:val="001367F6"/>
    <w:rsid w:val="00137B3E"/>
    <w:rsid w:val="00143377"/>
    <w:rsid w:val="00154E89"/>
    <w:rsid w:val="0015550A"/>
    <w:rsid w:val="00155A57"/>
    <w:rsid w:val="0015767E"/>
    <w:rsid w:val="00157822"/>
    <w:rsid w:val="001611E4"/>
    <w:rsid w:val="001626A5"/>
    <w:rsid w:val="00164445"/>
    <w:rsid w:val="00165DAA"/>
    <w:rsid w:val="001724F0"/>
    <w:rsid w:val="00180DE1"/>
    <w:rsid w:val="001852D5"/>
    <w:rsid w:val="001A1384"/>
    <w:rsid w:val="001A1704"/>
    <w:rsid w:val="001A6641"/>
    <w:rsid w:val="001A6827"/>
    <w:rsid w:val="001A69CA"/>
    <w:rsid w:val="001B0206"/>
    <w:rsid w:val="001B0AD8"/>
    <w:rsid w:val="001D2310"/>
    <w:rsid w:val="001D6909"/>
    <w:rsid w:val="001F0B2F"/>
    <w:rsid w:val="001F1DE5"/>
    <w:rsid w:val="001F2EBF"/>
    <w:rsid w:val="001F6FCC"/>
    <w:rsid w:val="00201C4D"/>
    <w:rsid w:val="00203F5A"/>
    <w:rsid w:val="00205DAA"/>
    <w:rsid w:val="00207E29"/>
    <w:rsid w:val="00220BB4"/>
    <w:rsid w:val="002250CA"/>
    <w:rsid w:val="002327FC"/>
    <w:rsid w:val="00236BCB"/>
    <w:rsid w:val="00242FCE"/>
    <w:rsid w:val="00243758"/>
    <w:rsid w:val="00243DB8"/>
    <w:rsid w:val="002452DA"/>
    <w:rsid w:val="002507CD"/>
    <w:rsid w:val="00253CD1"/>
    <w:rsid w:val="002609A3"/>
    <w:rsid w:val="00262AA9"/>
    <w:rsid w:val="00263DBA"/>
    <w:rsid w:val="002674C6"/>
    <w:rsid w:val="00280AAB"/>
    <w:rsid w:val="00282662"/>
    <w:rsid w:val="002846FD"/>
    <w:rsid w:val="002869C3"/>
    <w:rsid w:val="002908ED"/>
    <w:rsid w:val="002A1EC8"/>
    <w:rsid w:val="002A31AE"/>
    <w:rsid w:val="002B0FA7"/>
    <w:rsid w:val="002B2195"/>
    <w:rsid w:val="002B328B"/>
    <w:rsid w:val="002B3D18"/>
    <w:rsid w:val="002B67EC"/>
    <w:rsid w:val="002C04B7"/>
    <w:rsid w:val="002C0701"/>
    <w:rsid w:val="002C1CB3"/>
    <w:rsid w:val="002C252B"/>
    <w:rsid w:val="002C268F"/>
    <w:rsid w:val="002C2E69"/>
    <w:rsid w:val="002C4B97"/>
    <w:rsid w:val="002D0916"/>
    <w:rsid w:val="002D3951"/>
    <w:rsid w:val="002E3540"/>
    <w:rsid w:val="002E36AE"/>
    <w:rsid w:val="002F344E"/>
    <w:rsid w:val="00300094"/>
    <w:rsid w:val="00300A9F"/>
    <w:rsid w:val="0030126A"/>
    <w:rsid w:val="00305589"/>
    <w:rsid w:val="003107CA"/>
    <w:rsid w:val="00311927"/>
    <w:rsid w:val="00311A9F"/>
    <w:rsid w:val="00313303"/>
    <w:rsid w:val="003365D5"/>
    <w:rsid w:val="00340214"/>
    <w:rsid w:val="00344690"/>
    <w:rsid w:val="00347F32"/>
    <w:rsid w:val="003639A3"/>
    <w:rsid w:val="003666B6"/>
    <w:rsid w:val="00371697"/>
    <w:rsid w:val="00371BB6"/>
    <w:rsid w:val="0037201C"/>
    <w:rsid w:val="00372518"/>
    <w:rsid w:val="00372BBC"/>
    <w:rsid w:val="003733CE"/>
    <w:rsid w:val="00380A1F"/>
    <w:rsid w:val="00382333"/>
    <w:rsid w:val="00387D6B"/>
    <w:rsid w:val="00397139"/>
    <w:rsid w:val="003A4BF0"/>
    <w:rsid w:val="003A677D"/>
    <w:rsid w:val="003B7477"/>
    <w:rsid w:val="003C538A"/>
    <w:rsid w:val="003C5797"/>
    <w:rsid w:val="003C713B"/>
    <w:rsid w:val="003D35DA"/>
    <w:rsid w:val="003D49F4"/>
    <w:rsid w:val="003D4DEA"/>
    <w:rsid w:val="003E303C"/>
    <w:rsid w:val="003E7E27"/>
    <w:rsid w:val="003F6838"/>
    <w:rsid w:val="00402484"/>
    <w:rsid w:val="00404FAA"/>
    <w:rsid w:val="00415861"/>
    <w:rsid w:val="004203AD"/>
    <w:rsid w:val="004218AD"/>
    <w:rsid w:val="0042694A"/>
    <w:rsid w:val="0042709B"/>
    <w:rsid w:val="0043215A"/>
    <w:rsid w:val="0043289D"/>
    <w:rsid w:val="00434141"/>
    <w:rsid w:val="0043648B"/>
    <w:rsid w:val="004441F0"/>
    <w:rsid w:val="004451E5"/>
    <w:rsid w:val="00445982"/>
    <w:rsid w:val="00456E04"/>
    <w:rsid w:val="00457EBE"/>
    <w:rsid w:val="004619E4"/>
    <w:rsid w:val="00464E16"/>
    <w:rsid w:val="004719BA"/>
    <w:rsid w:val="00472616"/>
    <w:rsid w:val="00472DEC"/>
    <w:rsid w:val="0047433B"/>
    <w:rsid w:val="004765E3"/>
    <w:rsid w:val="00483659"/>
    <w:rsid w:val="0048433E"/>
    <w:rsid w:val="0048561B"/>
    <w:rsid w:val="00492FA2"/>
    <w:rsid w:val="004A4965"/>
    <w:rsid w:val="004A5647"/>
    <w:rsid w:val="004B4F39"/>
    <w:rsid w:val="004B523E"/>
    <w:rsid w:val="004B5C25"/>
    <w:rsid w:val="004C05D2"/>
    <w:rsid w:val="004D0F40"/>
    <w:rsid w:val="004D123C"/>
    <w:rsid w:val="004D2599"/>
    <w:rsid w:val="004D3AD2"/>
    <w:rsid w:val="004D5F64"/>
    <w:rsid w:val="004D7C1C"/>
    <w:rsid w:val="004E4D39"/>
    <w:rsid w:val="004E4E7D"/>
    <w:rsid w:val="004E5F55"/>
    <w:rsid w:val="004F2586"/>
    <w:rsid w:val="004F32F1"/>
    <w:rsid w:val="004F5814"/>
    <w:rsid w:val="005060FA"/>
    <w:rsid w:val="005163A6"/>
    <w:rsid w:val="00516BD7"/>
    <w:rsid w:val="00520D7F"/>
    <w:rsid w:val="0052310A"/>
    <w:rsid w:val="005261EA"/>
    <w:rsid w:val="00530818"/>
    <w:rsid w:val="0053110E"/>
    <w:rsid w:val="005315AF"/>
    <w:rsid w:val="0053350A"/>
    <w:rsid w:val="00535F25"/>
    <w:rsid w:val="0053655B"/>
    <w:rsid w:val="00544EEA"/>
    <w:rsid w:val="00547CCF"/>
    <w:rsid w:val="00556447"/>
    <w:rsid w:val="00571EDF"/>
    <w:rsid w:val="00583B07"/>
    <w:rsid w:val="00583F61"/>
    <w:rsid w:val="00584A04"/>
    <w:rsid w:val="005877EF"/>
    <w:rsid w:val="005901B9"/>
    <w:rsid w:val="00590215"/>
    <w:rsid w:val="00593B21"/>
    <w:rsid w:val="005958CC"/>
    <w:rsid w:val="005A1062"/>
    <w:rsid w:val="005A136C"/>
    <w:rsid w:val="005A252A"/>
    <w:rsid w:val="005A3EB3"/>
    <w:rsid w:val="005A494A"/>
    <w:rsid w:val="005A6EB9"/>
    <w:rsid w:val="005A7E43"/>
    <w:rsid w:val="005B30F2"/>
    <w:rsid w:val="005C17CE"/>
    <w:rsid w:val="005C6B2D"/>
    <w:rsid w:val="005D0C67"/>
    <w:rsid w:val="005D37BC"/>
    <w:rsid w:val="005D429C"/>
    <w:rsid w:val="005E19C8"/>
    <w:rsid w:val="005E371D"/>
    <w:rsid w:val="005E37BD"/>
    <w:rsid w:val="005E3953"/>
    <w:rsid w:val="005F23B3"/>
    <w:rsid w:val="005F2EC4"/>
    <w:rsid w:val="005F615A"/>
    <w:rsid w:val="00600912"/>
    <w:rsid w:val="00605076"/>
    <w:rsid w:val="00607720"/>
    <w:rsid w:val="0061065F"/>
    <w:rsid w:val="00614D56"/>
    <w:rsid w:val="006170C6"/>
    <w:rsid w:val="00621FE4"/>
    <w:rsid w:val="00623281"/>
    <w:rsid w:val="00630953"/>
    <w:rsid w:val="0063735F"/>
    <w:rsid w:val="006375E8"/>
    <w:rsid w:val="006423F3"/>
    <w:rsid w:val="00645C9B"/>
    <w:rsid w:val="00654AF8"/>
    <w:rsid w:val="00655784"/>
    <w:rsid w:val="0065653B"/>
    <w:rsid w:val="00660761"/>
    <w:rsid w:val="0066223A"/>
    <w:rsid w:val="00662AA8"/>
    <w:rsid w:val="0066474C"/>
    <w:rsid w:val="00664FB4"/>
    <w:rsid w:val="006731E4"/>
    <w:rsid w:val="006740F2"/>
    <w:rsid w:val="00677D2A"/>
    <w:rsid w:val="00680F7D"/>
    <w:rsid w:val="0068120F"/>
    <w:rsid w:val="00681AE7"/>
    <w:rsid w:val="00681D0A"/>
    <w:rsid w:val="00687114"/>
    <w:rsid w:val="006907A3"/>
    <w:rsid w:val="00693C89"/>
    <w:rsid w:val="00697ACF"/>
    <w:rsid w:val="006A178F"/>
    <w:rsid w:val="006A4876"/>
    <w:rsid w:val="006A6163"/>
    <w:rsid w:val="006A75B2"/>
    <w:rsid w:val="006B0B2C"/>
    <w:rsid w:val="006B238B"/>
    <w:rsid w:val="006B3CD1"/>
    <w:rsid w:val="006B5753"/>
    <w:rsid w:val="006C090E"/>
    <w:rsid w:val="006C7AED"/>
    <w:rsid w:val="006D175B"/>
    <w:rsid w:val="006D27FB"/>
    <w:rsid w:val="006D5BEE"/>
    <w:rsid w:val="006E4572"/>
    <w:rsid w:val="006E579F"/>
    <w:rsid w:val="006F3257"/>
    <w:rsid w:val="006F523A"/>
    <w:rsid w:val="006F5ED4"/>
    <w:rsid w:val="0070383C"/>
    <w:rsid w:val="00703BD4"/>
    <w:rsid w:val="007056F5"/>
    <w:rsid w:val="00706A57"/>
    <w:rsid w:val="00711F9D"/>
    <w:rsid w:val="00714AF9"/>
    <w:rsid w:val="00715FEA"/>
    <w:rsid w:val="00716B25"/>
    <w:rsid w:val="007244DE"/>
    <w:rsid w:val="00725FC3"/>
    <w:rsid w:val="00727FE8"/>
    <w:rsid w:val="00736248"/>
    <w:rsid w:val="00740D83"/>
    <w:rsid w:val="00741909"/>
    <w:rsid w:val="007510CC"/>
    <w:rsid w:val="007526F4"/>
    <w:rsid w:val="00760FDE"/>
    <w:rsid w:val="007618AE"/>
    <w:rsid w:val="00763C0E"/>
    <w:rsid w:val="00765F48"/>
    <w:rsid w:val="0076608B"/>
    <w:rsid w:val="0077446C"/>
    <w:rsid w:val="007745BC"/>
    <w:rsid w:val="00774B9A"/>
    <w:rsid w:val="007761C2"/>
    <w:rsid w:val="00777260"/>
    <w:rsid w:val="00782F60"/>
    <w:rsid w:val="00786C34"/>
    <w:rsid w:val="007872E0"/>
    <w:rsid w:val="00790DAA"/>
    <w:rsid w:val="0079197E"/>
    <w:rsid w:val="00794E25"/>
    <w:rsid w:val="00797D3E"/>
    <w:rsid w:val="007A27FB"/>
    <w:rsid w:val="007A6200"/>
    <w:rsid w:val="007B0500"/>
    <w:rsid w:val="007B0808"/>
    <w:rsid w:val="007C0540"/>
    <w:rsid w:val="007C2D98"/>
    <w:rsid w:val="007C56BA"/>
    <w:rsid w:val="007C6DF5"/>
    <w:rsid w:val="007D38B8"/>
    <w:rsid w:val="007D3E1A"/>
    <w:rsid w:val="007E182F"/>
    <w:rsid w:val="007E4DCC"/>
    <w:rsid w:val="007E69BA"/>
    <w:rsid w:val="007F327F"/>
    <w:rsid w:val="007F3DFE"/>
    <w:rsid w:val="008026BF"/>
    <w:rsid w:val="008032FF"/>
    <w:rsid w:val="008068FE"/>
    <w:rsid w:val="00810F53"/>
    <w:rsid w:val="008168F7"/>
    <w:rsid w:val="00822BC9"/>
    <w:rsid w:val="00823227"/>
    <w:rsid w:val="00823A63"/>
    <w:rsid w:val="00831459"/>
    <w:rsid w:val="00837572"/>
    <w:rsid w:val="008406EE"/>
    <w:rsid w:val="008425AE"/>
    <w:rsid w:val="008506DD"/>
    <w:rsid w:val="00852764"/>
    <w:rsid w:val="00853745"/>
    <w:rsid w:val="00853A3B"/>
    <w:rsid w:val="008552B8"/>
    <w:rsid w:val="008632EE"/>
    <w:rsid w:val="00866A00"/>
    <w:rsid w:val="00872E23"/>
    <w:rsid w:val="00880BA7"/>
    <w:rsid w:val="008823F4"/>
    <w:rsid w:val="00885D9B"/>
    <w:rsid w:val="00886A1D"/>
    <w:rsid w:val="00886AD0"/>
    <w:rsid w:val="00891D4D"/>
    <w:rsid w:val="00893102"/>
    <w:rsid w:val="00893941"/>
    <w:rsid w:val="00894020"/>
    <w:rsid w:val="008A44D8"/>
    <w:rsid w:val="008A4D67"/>
    <w:rsid w:val="008A74ED"/>
    <w:rsid w:val="008B1443"/>
    <w:rsid w:val="008B6308"/>
    <w:rsid w:val="008C03BF"/>
    <w:rsid w:val="008C0896"/>
    <w:rsid w:val="008C0AA7"/>
    <w:rsid w:val="008C62AC"/>
    <w:rsid w:val="008C6D70"/>
    <w:rsid w:val="008D1846"/>
    <w:rsid w:val="008D4769"/>
    <w:rsid w:val="008E5AAC"/>
    <w:rsid w:val="008F216B"/>
    <w:rsid w:val="00912A7E"/>
    <w:rsid w:val="0091606C"/>
    <w:rsid w:val="00916DFD"/>
    <w:rsid w:val="00920AB3"/>
    <w:rsid w:val="009226F7"/>
    <w:rsid w:val="00924D64"/>
    <w:rsid w:val="00931B5C"/>
    <w:rsid w:val="0093321D"/>
    <w:rsid w:val="00935298"/>
    <w:rsid w:val="00935CC8"/>
    <w:rsid w:val="009434A1"/>
    <w:rsid w:val="00952E44"/>
    <w:rsid w:val="00953D05"/>
    <w:rsid w:val="00973FD0"/>
    <w:rsid w:val="00974991"/>
    <w:rsid w:val="00975001"/>
    <w:rsid w:val="00983315"/>
    <w:rsid w:val="00984155"/>
    <w:rsid w:val="00986DA9"/>
    <w:rsid w:val="00991844"/>
    <w:rsid w:val="00993068"/>
    <w:rsid w:val="009A27FB"/>
    <w:rsid w:val="009B0830"/>
    <w:rsid w:val="009C0223"/>
    <w:rsid w:val="009C0448"/>
    <w:rsid w:val="009C286A"/>
    <w:rsid w:val="009C2EDA"/>
    <w:rsid w:val="009C5EE5"/>
    <w:rsid w:val="009D2F30"/>
    <w:rsid w:val="009D4151"/>
    <w:rsid w:val="009D6F5F"/>
    <w:rsid w:val="009D7D01"/>
    <w:rsid w:val="009E0BFC"/>
    <w:rsid w:val="009F033B"/>
    <w:rsid w:val="009F265D"/>
    <w:rsid w:val="009F36EF"/>
    <w:rsid w:val="00A03680"/>
    <w:rsid w:val="00A05939"/>
    <w:rsid w:val="00A0645B"/>
    <w:rsid w:val="00A11488"/>
    <w:rsid w:val="00A2098A"/>
    <w:rsid w:val="00A2796E"/>
    <w:rsid w:val="00A30DDB"/>
    <w:rsid w:val="00A3600E"/>
    <w:rsid w:val="00A36B5B"/>
    <w:rsid w:val="00A415D3"/>
    <w:rsid w:val="00A4681F"/>
    <w:rsid w:val="00A46F4A"/>
    <w:rsid w:val="00A501B8"/>
    <w:rsid w:val="00A51B0F"/>
    <w:rsid w:val="00A54DD9"/>
    <w:rsid w:val="00A72350"/>
    <w:rsid w:val="00A7787F"/>
    <w:rsid w:val="00A87B66"/>
    <w:rsid w:val="00A94E82"/>
    <w:rsid w:val="00A9789E"/>
    <w:rsid w:val="00A978FA"/>
    <w:rsid w:val="00AA31F3"/>
    <w:rsid w:val="00AA363F"/>
    <w:rsid w:val="00AA419F"/>
    <w:rsid w:val="00AA5CBD"/>
    <w:rsid w:val="00AB0CDC"/>
    <w:rsid w:val="00AB3212"/>
    <w:rsid w:val="00AB4B0A"/>
    <w:rsid w:val="00AC79E6"/>
    <w:rsid w:val="00AD14A3"/>
    <w:rsid w:val="00AD34F3"/>
    <w:rsid w:val="00AE2E8B"/>
    <w:rsid w:val="00AE4CFD"/>
    <w:rsid w:val="00AE5C6F"/>
    <w:rsid w:val="00AF118D"/>
    <w:rsid w:val="00AF353A"/>
    <w:rsid w:val="00B0104E"/>
    <w:rsid w:val="00B0300F"/>
    <w:rsid w:val="00B104E2"/>
    <w:rsid w:val="00B1099B"/>
    <w:rsid w:val="00B23138"/>
    <w:rsid w:val="00B24581"/>
    <w:rsid w:val="00B24AFF"/>
    <w:rsid w:val="00B30587"/>
    <w:rsid w:val="00B367D8"/>
    <w:rsid w:val="00B41D23"/>
    <w:rsid w:val="00B51690"/>
    <w:rsid w:val="00B52D7C"/>
    <w:rsid w:val="00B572E0"/>
    <w:rsid w:val="00B6237D"/>
    <w:rsid w:val="00B63096"/>
    <w:rsid w:val="00B661A0"/>
    <w:rsid w:val="00B73EF5"/>
    <w:rsid w:val="00B76DAA"/>
    <w:rsid w:val="00B77EA3"/>
    <w:rsid w:val="00B818B8"/>
    <w:rsid w:val="00B86789"/>
    <w:rsid w:val="00B87C43"/>
    <w:rsid w:val="00B95735"/>
    <w:rsid w:val="00BA79E5"/>
    <w:rsid w:val="00BB017D"/>
    <w:rsid w:val="00BB0437"/>
    <w:rsid w:val="00BB0725"/>
    <w:rsid w:val="00BB1241"/>
    <w:rsid w:val="00BB3DD6"/>
    <w:rsid w:val="00BC3652"/>
    <w:rsid w:val="00BD4A9C"/>
    <w:rsid w:val="00BD52F9"/>
    <w:rsid w:val="00BD6408"/>
    <w:rsid w:val="00BD7C9E"/>
    <w:rsid w:val="00BE1986"/>
    <w:rsid w:val="00BF0A33"/>
    <w:rsid w:val="00BF1755"/>
    <w:rsid w:val="00BF2041"/>
    <w:rsid w:val="00BF3D1E"/>
    <w:rsid w:val="00BF66FD"/>
    <w:rsid w:val="00C01C7C"/>
    <w:rsid w:val="00C02E39"/>
    <w:rsid w:val="00C0423D"/>
    <w:rsid w:val="00C04279"/>
    <w:rsid w:val="00C10CBE"/>
    <w:rsid w:val="00C11B74"/>
    <w:rsid w:val="00C13539"/>
    <w:rsid w:val="00C1432E"/>
    <w:rsid w:val="00C14E45"/>
    <w:rsid w:val="00C159DF"/>
    <w:rsid w:val="00C15A07"/>
    <w:rsid w:val="00C168DD"/>
    <w:rsid w:val="00C20292"/>
    <w:rsid w:val="00C21985"/>
    <w:rsid w:val="00C229DC"/>
    <w:rsid w:val="00C23A70"/>
    <w:rsid w:val="00C31080"/>
    <w:rsid w:val="00C32936"/>
    <w:rsid w:val="00C3372F"/>
    <w:rsid w:val="00C42334"/>
    <w:rsid w:val="00C42B4C"/>
    <w:rsid w:val="00C42E97"/>
    <w:rsid w:val="00C44362"/>
    <w:rsid w:val="00C474BB"/>
    <w:rsid w:val="00C511FD"/>
    <w:rsid w:val="00C5317B"/>
    <w:rsid w:val="00C54757"/>
    <w:rsid w:val="00C56C47"/>
    <w:rsid w:val="00C624C1"/>
    <w:rsid w:val="00C6590D"/>
    <w:rsid w:val="00C66771"/>
    <w:rsid w:val="00C67F3D"/>
    <w:rsid w:val="00C709D3"/>
    <w:rsid w:val="00C70C22"/>
    <w:rsid w:val="00C7653A"/>
    <w:rsid w:val="00C80079"/>
    <w:rsid w:val="00C8162F"/>
    <w:rsid w:val="00C828F4"/>
    <w:rsid w:val="00C86930"/>
    <w:rsid w:val="00C87C6C"/>
    <w:rsid w:val="00C95678"/>
    <w:rsid w:val="00C95C4A"/>
    <w:rsid w:val="00C96E1B"/>
    <w:rsid w:val="00CA6131"/>
    <w:rsid w:val="00CC3C15"/>
    <w:rsid w:val="00CC4A2A"/>
    <w:rsid w:val="00CC550C"/>
    <w:rsid w:val="00CD240F"/>
    <w:rsid w:val="00CD311F"/>
    <w:rsid w:val="00CE200B"/>
    <w:rsid w:val="00CE30D5"/>
    <w:rsid w:val="00CE71FE"/>
    <w:rsid w:val="00CF28EB"/>
    <w:rsid w:val="00CF3C72"/>
    <w:rsid w:val="00D03934"/>
    <w:rsid w:val="00D0603C"/>
    <w:rsid w:val="00D06604"/>
    <w:rsid w:val="00D119B4"/>
    <w:rsid w:val="00D13BD5"/>
    <w:rsid w:val="00D140AE"/>
    <w:rsid w:val="00D16CC8"/>
    <w:rsid w:val="00D22629"/>
    <w:rsid w:val="00D24A52"/>
    <w:rsid w:val="00D250C5"/>
    <w:rsid w:val="00D31763"/>
    <w:rsid w:val="00D33E06"/>
    <w:rsid w:val="00D35F43"/>
    <w:rsid w:val="00D36938"/>
    <w:rsid w:val="00D45D35"/>
    <w:rsid w:val="00D467C2"/>
    <w:rsid w:val="00D51EFC"/>
    <w:rsid w:val="00D54ED6"/>
    <w:rsid w:val="00D61696"/>
    <w:rsid w:val="00D618AE"/>
    <w:rsid w:val="00D65B1A"/>
    <w:rsid w:val="00D703CA"/>
    <w:rsid w:val="00D71E2F"/>
    <w:rsid w:val="00D72E53"/>
    <w:rsid w:val="00D73FAA"/>
    <w:rsid w:val="00D777B6"/>
    <w:rsid w:val="00D81FB2"/>
    <w:rsid w:val="00D87184"/>
    <w:rsid w:val="00D93929"/>
    <w:rsid w:val="00D94C93"/>
    <w:rsid w:val="00DA463C"/>
    <w:rsid w:val="00DB1739"/>
    <w:rsid w:val="00DB458F"/>
    <w:rsid w:val="00DC0294"/>
    <w:rsid w:val="00DC3450"/>
    <w:rsid w:val="00DD1EC2"/>
    <w:rsid w:val="00DD2A0C"/>
    <w:rsid w:val="00DD7852"/>
    <w:rsid w:val="00DD7AD7"/>
    <w:rsid w:val="00DE0955"/>
    <w:rsid w:val="00DE292F"/>
    <w:rsid w:val="00DE3635"/>
    <w:rsid w:val="00DE620E"/>
    <w:rsid w:val="00DF0E1B"/>
    <w:rsid w:val="00DF492E"/>
    <w:rsid w:val="00DF65A1"/>
    <w:rsid w:val="00DF74E6"/>
    <w:rsid w:val="00E005E6"/>
    <w:rsid w:val="00E02504"/>
    <w:rsid w:val="00E03675"/>
    <w:rsid w:val="00E05CE0"/>
    <w:rsid w:val="00E11386"/>
    <w:rsid w:val="00E15B55"/>
    <w:rsid w:val="00E171D2"/>
    <w:rsid w:val="00E35EA6"/>
    <w:rsid w:val="00E41314"/>
    <w:rsid w:val="00E43ACD"/>
    <w:rsid w:val="00E4783C"/>
    <w:rsid w:val="00E5243F"/>
    <w:rsid w:val="00E525AF"/>
    <w:rsid w:val="00E5519B"/>
    <w:rsid w:val="00E6178A"/>
    <w:rsid w:val="00E61CA7"/>
    <w:rsid w:val="00E651D4"/>
    <w:rsid w:val="00E65D26"/>
    <w:rsid w:val="00E8381E"/>
    <w:rsid w:val="00E866F4"/>
    <w:rsid w:val="00E9298B"/>
    <w:rsid w:val="00E95D3F"/>
    <w:rsid w:val="00E96AEF"/>
    <w:rsid w:val="00EA2488"/>
    <w:rsid w:val="00EA2AB8"/>
    <w:rsid w:val="00EB16F5"/>
    <w:rsid w:val="00EB3F7C"/>
    <w:rsid w:val="00EC1974"/>
    <w:rsid w:val="00EC1D70"/>
    <w:rsid w:val="00EC3A78"/>
    <w:rsid w:val="00EC61A5"/>
    <w:rsid w:val="00EE6946"/>
    <w:rsid w:val="00EE72BD"/>
    <w:rsid w:val="00EF150F"/>
    <w:rsid w:val="00EF425E"/>
    <w:rsid w:val="00EF6481"/>
    <w:rsid w:val="00F050EE"/>
    <w:rsid w:val="00F12911"/>
    <w:rsid w:val="00F157B0"/>
    <w:rsid w:val="00F17BB7"/>
    <w:rsid w:val="00F200B7"/>
    <w:rsid w:val="00F23D19"/>
    <w:rsid w:val="00F334D4"/>
    <w:rsid w:val="00F34E2F"/>
    <w:rsid w:val="00F36E1E"/>
    <w:rsid w:val="00F41B37"/>
    <w:rsid w:val="00F445B5"/>
    <w:rsid w:val="00F46CBE"/>
    <w:rsid w:val="00F478D8"/>
    <w:rsid w:val="00F50BBD"/>
    <w:rsid w:val="00F51363"/>
    <w:rsid w:val="00F54F58"/>
    <w:rsid w:val="00F56549"/>
    <w:rsid w:val="00F608BB"/>
    <w:rsid w:val="00F737C0"/>
    <w:rsid w:val="00F77C74"/>
    <w:rsid w:val="00F80967"/>
    <w:rsid w:val="00F83A8E"/>
    <w:rsid w:val="00F85E0E"/>
    <w:rsid w:val="00F916BA"/>
    <w:rsid w:val="00FA1DAE"/>
    <w:rsid w:val="00FA20A1"/>
    <w:rsid w:val="00FA3D2F"/>
    <w:rsid w:val="00FB5C65"/>
    <w:rsid w:val="00FC1ED2"/>
    <w:rsid w:val="00FC264B"/>
    <w:rsid w:val="00FC26B5"/>
    <w:rsid w:val="00FD0303"/>
    <w:rsid w:val="00FD28C4"/>
    <w:rsid w:val="00FD599B"/>
    <w:rsid w:val="00FD7AFF"/>
    <w:rsid w:val="00FE06E7"/>
    <w:rsid w:val="00FE119F"/>
    <w:rsid w:val="00FE5134"/>
    <w:rsid w:val="015F3254"/>
    <w:rsid w:val="01D74B94"/>
    <w:rsid w:val="01EF3128"/>
    <w:rsid w:val="02220517"/>
    <w:rsid w:val="026929FF"/>
    <w:rsid w:val="026A169B"/>
    <w:rsid w:val="027C5266"/>
    <w:rsid w:val="027D052E"/>
    <w:rsid w:val="027E6F18"/>
    <w:rsid w:val="028E36C1"/>
    <w:rsid w:val="02DB65A7"/>
    <w:rsid w:val="0314419D"/>
    <w:rsid w:val="03495265"/>
    <w:rsid w:val="03623F17"/>
    <w:rsid w:val="036902F4"/>
    <w:rsid w:val="037F45A2"/>
    <w:rsid w:val="03B50895"/>
    <w:rsid w:val="03B65BDE"/>
    <w:rsid w:val="03C4523A"/>
    <w:rsid w:val="03EE1902"/>
    <w:rsid w:val="03F05F7B"/>
    <w:rsid w:val="04414CAE"/>
    <w:rsid w:val="04BD5452"/>
    <w:rsid w:val="04D94B9F"/>
    <w:rsid w:val="04DC5E90"/>
    <w:rsid w:val="04F71898"/>
    <w:rsid w:val="0512637C"/>
    <w:rsid w:val="05411F99"/>
    <w:rsid w:val="05AE14DE"/>
    <w:rsid w:val="05DA3C9F"/>
    <w:rsid w:val="05F01689"/>
    <w:rsid w:val="05FF7C8D"/>
    <w:rsid w:val="06215E18"/>
    <w:rsid w:val="0623601E"/>
    <w:rsid w:val="062D78B1"/>
    <w:rsid w:val="063D7484"/>
    <w:rsid w:val="067231FE"/>
    <w:rsid w:val="06796A2D"/>
    <w:rsid w:val="06C8072B"/>
    <w:rsid w:val="06D80E87"/>
    <w:rsid w:val="06FB6E4E"/>
    <w:rsid w:val="07123728"/>
    <w:rsid w:val="07434552"/>
    <w:rsid w:val="075F3B6A"/>
    <w:rsid w:val="077D128F"/>
    <w:rsid w:val="07DC53A7"/>
    <w:rsid w:val="07FD21C1"/>
    <w:rsid w:val="080D7B53"/>
    <w:rsid w:val="082E1272"/>
    <w:rsid w:val="082F2EFC"/>
    <w:rsid w:val="08437691"/>
    <w:rsid w:val="084E585C"/>
    <w:rsid w:val="089E73E8"/>
    <w:rsid w:val="08A0099E"/>
    <w:rsid w:val="0944750F"/>
    <w:rsid w:val="094F6F85"/>
    <w:rsid w:val="097E36DB"/>
    <w:rsid w:val="099F7F6F"/>
    <w:rsid w:val="09A54ED8"/>
    <w:rsid w:val="09B207F9"/>
    <w:rsid w:val="09CD27F9"/>
    <w:rsid w:val="09DE4A06"/>
    <w:rsid w:val="09E22677"/>
    <w:rsid w:val="09E3434E"/>
    <w:rsid w:val="09EA252C"/>
    <w:rsid w:val="09ED4429"/>
    <w:rsid w:val="09FE75F3"/>
    <w:rsid w:val="0A03304E"/>
    <w:rsid w:val="0A705C97"/>
    <w:rsid w:val="0A8A72F1"/>
    <w:rsid w:val="0A9B46A5"/>
    <w:rsid w:val="0AC0370B"/>
    <w:rsid w:val="0AD907FD"/>
    <w:rsid w:val="0AEF20C6"/>
    <w:rsid w:val="0B4E3A9D"/>
    <w:rsid w:val="0B51501E"/>
    <w:rsid w:val="0B815EFE"/>
    <w:rsid w:val="0B8E6139"/>
    <w:rsid w:val="0B954BBF"/>
    <w:rsid w:val="0B9A2898"/>
    <w:rsid w:val="0BD767E7"/>
    <w:rsid w:val="0BDD43E1"/>
    <w:rsid w:val="0C231388"/>
    <w:rsid w:val="0C275B5F"/>
    <w:rsid w:val="0C6A68CC"/>
    <w:rsid w:val="0C994C14"/>
    <w:rsid w:val="0C997FE4"/>
    <w:rsid w:val="0CF11C88"/>
    <w:rsid w:val="0D4F4D22"/>
    <w:rsid w:val="0DA93D10"/>
    <w:rsid w:val="0DC33BF5"/>
    <w:rsid w:val="0DE40DDD"/>
    <w:rsid w:val="0DE870AF"/>
    <w:rsid w:val="0E062F55"/>
    <w:rsid w:val="0E1733D3"/>
    <w:rsid w:val="0E1B1632"/>
    <w:rsid w:val="0E280D1E"/>
    <w:rsid w:val="0E2C3EF6"/>
    <w:rsid w:val="0E8E2413"/>
    <w:rsid w:val="0E8F5DAF"/>
    <w:rsid w:val="0EBA7401"/>
    <w:rsid w:val="0ECF1697"/>
    <w:rsid w:val="0ECF1C9D"/>
    <w:rsid w:val="0F1F0D16"/>
    <w:rsid w:val="0F503CB0"/>
    <w:rsid w:val="0F6B3808"/>
    <w:rsid w:val="0F751969"/>
    <w:rsid w:val="0F9740BA"/>
    <w:rsid w:val="0FA477FD"/>
    <w:rsid w:val="0FCE5850"/>
    <w:rsid w:val="0FEB2F0D"/>
    <w:rsid w:val="0FF90BC3"/>
    <w:rsid w:val="10291F7A"/>
    <w:rsid w:val="10340D79"/>
    <w:rsid w:val="104579BD"/>
    <w:rsid w:val="10EB1B5C"/>
    <w:rsid w:val="10FC1E33"/>
    <w:rsid w:val="11346396"/>
    <w:rsid w:val="113551E6"/>
    <w:rsid w:val="11AE30C6"/>
    <w:rsid w:val="11DA5C4E"/>
    <w:rsid w:val="11E60F71"/>
    <w:rsid w:val="11E74D81"/>
    <w:rsid w:val="11F65F0B"/>
    <w:rsid w:val="11F969CD"/>
    <w:rsid w:val="12030629"/>
    <w:rsid w:val="12444B13"/>
    <w:rsid w:val="125E7A06"/>
    <w:rsid w:val="12914207"/>
    <w:rsid w:val="12A7131C"/>
    <w:rsid w:val="12CC0662"/>
    <w:rsid w:val="12D0036B"/>
    <w:rsid w:val="12DE659A"/>
    <w:rsid w:val="1305241F"/>
    <w:rsid w:val="135350C1"/>
    <w:rsid w:val="13F67F03"/>
    <w:rsid w:val="14077C74"/>
    <w:rsid w:val="14100410"/>
    <w:rsid w:val="14214815"/>
    <w:rsid w:val="14360F37"/>
    <w:rsid w:val="146D6985"/>
    <w:rsid w:val="14735F6E"/>
    <w:rsid w:val="14785D3D"/>
    <w:rsid w:val="147E0E3D"/>
    <w:rsid w:val="14B2296E"/>
    <w:rsid w:val="150C21D7"/>
    <w:rsid w:val="15112861"/>
    <w:rsid w:val="152C3D84"/>
    <w:rsid w:val="153747A1"/>
    <w:rsid w:val="1570400F"/>
    <w:rsid w:val="157D344D"/>
    <w:rsid w:val="15900974"/>
    <w:rsid w:val="15AC0C45"/>
    <w:rsid w:val="15BC3624"/>
    <w:rsid w:val="15BC4236"/>
    <w:rsid w:val="15ED57A4"/>
    <w:rsid w:val="15F228BD"/>
    <w:rsid w:val="164F5220"/>
    <w:rsid w:val="16534820"/>
    <w:rsid w:val="16666AEF"/>
    <w:rsid w:val="16AC1941"/>
    <w:rsid w:val="16C21F3A"/>
    <w:rsid w:val="16C6315E"/>
    <w:rsid w:val="16CF3972"/>
    <w:rsid w:val="17244A82"/>
    <w:rsid w:val="1752258F"/>
    <w:rsid w:val="17B0376D"/>
    <w:rsid w:val="17B23263"/>
    <w:rsid w:val="17C73831"/>
    <w:rsid w:val="17C73D87"/>
    <w:rsid w:val="18984C0F"/>
    <w:rsid w:val="1926214B"/>
    <w:rsid w:val="195E6489"/>
    <w:rsid w:val="197874D5"/>
    <w:rsid w:val="1988673C"/>
    <w:rsid w:val="198C3419"/>
    <w:rsid w:val="19DA1AF8"/>
    <w:rsid w:val="1A1678A4"/>
    <w:rsid w:val="1A9C7638"/>
    <w:rsid w:val="1AAA30B1"/>
    <w:rsid w:val="1AAE3F81"/>
    <w:rsid w:val="1AD23809"/>
    <w:rsid w:val="1B0B13D3"/>
    <w:rsid w:val="1B1D0590"/>
    <w:rsid w:val="1B847224"/>
    <w:rsid w:val="1BD96B8C"/>
    <w:rsid w:val="1BF956CF"/>
    <w:rsid w:val="1C3109C5"/>
    <w:rsid w:val="1C672B22"/>
    <w:rsid w:val="1CB05F21"/>
    <w:rsid w:val="1CB5635F"/>
    <w:rsid w:val="1CBD3FB3"/>
    <w:rsid w:val="1CD5383D"/>
    <w:rsid w:val="1CDD55E8"/>
    <w:rsid w:val="1CFD009B"/>
    <w:rsid w:val="1D5114DA"/>
    <w:rsid w:val="1D5C602F"/>
    <w:rsid w:val="1DFE18C6"/>
    <w:rsid w:val="1E586DA6"/>
    <w:rsid w:val="1E996BC3"/>
    <w:rsid w:val="1E9A0EC4"/>
    <w:rsid w:val="1EA93A82"/>
    <w:rsid w:val="1EAF1FB4"/>
    <w:rsid w:val="1EB62660"/>
    <w:rsid w:val="1ED818B4"/>
    <w:rsid w:val="1F5829E4"/>
    <w:rsid w:val="1F7D6E36"/>
    <w:rsid w:val="1F7E7CF3"/>
    <w:rsid w:val="1F893FA1"/>
    <w:rsid w:val="1F9E758C"/>
    <w:rsid w:val="1FA35075"/>
    <w:rsid w:val="1FB1562A"/>
    <w:rsid w:val="1FB44D91"/>
    <w:rsid w:val="1FCA14B3"/>
    <w:rsid w:val="1FED10A7"/>
    <w:rsid w:val="200E0021"/>
    <w:rsid w:val="204E36B6"/>
    <w:rsid w:val="20970C07"/>
    <w:rsid w:val="20AC0D30"/>
    <w:rsid w:val="214206D0"/>
    <w:rsid w:val="214F25C4"/>
    <w:rsid w:val="21A57E58"/>
    <w:rsid w:val="21B07748"/>
    <w:rsid w:val="21BE024B"/>
    <w:rsid w:val="21C318D0"/>
    <w:rsid w:val="21FE1453"/>
    <w:rsid w:val="220D7E1F"/>
    <w:rsid w:val="22194B04"/>
    <w:rsid w:val="22353B2B"/>
    <w:rsid w:val="2255750B"/>
    <w:rsid w:val="22702E2E"/>
    <w:rsid w:val="22853819"/>
    <w:rsid w:val="22D76E34"/>
    <w:rsid w:val="22EF3E91"/>
    <w:rsid w:val="231879A1"/>
    <w:rsid w:val="23225D32"/>
    <w:rsid w:val="232C79D6"/>
    <w:rsid w:val="23586A43"/>
    <w:rsid w:val="23635636"/>
    <w:rsid w:val="237E61FB"/>
    <w:rsid w:val="237F66B2"/>
    <w:rsid w:val="23A24522"/>
    <w:rsid w:val="23A52A88"/>
    <w:rsid w:val="2400534A"/>
    <w:rsid w:val="240C4D62"/>
    <w:rsid w:val="241E65F5"/>
    <w:rsid w:val="245E5315"/>
    <w:rsid w:val="24940192"/>
    <w:rsid w:val="24973B34"/>
    <w:rsid w:val="24A948B4"/>
    <w:rsid w:val="24D40F7C"/>
    <w:rsid w:val="24E41FED"/>
    <w:rsid w:val="24EB0BA1"/>
    <w:rsid w:val="24FF015C"/>
    <w:rsid w:val="254070EF"/>
    <w:rsid w:val="254C40BE"/>
    <w:rsid w:val="255F4018"/>
    <w:rsid w:val="2577354B"/>
    <w:rsid w:val="25BA46F2"/>
    <w:rsid w:val="25C42A83"/>
    <w:rsid w:val="25D93E73"/>
    <w:rsid w:val="25F5457A"/>
    <w:rsid w:val="264628A4"/>
    <w:rsid w:val="26464B87"/>
    <w:rsid w:val="264D638D"/>
    <w:rsid w:val="26C80513"/>
    <w:rsid w:val="272F3A9B"/>
    <w:rsid w:val="27AE68E2"/>
    <w:rsid w:val="27B31352"/>
    <w:rsid w:val="27C04E03"/>
    <w:rsid w:val="27C5494C"/>
    <w:rsid w:val="28A53708"/>
    <w:rsid w:val="28BA78FD"/>
    <w:rsid w:val="28E0623D"/>
    <w:rsid w:val="28E75AE1"/>
    <w:rsid w:val="28EC0E31"/>
    <w:rsid w:val="28F545A8"/>
    <w:rsid w:val="28FD54D0"/>
    <w:rsid w:val="295E7D6B"/>
    <w:rsid w:val="2A116471"/>
    <w:rsid w:val="2A165AB6"/>
    <w:rsid w:val="2A230613"/>
    <w:rsid w:val="2A3E4BB0"/>
    <w:rsid w:val="2A621B97"/>
    <w:rsid w:val="2B035E33"/>
    <w:rsid w:val="2B204A89"/>
    <w:rsid w:val="2B2A26C6"/>
    <w:rsid w:val="2B2A31B0"/>
    <w:rsid w:val="2B667F60"/>
    <w:rsid w:val="2B6C5732"/>
    <w:rsid w:val="2B8D4F93"/>
    <w:rsid w:val="2BE378A9"/>
    <w:rsid w:val="2C401128"/>
    <w:rsid w:val="2C55584A"/>
    <w:rsid w:val="2C5F310B"/>
    <w:rsid w:val="2C7A0E36"/>
    <w:rsid w:val="2CBA0563"/>
    <w:rsid w:val="2CD04B03"/>
    <w:rsid w:val="2CD86E45"/>
    <w:rsid w:val="2CE30931"/>
    <w:rsid w:val="2D0568E8"/>
    <w:rsid w:val="2D092E8B"/>
    <w:rsid w:val="2D3E2F42"/>
    <w:rsid w:val="2D565277"/>
    <w:rsid w:val="2D8A6EEA"/>
    <w:rsid w:val="2D9B3963"/>
    <w:rsid w:val="2E011DA8"/>
    <w:rsid w:val="2E0D7DD6"/>
    <w:rsid w:val="2E290C87"/>
    <w:rsid w:val="2E296A4A"/>
    <w:rsid w:val="2E5C1D5C"/>
    <w:rsid w:val="2E7F3BD6"/>
    <w:rsid w:val="2E8445D9"/>
    <w:rsid w:val="2E8647DE"/>
    <w:rsid w:val="2E881F26"/>
    <w:rsid w:val="2E8B7BE2"/>
    <w:rsid w:val="2E976DAE"/>
    <w:rsid w:val="2E983555"/>
    <w:rsid w:val="2EB12D24"/>
    <w:rsid w:val="2ED65A68"/>
    <w:rsid w:val="2F442C1B"/>
    <w:rsid w:val="2F566C3E"/>
    <w:rsid w:val="2FA174B3"/>
    <w:rsid w:val="2FBD0A96"/>
    <w:rsid w:val="2FDA65D0"/>
    <w:rsid w:val="2FF951E7"/>
    <w:rsid w:val="300D4BEB"/>
    <w:rsid w:val="30316E1F"/>
    <w:rsid w:val="304D36C1"/>
    <w:rsid w:val="305A7607"/>
    <w:rsid w:val="30712D30"/>
    <w:rsid w:val="309D770D"/>
    <w:rsid w:val="31126BC0"/>
    <w:rsid w:val="31354F68"/>
    <w:rsid w:val="31642A40"/>
    <w:rsid w:val="318002EF"/>
    <w:rsid w:val="31AC08A6"/>
    <w:rsid w:val="31AE7611"/>
    <w:rsid w:val="31CC4FC0"/>
    <w:rsid w:val="31DA7AF6"/>
    <w:rsid w:val="31E60D3A"/>
    <w:rsid w:val="31F22602"/>
    <w:rsid w:val="32002EBC"/>
    <w:rsid w:val="320678D4"/>
    <w:rsid w:val="32506E6A"/>
    <w:rsid w:val="32585281"/>
    <w:rsid w:val="32651612"/>
    <w:rsid w:val="327D4FD6"/>
    <w:rsid w:val="32A543F1"/>
    <w:rsid w:val="32B15BF2"/>
    <w:rsid w:val="33040A4B"/>
    <w:rsid w:val="332A457E"/>
    <w:rsid w:val="333445C3"/>
    <w:rsid w:val="3365330F"/>
    <w:rsid w:val="338A2A27"/>
    <w:rsid w:val="33922E14"/>
    <w:rsid w:val="33BA6388"/>
    <w:rsid w:val="33E97FAC"/>
    <w:rsid w:val="33F61764"/>
    <w:rsid w:val="341B7CC6"/>
    <w:rsid w:val="342B3A25"/>
    <w:rsid w:val="343230D5"/>
    <w:rsid w:val="347C7FB8"/>
    <w:rsid w:val="348F514A"/>
    <w:rsid w:val="349321AC"/>
    <w:rsid w:val="34AB747B"/>
    <w:rsid w:val="34D2373B"/>
    <w:rsid w:val="3511675F"/>
    <w:rsid w:val="35477A24"/>
    <w:rsid w:val="35524438"/>
    <w:rsid w:val="35897F5F"/>
    <w:rsid w:val="35A04F88"/>
    <w:rsid w:val="35C07A3B"/>
    <w:rsid w:val="35CB36F8"/>
    <w:rsid w:val="35F55D16"/>
    <w:rsid w:val="3600792F"/>
    <w:rsid w:val="361D6843"/>
    <w:rsid w:val="362B6F02"/>
    <w:rsid w:val="36587BA6"/>
    <w:rsid w:val="369C006A"/>
    <w:rsid w:val="36DD4521"/>
    <w:rsid w:val="37132D3F"/>
    <w:rsid w:val="373372A5"/>
    <w:rsid w:val="37737C8C"/>
    <w:rsid w:val="378B3228"/>
    <w:rsid w:val="37906A90"/>
    <w:rsid w:val="37E47653"/>
    <w:rsid w:val="380A29D4"/>
    <w:rsid w:val="382B20B3"/>
    <w:rsid w:val="38300C21"/>
    <w:rsid w:val="385C3867"/>
    <w:rsid w:val="38731C98"/>
    <w:rsid w:val="387A046A"/>
    <w:rsid w:val="389174E2"/>
    <w:rsid w:val="38984676"/>
    <w:rsid w:val="38B7551A"/>
    <w:rsid w:val="38C2712E"/>
    <w:rsid w:val="391B76E1"/>
    <w:rsid w:val="3948702E"/>
    <w:rsid w:val="3982296B"/>
    <w:rsid w:val="39EB3DE0"/>
    <w:rsid w:val="39FD3633"/>
    <w:rsid w:val="3A1E5D66"/>
    <w:rsid w:val="3A241712"/>
    <w:rsid w:val="3A391737"/>
    <w:rsid w:val="3A8257E7"/>
    <w:rsid w:val="3AAD005F"/>
    <w:rsid w:val="3ACD3F13"/>
    <w:rsid w:val="3AEE3E74"/>
    <w:rsid w:val="3B01249B"/>
    <w:rsid w:val="3B6B6B81"/>
    <w:rsid w:val="3B974FE5"/>
    <w:rsid w:val="3C0A0E9B"/>
    <w:rsid w:val="3C0D7926"/>
    <w:rsid w:val="3C3570EC"/>
    <w:rsid w:val="3C510DC5"/>
    <w:rsid w:val="3C6703F5"/>
    <w:rsid w:val="3CA95D61"/>
    <w:rsid w:val="3CBF2E36"/>
    <w:rsid w:val="3CCE164F"/>
    <w:rsid w:val="3CEB0694"/>
    <w:rsid w:val="3CFF60A0"/>
    <w:rsid w:val="3D1573E7"/>
    <w:rsid w:val="3D524B13"/>
    <w:rsid w:val="3D774CF7"/>
    <w:rsid w:val="3D98059B"/>
    <w:rsid w:val="3DA7291A"/>
    <w:rsid w:val="3DAD611B"/>
    <w:rsid w:val="3DCF671D"/>
    <w:rsid w:val="3DFA733B"/>
    <w:rsid w:val="3E1E0436"/>
    <w:rsid w:val="3E2B127B"/>
    <w:rsid w:val="3E3773F2"/>
    <w:rsid w:val="3E476E2A"/>
    <w:rsid w:val="3E7F616E"/>
    <w:rsid w:val="3E820AA3"/>
    <w:rsid w:val="3EBE17C0"/>
    <w:rsid w:val="3EC46212"/>
    <w:rsid w:val="3EC76EB5"/>
    <w:rsid w:val="3ECA7C75"/>
    <w:rsid w:val="3EEA1E75"/>
    <w:rsid w:val="3F617F50"/>
    <w:rsid w:val="3FBC4540"/>
    <w:rsid w:val="3FC522AB"/>
    <w:rsid w:val="405714A6"/>
    <w:rsid w:val="40890294"/>
    <w:rsid w:val="40921396"/>
    <w:rsid w:val="40A86BF9"/>
    <w:rsid w:val="40B70559"/>
    <w:rsid w:val="40C60753"/>
    <w:rsid w:val="40E1210B"/>
    <w:rsid w:val="41104592"/>
    <w:rsid w:val="411053AE"/>
    <w:rsid w:val="41223A56"/>
    <w:rsid w:val="413C5306"/>
    <w:rsid w:val="41B4509F"/>
    <w:rsid w:val="41DE54AE"/>
    <w:rsid w:val="41DF0D0D"/>
    <w:rsid w:val="41E42BC4"/>
    <w:rsid w:val="42061E1C"/>
    <w:rsid w:val="424034B9"/>
    <w:rsid w:val="42B62EEC"/>
    <w:rsid w:val="42F06ADE"/>
    <w:rsid w:val="42F23F10"/>
    <w:rsid w:val="4330314B"/>
    <w:rsid w:val="434774ED"/>
    <w:rsid w:val="436625D8"/>
    <w:rsid w:val="438220C6"/>
    <w:rsid w:val="439B6355"/>
    <w:rsid w:val="440169BC"/>
    <w:rsid w:val="440464B6"/>
    <w:rsid w:val="44162354"/>
    <w:rsid w:val="442539D5"/>
    <w:rsid w:val="44547298"/>
    <w:rsid w:val="446B3DCC"/>
    <w:rsid w:val="446B764F"/>
    <w:rsid w:val="44CF4F65"/>
    <w:rsid w:val="44D25191"/>
    <w:rsid w:val="44E21C8F"/>
    <w:rsid w:val="44FC6002"/>
    <w:rsid w:val="452A27D4"/>
    <w:rsid w:val="452B6511"/>
    <w:rsid w:val="45364737"/>
    <w:rsid w:val="453A7FA4"/>
    <w:rsid w:val="454E475C"/>
    <w:rsid w:val="456F5BF8"/>
    <w:rsid w:val="45C26876"/>
    <w:rsid w:val="45D4223E"/>
    <w:rsid w:val="46120C85"/>
    <w:rsid w:val="461B77EA"/>
    <w:rsid w:val="46393B03"/>
    <w:rsid w:val="468C3A4C"/>
    <w:rsid w:val="46AA20FD"/>
    <w:rsid w:val="475C0FC6"/>
    <w:rsid w:val="476167BC"/>
    <w:rsid w:val="47A95BBE"/>
    <w:rsid w:val="47D47434"/>
    <w:rsid w:val="47E04ECA"/>
    <w:rsid w:val="47ED1D41"/>
    <w:rsid w:val="48474DA0"/>
    <w:rsid w:val="48563F6B"/>
    <w:rsid w:val="4891762D"/>
    <w:rsid w:val="48A14FD1"/>
    <w:rsid w:val="48C920F7"/>
    <w:rsid w:val="48D92A3A"/>
    <w:rsid w:val="48DF209C"/>
    <w:rsid w:val="48ED37A4"/>
    <w:rsid w:val="48EE0FAA"/>
    <w:rsid w:val="4943533F"/>
    <w:rsid w:val="49C92928"/>
    <w:rsid w:val="49CD4B88"/>
    <w:rsid w:val="49EC4BAF"/>
    <w:rsid w:val="49F003A1"/>
    <w:rsid w:val="4A3E6BD8"/>
    <w:rsid w:val="4A4E4E64"/>
    <w:rsid w:val="4A500C79"/>
    <w:rsid w:val="4A791606"/>
    <w:rsid w:val="4A804DCE"/>
    <w:rsid w:val="4AD05611"/>
    <w:rsid w:val="4AFE0B1B"/>
    <w:rsid w:val="4B1367B9"/>
    <w:rsid w:val="4B1E3A4C"/>
    <w:rsid w:val="4B3D12EA"/>
    <w:rsid w:val="4B552AA6"/>
    <w:rsid w:val="4B6F21A3"/>
    <w:rsid w:val="4BD32BB3"/>
    <w:rsid w:val="4BFB6C0B"/>
    <w:rsid w:val="4C39659B"/>
    <w:rsid w:val="4C58104F"/>
    <w:rsid w:val="4C5C5085"/>
    <w:rsid w:val="4C632C63"/>
    <w:rsid w:val="4C9320DC"/>
    <w:rsid w:val="4CAF3076"/>
    <w:rsid w:val="4CBF054F"/>
    <w:rsid w:val="4CBF62EB"/>
    <w:rsid w:val="4CC21042"/>
    <w:rsid w:val="4CC51A03"/>
    <w:rsid w:val="4CF3569F"/>
    <w:rsid w:val="4CFE62B3"/>
    <w:rsid w:val="4D0C558F"/>
    <w:rsid w:val="4D1D18D7"/>
    <w:rsid w:val="4D472ED5"/>
    <w:rsid w:val="4D737D6A"/>
    <w:rsid w:val="4DB50BA7"/>
    <w:rsid w:val="4E1C6E78"/>
    <w:rsid w:val="4E201E59"/>
    <w:rsid w:val="4E314A0C"/>
    <w:rsid w:val="4E501A01"/>
    <w:rsid w:val="4E566916"/>
    <w:rsid w:val="4E8A1275"/>
    <w:rsid w:val="4EBB20CD"/>
    <w:rsid w:val="4EF82BCC"/>
    <w:rsid w:val="4F7C4962"/>
    <w:rsid w:val="4F934704"/>
    <w:rsid w:val="4F9C6062"/>
    <w:rsid w:val="4FA644DE"/>
    <w:rsid w:val="501415E9"/>
    <w:rsid w:val="501442ED"/>
    <w:rsid w:val="501B350A"/>
    <w:rsid w:val="503A59F4"/>
    <w:rsid w:val="505605DA"/>
    <w:rsid w:val="506714AC"/>
    <w:rsid w:val="50802D69"/>
    <w:rsid w:val="508770A9"/>
    <w:rsid w:val="508952CA"/>
    <w:rsid w:val="50914FE1"/>
    <w:rsid w:val="50926F7D"/>
    <w:rsid w:val="50995465"/>
    <w:rsid w:val="50C11AD5"/>
    <w:rsid w:val="50F50AE1"/>
    <w:rsid w:val="50F75D5C"/>
    <w:rsid w:val="51076ECF"/>
    <w:rsid w:val="51640797"/>
    <w:rsid w:val="51687EF6"/>
    <w:rsid w:val="517C31A7"/>
    <w:rsid w:val="51CB0999"/>
    <w:rsid w:val="51E23B91"/>
    <w:rsid w:val="522246D7"/>
    <w:rsid w:val="523A78A8"/>
    <w:rsid w:val="52461777"/>
    <w:rsid w:val="5251048F"/>
    <w:rsid w:val="525C3722"/>
    <w:rsid w:val="5281656A"/>
    <w:rsid w:val="5295654D"/>
    <w:rsid w:val="52D576F4"/>
    <w:rsid w:val="52D64DC2"/>
    <w:rsid w:val="530B1DCC"/>
    <w:rsid w:val="535008A8"/>
    <w:rsid w:val="535655AE"/>
    <w:rsid w:val="53914122"/>
    <w:rsid w:val="53C81047"/>
    <w:rsid w:val="53CA4BEF"/>
    <w:rsid w:val="53EB70A5"/>
    <w:rsid w:val="54113878"/>
    <w:rsid w:val="541457FF"/>
    <w:rsid w:val="544E6BA2"/>
    <w:rsid w:val="548019F9"/>
    <w:rsid w:val="54907749"/>
    <w:rsid w:val="54992FD0"/>
    <w:rsid w:val="54EB47FA"/>
    <w:rsid w:val="552D771E"/>
    <w:rsid w:val="55445E45"/>
    <w:rsid w:val="554740C7"/>
    <w:rsid w:val="557B67C2"/>
    <w:rsid w:val="559A122E"/>
    <w:rsid w:val="55A83145"/>
    <w:rsid w:val="55F85AD5"/>
    <w:rsid w:val="56164FC8"/>
    <w:rsid w:val="562D6180"/>
    <w:rsid w:val="562F3BF3"/>
    <w:rsid w:val="56391F84"/>
    <w:rsid w:val="56864602"/>
    <w:rsid w:val="56877E81"/>
    <w:rsid w:val="56F428A6"/>
    <w:rsid w:val="574466DC"/>
    <w:rsid w:val="57476D14"/>
    <w:rsid w:val="574F3EEC"/>
    <w:rsid w:val="576236D4"/>
    <w:rsid w:val="57746489"/>
    <w:rsid w:val="578111A0"/>
    <w:rsid w:val="580B0D23"/>
    <w:rsid w:val="58202CDF"/>
    <w:rsid w:val="58224FB7"/>
    <w:rsid w:val="582C26CE"/>
    <w:rsid w:val="582E5114"/>
    <w:rsid w:val="583F3742"/>
    <w:rsid w:val="586066B5"/>
    <w:rsid w:val="58AC2BA6"/>
    <w:rsid w:val="5937326A"/>
    <w:rsid w:val="594D3791"/>
    <w:rsid w:val="595C637A"/>
    <w:rsid w:val="5965533F"/>
    <w:rsid w:val="597312C9"/>
    <w:rsid w:val="599E4814"/>
    <w:rsid w:val="59FB53A7"/>
    <w:rsid w:val="5A220356"/>
    <w:rsid w:val="5A550356"/>
    <w:rsid w:val="5A69774E"/>
    <w:rsid w:val="5A6C3F68"/>
    <w:rsid w:val="5A8102D9"/>
    <w:rsid w:val="5A9D0636"/>
    <w:rsid w:val="5AA31EC3"/>
    <w:rsid w:val="5AB865E5"/>
    <w:rsid w:val="5ACB775E"/>
    <w:rsid w:val="5B0453E0"/>
    <w:rsid w:val="5B414CC9"/>
    <w:rsid w:val="5B857B47"/>
    <w:rsid w:val="5B913D4A"/>
    <w:rsid w:val="5BDD2B45"/>
    <w:rsid w:val="5BDF15CE"/>
    <w:rsid w:val="5C684D80"/>
    <w:rsid w:val="5C717DE0"/>
    <w:rsid w:val="5CBB76C3"/>
    <w:rsid w:val="5CCE1A50"/>
    <w:rsid w:val="5CCE4F26"/>
    <w:rsid w:val="5CE9439D"/>
    <w:rsid w:val="5D2353DA"/>
    <w:rsid w:val="5D2939EC"/>
    <w:rsid w:val="5D356A8C"/>
    <w:rsid w:val="5D4C4156"/>
    <w:rsid w:val="5D4F1722"/>
    <w:rsid w:val="5D7874FB"/>
    <w:rsid w:val="5D7A5DE9"/>
    <w:rsid w:val="5D7F08E6"/>
    <w:rsid w:val="5D861BCD"/>
    <w:rsid w:val="5DAA35DE"/>
    <w:rsid w:val="5DB004C1"/>
    <w:rsid w:val="5DDC6DE2"/>
    <w:rsid w:val="5DF247AE"/>
    <w:rsid w:val="5E22326B"/>
    <w:rsid w:val="5E2C79A4"/>
    <w:rsid w:val="5E517E1C"/>
    <w:rsid w:val="5E662032"/>
    <w:rsid w:val="5E7614FA"/>
    <w:rsid w:val="5E8724A6"/>
    <w:rsid w:val="5EA9297B"/>
    <w:rsid w:val="5ECC7FB4"/>
    <w:rsid w:val="5EF1120C"/>
    <w:rsid w:val="5F0F108F"/>
    <w:rsid w:val="5F2C1F67"/>
    <w:rsid w:val="5F5524AC"/>
    <w:rsid w:val="5F5C70D4"/>
    <w:rsid w:val="5FB17664"/>
    <w:rsid w:val="5FC84791"/>
    <w:rsid w:val="5FD64513"/>
    <w:rsid w:val="5FD93355"/>
    <w:rsid w:val="601D0AD7"/>
    <w:rsid w:val="603A11F0"/>
    <w:rsid w:val="60980A72"/>
    <w:rsid w:val="60A719A3"/>
    <w:rsid w:val="61196676"/>
    <w:rsid w:val="6120755A"/>
    <w:rsid w:val="61375EAB"/>
    <w:rsid w:val="618262D5"/>
    <w:rsid w:val="619902ED"/>
    <w:rsid w:val="61D84114"/>
    <w:rsid w:val="62096465"/>
    <w:rsid w:val="630257FD"/>
    <w:rsid w:val="631A489A"/>
    <w:rsid w:val="63224E38"/>
    <w:rsid w:val="632905BE"/>
    <w:rsid w:val="633A16D7"/>
    <w:rsid w:val="636855BC"/>
    <w:rsid w:val="637C498E"/>
    <w:rsid w:val="63884391"/>
    <w:rsid w:val="63A75896"/>
    <w:rsid w:val="63AD50AE"/>
    <w:rsid w:val="63B76029"/>
    <w:rsid w:val="63D13032"/>
    <w:rsid w:val="63E20377"/>
    <w:rsid w:val="63E87188"/>
    <w:rsid w:val="64065861"/>
    <w:rsid w:val="64147279"/>
    <w:rsid w:val="64374EF8"/>
    <w:rsid w:val="648B1CCD"/>
    <w:rsid w:val="649F1041"/>
    <w:rsid w:val="64D14FE9"/>
    <w:rsid w:val="65526949"/>
    <w:rsid w:val="658713A2"/>
    <w:rsid w:val="658904F7"/>
    <w:rsid w:val="65923E0E"/>
    <w:rsid w:val="65962D7E"/>
    <w:rsid w:val="664107D0"/>
    <w:rsid w:val="66495E59"/>
    <w:rsid w:val="666C48A6"/>
    <w:rsid w:val="66AD1184"/>
    <w:rsid w:val="66B66EE1"/>
    <w:rsid w:val="66B83C92"/>
    <w:rsid w:val="678D398F"/>
    <w:rsid w:val="679D227C"/>
    <w:rsid w:val="679F4B9A"/>
    <w:rsid w:val="67A536B8"/>
    <w:rsid w:val="67C047F7"/>
    <w:rsid w:val="67C4623F"/>
    <w:rsid w:val="680B196B"/>
    <w:rsid w:val="681930A8"/>
    <w:rsid w:val="685E59BB"/>
    <w:rsid w:val="68692862"/>
    <w:rsid w:val="688E33DC"/>
    <w:rsid w:val="689F608D"/>
    <w:rsid w:val="68A8338A"/>
    <w:rsid w:val="68B92529"/>
    <w:rsid w:val="68D63C7D"/>
    <w:rsid w:val="68E258A1"/>
    <w:rsid w:val="691702F9"/>
    <w:rsid w:val="69307BCE"/>
    <w:rsid w:val="693862AF"/>
    <w:rsid w:val="695F7B59"/>
    <w:rsid w:val="696E0D08"/>
    <w:rsid w:val="697773C1"/>
    <w:rsid w:val="69871113"/>
    <w:rsid w:val="69953C45"/>
    <w:rsid w:val="69D400CB"/>
    <w:rsid w:val="69F17C33"/>
    <w:rsid w:val="6A0639BD"/>
    <w:rsid w:val="6A680D6D"/>
    <w:rsid w:val="6A6F4C41"/>
    <w:rsid w:val="6A730B80"/>
    <w:rsid w:val="6AB04D8A"/>
    <w:rsid w:val="6AC613EB"/>
    <w:rsid w:val="6AEA5EDC"/>
    <w:rsid w:val="6B1875FD"/>
    <w:rsid w:val="6B2750E3"/>
    <w:rsid w:val="6B2A49F8"/>
    <w:rsid w:val="6B3A5B35"/>
    <w:rsid w:val="6B415E63"/>
    <w:rsid w:val="6B770D5D"/>
    <w:rsid w:val="6B7A22AD"/>
    <w:rsid w:val="6B7F0945"/>
    <w:rsid w:val="6B857941"/>
    <w:rsid w:val="6B9E3F88"/>
    <w:rsid w:val="6BC0463D"/>
    <w:rsid w:val="6BCE18ED"/>
    <w:rsid w:val="6BE31711"/>
    <w:rsid w:val="6C5506F2"/>
    <w:rsid w:val="6C597961"/>
    <w:rsid w:val="6C5E5255"/>
    <w:rsid w:val="6C6677E4"/>
    <w:rsid w:val="6C9C6D62"/>
    <w:rsid w:val="6CC047E3"/>
    <w:rsid w:val="6CE8190E"/>
    <w:rsid w:val="6CF349A1"/>
    <w:rsid w:val="6CFC4FC7"/>
    <w:rsid w:val="6D045E83"/>
    <w:rsid w:val="6D18485E"/>
    <w:rsid w:val="6D265943"/>
    <w:rsid w:val="6D30394E"/>
    <w:rsid w:val="6D4B5BF8"/>
    <w:rsid w:val="6D5227CC"/>
    <w:rsid w:val="6D620319"/>
    <w:rsid w:val="6D6B0293"/>
    <w:rsid w:val="6D9A691B"/>
    <w:rsid w:val="6DA1296C"/>
    <w:rsid w:val="6DD35CF1"/>
    <w:rsid w:val="6DD7464C"/>
    <w:rsid w:val="6E1F58CD"/>
    <w:rsid w:val="6E221243"/>
    <w:rsid w:val="6E495793"/>
    <w:rsid w:val="6E4B183C"/>
    <w:rsid w:val="6E7571D3"/>
    <w:rsid w:val="6E963AD3"/>
    <w:rsid w:val="6EAC1A04"/>
    <w:rsid w:val="6EB27AC2"/>
    <w:rsid w:val="6EBE49DB"/>
    <w:rsid w:val="6EEF6662"/>
    <w:rsid w:val="6EFE4284"/>
    <w:rsid w:val="6F1D0C25"/>
    <w:rsid w:val="6F657894"/>
    <w:rsid w:val="6F696A5A"/>
    <w:rsid w:val="6F730668"/>
    <w:rsid w:val="6FFC2C04"/>
    <w:rsid w:val="70840424"/>
    <w:rsid w:val="7095029D"/>
    <w:rsid w:val="70984BC8"/>
    <w:rsid w:val="70B767B8"/>
    <w:rsid w:val="70CF6970"/>
    <w:rsid w:val="710651FB"/>
    <w:rsid w:val="71C02DE5"/>
    <w:rsid w:val="71E76A38"/>
    <w:rsid w:val="720F66D2"/>
    <w:rsid w:val="724A3A4D"/>
    <w:rsid w:val="72536115"/>
    <w:rsid w:val="726F7588"/>
    <w:rsid w:val="72866A74"/>
    <w:rsid w:val="72C76C1E"/>
    <w:rsid w:val="72DD0AE1"/>
    <w:rsid w:val="72F90EAF"/>
    <w:rsid w:val="730768CA"/>
    <w:rsid w:val="731126D9"/>
    <w:rsid w:val="731178E3"/>
    <w:rsid w:val="731C2701"/>
    <w:rsid w:val="73651863"/>
    <w:rsid w:val="73740A39"/>
    <w:rsid w:val="73D50AA7"/>
    <w:rsid w:val="73DA776F"/>
    <w:rsid w:val="73E21655"/>
    <w:rsid w:val="73FB4CB6"/>
    <w:rsid w:val="74154008"/>
    <w:rsid w:val="745B5E27"/>
    <w:rsid w:val="74902D59"/>
    <w:rsid w:val="7499585B"/>
    <w:rsid w:val="74A76BEC"/>
    <w:rsid w:val="74D17ECA"/>
    <w:rsid w:val="74F6354B"/>
    <w:rsid w:val="75011284"/>
    <w:rsid w:val="75171229"/>
    <w:rsid w:val="7535223C"/>
    <w:rsid w:val="75400903"/>
    <w:rsid w:val="75630789"/>
    <w:rsid w:val="75750C36"/>
    <w:rsid w:val="75D22AF2"/>
    <w:rsid w:val="76072D30"/>
    <w:rsid w:val="76131A47"/>
    <w:rsid w:val="764367F1"/>
    <w:rsid w:val="76940E26"/>
    <w:rsid w:val="76976058"/>
    <w:rsid w:val="76A672F6"/>
    <w:rsid w:val="76C24C69"/>
    <w:rsid w:val="76D91E1F"/>
    <w:rsid w:val="76EC030B"/>
    <w:rsid w:val="76F27E89"/>
    <w:rsid w:val="76F54F61"/>
    <w:rsid w:val="772763C6"/>
    <w:rsid w:val="77361223"/>
    <w:rsid w:val="773B4AF5"/>
    <w:rsid w:val="775E6649"/>
    <w:rsid w:val="77863102"/>
    <w:rsid w:val="778A3E49"/>
    <w:rsid w:val="779A1060"/>
    <w:rsid w:val="77C73B03"/>
    <w:rsid w:val="77F57C6E"/>
    <w:rsid w:val="78054D74"/>
    <w:rsid w:val="780F5DA3"/>
    <w:rsid w:val="78672E1F"/>
    <w:rsid w:val="787F2D2A"/>
    <w:rsid w:val="78B9321E"/>
    <w:rsid w:val="78BD36AF"/>
    <w:rsid w:val="793C0BC6"/>
    <w:rsid w:val="793F239C"/>
    <w:rsid w:val="794F124E"/>
    <w:rsid w:val="79584B23"/>
    <w:rsid w:val="796C5B1A"/>
    <w:rsid w:val="79A541B9"/>
    <w:rsid w:val="79E32474"/>
    <w:rsid w:val="7A0A3BFE"/>
    <w:rsid w:val="7A241D42"/>
    <w:rsid w:val="7A2A70D3"/>
    <w:rsid w:val="7A3D5A83"/>
    <w:rsid w:val="7A6F776C"/>
    <w:rsid w:val="7A725F05"/>
    <w:rsid w:val="7AD7633D"/>
    <w:rsid w:val="7AD85843"/>
    <w:rsid w:val="7AE913CB"/>
    <w:rsid w:val="7B074467"/>
    <w:rsid w:val="7B1015FC"/>
    <w:rsid w:val="7B1D591E"/>
    <w:rsid w:val="7B301236"/>
    <w:rsid w:val="7B57709C"/>
    <w:rsid w:val="7B5D15F3"/>
    <w:rsid w:val="7B620269"/>
    <w:rsid w:val="7B8B3CF0"/>
    <w:rsid w:val="7B9F205C"/>
    <w:rsid w:val="7BA53FE7"/>
    <w:rsid w:val="7BB31275"/>
    <w:rsid w:val="7BBB4D2B"/>
    <w:rsid w:val="7BBF3C16"/>
    <w:rsid w:val="7BCC40FF"/>
    <w:rsid w:val="7BF63B70"/>
    <w:rsid w:val="7C4E4C8C"/>
    <w:rsid w:val="7C531ACA"/>
    <w:rsid w:val="7C6C681D"/>
    <w:rsid w:val="7C765530"/>
    <w:rsid w:val="7CCB7ABB"/>
    <w:rsid w:val="7CFA011A"/>
    <w:rsid w:val="7D242405"/>
    <w:rsid w:val="7D2B0214"/>
    <w:rsid w:val="7D2D2C6A"/>
    <w:rsid w:val="7D2E2BEF"/>
    <w:rsid w:val="7D41144A"/>
    <w:rsid w:val="7D66524B"/>
    <w:rsid w:val="7DBD5433"/>
    <w:rsid w:val="7DF95158"/>
    <w:rsid w:val="7E080375"/>
    <w:rsid w:val="7E12525B"/>
    <w:rsid w:val="7E176AB2"/>
    <w:rsid w:val="7E3637C7"/>
    <w:rsid w:val="7E437864"/>
    <w:rsid w:val="7E4D614C"/>
    <w:rsid w:val="7E8164F3"/>
    <w:rsid w:val="7E8C0808"/>
    <w:rsid w:val="7EA11750"/>
    <w:rsid w:val="7EA16CD8"/>
    <w:rsid w:val="7EB42EE3"/>
    <w:rsid w:val="7F04016F"/>
    <w:rsid w:val="7F403EC5"/>
    <w:rsid w:val="7FBF1048"/>
    <w:rsid w:val="7FC27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5"/>
    <w:qFormat/>
    <w:uiPriority w:val="0"/>
    <w:pPr>
      <w:keepNext/>
      <w:keepLines/>
      <w:spacing w:before="260" w:after="260" w:line="415" w:lineRule="auto"/>
      <w:outlineLvl w:val="2"/>
    </w:pPr>
    <w:rPr>
      <w:b/>
      <w:bCs/>
      <w:sz w:val="32"/>
      <w:szCs w:val="32"/>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7">
    <w:name w:val="Normal Indent"/>
    <w:basedOn w:val="1"/>
    <w:next w:val="1"/>
    <w:link w:val="59"/>
    <w:qFormat/>
    <w:uiPriority w:val="0"/>
    <w:pPr>
      <w:widowControl/>
      <w:ind w:firstLine="420"/>
      <w:jc w:val="left"/>
    </w:pPr>
    <w:rPr>
      <w:rFonts w:ascii="Calibri" w:hAnsi="Calibri" w:cs="黑体"/>
      <w:szCs w:val="22"/>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Salutation"/>
    <w:basedOn w:val="1"/>
    <w:next w:val="1"/>
    <w:link w:val="71"/>
    <w:qFormat/>
    <w:uiPriority w:val="0"/>
  </w:style>
  <w:style w:type="paragraph" w:styleId="10">
    <w:name w:val="Closing"/>
    <w:basedOn w:val="1"/>
    <w:link w:val="72"/>
    <w:qFormat/>
    <w:uiPriority w:val="0"/>
    <w:pPr>
      <w:ind w:left="100" w:leftChars="2100"/>
    </w:pPr>
  </w:style>
  <w:style w:type="paragraph" w:styleId="11">
    <w:name w:val="Body Text"/>
    <w:basedOn w:val="1"/>
    <w:link w:val="67"/>
    <w:qFormat/>
    <w:uiPriority w:val="0"/>
    <w:pPr>
      <w:widowControl/>
      <w:jc w:val="left"/>
    </w:pPr>
    <w:rPr>
      <w:kern w:val="0"/>
      <w:sz w:val="24"/>
      <w:szCs w:val="20"/>
    </w:rPr>
  </w:style>
  <w:style w:type="paragraph" w:styleId="12">
    <w:name w:val="Body Text Indent"/>
    <w:basedOn w:val="1"/>
    <w:link w:val="62"/>
    <w:qFormat/>
    <w:uiPriority w:val="0"/>
    <w:pPr>
      <w:spacing w:after="120"/>
      <w:ind w:left="420" w:leftChars="200"/>
    </w:pPr>
    <w:rPr>
      <w:rFonts w:ascii="Calibri" w:hAnsi="Calibri" w:cs="黑体"/>
    </w:rPr>
  </w:style>
  <w:style w:type="paragraph" w:styleId="13">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14">
    <w:name w:val="Plain Text"/>
    <w:basedOn w:val="1"/>
    <w:link w:val="58"/>
    <w:qFormat/>
    <w:uiPriority w:val="0"/>
    <w:rPr>
      <w:rFonts w:ascii="宋体" w:hAnsi="Courier New" w:cs="黑体"/>
      <w:szCs w:val="22"/>
    </w:rPr>
  </w:style>
  <w:style w:type="paragraph" w:styleId="15">
    <w:name w:val="Date"/>
    <w:basedOn w:val="1"/>
    <w:next w:val="1"/>
    <w:link w:val="60"/>
    <w:qFormat/>
    <w:uiPriority w:val="0"/>
    <w:pPr>
      <w:ind w:left="100" w:leftChars="2500"/>
    </w:pPr>
    <w:rPr>
      <w:rFonts w:ascii="Calibri" w:hAnsi="Calibri" w:cs="黑体"/>
    </w:rPr>
  </w:style>
  <w:style w:type="paragraph" w:styleId="16">
    <w:name w:val="Body Text Indent 2"/>
    <w:basedOn w:val="1"/>
    <w:link w:val="63"/>
    <w:qFormat/>
    <w:uiPriority w:val="0"/>
    <w:pPr>
      <w:spacing w:line="360" w:lineRule="auto"/>
      <w:ind w:left="839" w:hanging="839" w:hangingChars="355"/>
    </w:pPr>
    <w:rPr>
      <w:b/>
      <w:sz w:val="24"/>
    </w:rPr>
  </w:style>
  <w:style w:type="paragraph" w:styleId="17">
    <w:name w:val="Balloon Text"/>
    <w:basedOn w:val="1"/>
    <w:link w:val="65"/>
    <w:qFormat/>
    <w:uiPriority w:val="0"/>
    <w:rPr>
      <w:sz w:val="18"/>
      <w:szCs w:val="18"/>
    </w:rPr>
  </w:style>
  <w:style w:type="paragraph" w:styleId="18">
    <w:name w:val="footer"/>
    <w:basedOn w:val="1"/>
    <w:link w:val="52"/>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left" w:pos="840"/>
        <w:tab w:val="right" w:leader="dot" w:pos="8210"/>
      </w:tabs>
      <w:jc w:val="left"/>
    </w:pPr>
    <w:rPr>
      <w:rFonts w:ascii="仿宋_GB2312" w:hAnsi="宋体" w:eastAsia="仿宋_GB2312"/>
      <w:b/>
      <w:bCs/>
      <w:caps/>
      <w:sz w:val="32"/>
      <w:szCs w:val="32"/>
    </w:rPr>
  </w:style>
  <w:style w:type="paragraph" w:styleId="21">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22">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link w:val="81"/>
    <w:qFormat/>
    <w:uiPriority w:val="99"/>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0"/>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Theme"/>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styleId="32">
    <w:name w:val="HTML Sample"/>
    <w:basedOn w:val="28"/>
    <w:semiHidden/>
    <w:unhideWhenUsed/>
    <w:qFormat/>
    <w:uiPriority w:val="0"/>
    <w:rPr>
      <w:rFonts w:ascii="Courier New" w:hAnsi="Courier New"/>
    </w:rPr>
  </w:style>
  <w:style w:type="paragraph" w:customStyle="1" w:styleId="3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4">
    <w:name w:val="纯文本1"/>
    <w:basedOn w:val="1"/>
    <w:qFormat/>
    <w:uiPriority w:val="0"/>
    <w:pPr>
      <w:adjustRightInd w:val="0"/>
      <w:textAlignment w:val="baseline"/>
    </w:pPr>
    <w:rPr>
      <w:rFonts w:ascii="宋体" w:hAnsi="Courier New" w:eastAsia="楷体_GB2312"/>
      <w:sz w:val="26"/>
      <w:szCs w:val="20"/>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37">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38">
    <w:name w:val="0"/>
    <w:basedOn w:val="1"/>
    <w:qFormat/>
    <w:uiPriority w:val="0"/>
    <w:pPr>
      <w:widowControl/>
      <w:snapToGrid w:val="0"/>
    </w:pPr>
    <w:rPr>
      <w:kern w:val="0"/>
      <w:szCs w:val="21"/>
    </w:rPr>
  </w:style>
  <w:style w:type="paragraph" w:customStyle="1" w:styleId="39">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40">
    <w:name w:val="列出段落1"/>
    <w:basedOn w:val="1"/>
    <w:qFormat/>
    <w:uiPriority w:val="0"/>
    <w:pPr>
      <w:ind w:firstLine="420" w:firstLineChars="200"/>
    </w:pPr>
  </w:style>
  <w:style w:type="paragraph" w:customStyle="1" w:styleId="41">
    <w:name w:val="纯文本2"/>
    <w:basedOn w:val="1"/>
    <w:qFormat/>
    <w:uiPriority w:val="0"/>
    <w:pPr>
      <w:adjustRightInd w:val="0"/>
      <w:textAlignment w:val="baseline"/>
    </w:pPr>
    <w:rPr>
      <w:rFonts w:ascii="宋体" w:hAnsi="Courier New" w:eastAsia="楷体_GB2312"/>
      <w:sz w:val="26"/>
      <w:szCs w:val="20"/>
    </w:rPr>
  </w:style>
  <w:style w:type="paragraph" w:customStyle="1" w:styleId="42">
    <w:name w:val="默认段落字体 Para Char Char Char Char"/>
    <w:basedOn w:val="1"/>
    <w:qFormat/>
    <w:uiPriority w:val="0"/>
  </w:style>
  <w:style w:type="paragraph" w:customStyle="1" w:styleId="43">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4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6">
    <w:name w:val="列出段落11"/>
    <w:basedOn w:val="1"/>
    <w:qFormat/>
    <w:uiPriority w:val="0"/>
    <w:pPr>
      <w:ind w:firstLine="420" w:firstLineChars="200"/>
    </w:pPr>
    <w:rPr>
      <w:rFonts w:ascii="Calibri" w:hAnsi="Calibri"/>
      <w:szCs w:val="22"/>
    </w:rPr>
  </w:style>
  <w:style w:type="paragraph" w:customStyle="1" w:styleId="4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xl36"/>
    <w:basedOn w:val="1"/>
    <w:qFormat/>
    <w:uiPriority w:val="0"/>
    <w:pPr>
      <w:widowControl/>
      <w:spacing w:before="100" w:after="100"/>
      <w:jc w:val="center"/>
    </w:pPr>
    <w:rPr>
      <w:rFonts w:ascii="宋体" w:hAnsi="宋体"/>
      <w:kern w:val="0"/>
      <w:sz w:val="24"/>
      <w:szCs w:val="20"/>
    </w:rPr>
  </w:style>
  <w:style w:type="paragraph" w:customStyle="1" w:styleId="50">
    <w:name w:val="默认段落字体 Para Char"/>
    <w:basedOn w:val="1"/>
    <w:qFormat/>
    <w:uiPriority w:val="0"/>
    <w:pPr>
      <w:adjustRightInd w:val="0"/>
      <w:spacing w:line="360" w:lineRule="auto"/>
    </w:pPr>
    <w:rPr>
      <w:rFonts w:ascii="宋体" w:hAnsi="宋体" w:cs="宋体"/>
      <w:kern w:val="0"/>
      <w:sz w:val="24"/>
      <w:szCs w:val="20"/>
    </w:rPr>
  </w:style>
  <w:style w:type="character" w:customStyle="1" w:styleId="51">
    <w:name w:val="页眉 Char"/>
    <w:basedOn w:val="28"/>
    <w:link w:val="19"/>
    <w:qFormat/>
    <w:uiPriority w:val="99"/>
    <w:rPr>
      <w:sz w:val="18"/>
      <w:szCs w:val="18"/>
    </w:rPr>
  </w:style>
  <w:style w:type="character" w:customStyle="1" w:styleId="52">
    <w:name w:val="页脚 Char"/>
    <w:basedOn w:val="28"/>
    <w:link w:val="18"/>
    <w:qFormat/>
    <w:uiPriority w:val="99"/>
    <w:rPr>
      <w:sz w:val="18"/>
      <w:szCs w:val="18"/>
    </w:rPr>
  </w:style>
  <w:style w:type="character" w:customStyle="1" w:styleId="53">
    <w:name w:val="标题 1 Char"/>
    <w:basedOn w:val="28"/>
    <w:link w:val="3"/>
    <w:qFormat/>
    <w:uiPriority w:val="0"/>
    <w:rPr>
      <w:rFonts w:ascii="Times New Roman" w:hAnsi="Times New Roman" w:eastAsia="宋体" w:cs="Times New Roman"/>
      <w:b/>
      <w:bCs/>
      <w:kern w:val="44"/>
      <w:sz w:val="44"/>
      <w:szCs w:val="44"/>
    </w:rPr>
  </w:style>
  <w:style w:type="character" w:customStyle="1" w:styleId="54">
    <w:name w:val="标题 2 Char"/>
    <w:basedOn w:val="28"/>
    <w:link w:val="4"/>
    <w:qFormat/>
    <w:uiPriority w:val="0"/>
    <w:rPr>
      <w:rFonts w:ascii="Arial" w:hAnsi="Arial" w:eastAsia="黑体" w:cs="Times New Roman"/>
      <w:b/>
      <w:bCs/>
      <w:sz w:val="32"/>
      <w:szCs w:val="32"/>
    </w:rPr>
  </w:style>
  <w:style w:type="character" w:customStyle="1" w:styleId="55">
    <w:name w:val="标题 3 Char"/>
    <w:basedOn w:val="28"/>
    <w:link w:val="5"/>
    <w:qFormat/>
    <w:uiPriority w:val="0"/>
    <w:rPr>
      <w:rFonts w:ascii="Times New Roman" w:hAnsi="Times New Roman" w:eastAsia="宋体" w:cs="Times New Roman"/>
      <w:b/>
      <w:bCs/>
      <w:sz w:val="32"/>
      <w:szCs w:val="32"/>
    </w:rPr>
  </w:style>
  <w:style w:type="character" w:customStyle="1" w:styleId="56">
    <w:name w:val="标题 4 Char"/>
    <w:basedOn w:val="28"/>
    <w:link w:val="6"/>
    <w:qFormat/>
    <w:uiPriority w:val="0"/>
    <w:rPr>
      <w:rFonts w:ascii="Arial" w:hAnsi="Arial" w:eastAsia="黑体" w:cs="Times New Roman"/>
      <w:b/>
      <w:bCs/>
      <w:sz w:val="28"/>
      <w:szCs w:val="28"/>
    </w:rPr>
  </w:style>
  <w:style w:type="character" w:customStyle="1" w:styleId="57">
    <w:name w:val="hei"/>
    <w:basedOn w:val="28"/>
    <w:qFormat/>
    <w:uiPriority w:val="0"/>
  </w:style>
  <w:style w:type="character" w:customStyle="1" w:styleId="58">
    <w:name w:val="纯文本 Char"/>
    <w:basedOn w:val="28"/>
    <w:link w:val="14"/>
    <w:qFormat/>
    <w:uiPriority w:val="0"/>
    <w:rPr>
      <w:rFonts w:ascii="宋体" w:hAnsi="Courier New"/>
    </w:rPr>
  </w:style>
  <w:style w:type="character" w:customStyle="1" w:styleId="59">
    <w:name w:val="正文缩进 Char"/>
    <w:basedOn w:val="28"/>
    <w:link w:val="7"/>
    <w:qFormat/>
    <w:uiPriority w:val="0"/>
  </w:style>
  <w:style w:type="character" w:customStyle="1" w:styleId="60">
    <w:name w:val="日期 Char"/>
    <w:basedOn w:val="28"/>
    <w:link w:val="15"/>
    <w:qFormat/>
    <w:uiPriority w:val="0"/>
    <w:rPr>
      <w:szCs w:val="24"/>
    </w:rPr>
  </w:style>
  <w:style w:type="character" w:customStyle="1" w:styleId="61">
    <w:name w:val="p31"/>
    <w:basedOn w:val="28"/>
    <w:qFormat/>
    <w:uiPriority w:val="0"/>
    <w:rPr>
      <w:sz w:val="20"/>
      <w:szCs w:val="20"/>
    </w:rPr>
  </w:style>
  <w:style w:type="character" w:customStyle="1" w:styleId="62">
    <w:name w:val="正文文本缩进 Char"/>
    <w:basedOn w:val="28"/>
    <w:link w:val="12"/>
    <w:qFormat/>
    <w:uiPriority w:val="0"/>
    <w:rPr>
      <w:szCs w:val="24"/>
    </w:rPr>
  </w:style>
  <w:style w:type="character" w:customStyle="1" w:styleId="63">
    <w:name w:val="正文文本缩进 2 Char"/>
    <w:basedOn w:val="28"/>
    <w:link w:val="16"/>
    <w:qFormat/>
    <w:uiPriority w:val="0"/>
    <w:rPr>
      <w:rFonts w:ascii="Times New Roman" w:hAnsi="Times New Roman" w:eastAsia="宋体" w:cs="Times New Roman"/>
      <w:b/>
      <w:sz w:val="24"/>
      <w:szCs w:val="24"/>
    </w:rPr>
  </w:style>
  <w:style w:type="character" w:customStyle="1" w:styleId="64">
    <w:name w:val="纯文本 Char1"/>
    <w:basedOn w:val="28"/>
    <w:qFormat/>
    <w:uiPriority w:val="0"/>
    <w:rPr>
      <w:rFonts w:ascii="宋体" w:hAnsi="Courier New" w:eastAsia="宋体" w:cs="Courier New"/>
      <w:szCs w:val="21"/>
    </w:rPr>
  </w:style>
  <w:style w:type="character" w:customStyle="1" w:styleId="65">
    <w:name w:val="批注框文本 Char"/>
    <w:basedOn w:val="28"/>
    <w:link w:val="17"/>
    <w:qFormat/>
    <w:uiPriority w:val="0"/>
    <w:rPr>
      <w:rFonts w:ascii="Times New Roman" w:hAnsi="Times New Roman" w:eastAsia="宋体" w:cs="Times New Roman"/>
      <w:sz w:val="18"/>
      <w:szCs w:val="18"/>
    </w:rPr>
  </w:style>
  <w:style w:type="character" w:customStyle="1" w:styleId="66">
    <w:name w:val="正文文本缩进 Char1"/>
    <w:basedOn w:val="28"/>
    <w:semiHidden/>
    <w:qFormat/>
    <w:uiPriority w:val="99"/>
    <w:rPr>
      <w:rFonts w:ascii="Times New Roman" w:hAnsi="Times New Roman" w:eastAsia="宋体" w:cs="Times New Roman"/>
      <w:szCs w:val="24"/>
    </w:rPr>
  </w:style>
  <w:style w:type="character" w:customStyle="1" w:styleId="67">
    <w:name w:val="正文文本 Char"/>
    <w:basedOn w:val="28"/>
    <w:link w:val="11"/>
    <w:qFormat/>
    <w:uiPriority w:val="0"/>
    <w:rPr>
      <w:rFonts w:ascii="Times New Roman" w:hAnsi="Times New Roman" w:eastAsia="宋体" w:cs="Times New Roman"/>
      <w:kern w:val="0"/>
      <w:sz w:val="24"/>
      <w:szCs w:val="20"/>
    </w:rPr>
  </w:style>
  <w:style w:type="character" w:customStyle="1" w:styleId="68">
    <w:name w:val="日期 Char1"/>
    <w:basedOn w:val="28"/>
    <w:qFormat/>
    <w:uiPriority w:val="0"/>
    <w:rPr>
      <w:rFonts w:ascii="Times New Roman" w:hAnsi="Times New Roman" w:eastAsia="宋体" w:cs="Times New Roman"/>
      <w:szCs w:val="24"/>
    </w:rPr>
  </w:style>
  <w:style w:type="character" w:customStyle="1" w:styleId="69">
    <w:name w:val="正文缩进 Char1"/>
    <w:qFormat/>
    <w:uiPriority w:val="0"/>
    <w:rPr>
      <w:rFonts w:eastAsia="宋体"/>
      <w:kern w:val="2"/>
      <w:sz w:val="21"/>
      <w:szCs w:val="24"/>
      <w:lang w:val="en-US" w:eastAsia="zh-CN" w:bidi="ar-SA"/>
    </w:rPr>
  </w:style>
  <w:style w:type="character" w:customStyle="1" w:styleId="70">
    <w:name w:val="HTML 预设格式 Char"/>
    <w:basedOn w:val="28"/>
    <w:link w:val="22"/>
    <w:qFormat/>
    <w:uiPriority w:val="0"/>
    <w:rPr>
      <w:rFonts w:ascii="宋体" w:hAnsi="宋体" w:eastAsia="宋体" w:cs="宋体"/>
      <w:kern w:val="0"/>
      <w:sz w:val="24"/>
      <w:szCs w:val="24"/>
    </w:rPr>
  </w:style>
  <w:style w:type="character" w:customStyle="1" w:styleId="71">
    <w:name w:val="称呼 Char"/>
    <w:basedOn w:val="28"/>
    <w:link w:val="9"/>
    <w:qFormat/>
    <w:uiPriority w:val="0"/>
    <w:rPr>
      <w:rFonts w:ascii="Times New Roman" w:hAnsi="Times New Roman" w:eastAsia="宋体" w:cs="Times New Roman"/>
      <w:szCs w:val="24"/>
    </w:rPr>
  </w:style>
  <w:style w:type="character" w:customStyle="1" w:styleId="72">
    <w:name w:val="结束语 Char"/>
    <w:basedOn w:val="28"/>
    <w:link w:val="10"/>
    <w:qFormat/>
    <w:uiPriority w:val="0"/>
    <w:rPr>
      <w:rFonts w:ascii="Times New Roman" w:hAnsi="Times New Roman" w:eastAsia="宋体" w:cs="Times New Roman"/>
      <w:szCs w:val="24"/>
    </w:rPr>
  </w:style>
  <w:style w:type="character" w:customStyle="1" w:styleId="73">
    <w:name w:val="bodytext1"/>
    <w:qFormat/>
    <w:uiPriority w:val="0"/>
    <w:rPr>
      <w:rFonts w:ascii="Verdana" w:hAnsi="Verdana" w:cs="Times New Roman"/>
      <w:color w:val="000000"/>
      <w:sz w:val="22"/>
      <w:szCs w:val="22"/>
    </w:rPr>
  </w:style>
  <w:style w:type="paragraph" w:customStyle="1" w:styleId="74">
    <w:name w:val="p0"/>
    <w:basedOn w:val="1"/>
    <w:qFormat/>
    <w:uiPriority w:val="0"/>
    <w:rPr>
      <w:kern w:val="0"/>
      <w:szCs w:val="21"/>
    </w:rPr>
  </w:style>
  <w:style w:type="character" w:customStyle="1" w:styleId="75">
    <w:name w:val="font11"/>
    <w:basedOn w:val="28"/>
    <w:qFormat/>
    <w:uiPriority w:val="0"/>
    <w:rPr>
      <w:rFonts w:ascii="仿宋" w:hAnsi="仿宋" w:eastAsia="仿宋" w:cs="仿宋"/>
      <w:color w:val="000000"/>
      <w:sz w:val="24"/>
      <w:szCs w:val="24"/>
      <w:u w:val="none"/>
    </w:rPr>
  </w:style>
  <w:style w:type="character" w:customStyle="1" w:styleId="76">
    <w:name w:val="font51"/>
    <w:basedOn w:val="28"/>
    <w:qFormat/>
    <w:uiPriority w:val="0"/>
    <w:rPr>
      <w:rFonts w:hint="eastAsia" w:ascii="宋体" w:hAnsi="宋体" w:eastAsia="宋体" w:cs="宋体"/>
      <w:color w:val="000000"/>
      <w:sz w:val="20"/>
      <w:szCs w:val="20"/>
      <w:u w:val="none"/>
    </w:rPr>
  </w:style>
  <w:style w:type="paragraph" w:styleId="77">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宋体"/>
    <w:basedOn w:val="1"/>
    <w:link w:val="80"/>
    <w:qFormat/>
    <w:uiPriority w:val="0"/>
    <w:pPr>
      <w:widowControl/>
      <w:numPr>
        <w:ilvl w:val="0"/>
        <w:numId w:val="1"/>
      </w:numPr>
      <w:adjustRightInd w:val="0"/>
      <w:snapToGrid w:val="0"/>
      <w:spacing w:line="360" w:lineRule="auto"/>
      <w:jc w:val="left"/>
    </w:pPr>
    <w:rPr>
      <w:rFonts w:ascii="Arial" w:hAnsi="Arial" w:cs="Arial"/>
      <w:color w:val="000000"/>
      <w:sz w:val="24"/>
      <w:shd w:val="clear" w:color="auto" w:fill="FFFFFF"/>
    </w:rPr>
  </w:style>
  <w:style w:type="character" w:customStyle="1" w:styleId="80">
    <w:name w:val="正文-宋体 字符"/>
    <w:basedOn w:val="28"/>
    <w:link w:val="79"/>
    <w:qFormat/>
    <w:uiPriority w:val="0"/>
    <w:rPr>
      <w:rFonts w:ascii="Arial" w:hAnsi="Arial" w:cs="Arial"/>
      <w:color w:val="000000"/>
      <w:kern w:val="2"/>
      <w:sz w:val="24"/>
      <w:szCs w:val="24"/>
    </w:rPr>
  </w:style>
  <w:style w:type="character" w:customStyle="1" w:styleId="81">
    <w:name w:val="普通(网站) Char"/>
    <w:link w:val="23"/>
    <w:qFormat/>
    <w:locked/>
    <w:uiPriority w:val="99"/>
    <w:rPr>
      <w:rFonts w:ascii="宋体" w:hAnsi="宋体" w:cs="宋体"/>
      <w:sz w:val="24"/>
      <w:szCs w:val="24"/>
    </w:rPr>
  </w:style>
  <w:style w:type="character" w:customStyle="1" w:styleId="82">
    <w:name w:val="bookmark-item"/>
    <w:basedOn w:val="28"/>
    <w:qFormat/>
    <w:uiPriority w:val="0"/>
  </w:style>
  <w:style w:type="character" w:customStyle="1" w:styleId="83">
    <w:name w:val="sub"/>
    <w:basedOn w:val="28"/>
    <w:qFormat/>
    <w:uiPriority w:val="0"/>
  </w:style>
  <w:style w:type="paragraph" w:customStyle="1" w:styleId="84">
    <w:name w:val="Item List in Table"/>
    <w:basedOn w:val="1"/>
    <w:qFormat/>
    <w:uiPriority w:val="0"/>
    <w:pPr>
      <w:numPr>
        <w:ilvl w:val="0"/>
        <w:numId w:val="2"/>
      </w:numPr>
      <w:tabs>
        <w:tab w:val="left" w:pos="420"/>
        <w:tab w:val="clear" w:pos="960"/>
      </w:tabs>
      <w:jc w:val="left"/>
    </w:pPr>
  </w:style>
  <w:style w:type="character" w:customStyle="1" w:styleId="85">
    <w:name w:val="tpc_content1"/>
    <w:basedOn w:val="28"/>
    <w:qFormat/>
    <w:uiPriority w:val="0"/>
    <w:rPr>
      <w:sz w:val="20"/>
      <w:szCs w:val="20"/>
    </w:rPr>
  </w:style>
  <w:style w:type="paragraph" w:customStyle="1" w:styleId="86">
    <w:name w:val="WG标题2"/>
    <w:basedOn w:val="1"/>
    <w:qFormat/>
    <w:uiPriority w:val="0"/>
    <w:pPr>
      <w:autoSpaceDE w:val="0"/>
      <w:autoSpaceDN w:val="0"/>
      <w:adjustRightInd w:val="0"/>
      <w:spacing w:before="60" w:after="60" w:line="360" w:lineRule="exact"/>
      <w:textAlignment w:val="baseline"/>
      <w:outlineLvl w:val="1"/>
    </w:pPr>
    <w:rPr>
      <w:rFonts w:eastAsia="黑体" w:cs="宋体"/>
      <w:color w:val="000000"/>
      <w:kern w:val="20"/>
      <w:sz w:val="28"/>
      <w:szCs w:val="20"/>
    </w:rPr>
  </w:style>
  <w:style w:type="paragraph" w:customStyle="1" w:styleId="87">
    <w:name w:val="555正文"/>
    <w:basedOn w:val="1"/>
    <w:qFormat/>
    <w:uiPriority w:val="0"/>
    <w:pPr>
      <w:autoSpaceDE w:val="0"/>
      <w:autoSpaceDN w:val="0"/>
      <w:adjustRightInd w:val="0"/>
      <w:spacing w:line="360" w:lineRule="auto"/>
      <w:ind w:firstLine="420" w:firstLineChars="200"/>
    </w:pPr>
    <w:rPr>
      <w:rFonts w:ascii="宋体" w:hAnsi="宋体" w:eastAsia="仿宋"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5C559-0297-47B7-8248-5ADF22FC5FA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3273</Words>
  <Characters>18661</Characters>
  <Lines>155</Lines>
  <Paragraphs>43</Paragraphs>
  <TotalTime>0</TotalTime>
  <ScaleCrop>false</ScaleCrop>
  <LinksUpToDate>false</LinksUpToDate>
  <CharactersWithSpaces>21891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2020-06-12T03:30:00Z</dcterms:created>
  <dc:creator>微软用户</dc:creator>
  <cp:lastModifiedBy>…</cp:lastModifiedBy>
  <cp:lastPrinted>2019-03-06T02:35:00Z</cp:lastPrinted>
  <dcterms:modified xsi:type="dcterms:W3CDTF">2022-04-19T11:02:35Z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819B2E2701BD472EBB33F9CB574719BD</vt:lpwstr>
  </property>
</Properties>
</file>