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firstLine="720" w:firstLineChars="200"/>
        <w:jc w:val="center"/>
        <w:rPr>
          <w:rFonts w:hint="eastAsia" w:ascii="微软雅黑" w:hAnsi="微软雅黑" w:eastAsia="微软雅黑" w:cs="微软雅黑"/>
          <w:b/>
          <w:color w:val="auto"/>
          <w:kern w:val="44"/>
          <w:sz w:val="36"/>
          <w:szCs w:val="21"/>
          <w:highlight w:val="none"/>
        </w:rPr>
      </w:pPr>
      <w:r>
        <w:rPr>
          <w:rFonts w:hint="eastAsia" w:ascii="微软雅黑" w:hAnsi="微软雅黑" w:eastAsia="微软雅黑" w:cs="微软雅黑"/>
          <w:b/>
          <w:color w:val="auto"/>
          <w:kern w:val="44"/>
          <w:sz w:val="36"/>
          <w:szCs w:val="21"/>
          <w:highlight w:val="none"/>
          <w:lang w:eastAsia="zh-CN"/>
        </w:rPr>
        <w:t>喀</w:t>
      </w:r>
      <w:r>
        <w:rPr>
          <w:rFonts w:hint="eastAsia" w:ascii="微软雅黑" w:hAnsi="微软雅黑" w:eastAsia="微软雅黑" w:cs="微软雅黑"/>
          <w:b/>
          <w:color w:val="auto"/>
          <w:kern w:val="44"/>
          <w:sz w:val="36"/>
          <w:szCs w:val="21"/>
          <w:highlight w:val="none"/>
        </w:rPr>
        <w:t>什大学图书馆2022年纸本中文图书采购项目公开招标公告</w:t>
      </w:r>
    </w:p>
    <w:p>
      <w:pPr>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u w:val="single"/>
        </w:rPr>
        <w:t>喀什大学图书馆2022年纸本中文图书采购项目</w:t>
      </w:r>
      <w:r>
        <w:rPr>
          <w:rFonts w:hint="eastAsia" w:ascii="微软雅黑" w:hAnsi="微软雅黑" w:eastAsia="微软雅黑" w:cs="微软雅黑"/>
          <w:color w:val="auto"/>
          <w:sz w:val="24"/>
          <w:highlight w:val="none"/>
        </w:rPr>
        <w:t>的潜在供应商应在</w:t>
      </w:r>
      <w:r>
        <w:rPr>
          <w:rFonts w:hint="eastAsia" w:ascii="微软雅黑" w:hAnsi="微软雅黑" w:eastAsia="微软雅黑" w:cs="微软雅黑"/>
          <w:color w:val="auto"/>
          <w:sz w:val="24"/>
          <w:highlight w:val="none"/>
          <w:u w:val="single"/>
        </w:rPr>
        <w:t>政采云线上</w:t>
      </w:r>
      <w:r>
        <w:rPr>
          <w:rFonts w:hint="eastAsia" w:ascii="微软雅黑" w:hAnsi="微软雅黑" w:eastAsia="微软雅黑" w:cs="微软雅黑"/>
          <w:color w:val="auto"/>
          <w:sz w:val="24"/>
          <w:highlight w:val="none"/>
        </w:rPr>
        <w:t>获取招</w:t>
      </w:r>
      <w:r>
        <w:rPr>
          <w:rFonts w:hint="eastAsia" w:ascii="微软雅黑" w:hAnsi="微软雅黑" w:eastAsia="微软雅黑" w:cs="微软雅黑"/>
          <w:color w:val="auto"/>
          <w:kern w:val="0"/>
          <w:sz w:val="24"/>
          <w:highlight w:val="none"/>
        </w:rPr>
        <w:t>标文件，</w:t>
      </w:r>
      <w:r>
        <w:rPr>
          <w:rFonts w:hint="eastAsia" w:ascii="微软雅黑" w:hAnsi="微软雅黑" w:eastAsia="微软雅黑" w:cs="微软雅黑"/>
          <w:color w:val="auto"/>
          <w:sz w:val="24"/>
          <w:highlight w:val="none"/>
        </w:rPr>
        <w:t>并于</w:t>
      </w:r>
      <w:r>
        <w:rPr>
          <w:rFonts w:hint="eastAsia" w:ascii="微软雅黑" w:hAnsi="微软雅黑" w:eastAsia="微软雅黑" w:cs="微软雅黑"/>
          <w:color w:val="auto"/>
          <w:sz w:val="24"/>
          <w:highlight w:val="none"/>
          <w:u w:val="single"/>
        </w:rPr>
        <w:t>2022年4月</w:t>
      </w:r>
      <w:r>
        <w:rPr>
          <w:rFonts w:hint="eastAsia" w:ascii="微软雅黑" w:hAnsi="微软雅黑" w:eastAsia="微软雅黑" w:cs="微软雅黑"/>
          <w:color w:val="auto"/>
          <w:sz w:val="24"/>
          <w:highlight w:val="none"/>
          <w:u w:val="single"/>
          <w:lang w:val="en-US" w:eastAsia="zh-CN"/>
        </w:rPr>
        <w:t>22</w:t>
      </w:r>
      <w:r>
        <w:rPr>
          <w:rFonts w:hint="eastAsia" w:ascii="微软雅黑" w:hAnsi="微软雅黑" w:eastAsia="微软雅黑" w:cs="微软雅黑"/>
          <w:color w:val="auto"/>
          <w:sz w:val="24"/>
          <w:highlight w:val="none"/>
          <w:u w:val="single"/>
        </w:rPr>
        <w:t>日11点00分</w:t>
      </w:r>
      <w:r>
        <w:rPr>
          <w:rFonts w:hint="eastAsia" w:ascii="微软雅黑" w:hAnsi="微软雅黑" w:eastAsia="微软雅黑" w:cs="微软雅黑"/>
          <w:bCs/>
          <w:color w:val="auto"/>
          <w:sz w:val="24"/>
          <w:highlight w:val="none"/>
          <w:u w:val="single"/>
        </w:rPr>
        <w:t>（北京时间）</w:t>
      </w:r>
      <w:r>
        <w:rPr>
          <w:rFonts w:hint="eastAsia" w:ascii="微软雅黑" w:hAnsi="微软雅黑" w:eastAsia="微软雅黑" w:cs="微软雅黑"/>
          <w:color w:val="auto"/>
          <w:sz w:val="24"/>
          <w:highlight w:val="none"/>
        </w:rPr>
        <w:t>前提交投标文件。</w:t>
      </w:r>
    </w:p>
    <w:p>
      <w:pPr>
        <w:spacing w:line="400" w:lineRule="exac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一、项目基本情况</w:t>
      </w:r>
    </w:p>
    <w:p>
      <w:pPr>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项目编号：22GJ-(GK)012</w:t>
      </w:r>
    </w:p>
    <w:p>
      <w:pPr>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项目名称：喀什大学图书馆2022年纸本中文图书采购项目</w:t>
      </w:r>
    </w:p>
    <w:p>
      <w:pPr>
        <w:spacing w:line="400" w:lineRule="exact"/>
        <w:ind w:firstLine="480" w:firstLineChars="200"/>
        <w:rPr>
          <w:rFonts w:hint="eastAsia" w:ascii="微软雅黑" w:hAnsi="微软雅黑" w:eastAsia="微软雅黑" w:cs="微软雅黑"/>
          <w:b w:val="0"/>
          <w:bCs w:val="0"/>
          <w:color w:val="auto"/>
          <w:sz w:val="24"/>
          <w:highlight w:val="none"/>
        </w:rPr>
      </w:pPr>
      <w:r>
        <w:rPr>
          <w:rFonts w:hint="eastAsia" w:ascii="微软雅黑" w:hAnsi="微软雅黑" w:eastAsia="微软雅黑" w:cs="微软雅黑"/>
          <w:b w:val="0"/>
          <w:bCs w:val="0"/>
          <w:color w:val="auto"/>
          <w:sz w:val="24"/>
          <w:highlight w:val="none"/>
        </w:rPr>
        <w:t>预算金额：</w:t>
      </w:r>
      <w:r>
        <w:rPr>
          <w:rFonts w:hint="eastAsia" w:ascii="微软雅黑" w:hAnsi="微软雅黑" w:eastAsia="微软雅黑" w:cs="微软雅黑"/>
          <w:b w:val="0"/>
          <w:bCs w:val="0"/>
          <w:color w:val="auto"/>
          <w:sz w:val="24"/>
          <w:highlight w:val="none"/>
          <w:lang w:eastAsia="zh-CN"/>
        </w:rPr>
        <w:t>约</w:t>
      </w:r>
      <w:r>
        <w:rPr>
          <w:rFonts w:hint="eastAsia" w:ascii="微软雅黑" w:hAnsi="微软雅黑" w:eastAsia="微软雅黑" w:cs="微软雅黑"/>
          <w:b w:val="0"/>
          <w:bCs w:val="0"/>
          <w:color w:val="auto"/>
          <w:sz w:val="24"/>
          <w:highlight w:val="none"/>
          <w:lang w:val="en-US" w:eastAsia="zh-CN"/>
        </w:rPr>
        <w:t>380</w:t>
      </w:r>
      <w:r>
        <w:rPr>
          <w:rFonts w:hint="eastAsia" w:ascii="微软雅黑" w:hAnsi="微软雅黑" w:eastAsia="微软雅黑" w:cs="微软雅黑"/>
          <w:b w:val="0"/>
          <w:bCs w:val="0"/>
          <w:color w:val="auto"/>
          <w:sz w:val="24"/>
          <w:highlight w:val="none"/>
        </w:rPr>
        <w:t>万元</w:t>
      </w:r>
    </w:p>
    <w:p>
      <w:pPr>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采购需求：购买社会科学类专业图书</w:t>
      </w:r>
      <w:r>
        <w:rPr>
          <w:rFonts w:hint="eastAsia" w:ascii="微软雅黑" w:hAnsi="微软雅黑" w:eastAsia="微软雅黑" w:cs="微软雅黑"/>
          <w:color w:val="auto"/>
          <w:sz w:val="24"/>
          <w:highlight w:val="none"/>
          <w:lang w:eastAsia="zh-CN"/>
        </w:rPr>
        <w:t>、</w:t>
      </w:r>
      <w:r>
        <w:rPr>
          <w:rFonts w:hint="eastAsia" w:ascii="微软雅黑" w:hAnsi="微软雅黑" w:eastAsia="微软雅黑" w:cs="微软雅黑"/>
          <w:color w:val="auto"/>
          <w:sz w:val="24"/>
          <w:highlight w:val="none"/>
        </w:rPr>
        <w:t>自然科学类专业图书</w:t>
      </w:r>
      <w:r>
        <w:rPr>
          <w:rFonts w:hint="eastAsia" w:ascii="微软雅黑" w:hAnsi="微软雅黑" w:eastAsia="微软雅黑" w:cs="微软雅黑"/>
          <w:color w:val="auto"/>
          <w:sz w:val="24"/>
          <w:highlight w:val="none"/>
          <w:lang w:eastAsia="zh-CN"/>
        </w:rPr>
        <w:t>、</w:t>
      </w:r>
      <w:r>
        <w:rPr>
          <w:rFonts w:hint="eastAsia" w:ascii="微软雅黑" w:hAnsi="微软雅黑" w:eastAsia="微软雅黑" w:cs="微软雅黑"/>
          <w:color w:val="auto"/>
          <w:sz w:val="24"/>
          <w:highlight w:val="none"/>
        </w:rPr>
        <w:t>申博与新建学院及新增专业图书，确定3家中标候选单位为纸质图书供货单位和伴随服务单位。（具体参数数量详见招标文件）</w:t>
      </w:r>
    </w:p>
    <w:p>
      <w:pPr>
        <w:spacing w:line="400" w:lineRule="exact"/>
        <w:ind w:firstLine="480" w:firstLineChars="200"/>
        <w:rPr>
          <w:rFonts w:hint="eastAsia" w:ascii="微软雅黑" w:hAnsi="微软雅黑" w:eastAsia="微软雅黑" w:cs="微软雅黑"/>
          <w:color w:val="auto"/>
          <w:sz w:val="24"/>
          <w:szCs w:val="32"/>
          <w:highlight w:val="none"/>
        </w:rPr>
      </w:pPr>
      <w:r>
        <w:rPr>
          <w:rFonts w:hint="eastAsia" w:ascii="微软雅黑" w:hAnsi="微软雅黑" w:eastAsia="微软雅黑" w:cs="微软雅黑"/>
          <w:color w:val="auto"/>
          <w:sz w:val="24"/>
          <w:highlight w:val="none"/>
        </w:rPr>
        <w:t>本项目不接受联合体投标。</w:t>
      </w:r>
    </w:p>
    <w:p>
      <w:pPr>
        <w:spacing w:line="400" w:lineRule="exac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二、申请人资格要求</w:t>
      </w:r>
    </w:p>
    <w:p>
      <w:pPr>
        <w:spacing w:line="400" w:lineRule="exact"/>
        <w:ind w:firstLine="480" w:firstLineChars="200"/>
        <w:rPr>
          <w:rFonts w:hint="eastAsia" w:ascii="微软雅黑" w:hAnsi="微软雅黑" w:eastAsia="微软雅黑" w:cs="微软雅黑"/>
          <w:b w:val="0"/>
          <w:bCs w:val="0"/>
          <w:color w:val="auto"/>
          <w:sz w:val="24"/>
          <w:highlight w:val="none"/>
          <w:lang w:val="en-US" w:eastAsia="zh-CN"/>
        </w:rPr>
      </w:pPr>
      <w:bookmarkStart w:id="0" w:name="_Toc28359085"/>
      <w:bookmarkStart w:id="1" w:name="_Toc35393627"/>
      <w:bookmarkStart w:id="2" w:name="_Toc28359008"/>
      <w:bookmarkStart w:id="3" w:name="_Toc35393796"/>
      <w:r>
        <w:rPr>
          <w:rFonts w:hint="eastAsia" w:ascii="微软雅黑" w:hAnsi="微软雅黑" w:eastAsia="微软雅黑" w:cs="微软雅黑"/>
          <w:b w:val="0"/>
          <w:bCs w:val="0"/>
          <w:color w:val="auto"/>
          <w:sz w:val="24"/>
          <w:highlight w:val="none"/>
          <w:lang w:val="en-US" w:eastAsia="zh-CN"/>
        </w:rPr>
        <w:t>1.满足《中华人民共和国政府采购法》第二十二条规定；</w:t>
      </w:r>
    </w:p>
    <w:p>
      <w:pPr>
        <w:spacing w:line="400" w:lineRule="exact"/>
        <w:ind w:firstLine="480" w:firstLineChars="200"/>
        <w:rPr>
          <w:rFonts w:hint="eastAsia" w:ascii="微软雅黑" w:hAnsi="微软雅黑" w:eastAsia="微软雅黑" w:cs="微软雅黑"/>
          <w:b w:val="0"/>
          <w:bCs w:val="0"/>
          <w:color w:val="auto"/>
          <w:sz w:val="24"/>
          <w:highlight w:val="none"/>
          <w:lang w:val="en-US" w:eastAsia="zh-CN"/>
        </w:rPr>
      </w:pPr>
      <w:r>
        <w:rPr>
          <w:rFonts w:hint="eastAsia" w:ascii="微软雅黑" w:hAnsi="微软雅黑" w:eastAsia="微软雅黑" w:cs="微软雅黑"/>
          <w:b w:val="0"/>
          <w:bCs w:val="0"/>
          <w:color w:val="auto"/>
          <w:sz w:val="24"/>
          <w:highlight w:val="none"/>
          <w:lang w:val="en-US" w:eastAsia="zh-CN"/>
        </w:rPr>
        <w:t>2.具有有效的独立法人营业执照；</w:t>
      </w:r>
    </w:p>
    <w:p>
      <w:pPr>
        <w:spacing w:line="400" w:lineRule="exact"/>
        <w:ind w:firstLine="480" w:firstLineChars="200"/>
        <w:rPr>
          <w:rFonts w:hint="eastAsia" w:ascii="微软雅黑" w:hAnsi="微软雅黑" w:eastAsia="微软雅黑" w:cs="微软雅黑"/>
          <w:b w:val="0"/>
          <w:bCs w:val="0"/>
          <w:color w:val="auto"/>
          <w:sz w:val="24"/>
          <w:highlight w:val="none"/>
          <w:lang w:val="en-US" w:eastAsia="zh-CN"/>
        </w:rPr>
      </w:pPr>
      <w:r>
        <w:rPr>
          <w:rFonts w:hint="eastAsia" w:ascii="微软雅黑" w:hAnsi="微软雅黑" w:eastAsia="微软雅黑" w:cs="微软雅黑"/>
          <w:b w:val="0"/>
          <w:bCs w:val="0"/>
          <w:color w:val="auto"/>
          <w:sz w:val="24"/>
          <w:highlight w:val="none"/>
          <w:lang w:val="en-US" w:eastAsia="zh-CN"/>
        </w:rPr>
        <w:t>3.具有有效的《中华人民共和国出版物经营许可证》或《中华人民共和国出版物发行许可证》；</w:t>
      </w:r>
    </w:p>
    <w:p>
      <w:pPr>
        <w:spacing w:line="400" w:lineRule="exact"/>
        <w:ind w:firstLine="480" w:firstLineChars="200"/>
        <w:rPr>
          <w:rFonts w:hint="eastAsia" w:ascii="微软雅黑" w:hAnsi="微软雅黑" w:eastAsia="微软雅黑" w:cs="微软雅黑"/>
          <w:b w:val="0"/>
          <w:bCs w:val="0"/>
          <w:color w:val="auto"/>
          <w:sz w:val="24"/>
          <w:highlight w:val="none"/>
          <w:lang w:val="en-US" w:eastAsia="zh-CN"/>
        </w:rPr>
      </w:pPr>
      <w:r>
        <w:rPr>
          <w:rFonts w:hint="eastAsia" w:ascii="微软雅黑" w:hAnsi="微软雅黑" w:eastAsia="微软雅黑" w:cs="微软雅黑"/>
          <w:b w:val="0"/>
          <w:bCs w:val="0"/>
          <w:color w:val="auto"/>
          <w:sz w:val="24"/>
          <w:highlight w:val="none"/>
          <w:lang w:val="en-US" w:eastAsia="zh-CN"/>
        </w:rPr>
        <w:t>4.法人代表资格证明及授权书、被授权人身份证；(法人投标需提供法人身份证</w:t>
      </w:r>
      <w:bookmarkStart w:id="23" w:name="_GoBack"/>
      <w:bookmarkEnd w:id="23"/>
      <w:r>
        <w:rPr>
          <w:rFonts w:hint="eastAsia" w:ascii="微软雅黑" w:hAnsi="微软雅黑" w:eastAsia="微软雅黑" w:cs="微软雅黑"/>
          <w:b w:val="0"/>
          <w:bCs w:val="0"/>
          <w:color w:val="auto"/>
          <w:sz w:val="24"/>
          <w:highlight w:val="none"/>
          <w:lang w:val="en-US" w:eastAsia="zh-CN"/>
        </w:rPr>
        <w:t>)；</w:t>
      </w:r>
    </w:p>
    <w:p>
      <w:pPr>
        <w:spacing w:line="400" w:lineRule="exact"/>
        <w:ind w:firstLine="480" w:firstLineChars="200"/>
        <w:rPr>
          <w:rFonts w:hint="eastAsia" w:ascii="微软雅黑" w:hAnsi="微软雅黑" w:eastAsia="微软雅黑" w:cs="微软雅黑"/>
          <w:b w:val="0"/>
          <w:bCs w:val="0"/>
          <w:color w:val="auto"/>
          <w:sz w:val="24"/>
          <w:highlight w:val="none"/>
          <w:lang w:val="en-US" w:eastAsia="zh-CN"/>
        </w:rPr>
      </w:pPr>
      <w:r>
        <w:rPr>
          <w:rFonts w:hint="eastAsia" w:ascii="微软雅黑" w:hAnsi="微软雅黑" w:eastAsia="微软雅黑" w:cs="微软雅黑"/>
          <w:b w:val="0"/>
          <w:bCs w:val="0"/>
          <w:color w:val="auto"/>
          <w:sz w:val="24"/>
          <w:highlight w:val="none"/>
          <w:lang w:val="en-US" w:eastAsia="zh-CN"/>
        </w:rPr>
        <w:t>5.近两年任意一年的财务审计报告，新成立的公司提供近三个月内任意一个月的银行资信证明；</w:t>
      </w:r>
    </w:p>
    <w:p>
      <w:pPr>
        <w:spacing w:line="400" w:lineRule="exact"/>
        <w:ind w:firstLine="480" w:firstLineChars="200"/>
        <w:rPr>
          <w:rFonts w:hint="eastAsia" w:ascii="微软雅黑" w:hAnsi="微软雅黑" w:eastAsia="微软雅黑" w:cs="微软雅黑"/>
          <w:b w:val="0"/>
          <w:bCs w:val="0"/>
          <w:color w:val="auto"/>
          <w:sz w:val="24"/>
          <w:highlight w:val="none"/>
          <w:lang w:val="en-US" w:eastAsia="zh-CN"/>
        </w:rPr>
      </w:pPr>
      <w:r>
        <w:rPr>
          <w:rFonts w:hint="eastAsia" w:ascii="微软雅黑" w:hAnsi="微软雅黑" w:eastAsia="微软雅黑" w:cs="微软雅黑"/>
          <w:b w:val="0"/>
          <w:bCs w:val="0"/>
          <w:color w:val="auto"/>
          <w:sz w:val="24"/>
          <w:highlight w:val="none"/>
          <w:lang w:val="en-US" w:eastAsia="zh-CN"/>
        </w:rPr>
        <w:t>6.依法缴纳近6个月任意一个月社会保险的凭据；</w:t>
      </w:r>
    </w:p>
    <w:p>
      <w:pPr>
        <w:spacing w:line="400" w:lineRule="exact"/>
        <w:ind w:firstLine="480" w:firstLineChars="200"/>
        <w:rPr>
          <w:rFonts w:hint="eastAsia" w:ascii="微软雅黑" w:hAnsi="微软雅黑" w:eastAsia="微软雅黑" w:cs="微软雅黑"/>
          <w:b w:val="0"/>
          <w:bCs w:val="0"/>
          <w:color w:val="auto"/>
          <w:sz w:val="24"/>
          <w:highlight w:val="none"/>
          <w:lang w:val="en-US" w:eastAsia="zh-CN"/>
        </w:rPr>
      </w:pPr>
      <w:r>
        <w:rPr>
          <w:rFonts w:hint="eastAsia" w:ascii="微软雅黑" w:hAnsi="微软雅黑" w:eastAsia="微软雅黑" w:cs="微软雅黑"/>
          <w:b w:val="0"/>
          <w:bCs w:val="0"/>
          <w:color w:val="auto"/>
          <w:sz w:val="24"/>
          <w:highlight w:val="none"/>
          <w:lang w:val="en-US" w:eastAsia="zh-CN"/>
        </w:rPr>
        <w:t>7.提供税务部门出具的近6个月任意一个月的完税证明；</w:t>
      </w:r>
    </w:p>
    <w:p>
      <w:pPr>
        <w:spacing w:line="400" w:lineRule="exact"/>
        <w:ind w:firstLine="480" w:firstLineChars="200"/>
        <w:rPr>
          <w:rFonts w:hint="eastAsia" w:ascii="微软雅黑" w:hAnsi="微软雅黑" w:eastAsia="微软雅黑" w:cs="微软雅黑"/>
          <w:b w:val="0"/>
          <w:bCs w:val="0"/>
          <w:color w:val="auto"/>
          <w:sz w:val="24"/>
          <w:highlight w:val="none"/>
          <w:lang w:val="en-US" w:eastAsia="zh-CN"/>
        </w:rPr>
      </w:pPr>
      <w:r>
        <w:rPr>
          <w:rFonts w:hint="eastAsia" w:ascii="微软雅黑" w:hAnsi="微软雅黑" w:eastAsia="微软雅黑" w:cs="微软雅黑"/>
          <w:b w:val="0"/>
          <w:bCs w:val="0"/>
          <w:color w:val="auto"/>
          <w:sz w:val="24"/>
          <w:highlight w:val="none"/>
          <w:lang w:val="en-US" w:eastAsia="zh-CN"/>
        </w:rPr>
        <w:t>8.根据《财政部关于在政府采购活动中查询及使用信用记录有关问题的通知》（财库﹝2016﹞125号）的要求，凡拟参加本次招标项目的供应商，如在“信用中国”网站（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失信惩戒对象查询-搜索栏输入单位全称-截图)、中国政府采购网（http://www.ccgp.gov.cn/search/cr/）严重违法失信行为记录名单的（尚在处罚期内的），“国家企业信用信息公示系统（http://www.gsxt.gov.cn）”列入严重违法失信企业名单（黑名单）信息及企业信用信息公示报告；将拒绝其参加本次招标活动；（以评标现场招标代理或招标人查询为准）</w:t>
      </w:r>
    </w:p>
    <w:p>
      <w:pPr>
        <w:spacing w:line="400" w:lineRule="exact"/>
        <w:ind w:firstLine="480" w:firstLineChars="200"/>
        <w:rPr>
          <w:rFonts w:hint="eastAsia" w:ascii="微软雅黑" w:hAnsi="微软雅黑" w:eastAsia="微软雅黑" w:cs="微软雅黑"/>
          <w:b w:val="0"/>
          <w:bCs w:val="0"/>
          <w:color w:val="auto"/>
          <w:sz w:val="24"/>
          <w:highlight w:val="none"/>
          <w:lang w:val="en-US" w:eastAsia="zh-CN"/>
        </w:rPr>
      </w:pPr>
      <w:r>
        <w:rPr>
          <w:rFonts w:hint="eastAsia" w:ascii="微软雅黑" w:hAnsi="微软雅黑" w:eastAsia="微软雅黑" w:cs="微软雅黑"/>
          <w:b w:val="0"/>
          <w:bCs w:val="0"/>
          <w:color w:val="auto"/>
          <w:sz w:val="24"/>
          <w:highlight w:val="none"/>
          <w:lang w:val="en-US" w:eastAsia="zh-CN"/>
        </w:rPr>
        <w:t>9.参与政府采购活动前3年内未被列入失信、重大税收违法案件、财政部门禁止参加政府采购活动的承诺书；</w:t>
      </w:r>
    </w:p>
    <w:p>
      <w:pPr>
        <w:spacing w:line="400" w:lineRule="exact"/>
        <w:ind w:firstLine="480" w:firstLineChars="200"/>
        <w:rPr>
          <w:rFonts w:hint="eastAsia" w:ascii="微软雅黑" w:hAnsi="微软雅黑" w:eastAsia="微软雅黑" w:cs="微软雅黑"/>
          <w:b w:val="0"/>
          <w:bCs w:val="0"/>
          <w:color w:val="auto"/>
          <w:sz w:val="24"/>
          <w:highlight w:val="none"/>
          <w:lang w:val="en-US" w:eastAsia="zh-CN"/>
        </w:rPr>
      </w:pPr>
      <w:r>
        <w:rPr>
          <w:rFonts w:hint="eastAsia" w:ascii="微软雅黑" w:hAnsi="微软雅黑" w:eastAsia="微软雅黑" w:cs="微软雅黑"/>
          <w:b w:val="0"/>
          <w:bCs w:val="0"/>
          <w:color w:val="auto"/>
          <w:sz w:val="24"/>
          <w:highlight w:val="none"/>
          <w:lang w:val="en-US" w:eastAsia="zh-CN"/>
        </w:rPr>
        <w:t>10.提供针对本次项目《反商业贿赂承诺书》。</w:t>
      </w:r>
    </w:p>
    <w:p>
      <w:pPr>
        <w:spacing w:line="400" w:lineRule="exac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三、获取采购文件</w:t>
      </w:r>
    </w:p>
    <w:p>
      <w:pPr>
        <w:spacing w:line="380" w:lineRule="exact"/>
        <w:ind w:firstLine="54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获取招标文件时间：202</w:t>
      </w:r>
      <w:r>
        <w:rPr>
          <w:rFonts w:hint="eastAsia" w:ascii="微软雅黑" w:hAnsi="微软雅黑" w:eastAsia="微软雅黑" w:cs="微软雅黑"/>
          <w:color w:val="auto"/>
          <w:sz w:val="24"/>
          <w:highlight w:val="none"/>
          <w:lang w:val="en-US" w:eastAsia="zh-CN"/>
        </w:rPr>
        <w:t>2</w:t>
      </w:r>
      <w:r>
        <w:rPr>
          <w:rFonts w:hint="eastAsia" w:ascii="微软雅黑" w:hAnsi="微软雅黑" w:eastAsia="微软雅黑" w:cs="微软雅黑"/>
          <w:color w:val="auto"/>
          <w:sz w:val="24"/>
          <w:highlight w:val="none"/>
        </w:rPr>
        <w:t>年</w:t>
      </w:r>
      <w:r>
        <w:rPr>
          <w:rFonts w:hint="eastAsia" w:ascii="微软雅黑" w:hAnsi="微软雅黑" w:eastAsia="微软雅黑" w:cs="微软雅黑"/>
          <w:color w:val="auto"/>
          <w:sz w:val="24"/>
          <w:highlight w:val="none"/>
          <w:lang w:val="en-US" w:eastAsia="zh-CN"/>
        </w:rPr>
        <w:t>4</w:t>
      </w:r>
      <w:r>
        <w:rPr>
          <w:rFonts w:hint="eastAsia" w:ascii="微软雅黑" w:hAnsi="微软雅黑" w:eastAsia="微软雅黑" w:cs="微软雅黑"/>
          <w:color w:val="auto"/>
          <w:sz w:val="24"/>
          <w:highlight w:val="none"/>
        </w:rPr>
        <w:t>月</w:t>
      </w:r>
      <w:r>
        <w:rPr>
          <w:rFonts w:hint="eastAsia" w:ascii="微软雅黑" w:hAnsi="微软雅黑" w:eastAsia="微软雅黑" w:cs="微软雅黑"/>
          <w:color w:val="auto"/>
          <w:sz w:val="24"/>
          <w:highlight w:val="none"/>
          <w:lang w:val="en-US" w:eastAsia="zh-CN"/>
        </w:rPr>
        <w:t>1</w:t>
      </w:r>
      <w:r>
        <w:rPr>
          <w:rFonts w:hint="eastAsia" w:ascii="微软雅黑" w:hAnsi="微软雅黑" w:eastAsia="微软雅黑" w:cs="微软雅黑"/>
          <w:color w:val="auto"/>
          <w:sz w:val="24"/>
          <w:highlight w:val="none"/>
        </w:rPr>
        <w:t>日至202</w:t>
      </w:r>
      <w:r>
        <w:rPr>
          <w:rFonts w:hint="eastAsia" w:ascii="微软雅黑" w:hAnsi="微软雅黑" w:eastAsia="微软雅黑" w:cs="微软雅黑"/>
          <w:color w:val="auto"/>
          <w:sz w:val="24"/>
          <w:highlight w:val="none"/>
          <w:lang w:val="en-US" w:eastAsia="zh-CN"/>
        </w:rPr>
        <w:t>2</w:t>
      </w:r>
      <w:r>
        <w:rPr>
          <w:rFonts w:hint="eastAsia" w:ascii="微软雅黑" w:hAnsi="微软雅黑" w:eastAsia="微软雅黑" w:cs="微软雅黑"/>
          <w:color w:val="auto"/>
          <w:sz w:val="24"/>
          <w:highlight w:val="none"/>
        </w:rPr>
        <w:t>年</w:t>
      </w:r>
      <w:r>
        <w:rPr>
          <w:rFonts w:hint="eastAsia" w:ascii="微软雅黑" w:hAnsi="微软雅黑" w:eastAsia="微软雅黑" w:cs="微软雅黑"/>
          <w:color w:val="auto"/>
          <w:sz w:val="24"/>
          <w:highlight w:val="none"/>
          <w:lang w:val="en-US" w:eastAsia="zh-CN"/>
        </w:rPr>
        <w:t>4</w:t>
      </w:r>
      <w:r>
        <w:rPr>
          <w:rFonts w:hint="eastAsia" w:ascii="微软雅黑" w:hAnsi="微软雅黑" w:eastAsia="微软雅黑" w:cs="微软雅黑"/>
          <w:color w:val="auto"/>
          <w:sz w:val="24"/>
          <w:highlight w:val="none"/>
        </w:rPr>
        <w:t>月</w:t>
      </w:r>
      <w:r>
        <w:rPr>
          <w:rFonts w:hint="eastAsia" w:ascii="微软雅黑" w:hAnsi="微软雅黑" w:eastAsia="微软雅黑" w:cs="微软雅黑"/>
          <w:color w:val="auto"/>
          <w:sz w:val="24"/>
          <w:highlight w:val="none"/>
          <w:lang w:val="en-US" w:eastAsia="zh-CN"/>
        </w:rPr>
        <w:t>11</w:t>
      </w:r>
      <w:r>
        <w:rPr>
          <w:rFonts w:hint="eastAsia" w:ascii="微软雅黑" w:hAnsi="微软雅黑" w:eastAsia="微软雅黑" w:cs="微软雅黑"/>
          <w:color w:val="auto"/>
          <w:sz w:val="24"/>
          <w:highlight w:val="none"/>
        </w:rPr>
        <w:t>日（上午10:00-14:00，下午16:00-19:30，法定节假日休息）</w:t>
      </w:r>
    </w:p>
    <w:p>
      <w:pPr>
        <w:spacing w:line="380" w:lineRule="exact"/>
        <w:ind w:firstLine="54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地点：政采云线上</w:t>
      </w:r>
    </w:p>
    <w:p>
      <w:pPr>
        <w:spacing w:line="380" w:lineRule="exact"/>
        <w:ind w:firstLine="54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方式：</w:t>
      </w:r>
      <w:r>
        <w:rPr>
          <w:rFonts w:hint="eastAsia" w:ascii="微软雅黑" w:hAnsi="微软雅黑" w:eastAsia="微软雅黑" w:cs="微软雅黑"/>
          <w:color w:val="auto"/>
          <w:sz w:val="24"/>
          <w:highlight w:val="none"/>
          <w:lang w:val="en-US" w:eastAsia="zh-CN"/>
        </w:rPr>
        <w:t>供应商登陆政采云平台http://www.zcygov.cn/，在线申请获取采购文件（登录政府采购云平台 → 项目采购 → 获取采购文件 → 申请，审核通过后可下载招标文件，如有操作性问题，可与政采云在线客服进行咨询，咨询电话：400-881-7190）</w:t>
      </w:r>
    </w:p>
    <w:p>
      <w:pPr>
        <w:spacing w:line="380" w:lineRule="exact"/>
        <w:ind w:firstLine="540"/>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rPr>
        <w:t>售价：</w:t>
      </w:r>
      <w:r>
        <w:rPr>
          <w:rFonts w:hint="eastAsia" w:ascii="微软雅黑" w:hAnsi="微软雅黑" w:eastAsia="微软雅黑" w:cs="微软雅黑"/>
          <w:color w:val="auto"/>
          <w:sz w:val="24"/>
          <w:highlight w:val="none"/>
          <w:lang w:val="en-US" w:eastAsia="zh-CN"/>
        </w:rPr>
        <w:t>200元</w:t>
      </w:r>
    </w:p>
    <w:p>
      <w:pPr>
        <w:spacing w:line="400" w:lineRule="exact"/>
        <w:rPr>
          <w:rFonts w:hint="eastAsia" w:ascii="微软雅黑" w:hAnsi="微软雅黑" w:eastAsia="微软雅黑" w:cs="微软雅黑"/>
          <w:b/>
          <w:bCs/>
          <w:color w:val="auto"/>
          <w:sz w:val="24"/>
          <w:highlight w:val="none"/>
        </w:rPr>
      </w:pPr>
      <w:bookmarkStart w:id="4" w:name="_Toc3042"/>
      <w:bookmarkStart w:id="5" w:name="_Toc22090"/>
      <w:bookmarkStart w:id="6" w:name="_Toc19801"/>
      <w:r>
        <w:rPr>
          <w:rFonts w:hint="eastAsia" w:ascii="微软雅黑" w:hAnsi="微软雅黑" w:eastAsia="微软雅黑" w:cs="微软雅黑"/>
          <w:b/>
          <w:bCs/>
          <w:color w:val="auto"/>
          <w:sz w:val="24"/>
          <w:highlight w:val="none"/>
        </w:rPr>
        <w:t>四、</w:t>
      </w:r>
      <w:bookmarkStart w:id="7" w:name="_Toc28359016"/>
      <w:bookmarkStart w:id="8" w:name="_Toc35393633"/>
      <w:bookmarkStart w:id="9" w:name="_Toc28359093"/>
      <w:bookmarkStart w:id="10" w:name="_Toc35393802"/>
      <w:r>
        <w:rPr>
          <w:rFonts w:hint="eastAsia" w:ascii="微软雅黑" w:hAnsi="微软雅黑" w:eastAsia="微软雅黑" w:cs="微软雅黑"/>
          <w:b/>
          <w:bCs/>
          <w:color w:val="auto"/>
          <w:sz w:val="24"/>
          <w:highlight w:val="none"/>
        </w:rPr>
        <w:t>提交投标文件截止时间、开标时间和地点</w:t>
      </w:r>
      <w:bookmarkEnd w:id="4"/>
      <w:bookmarkEnd w:id="5"/>
      <w:bookmarkEnd w:id="6"/>
    </w:p>
    <w:p>
      <w:pPr>
        <w:spacing w:line="380" w:lineRule="exact"/>
        <w:ind w:firstLine="54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时间：202</w:t>
      </w:r>
      <w:r>
        <w:rPr>
          <w:rFonts w:hint="eastAsia" w:ascii="微软雅黑" w:hAnsi="微软雅黑" w:eastAsia="微软雅黑" w:cs="微软雅黑"/>
          <w:color w:val="auto"/>
          <w:sz w:val="24"/>
          <w:highlight w:val="none"/>
          <w:lang w:val="en-US" w:eastAsia="zh-CN"/>
        </w:rPr>
        <w:t>2</w:t>
      </w:r>
      <w:r>
        <w:rPr>
          <w:rFonts w:hint="eastAsia" w:ascii="微软雅黑" w:hAnsi="微软雅黑" w:eastAsia="微软雅黑" w:cs="微软雅黑"/>
          <w:color w:val="auto"/>
          <w:sz w:val="24"/>
          <w:highlight w:val="none"/>
        </w:rPr>
        <w:t>年</w:t>
      </w:r>
      <w:r>
        <w:rPr>
          <w:rFonts w:hint="eastAsia" w:ascii="微软雅黑" w:hAnsi="微软雅黑" w:eastAsia="微软雅黑" w:cs="微软雅黑"/>
          <w:color w:val="auto"/>
          <w:sz w:val="24"/>
          <w:highlight w:val="none"/>
          <w:lang w:val="en-US" w:eastAsia="zh-CN"/>
        </w:rPr>
        <w:t>4</w:t>
      </w:r>
      <w:r>
        <w:rPr>
          <w:rFonts w:hint="eastAsia" w:ascii="微软雅黑" w:hAnsi="微软雅黑" w:eastAsia="微软雅黑" w:cs="微软雅黑"/>
          <w:color w:val="auto"/>
          <w:sz w:val="24"/>
          <w:highlight w:val="none"/>
        </w:rPr>
        <w:t>月</w:t>
      </w:r>
      <w:r>
        <w:rPr>
          <w:rFonts w:hint="eastAsia" w:ascii="微软雅黑" w:hAnsi="微软雅黑" w:eastAsia="微软雅黑" w:cs="微软雅黑"/>
          <w:color w:val="auto"/>
          <w:sz w:val="24"/>
          <w:highlight w:val="none"/>
          <w:lang w:val="en-US" w:eastAsia="zh-CN"/>
        </w:rPr>
        <w:t>22</w:t>
      </w:r>
      <w:r>
        <w:rPr>
          <w:rFonts w:hint="eastAsia" w:ascii="微软雅黑" w:hAnsi="微软雅黑" w:eastAsia="微软雅黑" w:cs="微软雅黑"/>
          <w:color w:val="auto"/>
          <w:sz w:val="24"/>
          <w:highlight w:val="none"/>
        </w:rPr>
        <w:t>日</w:t>
      </w:r>
      <w:r>
        <w:rPr>
          <w:rFonts w:hint="eastAsia" w:ascii="微软雅黑" w:hAnsi="微软雅黑" w:eastAsia="微软雅黑" w:cs="微软雅黑"/>
          <w:color w:val="auto"/>
          <w:sz w:val="24"/>
          <w:highlight w:val="none"/>
          <w:lang w:val="en-US" w:eastAsia="zh-CN"/>
        </w:rPr>
        <w:t>11</w:t>
      </w:r>
      <w:r>
        <w:rPr>
          <w:rFonts w:hint="eastAsia" w:ascii="微软雅黑" w:hAnsi="微软雅黑" w:eastAsia="微软雅黑" w:cs="微软雅黑"/>
          <w:color w:val="auto"/>
          <w:sz w:val="24"/>
          <w:highlight w:val="none"/>
        </w:rPr>
        <w:t>点</w:t>
      </w:r>
      <w:r>
        <w:rPr>
          <w:rFonts w:hint="eastAsia" w:ascii="微软雅黑" w:hAnsi="微软雅黑" w:eastAsia="微软雅黑" w:cs="微软雅黑"/>
          <w:color w:val="auto"/>
          <w:sz w:val="24"/>
          <w:highlight w:val="none"/>
          <w:lang w:val="en-US" w:eastAsia="zh-CN"/>
        </w:rPr>
        <w:t>00</w:t>
      </w:r>
      <w:r>
        <w:rPr>
          <w:rFonts w:hint="eastAsia" w:ascii="微软雅黑" w:hAnsi="微软雅黑" w:eastAsia="微软雅黑" w:cs="微软雅黑"/>
          <w:color w:val="auto"/>
          <w:sz w:val="24"/>
          <w:highlight w:val="none"/>
        </w:rPr>
        <w:t>分（北京时间）</w:t>
      </w:r>
    </w:p>
    <w:p>
      <w:pPr>
        <w:spacing w:line="380" w:lineRule="exact"/>
        <w:ind w:firstLine="480" w:firstLineChars="200"/>
        <w:rPr>
          <w:rFonts w:hint="eastAsia" w:ascii="微软雅黑" w:hAnsi="微软雅黑" w:eastAsia="微软雅黑" w:cs="微软雅黑"/>
          <w:color w:val="auto"/>
          <w:sz w:val="24"/>
          <w:highlight w:val="none"/>
        </w:rPr>
      </w:pPr>
      <w:bookmarkStart w:id="11" w:name="_Toc26431"/>
      <w:bookmarkStart w:id="12" w:name="_Toc22266"/>
      <w:bookmarkStart w:id="13" w:name="_Toc3737"/>
      <w:bookmarkStart w:id="14" w:name="_Toc27810"/>
      <w:r>
        <w:rPr>
          <w:rFonts w:hint="eastAsia" w:ascii="微软雅黑" w:hAnsi="微软雅黑" w:eastAsia="微软雅黑" w:cs="微软雅黑"/>
          <w:color w:val="auto"/>
          <w:sz w:val="24"/>
          <w:highlight w:val="none"/>
        </w:rPr>
        <w:t>地点：</w:t>
      </w:r>
      <w:bookmarkEnd w:id="11"/>
      <w:bookmarkEnd w:id="12"/>
      <w:bookmarkEnd w:id="13"/>
      <w:bookmarkEnd w:id="14"/>
      <w:r>
        <w:rPr>
          <w:rFonts w:hint="eastAsia" w:ascii="微软雅黑" w:hAnsi="微软雅黑" w:eastAsia="微软雅黑" w:cs="微软雅黑"/>
          <w:color w:val="auto"/>
          <w:sz w:val="24"/>
          <w:highlight w:val="none"/>
        </w:rPr>
        <w:t>政采云平台（https://login.zcygov.cn/user-login/#/login）</w:t>
      </w:r>
    </w:p>
    <w:p>
      <w:pPr>
        <w:spacing w:line="400" w:lineRule="exac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五、</w:t>
      </w:r>
      <w:bookmarkEnd w:id="7"/>
      <w:bookmarkEnd w:id="8"/>
      <w:bookmarkEnd w:id="9"/>
      <w:bookmarkEnd w:id="10"/>
      <w:bookmarkStart w:id="15" w:name="_Toc28359094"/>
      <w:bookmarkStart w:id="16" w:name="_Toc35393803"/>
      <w:bookmarkStart w:id="17" w:name="_Toc35393634"/>
      <w:bookmarkStart w:id="18" w:name="_Toc28359017"/>
      <w:r>
        <w:rPr>
          <w:rFonts w:hint="eastAsia" w:ascii="微软雅黑" w:hAnsi="微软雅黑" w:eastAsia="微软雅黑" w:cs="微软雅黑"/>
          <w:b/>
          <w:bCs/>
          <w:color w:val="auto"/>
          <w:sz w:val="24"/>
          <w:highlight w:val="none"/>
        </w:rPr>
        <w:t>公告期限</w:t>
      </w:r>
      <w:bookmarkEnd w:id="15"/>
      <w:bookmarkEnd w:id="16"/>
      <w:bookmarkEnd w:id="17"/>
      <w:bookmarkEnd w:id="18"/>
    </w:p>
    <w:p>
      <w:pPr>
        <w:spacing w:line="400" w:lineRule="exact"/>
        <w:ind w:left="479" w:leftChars="228"/>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自本公告发布之日起5个工作日。</w:t>
      </w:r>
    </w:p>
    <w:bookmarkEnd w:id="0"/>
    <w:bookmarkEnd w:id="1"/>
    <w:bookmarkEnd w:id="2"/>
    <w:bookmarkEnd w:id="3"/>
    <w:p>
      <w:pPr>
        <w:pageBreakBefore w:val="0"/>
        <w:widowControl w:val="0"/>
        <w:numPr>
          <w:ilvl w:val="0"/>
          <w:numId w:val="1"/>
        </w:numPr>
        <w:shd w:val="clear" w:color="auto" w:fill="auto"/>
        <w:kinsoku/>
        <w:wordWrap/>
        <w:overflowPunct/>
        <w:topLinePunct w:val="0"/>
        <w:bidi w:val="0"/>
        <w:snapToGrid/>
        <w:spacing w:line="380" w:lineRule="exact"/>
        <w:ind w:left="0" w:leftChars="0"/>
        <w:textAlignment w:val="auto"/>
        <w:rPr>
          <w:rFonts w:hint="eastAsia" w:ascii="微软雅黑" w:hAnsi="微软雅黑" w:eastAsia="微软雅黑" w:cs="微软雅黑"/>
          <w:b/>
          <w:bCs/>
          <w:color w:val="auto"/>
          <w:sz w:val="24"/>
          <w:highlight w:val="none"/>
          <w:lang w:val="en-US" w:eastAsia="zh-CN"/>
        </w:rPr>
      </w:pPr>
      <w:r>
        <w:rPr>
          <w:rFonts w:hint="eastAsia" w:ascii="微软雅黑" w:hAnsi="微软雅黑" w:eastAsia="微软雅黑" w:cs="微软雅黑"/>
          <w:b/>
          <w:bCs/>
          <w:color w:val="auto"/>
          <w:sz w:val="24"/>
          <w:highlight w:val="none"/>
          <w:lang w:val="en-US" w:eastAsia="zh-CN"/>
        </w:rPr>
        <w:t>其他补充事项</w:t>
      </w:r>
    </w:p>
    <w:p>
      <w:pPr>
        <w:pageBreakBefore w:val="0"/>
        <w:widowControl w:val="0"/>
        <w:numPr>
          <w:ilvl w:val="0"/>
          <w:numId w:val="2"/>
        </w:numPr>
        <w:shd w:val="clear" w:color="auto" w:fill="auto"/>
        <w:kinsoku/>
        <w:wordWrap/>
        <w:overflowPunct/>
        <w:topLinePunct w:val="0"/>
        <w:bidi w:val="0"/>
        <w:snapToGrid/>
        <w:spacing w:line="380" w:lineRule="exact"/>
        <w:ind w:left="0" w:leftChars="0" w:firstLine="540"/>
        <w:textAlignment w:val="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因疫情防控需要，本项目采用线上开标，请各投标供应商提前准备所需资料！</w:t>
      </w:r>
    </w:p>
    <w:p>
      <w:pPr>
        <w:pageBreakBefore w:val="0"/>
        <w:widowControl w:val="0"/>
        <w:numPr>
          <w:ilvl w:val="0"/>
          <w:numId w:val="2"/>
        </w:numPr>
        <w:shd w:val="clear" w:color="auto" w:fill="auto"/>
        <w:kinsoku/>
        <w:wordWrap/>
        <w:overflowPunct/>
        <w:topLinePunct w:val="0"/>
        <w:bidi w:val="0"/>
        <w:snapToGrid/>
        <w:spacing w:line="380" w:lineRule="exact"/>
        <w:ind w:left="0" w:leftChars="0" w:firstLine="540"/>
        <w:textAlignment w:val="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本项目文件费用为200元。</w:t>
      </w:r>
    </w:p>
    <w:p>
      <w:pPr>
        <w:pageBreakBefore w:val="0"/>
        <w:widowControl w:val="0"/>
        <w:numPr>
          <w:ilvl w:val="0"/>
          <w:numId w:val="0"/>
        </w:numPr>
        <w:shd w:val="clear" w:color="auto" w:fill="auto"/>
        <w:kinsoku/>
        <w:wordWrap/>
        <w:overflowPunct/>
        <w:topLinePunct w:val="0"/>
        <w:bidi w:val="0"/>
        <w:snapToGrid/>
        <w:spacing w:line="380" w:lineRule="exact"/>
        <w:ind w:left="540" w:leftChars="0" w:firstLine="240" w:firstLineChars="100"/>
        <w:textAlignment w:val="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打款信息：收款单位名称：新疆共建恒业信息咨询有限责任公司</w:t>
      </w:r>
    </w:p>
    <w:p>
      <w:pPr>
        <w:pageBreakBefore w:val="0"/>
        <w:widowControl w:val="0"/>
        <w:shd w:val="clear" w:color="auto" w:fill="auto"/>
        <w:kinsoku/>
        <w:wordWrap/>
        <w:overflowPunct/>
        <w:topLinePunct w:val="0"/>
        <w:bidi w:val="0"/>
        <w:snapToGrid/>
        <w:spacing w:line="380" w:lineRule="exact"/>
        <w:ind w:firstLine="720" w:firstLineChars="300"/>
        <w:textAlignment w:val="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开 户 行：乌鲁木齐银行喀什分行（营业部）</w:t>
      </w:r>
    </w:p>
    <w:p>
      <w:pPr>
        <w:pageBreakBefore w:val="0"/>
        <w:widowControl w:val="0"/>
        <w:shd w:val="clear" w:color="auto" w:fill="auto"/>
        <w:kinsoku/>
        <w:wordWrap/>
        <w:overflowPunct/>
        <w:topLinePunct w:val="0"/>
        <w:bidi w:val="0"/>
        <w:snapToGrid/>
        <w:spacing w:line="380" w:lineRule="exact"/>
        <w:ind w:left="0" w:leftChars="0" w:firstLine="540"/>
        <w:textAlignment w:val="auto"/>
        <w:rPr>
          <w:rFonts w:hint="default"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账    号：0000020080110025191371（请在汇款备注栏注明项目名称，并注明是文件费用。）     行    号：313894000405）</w:t>
      </w:r>
    </w:p>
    <w:p>
      <w:pPr>
        <w:pageBreakBefore w:val="0"/>
        <w:widowControl w:val="0"/>
        <w:shd w:val="clear" w:color="auto" w:fill="auto"/>
        <w:kinsoku/>
        <w:wordWrap/>
        <w:overflowPunct/>
        <w:topLinePunct w:val="0"/>
        <w:bidi w:val="0"/>
        <w:snapToGrid/>
        <w:spacing w:line="380" w:lineRule="exact"/>
        <w:ind w:left="0" w:leftChars="0" w:firstLine="540"/>
        <w:textAlignment w:val="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3.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pPr>
        <w:pageBreakBefore w:val="0"/>
        <w:widowControl w:val="0"/>
        <w:shd w:val="clear" w:color="auto" w:fill="auto"/>
        <w:kinsoku/>
        <w:wordWrap/>
        <w:overflowPunct/>
        <w:topLinePunct w:val="0"/>
        <w:bidi w:val="0"/>
        <w:snapToGrid/>
        <w:spacing w:line="380" w:lineRule="exact"/>
        <w:ind w:left="0" w:leftChars="0" w:firstLine="540"/>
        <w:textAlignment w:val="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4.本项目实行网上投标，采用电子投标文件(供应商须使用CA加密设备通过政采云电子投标客户端制作投标文件)。若供应商参与投标，自行承担投标一切费用。</w:t>
      </w:r>
    </w:p>
    <w:p>
      <w:pPr>
        <w:pageBreakBefore w:val="0"/>
        <w:widowControl w:val="0"/>
        <w:shd w:val="clear" w:color="auto" w:fill="auto"/>
        <w:kinsoku/>
        <w:wordWrap/>
        <w:overflowPunct/>
        <w:topLinePunct w:val="0"/>
        <w:bidi w:val="0"/>
        <w:snapToGrid/>
        <w:spacing w:line="380" w:lineRule="exact"/>
        <w:ind w:left="0" w:leftChars="0" w:firstLine="540"/>
        <w:textAlignment w:val="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5.各供应商应在开标前应确保成为新疆政府采购网正式注册入库供应商，并完成CA数字证书申领。因未注册入库、未办理CA数字证书等原因造成无法投标或投标失败等后果由供应商自行承担。</w:t>
      </w:r>
    </w:p>
    <w:p>
      <w:pPr>
        <w:pageBreakBefore w:val="0"/>
        <w:widowControl w:val="0"/>
        <w:shd w:val="clear" w:color="auto" w:fill="auto"/>
        <w:kinsoku/>
        <w:wordWrap/>
        <w:overflowPunct/>
        <w:topLinePunct w:val="0"/>
        <w:bidi w:val="0"/>
        <w:snapToGrid/>
        <w:spacing w:line="380" w:lineRule="exact"/>
        <w:ind w:left="0" w:leftChars="0" w:firstLine="540"/>
        <w:textAlignment w:val="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6.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pageBreakBefore w:val="0"/>
        <w:widowControl w:val="0"/>
        <w:shd w:val="clear" w:color="auto" w:fill="auto"/>
        <w:kinsoku/>
        <w:wordWrap/>
        <w:overflowPunct/>
        <w:topLinePunct w:val="0"/>
        <w:bidi w:val="0"/>
        <w:snapToGrid/>
        <w:spacing w:line="380" w:lineRule="exact"/>
        <w:ind w:left="0" w:leftChars="0" w:firstLine="540"/>
        <w:textAlignment w:val="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7.供应商在开标时须使用制作加密电子投标文件所使用的CA锁及电脑，电脑须提前配置好浏览器（建议使用谷歌浏览器），以便开标时解锁。</w:t>
      </w:r>
    </w:p>
    <w:p>
      <w:pPr>
        <w:pageBreakBefore w:val="0"/>
        <w:widowControl w:val="0"/>
        <w:shd w:val="clear" w:color="auto" w:fill="auto"/>
        <w:kinsoku/>
        <w:wordWrap/>
        <w:overflowPunct/>
        <w:topLinePunct w:val="0"/>
        <w:bidi w:val="0"/>
        <w:snapToGrid/>
        <w:spacing w:line="380" w:lineRule="exact"/>
        <w:ind w:left="0" w:leftChars="0" w:firstLine="540"/>
        <w:textAlignment w:val="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8.投标保证金缴纳及确认时间：凡拟参加本次招标项目的供应商，必须在开标前将投标保证金汇入指定账户。投标保证金汇款凭证上用途栏应注明:招标项目名称+标项号+投标保证金。否则，届时其投标将被拒绝。</w:t>
      </w:r>
    </w:p>
    <w:p>
      <w:pPr>
        <w:pageBreakBefore w:val="0"/>
        <w:widowControl w:val="0"/>
        <w:shd w:val="clear" w:color="auto" w:fill="auto"/>
        <w:kinsoku/>
        <w:wordWrap/>
        <w:overflowPunct/>
        <w:topLinePunct w:val="0"/>
        <w:bidi w:val="0"/>
        <w:snapToGrid/>
        <w:spacing w:line="380" w:lineRule="exact"/>
        <w:ind w:left="0" w:leftChars="0" w:firstLine="540"/>
        <w:textAlignment w:val="auto"/>
        <w:rPr>
          <w:rFonts w:hint="eastAsia"/>
          <w:color w:val="auto"/>
          <w:highlight w:val="none"/>
          <w:lang w:val="en-US" w:eastAsia="zh-CN"/>
        </w:rPr>
      </w:pPr>
      <w:r>
        <w:rPr>
          <w:rFonts w:hint="eastAsia" w:ascii="微软雅黑" w:hAnsi="微软雅黑" w:eastAsia="微软雅黑" w:cs="微软雅黑"/>
          <w:color w:val="auto"/>
          <w:sz w:val="24"/>
          <w:highlight w:val="none"/>
          <w:lang w:val="en-US" w:eastAsia="zh-CN"/>
        </w:rPr>
        <w:t>9.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pPr>
        <w:pageBreakBefore w:val="0"/>
        <w:widowControl w:val="0"/>
        <w:shd w:val="clear" w:color="auto" w:fill="auto"/>
        <w:kinsoku/>
        <w:wordWrap/>
        <w:overflowPunct/>
        <w:topLinePunct w:val="0"/>
        <w:bidi w:val="0"/>
        <w:snapToGrid/>
        <w:spacing w:line="380" w:lineRule="exact"/>
        <w:ind w:left="0" w:leftChars="0"/>
        <w:textAlignment w:val="auto"/>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七、对本次招标提出询问，请按以下方式联系</w:t>
      </w:r>
    </w:p>
    <w:p>
      <w:pPr>
        <w:spacing w:line="400" w:lineRule="exact"/>
        <w:ind w:left="479" w:leftChars="228"/>
        <w:rPr>
          <w:rFonts w:hint="eastAsia" w:ascii="微软雅黑" w:hAnsi="微软雅黑" w:eastAsia="微软雅黑" w:cs="微软雅黑"/>
          <w:color w:val="auto"/>
          <w:sz w:val="24"/>
          <w:highlight w:val="none"/>
        </w:rPr>
      </w:pPr>
      <w:bookmarkStart w:id="19" w:name="_Toc28359010"/>
      <w:bookmarkStart w:id="20" w:name="_Toc28359087"/>
      <w:r>
        <w:rPr>
          <w:rFonts w:hint="eastAsia" w:ascii="微软雅黑" w:hAnsi="微软雅黑" w:eastAsia="微软雅黑" w:cs="微软雅黑"/>
          <w:color w:val="auto"/>
          <w:sz w:val="24"/>
          <w:highlight w:val="none"/>
        </w:rPr>
        <w:t>1.采购人信息</w:t>
      </w:r>
    </w:p>
    <w:p>
      <w:pPr>
        <w:spacing w:line="400" w:lineRule="exact"/>
        <w:ind w:firstLine="720" w:firstLineChars="3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名    称：喀什大学　　　　　　　　　　　</w:t>
      </w:r>
    </w:p>
    <w:p>
      <w:pPr>
        <w:spacing w:line="400" w:lineRule="exact"/>
        <w:ind w:firstLine="720" w:firstLineChars="3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地    址：新疆维吾尔自治区喀什市东城区新泉校区</w:t>
      </w:r>
    </w:p>
    <w:p>
      <w:pPr>
        <w:spacing w:line="400" w:lineRule="exact"/>
        <w:ind w:firstLine="720" w:firstLineChars="3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联 系 人：</w:t>
      </w:r>
      <w:r>
        <w:rPr>
          <w:rFonts w:hint="eastAsia" w:ascii="微软雅黑" w:hAnsi="微软雅黑" w:eastAsia="微软雅黑" w:cs="微软雅黑"/>
          <w:color w:val="auto"/>
          <w:sz w:val="24"/>
          <w:highlight w:val="none"/>
          <w:lang w:eastAsia="zh-CN"/>
        </w:rPr>
        <w:t>陈新</w:t>
      </w:r>
      <w:r>
        <w:rPr>
          <w:rFonts w:hint="eastAsia" w:ascii="微软雅黑" w:hAnsi="微软雅黑" w:eastAsia="微软雅黑" w:cs="微软雅黑"/>
          <w:color w:val="auto"/>
          <w:sz w:val="24"/>
          <w:highlight w:val="none"/>
        </w:rPr>
        <w:t>　　　　　　　　　　</w:t>
      </w:r>
    </w:p>
    <w:p>
      <w:pPr>
        <w:spacing w:line="400" w:lineRule="exact"/>
        <w:ind w:firstLine="720" w:firstLineChars="3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联系方式：13779715009　　　　　　　　　　 </w:t>
      </w:r>
      <w:bookmarkStart w:id="21" w:name="_Toc28359086"/>
      <w:bookmarkStart w:id="22" w:name="_Toc28359009"/>
    </w:p>
    <w:p>
      <w:pPr>
        <w:spacing w:line="400" w:lineRule="exact"/>
        <w:ind w:left="479" w:leftChars="228"/>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2.采购代理机构信息</w:t>
      </w:r>
      <w:bookmarkEnd w:id="21"/>
      <w:bookmarkEnd w:id="22"/>
    </w:p>
    <w:p>
      <w:pPr>
        <w:spacing w:line="400" w:lineRule="exact"/>
        <w:ind w:firstLine="720" w:firstLineChars="3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名    称：新疆共建恒业信息咨询有限责任公司　　　　　　　　　　　　</w:t>
      </w:r>
    </w:p>
    <w:p>
      <w:pPr>
        <w:spacing w:line="400" w:lineRule="exact"/>
        <w:ind w:firstLine="720" w:firstLineChars="3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地　  址：喀什地区喀什市深喀大道陕西大厦12楼1208室　　　　　　　　　　　　</w:t>
      </w:r>
    </w:p>
    <w:p>
      <w:pPr>
        <w:spacing w:line="400" w:lineRule="exact"/>
        <w:ind w:firstLine="720" w:firstLineChars="3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联 系 人：陈雨丽</w:t>
      </w:r>
    </w:p>
    <w:p>
      <w:pPr>
        <w:spacing w:line="400" w:lineRule="exact"/>
        <w:ind w:firstLine="720" w:firstLineChars="3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联系方式：18209987338　　　　　　　　　　　　　　　　</w:t>
      </w:r>
    </w:p>
    <w:bookmarkEnd w:id="19"/>
    <w:bookmarkEnd w:id="20"/>
    <w:p>
      <w:pPr>
        <w:spacing w:line="400" w:lineRule="exact"/>
        <w:ind w:left="479" w:leftChars="228"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w:t>
      </w:r>
    </w:p>
    <w:p>
      <w:pPr>
        <w:spacing w:line="400" w:lineRule="exact"/>
        <w:ind w:firstLine="4080" w:firstLineChars="17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新疆共建恒业信息咨询有限责任公司</w:t>
      </w:r>
    </w:p>
    <w:p>
      <w:pPr>
        <w:jc w:val="center"/>
        <w:rPr>
          <w:rFonts w:hint="eastAsia" w:ascii="微软雅黑" w:hAnsi="微软雅黑" w:eastAsia="微软雅黑" w:cs="微软雅黑"/>
          <w:color w:val="auto"/>
          <w:highlight w:val="none"/>
        </w:rPr>
      </w:pPr>
      <w:r>
        <w:rPr>
          <w:rFonts w:hint="eastAsia" w:ascii="微软雅黑" w:hAnsi="微软雅黑" w:eastAsia="微软雅黑" w:cs="微软雅黑"/>
          <w:color w:val="auto"/>
          <w:sz w:val="24"/>
          <w:highlight w:val="none"/>
        </w:rPr>
        <w:t xml:space="preserve">                               202</w:t>
      </w:r>
      <w:r>
        <w:rPr>
          <w:rFonts w:hint="eastAsia" w:ascii="微软雅黑" w:hAnsi="微软雅黑" w:eastAsia="微软雅黑" w:cs="微软雅黑"/>
          <w:color w:val="auto"/>
          <w:sz w:val="24"/>
          <w:highlight w:val="none"/>
          <w:lang w:val="en-US" w:eastAsia="zh-CN"/>
        </w:rPr>
        <w:t>2</w:t>
      </w:r>
      <w:r>
        <w:rPr>
          <w:rFonts w:hint="eastAsia" w:ascii="微软雅黑" w:hAnsi="微软雅黑" w:eastAsia="微软雅黑" w:cs="微软雅黑"/>
          <w:color w:val="auto"/>
          <w:sz w:val="24"/>
          <w:highlight w:val="none"/>
        </w:rPr>
        <w:t>年</w:t>
      </w:r>
      <w:r>
        <w:rPr>
          <w:rFonts w:hint="eastAsia" w:ascii="微软雅黑" w:hAnsi="微软雅黑" w:eastAsia="微软雅黑" w:cs="微软雅黑"/>
          <w:color w:val="auto"/>
          <w:sz w:val="24"/>
          <w:highlight w:val="none"/>
          <w:lang w:val="en-US" w:eastAsia="zh-CN"/>
        </w:rPr>
        <w:t>4</w:t>
      </w:r>
      <w:r>
        <w:rPr>
          <w:rFonts w:hint="eastAsia" w:ascii="微软雅黑" w:hAnsi="微软雅黑" w:eastAsia="微软雅黑" w:cs="微软雅黑"/>
          <w:color w:val="auto"/>
          <w:sz w:val="24"/>
          <w:highlight w:val="none"/>
        </w:rPr>
        <w:t>月</w:t>
      </w:r>
      <w:r>
        <w:rPr>
          <w:rFonts w:hint="eastAsia" w:ascii="微软雅黑" w:hAnsi="微软雅黑" w:eastAsia="微软雅黑" w:cs="微软雅黑"/>
          <w:color w:val="auto"/>
          <w:sz w:val="24"/>
          <w:highlight w:val="none"/>
          <w:lang w:val="en-US" w:eastAsia="zh-CN"/>
        </w:rPr>
        <w:t>1</w:t>
      </w:r>
      <w:r>
        <w:rPr>
          <w:rFonts w:hint="eastAsia" w:ascii="微软雅黑" w:hAnsi="微软雅黑" w:eastAsia="微软雅黑" w:cs="微软雅黑"/>
          <w:color w:val="auto"/>
          <w:sz w:val="24"/>
          <w:highlight w:val="none"/>
        </w:rPr>
        <w:t>日</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lvlText w:val="%1."/>
      <w:lvlJc w:val="left"/>
      <w:pPr>
        <w:tabs>
          <w:tab w:val="left" w:pos="312"/>
        </w:tabs>
      </w:pPr>
    </w:lvl>
  </w:abstractNum>
  <w:abstractNum w:abstractNumId="1">
    <w:nsid w:val="0000000A"/>
    <w:multiLevelType w:val="singleLevel"/>
    <w:tmpl w:val="0000000A"/>
    <w:lvl w:ilvl="0" w:tentative="0">
      <w:start w:val="6"/>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B800F7"/>
    <w:rsid w:val="066A0508"/>
    <w:rsid w:val="081631DD"/>
    <w:rsid w:val="08262042"/>
    <w:rsid w:val="0BC4765A"/>
    <w:rsid w:val="0C940130"/>
    <w:rsid w:val="0F360CFB"/>
    <w:rsid w:val="0FB2245E"/>
    <w:rsid w:val="113C49CF"/>
    <w:rsid w:val="137B392C"/>
    <w:rsid w:val="1404532A"/>
    <w:rsid w:val="1B9E1D1F"/>
    <w:rsid w:val="1D235E6A"/>
    <w:rsid w:val="1ED76968"/>
    <w:rsid w:val="22465699"/>
    <w:rsid w:val="24195742"/>
    <w:rsid w:val="25C301EA"/>
    <w:rsid w:val="25E04ED5"/>
    <w:rsid w:val="29BF580F"/>
    <w:rsid w:val="2A846B8A"/>
    <w:rsid w:val="2B7D7101"/>
    <w:rsid w:val="2BDA6C77"/>
    <w:rsid w:val="2C432672"/>
    <w:rsid w:val="2D696580"/>
    <w:rsid w:val="313725D9"/>
    <w:rsid w:val="346E0004"/>
    <w:rsid w:val="356B45F6"/>
    <w:rsid w:val="35B7072D"/>
    <w:rsid w:val="35F12468"/>
    <w:rsid w:val="39726E7A"/>
    <w:rsid w:val="3A5C0CF0"/>
    <w:rsid w:val="3B150E63"/>
    <w:rsid w:val="3FBD1A99"/>
    <w:rsid w:val="413A67DE"/>
    <w:rsid w:val="45395601"/>
    <w:rsid w:val="46FB7A04"/>
    <w:rsid w:val="494931D0"/>
    <w:rsid w:val="497902C4"/>
    <w:rsid w:val="4A8A4F94"/>
    <w:rsid w:val="4AC64905"/>
    <w:rsid w:val="4BFD7802"/>
    <w:rsid w:val="4C1744BA"/>
    <w:rsid w:val="4C752D2C"/>
    <w:rsid w:val="4CF66846"/>
    <w:rsid w:val="4DCD7F13"/>
    <w:rsid w:val="4F786D4B"/>
    <w:rsid w:val="52073218"/>
    <w:rsid w:val="541F576A"/>
    <w:rsid w:val="567A22CA"/>
    <w:rsid w:val="56D02434"/>
    <w:rsid w:val="58D623BA"/>
    <w:rsid w:val="5D2F316F"/>
    <w:rsid w:val="61DF4427"/>
    <w:rsid w:val="62FD18E3"/>
    <w:rsid w:val="65781CE9"/>
    <w:rsid w:val="6CFF7179"/>
    <w:rsid w:val="6E105CD5"/>
    <w:rsid w:val="6E986329"/>
    <w:rsid w:val="6FD311A0"/>
    <w:rsid w:val="70B763CA"/>
    <w:rsid w:val="71F80061"/>
    <w:rsid w:val="738A0B04"/>
    <w:rsid w:val="745E203A"/>
    <w:rsid w:val="750D607C"/>
    <w:rsid w:val="75B72D40"/>
    <w:rsid w:val="764433B9"/>
    <w:rsid w:val="772D72B6"/>
    <w:rsid w:val="79E37943"/>
    <w:rsid w:val="7B272699"/>
    <w:rsid w:val="7DF87F36"/>
    <w:rsid w:val="7ED77BF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4">
    <w:name w:val="Normal Indent"/>
    <w:basedOn w:val="1"/>
    <w:next w:val="5"/>
    <w:qFormat/>
    <w:uiPriority w:val="0"/>
    <w:pPr>
      <w:autoSpaceDE w:val="0"/>
      <w:autoSpaceDN w:val="0"/>
      <w:adjustRightInd w:val="0"/>
      <w:ind w:firstLine="420"/>
      <w:jc w:val="left"/>
    </w:pPr>
    <w:rPr>
      <w:rFonts w:ascii="宋体" w:hAnsi="Times New Roman" w:eastAsia="宋体" w:cs="Times New Roman"/>
      <w:kern w:val="0"/>
      <w:sz w:val="24"/>
      <w:szCs w:val="20"/>
    </w:rPr>
  </w:style>
  <w:style w:type="paragraph" w:styleId="5">
    <w:name w:val="toa heading"/>
    <w:basedOn w:val="1"/>
    <w:next w:val="1"/>
    <w:qFormat/>
    <w:uiPriority w:val="0"/>
    <w:pPr>
      <w:spacing w:before="120"/>
    </w:pPr>
    <w:rPr>
      <w:rFonts w:ascii="Cambria" w:hAnsi="Cambria"/>
      <w:sz w:val="24"/>
    </w:rPr>
  </w:style>
  <w:style w:type="paragraph" w:styleId="6">
    <w:name w:val="Body Text Indent"/>
    <w:basedOn w:val="1"/>
    <w:qFormat/>
    <w:uiPriority w:val="0"/>
    <w:pPr>
      <w:spacing w:line="360" w:lineRule="auto"/>
      <w:ind w:firstLine="570"/>
    </w:pPr>
    <w:rPr>
      <w:rFonts w:ascii="Times New Roman" w:hAnsi="Times New Roman" w:eastAsia="宋体" w:cs="Times New Roman"/>
      <w:sz w:val="24"/>
    </w:rPr>
  </w:style>
  <w:style w:type="paragraph" w:styleId="7">
    <w:name w:val="Normal (Web)"/>
    <w:basedOn w:val="1"/>
    <w:qFormat/>
    <w:uiPriority w:val="0"/>
    <w:pPr>
      <w:spacing w:before="100" w:beforeAutospacing="1" w:after="100" w:afterAutospacing="1"/>
      <w:ind w:left="0" w:right="0"/>
      <w:jc w:val="left"/>
    </w:pPr>
    <w:rPr>
      <w:rFonts w:ascii="Calibri" w:hAnsi="Calibri" w:eastAsia="宋体" w:cs="Times New Roman"/>
      <w:kern w:val="0"/>
      <w:sz w:val="24"/>
      <w:lang w:val="en-US" w:eastAsia="zh-CN" w:bidi="ar"/>
    </w:rPr>
  </w:style>
  <w:style w:type="paragraph" w:styleId="8">
    <w:name w:val="Body Text First Indent 2"/>
    <w:basedOn w:val="6"/>
    <w:qFormat/>
    <w:uiPriority w:val="0"/>
    <w:pPr>
      <w:ind w:firstLine="420" w:firstLineChars="200"/>
    </w:pPr>
    <w:rPr>
      <w:rFonts w:ascii="Times New Roman" w:hAnsi="Times New Roman" w:eastAsia="宋体" w:cs="Times New Roman"/>
      <w:szCs w:val="24"/>
    </w:rPr>
  </w:style>
  <w:style w:type="character" w:styleId="11">
    <w:name w:val="Hyperlink"/>
    <w:basedOn w:val="10"/>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2033</Words>
  <Characters>2468</Characters>
  <Lines>0</Lines>
  <Paragraphs>0</Paragraphs>
  <TotalTime>29</TotalTime>
  <ScaleCrop>false</ScaleCrop>
  <LinksUpToDate>false</LinksUpToDate>
  <CharactersWithSpaces>2615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2021-01-29T02:19:00Z</dcterms:created>
  <dc:creator>Administrator</dc:creator>
  <cp:lastModifiedBy>0℃</cp:lastModifiedBy>
  <dcterms:modified xsi:type="dcterms:W3CDTF">2022-04-01T09:21:59Z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AE9836D23BF04A6CAB01AC5062BBA935</vt:lpwstr>
  </property>
</Properties>
</file>