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right"/>
        <w:rPr>
          <w:rFonts w:ascii="宋体" w:hAnsi="宋体" w:cs="宋体"/>
          <w:b/>
          <w:lang w:val="zh-CN"/>
        </w:rPr>
      </w:pPr>
      <w:r>
        <w:rPr>
          <w:rFonts w:hint="eastAsia" w:ascii="宋体" w:hAnsi="宋体" w:cs="宋体"/>
          <w:b/>
          <w:lang w:val="zh-CN"/>
        </w:rPr>
        <w:t>项目编号：XJDH【2022】-H010</w:t>
      </w:r>
    </w:p>
    <w:p>
      <w:pPr>
        <w:autoSpaceDE w:val="0"/>
        <w:autoSpaceDN w:val="0"/>
        <w:adjustRightInd w:val="0"/>
        <w:rPr>
          <w:rFonts w:ascii="宋体" w:hAnsi="宋体" w:cs="宋体"/>
          <w:b/>
          <w:lang w:val="zh-CN"/>
        </w:rPr>
      </w:pPr>
    </w:p>
    <w:p>
      <w:pPr>
        <w:autoSpaceDE w:val="0"/>
        <w:autoSpaceDN w:val="0"/>
        <w:adjustRightInd w:val="0"/>
        <w:jc w:val="center"/>
        <w:rPr>
          <w:rFonts w:ascii="宋体" w:hAnsi="宋体" w:cs="宋体"/>
          <w:b/>
          <w:sz w:val="36"/>
          <w:lang w:val="zh-CN"/>
        </w:rPr>
      </w:pPr>
    </w:p>
    <w:p>
      <w:pPr>
        <w:autoSpaceDE w:val="0"/>
        <w:autoSpaceDN w:val="0"/>
        <w:adjustRightInd w:val="0"/>
        <w:jc w:val="center"/>
        <w:rPr>
          <w:rFonts w:ascii="宋体" w:hAnsi="宋体" w:cs="宋体"/>
          <w:b/>
          <w:sz w:val="36"/>
          <w:lang w:val="zh-CN"/>
        </w:rPr>
      </w:pPr>
    </w:p>
    <w:p>
      <w:pPr>
        <w:autoSpaceDE w:val="0"/>
        <w:autoSpaceDN w:val="0"/>
        <w:adjustRightInd w:val="0"/>
        <w:spacing w:line="360" w:lineRule="auto"/>
        <w:jc w:val="center"/>
        <w:rPr>
          <w:rFonts w:ascii="宋体" w:hAnsi="宋体" w:cs="宋体"/>
          <w:b/>
          <w:sz w:val="36"/>
          <w:lang w:val="zh-CN"/>
        </w:rPr>
      </w:pPr>
      <w:r>
        <w:rPr>
          <w:rFonts w:hint="eastAsia" w:ascii="宋体" w:hAnsi="宋体" w:cs="宋体"/>
          <w:b/>
          <w:sz w:val="52"/>
        </w:rPr>
        <w:t>竞争性磋商</w:t>
      </w:r>
      <w:r>
        <w:rPr>
          <w:rFonts w:hint="eastAsia" w:ascii="宋体" w:hAnsi="宋体" w:cs="宋体"/>
          <w:b/>
          <w:sz w:val="52"/>
          <w:lang w:val="zh-CN"/>
        </w:rPr>
        <w:t>文件</w:t>
      </w:r>
    </w:p>
    <w:p>
      <w:pPr>
        <w:autoSpaceDE w:val="0"/>
        <w:autoSpaceDN w:val="0"/>
        <w:adjustRightInd w:val="0"/>
        <w:jc w:val="center"/>
        <w:rPr>
          <w:rFonts w:ascii="宋体" w:hAnsi="宋体" w:cs="宋体"/>
          <w:b/>
          <w:lang w:val="zh-CN"/>
        </w:rPr>
      </w:pPr>
    </w:p>
    <w:p>
      <w:pPr>
        <w:autoSpaceDE w:val="0"/>
        <w:autoSpaceDN w:val="0"/>
        <w:adjustRightInd w:val="0"/>
        <w:jc w:val="center"/>
        <w:rPr>
          <w:rFonts w:ascii="宋体" w:hAnsi="宋体" w:cs="宋体"/>
          <w:b/>
          <w:lang w:val="zh-CN"/>
        </w:rPr>
      </w:pPr>
    </w:p>
    <w:p>
      <w:pPr>
        <w:autoSpaceDE w:val="0"/>
        <w:autoSpaceDN w:val="0"/>
        <w:adjustRightInd w:val="0"/>
        <w:jc w:val="center"/>
        <w:rPr>
          <w:rFonts w:ascii="宋体" w:hAnsi="宋体" w:cs="宋体"/>
          <w:b/>
          <w:lang w:val="zh-CN"/>
        </w:rPr>
      </w:pPr>
    </w:p>
    <w:p>
      <w:pPr>
        <w:pStyle w:val="21"/>
        <w:ind w:firstLine="422"/>
        <w:rPr>
          <w:rFonts w:ascii="宋体" w:hAnsi="宋体" w:cs="宋体"/>
          <w:b/>
          <w:lang w:val="zh-CN"/>
        </w:rPr>
      </w:pPr>
    </w:p>
    <w:p>
      <w:pPr>
        <w:pStyle w:val="21"/>
        <w:ind w:firstLine="422"/>
        <w:rPr>
          <w:rFonts w:ascii="宋体" w:hAnsi="宋体" w:cs="宋体"/>
          <w:b/>
          <w:lang w:val="zh-CN"/>
        </w:rPr>
      </w:pPr>
    </w:p>
    <w:p>
      <w:pPr>
        <w:autoSpaceDE w:val="0"/>
        <w:autoSpaceDN w:val="0"/>
        <w:adjustRightInd w:val="0"/>
        <w:rPr>
          <w:rFonts w:ascii="宋体" w:hAnsi="宋体" w:cs="宋体"/>
          <w:b/>
          <w:lang w:val="zh-CN"/>
        </w:rPr>
      </w:pPr>
    </w:p>
    <w:p>
      <w:pPr>
        <w:spacing w:line="480" w:lineRule="auto"/>
        <w:ind w:left="1205" w:hanging="1205" w:hangingChars="500"/>
        <w:rPr>
          <w:rFonts w:ascii="宋体" w:hAnsi="宋体" w:cs="宋体"/>
          <w:b/>
          <w:color w:val="000000"/>
          <w:sz w:val="24"/>
        </w:rPr>
      </w:pPr>
      <w:r>
        <w:rPr>
          <w:rFonts w:hint="eastAsia" w:ascii="宋体" w:hAnsi="宋体" w:cs="宋体"/>
          <w:b/>
          <w:color w:val="000000"/>
          <w:sz w:val="24"/>
        </w:rPr>
        <w:t>工程名称：巴里坤县群众文化活动中心建设项目-室外铺装及附属设施建设项目</w:t>
      </w:r>
    </w:p>
    <w:p>
      <w:pPr>
        <w:spacing w:line="360" w:lineRule="auto"/>
        <w:rPr>
          <w:rFonts w:hint="eastAsia" w:ascii="宋体" w:hAnsi="宋体" w:cs="宋体"/>
          <w:b/>
          <w:color w:val="000000"/>
          <w:sz w:val="24"/>
        </w:rPr>
      </w:pPr>
      <w:r>
        <w:rPr>
          <w:rFonts w:hint="eastAsia" w:ascii="宋体" w:hAnsi="宋体" w:cs="宋体"/>
          <w:b/>
          <w:color w:val="000000"/>
          <w:sz w:val="24"/>
        </w:rPr>
        <w:t>招 标 人：巴里坤哈萨克自治县文化体育广播电视和旅游局</w:t>
      </w:r>
    </w:p>
    <w:p>
      <w:pPr>
        <w:spacing w:line="360" w:lineRule="auto"/>
        <w:rPr>
          <w:rFonts w:hint="eastAsia" w:ascii="宋体" w:hAnsi="宋体" w:cs="宋体"/>
          <w:b/>
          <w:color w:val="000000"/>
          <w:sz w:val="24"/>
          <w:highlight w:val="none"/>
          <w:lang w:eastAsia="zh-CN"/>
        </w:rPr>
      </w:pPr>
      <w:r>
        <w:rPr>
          <w:rFonts w:hint="eastAsia" w:ascii="宋体" w:hAnsi="宋体" w:cs="宋体"/>
          <w:b/>
          <w:color w:val="000000"/>
          <w:sz w:val="24"/>
          <w:highlight w:val="none"/>
        </w:rPr>
        <w:t>联 系 人：</w:t>
      </w:r>
      <w:r>
        <w:rPr>
          <w:rFonts w:hint="eastAsia" w:ascii="宋体" w:hAnsi="宋体" w:cs="宋体"/>
          <w:b/>
          <w:color w:val="000000"/>
          <w:sz w:val="24"/>
          <w:highlight w:val="none"/>
          <w:lang w:eastAsia="zh-CN"/>
        </w:rPr>
        <w:t>派道森</w:t>
      </w:r>
    </w:p>
    <w:p>
      <w:pPr>
        <w:spacing w:line="360" w:lineRule="auto"/>
        <w:rPr>
          <w:rFonts w:ascii="宋体" w:hAnsi="宋体" w:cs="宋体"/>
          <w:b/>
          <w:color w:val="000000"/>
          <w:sz w:val="24"/>
          <w:highlight w:val="none"/>
        </w:rPr>
      </w:pPr>
      <w:r>
        <w:rPr>
          <w:rFonts w:hint="eastAsia" w:ascii="宋体" w:hAnsi="宋体" w:cs="宋体"/>
          <w:b/>
          <w:color w:val="000000"/>
          <w:sz w:val="24"/>
          <w:highlight w:val="none"/>
        </w:rPr>
        <w:t xml:space="preserve">电    话：0902-6802911 </w:t>
      </w:r>
    </w:p>
    <w:p>
      <w:pPr>
        <w:spacing w:line="480" w:lineRule="auto"/>
        <w:rPr>
          <w:rFonts w:hint="eastAsia" w:ascii="宋体" w:hAnsi="宋体" w:cs="宋体"/>
          <w:b/>
          <w:color w:val="000000"/>
          <w:sz w:val="24"/>
        </w:rPr>
      </w:pPr>
      <w:r>
        <w:rPr>
          <w:rFonts w:hint="eastAsia" w:ascii="宋体" w:hAnsi="宋体" w:cs="宋体"/>
          <w:b/>
          <w:color w:val="000000"/>
          <w:sz w:val="24"/>
        </w:rPr>
        <w:t>详细地址：新疆维吾尔自治区哈密市巴里坤县军民团结路</w:t>
      </w:r>
    </w:p>
    <w:p>
      <w:pPr>
        <w:spacing w:line="480" w:lineRule="auto"/>
        <w:rPr>
          <w:rFonts w:hint="eastAsia" w:ascii="宋体" w:hAnsi="宋体" w:cs="宋体"/>
          <w:b/>
          <w:color w:val="000000"/>
          <w:sz w:val="24"/>
        </w:rPr>
      </w:pPr>
    </w:p>
    <w:p>
      <w:pPr>
        <w:spacing w:line="480" w:lineRule="auto"/>
        <w:rPr>
          <w:rFonts w:ascii="宋体" w:hAnsi="宋体" w:cs="宋体"/>
          <w:b/>
          <w:color w:val="000000"/>
          <w:sz w:val="24"/>
        </w:rPr>
      </w:pPr>
      <w:r>
        <w:rPr>
          <w:rFonts w:hint="eastAsia"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-142240</wp:posOffset>
                </wp:positionH>
                <wp:positionV relativeFrom="paragraph">
                  <wp:posOffset>320040</wp:posOffset>
                </wp:positionV>
                <wp:extent cx="5600700" cy="0"/>
                <wp:effectExtent l="0" t="0" r="0" b="0"/>
                <wp:wrapNone/>
                <wp:docPr id="5" name="直线 4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直线 42" o:spid="_x0000_s1026" o:spt="20" style="position:absolute;left:0pt;margin-left:-11.2pt;margin-top:25.2pt;height:0pt;width:441pt;z-index:251663360;mso-width-relative:page;mso-height-relative:page;" filled="f" stroked="t" coordsize="21600,21600" o:gfxdata="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8vkNcAAAAJAQAA&#10;DwAAAAAAAAABACAAAAAiAAAAZHJzL2Rvd25yZXYueG1sUEsBAhQAFAAAAAgAh07iQE+jxNrhAQAA&#10;0gMAAA4AAAAAAAAAAQAgAAAAJgEAAGRycy9lMm9Eb2MueG1sUEsFBgAAAAAGAAYAWQEAAHkFAAAA&#10;AA==&#10;">
                <v:fill on="f" focussize="0,0"/>
                <v:stroke weight="1pt" color="#000000" joinstyle="round" dashstyle="1 1"/>
                <v:imagedata o:title=""/>
                <o:lock v:ext="edit" aspectratio="f"/>
              </v:line>
            </w:pict>
          </mc:Fallback>
        </mc:AlternateContent>
      </w:r>
    </w:p>
    <w:p>
      <w:pPr>
        <w:spacing w:line="480" w:lineRule="auto"/>
        <w:rPr>
          <w:rFonts w:ascii="宋体" w:hAnsi="宋体" w:cs="宋体"/>
          <w:b/>
          <w:color w:val="000000"/>
          <w:sz w:val="24"/>
        </w:rPr>
      </w:pPr>
    </w:p>
    <w:p>
      <w:pPr>
        <w:spacing w:line="480" w:lineRule="auto"/>
        <w:rPr>
          <w:rFonts w:hint="eastAsia" w:ascii="宋体" w:hAnsi="宋体" w:cs="宋体"/>
          <w:b/>
          <w:color w:val="000000"/>
          <w:sz w:val="24"/>
        </w:rPr>
      </w:pPr>
    </w:p>
    <w:p>
      <w:pPr>
        <w:spacing w:line="480" w:lineRule="auto"/>
        <w:rPr>
          <w:rFonts w:ascii="宋体" w:hAnsi="宋体" w:cs="宋体"/>
          <w:b/>
          <w:color w:val="000000"/>
          <w:sz w:val="24"/>
        </w:rPr>
      </w:pPr>
      <w:r>
        <w:rPr>
          <w:rFonts w:hint="eastAsia" w:ascii="宋体" w:hAnsi="宋体" w:cs="宋体"/>
          <w:b/>
          <w:color w:val="000000"/>
          <w:sz w:val="24"/>
        </w:rPr>
        <w:t>招标代理机构：新疆德鸿项目管理咨询有限公司</w:t>
      </w:r>
    </w:p>
    <w:p>
      <w:pPr>
        <w:spacing w:line="360" w:lineRule="auto"/>
        <w:rPr>
          <w:rFonts w:ascii="宋体" w:hAnsi="宋体" w:cs="宋体"/>
          <w:b/>
          <w:kern w:val="0"/>
          <w:sz w:val="24"/>
          <w:shd w:val="clear" w:color="auto" w:fill="FFFFFF"/>
        </w:rPr>
      </w:pPr>
      <w:r>
        <w:rPr>
          <w:rFonts w:hint="eastAsia" w:ascii="宋体" w:hAnsi="宋体" w:cs="宋体"/>
          <w:b/>
          <w:kern w:val="0"/>
          <w:sz w:val="24"/>
          <w:shd w:val="clear" w:color="auto" w:fill="FFFFFF"/>
        </w:rPr>
        <w:t>联   系   人：王小琴</w:t>
      </w:r>
    </w:p>
    <w:p>
      <w:pPr>
        <w:spacing w:line="360" w:lineRule="auto"/>
        <w:rPr>
          <w:rFonts w:ascii="宋体" w:hAnsi="宋体" w:cs="宋体"/>
          <w:b/>
          <w:color w:val="000000"/>
          <w:sz w:val="24"/>
        </w:rPr>
      </w:pPr>
      <w:r>
        <w:rPr>
          <w:rFonts w:hint="eastAsia" w:ascii="宋体" w:hAnsi="宋体" w:cs="宋体"/>
          <w:b/>
          <w:kern w:val="0"/>
          <w:sz w:val="24"/>
          <w:shd w:val="clear" w:color="auto" w:fill="FFFFFF"/>
        </w:rPr>
        <w:t>电        话</w:t>
      </w:r>
      <w:r>
        <w:rPr>
          <w:rFonts w:hint="eastAsia" w:ascii="宋体" w:hAnsi="宋体" w:cs="宋体"/>
          <w:b/>
          <w:color w:val="000000"/>
          <w:sz w:val="24"/>
        </w:rPr>
        <w:t>：0902-6996999</w:t>
      </w:r>
    </w:p>
    <w:p>
      <w:pPr>
        <w:spacing w:line="360" w:lineRule="auto"/>
        <w:rPr>
          <w:rFonts w:ascii="宋体" w:hAnsi="宋体" w:cs="宋体"/>
          <w:b/>
          <w:color w:val="000000"/>
          <w:sz w:val="24"/>
        </w:rPr>
      </w:pPr>
      <w:r>
        <w:rPr>
          <w:rFonts w:hint="eastAsia" w:ascii="宋体" w:hAnsi="宋体" w:cs="宋体"/>
          <w:b/>
          <w:color w:val="000000"/>
          <w:sz w:val="24"/>
        </w:rPr>
        <w:t>详  细  地  址：新疆哈密市向阳东路东延源泉小区旁小二楼2-20</w:t>
      </w:r>
    </w:p>
    <w:p>
      <w:pPr>
        <w:snapToGrid w:val="0"/>
        <w:spacing w:line="360" w:lineRule="auto"/>
        <w:jc w:val="center"/>
        <w:rPr>
          <w:rFonts w:ascii="宋体" w:hAnsi="宋体" w:cs="宋体"/>
          <w:b/>
          <w:sz w:val="32"/>
          <w:szCs w:val="32"/>
        </w:rPr>
      </w:pPr>
    </w:p>
    <w:p>
      <w:pPr>
        <w:snapToGrid w:val="0"/>
        <w:spacing w:line="360" w:lineRule="auto"/>
        <w:jc w:val="center"/>
        <w:rPr>
          <w:rFonts w:hint="eastAsia" w:ascii="宋体" w:hAnsi="宋体" w:cs="宋体"/>
          <w:b/>
          <w:sz w:val="36"/>
          <w:szCs w:val="36"/>
        </w:rPr>
        <w:sectPr>
          <w:footerReference r:id="rId5" w:type="first"/>
          <w:headerReference r:id="rId3" w:type="default"/>
          <w:footerReference r:id="rId4" w:type="default"/>
          <w:pgSz w:w="11906" w:h="16838"/>
          <w:pgMar w:top="680" w:right="1276" w:bottom="1712" w:left="1417" w:header="703" w:footer="850" w:gutter="0"/>
          <w:pgNumType w:fmt="decimal" w:start="1"/>
          <w:cols w:space="720" w:num="1"/>
          <w:titlePg/>
          <w:docGrid w:type="lines" w:linePitch="314" w:charSpace="0"/>
        </w:sectPr>
      </w:pPr>
    </w:p>
    <w:p>
      <w:pPr>
        <w:snapToGrid w:val="0"/>
        <w:spacing w:line="360" w:lineRule="auto"/>
        <w:jc w:val="center"/>
        <w:rPr>
          <w:rFonts w:ascii="宋体" w:hAnsi="宋体" w:cs="宋体"/>
          <w:b/>
          <w:sz w:val="36"/>
          <w:szCs w:val="36"/>
        </w:rPr>
      </w:pPr>
      <w:r>
        <w:rPr>
          <w:rFonts w:hint="eastAsia" w:ascii="宋体" w:hAnsi="宋体" w:cs="宋体"/>
          <w:b/>
          <w:sz w:val="36"/>
          <w:szCs w:val="36"/>
        </w:rPr>
        <w:t xml:space="preserve"> 目</w:t>
      </w:r>
      <w:r>
        <w:rPr>
          <w:rFonts w:hint="eastAsia" w:ascii="宋体" w:hAnsi="宋体" w:cs="宋体"/>
          <w:sz w:val="36"/>
          <w:szCs w:val="36"/>
        </w:rPr>
        <w:t xml:space="preserve">    </w:t>
      </w:r>
      <w:r>
        <w:rPr>
          <w:rFonts w:hint="eastAsia" w:ascii="宋体" w:hAnsi="宋体" w:cs="宋体"/>
          <w:b/>
          <w:sz w:val="36"/>
          <w:szCs w:val="36"/>
        </w:rPr>
        <w:t>录</w:t>
      </w:r>
    </w:p>
    <w:p>
      <w:pPr>
        <w:pStyle w:val="21"/>
        <w:ind w:firstLine="643"/>
        <w:rPr>
          <w:rFonts w:ascii="宋体" w:hAnsi="宋体" w:cs="宋体"/>
          <w:b/>
          <w:sz w:val="32"/>
          <w:szCs w:val="32"/>
        </w:rPr>
      </w:pPr>
    </w:p>
    <w:p>
      <w:pPr>
        <w:pStyle w:val="21"/>
        <w:ind w:firstLine="643"/>
        <w:rPr>
          <w:rFonts w:ascii="宋体" w:hAnsi="宋体" w:cs="宋体"/>
          <w:b/>
          <w:sz w:val="32"/>
          <w:szCs w:val="32"/>
        </w:rPr>
      </w:pP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第一部分 竞争性磋商公告…………………………………………………1</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第二部分 投标人须知前附表及须知………………………………………7</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一.总则………………………………………………………………………11</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二.竞争性磋商文件…………………………………………………………12</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三.磋商响应文件的编制……………………………………………………13</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四.磋商响应文件的递交……………………………………………………17</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五.无效标、废标条款………………………………………………………18</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六.磋商程序及最终报价……………………………………………………19</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七.评标办法…………………………………………………………………23</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八.成交及合同签订…………………………………………………………27</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九.验收及付款………………………………………………………………28</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十.质疑与投诉………………………………………………………………28</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第三部分 合同条款…………………………………………………………32</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第四部分 技术要求和技术规范……………………………………………56</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第五部分 磋商响应文件格式………………………………………………57</w:t>
      </w:r>
    </w:p>
    <w:p>
      <w:pPr>
        <w:adjustRightInd w:val="0"/>
        <w:snapToGrid w:val="0"/>
        <w:spacing w:line="360" w:lineRule="auto"/>
        <w:ind w:right="-1" w:firstLine="823" w:firstLineChars="343"/>
        <w:jc w:val="left"/>
        <w:rPr>
          <w:rFonts w:ascii="仿宋" w:hAnsi="仿宋" w:eastAsia="仿宋" w:cs="仿宋"/>
          <w:sz w:val="24"/>
          <w:szCs w:val="24"/>
        </w:rPr>
      </w:pPr>
      <w:r>
        <w:rPr>
          <w:rFonts w:hint="eastAsia" w:ascii="仿宋" w:hAnsi="仿宋" w:eastAsia="仿宋" w:cs="仿宋"/>
          <w:sz w:val="24"/>
          <w:szCs w:val="24"/>
        </w:rPr>
        <w:t>第六部分 工程量清单………………………………………………………80</w:t>
      </w:r>
    </w:p>
    <w:p>
      <w:pPr>
        <w:pStyle w:val="21"/>
      </w:pPr>
    </w:p>
    <w:p>
      <w:pPr>
        <w:snapToGrid w:val="0"/>
        <w:spacing w:line="360" w:lineRule="auto"/>
        <w:rPr>
          <w:rFonts w:ascii="宋体" w:hAnsi="宋体" w:cs="宋体"/>
          <w:bCs/>
          <w:sz w:val="36"/>
          <w:szCs w:val="36"/>
        </w:rPr>
      </w:pPr>
    </w:p>
    <w:p>
      <w:pPr>
        <w:snapToGrid w:val="0"/>
        <w:spacing w:line="360" w:lineRule="auto"/>
        <w:rPr>
          <w:rFonts w:ascii="宋体" w:hAnsi="宋体" w:cs="宋体"/>
          <w:bCs/>
          <w:sz w:val="36"/>
          <w:szCs w:val="36"/>
        </w:rPr>
      </w:pPr>
    </w:p>
    <w:p>
      <w:pPr>
        <w:snapToGrid w:val="0"/>
        <w:spacing w:line="360" w:lineRule="auto"/>
        <w:rPr>
          <w:rFonts w:ascii="宋体" w:hAnsi="宋体" w:cs="宋体"/>
          <w:bCs/>
          <w:sz w:val="36"/>
          <w:szCs w:val="36"/>
        </w:rPr>
      </w:pPr>
    </w:p>
    <w:p>
      <w:pPr>
        <w:snapToGrid w:val="0"/>
        <w:spacing w:line="360" w:lineRule="auto"/>
        <w:rPr>
          <w:rFonts w:ascii="宋体" w:hAnsi="宋体" w:cs="宋体"/>
          <w:bCs/>
          <w:sz w:val="36"/>
          <w:szCs w:val="36"/>
        </w:rPr>
      </w:pPr>
    </w:p>
    <w:p>
      <w:pPr>
        <w:snapToGrid w:val="0"/>
        <w:spacing w:line="360" w:lineRule="auto"/>
        <w:rPr>
          <w:rFonts w:ascii="宋体" w:hAnsi="宋体" w:cs="宋体"/>
          <w:bCs/>
          <w:sz w:val="36"/>
          <w:szCs w:val="36"/>
        </w:rPr>
      </w:pPr>
    </w:p>
    <w:p>
      <w:pPr>
        <w:snapToGrid w:val="0"/>
        <w:spacing w:line="360" w:lineRule="auto"/>
        <w:rPr>
          <w:rFonts w:ascii="宋体" w:hAnsi="宋体" w:cs="宋体"/>
          <w:bCs/>
          <w:sz w:val="36"/>
          <w:szCs w:val="36"/>
        </w:rPr>
      </w:pPr>
    </w:p>
    <w:p>
      <w:pPr>
        <w:snapToGrid w:val="0"/>
        <w:spacing w:line="360" w:lineRule="auto"/>
        <w:jc w:val="center"/>
        <w:rPr>
          <w:rFonts w:ascii="宋体" w:hAnsi="宋体" w:cs="宋体"/>
          <w:b/>
          <w:sz w:val="32"/>
          <w:szCs w:val="32"/>
        </w:rPr>
        <w:sectPr>
          <w:footerReference r:id="rId7" w:type="first"/>
          <w:footerReference r:id="rId6" w:type="default"/>
          <w:pgSz w:w="11906" w:h="16838"/>
          <w:pgMar w:top="680" w:right="1276" w:bottom="1712" w:left="1417" w:header="703" w:footer="850" w:gutter="0"/>
          <w:pgNumType w:fmt="decimal" w:start="1"/>
          <w:cols w:space="720" w:num="1"/>
          <w:docGrid w:type="lines" w:linePitch="314" w:charSpace="0"/>
        </w:sectPr>
      </w:pPr>
    </w:p>
    <w:p>
      <w:pPr>
        <w:snapToGrid w:val="0"/>
        <w:spacing w:line="360" w:lineRule="auto"/>
        <w:jc w:val="center"/>
        <w:rPr>
          <w:rFonts w:ascii="宋体" w:hAnsi="宋体" w:cs="宋体"/>
          <w:b/>
          <w:sz w:val="32"/>
          <w:szCs w:val="32"/>
        </w:rPr>
      </w:pPr>
      <w:r>
        <w:rPr>
          <w:rFonts w:hint="eastAsia" w:ascii="宋体" w:hAnsi="宋体" w:cs="宋体"/>
          <w:b/>
          <w:sz w:val="32"/>
          <w:szCs w:val="32"/>
        </w:rPr>
        <w:t>第一部分 竞争性磋商公告</w:t>
      </w:r>
    </w:p>
    <w:p>
      <w:pPr>
        <w:spacing w:line="360" w:lineRule="auto"/>
        <w:ind w:firstLine="480" w:firstLineChars="200"/>
        <w:rPr>
          <w:rFonts w:ascii="仿宋" w:hAnsi="仿宋" w:eastAsia="仿宋"/>
          <w:sz w:val="24"/>
        </w:rPr>
      </w:pPr>
      <w:r>
        <w:rPr>
          <w:rFonts w:hint="eastAsia" w:ascii="仿宋" w:hAnsi="仿宋" w:eastAsia="仿宋"/>
          <w:sz w:val="24"/>
        </w:rPr>
        <w:t xml:space="preserve">                                 </w:t>
      </w:r>
    </w:p>
    <w:p>
      <w:pPr>
        <w:pStyle w:val="3"/>
        <w:keepNext w:val="0"/>
        <w:keepLines w:val="0"/>
        <w:widowControl/>
        <w:spacing w:line="450" w:lineRule="atLeast"/>
        <w:jc w:val="center"/>
        <w:rPr>
          <w:sz w:val="36"/>
          <w:szCs w:val="36"/>
        </w:rPr>
      </w:pPr>
      <w:r>
        <w:rPr>
          <w:rFonts w:hint="eastAsia"/>
          <w:sz w:val="36"/>
          <w:szCs w:val="36"/>
        </w:rPr>
        <w:t>巴里坤县群众文化活动中心建设项目-室外铺装及附属设施建设项目</w:t>
      </w:r>
      <w:r>
        <w:rPr>
          <w:sz w:val="36"/>
          <w:szCs w:val="36"/>
        </w:rPr>
        <w:t>竞争性磋商公告</w:t>
      </w:r>
    </w:p>
    <w:p>
      <w:pPr>
        <w:pStyle w:val="18"/>
        <w:spacing w:before="75" w:after="150"/>
      </w:pPr>
      <w:r>
        <w:rPr>
          <w:rFonts w:ascii="仿宋" w:hAnsi="仿宋" w:eastAsia="仿宋" w:cs="仿宋"/>
          <w:sz w:val="27"/>
          <w:szCs w:val="27"/>
        </w:rPr>
        <w:t>项目概况</w:t>
      </w:r>
      <w:r>
        <w:rPr>
          <w:rFonts w:hint="eastAsia" w:ascii="仿宋" w:hAnsi="仿宋" w:eastAsia="仿宋" w:cs="仿宋"/>
        </w:rPr>
        <w:t xml:space="preserve">                                                 </w:t>
      </w:r>
    </w:p>
    <w:p>
      <w:pPr>
        <w:pStyle w:val="18"/>
        <w:spacing w:before="255" w:after="255" w:line="450" w:lineRule="atLeast"/>
        <w:jc w:val="both"/>
        <w:rPr>
          <w:rFonts w:ascii="仿宋" w:hAnsi="仿宋" w:eastAsia="仿宋" w:cs="仿宋"/>
          <w:sz w:val="27"/>
          <w:szCs w:val="27"/>
        </w:rPr>
      </w:pPr>
      <w:r>
        <w:rPr>
          <w:rFonts w:hint="eastAsia" w:ascii="仿宋" w:hAnsi="仿宋" w:eastAsia="仿宋" w:cs="仿宋"/>
          <w:sz w:val="27"/>
          <w:szCs w:val="27"/>
        </w:rPr>
        <w:t>    巴里坤县群众文化活动中心建设项目-室外铺装及附属设施建设项目的潜在供应商应在哈密市向阳东路东延段源泉小区2-20二楼新疆德鸿项目管理咨询有限公司获取采购文件，并于</w:t>
      </w:r>
      <w:r>
        <w:rPr>
          <w:rFonts w:hint="eastAsia" w:ascii="仿宋" w:hAnsi="仿宋" w:eastAsia="仿宋" w:cs="仿宋"/>
          <w:sz w:val="27"/>
          <w:szCs w:val="27"/>
          <w:highlight w:val="none"/>
        </w:rPr>
        <w:t xml:space="preserve"> 2022年4月2</w:t>
      </w:r>
      <w:r>
        <w:rPr>
          <w:rFonts w:hint="eastAsia" w:ascii="仿宋" w:hAnsi="仿宋" w:eastAsia="仿宋" w:cs="仿宋"/>
          <w:sz w:val="27"/>
          <w:szCs w:val="27"/>
          <w:highlight w:val="none"/>
          <w:lang w:val="en-US" w:eastAsia="zh-CN"/>
        </w:rPr>
        <w:t>8</w:t>
      </w:r>
      <w:r>
        <w:rPr>
          <w:rFonts w:hint="eastAsia" w:ascii="仿宋" w:hAnsi="仿宋" w:eastAsia="仿宋" w:cs="仿宋"/>
          <w:sz w:val="27"/>
          <w:szCs w:val="27"/>
          <w:highlight w:val="none"/>
        </w:rPr>
        <w:t>日 10点00 分</w:t>
      </w:r>
      <w:r>
        <w:rPr>
          <w:rFonts w:hint="eastAsia" w:ascii="仿宋" w:hAnsi="仿宋" w:eastAsia="仿宋" w:cs="仿宋"/>
          <w:sz w:val="27"/>
          <w:szCs w:val="27"/>
        </w:rPr>
        <w:t>（北京时间）前提交响应文件。</w:t>
      </w:r>
    </w:p>
    <w:p>
      <w:pPr>
        <w:pStyle w:val="18"/>
        <w:spacing w:before="255" w:after="255" w:line="450" w:lineRule="atLeast"/>
        <w:jc w:val="both"/>
        <w:rPr>
          <w:rFonts w:ascii="黑体" w:eastAsia="黑体" w:cs="黑体"/>
          <w:sz w:val="31"/>
          <w:szCs w:val="31"/>
        </w:rPr>
      </w:pPr>
      <w:r>
        <w:rPr>
          <w:rStyle w:val="25"/>
          <w:rFonts w:ascii="黑体" w:eastAsia="黑体" w:cs="黑体"/>
          <w:sz w:val="27"/>
          <w:szCs w:val="27"/>
        </w:rPr>
        <w:t>一、项目基本情况</w:t>
      </w:r>
    </w:p>
    <w:p>
      <w:pPr>
        <w:pStyle w:val="18"/>
        <w:spacing w:before="75" w:after="75" w:line="300" w:lineRule="atLeast"/>
        <w:rPr>
          <w:rFonts w:eastAsia="仿宋"/>
        </w:rPr>
      </w:pPr>
      <w:r>
        <w:rPr>
          <w:rFonts w:hint="eastAsia" w:ascii="仿宋" w:hAnsi="仿宋" w:eastAsia="仿宋" w:cs="仿宋"/>
          <w:sz w:val="27"/>
          <w:szCs w:val="27"/>
        </w:rPr>
        <w:t>1.项目编号：XJDH【2022】-H010</w:t>
      </w:r>
    </w:p>
    <w:p>
      <w:pPr>
        <w:pStyle w:val="18"/>
        <w:spacing w:before="75" w:after="75" w:line="300" w:lineRule="atLeast"/>
      </w:pPr>
      <w:r>
        <w:rPr>
          <w:rFonts w:hint="eastAsia" w:ascii="仿宋" w:hAnsi="仿宋" w:eastAsia="仿宋" w:cs="仿宋"/>
          <w:sz w:val="27"/>
          <w:szCs w:val="27"/>
        </w:rPr>
        <w:t>2.项目名称：巴里坤县群众文化活动中心建设项目-室外铺装及附属设施建设项目</w:t>
      </w:r>
    </w:p>
    <w:p>
      <w:pPr>
        <w:pStyle w:val="18"/>
        <w:spacing w:before="75" w:after="75" w:line="300" w:lineRule="atLeast"/>
      </w:pPr>
      <w:r>
        <w:rPr>
          <w:rFonts w:hint="eastAsia" w:ascii="仿宋" w:hAnsi="仿宋" w:eastAsia="仿宋" w:cs="仿宋"/>
          <w:sz w:val="27"/>
          <w:szCs w:val="27"/>
        </w:rPr>
        <w:t>3.采购方式：竞争性磋商</w:t>
      </w:r>
      <w:r>
        <w:rPr>
          <w:rFonts w:hint="eastAsia" w:ascii="仿宋" w:hAnsi="仿宋" w:eastAsia="仿宋" w:cs="仿宋"/>
        </w:rPr>
        <w:t> </w:t>
      </w:r>
    </w:p>
    <w:p>
      <w:pPr>
        <w:pStyle w:val="18"/>
        <w:spacing w:before="75" w:after="75" w:line="300" w:lineRule="atLeast"/>
        <w:rPr>
          <w:rFonts w:hint="eastAsia" w:ascii="仿宋" w:hAnsi="仿宋" w:eastAsia="仿宋" w:cs="仿宋"/>
          <w:sz w:val="27"/>
          <w:szCs w:val="27"/>
        </w:rPr>
      </w:pPr>
      <w:r>
        <w:rPr>
          <w:rFonts w:hint="eastAsia" w:ascii="仿宋" w:hAnsi="仿宋" w:eastAsia="仿宋" w:cs="仿宋"/>
          <w:sz w:val="27"/>
          <w:szCs w:val="27"/>
        </w:rPr>
        <w:t>4.预算金额（元）：1490000元</w:t>
      </w:r>
    </w:p>
    <w:p>
      <w:pPr>
        <w:pStyle w:val="18"/>
        <w:spacing w:before="75" w:after="75" w:line="300" w:lineRule="atLeast"/>
        <w:rPr>
          <w:rFonts w:hint="eastAsia" w:ascii="仿宋" w:hAnsi="仿宋" w:eastAsia="仿宋" w:cs="仿宋"/>
          <w:sz w:val="27"/>
          <w:szCs w:val="27"/>
          <w:lang w:eastAsia="zh-CN"/>
        </w:rPr>
      </w:pPr>
      <w:r>
        <w:rPr>
          <w:rFonts w:hint="eastAsia" w:ascii="仿宋" w:hAnsi="仿宋" w:eastAsia="仿宋" w:cs="仿宋"/>
          <w:sz w:val="27"/>
          <w:szCs w:val="27"/>
          <w:lang w:val="en-US" w:eastAsia="zh-CN"/>
        </w:rPr>
        <w:t>5.</w:t>
      </w:r>
      <w:r>
        <w:rPr>
          <w:rFonts w:hint="eastAsia" w:ascii="仿宋" w:hAnsi="仿宋" w:eastAsia="仿宋" w:cs="仿宋"/>
          <w:sz w:val="27"/>
          <w:szCs w:val="27"/>
          <w:lang w:eastAsia="zh-CN"/>
        </w:rPr>
        <w:t>最高限价（元）：</w:t>
      </w:r>
      <w:r>
        <w:rPr>
          <w:rFonts w:hint="eastAsia" w:ascii="仿宋" w:hAnsi="仿宋" w:eastAsia="仿宋" w:cs="仿宋"/>
          <w:sz w:val="27"/>
          <w:szCs w:val="27"/>
          <w:lang w:val="en-US" w:eastAsia="zh-CN"/>
        </w:rPr>
        <w:t>1474408.56</w:t>
      </w:r>
      <w:r>
        <w:rPr>
          <w:rFonts w:hint="eastAsia" w:ascii="仿宋" w:hAnsi="仿宋" w:eastAsia="仿宋" w:cs="仿宋"/>
          <w:sz w:val="27"/>
          <w:szCs w:val="27"/>
        </w:rPr>
        <w:t>元</w:t>
      </w:r>
    </w:p>
    <w:p>
      <w:pPr>
        <w:pStyle w:val="18"/>
        <w:spacing w:before="75" w:after="75" w:line="300" w:lineRule="atLeast"/>
        <w:rPr>
          <w:rFonts w:hint="eastAsia" w:ascii="仿宋" w:hAnsi="仿宋" w:eastAsia="仿宋" w:cs="仿宋"/>
          <w:sz w:val="27"/>
          <w:szCs w:val="27"/>
          <w:highlight w:val="yellow"/>
          <w:lang w:eastAsia="zh-CN"/>
        </w:rPr>
      </w:pPr>
      <w:r>
        <w:rPr>
          <w:rFonts w:hint="eastAsia" w:ascii="仿宋" w:hAnsi="仿宋" w:eastAsia="仿宋" w:cs="仿宋"/>
          <w:sz w:val="27"/>
          <w:szCs w:val="27"/>
          <w:lang w:val="en-US" w:eastAsia="zh-CN"/>
        </w:rPr>
        <w:t>6</w:t>
      </w:r>
      <w:r>
        <w:rPr>
          <w:rFonts w:hint="eastAsia" w:ascii="仿宋" w:hAnsi="仿宋" w:eastAsia="仿宋" w:cs="仿宋"/>
          <w:sz w:val="27"/>
          <w:szCs w:val="27"/>
        </w:rPr>
        <w:t>.</w:t>
      </w:r>
      <w:r>
        <w:rPr>
          <w:rFonts w:hint="eastAsia" w:ascii="仿宋" w:hAnsi="仿宋" w:eastAsia="仿宋" w:cs="仿宋"/>
          <w:sz w:val="27"/>
          <w:szCs w:val="27"/>
          <w:lang w:eastAsia="zh-CN"/>
        </w:rPr>
        <w:t>采购需求</w:t>
      </w:r>
      <w:r>
        <w:rPr>
          <w:rFonts w:hint="eastAsia" w:ascii="仿宋" w:hAnsi="仿宋" w:eastAsia="仿宋" w:cs="仿宋"/>
          <w:sz w:val="27"/>
          <w:szCs w:val="27"/>
        </w:rPr>
        <w:t>：</w:t>
      </w:r>
      <w:r>
        <w:rPr>
          <w:rFonts w:hint="eastAsia" w:ascii="仿宋" w:hAnsi="仿宋" w:eastAsia="仿宋" w:cs="仿宋"/>
          <w:sz w:val="27"/>
          <w:szCs w:val="27"/>
          <w:highlight w:val="none"/>
        </w:rPr>
        <w:t>巴里坤县群众文化活动中心院内硬化，铺装，车位，亮化，绿化等。</w:t>
      </w:r>
      <w:r>
        <w:rPr>
          <w:rFonts w:hint="eastAsia" w:ascii="仿宋" w:hAnsi="仿宋" w:eastAsia="仿宋" w:cs="仿宋"/>
          <w:sz w:val="27"/>
          <w:szCs w:val="27"/>
          <w:highlight w:val="none"/>
          <w:lang w:eastAsia="zh-CN"/>
        </w:rPr>
        <w:t>（</w:t>
      </w:r>
      <w:r>
        <w:rPr>
          <w:rFonts w:hint="eastAsia" w:ascii="仿宋" w:hAnsi="仿宋" w:eastAsia="仿宋" w:cs="仿宋"/>
          <w:sz w:val="27"/>
          <w:szCs w:val="27"/>
          <w:highlight w:val="none"/>
        </w:rPr>
        <w:t>施工图设计包含的全部内容,详见工程量清单</w:t>
      </w:r>
      <w:r>
        <w:rPr>
          <w:rFonts w:hint="eastAsia" w:ascii="仿宋" w:hAnsi="仿宋" w:eastAsia="仿宋" w:cs="仿宋"/>
          <w:sz w:val="27"/>
          <w:szCs w:val="27"/>
          <w:highlight w:val="none"/>
          <w:lang w:eastAsia="zh-CN"/>
        </w:rPr>
        <w:t>）。</w:t>
      </w:r>
    </w:p>
    <w:p>
      <w:pPr>
        <w:pStyle w:val="18"/>
        <w:spacing w:before="75" w:after="75" w:line="300" w:lineRule="atLeast"/>
        <w:rPr>
          <w:rFonts w:ascii="仿宋" w:hAnsi="仿宋" w:eastAsia="仿宋" w:cs="仿宋"/>
          <w:sz w:val="27"/>
          <w:szCs w:val="27"/>
          <w:highlight w:val="none"/>
        </w:rPr>
      </w:pPr>
      <w:r>
        <w:rPr>
          <w:rFonts w:hint="eastAsia" w:ascii="仿宋" w:hAnsi="仿宋" w:eastAsia="仿宋" w:cs="仿宋"/>
          <w:sz w:val="27"/>
          <w:szCs w:val="27"/>
          <w:lang w:val="en-US" w:eastAsia="zh-CN"/>
        </w:rPr>
        <w:t>7</w:t>
      </w:r>
      <w:r>
        <w:rPr>
          <w:rFonts w:hint="eastAsia" w:ascii="仿宋" w:hAnsi="仿宋" w:eastAsia="仿宋" w:cs="仿宋"/>
          <w:sz w:val="27"/>
          <w:szCs w:val="27"/>
        </w:rPr>
        <w:t>.合同履约期限：总工期：</w:t>
      </w:r>
      <w:r>
        <w:rPr>
          <w:rFonts w:hint="eastAsia" w:ascii="仿宋" w:hAnsi="仿宋" w:eastAsia="仿宋" w:cs="仿宋"/>
          <w:sz w:val="27"/>
          <w:szCs w:val="27"/>
          <w:highlight w:val="none"/>
          <w:lang w:val="en-US" w:eastAsia="zh-CN"/>
        </w:rPr>
        <w:t>31</w:t>
      </w:r>
      <w:r>
        <w:rPr>
          <w:rFonts w:hint="eastAsia" w:ascii="仿宋" w:hAnsi="仿宋" w:eastAsia="仿宋" w:cs="仿宋"/>
          <w:sz w:val="27"/>
          <w:szCs w:val="27"/>
          <w:highlight w:val="none"/>
        </w:rPr>
        <w:t>日历日（开工日期：2022年04月30日 竣工日期：2022年</w:t>
      </w:r>
      <w:r>
        <w:rPr>
          <w:rFonts w:hint="eastAsia" w:ascii="仿宋" w:hAnsi="仿宋" w:eastAsia="仿宋" w:cs="仿宋"/>
          <w:sz w:val="27"/>
          <w:szCs w:val="27"/>
          <w:highlight w:val="none"/>
          <w:lang w:val="en-US" w:eastAsia="zh-CN"/>
        </w:rPr>
        <w:t>05</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30</w:t>
      </w:r>
      <w:r>
        <w:rPr>
          <w:rFonts w:hint="eastAsia" w:ascii="仿宋" w:hAnsi="仿宋" w:eastAsia="仿宋" w:cs="仿宋"/>
          <w:sz w:val="27"/>
          <w:szCs w:val="27"/>
          <w:highlight w:val="none"/>
        </w:rPr>
        <w:t>日）</w:t>
      </w:r>
    </w:p>
    <w:p>
      <w:pPr>
        <w:pStyle w:val="18"/>
        <w:spacing w:before="75" w:after="75" w:line="300" w:lineRule="atLeast"/>
      </w:pPr>
      <w:r>
        <w:rPr>
          <w:rFonts w:hint="eastAsia" w:ascii="仿宋" w:hAnsi="仿宋" w:eastAsia="仿宋" w:cs="仿宋"/>
          <w:sz w:val="27"/>
          <w:szCs w:val="27"/>
          <w:lang w:val="en-US" w:eastAsia="zh-CN"/>
        </w:rPr>
        <w:t>8</w:t>
      </w:r>
      <w:r>
        <w:rPr>
          <w:rFonts w:hint="eastAsia" w:ascii="仿宋" w:hAnsi="仿宋" w:eastAsia="仿宋" w:cs="仿宋"/>
          <w:sz w:val="27"/>
          <w:szCs w:val="27"/>
        </w:rPr>
        <w:t>.本项目（否）接受联合体投标。</w:t>
      </w:r>
      <w:r>
        <w:rPr>
          <w:rFonts w:hint="eastAsia" w:ascii="仿宋" w:hAnsi="仿宋" w:eastAsia="仿宋" w:cs="仿宋"/>
        </w:rPr>
        <w:t>  </w:t>
      </w:r>
    </w:p>
    <w:p>
      <w:pPr>
        <w:pStyle w:val="18"/>
        <w:spacing w:before="255" w:after="255" w:line="450" w:lineRule="atLeast"/>
        <w:jc w:val="both"/>
        <w:rPr>
          <w:rFonts w:ascii="黑体" w:eastAsia="黑体" w:cs="黑体"/>
          <w:sz w:val="27"/>
          <w:szCs w:val="27"/>
        </w:rPr>
      </w:pPr>
      <w:r>
        <w:rPr>
          <w:rStyle w:val="25"/>
          <w:rFonts w:ascii="黑体" w:eastAsia="黑体" w:cs="黑体"/>
          <w:sz w:val="27"/>
          <w:szCs w:val="27"/>
        </w:rPr>
        <w:t>二、申请人的资格要求：</w:t>
      </w:r>
    </w:p>
    <w:p>
      <w:pPr>
        <w:pStyle w:val="18"/>
        <w:spacing w:before="75" w:after="75" w:line="300" w:lineRule="atLeast"/>
        <w:rPr>
          <w:rFonts w:ascii="仿宋" w:hAnsi="仿宋" w:eastAsia="仿宋" w:cs="仿宋"/>
          <w:b/>
          <w:bCs/>
          <w:sz w:val="27"/>
          <w:szCs w:val="27"/>
        </w:rPr>
      </w:pPr>
      <w:r>
        <w:rPr>
          <w:rFonts w:hint="eastAsia" w:ascii="仿宋" w:hAnsi="仿宋" w:eastAsia="仿宋" w:cs="仿宋"/>
          <w:b/>
          <w:bCs/>
          <w:sz w:val="27"/>
          <w:szCs w:val="27"/>
        </w:rPr>
        <w:t>1.满足《中华人民共和国政府采购法》第二十二条规定：</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（一）具有独立承担民事责任的能力；</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（二）具有良好的商业信誉和健全的财务会计制度；</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（三）具有履行合同所必需的设备和专业技术能力；</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（四）有依法缴纳税收和社会保障资金的良好记录；</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（五）参加政府采购活动前三年内，在经营活动中没有重大违法记录；</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（六）法律、行政法规规定的其他条件。</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采购项目有特殊要求的，供应商还应当提供其符合特殊要求的证明材料或者情况说明。</w:t>
      </w:r>
    </w:p>
    <w:p>
      <w:pPr>
        <w:pStyle w:val="18"/>
        <w:numPr>
          <w:ilvl w:val="0"/>
          <w:numId w:val="1"/>
        </w:numPr>
        <w:spacing w:before="75" w:after="75" w:line="300" w:lineRule="atLeast"/>
        <w:rPr>
          <w:rFonts w:ascii="仿宋" w:hAnsi="仿宋" w:eastAsia="仿宋" w:cs="仿宋"/>
          <w:sz w:val="27"/>
          <w:szCs w:val="27"/>
        </w:rPr>
      </w:pPr>
      <w:r>
        <w:rPr>
          <w:rFonts w:hint="eastAsia" w:ascii="仿宋" w:hAnsi="仿宋" w:eastAsia="仿宋" w:cs="仿宋"/>
          <w:sz w:val="27"/>
          <w:szCs w:val="27"/>
        </w:rPr>
        <w:t>落实政府采购政策需满足的资格要求：供应商为中小企业/小微企业</w:t>
      </w:r>
    </w:p>
    <w:p>
      <w:pPr>
        <w:pStyle w:val="18"/>
        <w:spacing w:before="75" w:after="75" w:line="300" w:lineRule="atLeast"/>
        <w:rPr>
          <w:rFonts w:ascii="仿宋" w:hAnsi="仿宋" w:eastAsia="仿宋" w:cs="仿宋"/>
          <w:b/>
          <w:bCs/>
          <w:sz w:val="27"/>
          <w:szCs w:val="27"/>
        </w:rPr>
      </w:pPr>
      <w:r>
        <w:rPr>
          <w:rFonts w:hint="eastAsia" w:ascii="仿宋" w:hAnsi="仿宋" w:eastAsia="仿宋" w:cs="仿宋"/>
          <w:b/>
          <w:bCs/>
          <w:sz w:val="27"/>
          <w:szCs w:val="27"/>
        </w:rPr>
        <w:t>3.本项目的特定资格要求：</w:t>
      </w:r>
    </w:p>
    <w:p>
      <w:pPr>
        <w:pStyle w:val="18"/>
        <w:spacing w:before="75" w:after="75" w:line="300" w:lineRule="atLeast"/>
        <w:rPr>
          <w:rFonts w:ascii="仿宋" w:hAnsi="仿宋" w:eastAsia="仿宋" w:cs="仿宋"/>
          <w:sz w:val="27"/>
          <w:szCs w:val="27"/>
        </w:rPr>
      </w:pPr>
      <w:r>
        <w:rPr>
          <w:rFonts w:hint="eastAsia" w:ascii="仿宋" w:hAnsi="仿宋" w:eastAsia="仿宋" w:cs="仿宋"/>
          <w:sz w:val="27"/>
          <w:szCs w:val="27"/>
        </w:rPr>
        <w:t>（</w:t>
      </w:r>
      <w:r>
        <w:rPr>
          <w:rFonts w:ascii="仿宋" w:hAnsi="仿宋" w:eastAsia="仿宋" w:cs="仿宋"/>
          <w:color w:val="000000"/>
          <w:sz w:val="27"/>
          <w:szCs w:val="27"/>
        </w:rPr>
        <w:t>1</w:t>
      </w:r>
      <w:r>
        <w:rPr>
          <w:rFonts w:hint="eastAsia" w:ascii="仿宋" w:hAnsi="仿宋" w:eastAsia="仿宋" w:cs="仿宋"/>
          <w:sz w:val="27"/>
          <w:szCs w:val="27"/>
        </w:rPr>
        <w:t>）须具备有效的营业执照。</w:t>
      </w:r>
    </w:p>
    <w:p>
      <w:pPr>
        <w:pStyle w:val="18"/>
        <w:spacing w:before="75" w:after="75" w:line="300" w:lineRule="atLeast"/>
        <w:rPr>
          <w:rFonts w:ascii="仿宋" w:hAnsi="仿宋" w:eastAsia="仿宋" w:cs="仿宋"/>
          <w:color w:val="000000"/>
          <w:sz w:val="27"/>
          <w:szCs w:val="27"/>
        </w:rPr>
      </w:pPr>
      <w:r>
        <w:rPr>
          <w:rFonts w:hint="eastAsia" w:ascii="仿宋" w:hAnsi="仿宋" w:eastAsia="仿宋" w:cs="仿宋"/>
          <w:sz w:val="27"/>
          <w:szCs w:val="27"/>
        </w:rPr>
        <w:t>（2）</w:t>
      </w:r>
      <w:r>
        <w:rPr>
          <w:rFonts w:ascii="仿宋" w:hAnsi="仿宋" w:eastAsia="仿宋" w:cs="仿宋"/>
          <w:color w:val="000000"/>
          <w:sz w:val="27"/>
          <w:szCs w:val="27"/>
        </w:rPr>
        <w:t>具备建设行政主管部门颁发的</w:t>
      </w:r>
      <w:r>
        <w:rPr>
          <w:rFonts w:hint="eastAsia" w:ascii="仿宋" w:hAnsi="仿宋" w:eastAsia="仿宋" w:cs="仿宋"/>
          <w:color w:val="000000"/>
          <w:sz w:val="27"/>
          <w:szCs w:val="27"/>
        </w:rPr>
        <w:t>建筑</w:t>
      </w:r>
      <w:r>
        <w:rPr>
          <w:rFonts w:ascii="仿宋" w:hAnsi="仿宋" w:eastAsia="仿宋" w:cs="仿宋"/>
          <w:color w:val="000000"/>
          <w:sz w:val="27"/>
          <w:szCs w:val="27"/>
        </w:rPr>
        <w:t>工程施工总承包</w:t>
      </w:r>
      <w:r>
        <w:rPr>
          <w:rFonts w:hint="eastAsia" w:ascii="仿宋" w:hAnsi="仿宋" w:eastAsia="仿宋" w:cs="仿宋"/>
          <w:color w:val="000000"/>
          <w:sz w:val="27"/>
          <w:szCs w:val="27"/>
        </w:rPr>
        <w:t>叁</w:t>
      </w:r>
      <w:r>
        <w:rPr>
          <w:rFonts w:ascii="仿宋" w:hAnsi="仿宋" w:eastAsia="仿宋" w:cs="仿宋"/>
          <w:color w:val="000000"/>
          <w:sz w:val="27"/>
          <w:szCs w:val="27"/>
        </w:rPr>
        <w:t>级及以上资质；具备有效的安全生产许可证；并在人员、设备、资金等方面具有相应的施工能力</w:t>
      </w:r>
      <w:r>
        <w:rPr>
          <w:rFonts w:hint="eastAsia" w:ascii="仿宋" w:hAnsi="仿宋" w:eastAsia="仿宋" w:cs="仿宋"/>
          <w:color w:val="000000"/>
          <w:sz w:val="27"/>
          <w:szCs w:val="27"/>
        </w:rPr>
        <w:t>；</w:t>
      </w:r>
      <w:r>
        <w:rPr>
          <w:rFonts w:ascii="仿宋" w:hAnsi="仿宋" w:eastAsia="仿宋" w:cs="仿宋"/>
          <w:color w:val="000000"/>
          <w:sz w:val="27"/>
          <w:szCs w:val="27"/>
        </w:rPr>
        <w:t>项目经理须具备有效的</w:t>
      </w:r>
      <w:r>
        <w:rPr>
          <w:rFonts w:hint="eastAsia" w:ascii="仿宋" w:hAnsi="仿宋" w:eastAsia="仿宋" w:cs="仿宋"/>
          <w:color w:val="000000"/>
          <w:sz w:val="27"/>
          <w:szCs w:val="27"/>
        </w:rPr>
        <w:t>建筑</w:t>
      </w:r>
      <w:r>
        <w:rPr>
          <w:rFonts w:ascii="仿宋" w:hAnsi="仿宋" w:eastAsia="仿宋" w:cs="仿宋"/>
          <w:color w:val="000000"/>
          <w:sz w:val="27"/>
          <w:szCs w:val="27"/>
        </w:rPr>
        <w:t>工程专业二级及以上注册建造师执业资格证书（须在本单位注册），同时具备有效的安全生产考核合格证。</w:t>
      </w:r>
    </w:p>
    <w:p>
      <w:pPr>
        <w:pStyle w:val="18"/>
        <w:spacing w:before="75" w:after="75" w:line="300" w:lineRule="atLeast"/>
        <w:rPr>
          <w:rFonts w:ascii="仿宋" w:hAnsi="仿宋" w:eastAsia="仿宋" w:cs="仿宋"/>
          <w:color w:val="000000"/>
          <w:sz w:val="27"/>
          <w:szCs w:val="27"/>
        </w:rPr>
      </w:pPr>
      <w:r>
        <w:rPr>
          <w:rFonts w:hint="eastAsia" w:ascii="仿宋" w:hAnsi="仿宋" w:eastAsia="仿宋" w:cs="仿宋"/>
          <w:color w:val="000000"/>
          <w:sz w:val="27"/>
          <w:szCs w:val="27"/>
        </w:rPr>
        <w:t>（</w:t>
      </w:r>
      <w:r>
        <w:rPr>
          <w:rFonts w:ascii="仿宋" w:hAnsi="仿宋" w:eastAsia="仿宋" w:cs="仿宋"/>
          <w:color w:val="000000"/>
          <w:sz w:val="27"/>
          <w:szCs w:val="27"/>
        </w:rPr>
        <w:t>3</w:t>
      </w:r>
      <w:r>
        <w:rPr>
          <w:rFonts w:hint="eastAsia" w:ascii="仿宋" w:hAnsi="仿宋" w:eastAsia="仿宋" w:cs="仿宋"/>
          <w:color w:val="000000"/>
          <w:sz w:val="27"/>
          <w:szCs w:val="27"/>
        </w:rPr>
        <w:t>）</w:t>
      </w:r>
      <w:r>
        <w:rPr>
          <w:rFonts w:ascii="仿宋" w:hAnsi="仿宋" w:eastAsia="仿宋" w:cs="仿宋"/>
          <w:color w:val="000000"/>
          <w:sz w:val="27"/>
          <w:szCs w:val="27"/>
        </w:rPr>
        <w:t>自治区外企业投标，应在新疆工程建设云完成企业基本信息和人员信息报送，通过自治区住房城乡建设厅确认，并在新疆工程建设云可查询企业及企业人员报送信息。拟投项目经理须为报送信息中人员。</w:t>
      </w:r>
    </w:p>
    <w:p>
      <w:pPr>
        <w:pStyle w:val="18"/>
        <w:spacing w:before="75" w:after="75" w:line="300" w:lineRule="atLeast"/>
        <w:rPr>
          <w:rFonts w:ascii="仿宋" w:hAnsi="仿宋" w:eastAsia="仿宋" w:cs="仿宋"/>
          <w:color w:val="000000"/>
          <w:sz w:val="27"/>
          <w:szCs w:val="27"/>
        </w:rPr>
      </w:pPr>
      <w:r>
        <w:rPr>
          <w:rFonts w:hint="eastAsia" w:ascii="仿宋" w:hAnsi="仿宋" w:eastAsia="仿宋" w:cs="仿宋"/>
          <w:color w:val="000000"/>
          <w:sz w:val="27"/>
          <w:szCs w:val="27"/>
        </w:rPr>
        <w:t>（</w:t>
      </w:r>
      <w:r>
        <w:rPr>
          <w:rFonts w:ascii="仿宋" w:hAnsi="仿宋" w:eastAsia="仿宋" w:cs="仿宋"/>
          <w:color w:val="000000"/>
          <w:sz w:val="27"/>
          <w:szCs w:val="27"/>
        </w:rPr>
        <w:t>4</w:t>
      </w:r>
      <w:r>
        <w:rPr>
          <w:rFonts w:hint="eastAsia" w:ascii="仿宋" w:hAnsi="仿宋" w:eastAsia="仿宋" w:cs="仿宋"/>
          <w:color w:val="000000"/>
          <w:sz w:val="27"/>
          <w:szCs w:val="27"/>
        </w:rPr>
        <w:t>）具有良好的商业信誉和健全的财务会计制度，提供2021年年度财务审计报告或202</w:t>
      </w:r>
      <w:r>
        <w:rPr>
          <w:rFonts w:ascii="仿宋" w:hAnsi="仿宋" w:eastAsia="仿宋" w:cs="仿宋"/>
          <w:color w:val="000000"/>
          <w:sz w:val="27"/>
          <w:szCs w:val="27"/>
        </w:rPr>
        <w:t>2</w:t>
      </w:r>
      <w:r>
        <w:rPr>
          <w:rFonts w:hint="eastAsia" w:ascii="仿宋" w:hAnsi="仿宋" w:eastAsia="仿宋" w:cs="仿宋"/>
          <w:color w:val="000000"/>
          <w:sz w:val="27"/>
          <w:szCs w:val="27"/>
        </w:rPr>
        <w:t>年任意1个月的财务状况报告复印件，或提供基本户银行出具的资信证明材料复印件（成立未满一年的公司可以不提供财务审计报告，须提供财务报表（财务报表内容须包括资产、负债、现金等报表）。</w:t>
      </w:r>
    </w:p>
    <w:p>
      <w:pPr>
        <w:rPr>
          <w:rFonts w:ascii="仿宋" w:hAnsi="仿宋" w:eastAsia="仿宋"/>
          <w:sz w:val="28"/>
          <w:szCs w:val="28"/>
        </w:rPr>
      </w:pPr>
      <w:r>
        <w:rPr>
          <w:rFonts w:hint="eastAsia" w:ascii="仿宋" w:hAnsi="仿宋" w:eastAsia="仿宋"/>
          <w:sz w:val="28"/>
          <w:szCs w:val="28"/>
        </w:rPr>
        <w:t>（5）</w:t>
      </w:r>
      <w:r>
        <w:rPr>
          <w:rFonts w:hint="eastAsia" w:ascii="仿宋" w:hAnsi="仿宋" w:eastAsia="仿宋" w:cs="仿宋"/>
          <w:color w:val="000000"/>
          <w:kern w:val="0"/>
          <w:sz w:val="27"/>
          <w:szCs w:val="27"/>
        </w:rPr>
        <w:t>有依法缴纳税收和社会保障资金的良好记录，提供20</w:t>
      </w:r>
      <w:r>
        <w:rPr>
          <w:rFonts w:hint="eastAsia" w:ascii="仿宋" w:hAnsi="仿宋" w:eastAsia="仿宋"/>
          <w:sz w:val="28"/>
          <w:szCs w:val="28"/>
        </w:rPr>
        <w:t>2</w:t>
      </w:r>
      <w:r>
        <w:rPr>
          <w:rFonts w:ascii="仿宋" w:hAnsi="仿宋" w:eastAsia="仿宋"/>
          <w:sz w:val="28"/>
          <w:szCs w:val="28"/>
        </w:rPr>
        <w:t>1</w:t>
      </w:r>
      <w:r>
        <w:rPr>
          <w:rFonts w:hint="eastAsia" w:ascii="仿宋" w:hAnsi="仿宋" w:eastAsia="仿宋"/>
          <w:sz w:val="28"/>
          <w:szCs w:val="28"/>
        </w:rPr>
        <w:t>年至今任意1个月完税证明材料复印件，如依法免税的应提供相关材料；提供202</w:t>
      </w:r>
      <w:r>
        <w:rPr>
          <w:rFonts w:ascii="仿宋" w:hAnsi="仿宋" w:eastAsia="仿宋"/>
          <w:sz w:val="28"/>
          <w:szCs w:val="28"/>
        </w:rPr>
        <w:t>1</w:t>
      </w:r>
      <w:r>
        <w:rPr>
          <w:rFonts w:hint="eastAsia" w:ascii="仿宋" w:hAnsi="仿宋" w:eastAsia="仿宋"/>
          <w:sz w:val="28"/>
          <w:szCs w:val="28"/>
        </w:rPr>
        <w:t>年至今任意1个月社会保障资金的凭据证明材料复印件，如依法不需要缴纳社会保障资金的，应提供相关材料。</w:t>
      </w:r>
    </w:p>
    <w:p>
      <w:pPr>
        <w:rPr>
          <w:rFonts w:ascii="仿宋" w:hAnsi="仿宋" w:eastAsia="仿宋"/>
          <w:sz w:val="28"/>
          <w:szCs w:val="28"/>
        </w:rPr>
      </w:pPr>
      <w:r>
        <w:rPr>
          <w:rFonts w:hint="eastAsia" w:ascii="仿宋" w:hAnsi="仿宋" w:eastAsia="仿宋"/>
          <w:sz w:val="28"/>
          <w:szCs w:val="28"/>
        </w:rPr>
        <w:t>（6）投标人未被“信用中国”（www.creditchina.gov.cn）、中国政府采购网（www.ccgp.gov.cn）列入失信被执行人、重大税收违法案件当事人名单、政府采购严重违法失信行为记录名单。</w:t>
      </w:r>
    </w:p>
    <w:p>
      <w:pPr>
        <w:rPr>
          <w:rFonts w:ascii="仿宋" w:hAnsi="仿宋" w:eastAsia="仿宋"/>
          <w:sz w:val="28"/>
          <w:szCs w:val="28"/>
          <w:highlight w:val="none"/>
        </w:rPr>
      </w:pPr>
      <w:r>
        <w:rPr>
          <w:rFonts w:hint="eastAsia" w:ascii="仿宋" w:hAnsi="仿宋" w:eastAsia="仿宋"/>
          <w:sz w:val="28"/>
          <w:szCs w:val="28"/>
        </w:rPr>
        <w:t>（7）</w:t>
      </w:r>
      <w:r>
        <w:rPr>
          <w:rFonts w:hint="eastAsia" w:ascii="仿宋" w:hAnsi="仿宋" w:eastAsia="仿宋"/>
          <w:sz w:val="28"/>
          <w:szCs w:val="28"/>
          <w:highlight w:val="none"/>
        </w:rPr>
        <w:t>投标人近三年具有类似业绩（2019年1月至今）</w:t>
      </w:r>
    </w:p>
    <w:p>
      <w:pPr>
        <w:rPr>
          <w:rFonts w:ascii="仿宋" w:hAnsi="仿宋" w:eastAsia="仿宋"/>
          <w:sz w:val="28"/>
          <w:szCs w:val="28"/>
        </w:rPr>
      </w:pPr>
      <w:r>
        <w:rPr>
          <w:rFonts w:hint="eastAsia" w:ascii="仿宋" w:hAnsi="仿宋" w:eastAsia="仿宋"/>
          <w:sz w:val="28"/>
          <w:szCs w:val="28"/>
        </w:rPr>
        <w:t>（8）与招标人存在利害关系可能影响招标公正性的法人、其他组织或者个人，不得参加投标。</w:t>
      </w:r>
    </w:p>
    <w:p>
      <w:pPr>
        <w:rPr>
          <w:rFonts w:ascii="仿宋" w:hAnsi="仿宋" w:eastAsia="仿宋"/>
          <w:sz w:val="28"/>
          <w:szCs w:val="28"/>
        </w:rPr>
      </w:pPr>
      <w:r>
        <w:rPr>
          <w:rFonts w:hint="eastAsia" w:ascii="仿宋" w:hAnsi="仿宋" w:eastAsia="仿宋"/>
          <w:sz w:val="28"/>
          <w:szCs w:val="28"/>
        </w:rPr>
        <w:t xml:space="preserve">（9）单位负责人为同一人或者存在控股、管理关系的不同单位，不得参加同一标段投标或者未划分标段的同一招标项目投标。除单一来源采购项目外，为采购项目提供整体设计、规范编制或者项目管理、监理、检测等服务的供应商，不得再参加该采购项目的其他采购活动。 </w:t>
      </w:r>
    </w:p>
    <w:p>
      <w:pPr>
        <w:rPr>
          <w:rFonts w:ascii="仿宋" w:hAnsi="仿宋" w:eastAsia="仿宋"/>
          <w:sz w:val="28"/>
          <w:szCs w:val="28"/>
        </w:rPr>
      </w:pPr>
      <w:r>
        <w:rPr>
          <w:rFonts w:hint="eastAsia" w:ascii="仿宋" w:hAnsi="仿宋" w:eastAsia="仿宋"/>
          <w:sz w:val="28"/>
          <w:szCs w:val="28"/>
        </w:rPr>
        <w:t>（10）供应商在投标前需要提供综合信用评价报告，对信用等级为D级的供应商，拒绝其参与政府采购活动。</w:t>
      </w:r>
    </w:p>
    <w:p>
      <w:pPr>
        <w:rPr>
          <w:rFonts w:hint="eastAsia" w:ascii="仿宋" w:hAnsi="仿宋" w:eastAsia="仿宋"/>
          <w:sz w:val="28"/>
          <w:szCs w:val="28"/>
        </w:rPr>
      </w:pPr>
      <w:r>
        <w:rPr>
          <w:rFonts w:hint="eastAsia" w:ascii="仿宋" w:hAnsi="仿宋" w:eastAsia="仿宋"/>
          <w:sz w:val="28"/>
          <w:szCs w:val="28"/>
        </w:rPr>
        <w:t>（11）本项目不接受联合体投标。</w:t>
      </w:r>
    </w:p>
    <w:p>
      <w:pPr>
        <w:pStyle w:val="2"/>
        <w:rPr>
          <w:rFonts w:hint="eastAsia"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（12）本项目专门面向中小企业/小微企业。</w:t>
      </w:r>
      <w:r>
        <w:rPr>
          <w:rFonts w:hint="eastAsia" w:ascii="仿宋" w:hAnsi="仿宋" w:eastAsia="仿宋" w:cs="Times New Roman"/>
          <w:b w:val="0"/>
          <w:kern w:val="2"/>
          <w:sz w:val="28"/>
          <w:szCs w:val="28"/>
          <w:lang w:val="en-US" w:eastAsia="zh-CN" w:bidi="ar-SA"/>
        </w:rPr>
        <w:br w:type="textWrapping"/>
      </w:r>
      <w:r>
        <w:rPr>
          <w:rFonts w:hint="eastAsia" w:ascii="仿宋" w:hAnsi="仿宋" w:eastAsia="仿宋" w:cs="Times New Roman"/>
          <w:b w:val="0"/>
          <w:kern w:val="2"/>
          <w:sz w:val="28"/>
          <w:szCs w:val="28"/>
          <w:lang w:val="en-US" w:eastAsia="zh-CN" w:bidi="ar-SA"/>
        </w:rPr>
        <w:t>（13）投标单位需提供《中小企业声明函》。</w:t>
      </w:r>
    </w:p>
    <w:p>
      <w:pPr>
        <w:pStyle w:val="20"/>
      </w:pPr>
    </w:p>
    <w:p>
      <w:pPr>
        <w:pStyle w:val="18"/>
        <w:spacing w:before="75" w:after="75" w:line="300" w:lineRule="atLeast"/>
        <w:rPr>
          <w:rStyle w:val="25"/>
          <w:rFonts w:ascii="黑体" w:eastAsia="黑体" w:cs="黑体"/>
          <w:sz w:val="27"/>
          <w:szCs w:val="27"/>
        </w:rPr>
      </w:pPr>
      <w:r>
        <w:rPr>
          <w:rStyle w:val="25"/>
          <w:rFonts w:ascii="黑体" w:eastAsia="黑体" w:cs="黑体"/>
          <w:sz w:val="27"/>
          <w:szCs w:val="27"/>
        </w:rPr>
        <w:t>三、获取采购文件</w:t>
      </w:r>
    </w:p>
    <w:p>
      <w:pPr>
        <w:rPr>
          <w:rFonts w:ascii="仿宋" w:hAnsi="仿宋" w:eastAsia="仿宋"/>
          <w:sz w:val="28"/>
          <w:szCs w:val="28"/>
        </w:rPr>
      </w:pPr>
      <w:r>
        <w:rPr>
          <w:rFonts w:hint="eastAsia" w:ascii="仿宋" w:hAnsi="仿宋" w:eastAsia="仿宋"/>
          <w:sz w:val="28"/>
          <w:szCs w:val="28"/>
        </w:rPr>
        <w:t>时间：</w:t>
      </w:r>
      <w:r>
        <w:rPr>
          <w:rFonts w:hint="eastAsia" w:ascii="仿宋" w:hAnsi="仿宋" w:eastAsia="仿宋"/>
          <w:sz w:val="28"/>
          <w:szCs w:val="28"/>
          <w:highlight w:val="none"/>
        </w:rPr>
        <w:t>2022年4月1</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日至2022年4月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rPr>
        <w:t>，每天上午09:30至13:30，下午15:30至19:30（北京时间，法定节假日除外）</w:t>
      </w:r>
    </w:p>
    <w:p>
      <w:pPr>
        <w:rPr>
          <w:rFonts w:ascii="仿宋" w:hAnsi="仿宋" w:eastAsia="仿宋"/>
          <w:sz w:val="28"/>
          <w:szCs w:val="28"/>
        </w:rPr>
      </w:pPr>
      <w:r>
        <w:rPr>
          <w:rFonts w:hint="eastAsia" w:ascii="仿宋" w:hAnsi="仿宋" w:eastAsia="仿宋"/>
          <w:sz w:val="28"/>
          <w:szCs w:val="28"/>
        </w:rPr>
        <w:t>地点：哈密市向阳东路东延段源泉小区旁小二楼2-20二楼业务室</w:t>
      </w:r>
    </w:p>
    <w:p>
      <w:pPr>
        <w:rPr>
          <w:rFonts w:ascii="仿宋" w:hAnsi="仿宋" w:eastAsia="仿宋"/>
          <w:sz w:val="28"/>
          <w:szCs w:val="28"/>
        </w:rPr>
      </w:pPr>
      <w:r>
        <w:rPr>
          <w:rFonts w:hint="eastAsia" w:ascii="仿宋" w:hAnsi="仿宋" w:eastAsia="仿宋"/>
          <w:sz w:val="28"/>
          <w:szCs w:val="28"/>
        </w:rPr>
        <w:t>方式：线下获取</w:t>
      </w:r>
    </w:p>
    <w:p>
      <w:pPr>
        <w:rPr>
          <w:rFonts w:ascii="仿宋" w:hAnsi="仿宋" w:eastAsia="仿宋"/>
          <w:sz w:val="28"/>
          <w:szCs w:val="28"/>
        </w:rPr>
      </w:pPr>
      <w:r>
        <w:rPr>
          <w:rFonts w:hint="eastAsia" w:ascii="仿宋" w:hAnsi="仿宋" w:eastAsia="仿宋"/>
          <w:sz w:val="28"/>
          <w:szCs w:val="28"/>
        </w:rPr>
        <w:t>文件售价：200元</w:t>
      </w:r>
    </w:p>
    <w:p>
      <w:pPr>
        <w:pStyle w:val="18"/>
        <w:spacing w:before="75" w:after="75" w:line="300" w:lineRule="atLeast"/>
      </w:pPr>
      <w:r>
        <w:rPr>
          <w:rStyle w:val="25"/>
          <w:rFonts w:ascii="黑体" w:eastAsia="黑体" w:cs="黑体"/>
          <w:sz w:val="27"/>
          <w:szCs w:val="27"/>
        </w:rPr>
        <w:t>四、响应文件提交</w:t>
      </w:r>
      <w:r>
        <w:rPr>
          <w:rFonts w:ascii="黑体" w:eastAsia="黑体" w:cs="黑体"/>
          <w:sz w:val="27"/>
          <w:szCs w:val="27"/>
        </w:rPr>
        <w:t> </w:t>
      </w:r>
    </w:p>
    <w:p>
      <w:pPr>
        <w:pStyle w:val="18"/>
        <w:spacing w:before="75" w:after="75" w:line="300" w:lineRule="atLeast"/>
      </w:pPr>
      <w:r>
        <w:rPr>
          <w:rFonts w:hint="eastAsia" w:ascii="仿宋" w:hAnsi="仿宋" w:eastAsia="仿宋" w:cs="仿宋"/>
          <w:sz w:val="27"/>
          <w:szCs w:val="27"/>
        </w:rPr>
        <w:t>1.截止时间：</w:t>
      </w:r>
      <w:r>
        <w:rPr>
          <w:rFonts w:hint="eastAsia" w:ascii="仿宋" w:hAnsi="仿宋" w:eastAsia="仿宋" w:cs="仿宋"/>
          <w:sz w:val="27"/>
          <w:szCs w:val="27"/>
          <w:highlight w:val="none"/>
        </w:rPr>
        <w:t>2022年4月2</w:t>
      </w:r>
      <w:r>
        <w:rPr>
          <w:rFonts w:hint="eastAsia" w:ascii="仿宋" w:hAnsi="仿宋" w:eastAsia="仿宋" w:cs="仿宋"/>
          <w:sz w:val="27"/>
          <w:szCs w:val="27"/>
          <w:highlight w:val="none"/>
          <w:lang w:val="en-US" w:eastAsia="zh-CN"/>
        </w:rPr>
        <w:t>8</w:t>
      </w:r>
      <w:r>
        <w:rPr>
          <w:rFonts w:hint="eastAsia" w:ascii="仿宋" w:hAnsi="仿宋" w:eastAsia="仿宋" w:cs="仿宋"/>
          <w:sz w:val="27"/>
          <w:szCs w:val="27"/>
          <w:highlight w:val="none"/>
        </w:rPr>
        <w:t>日</w:t>
      </w:r>
      <w:r>
        <w:rPr>
          <w:rFonts w:hint="eastAsia" w:ascii="仿宋" w:hAnsi="仿宋" w:eastAsia="仿宋" w:cs="仿宋"/>
          <w:color w:val="FF0000"/>
          <w:sz w:val="27"/>
          <w:szCs w:val="27"/>
          <w:highlight w:val="none"/>
        </w:rPr>
        <w:t xml:space="preserve"> </w:t>
      </w:r>
      <w:r>
        <w:rPr>
          <w:rFonts w:hint="eastAsia" w:ascii="仿宋" w:hAnsi="仿宋" w:eastAsia="仿宋" w:cs="仿宋"/>
          <w:sz w:val="27"/>
          <w:szCs w:val="27"/>
          <w:highlight w:val="none"/>
        </w:rPr>
        <w:t>10:00 </w:t>
      </w:r>
      <w:r>
        <w:rPr>
          <w:rFonts w:hint="eastAsia" w:ascii="仿宋" w:hAnsi="仿宋" w:eastAsia="仿宋" w:cs="仿宋"/>
          <w:sz w:val="27"/>
          <w:szCs w:val="27"/>
        </w:rPr>
        <w:t>（北京时间）</w:t>
      </w:r>
    </w:p>
    <w:p>
      <w:pPr>
        <w:pStyle w:val="18"/>
        <w:spacing w:before="75" w:after="75" w:line="300" w:lineRule="atLeast"/>
        <w:rPr>
          <w:rFonts w:hint="eastAsia" w:ascii="仿宋" w:hAnsi="仿宋" w:eastAsia="仿宋" w:cs="Times New Roman"/>
          <w:kern w:val="2"/>
          <w:sz w:val="28"/>
          <w:szCs w:val="28"/>
          <w:lang w:val="en-US" w:eastAsia="zh-CN" w:bidi="ar-SA"/>
        </w:rPr>
      </w:pPr>
      <w:r>
        <w:rPr>
          <w:rFonts w:hint="eastAsia" w:ascii="仿宋" w:hAnsi="仿宋" w:eastAsia="仿宋" w:cs="仿宋"/>
          <w:sz w:val="27"/>
          <w:szCs w:val="27"/>
        </w:rPr>
        <w:t>2.</w:t>
      </w:r>
      <w:r>
        <w:rPr>
          <w:rFonts w:hint="eastAsia" w:ascii="仿宋" w:hAnsi="仿宋" w:eastAsia="仿宋" w:cs="Times New Roman"/>
          <w:kern w:val="2"/>
          <w:sz w:val="28"/>
          <w:szCs w:val="28"/>
          <w:lang w:val="en-US" w:eastAsia="zh-CN" w:bidi="ar-SA"/>
        </w:rPr>
        <w:t>地点： 哈密市向阳东路东延段源泉小区2-20新疆德鸿项目管理咨询有限公司一楼开标厅</w:t>
      </w:r>
    </w:p>
    <w:p>
      <w:pPr>
        <w:pStyle w:val="18"/>
        <w:spacing w:before="255" w:after="255" w:line="450" w:lineRule="atLeast"/>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五、响应文件开启 </w:t>
      </w:r>
    </w:p>
    <w:p>
      <w:pPr>
        <w:pStyle w:val="18"/>
        <w:spacing w:before="75" w:after="75" w:line="300" w:lineRule="atLeas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1.开启时间：2022年4月28日 10:00 （北京时间）</w:t>
      </w:r>
    </w:p>
    <w:p>
      <w:pPr>
        <w:pStyle w:val="18"/>
        <w:spacing w:before="75" w:after="75" w:line="300" w:lineRule="atLeas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2.地点：哈密市向阳东路东延段源泉小区2-20新疆德鸿项目管理咨询有限公司一楼开标厅</w:t>
      </w:r>
    </w:p>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六、发布公告的媒介</w:t>
      </w:r>
    </w:p>
    <w:p>
      <w:pP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《新疆政府采购网》http://www.ccgp-xinjiang.gov.cn/</w:t>
      </w:r>
    </w:p>
    <w:p>
      <w:pPr>
        <w:pStyle w:val="18"/>
        <w:spacing w:before="255" w:after="255" w:line="450" w:lineRule="atLeast"/>
        <w:jc w:val="both"/>
        <w:rPr>
          <w:rFonts w:ascii="黑体" w:eastAsia="黑体" w:cs="黑体"/>
          <w:sz w:val="31"/>
          <w:szCs w:val="31"/>
        </w:rPr>
      </w:pPr>
      <w:r>
        <w:rPr>
          <w:rStyle w:val="25"/>
          <w:rFonts w:hint="eastAsia" w:ascii="黑体" w:eastAsia="黑体" w:cs="黑体"/>
          <w:sz w:val="27"/>
          <w:szCs w:val="27"/>
        </w:rPr>
        <w:t>七</w:t>
      </w:r>
      <w:r>
        <w:rPr>
          <w:rStyle w:val="25"/>
          <w:rFonts w:ascii="黑体" w:eastAsia="黑体" w:cs="黑体"/>
          <w:sz w:val="27"/>
          <w:szCs w:val="27"/>
        </w:rPr>
        <w:t>、公告期限</w:t>
      </w:r>
    </w:p>
    <w:p>
      <w:pPr>
        <w:pStyle w:val="18"/>
        <w:spacing w:before="75" w:after="75"/>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自本公告发布之日起3个工作日。</w:t>
      </w:r>
    </w:p>
    <w:p>
      <w:pPr>
        <w:pStyle w:val="18"/>
        <w:spacing w:before="255" w:after="255" w:line="450" w:lineRule="atLeast"/>
        <w:jc w:val="both"/>
        <w:rPr>
          <w:rFonts w:ascii="黑体" w:eastAsia="黑体" w:cs="黑体"/>
          <w:sz w:val="27"/>
          <w:szCs w:val="27"/>
        </w:rPr>
      </w:pPr>
      <w:r>
        <w:rPr>
          <w:rStyle w:val="25"/>
          <w:rFonts w:hint="eastAsia" w:ascii="黑体" w:eastAsia="黑体" w:cs="黑体"/>
          <w:sz w:val="27"/>
          <w:szCs w:val="27"/>
        </w:rPr>
        <w:t>八</w:t>
      </w:r>
      <w:r>
        <w:rPr>
          <w:rStyle w:val="25"/>
          <w:rFonts w:ascii="黑体" w:eastAsia="黑体" w:cs="黑体"/>
          <w:sz w:val="27"/>
          <w:szCs w:val="27"/>
        </w:rPr>
        <w:t>、其他补充事宜</w:t>
      </w:r>
      <w:r>
        <w:rPr>
          <w:rFonts w:ascii="黑体" w:eastAsia="黑体" w:cs="黑体"/>
          <w:sz w:val="27"/>
          <w:szCs w:val="27"/>
        </w:rPr>
        <w:t> </w:t>
      </w:r>
    </w:p>
    <w:p>
      <w:pPr>
        <w:pStyle w:val="18"/>
        <w:spacing w:before="75" w:after="75"/>
        <w:rPr>
          <w:rFonts w:ascii="仿宋" w:hAnsi="仿宋" w:eastAsia="仿宋" w:cs="仿宋"/>
          <w:kern w:val="0"/>
          <w:sz w:val="27"/>
          <w:szCs w:val="27"/>
          <w:lang w:bidi="ar"/>
        </w:rPr>
      </w:pPr>
      <w:r>
        <w:rPr>
          <w:rFonts w:hint="eastAsia" w:ascii="仿宋" w:hAnsi="仿宋" w:eastAsia="仿宋" w:cs="仿宋"/>
          <w:kern w:val="0"/>
          <w:sz w:val="27"/>
          <w:szCs w:val="27"/>
          <w:lang w:bidi="ar"/>
        </w:rPr>
        <w:t>1.凡符合上述资格要求且有意参加投标的供应商，购买招标文件时递交以下加盖公章的资料复印件一套：营业执照、资质证书、法人身份证或法人代表授权</w:t>
      </w:r>
      <w:r>
        <w:rPr>
          <w:rFonts w:hint="eastAsia" w:ascii="仿宋" w:hAnsi="仿宋" w:eastAsia="仿宋" w:cs="Times New Roman"/>
          <w:kern w:val="2"/>
          <w:sz w:val="28"/>
          <w:szCs w:val="28"/>
          <w:lang w:val="en-US" w:eastAsia="zh-CN" w:bidi="ar-SA"/>
        </w:rPr>
        <w:t>委托书</w:t>
      </w:r>
      <w:r>
        <w:rPr>
          <w:rFonts w:hint="eastAsia" w:ascii="仿宋" w:hAnsi="仿宋" w:eastAsia="仿宋" w:cs="仿宋"/>
          <w:kern w:val="0"/>
          <w:sz w:val="27"/>
          <w:szCs w:val="27"/>
          <w:lang w:bidi="ar"/>
        </w:rPr>
        <w:t>、被授权人身份证及近半年社保缴纳证明。</w:t>
      </w:r>
    </w:p>
    <w:p>
      <w:pPr>
        <w:spacing w:line="360" w:lineRule="auto"/>
        <w:ind w:firstLine="540" w:firstLineChars="200"/>
        <w:rPr>
          <w:rFonts w:ascii="仿宋" w:hAnsi="仿宋" w:eastAsia="仿宋" w:cs="仿宋"/>
          <w:kern w:val="0"/>
          <w:sz w:val="27"/>
          <w:szCs w:val="27"/>
          <w:lang w:bidi="ar"/>
        </w:rPr>
      </w:pPr>
      <w:r>
        <w:rPr>
          <w:rFonts w:hint="eastAsia" w:ascii="仿宋" w:hAnsi="仿宋" w:eastAsia="仿宋" w:cs="仿宋"/>
          <w:kern w:val="0"/>
          <w:sz w:val="27"/>
          <w:szCs w:val="27"/>
          <w:lang w:bidi="ar"/>
        </w:rPr>
        <w:t>2. 根据《关于在行政事项中使用信用记录和信用报告的实施方案》（哈市发改经贸〔2021〕1号）文件规定，在政府采购领域，供应商的信用状况将做为参与政府采购活动资格审查、评标的重要依据之一，供应商在投标前需要提供综合信用评价报告，对信用等级为D级的供应商，拒绝其参与政府采购活动。</w:t>
      </w:r>
    </w:p>
    <w:p>
      <w:pPr>
        <w:spacing w:line="360" w:lineRule="auto"/>
        <w:ind w:firstLine="540" w:firstLineChars="200"/>
        <w:rPr>
          <w:rFonts w:ascii="仿宋" w:hAnsi="仿宋" w:eastAsia="仿宋" w:cs="仿宋"/>
          <w:kern w:val="0"/>
          <w:sz w:val="27"/>
          <w:szCs w:val="27"/>
          <w:lang w:bidi="ar"/>
        </w:rPr>
      </w:pPr>
      <w:r>
        <w:rPr>
          <w:rFonts w:hint="eastAsia" w:ascii="仿宋" w:hAnsi="仿宋" w:eastAsia="仿宋" w:cs="仿宋"/>
          <w:kern w:val="0"/>
          <w:sz w:val="27"/>
          <w:szCs w:val="27"/>
          <w:lang w:bidi="ar"/>
        </w:rPr>
        <w:t>3.综合信用评价报告出具方式：可前往哈密市发展和改革委员会备案通过的信用服务机构网站建立信用档案，出具信用报告。</w:t>
      </w:r>
    </w:p>
    <w:p>
      <w:pPr>
        <w:spacing w:line="360" w:lineRule="auto"/>
        <w:ind w:firstLine="540" w:firstLineChars="200"/>
        <w:rPr>
          <w:rFonts w:ascii="仿宋" w:hAnsi="仿宋" w:eastAsia="仿宋" w:cs="仿宋"/>
          <w:kern w:val="0"/>
          <w:sz w:val="27"/>
          <w:szCs w:val="27"/>
          <w:highlight w:val="yellow"/>
          <w:lang w:bidi="ar"/>
        </w:rPr>
      </w:pPr>
      <w:r>
        <w:rPr>
          <w:rFonts w:hint="eastAsia" w:ascii="仿宋" w:hAnsi="仿宋" w:eastAsia="仿宋" w:cs="仿宋"/>
          <w:kern w:val="0"/>
          <w:sz w:val="27"/>
          <w:szCs w:val="27"/>
          <w:lang w:bidi="ar"/>
        </w:rPr>
        <w:t>出具信用评级报告的机构名单公示在：“信用哈密”网站-信用公示栏目-信用服务机构公示。网址：</w:t>
      </w:r>
      <w:r>
        <w:fldChar w:fldCharType="begin"/>
      </w:r>
      <w:r>
        <w:instrText xml:space="preserve"> HYPERLINK "http://xyhami.creditxj.gov.cn/。" </w:instrText>
      </w:r>
      <w:r>
        <w:fldChar w:fldCharType="separate"/>
      </w:r>
      <w:r>
        <w:rPr>
          <w:rStyle w:val="31"/>
          <w:rFonts w:hint="eastAsia" w:ascii="仿宋" w:hAnsi="仿宋" w:eastAsia="仿宋" w:cs="仿宋"/>
          <w:kern w:val="0"/>
          <w:sz w:val="27"/>
          <w:szCs w:val="27"/>
          <w:lang w:bidi="ar"/>
        </w:rPr>
        <w:t>http://xyhami.creditxj.gov.cn/。</w:t>
      </w:r>
      <w:r>
        <w:rPr>
          <w:rStyle w:val="31"/>
          <w:rFonts w:hint="eastAsia" w:ascii="仿宋" w:hAnsi="仿宋" w:eastAsia="仿宋" w:cs="仿宋"/>
          <w:kern w:val="0"/>
          <w:sz w:val="27"/>
          <w:szCs w:val="27"/>
          <w:lang w:bidi="ar"/>
        </w:rPr>
        <w:fldChar w:fldCharType="end"/>
      </w:r>
    </w:p>
    <w:p>
      <w:pPr>
        <w:pStyle w:val="18"/>
        <w:spacing w:before="255" w:after="255" w:line="480" w:lineRule="atLeast"/>
        <w:jc w:val="both"/>
        <w:rPr>
          <w:rFonts w:ascii="黑体" w:eastAsia="黑体" w:cs="黑体"/>
          <w:sz w:val="31"/>
          <w:szCs w:val="31"/>
        </w:rPr>
      </w:pPr>
      <w:r>
        <w:rPr>
          <w:rStyle w:val="25"/>
          <w:rFonts w:hint="eastAsia" w:ascii="黑体" w:eastAsia="黑体" w:cs="黑体"/>
          <w:sz w:val="27"/>
          <w:szCs w:val="27"/>
        </w:rPr>
        <w:t>九</w:t>
      </w:r>
      <w:r>
        <w:rPr>
          <w:rStyle w:val="25"/>
          <w:rFonts w:ascii="黑体" w:eastAsia="黑体" w:cs="黑体"/>
          <w:sz w:val="27"/>
          <w:szCs w:val="27"/>
        </w:rPr>
        <w:t>、凡对本次招标提出询问，请按以下方式联系</w:t>
      </w:r>
    </w:p>
    <w:p>
      <w:pPr>
        <w:spacing w:line="360" w:lineRule="auto"/>
        <w:ind w:firstLine="540" w:firstLineChars="200"/>
        <w:rPr>
          <w:rFonts w:ascii="仿宋" w:hAnsi="仿宋" w:eastAsia="仿宋" w:cs="仿宋"/>
          <w:kern w:val="0"/>
          <w:sz w:val="27"/>
          <w:szCs w:val="27"/>
          <w:lang w:bidi="ar"/>
        </w:rPr>
      </w:pPr>
      <w:r>
        <w:rPr>
          <w:rFonts w:hint="eastAsia" w:ascii="仿宋" w:hAnsi="仿宋" w:eastAsia="仿宋" w:cs="仿宋"/>
          <w:kern w:val="0"/>
          <w:sz w:val="27"/>
          <w:szCs w:val="27"/>
          <w:lang w:bidi="ar"/>
        </w:rPr>
        <w:t>1、采购单位：巴里坤哈萨克自治县文化体育广播电视和旅游局</w:t>
      </w:r>
    </w:p>
    <w:p>
      <w:pPr>
        <w:spacing w:line="360" w:lineRule="auto"/>
        <w:ind w:firstLine="540" w:firstLineChars="200"/>
        <w:rPr>
          <w:rFonts w:ascii="仿宋" w:hAnsi="仿宋" w:eastAsia="仿宋" w:cs="仿宋"/>
          <w:kern w:val="0"/>
          <w:sz w:val="27"/>
          <w:szCs w:val="27"/>
          <w:highlight w:val="none"/>
          <w:lang w:bidi="ar"/>
        </w:rPr>
      </w:pPr>
      <w:r>
        <w:rPr>
          <w:rFonts w:hint="eastAsia" w:ascii="仿宋" w:hAnsi="仿宋" w:eastAsia="仿宋" w:cs="仿宋"/>
          <w:kern w:val="0"/>
          <w:sz w:val="27"/>
          <w:szCs w:val="27"/>
          <w:highlight w:val="none"/>
          <w:lang w:bidi="ar"/>
        </w:rPr>
        <w:t>联 系 人：派道森</w:t>
      </w:r>
    </w:p>
    <w:p>
      <w:pPr>
        <w:spacing w:line="360" w:lineRule="auto"/>
        <w:ind w:firstLine="540" w:firstLineChars="200"/>
        <w:rPr>
          <w:rFonts w:ascii="仿宋" w:hAnsi="仿宋" w:eastAsia="仿宋" w:cs="仿宋"/>
          <w:kern w:val="0"/>
          <w:sz w:val="27"/>
          <w:szCs w:val="27"/>
          <w:highlight w:val="red"/>
          <w:lang w:bidi="ar"/>
        </w:rPr>
      </w:pPr>
      <w:r>
        <w:rPr>
          <w:rFonts w:hint="eastAsia" w:ascii="仿宋" w:hAnsi="仿宋" w:eastAsia="仿宋" w:cs="仿宋"/>
          <w:kern w:val="0"/>
          <w:sz w:val="27"/>
          <w:szCs w:val="27"/>
          <w:highlight w:val="none"/>
          <w:lang w:bidi="ar"/>
        </w:rPr>
        <w:t>联系电话：0902-6802911</w:t>
      </w:r>
    </w:p>
    <w:p>
      <w:pPr>
        <w:spacing w:line="360" w:lineRule="auto"/>
        <w:ind w:firstLine="540" w:firstLineChars="200"/>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bidi="ar"/>
        </w:rPr>
        <w:t>地    址：</w:t>
      </w:r>
      <w:r>
        <w:rPr>
          <w:rFonts w:hint="eastAsia" w:ascii="仿宋" w:hAnsi="仿宋" w:eastAsia="仿宋" w:cs="仿宋"/>
          <w:kern w:val="0"/>
          <w:sz w:val="27"/>
          <w:szCs w:val="27"/>
          <w:lang w:eastAsia="zh-CN" w:bidi="ar"/>
        </w:rPr>
        <w:t>巴里坤县</w:t>
      </w:r>
    </w:p>
    <w:p>
      <w:pPr>
        <w:spacing w:line="360" w:lineRule="auto"/>
        <w:ind w:firstLine="540" w:firstLineChars="200"/>
        <w:rPr>
          <w:rFonts w:hint="eastAsia" w:ascii="仿宋" w:hAnsi="仿宋" w:eastAsia="仿宋" w:cs="仿宋"/>
          <w:kern w:val="0"/>
          <w:sz w:val="27"/>
          <w:szCs w:val="27"/>
          <w:lang w:eastAsia="zh-CN" w:bidi="ar"/>
        </w:rPr>
      </w:pPr>
      <w:r>
        <w:rPr>
          <w:rFonts w:hint="eastAsia" w:ascii="仿宋" w:hAnsi="仿宋" w:eastAsia="仿宋" w:cs="仿宋"/>
          <w:kern w:val="0"/>
          <w:sz w:val="27"/>
          <w:szCs w:val="27"/>
          <w:lang w:eastAsia="zh-CN" w:bidi="ar"/>
        </w:rPr>
        <w:t xml:space="preserve">2、采购代理机构：新疆德鸿项目管理咨询有限公司 </w:t>
      </w:r>
    </w:p>
    <w:p>
      <w:pPr>
        <w:spacing w:line="360" w:lineRule="auto"/>
        <w:ind w:firstLine="540" w:firstLineChars="200"/>
        <w:rPr>
          <w:rFonts w:ascii="仿宋" w:hAnsi="仿宋" w:eastAsia="仿宋" w:cs="仿宋"/>
          <w:kern w:val="0"/>
          <w:sz w:val="27"/>
          <w:szCs w:val="27"/>
          <w:lang w:bidi="ar"/>
        </w:rPr>
      </w:pPr>
      <w:r>
        <w:rPr>
          <w:rFonts w:hint="eastAsia" w:ascii="仿宋" w:hAnsi="仿宋" w:eastAsia="仿宋" w:cs="仿宋"/>
          <w:kern w:val="0"/>
          <w:sz w:val="27"/>
          <w:szCs w:val="27"/>
          <w:lang w:bidi="ar"/>
        </w:rPr>
        <w:t>地    址：新疆哈密市向阳东路东延源泉小区旁小二楼2-20号</w:t>
      </w:r>
    </w:p>
    <w:p>
      <w:pPr>
        <w:spacing w:line="360" w:lineRule="auto"/>
        <w:ind w:firstLine="540" w:firstLineChars="200"/>
        <w:rPr>
          <w:rFonts w:ascii="仿宋" w:hAnsi="仿宋" w:eastAsia="仿宋" w:cs="仿宋"/>
          <w:kern w:val="0"/>
          <w:sz w:val="27"/>
          <w:szCs w:val="27"/>
          <w:lang w:bidi="ar"/>
        </w:rPr>
      </w:pPr>
      <w:r>
        <w:rPr>
          <w:rFonts w:hint="eastAsia" w:ascii="仿宋" w:hAnsi="仿宋" w:eastAsia="仿宋" w:cs="仿宋"/>
          <w:kern w:val="0"/>
          <w:sz w:val="27"/>
          <w:szCs w:val="27"/>
          <w:lang w:bidi="ar"/>
        </w:rPr>
        <w:t xml:space="preserve">联 系 人：王小琴       </w:t>
      </w:r>
    </w:p>
    <w:p>
      <w:pPr>
        <w:spacing w:line="360" w:lineRule="auto"/>
        <w:ind w:firstLine="540" w:firstLineChars="200"/>
        <w:rPr>
          <w:rFonts w:ascii="仿宋" w:hAnsi="仿宋" w:eastAsia="仿宋" w:cs="仿宋"/>
          <w:kern w:val="0"/>
          <w:sz w:val="27"/>
          <w:szCs w:val="27"/>
          <w:lang w:bidi="ar"/>
        </w:rPr>
      </w:pPr>
      <w:r>
        <w:rPr>
          <w:rFonts w:hint="eastAsia" w:ascii="仿宋" w:hAnsi="仿宋" w:eastAsia="仿宋" w:cs="仿宋"/>
          <w:kern w:val="0"/>
          <w:sz w:val="27"/>
          <w:szCs w:val="27"/>
          <w:lang w:bidi="ar"/>
        </w:rPr>
        <w:t>联系电话：0902-6996999</w:t>
      </w:r>
    </w:p>
    <w:p>
      <w:pPr>
        <w:pStyle w:val="21"/>
        <w:ind w:firstLine="602"/>
        <w:rPr>
          <w:rFonts w:ascii="宋体" w:hAnsi="宋体" w:cs="宋体"/>
          <w:b/>
          <w:sz w:val="30"/>
          <w:szCs w:val="30"/>
        </w:rPr>
      </w:pPr>
    </w:p>
    <w:p>
      <w:pPr>
        <w:pStyle w:val="21"/>
        <w:ind w:firstLine="602"/>
        <w:rPr>
          <w:rFonts w:ascii="宋体" w:hAnsi="宋体" w:cs="宋体"/>
          <w:b/>
          <w:sz w:val="30"/>
          <w:szCs w:val="30"/>
        </w:rPr>
      </w:pPr>
    </w:p>
    <w:p>
      <w:pPr>
        <w:pStyle w:val="21"/>
        <w:ind w:firstLine="602"/>
        <w:rPr>
          <w:rFonts w:ascii="宋体" w:hAnsi="宋体" w:cs="宋体"/>
          <w:b/>
          <w:sz w:val="30"/>
          <w:szCs w:val="30"/>
        </w:rPr>
      </w:pPr>
    </w:p>
    <w:p>
      <w:pPr>
        <w:pStyle w:val="21"/>
        <w:ind w:firstLine="602"/>
        <w:rPr>
          <w:rFonts w:ascii="宋体" w:hAnsi="宋体" w:cs="宋体"/>
          <w:b/>
          <w:sz w:val="30"/>
          <w:szCs w:val="30"/>
        </w:rPr>
      </w:pPr>
    </w:p>
    <w:p>
      <w:pPr>
        <w:pStyle w:val="21"/>
        <w:ind w:left="0" w:leftChars="0" w:firstLine="0" w:firstLineChars="0"/>
        <w:rPr>
          <w:rFonts w:ascii="宋体" w:hAnsi="宋体" w:cs="宋体"/>
          <w:b/>
          <w:sz w:val="30"/>
          <w:szCs w:val="30"/>
        </w:rPr>
      </w:pPr>
    </w:p>
    <w:p>
      <w:pPr>
        <w:snapToGrid w:val="0"/>
        <w:spacing w:line="360" w:lineRule="auto"/>
        <w:ind w:firstLine="200"/>
        <w:jc w:val="center"/>
        <w:rPr>
          <w:rFonts w:ascii="宋体" w:hAnsi="宋体" w:cs="宋体"/>
          <w:b/>
          <w:sz w:val="30"/>
          <w:szCs w:val="30"/>
        </w:rPr>
      </w:pPr>
    </w:p>
    <w:p>
      <w:pPr>
        <w:pStyle w:val="21"/>
      </w:pPr>
    </w:p>
    <w:p>
      <w:pPr>
        <w:pStyle w:val="21"/>
      </w:pPr>
    </w:p>
    <w:p>
      <w:pPr>
        <w:pStyle w:val="21"/>
      </w:pPr>
    </w:p>
    <w:p>
      <w:pPr>
        <w:pStyle w:val="21"/>
      </w:pPr>
    </w:p>
    <w:p>
      <w:pPr>
        <w:pStyle w:val="21"/>
      </w:pPr>
    </w:p>
    <w:p>
      <w:pPr>
        <w:pStyle w:val="21"/>
      </w:pPr>
    </w:p>
    <w:p>
      <w:pPr>
        <w:pStyle w:val="21"/>
      </w:pPr>
    </w:p>
    <w:p>
      <w:pPr>
        <w:pStyle w:val="21"/>
      </w:pPr>
    </w:p>
    <w:p>
      <w:pPr>
        <w:snapToGrid w:val="0"/>
        <w:spacing w:line="360" w:lineRule="auto"/>
        <w:ind w:firstLine="200"/>
        <w:jc w:val="center"/>
        <w:rPr>
          <w:rFonts w:ascii="宋体" w:hAnsi="宋体" w:cs="宋体"/>
          <w:b/>
          <w:sz w:val="30"/>
          <w:szCs w:val="30"/>
        </w:rPr>
      </w:pPr>
    </w:p>
    <w:p>
      <w:pPr>
        <w:snapToGrid w:val="0"/>
        <w:spacing w:line="360" w:lineRule="auto"/>
        <w:ind w:firstLine="200"/>
        <w:jc w:val="center"/>
        <w:rPr>
          <w:rFonts w:ascii="宋体" w:hAnsi="宋体" w:cs="宋体"/>
          <w:b/>
          <w:sz w:val="30"/>
          <w:szCs w:val="30"/>
        </w:rPr>
      </w:pPr>
    </w:p>
    <w:p>
      <w:pPr>
        <w:snapToGrid w:val="0"/>
        <w:spacing w:line="360" w:lineRule="auto"/>
        <w:ind w:firstLine="200"/>
        <w:jc w:val="center"/>
        <w:rPr>
          <w:rFonts w:ascii="宋体" w:hAnsi="宋体" w:cs="宋体"/>
          <w:b/>
          <w:sz w:val="30"/>
          <w:szCs w:val="30"/>
        </w:rPr>
      </w:pPr>
    </w:p>
    <w:p>
      <w:pPr>
        <w:snapToGrid w:val="0"/>
        <w:spacing w:line="360" w:lineRule="auto"/>
        <w:ind w:firstLine="200"/>
        <w:jc w:val="center"/>
        <w:rPr>
          <w:rFonts w:ascii="宋体" w:hAnsi="宋体" w:cs="宋体"/>
          <w:b/>
          <w:sz w:val="30"/>
          <w:szCs w:val="30"/>
        </w:rPr>
      </w:pPr>
    </w:p>
    <w:p>
      <w:pPr>
        <w:snapToGrid w:val="0"/>
        <w:spacing w:line="360" w:lineRule="auto"/>
        <w:ind w:firstLine="200"/>
        <w:jc w:val="center"/>
        <w:rPr>
          <w:rFonts w:ascii="宋体" w:hAnsi="宋体" w:cs="宋体"/>
          <w:b/>
          <w:sz w:val="30"/>
          <w:szCs w:val="30"/>
        </w:rPr>
      </w:pPr>
    </w:p>
    <w:p>
      <w:pPr>
        <w:snapToGrid w:val="0"/>
        <w:spacing w:line="360" w:lineRule="auto"/>
        <w:ind w:firstLine="200"/>
        <w:jc w:val="center"/>
        <w:rPr>
          <w:rFonts w:ascii="宋体" w:hAnsi="宋体" w:cs="宋体"/>
          <w:b/>
          <w:sz w:val="30"/>
          <w:szCs w:val="30"/>
        </w:rPr>
      </w:pPr>
    </w:p>
    <w:p>
      <w:pPr>
        <w:snapToGrid w:val="0"/>
        <w:spacing w:line="360" w:lineRule="auto"/>
        <w:ind w:firstLine="200"/>
        <w:jc w:val="center"/>
        <w:rPr>
          <w:rFonts w:ascii="宋体" w:hAnsi="宋体" w:cs="宋体"/>
          <w:b/>
          <w:sz w:val="30"/>
          <w:szCs w:val="30"/>
        </w:rPr>
      </w:pPr>
    </w:p>
    <w:p>
      <w:pPr>
        <w:snapToGrid w:val="0"/>
        <w:spacing w:line="360" w:lineRule="auto"/>
        <w:ind w:firstLine="200"/>
        <w:jc w:val="center"/>
        <w:rPr>
          <w:rFonts w:ascii="宋体" w:hAnsi="宋体" w:cs="宋体"/>
          <w:b/>
          <w:sz w:val="30"/>
          <w:szCs w:val="30"/>
        </w:rPr>
      </w:pPr>
      <w:r>
        <w:rPr>
          <w:rFonts w:hint="eastAsia" w:ascii="宋体" w:hAnsi="宋体" w:cs="宋体"/>
          <w:b/>
          <w:sz w:val="30"/>
          <w:szCs w:val="30"/>
        </w:rPr>
        <w:t>第二部分   投标人须知前附表</w:t>
      </w:r>
    </w:p>
    <w:tbl>
      <w:tblPr>
        <w:tblStyle w:val="22"/>
        <w:tblpPr w:leftFromText="180" w:rightFromText="180" w:vertAnchor="text" w:horzAnchor="page" w:tblpX="1042" w:tblpY="70"/>
        <w:tblOverlap w:val="never"/>
        <w:tblW w:w="10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1" w:type="dxa"/>
            <w:vAlign w:val="center"/>
          </w:tcPr>
          <w:p>
            <w:pPr>
              <w:snapToGrid w:val="0"/>
              <w:spacing w:line="360" w:lineRule="auto"/>
              <w:ind w:right="105" w:rightChars="50"/>
              <w:jc w:val="center"/>
              <w:rPr>
                <w:rFonts w:ascii="宋体" w:hAnsi="宋体" w:cs="宋体"/>
                <w:b/>
                <w:bCs/>
                <w:sz w:val="18"/>
                <w:szCs w:val="18"/>
              </w:rPr>
            </w:pPr>
            <w:r>
              <w:rPr>
                <w:rFonts w:hint="eastAsia" w:ascii="宋体" w:hAnsi="宋体" w:cs="宋体"/>
                <w:b/>
                <w:bCs/>
                <w:sz w:val="18"/>
                <w:szCs w:val="18"/>
              </w:rPr>
              <w:t>项目</w:t>
            </w:r>
          </w:p>
        </w:tc>
        <w:tc>
          <w:tcPr>
            <w:tcW w:w="9245" w:type="dxa"/>
            <w:vAlign w:val="center"/>
          </w:tcPr>
          <w:p>
            <w:pPr>
              <w:snapToGrid w:val="0"/>
              <w:spacing w:line="360" w:lineRule="auto"/>
              <w:ind w:right="105" w:rightChars="50"/>
              <w:jc w:val="center"/>
              <w:rPr>
                <w:rFonts w:ascii="宋体" w:hAnsi="宋体" w:cs="宋体"/>
                <w:b/>
                <w:bCs/>
                <w:sz w:val="18"/>
                <w:szCs w:val="18"/>
              </w:rPr>
            </w:pPr>
            <w:r>
              <w:rPr>
                <w:rFonts w:hint="eastAsia" w:ascii="宋体" w:hAnsi="宋体" w:cs="宋体"/>
                <w:b/>
                <w:bCs/>
                <w:sz w:val="18"/>
                <w:szCs w:val="1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w:t>
            </w:r>
          </w:p>
        </w:tc>
        <w:tc>
          <w:tcPr>
            <w:tcW w:w="9245" w:type="dxa"/>
            <w:vAlign w:val="center"/>
          </w:tcPr>
          <w:p>
            <w:pPr>
              <w:autoSpaceDE w:val="0"/>
              <w:autoSpaceDN w:val="0"/>
              <w:contextualSpacing/>
              <w:rPr>
                <w:rFonts w:ascii="宋体" w:hAnsi="宋体" w:cs="宋体"/>
                <w:szCs w:val="21"/>
              </w:rPr>
            </w:pPr>
            <w:r>
              <w:rPr>
                <w:rFonts w:hint="eastAsia" w:ascii="宋体" w:hAnsi="宋体" w:cs="宋体"/>
                <w:szCs w:val="21"/>
              </w:rPr>
              <w:t>一、项目名称：巴里坤县群众文化活动中心建设项目-室外铺装及附属设施建设项目</w:t>
            </w:r>
          </w:p>
          <w:p>
            <w:pPr>
              <w:spacing w:line="360" w:lineRule="auto"/>
              <w:ind w:firstLine="420" w:firstLineChars="200"/>
              <w:rPr>
                <w:rFonts w:ascii="宋体" w:hAnsi="宋体" w:cs="宋体"/>
                <w:szCs w:val="21"/>
              </w:rPr>
            </w:pPr>
            <w:r>
              <w:rPr>
                <w:rFonts w:hint="eastAsia" w:ascii="宋体" w:hAnsi="宋体" w:cs="宋体"/>
                <w:szCs w:val="21"/>
              </w:rPr>
              <w:t>项目编号：XJDH【2022】-H010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2</w:t>
            </w:r>
          </w:p>
        </w:tc>
        <w:tc>
          <w:tcPr>
            <w:tcW w:w="9245" w:type="dxa"/>
            <w:vAlign w:val="center"/>
          </w:tcPr>
          <w:p>
            <w:pPr>
              <w:spacing w:line="360" w:lineRule="auto"/>
              <w:jc w:val="left"/>
            </w:pPr>
            <w:r>
              <w:rPr>
                <w:rFonts w:hint="eastAsia"/>
              </w:rPr>
              <w:t>磋商内容：见第四部分技术要求</w:t>
            </w:r>
          </w:p>
          <w:p>
            <w:pPr>
              <w:spacing w:line="360" w:lineRule="auto"/>
              <w:jc w:val="left"/>
            </w:pPr>
            <w:r>
              <w:rPr>
                <w:rFonts w:hint="eastAsia"/>
              </w:rPr>
              <w:t>工期要求</w:t>
            </w:r>
            <w:r>
              <w:rPr>
                <w:rFonts w:hint="eastAsia"/>
                <w:highlight w:val="none"/>
              </w:rPr>
              <w:t>：</w:t>
            </w:r>
            <w:r>
              <w:rPr>
                <w:rFonts w:hint="eastAsia"/>
                <w:highlight w:val="none"/>
                <w:lang w:val="en-US" w:eastAsia="zh-CN"/>
              </w:rPr>
              <w:t>31日历日（开工日期：2022年04月30日 竣工日期：2022年05月30日）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3</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投标人资格要求：</w:t>
            </w:r>
          </w:p>
          <w:p>
            <w:pPr>
              <w:spacing w:line="360" w:lineRule="auto"/>
              <w:jc w:val="left"/>
              <w:rPr>
                <w:rFonts w:ascii="宋体" w:hAnsi="宋体" w:cs="宋体"/>
                <w:szCs w:val="21"/>
              </w:rPr>
            </w:pPr>
            <w:r>
              <w:rPr>
                <w:rFonts w:hint="eastAsia" w:ascii="宋体" w:hAnsi="宋体" w:cs="宋体"/>
                <w:szCs w:val="21"/>
              </w:rPr>
              <w:t>1.满足《中华人民共和国政府采购法》第二十二条规定：</w:t>
            </w:r>
          </w:p>
          <w:p>
            <w:pPr>
              <w:spacing w:line="360" w:lineRule="auto"/>
              <w:jc w:val="left"/>
              <w:rPr>
                <w:rFonts w:ascii="宋体" w:hAnsi="宋体" w:cs="宋体"/>
                <w:szCs w:val="21"/>
              </w:rPr>
            </w:pPr>
            <w:r>
              <w:rPr>
                <w:rFonts w:hint="eastAsia" w:ascii="宋体" w:hAnsi="宋体" w:cs="宋体"/>
                <w:szCs w:val="21"/>
              </w:rPr>
              <w:t>（一）具有独立承担民事责任的能力；</w:t>
            </w:r>
          </w:p>
          <w:p>
            <w:pPr>
              <w:spacing w:line="360" w:lineRule="auto"/>
              <w:jc w:val="left"/>
              <w:rPr>
                <w:rFonts w:ascii="宋体" w:hAnsi="宋体" w:cs="宋体"/>
                <w:szCs w:val="21"/>
              </w:rPr>
            </w:pPr>
            <w:r>
              <w:rPr>
                <w:rFonts w:hint="eastAsia" w:ascii="宋体" w:hAnsi="宋体" w:cs="宋体"/>
                <w:szCs w:val="21"/>
              </w:rPr>
              <w:t>（二）具有良好的商业信誉和健全的财务会计制度；</w:t>
            </w:r>
          </w:p>
          <w:p>
            <w:pPr>
              <w:spacing w:line="360" w:lineRule="auto"/>
              <w:jc w:val="left"/>
              <w:rPr>
                <w:rFonts w:ascii="宋体" w:hAnsi="宋体" w:cs="宋体"/>
                <w:szCs w:val="21"/>
              </w:rPr>
            </w:pPr>
            <w:r>
              <w:rPr>
                <w:rFonts w:hint="eastAsia" w:ascii="宋体" w:hAnsi="宋体" w:cs="宋体"/>
                <w:szCs w:val="21"/>
              </w:rPr>
              <w:t>（三）具有履行合同所必需的设备和专业技术能力；</w:t>
            </w:r>
          </w:p>
          <w:p>
            <w:pPr>
              <w:spacing w:line="360" w:lineRule="auto"/>
              <w:jc w:val="left"/>
              <w:rPr>
                <w:rFonts w:ascii="宋体" w:hAnsi="宋体" w:cs="宋体"/>
                <w:szCs w:val="21"/>
              </w:rPr>
            </w:pPr>
            <w:r>
              <w:rPr>
                <w:rFonts w:hint="eastAsia" w:ascii="宋体" w:hAnsi="宋体" w:cs="宋体"/>
                <w:szCs w:val="21"/>
              </w:rPr>
              <w:t>（四）有依法缴纳税收和社会保障资金的良好记录；</w:t>
            </w:r>
          </w:p>
          <w:p>
            <w:pPr>
              <w:spacing w:line="360" w:lineRule="auto"/>
              <w:jc w:val="left"/>
              <w:rPr>
                <w:rFonts w:ascii="宋体" w:hAnsi="宋体" w:cs="宋体"/>
                <w:szCs w:val="21"/>
              </w:rPr>
            </w:pPr>
            <w:r>
              <w:rPr>
                <w:rFonts w:hint="eastAsia" w:ascii="宋体" w:hAnsi="宋体" w:cs="宋体"/>
                <w:szCs w:val="21"/>
              </w:rPr>
              <w:t>（五）参加政府采购活动前三年内，在经营活动中没有重大违法记录；</w:t>
            </w:r>
          </w:p>
          <w:p>
            <w:pPr>
              <w:spacing w:line="360" w:lineRule="auto"/>
              <w:jc w:val="left"/>
              <w:rPr>
                <w:rFonts w:ascii="宋体" w:hAnsi="宋体" w:cs="宋体"/>
                <w:szCs w:val="21"/>
              </w:rPr>
            </w:pPr>
            <w:r>
              <w:rPr>
                <w:rFonts w:hint="eastAsia" w:ascii="宋体" w:hAnsi="宋体" w:cs="宋体"/>
                <w:szCs w:val="21"/>
              </w:rPr>
              <w:t>（六）法律、行政法规规定的其他条件。</w:t>
            </w:r>
          </w:p>
          <w:p>
            <w:pPr>
              <w:pStyle w:val="21"/>
              <w:ind w:left="0" w:leftChars="0" w:firstLine="0" w:firstLineChars="0"/>
            </w:pPr>
            <w:r>
              <w:rPr>
                <w:rFonts w:hint="eastAsia" w:ascii="宋体" w:hAnsi="宋体" w:cs="宋体"/>
                <w:szCs w:val="21"/>
              </w:rPr>
              <w:t>采购项目有特殊要求的，供应商还应当提供其符合特殊要求的证明材料或者情况说明。</w:t>
            </w:r>
          </w:p>
          <w:p>
            <w:pPr>
              <w:numPr>
                <w:ilvl w:val="0"/>
                <w:numId w:val="1"/>
              </w:numPr>
              <w:spacing w:line="360" w:lineRule="auto"/>
              <w:ind w:left="0" w:leftChars="0" w:firstLine="0" w:firstLineChars="0"/>
              <w:jc w:val="left"/>
              <w:rPr>
                <w:rFonts w:hint="eastAsia" w:ascii="宋体" w:hAnsi="宋体" w:cs="宋体"/>
                <w:szCs w:val="21"/>
              </w:rPr>
            </w:pPr>
            <w:r>
              <w:rPr>
                <w:rFonts w:hint="eastAsia" w:ascii="宋体" w:hAnsi="宋体" w:cs="宋体"/>
                <w:szCs w:val="21"/>
              </w:rPr>
              <w:t>落实政府采购政策需满足的资格要求：供应商为中小企业/小微企业</w:t>
            </w:r>
          </w:p>
          <w:p>
            <w:pPr>
              <w:numPr>
                <w:ilvl w:val="0"/>
                <w:numId w:val="1"/>
              </w:numPr>
              <w:spacing w:line="360" w:lineRule="auto"/>
              <w:ind w:left="0" w:leftChars="0" w:firstLine="0" w:firstLineChars="0"/>
              <w:jc w:val="left"/>
              <w:rPr>
                <w:rFonts w:ascii="宋体" w:hAnsi="宋体" w:cs="宋体"/>
                <w:szCs w:val="21"/>
              </w:rPr>
            </w:pPr>
            <w:r>
              <w:rPr>
                <w:rFonts w:hint="eastAsia" w:ascii="宋体" w:hAnsi="宋体" w:cs="宋体"/>
                <w:szCs w:val="21"/>
              </w:rPr>
              <w:t>本项目的特定资格要求：</w:t>
            </w:r>
          </w:p>
          <w:p>
            <w:pPr>
              <w:spacing w:line="360" w:lineRule="auto"/>
              <w:jc w:val="lef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）须具备有效的营业执照。</w:t>
            </w:r>
          </w:p>
          <w:p>
            <w:pPr>
              <w:spacing w:line="360" w:lineRule="auto"/>
              <w:jc w:val="left"/>
              <w:rPr>
                <w:rFonts w:ascii="宋体" w:hAnsi="宋体" w:cs="宋体"/>
                <w:szCs w:val="21"/>
              </w:rPr>
            </w:pPr>
            <w:r>
              <w:rPr>
                <w:rFonts w:hint="eastAsia" w:ascii="宋体" w:hAnsi="宋体" w:cs="宋体"/>
                <w:szCs w:val="21"/>
              </w:rPr>
              <w:t>（2）具备建设行政主管部门颁发的建筑工程施工总承包叁级及以上资质；具备有效的安全生产许可证；并在人员、设备、资金等方面具有相应的施工能力；项目经理须具备有效的建筑工程专业二级及以上注册建造师执业资格证书（须在本单位注册），同时具备有效的安全生产考核合格证。</w:t>
            </w:r>
          </w:p>
          <w:p>
            <w:pPr>
              <w:spacing w:line="360" w:lineRule="auto"/>
              <w:jc w:val="left"/>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自治区外企业投标，应在新疆工程建设云完成企业基本信息和人员信息报送，通过自治区住房城乡建设厅确认，并在新疆工程建设云可查询企业及企业人员报送信息。拟投项目经理须为报送信息中人员。</w:t>
            </w:r>
          </w:p>
          <w:p>
            <w:pPr>
              <w:spacing w:line="360" w:lineRule="auto"/>
              <w:jc w:val="left"/>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）具有良好的商业信誉和健全的财务会计制度，提供2021年年度财务审计报告或202</w:t>
            </w:r>
            <w:r>
              <w:rPr>
                <w:rFonts w:ascii="宋体" w:hAnsi="宋体" w:cs="宋体"/>
                <w:szCs w:val="21"/>
              </w:rPr>
              <w:t>2</w:t>
            </w:r>
            <w:r>
              <w:rPr>
                <w:rFonts w:hint="eastAsia" w:ascii="宋体" w:hAnsi="宋体" w:cs="宋体"/>
                <w:szCs w:val="21"/>
              </w:rPr>
              <w:t>年任意1个月的财务状况报告复印件，或提供基本户银行出具的资信证明材料复印件（成立未满一年的公司可以不提供财务审计报告，须提供财务报表（财务报表内容须包括资产、负债、现金等报表）。</w:t>
            </w:r>
          </w:p>
          <w:p>
            <w:pPr>
              <w:spacing w:line="360" w:lineRule="auto"/>
              <w:jc w:val="left"/>
              <w:rPr>
                <w:rFonts w:ascii="宋体" w:hAnsi="宋体" w:cs="宋体"/>
                <w:szCs w:val="21"/>
              </w:rPr>
            </w:pPr>
            <w:r>
              <w:rPr>
                <w:rFonts w:hint="eastAsia" w:ascii="宋体" w:hAnsi="宋体" w:cs="宋体"/>
                <w:szCs w:val="21"/>
              </w:rPr>
              <w:t>（5）有依法缴纳税收和社会保障资金的良好记录，提供202</w:t>
            </w:r>
            <w:r>
              <w:rPr>
                <w:rFonts w:ascii="宋体" w:hAnsi="宋体" w:cs="宋体"/>
                <w:szCs w:val="21"/>
              </w:rPr>
              <w:t>1</w:t>
            </w:r>
            <w:r>
              <w:rPr>
                <w:rFonts w:hint="eastAsia" w:ascii="宋体" w:hAnsi="宋体" w:cs="宋体"/>
                <w:szCs w:val="21"/>
              </w:rPr>
              <w:t>年至今任意1个月完税证明材料复印件，如依法免税的应提供相关材料； 提供202</w:t>
            </w:r>
            <w:r>
              <w:rPr>
                <w:rFonts w:ascii="宋体" w:hAnsi="宋体" w:cs="宋体"/>
                <w:szCs w:val="21"/>
              </w:rPr>
              <w:t>1</w:t>
            </w:r>
            <w:r>
              <w:rPr>
                <w:rFonts w:hint="eastAsia" w:ascii="宋体" w:hAnsi="宋体" w:cs="宋体"/>
                <w:szCs w:val="21"/>
              </w:rPr>
              <w:t>年至今任意1个月社会保障资金的凭据证明材料复印件，如依法不需要缴纳社会保障资金的，应提供相关材料。</w:t>
            </w:r>
          </w:p>
          <w:p>
            <w:pPr>
              <w:spacing w:line="360" w:lineRule="auto"/>
              <w:jc w:val="left"/>
              <w:rPr>
                <w:rFonts w:ascii="宋体" w:hAnsi="宋体" w:cs="宋体"/>
                <w:szCs w:val="21"/>
              </w:rPr>
            </w:pPr>
            <w:r>
              <w:rPr>
                <w:rFonts w:hint="eastAsia" w:ascii="宋体" w:hAnsi="宋体" w:cs="宋体"/>
                <w:szCs w:val="21"/>
              </w:rPr>
              <w:t>（6）投标人未被“信用中国”（www.creditchina.gov.cn）、中国政府采购网（www.ccgp.gov.cn）列入失信被执行人、重大税收违法案件当事人名单、政府采购严重违法失信行为记录名单。</w:t>
            </w:r>
          </w:p>
          <w:p>
            <w:pPr>
              <w:spacing w:line="360" w:lineRule="auto"/>
              <w:jc w:val="left"/>
              <w:rPr>
                <w:rFonts w:hint="eastAsia" w:ascii="宋体" w:hAnsi="宋体" w:cs="宋体"/>
                <w:szCs w:val="21"/>
              </w:rPr>
            </w:pPr>
            <w:r>
              <w:rPr>
                <w:rFonts w:hint="eastAsia" w:ascii="宋体" w:hAnsi="宋体" w:cs="宋体"/>
                <w:szCs w:val="21"/>
              </w:rPr>
              <w:t>（7）投标人近三年具有类似业绩（2019年1月至今）</w:t>
            </w:r>
          </w:p>
          <w:p>
            <w:pPr>
              <w:spacing w:line="360" w:lineRule="auto"/>
              <w:jc w:val="left"/>
              <w:rPr>
                <w:rFonts w:ascii="宋体" w:hAnsi="宋体" w:cs="宋体"/>
                <w:szCs w:val="21"/>
              </w:rPr>
            </w:pPr>
            <w:r>
              <w:rPr>
                <w:rFonts w:hint="eastAsia" w:ascii="宋体" w:hAnsi="宋体" w:cs="宋体"/>
                <w:szCs w:val="21"/>
              </w:rPr>
              <w:t>（8）与招标人存在利害关系可能影响招标公正性的法人、其他组织或者个人，不得参加投标。</w:t>
            </w:r>
          </w:p>
          <w:p>
            <w:pPr>
              <w:spacing w:line="360" w:lineRule="auto"/>
              <w:jc w:val="left"/>
              <w:rPr>
                <w:rFonts w:ascii="宋体" w:hAnsi="宋体" w:cs="宋体"/>
                <w:szCs w:val="21"/>
              </w:rPr>
            </w:pPr>
            <w:r>
              <w:rPr>
                <w:rFonts w:hint="eastAsia" w:ascii="宋体" w:hAnsi="宋体" w:cs="宋体"/>
                <w:szCs w:val="21"/>
              </w:rPr>
              <w:t xml:space="preserve">（9）单位负责人为同一人或者存在控股、管理关系的不同单位，不得参加同一标段投标或者未划分标段的同一招标项目投标。除单一来源采购项目外，为采购项目提供整体设计、规范编制或者项目管理、监理、检测等服务的供应商，不得再参加该采购项目的其他采购活动。 </w:t>
            </w:r>
          </w:p>
          <w:p>
            <w:pPr>
              <w:spacing w:line="360" w:lineRule="auto"/>
              <w:jc w:val="left"/>
              <w:rPr>
                <w:rFonts w:ascii="宋体" w:hAnsi="宋体" w:cs="宋体"/>
                <w:szCs w:val="21"/>
              </w:rPr>
            </w:pPr>
            <w:r>
              <w:rPr>
                <w:rFonts w:hint="eastAsia" w:ascii="宋体" w:hAnsi="宋体" w:cs="宋体"/>
                <w:szCs w:val="21"/>
              </w:rPr>
              <w:t>（10）供应商在投标前需要提供综合信用评价报告，对信用等级为D级的供应商，拒绝其参与政府采购活动。</w:t>
            </w:r>
          </w:p>
          <w:p>
            <w:pPr>
              <w:spacing w:line="360" w:lineRule="auto"/>
              <w:jc w:val="left"/>
              <w:rPr>
                <w:rFonts w:hint="eastAsia" w:ascii="宋体" w:hAnsi="宋体" w:cs="宋体"/>
                <w:szCs w:val="21"/>
              </w:rPr>
            </w:pPr>
            <w:r>
              <w:rPr>
                <w:rFonts w:hint="eastAsia" w:ascii="宋体" w:hAnsi="宋体" w:cs="宋体"/>
                <w:szCs w:val="21"/>
              </w:rPr>
              <w:t>（11）本项目不接受联合体投标。</w:t>
            </w:r>
          </w:p>
          <w:p>
            <w:pPr>
              <w:spacing w:line="360" w:lineRule="auto"/>
              <w:jc w:val="left"/>
              <w:rPr>
                <w:rFonts w:hint="eastAsia" w:ascii="宋体" w:hAnsi="宋体" w:cs="宋体"/>
                <w:szCs w:val="21"/>
              </w:rPr>
            </w:pPr>
            <w:r>
              <w:rPr>
                <w:rFonts w:hint="eastAsia" w:ascii="宋体" w:hAnsi="宋体" w:cs="宋体"/>
                <w:szCs w:val="21"/>
              </w:rPr>
              <w:t>（12）本项目专门面向中小企业/小微企业。</w:t>
            </w:r>
          </w:p>
          <w:p>
            <w:pPr>
              <w:spacing w:line="360" w:lineRule="auto"/>
              <w:jc w:val="left"/>
              <w:rPr>
                <w:rFonts w:ascii="宋体" w:hAnsi="宋体" w:cs="宋体"/>
                <w:szCs w:val="21"/>
              </w:rPr>
            </w:pPr>
            <w:r>
              <w:rPr>
                <w:rFonts w:hint="eastAsia" w:ascii="宋体" w:hAnsi="宋体" w:cs="宋体"/>
                <w:szCs w:val="21"/>
              </w:rPr>
              <w:t>（13）投标单位需提供《中小企业声明函》。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4</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竞争性磋商文件费用：200元/份。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5</w:t>
            </w:r>
          </w:p>
          <w:p>
            <w:pPr>
              <w:snapToGrid w:val="0"/>
              <w:spacing w:line="360" w:lineRule="auto"/>
              <w:ind w:right="105" w:rightChars="50"/>
              <w:jc w:val="center"/>
              <w:rPr>
                <w:rFonts w:ascii="宋体" w:hAnsi="宋体" w:cs="宋体"/>
                <w:szCs w:val="21"/>
              </w:rPr>
            </w:pPr>
          </w:p>
        </w:tc>
        <w:tc>
          <w:tcPr>
            <w:tcW w:w="9245" w:type="dxa"/>
            <w:vAlign w:val="center"/>
          </w:tcPr>
          <w:p>
            <w:pPr>
              <w:spacing w:line="360" w:lineRule="auto"/>
              <w:rPr>
                <w:rFonts w:ascii="宋体" w:hAnsi="宋体" w:cs="宋体"/>
                <w:b/>
                <w:bCs/>
                <w:szCs w:val="21"/>
              </w:rPr>
            </w:pPr>
            <w:r>
              <w:rPr>
                <w:rFonts w:hint="eastAsia" w:ascii="宋体" w:hAnsi="宋体" w:cs="宋体"/>
                <w:b/>
                <w:bCs/>
                <w:szCs w:val="21"/>
              </w:rPr>
              <w:t>投标保证金：叁万元整(￥30000)</w:t>
            </w:r>
          </w:p>
          <w:p>
            <w:pPr>
              <w:spacing w:line="360" w:lineRule="auto"/>
              <w:rPr>
                <w:rFonts w:ascii="宋体" w:hAnsi="宋体" w:cs="宋体"/>
                <w:b/>
                <w:bCs/>
                <w:szCs w:val="21"/>
              </w:rPr>
            </w:pPr>
            <w:r>
              <w:rPr>
                <w:rFonts w:hint="eastAsia" w:ascii="宋体" w:hAnsi="宋体" w:cs="宋体"/>
                <w:b/>
                <w:bCs/>
                <w:szCs w:val="21"/>
              </w:rPr>
              <w:t>可采用电汇或支票等非现金形式提交。（电汇时请在备注栏内注明项目名称简称投标保证金）；投标保证金缴纳时间：投标保证金应请在投标截止时间前确认到账到达新疆德鸿项目管理咨询有限公司以下账户，投标人凭汇款凭证到新疆德鸿项目管理咨询有限公司财务室开具投标保证金收据，该收据为缴纳投标保证金的唯一凭证。</w:t>
            </w:r>
          </w:p>
          <w:p>
            <w:pPr>
              <w:spacing w:line="360" w:lineRule="auto"/>
              <w:rPr>
                <w:rFonts w:ascii="宋体" w:hAnsi="宋体" w:cs="宋体"/>
                <w:b/>
                <w:bCs/>
                <w:szCs w:val="21"/>
              </w:rPr>
            </w:pPr>
            <w:r>
              <w:rPr>
                <w:rFonts w:hint="eastAsia" w:ascii="宋体" w:hAnsi="宋体" w:cs="宋体"/>
                <w:b/>
                <w:bCs/>
                <w:szCs w:val="21"/>
              </w:rPr>
              <w:t>账户名：新疆德鸿项目管理咨询有限公司哈密分公司</w:t>
            </w:r>
          </w:p>
          <w:p>
            <w:pPr>
              <w:spacing w:line="360" w:lineRule="auto"/>
              <w:rPr>
                <w:rFonts w:ascii="宋体" w:hAnsi="宋体" w:cs="宋体"/>
                <w:sz w:val="24"/>
              </w:rPr>
            </w:pPr>
            <w:r>
              <w:rPr>
                <w:rFonts w:hint="eastAsia" w:ascii="宋体" w:hAnsi="宋体" w:cs="宋体"/>
                <w:b/>
                <w:bCs/>
                <w:szCs w:val="21"/>
              </w:rPr>
              <w:t>开户行：哈密市商业银行股份有限公司广场北路支行</w:t>
            </w:r>
          </w:p>
          <w:p>
            <w:pPr>
              <w:spacing w:line="360" w:lineRule="auto"/>
              <w:rPr>
                <w:rFonts w:ascii="宋体" w:hAnsi="宋体" w:cs="宋体"/>
                <w:szCs w:val="21"/>
              </w:rPr>
            </w:pPr>
            <w:r>
              <w:rPr>
                <w:rFonts w:hint="eastAsia" w:ascii="宋体" w:hAnsi="宋体" w:cs="宋体"/>
                <w:b/>
                <w:bCs/>
                <w:szCs w:val="21"/>
              </w:rPr>
              <w:t>帐  号：908070100100056227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6</w:t>
            </w:r>
          </w:p>
        </w:tc>
        <w:tc>
          <w:tcPr>
            <w:tcW w:w="9245" w:type="dxa"/>
            <w:vAlign w:val="center"/>
          </w:tcPr>
          <w:p>
            <w:pPr>
              <w:spacing w:line="360" w:lineRule="auto"/>
              <w:jc w:val="left"/>
              <w:rPr>
                <w:rFonts w:ascii="宋体" w:hAnsi="宋体" w:cs="宋体"/>
                <w:szCs w:val="21"/>
              </w:rPr>
            </w:pPr>
            <w:r>
              <w:rPr>
                <w:rFonts w:hint="eastAsia" w:ascii="宋体" w:hAnsi="宋体" w:cs="宋体"/>
                <w:szCs w:val="21"/>
                <w:shd w:val="clear"/>
              </w:rPr>
              <w:t>最高限价:1474408.56元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7</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磋商响应文件的数目：正本1份，副本2份，开标一览表1份；</w:t>
            </w:r>
            <w:r>
              <w:rPr>
                <w:rFonts w:hint="eastAsia" w:ascii="宋体" w:hAnsi="宋体" w:cs="宋体"/>
                <w:bCs/>
                <w:szCs w:val="21"/>
              </w:rPr>
              <w:t>电子版文件：1份</w:t>
            </w:r>
            <w:r>
              <w:rPr>
                <w:rFonts w:hint="eastAsia" w:ascii="宋体" w:hAnsi="宋体" w:cs="宋体"/>
                <w:szCs w:val="21"/>
              </w:rPr>
              <w:t>（以U盘形式单独密封提交）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8</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投标人须在规定的时间和地点准时参加竞标，开标现场监督人查验投标人法人代表授权委托书、被授权人身份证及近半年社保缴纳证明、投标保证金收据原件，证件齐全的投标人为合格的投标人，否则将取消其竞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9</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磋商报价：投标人的报价应为所确定的招标范围内的全部工作内容的价格体现。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10</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 xml:space="preserve">磋商响应文件的装订及密封要求： </w:t>
            </w:r>
          </w:p>
          <w:p>
            <w:pPr>
              <w:spacing w:line="360" w:lineRule="auto"/>
              <w:jc w:val="left"/>
              <w:rPr>
                <w:rFonts w:ascii="宋体" w:hAnsi="宋体" w:cs="宋体"/>
                <w:szCs w:val="21"/>
              </w:rPr>
            </w:pPr>
            <w:r>
              <w:rPr>
                <w:rFonts w:hint="eastAsia" w:ascii="宋体" w:hAnsi="宋体" w:cs="宋体"/>
                <w:szCs w:val="21"/>
              </w:rPr>
              <w:t>1、磋商响应文件的装订要求：按</w:t>
            </w:r>
            <w:r>
              <w:rPr>
                <w:rFonts w:hint="eastAsia" w:ascii="宋体" w:hAnsi="宋体" w:cs="宋体"/>
                <w:spacing w:val="5"/>
                <w:szCs w:val="21"/>
              </w:rPr>
              <w:t>商务标、经济标、技术标三部分顺序装订成一册</w:t>
            </w:r>
            <w:r>
              <w:rPr>
                <w:rFonts w:hint="eastAsia" w:ascii="宋体" w:hAnsi="宋体" w:cs="宋体"/>
                <w:szCs w:val="21"/>
              </w:rPr>
              <w:t>，磋商响应文件须以胶装方式装订,装订应牢固、胶粘不易拆散和换页。</w:t>
            </w:r>
          </w:p>
          <w:p>
            <w:pPr>
              <w:spacing w:line="360" w:lineRule="auto"/>
              <w:jc w:val="left"/>
              <w:rPr>
                <w:rFonts w:ascii="宋体" w:hAnsi="宋体" w:cs="宋体"/>
                <w:szCs w:val="21"/>
              </w:rPr>
            </w:pPr>
            <w:r>
              <w:rPr>
                <w:rFonts w:hint="eastAsia" w:ascii="宋体" w:hAnsi="宋体" w:cs="宋体"/>
                <w:szCs w:val="21"/>
              </w:rPr>
              <w:t>2、磋商响应文件的密封要求：</w:t>
            </w:r>
          </w:p>
          <w:p>
            <w:pPr>
              <w:spacing w:line="360" w:lineRule="auto"/>
              <w:jc w:val="left"/>
              <w:rPr>
                <w:rFonts w:ascii="宋体" w:hAnsi="宋体" w:cs="宋体"/>
                <w:bCs/>
                <w:szCs w:val="21"/>
              </w:rPr>
            </w:pPr>
            <w:r>
              <w:rPr>
                <w:rFonts w:hint="eastAsia" w:ascii="宋体" w:hAnsi="宋体" w:cs="宋体"/>
                <w:szCs w:val="21"/>
              </w:rPr>
              <w:t>(1)投标人应将开标一览表、</w:t>
            </w:r>
            <w:r>
              <w:rPr>
                <w:rFonts w:hint="eastAsia" w:ascii="宋体" w:hAnsi="宋体" w:cs="宋体"/>
                <w:bCs/>
                <w:szCs w:val="21"/>
              </w:rPr>
              <w:t>电子版文件</w:t>
            </w:r>
            <w:r>
              <w:rPr>
                <w:rFonts w:hint="eastAsia" w:ascii="宋体" w:hAnsi="宋体" w:cs="宋体"/>
                <w:szCs w:val="21"/>
              </w:rPr>
              <w:t>单独密封提交，封面应注明“开标一览表或</w:t>
            </w:r>
            <w:r>
              <w:rPr>
                <w:rFonts w:hint="eastAsia" w:ascii="宋体" w:hAnsi="宋体" w:cs="宋体"/>
                <w:bCs/>
                <w:szCs w:val="21"/>
              </w:rPr>
              <w:t>电子版文件</w:t>
            </w:r>
            <w:r>
              <w:rPr>
                <w:rFonts w:hint="eastAsia" w:ascii="宋体" w:hAnsi="宋体" w:cs="宋体"/>
                <w:szCs w:val="21"/>
              </w:rPr>
              <w:t>”、“</w:t>
            </w:r>
            <w:r>
              <w:rPr>
                <w:rFonts w:hint="eastAsia" w:ascii="宋体" w:hAnsi="宋体" w:cs="宋体"/>
                <w:bCs/>
                <w:szCs w:val="21"/>
              </w:rPr>
              <w:t>项目名称、项目编号、投标人名称、法定代表人、授权代理人、地址、邮编、联系人、联系电话、编制时间”；</w:t>
            </w:r>
          </w:p>
          <w:p>
            <w:pPr>
              <w:spacing w:line="360" w:lineRule="auto"/>
              <w:jc w:val="left"/>
              <w:rPr>
                <w:rFonts w:ascii="宋体" w:hAnsi="宋体" w:cs="宋体"/>
                <w:szCs w:val="21"/>
              </w:rPr>
            </w:pPr>
            <w:r>
              <w:rPr>
                <w:rFonts w:hint="eastAsia" w:ascii="宋体" w:hAnsi="宋体" w:cs="宋体"/>
                <w:szCs w:val="21"/>
              </w:rPr>
              <w:t>(2)投标人应将磋商响应文件密封，封面应注明“磋商响应文件”、“项目名称、项目编号、投标人名称、法定代表人、授权代理人、地址、邮编、联系人、联系电话、编制时间”。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11</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磋商响应文件的递交截止时间：2022年4 月2</w:t>
            </w:r>
            <w:r>
              <w:rPr>
                <w:rFonts w:hint="eastAsia" w:ascii="宋体" w:hAnsi="宋体" w:cs="宋体"/>
                <w:szCs w:val="21"/>
                <w:lang w:val="en-US" w:eastAsia="zh-CN"/>
              </w:rPr>
              <w:t>8</w:t>
            </w:r>
            <w:r>
              <w:rPr>
                <w:rFonts w:hint="eastAsia" w:ascii="宋体" w:hAnsi="宋体" w:cs="宋体"/>
                <w:szCs w:val="21"/>
              </w:rPr>
              <w:t>日10：00（北京时间）。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12</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磋商响应文件递交地点：新疆哈密市向阳东路东延源泉小区旁小二楼2-20一楼开标厅。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13</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磋商响应时间：2022年4月2</w:t>
            </w:r>
            <w:r>
              <w:rPr>
                <w:rFonts w:hint="eastAsia" w:ascii="宋体" w:hAnsi="宋体" w:cs="宋体"/>
                <w:szCs w:val="21"/>
                <w:lang w:val="en-US" w:eastAsia="zh-CN"/>
              </w:rPr>
              <w:t>8</w:t>
            </w:r>
            <w:r>
              <w:rPr>
                <w:rFonts w:hint="eastAsia" w:ascii="宋体" w:hAnsi="宋体" w:cs="宋体"/>
                <w:szCs w:val="21"/>
              </w:rPr>
              <w:t>日10：00（北京时间）</w:t>
            </w:r>
          </w:p>
          <w:p>
            <w:pPr>
              <w:spacing w:line="360" w:lineRule="auto"/>
              <w:jc w:val="left"/>
              <w:rPr>
                <w:rFonts w:ascii="宋体" w:hAnsi="宋体" w:cs="宋体"/>
                <w:szCs w:val="21"/>
              </w:rPr>
            </w:pPr>
            <w:r>
              <w:rPr>
                <w:rFonts w:hint="eastAsia" w:ascii="宋体" w:hAnsi="宋体" w:cs="宋体"/>
                <w:szCs w:val="21"/>
              </w:rPr>
              <w:t>磋商地点：同磋商响应文件递交地点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14</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成交原则：依据提交最后报价的投标人，由磋商小组采用综合评分法对提交最后报价的投标人的磋商响应文件和最后报价进行综合评分。</w:t>
            </w:r>
          </w:p>
          <w:p>
            <w:pPr>
              <w:spacing w:line="360" w:lineRule="auto"/>
              <w:jc w:val="left"/>
              <w:rPr>
                <w:rFonts w:ascii="宋体" w:hAnsi="宋体" w:cs="宋体"/>
                <w:szCs w:val="21"/>
              </w:rPr>
            </w:pPr>
            <w:r>
              <w:rPr>
                <w:rFonts w:hint="eastAsia" w:ascii="宋体" w:hAnsi="宋体" w:cs="宋体"/>
                <w:szCs w:val="21"/>
              </w:rPr>
              <w:t>综合评分法，是指磋商响应文件满足磋商文件全部实质性要求且按评审因素的量化指标评审得分最高的投标人为成交候选投标人的评审方法。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15</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磋商小组的组建：由3人组成，其中抽取经济1人，工程专家2人。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16</w:t>
            </w:r>
          </w:p>
        </w:tc>
        <w:tc>
          <w:tcPr>
            <w:tcW w:w="9245" w:type="dxa"/>
            <w:vAlign w:val="center"/>
          </w:tcPr>
          <w:p>
            <w:pPr>
              <w:pStyle w:val="2"/>
              <w:tabs>
                <w:tab w:val="left" w:pos="720"/>
                <w:tab w:val="clear" w:pos="540"/>
              </w:tabs>
              <w:rPr>
                <w:rFonts w:ascii="宋体" w:hAnsi="宋体" w:cs="宋体"/>
                <w:color w:val="FF0000"/>
                <w:szCs w:val="21"/>
              </w:rPr>
            </w:pPr>
            <w:r>
              <w:rPr>
                <w:rFonts w:hint="eastAsia" w:ascii="宋体" w:hAnsi="宋体" w:cs="宋体"/>
                <w:bCs/>
                <w:szCs w:val="21"/>
                <w:highlight w:val="none"/>
                <w:shd w:val="clear"/>
              </w:rPr>
              <w:t>付款方式：</w:t>
            </w:r>
            <w:r>
              <w:rPr>
                <w:rFonts w:hint="eastAsia" w:ascii="宋体" w:hAnsi="宋体" w:cs="宋体"/>
                <w:bCs/>
                <w:highlight w:val="none"/>
                <w:shd w:val="clear"/>
              </w:rPr>
              <w:t>合同签订</w:t>
            </w:r>
            <w:r>
              <w:rPr>
                <w:rFonts w:hint="eastAsia" w:ascii="宋体" w:hAnsi="宋体" w:cs="宋体"/>
                <w:bCs/>
                <w:highlight w:val="none"/>
                <w:shd w:val="clear"/>
                <w:lang w:eastAsia="zh-CN"/>
              </w:rPr>
              <w:t>完成</w:t>
            </w:r>
            <w:r>
              <w:rPr>
                <w:rFonts w:hint="eastAsia" w:ascii="宋体" w:hAnsi="宋体" w:cs="宋体"/>
                <w:bCs/>
                <w:highlight w:val="none"/>
                <w:shd w:val="clear"/>
              </w:rPr>
              <w:t>后</w:t>
            </w:r>
            <w:r>
              <w:rPr>
                <w:rFonts w:hint="eastAsia" w:ascii="宋体" w:hAnsi="宋体" w:cs="宋体"/>
                <w:bCs/>
                <w:highlight w:val="none"/>
                <w:shd w:val="clear"/>
                <w:lang w:eastAsia="zh-CN"/>
              </w:rPr>
              <w:t>并在开工前，发包人向承包人按中标价的</w:t>
            </w:r>
            <w:r>
              <w:rPr>
                <w:rFonts w:hint="eastAsia" w:ascii="宋体" w:hAnsi="宋体" w:cs="宋体"/>
                <w:bCs/>
                <w:highlight w:val="none"/>
                <w:shd w:val="clear"/>
                <w:lang w:val="en-US" w:eastAsia="zh-CN"/>
              </w:rPr>
              <w:t>30%</w:t>
            </w:r>
            <w:r>
              <w:rPr>
                <w:rFonts w:hint="eastAsia" w:ascii="宋体" w:hAnsi="宋体" w:cs="宋体"/>
                <w:bCs/>
                <w:highlight w:val="none"/>
                <w:shd w:val="clear"/>
                <w:lang w:eastAsia="zh-CN"/>
              </w:rPr>
              <w:t>支付工程预付款</w:t>
            </w:r>
            <w:r>
              <w:rPr>
                <w:rFonts w:hint="eastAsia" w:ascii="宋体" w:hAnsi="宋体" w:cs="宋体"/>
                <w:bCs/>
                <w:highlight w:val="none"/>
                <w:shd w:val="clear"/>
              </w:rPr>
              <w:t>,</w:t>
            </w:r>
            <w:r>
              <w:rPr>
                <w:rFonts w:hint="eastAsia" w:ascii="宋体" w:hAnsi="宋体" w:cs="宋体"/>
                <w:bCs/>
                <w:szCs w:val="21"/>
                <w:highlight w:val="none"/>
                <w:shd w:val="clear"/>
              </w:rPr>
              <w:t>待工程完成竣工验收、结算，支付至审定价的97%，扣除总额的3%作为质保金，待质保期满后7天内，无质量问题，拨付质保金。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17</w:t>
            </w:r>
          </w:p>
        </w:tc>
        <w:tc>
          <w:tcPr>
            <w:tcW w:w="9245" w:type="dxa"/>
            <w:vAlign w:val="center"/>
          </w:tcPr>
          <w:p>
            <w:pPr>
              <w:spacing w:line="360" w:lineRule="auto"/>
              <w:jc w:val="left"/>
              <w:rPr>
                <w:rFonts w:ascii="宋体" w:hAnsi="宋体" w:cs="宋体"/>
                <w:szCs w:val="21"/>
              </w:rPr>
            </w:pPr>
            <w:r>
              <w:rPr>
                <w:rFonts w:hint="eastAsia" w:ascii="宋体" w:hAnsi="宋体" w:cs="宋体"/>
                <w:color w:val="000000"/>
                <w:szCs w:val="21"/>
              </w:rPr>
              <w:t>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18</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是否允许提交备选方案：不允许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19</w:t>
            </w:r>
          </w:p>
        </w:tc>
        <w:tc>
          <w:tcPr>
            <w:tcW w:w="9245" w:type="dxa"/>
            <w:vAlign w:val="center"/>
          </w:tcPr>
          <w:p>
            <w:pPr>
              <w:spacing w:line="360" w:lineRule="auto"/>
              <w:jc w:val="left"/>
              <w:rPr>
                <w:rFonts w:hint="eastAsia" w:ascii="宋体" w:hAnsi="宋体" w:eastAsia="宋体" w:cs="宋体"/>
                <w:szCs w:val="21"/>
                <w:lang w:eastAsia="zh-CN"/>
              </w:rPr>
            </w:pPr>
            <w:r>
              <w:rPr>
                <w:rFonts w:hint="eastAsia" w:ascii="宋体" w:hAnsi="宋体"/>
                <w:sz w:val="24"/>
              </w:rPr>
              <w:t>踏勘现场：</w:t>
            </w:r>
            <w:r>
              <w:rPr>
                <w:rFonts w:hint="eastAsia" w:ascii="宋体" w:hAnsi="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20</w:t>
            </w:r>
          </w:p>
        </w:tc>
        <w:tc>
          <w:tcPr>
            <w:tcW w:w="9245" w:type="dxa"/>
            <w:vAlign w:val="center"/>
          </w:tcPr>
          <w:p>
            <w:pPr>
              <w:rPr>
                <w:rFonts w:ascii="宋体" w:hAnsi="宋体" w:cs="宋体"/>
                <w:szCs w:val="21"/>
              </w:rPr>
            </w:pPr>
            <w:r>
              <w:rPr>
                <w:rFonts w:hint="eastAsia" w:ascii="宋体" w:hAnsi="宋体" w:cs="宋体"/>
                <w:szCs w:val="21"/>
              </w:rPr>
              <w:t>公告发布媒体：新疆政府采购网http://www.ccgp-xinjiang.gov.cn/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21</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磋商文件的澄清和修改：</w:t>
            </w:r>
          </w:p>
          <w:p>
            <w:pPr>
              <w:spacing w:line="360" w:lineRule="auto"/>
              <w:jc w:val="left"/>
              <w:rPr>
                <w:rFonts w:ascii="宋体" w:hAnsi="宋体" w:cs="宋体"/>
                <w:szCs w:val="21"/>
              </w:rPr>
            </w:pPr>
            <w:r>
              <w:rPr>
                <w:rFonts w:hint="eastAsia" w:ascii="宋体" w:hAnsi="宋体" w:cs="宋体"/>
                <w:szCs w:val="21"/>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投标人；不足5日的，采购人、采购代理机构应当顺延提交首次磋商响应文件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1" w:type="dxa"/>
            <w:vAlign w:val="center"/>
          </w:tcPr>
          <w:p>
            <w:pPr>
              <w:snapToGrid w:val="0"/>
              <w:spacing w:line="360" w:lineRule="auto"/>
              <w:ind w:right="105" w:rightChars="50"/>
              <w:jc w:val="center"/>
              <w:rPr>
                <w:rFonts w:ascii="宋体" w:hAnsi="宋体" w:cs="宋体"/>
                <w:szCs w:val="21"/>
              </w:rPr>
            </w:pPr>
            <w:r>
              <w:rPr>
                <w:rFonts w:hint="eastAsia" w:ascii="宋体" w:hAnsi="宋体" w:cs="宋体"/>
                <w:szCs w:val="21"/>
              </w:rPr>
              <w:t>22</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招标代理服务费：根据发改价格[2015]299号文件及计价格[2002]1980号文件计算的招标代理服务收费标准</w:t>
            </w:r>
            <w:r>
              <w:rPr>
                <w:rFonts w:hint="eastAsia" w:ascii="宋体" w:hAnsi="宋体" w:cs="宋体"/>
                <w:szCs w:val="21"/>
                <w:lang w:eastAsia="zh-CN"/>
              </w:rPr>
              <w:t>收</w:t>
            </w:r>
            <w:r>
              <w:rPr>
                <w:rFonts w:hint="eastAsia" w:ascii="宋体" w:hAnsi="宋体" w:cs="宋体"/>
                <w:szCs w:val="21"/>
              </w:rPr>
              <w:t>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51" w:type="dxa"/>
            <w:vAlign w:val="center"/>
          </w:tcPr>
          <w:p>
            <w:pPr>
              <w:snapToGrid w:val="0"/>
              <w:spacing w:line="360" w:lineRule="auto"/>
              <w:ind w:right="105" w:rightChars="50"/>
              <w:jc w:val="center"/>
              <w:rPr>
                <w:rFonts w:hint="eastAsia" w:ascii="宋体" w:hAnsi="宋体" w:cs="宋体"/>
                <w:szCs w:val="21"/>
              </w:rPr>
            </w:pPr>
            <w:r>
              <w:rPr>
                <w:rFonts w:hint="eastAsia" w:ascii="宋体" w:hAnsi="宋体" w:cs="宋体"/>
                <w:szCs w:val="21"/>
              </w:rPr>
              <w:t>23</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无论竞标结果如何，投标人均应自行承担竞标所需一切费用。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51" w:type="dxa"/>
            <w:vAlign w:val="center"/>
          </w:tcPr>
          <w:p>
            <w:pPr>
              <w:snapToGrid w:val="0"/>
              <w:spacing w:line="360" w:lineRule="auto"/>
              <w:ind w:right="105" w:rightChars="50"/>
              <w:jc w:val="center"/>
              <w:rPr>
                <w:rFonts w:hint="eastAsia" w:ascii="宋体" w:hAnsi="宋体" w:cs="宋体"/>
                <w:szCs w:val="21"/>
              </w:rPr>
            </w:pPr>
            <w:r>
              <w:rPr>
                <w:rFonts w:hint="eastAsia" w:ascii="宋体" w:hAnsi="宋体" w:cs="宋体"/>
                <w:szCs w:val="21"/>
              </w:rPr>
              <w:t>24</w:t>
            </w:r>
          </w:p>
        </w:tc>
        <w:tc>
          <w:tcPr>
            <w:tcW w:w="9245" w:type="dxa"/>
            <w:vAlign w:val="center"/>
          </w:tcPr>
          <w:p>
            <w:pPr>
              <w:spacing w:line="360" w:lineRule="auto"/>
              <w:jc w:val="left"/>
              <w:rPr>
                <w:rFonts w:ascii="宋体" w:hAnsi="宋体" w:cs="宋体"/>
                <w:szCs w:val="21"/>
              </w:rPr>
            </w:pPr>
            <w:r>
              <w:rPr>
                <w:rFonts w:hint="eastAsia" w:ascii="宋体" w:hAnsi="宋体" w:cs="宋体"/>
                <w:szCs w:val="21"/>
              </w:rPr>
              <w:t>投标有效期：投标截止后</w:t>
            </w:r>
            <w:r>
              <w:rPr>
                <w:rFonts w:ascii="宋体" w:hAnsi="宋体" w:cs="宋体"/>
                <w:szCs w:val="21"/>
              </w:rPr>
              <w:t>9</w:t>
            </w:r>
            <w:r>
              <w:rPr>
                <w:rFonts w:hint="eastAsia" w:ascii="宋体" w:hAnsi="宋体" w:cs="宋体"/>
                <w:szCs w:val="21"/>
              </w:rPr>
              <w:t>0天（日历日）。</w:t>
            </w:r>
          </w:p>
        </w:tc>
      </w:tr>
    </w:tbl>
    <w:p>
      <w:pPr>
        <w:snapToGrid w:val="0"/>
        <w:spacing w:line="360" w:lineRule="auto"/>
        <w:ind w:firstLine="200"/>
        <w:jc w:val="center"/>
        <w:rPr>
          <w:rFonts w:ascii="宋体" w:hAnsi="宋体" w:cs="宋体"/>
          <w:b/>
          <w:sz w:val="30"/>
          <w:szCs w:val="30"/>
        </w:rPr>
      </w:pPr>
    </w:p>
    <w:p>
      <w:pPr>
        <w:snapToGrid w:val="0"/>
        <w:spacing w:line="500" w:lineRule="exact"/>
        <w:jc w:val="center"/>
        <w:rPr>
          <w:rFonts w:ascii="宋体" w:hAnsi="宋体" w:cs="宋体"/>
          <w:szCs w:val="21"/>
        </w:rPr>
      </w:pPr>
      <w:r>
        <w:rPr>
          <w:rFonts w:hint="eastAsia" w:ascii="宋体" w:hAnsi="宋体" w:cs="宋体"/>
          <w:b/>
          <w:szCs w:val="21"/>
        </w:rPr>
        <w:br w:type="page"/>
      </w:r>
      <w:r>
        <w:rPr>
          <w:rFonts w:hint="eastAsia" w:ascii="宋体" w:hAnsi="宋体" w:cs="宋体"/>
          <w:b/>
          <w:szCs w:val="21"/>
        </w:rPr>
        <w:t>一、总则</w:t>
      </w:r>
    </w:p>
    <w:p>
      <w:pPr>
        <w:snapToGrid w:val="0"/>
        <w:spacing w:line="500" w:lineRule="exact"/>
        <w:ind w:firstLine="420" w:firstLineChars="200"/>
        <w:rPr>
          <w:rFonts w:ascii="宋体" w:hAnsi="宋体" w:cs="宋体"/>
          <w:szCs w:val="21"/>
        </w:rPr>
      </w:pPr>
      <w:r>
        <w:rPr>
          <w:rFonts w:hint="eastAsia" w:ascii="宋体" w:hAnsi="宋体" w:cs="宋体"/>
          <w:szCs w:val="21"/>
        </w:rPr>
        <w:t>（一）总则</w:t>
      </w:r>
    </w:p>
    <w:p>
      <w:pPr>
        <w:snapToGrid w:val="0"/>
        <w:spacing w:line="500" w:lineRule="exact"/>
        <w:ind w:firstLine="420" w:firstLineChars="200"/>
        <w:rPr>
          <w:rFonts w:ascii="宋体" w:hAnsi="宋体" w:cs="宋体"/>
          <w:szCs w:val="21"/>
        </w:rPr>
      </w:pPr>
      <w:r>
        <w:rPr>
          <w:rFonts w:hint="eastAsia" w:ascii="宋体" w:hAnsi="宋体" w:cs="宋体"/>
          <w:szCs w:val="21"/>
        </w:rPr>
        <w:t>1.  项目说明</w:t>
      </w:r>
    </w:p>
    <w:p>
      <w:pPr>
        <w:snapToGrid w:val="0"/>
        <w:spacing w:line="500" w:lineRule="exact"/>
        <w:ind w:firstLine="420" w:firstLineChars="200"/>
        <w:rPr>
          <w:rFonts w:ascii="宋体" w:hAnsi="宋体" w:cs="宋体"/>
          <w:szCs w:val="21"/>
        </w:rPr>
      </w:pPr>
      <w:r>
        <w:rPr>
          <w:rFonts w:hint="eastAsia" w:ascii="宋体" w:hAnsi="宋体" w:cs="宋体"/>
          <w:szCs w:val="21"/>
        </w:rPr>
        <w:t>1.1 本项目的说明详见投标人须知前附表（以下简称“前附表”）所述。</w:t>
      </w:r>
    </w:p>
    <w:p>
      <w:pPr>
        <w:snapToGrid w:val="0"/>
        <w:spacing w:line="500" w:lineRule="exact"/>
        <w:ind w:firstLine="420" w:firstLineChars="200"/>
        <w:rPr>
          <w:rFonts w:ascii="宋体" w:hAnsi="宋体" w:cs="宋体"/>
          <w:szCs w:val="21"/>
        </w:rPr>
      </w:pPr>
      <w:r>
        <w:rPr>
          <w:rFonts w:hint="eastAsia" w:ascii="宋体" w:hAnsi="宋体" w:cs="宋体"/>
          <w:szCs w:val="21"/>
        </w:rPr>
        <w:t>1.2 本招标项目已经批准，采购单位为巴里坤哈萨克自治县文化体育广播电视和旅游局，该项目已具备招标条件。</w:t>
      </w:r>
    </w:p>
    <w:p>
      <w:pPr>
        <w:snapToGrid w:val="0"/>
        <w:spacing w:line="500" w:lineRule="exact"/>
        <w:ind w:firstLine="420" w:firstLineChars="200"/>
        <w:rPr>
          <w:rFonts w:ascii="宋体" w:hAnsi="宋体" w:cs="宋体"/>
          <w:szCs w:val="21"/>
        </w:rPr>
      </w:pPr>
      <w:r>
        <w:rPr>
          <w:rFonts w:hint="eastAsia" w:ascii="宋体" w:hAnsi="宋体" w:cs="宋体"/>
          <w:szCs w:val="21"/>
        </w:rPr>
        <w:t>1.3参加竞标的投标人必须符合投标人须知前附表说明，通过资格后审的竞标人为合格的竞标人。合格的竞标人必须符合磋商文件中对竞标人的规定，且具备独立完成本项目的能力，成交后不允许转包、违法分包。</w:t>
      </w:r>
    </w:p>
    <w:p>
      <w:pPr>
        <w:snapToGrid w:val="0"/>
        <w:spacing w:line="500" w:lineRule="exact"/>
        <w:ind w:firstLine="420" w:firstLineChars="200"/>
        <w:rPr>
          <w:rFonts w:ascii="宋体" w:hAnsi="宋体" w:cs="宋体"/>
          <w:szCs w:val="21"/>
        </w:rPr>
      </w:pPr>
      <w:r>
        <w:rPr>
          <w:rFonts w:hint="eastAsia" w:ascii="宋体" w:hAnsi="宋体" w:cs="宋体"/>
          <w:szCs w:val="21"/>
        </w:rPr>
        <w:t>1.4 资格后审包括下列的内容</w:t>
      </w:r>
    </w:p>
    <w:p>
      <w:pPr>
        <w:snapToGrid w:val="0"/>
        <w:spacing w:line="500" w:lineRule="exact"/>
        <w:ind w:firstLine="420" w:firstLineChars="200"/>
        <w:rPr>
          <w:rFonts w:ascii="宋体" w:hAnsi="宋体" w:cs="宋体"/>
          <w:szCs w:val="21"/>
        </w:rPr>
      </w:pPr>
      <w:r>
        <w:rPr>
          <w:rFonts w:hint="eastAsia" w:ascii="宋体" w:hAnsi="宋体" w:cs="宋体"/>
          <w:szCs w:val="21"/>
        </w:rPr>
        <w:t>1.4.1 竞标人具有独立法人资格并满足“前附表”规定的资格要求 ；</w:t>
      </w:r>
    </w:p>
    <w:p>
      <w:pPr>
        <w:snapToGrid w:val="0"/>
        <w:spacing w:line="500" w:lineRule="exact"/>
        <w:ind w:firstLine="420" w:firstLineChars="200"/>
        <w:rPr>
          <w:rFonts w:ascii="宋体" w:hAnsi="宋体" w:cs="宋体"/>
          <w:szCs w:val="21"/>
        </w:rPr>
      </w:pPr>
      <w:r>
        <w:rPr>
          <w:rFonts w:hint="eastAsia" w:ascii="宋体" w:hAnsi="宋体" w:cs="宋体"/>
          <w:szCs w:val="21"/>
        </w:rPr>
        <w:t>1.4.2 磋商响应文件有要求竞标人法定代表人或其授权代表签字或盖章和加盖竞标人公章要求的，竞标人须按要求盖章或签字；</w:t>
      </w:r>
    </w:p>
    <w:p>
      <w:pPr>
        <w:snapToGrid w:val="0"/>
        <w:spacing w:line="500" w:lineRule="exact"/>
        <w:ind w:firstLine="420" w:firstLineChars="200"/>
        <w:rPr>
          <w:rFonts w:ascii="宋体" w:hAnsi="宋体" w:cs="宋体"/>
          <w:szCs w:val="21"/>
        </w:rPr>
      </w:pPr>
      <w:r>
        <w:rPr>
          <w:rFonts w:hint="eastAsia" w:ascii="宋体" w:hAnsi="宋体" w:cs="宋体"/>
          <w:szCs w:val="21"/>
        </w:rPr>
        <w:t>1.4.3工期符合磋商文件要求；</w:t>
      </w:r>
    </w:p>
    <w:p>
      <w:pPr>
        <w:snapToGrid w:val="0"/>
        <w:spacing w:line="500" w:lineRule="exact"/>
        <w:ind w:firstLine="420" w:firstLineChars="200"/>
        <w:rPr>
          <w:rFonts w:ascii="宋体" w:hAnsi="宋体" w:cs="宋体"/>
          <w:szCs w:val="21"/>
        </w:rPr>
      </w:pPr>
      <w:r>
        <w:rPr>
          <w:rFonts w:hint="eastAsia" w:ascii="宋体" w:hAnsi="宋体" w:cs="宋体"/>
          <w:szCs w:val="21"/>
        </w:rPr>
        <w:t>1.4.4 磋商地点符合磋商文件规定；</w:t>
      </w:r>
    </w:p>
    <w:p>
      <w:pPr>
        <w:snapToGrid w:val="0"/>
        <w:spacing w:line="500" w:lineRule="exact"/>
        <w:ind w:firstLine="420" w:firstLineChars="200"/>
        <w:rPr>
          <w:rFonts w:ascii="宋体" w:hAnsi="宋体" w:cs="宋体"/>
          <w:szCs w:val="21"/>
        </w:rPr>
      </w:pPr>
      <w:r>
        <w:rPr>
          <w:rFonts w:hint="eastAsia" w:ascii="宋体" w:hAnsi="宋体" w:cs="宋体"/>
          <w:szCs w:val="21"/>
        </w:rPr>
        <w:t>1.4.5 磋商内容、质量满足磋商文件要求；</w:t>
      </w:r>
    </w:p>
    <w:p>
      <w:pPr>
        <w:snapToGrid w:val="0"/>
        <w:spacing w:line="500" w:lineRule="exact"/>
        <w:ind w:firstLine="420" w:firstLineChars="200"/>
        <w:rPr>
          <w:rFonts w:ascii="宋体" w:hAnsi="宋体" w:cs="宋体"/>
          <w:szCs w:val="21"/>
        </w:rPr>
      </w:pPr>
      <w:r>
        <w:rPr>
          <w:rFonts w:hint="eastAsia" w:ascii="宋体" w:hAnsi="宋体" w:cs="宋体"/>
          <w:szCs w:val="21"/>
        </w:rPr>
        <w:t>1.4.6 磋商响应文件中所提条件均符合采购人的要求；</w:t>
      </w:r>
    </w:p>
    <w:p>
      <w:pPr>
        <w:snapToGrid w:val="0"/>
        <w:spacing w:line="500" w:lineRule="exact"/>
        <w:ind w:firstLine="420" w:firstLineChars="200"/>
        <w:rPr>
          <w:rFonts w:ascii="宋体" w:hAnsi="宋体" w:cs="宋体"/>
          <w:szCs w:val="21"/>
        </w:rPr>
      </w:pPr>
      <w:r>
        <w:rPr>
          <w:rFonts w:hint="eastAsia" w:ascii="宋体" w:hAnsi="宋体" w:cs="宋体"/>
          <w:szCs w:val="21"/>
        </w:rPr>
        <w:t>1.4.7 符合磋商文件中规定的其他实质性要求；</w:t>
      </w:r>
    </w:p>
    <w:p>
      <w:pPr>
        <w:snapToGrid w:val="0"/>
        <w:spacing w:line="500" w:lineRule="exact"/>
        <w:ind w:firstLine="420" w:firstLineChars="200"/>
        <w:rPr>
          <w:rFonts w:ascii="宋体" w:hAnsi="宋体" w:cs="宋体"/>
          <w:szCs w:val="21"/>
        </w:rPr>
      </w:pPr>
      <w:r>
        <w:rPr>
          <w:rFonts w:hint="eastAsia" w:ascii="宋体" w:hAnsi="宋体" w:cs="宋体"/>
          <w:szCs w:val="21"/>
        </w:rPr>
        <w:t>1.4.8 无法律、法规和规章禁止的其他情况。</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（二）采购方式</w:t>
      </w:r>
    </w:p>
    <w:p>
      <w:pPr>
        <w:snapToGrid w:val="0"/>
        <w:spacing w:line="500" w:lineRule="exact"/>
        <w:ind w:firstLine="420" w:firstLineChars="200"/>
        <w:rPr>
          <w:rFonts w:ascii="宋体" w:hAnsi="宋体" w:cs="宋体"/>
          <w:szCs w:val="21"/>
        </w:rPr>
      </w:pPr>
      <w:r>
        <w:rPr>
          <w:rFonts w:hint="eastAsia" w:ascii="宋体" w:hAnsi="宋体" w:cs="宋体"/>
          <w:szCs w:val="21"/>
        </w:rPr>
        <w:t>2.1 本项目采取</w:t>
      </w:r>
      <w:r>
        <w:rPr>
          <w:rFonts w:hint="eastAsia" w:ascii="宋体" w:hAnsi="宋体" w:cs="宋体"/>
          <w:szCs w:val="21"/>
          <w:u w:val="single"/>
        </w:rPr>
        <w:t>竞争性磋商方式</w:t>
      </w:r>
      <w:r>
        <w:rPr>
          <w:rFonts w:hint="eastAsia" w:ascii="宋体" w:hAnsi="宋体" w:cs="宋体"/>
          <w:szCs w:val="21"/>
        </w:rPr>
        <w:t>采购。</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（三）合格的投标人</w:t>
      </w:r>
    </w:p>
    <w:p>
      <w:pPr>
        <w:snapToGrid w:val="0"/>
        <w:spacing w:line="500" w:lineRule="exact"/>
        <w:ind w:firstLine="420" w:firstLineChars="200"/>
        <w:rPr>
          <w:rFonts w:ascii="宋体" w:hAnsi="宋体" w:cs="宋体"/>
          <w:szCs w:val="21"/>
        </w:rPr>
      </w:pPr>
      <w:r>
        <w:rPr>
          <w:rFonts w:hint="eastAsia" w:ascii="宋体" w:hAnsi="宋体" w:cs="宋体"/>
          <w:szCs w:val="21"/>
        </w:rPr>
        <w:t>3.1 合格的投标人必须是有能力按照本竞争性磋商文件规定的要求且具有独立承担民事等法律责任的法人或其它经济组织，本次磋商不接受联合体投标。</w:t>
      </w:r>
    </w:p>
    <w:p>
      <w:pPr>
        <w:snapToGrid w:val="0"/>
        <w:spacing w:line="500" w:lineRule="exact"/>
        <w:ind w:firstLine="420" w:firstLineChars="200"/>
        <w:rPr>
          <w:rFonts w:ascii="宋体" w:hAnsi="宋体" w:cs="宋体"/>
          <w:szCs w:val="21"/>
        </w:rPr>
      </w:pPr>
      <w:r>
        <w:rPr>
          <w:rFonts w:hint="eastAsia" w:ascii="宋体" w:hAnsi="宋体" w:cs="宋体"/>
          <w:szCs w:val="21"/>
        </w:rPr>
        <w:t>3.2 合格的投标人必须符合竞争性磋商文件第一部分《竞争性磋商公告》合格投标人基本条件规定。</w:t>
      </w:r>
    </w:p>
    <w:p>
      <w:pPr>
        <w:snapToGrid w:val="0"/>
        <w:spacing w:line="500" w:lineRule="exact"/>
        <w:ind w:firstLine="420" w:firstLineChars="200"/>
        <w:rPr>
          <w:rFonts w:ascii="宋体" w:hAnsi="宋体" w:cs="宋体"/>
          <w:szCs w:val="21"/>
        </w:rPr>
      </w:pPr>
      <w:r>
        <w:rPr>
          <w:rFonts w:hint="eastAsia" w:ascii="宋体" w:hAnsi="宋体" w:cs="宋体"/>
          <w:szCs w:val="21"/>
        </w:rPr>
        <w:t>3.3 合格的投标人应遵守中华人民共和国《政府采购法》、《合同法》和《反不正当竞争法》等有关法律、法规。</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（四）适用法律</w:t>
      </w:r>
    </w:p>
    <w:p>
      <w:pPr>
        <w:pStyle w:val="12"/>
        <w:snapToGrid w:val="0"/>
        <w:spacing w:line="500" w:lineRule="exact"/>
        <w:ind w:left="0" w:leftChars="0" w:firstLine="420" w:firstLineChars="200"/>
        <w:rPr>
          <w:rFonts w:ascii="宋体" w:hAnsi="宋体" w:cs="宋体"/>
          <w:sz w:val="21"/>
          <w:szCs w:val="21"/>
        </w:rPr>
      </w:pPr>
      <w:r>
        <w:rPr>
          <w:rFonts w:hint="eastAsia" w:ascii="宋体" w:hAnsi="宋体" w:cs="宋体"/>
          <w:b w:val="0"/>
          <w:sz w:val="21"/>
          <w:szCs w:val="21"/>
          <w:u w:val="none"/>
        </w:rPr>
        <w:t>4.1</w:t>
      </w:r>
      <w:r>
        <w:rPr>
          <w:rFonts w:hint="eastAsia" w:ascii="宋体" w:hAnsi="宋体" w:cs="宋体"/>
          <w:sz w:val="21"/>
          <w:szCs w:val="21"/>
          <w:u w:val="none"/>
        </w:rPr>
        <w:t xml:space="preserve"> 本次磋商及由本次磋商产生的合同受中华人民共和国的相关法律、法规制约和保护。</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（五）竞争性磋商费用</w:t>
      </w:r>
    </w:p>
    <w:p>
      <w:pPr>
        <w:snapToGrid w:val="0"/>
        <w:spacing w:line="500" w:lineRule="exact"/>
        <w:ind w:firstLine="420" w:firstLineChars="200"/>
        <w:jc w:val="left"/>
        <w:rPr>
          <w:rFonts w:ascii="宋体" w:hAnsi="宋体" w:cs="宋体"/>
          <w:szCs w:val="21"/>
        </w:rPr>
      </w:pPr>
      <w:r>
        <w:rPr>
          <w:rFonts w:hint="eastAsia" w:ascii="宋体" w:hAnsi="宋体" w:cs="宋体"/>
          <w:szCs w:val="21"/>
        </w:rPr>
        <w:t>5.1 投标人应自行承担所有参加磋商有关的费用。</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（六）竞争性磋商文件的约束力</w:t>
      </w:r>
    </w:p>
    <w:p>
      <w:pPr>
        <w:snapToGrid w:val="0"/>
        <w:spacing w:line="500" w:lineRule="exact"/>
        <w:ind w:firstLine="420" w:firstLineChars="200"/>
        <w:rPr>
          <w:rFonts w:ascii="宋体" w:hAnsi="宋体" w:cs="宋体"/>
          <w:szCs w:val="21"/>
        </w:rPr>
      </w:pPr>
      <w:r>
        <w:rPr>
          <w:rFonts w:hint="eastAsia" w:ascii="宋体" w:hAnsi="宋体" w:cs="宋体"/>
          <w:szCs w:val="21"/>
        </w:rPr>
        <w:t>6.1 投标人一旦报名参加本项目竞标，即被认为接受了本竞争性磋商文件中的所有条件和规定。</w:t>
      </w:r>
    </w:p>
    <w:p>
      <w:pPr>
        <w:snapToGrid w:val="0"/>
        <w:spacing w:line="500" w:lineRule="exact"/>
        <w:ind w:firstLine="200"/>
        <w:rPr>
          <w:rFonts w:ascii="宋体" w:hAnsi="宋体" w:cs="宋体"/>
          <w:b/>
          <w:szCs w:val="21"/>
        </w:rPr>
      </w:pPr>
    </w:p>
    <w:p>
      <w:pPr>
        <w:snapToGrid w:val="0"/>
        <w:spacing w:line="500" w:lineRule="exact"/>
        <w:ind w:firstLine="200"/>
        <w:jc w:val="center"/>
        <w:rPr>
          <w:rFonts w:ascii="宋体" w:hAnsi="宋体" w:cs="宋体"/>
          <w:b/>
          <w:szCs w:val="21"/>
        </w:rPr>
      </w:pPr>
      <w:r>
        <w:rPr>
          <w:rFonts w:hint="eastAsia" w:ascii="宋体" w:hAnsi="宋体" w:cs="宋体"/>
          <w:b/>
          <w:szCs w:val="21"/>
        </w:rPr>
        <w:t>二、竞争性磋商文件</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（七）竞争性磋商文件构成</w:t>
      </w:r>
    </w:p>
    <w:p>
      <w:pPr>
        <w:snapToGrid w:val="0"/>
        <w:spacing w:line="500" w:lineRule="exact"/>
        <w:ind w:firstLine="420" w:firstLineChars="200"/>
        <w:jc w:val="left"/>
        <w:rPr>
          <w:rFonts w:ascii="宋体" w:hAnsi="宋体" w:cs="宋体"/>
          <w:szCs w:val="21"/>
        </w:rPr>
      </w:pPr>
      <w:r>
        <w:rPr>
          <w:rFonts w:hint="eastAsia" w:ascii="宋体" w:hAnsi="宋体" w:cs="宋体"/>
          <w:bCs/>
          <w:szCs w:val="21"/>
        </w:rPr>
        <w:t>7.1 竞争性磋商文件包括内容：</w:t>
      </w:r>
    </w:p>
    <w:p>
      <w:pPr>
        <w:snapToGrid w:val="0"/>
        <w:spacing w:line="500" w:lineRule="exact"/>
        <w:ind w:firstLine="420" w:firstLineChars="200"/>
        <w:jc w:val="left"/>
        <w:rPr>
          <w:rFonts w:ascii="宋体" w:hAnsi="宋体" w:cs="宋体"/>
          <w:szCs w:val="21"/>
        </w:rPr>
      </w:pPr>
      <w:r>
        <w:rPr>
          <w:rFonts w:hint="eastAsia" w:ascii="宋体" w:hAnsi="宋体" w:cs="宋体"/>
          <w:szCs w:val="21"/>
        </w:rPr>
        <w:t>第一部分 竞争性磋商公告</w:t>
      </w:r>
    </w:p>
    <w:p>
      <w:pPr>
        <w:snapToGrid w:val="0"/>
        <w:spacing w:line="500" w:lineRule="exact"/>
        <w:ind w:firstLine="420" w:firstLineChars="200"/>
        <w:jc w:val="left"/>
        <w:rPr>
          <w:rFonts w:ascii="宋体" w:hAnsi="宋体" w:cs="宋体"/>
          <w:szCs w:val="21"/>
        </w:rPr>
      </w:pPr>
      <w:r>
        <w:rPr>
          <w:rFonts w:hint="eastAsia" w:ascii="宋体" w:hAnsi="宋体" w:cs="宋体"/>
          <w:szCs w:val="21"/>
        </w:rPr>
        <w:t>第二部分 投标人须知前附表及须知</w:t>
      </w:r>
    </w:p>
    <w:p>
      <w:pPr>
        <w:snapToGrid w:val="0"/>
        <w:spacing w:line="500" w:lineRule="exact"/>
        <w:ind w:firstLine="420" w:firstLineChars="200"/>
        <w:jc w:val="left"/>
        <w:rPr>
          <w:rFonts w:ascii="宋体" w:hAnsi="宋体" w:cs="宋体"/>
          <w:szCs w:val="21"/>
        </w:rPr>
      </w:pPr>
      <w:r>
        <w:rPr>
          <w:rFonts w:hint="eastAsia" w:ascii="宋体" w:hAnsi="宋体" w:cs="宋体"/>
          <w:szCs w:val="21"/>
        </w:rPr>
        <w:t>一.总则</w:t>
      </w:r>
    </w:p>
    <w:p>
      <w:pPr>
        <w:snapToGrid w:val="0"/>
        <w:spacing w:line="500" w:lineRule="exact"/>
        <w:ind w:firstLine="420" w:firstLineChars="200"/>
        <w:jc w:val="left"/>
        <w:rPr>
          <w:rFonts w:ascii="宋体" w:hAnsi="宋体" w:cs="宋体"/>
          <w:szCs w:val="21"/>
        </w:rPr>
      </w:pPr>
      <w:r>
        <w:rPr>
          <w:rFonts w:hint="eastAsia" w:ascii="宋体" w:hAnsi="宋体" w:cs="宋体"/>
          <w:szCs w:val="21"/>
        </w:rPr>
        <w:t>二.竞争性磋商文件</w:t>
      </w:r>
    </w:p>
    <w:p>
      <w:pPr>
        <w:snapToGrid w:val="0"/>
        <w:spacing w:line="500" w:lineRule="exact"/>
        <w:ind w:firstLine="420" w:firstLineChars="200"/>
        <w:jc w:val="left"/>
        <w:rPr>
          <w:rFonts w:ascii="宋体" w:hAnsi="宋体" w:cs="宋体"/>
          <w:szCs w:val="21"/>
        </w:rPr>
      </w:pPr>
      <w:r>
        <w:rPr>
          <w:rFonts w:hint="eastAsia" w:ascii="宋体" w:hAnsi="宋体" w:cs="宋体"/>
          <w:szCs w:val="21"/>
        </w:rPr>
        <w:t>三.磋商响应文件的编制</w:t>
      </w:r>
    </w:p>
    <w:p>
      <w:pPr>
        <w:snapToGrid w:val="0"/>
        <w:spacing w:line="500" w:lineRule="exact"/>
        <w:ind w:firstLine="420" w:firstLineChars="200"/>
        <w:jc w:val="left"/>
        <w:rPr>
          <w:rFonts w:ascii="宋体" w:hAnsi="宋体" w:cs="宋体"/>
          <w:szCs w:val="21"/>
        </w:rPr>
      </w:pPr>
      <w:r>
        <w:rPr>
          <w:rFonts w:hint="eastAsia" w:ascii="宋体" w:hAnsi="宋体" w:cs="宋体"/>
          <w:szCs w:val="21"/>
        </w:rPr>
        <w:t>四.磋商响应文件的递交</w:t>
      </w:r>
    </w:p>
    <w:p>
      <w:pPr>
        <w:snapToGrid w:val="0"/>
        <w:spacing w:line="500" w:lineRule="exact"/>
        <w:ind w:firstLine="420" w:firstLineChars="200"/>
        <w:jc w:val="left"/>
        <w:rPr>
          <w:rFonts w:ascii="宋体" w:hAnsi="宋体" w:cs="宋体"/>
          <w:szCs w:val="21"/>
        </w:rPr>
      </w:pPr>
      <w:r>
        <w:rPr>
          <w:rFonts w:hint="eastAsia" w:ascii="宋体" w:hAnsi="宋体" w:cs="宋体"/>
          <w:szCs w:val="21"/>
        </w:rPr>
        <w:t>五.无效标、废标条款</w:t>
      </w:r>
    </w:p>
    <w:p>
      <w:pPr>
        <w:snapToGrid w:val="0"/>
        <w:spacing w:line="500" w:lineRule="exact"/>
        <w:ind w:firstLine="420" w:firstLineChars="200"/>
        <w:jc w:val="left"/>
        <w:rPr>
          <w:rFonts w:ascii="宋体" w:hAnsi="宋体" w:cs="宋体"/>
          <w:szCs w:val="21"/>
        </w:rPr>
      </w:pPr>
      <w:r>
        <w:rPr>
          <w:rFonts w:hint="eastAsia" w:ascii="宋体" w:hAnsi="宋体" w:cs="宋体"/>
          <w:szCs w:val="21"/>
        </w:rPr>
        <w:t>六.磋商程序及最终报价</w:t>
      </w:r>
    </w:p>
    <w:p>
      <w:pPr>
        <w:snapToGrid w:val="0"/>
        <w:spacing w:line="500" w:lineRule="exact"/>
        <w:ind w:firstLine="420" w:firstLineChars="200"/>
        <w:jc w:val="left"/>
        <w:rPr>
          <w:rFonts w:ascii="宋体" w:hAnsi="宋体" w:cs="宋体"/>
          <w:szCs w:val="21"/>
        </w:rPr>
      </w:pPr>
      <w:r>
        <w:rPr>
          <w:rFonts w:hint="eastAsia" w:ascii="宋体" w:hAnsi="宋体" w:cs="宋体"/>
          <w:szCs w:val="21"/>
        </w:rPr>
        <w:t>七.评标办法</w:t>
      </w:r>
    </w:p>
    <w:p>
      <w:pPr>
        <w:snapToGrid w:val="0"/>
        <w:spacing w:line="500" w:lineRule="exact"/>
        <w:ind w:firstLine="420" w:firstLineChars="200"/>
        <w:jc w:val="left"/>
        <w:rPr>
          <w:rFonts w:ascii="宋体" w:hAnsi="宋体" w:cs="宋体"/>
          <w:szCs w:val="21"/>
        </w:rPr>
      </w:pPr>
      <w:r>
        <w:rPr>
          <w:rFonts w:hint="eastAsia" w:ascii="宋体" w:hAnsi="宋体" w:cs="宋体"/>
          <w:szCs w:val="21"/>
        </w:rPr>
        <w:t>八.成交及合同签订</w:t>
      </w:r>
    </w:p>
    <w:p>
      <w:pPr>
        <w:snapToGrid w:val="0"/>
        <w:spacing w:line="500" w:lineRule="exact"/>
        <w:ind w:firstLine="420" w:firstLineChars="200"/>
        <w:jc w:val="left"/>
        <w:rPr>
          <w:rFonts w:ascii="宋体" w:hAnsi="宋体" w:cs="宋体"/>
          <w:szCs w:val="21"/>
        </w:rPr>
      </w:pPr>
      <w:r>
        <w:rPr>
          <w:rFonts w:hint="eastAsia" w:ascii="宋体" w:hAnsi="宋体" w:cs="宋体"/>
          <w:szCs w:val="21"/>
        </w:rPr>
        <w:t>九.验收及付款</w:t>
      </w:r>
    </w:p>
    <w:p>
      <w:pPr>
        <w:snapToGrid w:val="0"/>
        <w:spacing w:line="500" w:lineRule="exact"/>
        <w:ind w:firstLine="420" w:firstLineChars="200"/>
        <w:jc w:val="left"/>
        <w:rPr>
          <w:rFonts w:ascii="宋体" w:hAnsi="宋体" w:cs="宋体"/>
          <w:szCs w:val="21"/>
        </w:rPr>
      </w:pPr>
      <w:r>
        <w:rPr>
          <w:rFonts w:hint="eastAsia" w:ascii="宋体" w:hAnsi="宋体" w:cs="宋体"/>
          <w:szCs w:val="21"/>
        </w:rPr>
        <w:t>十.质疑与投诉</w:t>
      </w:r>
    </w:p>
    <w:p>
      <w:pPr>
        <w:snapToGrid w:val="0"/>
        <w:spacing w:line="500" w:lineRule="exact"/>
        <w:ind w:firstLine="420" w:firstLineChars="200"/>
        <w:jc w:val="left"/>
        <w:rPr>
          <w:rFonts w:ascii="宋体" w:hAnsi="宋体" w:cs="宋体"/>
          <w:szCs w:val="21"/>
        </w:rPr>
      </w:pPr>
      <w:r>
        <w:rPr>
          <w:rFonts w:hint="eastAsia" w:ascii="宋体" w:hAnsi="宋体" w:cs="宋体"/>
          <w:szCs w:val="21"/>
        </w:rPr>
        <w:t>第三部分 合同条款（参考）</w:t>
      </w:r>
    </w:p>
    <w:p>
      <w:pPr>
        <w:snapToGrid w:val="0"/>
        <w:spacing w:line="500" w:lineRule="exact"/>
        <w:ind w:firstLine="420" w:firstLineChars="200"/>
        <w:jc w:val="left"/>
        <w:rPr>
          <w:rFonts w:ascii="宋体" w:hAnsi="宋体" w:cs="宋体"/>
          <w:szCs w:val="21"/>
        </w:rPr>
      </w:pPr>
      <w:r>
        <w:rPr>
          <w:rFonts w:hint="eastAsia" w:ascii="宋体" w:hAnsi="宋体" w:cs="宋体"/>
          <w:szCs w:val="21"/>
        </w:rPr>
        <w:t>第四部分 技术要求</w:t>
      </w:r>
    </w:p>
    <w:p>
      <w:pPr>
        <w:snapToGrid w:val="0"/>
        <w:spacing w:line="500" w:lineRule="exact"/>
        <w:ind w:firstLine="420" w:firstLineChars="200"/>
        <w:jc w:val="left"/>
        <w:rPr>
          <w:rFonts w:ascii="宋体" w:hAnsi="宋体" w:cs="宋体"/>
          <w:szCs w:val="21"/>
        </w:rPr>
      </w:pPr>
      <w:r>
        <w:rPr>
          <w:rFonts w:hint="eastAsia" w:ascii="宋体" w:hAnsi="宋体" w:cs="宋体"/>
          <w:szCs w:val="21"/>
        </w:rPr>
        <w:t>第五部分 磋商响应文件格式</w:t>
      </w:r>
    </w:p>
    <w:p>
      <w:pPr>
        <w:snapToGrid w:val="0"/>
        <w:spacing w:line="500" w:lineRule="exact"/>
        <w:ind w:firstLine="420" w:firstLineChars="200"/>
        <w:jc w:val="left"/>
        <w:rPr>
          <w:rFonts w:ascii="宋体" w:hAnsi="宋体" w:cs="宋体"/>
          <w:szCs w:val="21"/>
        </w:rPr>
      </w:pPr>
      <w:r>
        <w:rPr>
          <w:rFonts w:hint="eastAsia" w:ascii="宋体" w:hAnsi="宋体" w:cs="宋体"/>
          <w:szCs w:val="21"/>
        </w:rPr>
        <w:t>第六部分 工程量清单</w:t>
      </w:r>
    </w:p>
    <w:p>
      <w:pPr>
        <w:snapToGrid w:val="0"/>
        <w:spacing w:line="500" w:lineRule="exact"/>
        <w:ind w:firstLine="420" w:firstLineChars="200"/>
        <w:jc w:val="left"/>
        <w:rPr>
          <w:rFonts w:ascii="宋体" w:hAnsi="宋体" w:cs="宋体"/>
          <w:szCs w:val="21"/>
        </w:rPr>
      </w:pPr>
      <w:r>
        <w:rPr>
          <w:rFonts w:hint="eastAsia" w:ascii="宋体" w:hAnsi="宋体" w:cs="宋体"/>
          <w:szCs w:val="21"/>
        </w:rPr>
        <w:t>7.2 投标人获取竞争性磋商文件后，应仔细检查竞争性磋商文件页数和附件数量，如发现有缺漏，请即时与采购代理机构联系补全。如果投标人不按上述要求操作而造成不良后果，采购人及采购代理机构不承担责任。</w:t>
      </w:r>
    </w:p>
    <w:p>
      <w:pPr>
        <w:snapToGrid w:val="0"/>
        <w:spacing w:line="500" w:lineRule="exact"/>
        <w:ind w:firstLine="420" w:firstLineChars="200"/>
        <w:rPr>
          <w:rFonts w:ascii="宋体" w:hAnsi="宋体" w:cs="宋体"/>
          <w:szCs w:val="21"/>
        </w:rPr>
      </w:pPr>
      <w:r>
        <w:rPr>
          <w:rFonts w:hint="eastAsia" w:ascii="宋体" w:hAnsi="宋体" w:cs="宋体"/>
          <w:b/>
          <w:bCs/>
          <w:szCs w:val="21"/>
        </w:rPr>
        <w:t>（八）竞争性磋商文件的澄清</w:t>
      </w:r>
    </w:p>
    <w:p>
      <w:pPr>
        <w:snapToGrid w:val="0"/>
        <w:spacing w:line="500" w:lineRule="exact"/>
        <w:ind w:firstLine="420" w:firstLineChars="200"/>
        <w:jc w:val="left"/>
        <w:rPr>
          <w:rFonts w:ascii="宋体" w:hAnsi="宋体" w:cs="宋体"/>
          <w:szCs w:val="21"/>
        </w:rPr>
      </w:pPr>
      <w:r>
        <w:rPr>
          <w:rFonts w:hint="eastAsia" w:ascii="宋体" w:hAnsi="宋体" w:cs="宋体"/>
          <w:szCs w:val="21"/>
        </w:rPr>
        <w:t>8.1 任何要求对竞争性磋商文件澄清的投标人，</w:t>
      </w:r>
      <w:r>
        <w:rPr>
          <w:rFonts w:hint="eastAsia" w:ascii="宋体" w:hAnsi="宋体" w:cs="宋体"/>
          <w:color w:val="000000"/>
          <w:szCs w:val="21"/>
        </w:rPr>
        <w:t>均应在提交首次响应文件或响应文件截止时间的3个工作日</w:t>
      </w:r>
      <w:r>
        <w:rPr>
          <w:rFonts w:hint="eastAsia" w:ascii="宋体" w:hAnsi="宋体" w:cs="宋体"/>
          <w:szCs w:val="21"/>
        </w:rPr>
        <w:t>前按公告中的通讯地址，以书面形式（加盖公章）递交给采购代理机构，采购代理机构对规定时间内收到的澄清要求以书面形式予以答复，答复不包括问题的来源。</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（九）竞争性磋商文件的修改</w:t>
      </w:r>
    </w:p>
    <w:p>
      <w:pPr>
        <w:snapToGrid w:val="0"/>
        <w:spacing w:line="500" w:lineRule="exact"/>
        <w:ind w:firstLine="420" w:firstLineChars="200"/>
        <w:jc w:val="left"/>
        <w:rPr>
          <w:rFonts w:ascii="宋体" w:hAnsi="宋体" w:cs="宋体"/>
          <w:szCs w:val="21"/>
        </w:rPr>
      </w:pPr>
      <w:r>
        <w:rPr>
          <w:rFonts w:hint="eastAsia" w:ascii="宋体" w:hAnsi="宋体" w:cs="宋体"/>
          <w:szCs w:val="21"/>
        </w:rPr>
        <w:t xml:space="preserve">9.1 </w:t>
      </w:r>
      <w:r>
        <w:rPr>
          <w:rFonts w:hint="eastAsia" w:ascii="宋体" w:hAnsi="宋体" w:cs="宋体"/>
          <w:bCs/>
          <w:szCs w:val="21"/>
        </w:rPr>
        <w:t>提交首次磋商响应文件截止之日前，采购人、采购代理机构或者磋商小组可以对已发出的磋商文件进行必要的澄清或者修改，澄清或者修改的内容作为磋商文件的组成部分。澄清或者修改的内容可能影响磋商响应文件编制的，采购人、采购代理机构应当在提交首次磋商响应文件截止时间至少5日前，以书面形式通知所有获取磋商文件的投标人；不足5日的，采购人、采购代理机构应当顺延提交首次磋商响应文件截止时间。</w:t>
      </w:r>
    </w:p>
    <w:p>
      <w:pPr>
        <w:snapToGrid w:val="0"/>
        <w:spacing w:line="500" w:lineRule="exact"/>
        <w:ind w:firstLine="420" w:firstLineChars="200"/>
        <w:jc w:val="left"/>
        <w:rPr>
          <w:rFonts w:ascii="宋体" w:hAnsi="宋体" w:cs="宋体"/>
          <w:szCs w:val="21"/>
        </w:rPr>
      </w:pPr>
      <w:r>
        <w:rPr>
          <w:rFonts w:hint="eastAsia" w:ascii="宋体" w:hAnsi="宋体" w:cs="宋体"/>
          <w:szCs w:val="21"/>
        </w:rPr>
        <w:t>9.2 竞争性磋商文件的修改将以书面形式通知所有已报名投标人，并对竞标投标人具有约束力。投标人收到修改文件后，须于1日内邮件回复采购人，逾期不回的，视同已收。</w:t>
      </w:r>
    </w:p>
    <w:p>
      <w:pPr>
        <w:snapToGrid w:val="0"/>
        <w:spacing w:line="500" w:lineRule="exact"/>
        <w:ind w:firstLine="420" w:firstLineChars="200"/>
        <w:jc w:val="left"/>
        <w:rPr>
          <w:rFonts w:ascii="宋体" w:hAnsi="宋体" w:cs="宋体"/>
          <w:szCs w:val="21"/>
        </w:rPr>
      </w:pPr>
      <w:r>
        <w:rPr>
          <w:rFonts w:hint="eastAsia" w:ascii="宋体" w:hAnsi="宋体" w:cs="宋体"/>
          <w:szCs w:val="21"/>
        </w:rPr>
        <w:t>9.3 为使投标人有充分的时间对竞争性磋商文件的修改部分进行分析、研究，采购人有权推迟磋商响应文件接收截止日期和磋商时间，并将此变更书面通知所有购买竞争性磋商文件的投标人。</w:t>
      </w:r>
    </w:p>
    <w:p>
      <w:pPr>
        <w:snapToGrid w:val="0"/>
        <w:spacing w:line="500" w:lineRule="exact"/>
        <w:ind w:firstLine="420" w:firstLineChars="200"/>
        <w:jc w:val="left"/>
        <w:rPr>
          <w:rFonts w:ascii="宋体" w:hAnsi="宋体" w:cs="宋体"/>
          <w:szCs w:val="21"/>
        </w:rPr>
      </w:pPr>
      <w:r>
        <w:rPr>
          <w:rFonts w:hint="eastAsia" w:ascii="宋体" w:hAnsi="宋体" w:cs="宋体"/>
          <w:szCs w:val="21"/>
        </w:rPr>
        <w:t>9.4 采购人发出的所有补充、修改和变更文件均作为竞争性磋商文件的组成部分，与竞争性磋商文件具有同等法律效力。</w:t>
      </w:r>
    </w:p>
    <w:p>
      <w:pPr>
        <w:snapToGrid w:val="0"/>
        <w:spacing w:line="500" w:lineRule="exact"/>
        <w:ind w:firstLine="420" w:firstLineChars="200"/>
        <w:jc w:val="left"/>
        <w:rPr>
          <w:rFonts w:ascii="宋体" w:hAnsi="宋体" w:cs="宋体"/>
          <w:szCs w:val="21"/>
        </w:rPr>
      </w:pPr>
    </w:p>
    <w:p>
      <w:pPr>
        <w:snapToGrid w:val="0"/>
        <w:spacing w:line="500" w:lineRule="exact"/>
        <w:ind w:firstLine="200"/>
        <w:jc w:val="center"/>
        <w:rPr>
          <w:rFonts w:ascii="宋体" w:hAnsi="宋体" w:cs="宋体"/>
          <w:b/>
          <w:szCs w:val="21"/>
        </w:rPr>
      </w:pPr>
      <w:r>
        <w:rPr>
          <w:rFonts w:hint="eastAsia" w:ascii="宋体" w:hAnsi="宋体" w:cs="宋体"/>
          <w:b/>
          <w:szCs w:val="21"/>
        </w:rPr>
        <w:t>三、磋商响应文件的编制</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（十）磋商响应文件的编制要求</w:t>
      </w:r>
    </w:p>
    <w:p>
      <w:pPr>
        <w:snapToGrid w:val="0"/>
        <w:spacing w:line="500" w:lineRule="exact"/>
        <w:ind w:firstLine="420" w:firstLineChars="200"/>
        <w:rPr>
          <w:rFonts w:ascii="宋体" w:hAnsi="宋体" w:cs="宋体"/>
          <w:szCs w:val="21"/>
        </w:rPr>
      </w:pPr>
      <w:r>
        <w:rPr>
          <w:rFonts w:hint="eastAsia" w:ascii="宋体" w:hAnsi="宋体" w:cs="宋体"/>
          <w:szCs w:val="21"/>
        </w:rPr>
        <w:t>10.1 投标人应仔细阅读“竞争性磋商文件”的所有内容，按“竞争性磋商文件”的要求编制“磋商响应文件”，并保证所提供的全部资料的真实性、完整性及有效性，并对“竞争性磋商文件”做出实质性响应。否则，可能被拒绝。</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（十一）磋商响应文件构成</w:t>
      </w:r>
    </w:p>
    <w:p>
      <w:pPr>
        <w:snapToGrid w:val="0"/>
        <w:spacing w:line="500" w:lineRule="exact"/>
        <w:ind w:firstLine="420" w:firstLineChars="200"/>
        <w:jc w:val="left"/>
        <w:rPr>
          <w:rFonts w:ascii="宋体" w:hAnsi="宋体" w:cs="宋体"/>
          <w:szCs w:val="21"/>
        </w:rPr>
      </w:pPr>
      <w:r>
        <w:rPr>
          <w:rFonts w:hint="eastAsia" w:ascii="宋体" w:hAnsi="宋体" w:cs="宋体"/>
          <w:szCs w:val="24"/>
        </w:rPr>
        <w:t>11.1 磋商响应文件由商务标部分、经济标部分和技术标部分三部分组成</w:t>
      </w:r>
      <w:r>
        <w:rPr>
          <w:rFonts w:hint="eastAsia" w:ascii="宋体" w:hAnsi="宋体" w:cs="宋体"/>
          <w:b/>
          <w:bCs/>
          <w:kern w:val="0"/>
          <w:szCs w:val="21"/>
        </w:rPr>
        <w:t>。</w:t>
      </w:r>
    </w:p>
    <w:p>
      <w:pPr>
        <w:snapToGrid w:val="0"/>
        <w:spacing w:line="500" w:lineRule="exact"/>
        <w:ind w:firstLine="420" w:firstLineChars="200"/>
        <w:rPr>
          <w:rFonts w:ascii="宋体" w:hAnsi="宋体" w:cs="宋体"/>
          <w:b/>
          <w:szCs w:val="21"/>
        </w:rPr>
      </w:pPr>
      <w:r>
        <w:rPr>
          <w:rFonts w:hint="eastAsia" w:ascii="宋体" w:hAnsi="宋体" w:cs="宋体"/>
          <w:b/>
          <w:szCs w:val="21"/>
        </w:rPr>
        <w:t>11.2 商务标部分包括但不限于以下内容：</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1）投标人概况及企业综合实力[包括不限于：合法有效的营业执照、组织机构代码证、税务登记证（若三证合一只须提供营业执照副本）；企业资质证书；项目负责人注册建造师证、安全生产考核合格证书；安全生产许可证；综合信用评价报告；2021年至今任意1个月完税证明材料；2021年至今任意1个月社会保障资金的凭据证明材料，如依法不需要缴纳社会保障资金的，应提供相关材料；提供2021年年度财务审计报告或2022年任意1个月的财务状况报告，或提供基本户银行出具的资信证明材料（成立未满一年的公司可以不提供财务审计报告，须提供财务报表（财务报表内容须包括资产、负债、现金等报表））；投标资格声明；参加政府采购活动前3年内在经营活动中没有重大违法记录的书面声明；未被“信用中国”（www.creditchina.gov.cn）、中国政府采购网（www.ccgp.gov.cn）列入失信被执行人、重大税收违法案件当事人名单、政府采购严重违法失信行为记录名单（提供加盖公章的截图打印件）。投标人符合采购文件要求的有关资格及证明资料复印件。</w:t>
      </w:r>
      <w:r>
        <w:rPr>
          <w:rFonts w:hint="eastAsia" w:ascii="宋体" w:hAnsi="宋体" w:cs="宋体"/>
          <w:b/>
          <w:kern w:val="0"/>
          <w:szCs w:val="21"/>
        </w:rPr>
        <w:t>此部分内容必须按以上内容编制。</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（2）投标承诺书（一）；</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（3）投标承诺书（二）；</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（4）法定代表人身份证明书（原件）和法定代表人身份证（复印件）或者法定代表人授权委托书（原件）及被授权人身份证明（复印件）；</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（5）磋商保证金收据的复印件（以招标代理机构开具的为准)；</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（6）商务条款偏离表；</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 xml:space="preserve">（7）项目负责人简历； </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（8）拟投入本项目的人员表；现场服务计划表；</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（9）投标人工期、质量及服务承诺；维保计划；合理建议等（原件）；</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（10）技术偏离表；</w:t>
      </w:r>
    </w:p>
    <w:p>
      <w:pPr>
        <w:autoSpaceDE w:val="0"/>
        <w:autoSpaceDN w:val="0"/>
        <w:adjustRightInd w:val="0"/>
        <w:spacing w:line="500" w:lineRule="exact"/>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（11）投标人2019年1月至今类似业绩（复印件）；</w:t>
      </w:r>
    </w:p>
    <w:p>
      <w:pPr>
        <w:autoSpaceDE w:val="0"/>
        <w:autoSpaceDN w:val="0"/>
        <w:adjustRightInd w:val="0"/>
        <w:spacing w:line="500" w:lineRule="exact"/>
        <w:ind w:firstLine="420" w:firstLineChars="200"/>
        <w:jc w:val="left"/>
      </w:pPr>
      <w:r>
        <w:rPr>
          <w:rFonts w:hint="eastAsia" w:ascii="宋体" w:hAnsi="宋体" w:cs="宋体"/>
          <w:bCs/>
          <w:kern w:val="0"/>
          <w:szCs w:val="21"/>
        </w:rPr>
        <w:t>（12）政府采购诚信承诺书；</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（13）投标人认为有必要提供的其它资料。</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
          <w:bCs/>
          <w:kern w:val="0"/>
          <w:szCs w:val="21"/>
        </w:rPr>
        <w:t>11.3 经济标部分主要包括</w:t>
      </w:r>
      <w:r>
        <w:rPr>
          <w:rFonts w:hint="eastAsia" w:ascii="宋体" w:hAnsi="宋体" w:cs="宋体"/>
          <w:b/>
          <w:szCs w:val="21"/>
        </w:rPr>
        <w:t>但不限于以下内容：</w:t>
      </w:r>
      <w:r>
        <w:rPr>
          <w:rFonts w:hint="eastAsia" w:ascii="宋体" w:hAnsi="宋体" w:cs="宋体"/>
          <w:bCs/>
          <w:kern w:val="0"/>
          <w:szCs w:val="21"/>
        </w:rPr>
        <w:tab/>
      </w:r>
    </w:p>
    <w:p>
      <w:pPr>
        <w:spacing w:line="500" w:lineRule="exact"/>
        <w:ind w:firstLine="420" w:firstLineChars="200"/>
        <w:rPr>
          <w:rFonts w:ascii="宋体" w:hAnsi="宋体" w:cs="宋体"/>
          <w:szCs w:val="21"/>
        </w:rPr>
      </w:pPr>
      <w:r>
        <w:rPr>
          <w:rFonts w:hint="eastAsia" w:ascii="宋体" w:hAnsi="宋体" w:cs="宋体"/>
          <w:szCs w:val="21"/>
        </w:rPr>
        <w:t>（1）投标报价表；</w:t>
      </w:r>
    </w:p>
    <w:p>
      <w:pPr>
        <w:spacing w:line="500" w:lineRule="exact"/>
        <w:ind w:firstLine="420" w:firstLineChars="200"/>
        <w:rPr>
          <w:rFonts w:ascii="宋体" w:hAnsi="宋体" w:cs="宋体"/>
          <w:szCs w:val="21"/>
        </w:rPr>
      </w:pPr>
      <w:r>
        <w:rPr>
          <w:rFonts w:hint="eastAsia" w:ascii="宋体" w:hAnsi="宋体" w:cs="宋体"/>
          <w:szCs w:val="21"/>
        </w:rPr>
        <w:t>（2）工程预算书；</w:t>
      </w:r>
    </w:p>
    <w:p>
      <w:pPr>
        <w:spacing w:line="500" w:lineRule="exact"/>
        <w:ind w:firstLine="420" w:firstLineChars="200"/>
        <w:rPr>
          <w:rFonts w:ascii="宋体" w:hAnsi="宋体" w:cs="宋体"/>
          <w:szCs w:val="21"/>
        </w:rPr>
      </w:pPr>
      <w:r>
        <w:rPr>
          <w:rFonts w:hint="eastAsia" w:ascii="宋体" w:hAnsi="宋体" w:cs="宋体"/>
          <w:szCs w:val="21"/>
        </w:rPr>
        <w:t>（3）报价说明；</w:t>
      </w:r>
    </w:p>
    <w:p>
      <w:pPr>
        <w:spacing w:line="500" w:lineRule="exact"/>
        <w:ind w:firstLine="424" w:firstLineChars="202"/>
        <w:outlineLvl w:val="0"/>
        <w:rPr>
          <w:rFonts w:ascii="宋体" w:hAnsi="宋体" w:cs="宋体"/>
          <w:szCs w:val="21"/>
        </w:rPr>
      </w:pPr>
      <w:r>
        <w:rPr>
          <w:rFonts w:hint="eastAsia" w:ascii="宋体" w:hAnsi="宋体" w:cs="宋体"/>
          <w:szCs w:val="21"/>
        </w:rPr>
        <w:t>（4）报价需要的其他资料。</w:t>
      </w:r>
    </w:p>
    <w:p>
      <w:pPr>
        <w:spacing w:line="500" w:lineRule="exact"/>
        <w:ind w:firstLine="420" w:firstLineChars="200"/>
        <w:rPr>
          <w:rFonts w:ascii="宋体" w:hAnsi="宋体" w:cs="宋体"/>
          <w:b/>
          <w:bCs/>
          <w:szCs w:val="21"/>
        </w:rPr>
      </w:pPr>
      <w:r>
        <w:rPr>
          <w:rFonts w:hint="eastAsia" w:ascii="宋体" w:hAnsi="宋体" w:cs="宋体"/>
          <w:b/>
          <w:bCs/>
          <w:szCs w:val="21"/>
        </w:rPr>
        <w:t>11.4技术标部分主要包括</w:t>
      </w:r>
      <w:r>
        <w:rPr>
          <w:rFonts w:hint="eastAsia" w:ascii="宋体" w:hAnsi="宋体" w:cs="宋体"/>
          <w:b/>
          <w:szCs w:val="21"/>
        </w:rPr>
        <w:t>但不限于以下内容：</w:t>
      </w:r>
    </w:p>
    <w:p>
      <w:pPr>
        <w:pStyle w:val="82"/>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（1）全面性；</w:t>
      </w:r>
    </w:p>
    <w:p>
      <w:pPr>
        <w:pStyle w:val="82"/>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（2）可行性；</w:t>
      </w:r>
    </w:p>
    <w:p>
      <w:pPr>
        <w:pStyle w:val="82"/>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（3）针对性； </w:t>
      </w:r>
    </w:p>
    <w:p>
      <w:pPr>
        <w:pStyle w:val="82"/>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（4）先进性； </w:t>
      </w:r>
    </w:p>
    <w:p>
      <w:pPr>
        <w:pStyle w:val="82"/>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（5）强制性；</w:t>
      </w:r>
    </w:p>
    <w:p>
      <w:pPr>
        <w:pStyle w:val="82"/>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（6）承诺；</w:t>
      </w:r>
    </w:p>
    <w:p>
      <w:pPr>
        <w:pStyle w:val="82"/>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（7）投标方认为有必要提供的其他资料。</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（十二）磋商响应文件格式</w:t>
      </w:r>
    </w:p>
    <w:p>
      <w:pPr>
        <w:snapToGrid w:val="0"/>
        <w:spacing w:line="500" w:lineRule="exact"/>
        <w:ind w:firstLine="420" w:firstLineChars="200"/>
        <w:jc w:val="left"/>
        <w:rPr>
          <w:rFonts w:ascii="宋体" w:hAnsi="宋体" w:cs="宋体"/>
          <w:szCs w:val="21"/>
        </w:rPr>
      </w:pPr>
      <w:r>
        <w:rPr>
          <w:rFonts w:hint="eastAsia" w:ascii="宋体" w:hAnsi="宋体" w:cs="宋体"/>
          <w:szCs w:val="21"/>
        </w:rPr>
        <w:t>12.1 投标人需按照上述磋商响应文件构成顺序编制磋商响应文件，并编制目录、页码，并按竞争性磋商文件中提供的格式填写、签署。磋商文件未提供格式的，投标人可自行拓展。</w:t>
      </w:r>
    </w:p>
    <w:p>
      <w:pPr>
        <w:snapToGrid w:val="0"/>
        <w:spacing w:line="500" w:lineRule="exact"/>
        <w:ind w:firstLine="420" w:firstLineChars="200"/>
        <w:jc w:val="left"/>
        <w:rPr>
          <w:rFonts w:ascii="宋体" w:hAnsi="宋体" w:cs="宋体"/>
          <w:szCs w:val="21"/>
        </w:rPr>
      </w:pPr>
      <w:r>
        <w:rPr>
          <w:rFonts w:hint="eastAsia" w:ascii="宋体" w:hAnsi="宋体" w:cs="宋体"/>
          <w:szCs w:val="21"/>
        </w:rPr>
        <w:t>12.2 磋商响应文件必须采用打印方式书写。磋商响应文件内容采用A4纸打印。</w:t>
      </w:r>
    </w:p>
    <w:p>
      <w:pPr>
        <w:spacing w:line="500" w:lineRule="exact"/>
        <w:ind w:firstLine="420" w:firstLineChars="200"/>
        <w:rPr>
          <w:rFonts w:ascii="宋体" w:hAnsi="宋体" w:cs="宋体"/>
          <w:szCs w:val="21"/>
        </w:rPr>
      </w:pPr>
      <w:r>
        <w:rPr>
          <w:rFonts w:hint="eastAsia" w:ascii="宋体" w:hAnsi="宋体" w:cs="宋体"/>
          <w:szCs w:val="21"/>
        </w:rPr>
        <w:t>12.3 磋商响应文件须装订成册。磋商响应文件应按封面、目录、正文顺序装订。</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（十三）竞标报价</w:t>
      </w:r>
    </w:p>
    <w:p>
      <w:pPr>
        <w:snapToGrid w:val="0"/>
        <w:spacing w:line="500" w:lineRule="exact"/>
        <w:ind w:firstLine="420" w:firstLineChars="200"/>
        <w:jc w:val="left"/>
        <w:rPr>
          <w:rFonts w:ascii="宋体" w:hAnsi="宋体" w:cs="宋体"/>
          <w:szCs w:val="21"/>
        </w:rPr>
      </w:pPr>
      <w:r>
        <w:rPr>
          <w:rFonts w:hint="eastAsia" w:ascii="宋体" w:hAnsi="宋体" w:cs="宋体"/>
          <w:szCs w:val="21"/>
        </w:rPr>
        <w:t xml:space="preserve">13.1 本招标项目使用的货币为人民币，实施时亦以 </w:t>
      </w:r>
      <w:r>
        <w:rPr>
          <w:rFonts w:hint="eastAsia" w:ascii="宋体" w:hAnsi="宋体" w:cs="宋体"/>
          <w:szCs w:val="21"/>
          <w:u w:val="single"/>
        </w:rPr>
        <w:t xml:space="preserve">人民币 </w:t>
      </w:r>
      <w:r>
        <w:rPr>
          <w:rFonts w:hint="eastAsia" w:ascii="宋体" w:hAnsi="宋体" w:cs="宋体"/>
          <w:szCs w:val="21"/>
        </w:rPr>
        <w:t>支付。投标报价以元为单位。</w:t>
      </w:r>
    </w:p>
    <w:p>
      <w:pPr>
        <w:snapToGrid w:val="0"/>
        <w:spacing w:line="500" w:lineRule="exact"/>
        <w:ind w:firstLine="420" w:firstLineChars="200"/>
        <w:jc w:val="left"/>
        <w:rPr>
          <w:rFonts w:ascii="宋体" w:hAnsi="宋体" w:cs="宋体"/>
          <w:szCs w:val="21"/>
        </w:rPr>
      </w:pPr>
      <w:r>
        <w:rPr>
          <w:rFonts w:hint="eastAsia" w:ascii="宋体" w:hAnsi="宋体" w:cs="宋体"/>
          <w:szCs w:val="21"/>
        </w:rPr>
        <w:t>13.2 投标报价（含税价）为本竞争性磋商文件所确定的招标范围内的全部工作内容的价格体现。任何有选择的报价将不予接受（除非采购人另有约定），否则，在评标时将其视为无效投标。</w:t>
      </w:r>
    </w:p>
    <w:p>
      <w:pPr>
        <w:snapToGrid w:val="0"/>
        <w:spacing w:line="500" w:lineRule="exact"/>
        <w:ind w:firstLine="420" w:firstLineChars="200"/>
        <w:jc w:val="left"/>
        <w:rPr>
          <w:rFonts w:ascii="宋体" w:hAnsi="宋体" w:cs="宋体"/>
          <w:szCs w:val="21"/>
        </w:rPr>
      </w:pPr>
      <w:r>
        <w:rPr>
          <w:rFonts w:hint="eastAsia" w:ascii="宋体" w:hAnsi="宋体" w:cs="宋体"/>
          <w:szCs w:val="21"/>
        </w:rPr>
        <w:t>13.3 投标报价表及投标报价明细表中标明的价格在签订合同及合同执行过程中是固定不变的，不得以任何理由予以变更（除非采购人另有约定）。</w:t>
      </w:r>
    </w:p>
    <w:p>
      <w:pPr>
        <w:snapToGrid w:val="0"/>
        <w:spacing w:line="500" w:lineRule="exact"/>
        <w:ind w:firstLine="420" w:firstLineChars="200"/>
        <w:jc w:val="left"/>
        <w:rPr>
          <w:rFonts w:ascii="宋体" w:hAnsi="宋体" w:cs="宋体"/>
          <w:szCs w:val="21"/>
        </w:rPr>
      </w:pPr>
      <w:r>
        <w:rPr>
          <w:rFonts w:hint="eastAsia" w:ascii="宋体" w:hAnsi="宋体" w:cs="宋体"/>
          <w:szCs w:val="21"/>
        </w:rPr>
        <w:t>13.4 磋商响应文件的大小写金额不一致的，以大写金额为准；总价金额与按单价金额汇总金额不一致的，以单价金额计算结果为准；单价金额小数点有明显错位的，以总价为准，并修改单价；对不同文字文本磋商响应文件的解释发生异议的，以中文文本为准。若投标人拒不接受前述修正，将有可能导致投标无效。</w:t>
      </w:r>
    </w:p>
    <w:p>
      <w:pPr>
        <w:snapToGrid w:val="0"/>
        <w:spacing w:line="500" w:lineRule="exact"/>
        <w:ind w:firstLine="420" w:firstLineChars="200"/>
        <w:rPr>
          <w:rFonts w:ascii="宋体" w:hAnsi="宋体" w:cs="宋体"/>
          <w:szCs w:val="21"/>
        </w:rPr>
      </w:pPr>
      <w:r>
        <w:rPr>
          <w:rFonts w:hint="eastAsia" w:ascii="宋体" w:hAnsi="宋体" w:cs="宋体"/>
          <w:b/>
          <w:bCs/>
          <w:szCs w:val="21"/>
        </w:rPr>
        <w:t>（十四）磋商保证金</w:t>
      </w:r>
    </w:p>
    <w:p>
      <w:pPr>
        <w:snapToGrid w:val="0"/>
        <w:spacing w:line="500" w:lineRule="exact"/>
        <w:ind w:firstLine="420" w:firstLineChars="200"/>
        <w:jc w:val="left"/>
        <w:rPr>
          <w:rFonts w:ascii="宋体" w:hAnsi="宋体" w:cs="宋体"/>
          <w:szCs w:val="21"/>
        </w:rPr>
      </w:pPr>
      <w:r>
        <w:rPr>
          <w:rFonts w:hint="eastAsia" w:ascii="宋体" w:hAnsi="宋体" w:cs="宋体"/>
          <w:szCs w:val="21"/>
        </w:rPr>
        <w:t>14.1 磋商保证金是为了保护采购人和招标机构免遭因竞标人的违规、违约行为而引起的风险，采购人/采购机构在受到损害时可根据本须知的有关规定没收竞标人的磋商保证金。成交供应商如未能按磋商文件要求与采购人签署项目合同并提交履约担保的，视为成交供应商违约，则采购人有权提取成交供应商磋商保证金。</w:t>
      </w:r>
    </w:p>
    <w:p>
      <w:pPr>
        <w:snapToGrid w:val="0"/>
        <w:spacing w:line="500" w:lineRule="exact"/>
        <w:ind w:firstLine="420" w:firstLineChars="200"/>
        <w:jc w:val="left"/>
        <w:rPr>
          <w:rFonts w:ascii="宋体" w:hAnsi="宋体" w:cs="宋体"/>
          <w:szCs w:val="21"/>
        </w:rPr>
      </w:pPr>
      <w:r>
        <w:rPr>
          <w:rFonts w:hint="eastAsia" w:ascii="宋体" w:hAnsi="宋体" w:cs="宋体"/>
          <w:szCs w:val="21"/>
        </w:rPr>
        <w:t>14.2 投标人应提交磋商保证金，并作为其竞标的一部分。磋商文件前附表规定交纳磋商保证金的，投标人应按磋商文件前附表规定的要求提交保证金，磋商保证金有效期应与磋商文件规定的投标有效期一致。投标人未按照磋商文件要求提交磋商保证金的，招标代理机构应当拒绝接收投标人的磋商响应文件或磋商小组在评标时将其视为无效竞标。</w:t>
      </w:r>
    </w:p>
    <w:p>
      <w:pPr>
        <w:snapToGrid w:val="0"/>
        <w:spacing w:line="500" w:lineRule="exact"/>
        <w:ind w:firstLine="420" w:firstLineChars="200"/>
        <w:jc w:val="left"/>
        <w:rPr>
          <w:rFonts w:ascii="宋体" w:hAnsi="宋体" w:cs="宋体"/>
          <w:szCs w:val="21"/>
        </w:rPr>
      </w:pPr>
      <w:r>
        <w:rPr>
          <w:rFonts w:hint="eastAsia" w:ascii="宋体" w:hAnsi="宋体" w:cs="宋体"/>
          <w:szCs w:val="21"/>
        </w:rPr>
        <w:t>14.3 磋商保证金不接受银行保函。凡未提交磋商保证金的投标，将被视为非实质性响应性投标而被拒绝。</w:t>
      </w:r>
    </w:p>
    <w:p>
      <w:pPr>
        <w:snapToGrid w:val="0"/>
        <w:spacing w:line="500" w:lineRule="exact"/>
        <w:ind w:firstLine="420" w:firstLineChars="200"/>
        <w:jc w:val="left"/>
        <w:rPr>
          <w:rFonts w:ascii="宋体" w:hAnsi="宋体" w:cs="宋体"/>
          <w:szCs w:val="21"/>
        </w:rPr>
      </w:pPr>
      <w:r>
        <w:rPr>
          <w:rFonts w:hint="eastAsia" w:ascii="宋体" w:hAnsi="宋体" w:cs="宋体"/>
          <w:szCs w:val="21"/>
        </w:rPr>
        <w:t>14.4 联合体投标的，可以由联合体中的一方或者共同提交磋商保证金。以一方名义提交投标保证金的，对联合体各方均具有约束力。</w:t>
      </w:r>
    </w:p>
    <w:p>
      <w:pPr>
        <w:snapToGrid w:val="0"/>
        <w:spacing w:line="500" w:lineRule="exact"/>
        <w:ind w:firstLine="420" w:firstLineChars="200"/>
        <w:jc w:val="left"/>
        <w:rPr>
          <w:rFonts w:ascii="宋体" w:hAnsi="宋体" w:cs="宋体"/>
          <w:szCs w:val="21"/>
        </w:rPr>
      </w:pPr>
      <w:r>
        <w:rPr>
          <w:rFonts w:hint="eastAsia" w:ascii="宋体" w:hAnsi="宋体" w:cs="宋体"/>
          <w:szCs w:val="21"/>
        </w:rPr>
        <w:t>14.5 未成交供应商的磋商保证金，将在成交通知书发出5个工作日内退还。因违反规定被没收的磋商保证金不予退回。</w:t>
      </w:r>
    </w:p>
    <w:p>
      <w:pPr>
        <w:snapToGrid w:val="0"/>
        <w:spacing w:line="500" w:lineRule="exact"/>
        <w:ind w:firstLine="420" w:firstLineChars="200"/>
        <w:jc w:val="left"/>
        <w:rPr>
          <w:rFonts w:ascii="宋体" w:hAnsi="宋体" w:cs="宋体"/>
          <w:szCs w:val="21"/>
        </w:rPr>
      </w:pPr>
      <w:r>
        <w:rPr>
          <w:rFonts w:hint="eastAsia" w:ascii="宋体" w:hAnsi="宋体" w:cs="宋体"/>
          <w:szCs w:val="21"/>
        </w:rPr>
        <w:t>14.6 成交供应商的磋商保证金，须按磋商要求与采购人签订合同并缴纳履约担保，提供与采购签署的合同复印件（须加盖成交供应商公章）、及按磋商要求向采购人提交履约担保证明资料（加盖成交供应商公章），向招标机构付清招标代理服务费后5个工作日内予以退还。</w:t>
      </w:r>
    </w:p>
    <w:p>
      <w:pPr>
        <w:snapToGrid w:val="0"/>
        <w:spacing w:line="500" w:lineRule="exact"/>
        <w:ind w:firstLine="420" w:firstLineChars="200"/>
        <w:jc w:val="left"/>
        <w:rPr>
          <w:rFonts w:ascii="宋体" w:hAnsi="宋体" w:cs="宋体"/>
          <w:szCs w:val="21"/>
        </w:rPr>
      </w:pPr>
      <w:r>
        <w:rPr>
          <w:rFonts w:hint="eastAsia" w:ascii="宋体" w:hAnsi="宋体" w:cs="宋体"/>
          <w:szCs w:val="21"/>
        </w:rPr>
        <w:t>14.7 下列任何情况发生时，磋商保证金将可能被没收：</w:t>
      </w:r>
    </w:p>
    <w:p>
      <w:pPr>
        <w:snapToGrid w:val="0"/>
        <w:spacing w:line="500" w:lineRule="exact"/>
        <w:ind w:firstLine="420" w:firstLineChars="200"/>
        <w:jc w:val="left"/>
        <w:rPr>
          <w:rFonts w:ascii="宋体" w:hAnsi="宋体" w:cs="宋体"/>
          <w:szCs w:val="21"/>
        </w:rPr>
      </w:pPr>
      <w:r>
        <w:rPr>
          <w:rFonts w:hint="eastAsia" w:ascii="宋体" w:hAnsi="宋体" w:cs="宋体"/>
          <w:szCs w:val="21"/>
        </w:rPr>
        <w:t>14.7.1 投标人在规定的投标有效期内撤回其投标；</w:t>
      </w:r>
    </w:p>
    <w:p>
      <w:pPr>
        <w:snapToGrid w:val="0"/>
        <w:spacing w:line="500" w:lineRule="exact"/>
        <w:ind w:firstLine="420" w:firstLineChars="200"/>
        <w:jc w:val="left"/>
        <w:rPr>
          <w:rFonts w:ascii="宋体" w:hAnsi="宋体" w:cs="宋体"/>
          <w:szCs w:val="21"/>
        </w:rPr>
      </w:pPr>
      <w:r>
        <w:rPr>
          <w:rFonts w:hint="eastAsia" w:ascii="宋体" w:hAnsi="宋体" w:cs="宋体"/>
          <w:szCs w:val="21"/>
        </w:rPr>
        <w:t>14.7.2 成交供应商无正当理由拒绝按规定与采购人签订合同或未能在规定期限内签署合同的或未按采购文件要求提交履约保证金的；</w:t>
      </w:r>
    </w:p>
    <w:p>
      <w:pPr>
        <w:snapToGrid w:val="0"/>
        <w:spacing w:line="500" w:lineRule="exact"/>
        <w:ind w:firstLine="420" w:firstLineChars="200"/>
        <w:jc w:val="left"/>
        <w:rPr>
          <w:rFonts w:ascii="宋体" w:hAnsi="宋体" w:cs="宋体"/>
          <w:szCs w:val="21"/>
        </w:rPr>
      </w:pPr>
      <w:r>
        <w:rPr>
          <w:rFonts w:hint="eastAsia" w:ascii="宋体" w:hAnsi="宋体" w:cs="宋体"/>
          <w:szCs w:val="21"/>
        </w:rPr>
        <w:t>14.8 投标人办理磋商保证金退款申请手续须提供以下资料：</w:t>
      </w:r>
    </w:p>
    <w:p>
      <w:pPr>
        <w:snapToGrid w:val="0"/>
        <w:spacing w:line="500" w:lineRule="exact"/>
        <w:ind w:firstLine="420" w:firstLineChars="200"/>
        <w:jc w:val="left"/>
        <w:rPr>
          <w:rFonts w:ascii="宋体" w:hAnsi="宋体" w:cs="宋体"/>
          <w:szCs w:val="21"/>
        </w:rPr>
      </w:pPr>
      <w:r>
        <w:rPr>
          <w:rFonts w:hint="eastAsia" w:ascii="宋体" w:hAnsi="宋体" w:cs="宋体"/>
          <w:szCs w:val="21"/>
        </w:rPr>
        <w:t>14.8.1 招标代理机构开具的磋商保证金《财务收据》原件（以便核查）；</w:t>
      </w:r>
    </w:p>
    <w:p>
      <w:pPr>
        <w:snapToGrid w:val="0"/>
        <w:spacing w:line="500" w:lineRule="exact"/>
        <w:ind w:firstLine="420" w:firstLineChars="200"/>
        <w:jc w:val="left"/>
        <w:rPr>
          <w:rFonts w:ascii="宋体" w:hAnsi="宋体" w:cs="宋体"/>
          <w:szCs w:val="21"/>
        </w:rPr>
      </w:pPr>
      <w:r>
        <w:rPr>
          <w:rFonts w:hint="eastAsia" w:ascii="宋体" w:hAnsi="宋体" w:cs="宋体"/>
          <w:szCs w:val="21"/>
        </w:rPr>
        <w:t>14.8.2 投标人给代理机构开具的收款收据（收款单位开具并加盖收款单位财务章）；同时须提供清晰的开户银行名称、银行账号及收款单位名称。</w:t>
      </w:r>
    </w:p>
    <w:p>
      <w:pPr>
        <w:snapToGrid w:val="0"/>
        <w:spacing w:line="500" w:lineRule="exact"/>
        <w:ind w:firstLine="420" w:firstLineChars="200"/>
        <w:jc w:val="left"/>
        <w:rPr>
          <w:rFonts w:ascii="宋体" w:hAnsi="宋体" w:cs="宋体"/>
          <w:szCs w:val="21"/>
        </w:rPr>
      </w:pPr>
      <w:r>
        <w:rPr>
          <w:rFonts w:hint="eastAsia" w:ascii="宋体" w:hAnsi="宋体" w:cs="宋体"/>
          <w:szCs w:val="21"/>
        </w:rPr>
        <w:t>14.8.3 退还成交供应商方磋商保证金时，成交供应商方还须提供与采购人签订的合同原件一份（原件核查无误后退还）和已加盖成交方公章的合同全本复印件一份（代理机构存档备查）。</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（十五）磋商有效期</w:t>
      </w:r>
    </w:p>
    <w:p>
      <w:pPr>
        <w:snapToGrid w:val="0"/>
        <w:spacing w:line="500" w:lineRule="exact"/>
        <w:ind w:firstLine="420" w:firstLineChars="200"/>
        <w:jc w:val="left"/>
        <w:rPr>
          <w:rFonts w:ascii="宋体" w:hAnsi="宋体" w:cs="宋体"/>
          <w:szCs w:val="21"/>
        </w:rPr>
      </w:pPr>
      <w:r>
        <w:rPr>
          <w:rFonts w:hint="eastAsia" w:ascii="宋体" w:hAnsi="宋体" w:cs="宋体"/>
          <w:szCs w:val="21"/>
        </w:rPr>
        <w:t>15.1 磋商有效期为竞争性磋商文件规定的投标人提交磋商响应文件截止之日起</w:t>
      </w:r>
      <w:r>
        <w:rPr>
          <w:rFonts w:hint="eastAsia" w:ascii="宋体" w:hAnsi="宋体" w:cs="宋体"/>
          <w:szCs w:val="21"/>
          <w:u w:val="single"/>
        </w:rPr>
        <w:t>90</w:t>
      </w:r>
      <w:r>
        <w:rPr>
          <w:rFonts w:hint="eastAsia" w:ascii="宋体" w:hAnsi="宋体" w:cs="宋体"/>
          <w:szCs w:val="21"/>
        </w:rPr>
        <w:t>天。磋商有效期不满足竞争性磋商文件要求的将视为非响应性文件而予以拒绝。</w:t>
      </w:r>
    </w:p>
    <w:p>
      <w:pPr>
        <w:snapToGrid w:val="0"/>
        <w:spacing w:line="500" w:lineRule="exact"/>
        <w:ind w:firstLine="420" w:firstLineChars="200"/>
        <w:jc w:val="left"/>
        <w:rPr>
          <w:rFonts w:ascii="宋体" w:hAnsi="宋体" w:cs="宋体"/>
          <w:szCs w:val="21"/>
        </w:rPr>
      </w:pPr>
      <w:r>
        <w:rPr>
          <w:rFonts w:hint="eastAsia" w:ascii="宋体" w:hAnsi="宋体" w:cs="宋体"/>
          <w:szCs w:val="21"/>
        </w:rPr>
        <w:t>15.2 在特殊情况下，采购人于原磋商有效期满之前，可向投标人提出延长磋商有效期的要求，这种要求与答复均应采用书面形式（如信件、传真或电报等），投标人可以拒绝采购人的这一要求而放弃参与磋商，磋商保证金予以退回；同意延长的投标人既不能要求也不允许修改其磋商响应文件。第十四条有关磋商保证金的没收和退还的规定在延长期内继续有效。</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（十六）磋商响应文件份数和签署</w:t>
      </w:r>
    </w:p>
    <w:p>
      <w:pPr>
        <w:snapToGrid w:val="0"/>
        <w:spacing w:line="500" w:lineRule="exact"/>
        <w:ind w:firstLine="420" w:firstLineChars="200"/>
        <w:jc w:val="left"/>
        <w:rPr>
          <w:rFonts w:ascii="宋体" w:hAnsi="宋体" w:cs="宋体"/>
          <w:szCs w:val="21"/>
        </w:rPr>
      </w:pPr>
      <w:r>
        <w:rPr>
          <w:rFonts w:hint="eastAsia" w:ascii="宋体" w:hAnsi="宋体" w:cs="宋体"/>
          <w:szCs w:val="21"/>
        </w:rPr>
        <w:t>16.1 投标人应严格按照投标人须知的要求准备磋商响应文件，磋商响应文件封面按磋商文件格式要求，右上角须标明“正本”、“副本”字样，同时在封面加盖投标人法人公章、法定代表人印章。“正本”、“副本”如有不一致时，以“正本”为准。</w:t>
      </w:r>
    </w:p>
    <w:p>
      <w:pPr>
        <w:snapToGrid w:val="0"/>
        <w:spacing w:line="500" w:lineRule="exact"/>
        <w:ind w:firstLine="420" w:firstLineChars="200"/>
        <w:jc w:val="left"/>
        <w:rPr>
          <w:rFonts w:ascii="宋体" w:hAnsi="宋体" w:cs="宋体"/>
          <w:bCs/>
          <w:szCs w:val="21"/>
        </w:rPr>
      </w:pPr>
      <w:r>
        <w:rPr>
          <w:rFonts w:hint="eastAsia" w:ascii="宋体" w:hAnsi="宋体" w:cs="宋体"/>
          <w:bCs/>
          <w:szCs w:val="21"/>
        </w:rPr>
        <w:t>电子版文件：一份</w:t>
      </w:r>
      <w:r>
        <w:rPr>
          <w:rFonts w:hint="eastAsia" w:ascii="宋体" w:hAnsi="宋体" w:cs="宋体"/>
          <w:szCs w:val="21"/>
        </w:rPr>
        <w:t>（以U盘形式单独密封提交），于递交纸质版磋商响应文件时一同提交</w:t>
      </w:r>
      <w:r>
        <w:rPr>
          <w:rFonts w:hint="eastAsia" w:ascii="宋体" w:hAnsi="宋体" w:cs="宋体"/>
          <w:bCs/>
          <w:szCs w:val="21"/>
        </w:rPr>
        <w:t>；[电子版文件要求包含磋商响应文件正本全部内容，电子版文件表面标记单位名称。电子版文件内容与磋商响应文件正本内容不一致时以磋商响应文件正本为准。]</w:t>
      </w:r>
    </w:p>
    <w:p>
      <w:pPr>
        <w:snapToGrid w:val="0"/>
        <w:spacing w:line="500" w:lineRule="exact"/>
        <w:ind w:firstLine="420" w:firstLineChars="200"/>
        <w:jc w:val="left"/>
        <w:rPr>
          <w:rFonts w:ascii="宋体" w:hAnsi="宋体" w:cs="宋体"/>
          <w:szCs w:val="21"/>
        </w:rPr>
      </w:pPr>
      <w:r>
        <w:rPr>
          <w:rFonts w:hint="eastAsia" w:ascii="宋体" w:hAnsi="宋体" w:cs="宋体"/>
          <w:szCs w:val="21"/>
        </w:rPr>
        <w:t>16.2 除投标人对错处做必要修改外，磋商响应文件不得行间插字、涂改或增删，必要的修改处必须有投标人法人代表或其授权代表人签字确认。</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（十七）磋商响应文件装订</w:t>
      </w:r>
    </w:p>
    <w:p>
      <w:pPr>
        <w:snapToGrid w:val="0"/>
        <w:spacing w:line="500" w:lineRule="exact"/>
        <w:ind w:firstLine="420" w:firstLineChars="200"/>
        <w:rPr>
          <w:rFonts w:ascii="宋体" w:hAnsi="宋体" w:cs="宋体"/>
          <w:b/>
          <w:szCs w:val="21"/>
        </w:rPr>
      </w:pPr>
      <w:r>
        <w:rPr>
          <w:rFonts w:hint="eastAsia" w:ascii="宋体" w:hAnsi="宋体" w:cs="宋体"/>
          <w:szCs w:val="21"/>
        </w:rPr>
        <w:t>17.1 除特别说明外，全套磋商响应文件的书面部分均使用A4规格纸张无线胶装方式装订，</w:t>
      </w:r>
      <w:r>
        <w:rPr>
          <w:rFonts w:hint="eastAsia" w:ascii="宋体" w:hAnsi="宋体" w:cs="宋体"/>
          <w:b/>
          <w:szCs w:val="21"/>
        </w:rPr>
        <w:t>不得采用活页夹等可随时拆换的方式装订。</w:t>
      </w:r>
    </w:p>
    <w:p>
      <w:pPr>
        <w:snapToGrid w:val="0"/>
        <w:spacing w:line="500" w:lineRule="exact"/>
        <w:ind w:firstLine="420" w:firstLineChars="200"/>
        <w:rPr>
          <w:rFonts w:ascii="宋体" w:hAnsi="宋体" w:cs="宋体"/>
          <w:szCs w:val="21"/>
        </w:rPr>
      </w:pPr>
      <w:r>
        <w:rPr>
          <w:rFonts w:hint="eastAsia" w:ascii="宋体" w:hAnsi="宋体" w:cs="宋体"/>
          <w:szCs w:val="21"/>
        </w:rPr>
        <w:t>17.2磋商响应文件封套正面须注明“磋商响应文件”、“项目名称、项目编号、投标人名称、法定代表人、授权代理人、地址、邮编、联系人、联系电话、编制时间”并标注“ 年 月 日 时 分开标前不得开启”，并加盖公章、法定代表人印章，并应确保密封完好，并在骑缝处加盖公章，因标注不清而产生的一切后果由投标人自负。</w:t>
      </w:r>
    </w:p>
    <w:p>
      <w:pPr>
        <w:snapToGrid w:val="0"/>
        <w:spacing w:line="500" w:lineRule="exact"/>
        <w:ind w:firstLine="420" w:firstLineChars="200"/>
        <w:rPr>
          <w:rFonts w:ascii="宋体" w:hAnsi="宋体" w:cs="宋体"/>
          <w:szCs w:val="21"/>
        </w:rPr>
      </w:pPr>
      <w:r>
        <w:rPr>
          <w:rFonts w:hint="eastAsia" w:ascii="宋体" w:hAnsi="宋体" w:cs="宋体"/>
          <w:szCs w:val="21"/>
        </w:rPr>
        <w:t>若磋商响应文件未按第（十六）条款和第（十七）条款要求密封和加写标记，将作为无效标处理。</w:t>
      </w:r>
    </w:p>
    <w:p>
      <w:pPr>
        <w:snapToGrid w:val="0"/>
        <w:spacing w:line="500" w:lineRule="exact"/>
        <w:ind w:firstLine="420" w:firstLineChars="200"/>
        <w:rPr>
          <w:rFonts w:ascii="宋体" w:hAnsi="宋体" w:cs="宋体"/>
          <w:szCs w:val="21"/>
        </w:rPr>
      </w:pPr>
    </w:p>
    <w:p>
      <w:pPr>
        <w:snapToGrid w:val="0"/>
        <w:spacing w:line="500" w:lineRule="exact"/>
        <w:ind w:firstLine="200"/>
        <w:jc w:val="center"/>
        <w:rPr>
          <w:rFonts w:ascii="宋体" w:hAnsi="宋体" w:cs="宋体"/>
          <w:b/>
          <w:szCs w:val="21"/>
        </w:rPr>
      </w:pPr>
      <w:r>
        <w:rPr>
          <w:rFonts w:hint="eastAsia" w:ascii="宋体" w:hAnsi="宋体" w:cs="宋体"/>
          <w:b/>
          <w:szCs w:val="21"/>
        </w:rPr>
        <w:t>四、磋商响应文件的递交</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（十八）磋商响应文件递交截止日期及方式</w:t>
      </w:r>
    </w:p>
    <w:p>
      <w:pPr>
        <w:snapToGrid w:val="0"/>
        <w:spacing w:line="500" w:lineRule="exact"/>
        <w:ind w:firstLine="420" w:firstLineChars="200"/>
        <w:rPr>
          <w:rFonts w:ascii="宋体" w:hAnsi="宋体" w:cs="宋体"/>
          <w:szCs w:val="21"/>
        </w:rPr>
      </w:pPr>
      <w:r>
        <w:rPr>
          <w:rFonts w:hint="eastAsia" w:ascii="宋体" w:hAnsi="宋体" w:cs="宋体"/>
          <w:szCs w:val="21"/>
        </w:rPr>
        <w:t>18.1 所有磋商响应文件都必须在竞争性磋商文件规定的递交截止时间前送达指定磋商地点，采购人对误投概不负责。</w:t>
      </w:r>
    </w:p>
    <w:p>
      <w:pPr>
        <w:snapToGrid w:val="0"/>
        <w:spacing w:line="500" w:lineRule="exact"/>
        <w:ind w:firstLine="420" w:firstLineChars="200"/>
        <w:rPr>
          <w:rFonts w:ascii="宋体" w:hAnsi="宋体" w:cs="宋体"/>
          <w:b/>
          <w:szCs w:val="21"/>
        </w:rPr>
      </w:pPr>
      <w:r>
        <w:rPr>
          <w:rFonts w:hint="eastAsia" w:ascii="宋体" w:hAnsi="宋体" w:cs="宋体"/>
          <w:szCs w:val="21"/>
        </w:rPr>
        <w:t>18.2 采购代理机构将在竞争性磋商文件规定的时间和地点组织磋商会议，</w:t>
      </w:r>
      <w:r>
        <w:rPr>
          <w:rFonts w:hint="eastAsia" w:ascii="宋体" w:hAnsi="宋体" w:cs="宋体"/>
          <w:b/>
          <w:szCs w:val="21"/>
        </w:rPr>
        <w:t>投标人必须派法定代表人或其授权的委托人出席会议。</w:t>
      </w:r>
    </w:p>
    <w:p>
      <w:pPr>
        <w:snapToGrid w:val="0"/>
        <w:spacing w:line="500" w:lineRule="exact"/>
        <w:ind w:firstLine="420" w:firstLineChars="200"/>
        <w:jc w:val="left"/>
        <w:rPr>
          <w:rFonts w:ascii="宋体" w:hAnsi="宋体" w:cs="宋体"/>
          <w:szCs w:val="21"/>
        </w:rPr>
      </w:pPr>
      <w:r>
        <w:rPr>
          <w:rFonts w:hint="eastAsia" w:ascii="宋体" w:hAnsi="宋体" w:cs="宋体"/>
          <w:szCs w:val="21"/>
        </w:rPr>
        <w:t>18.3 采购人可以通过修改竞争性磋商文件酌情延长磋商响应文件接收截止日期，在此情况下，投标人的所有权利和义务以及投标人受制约的截止日期均应以延长后新的截止日期为准。</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（十九）迟交的磋商响应文件</w:t>
      </w:r>
    </w:p>
    <w:p>
      <w:pPr>
        <w:snapToGrid w:val="0"/>
        <w:spacing w:line="500" w:lineRule="exact"/>
        <w:ind w:firstLine="420" w:firstLineChars="200"/>
        <w:rPr>
          <w:rFonts w:ascii="宋体" w:hAnsi="宋体" w:cs="宋体"/>
          <w:szCs w:val="21"/>
        </w:rPr>
      </w:pPr>
      <w:r>
        <w:rPr>
          <w:rFonts w:hint="eastAsia" w:ascii="宋体" w:hAnsi="宋体" w:cs="宋体"/>
          <w:szCs w:val="21"/>
        </w:rPr>
        <w:t>19.1 采购人将拒绝接收在规定的截止日期后递交的任何磋商响应文件。</w:t>
      </w:r>
      <w:bookmarkStart w:id="0" w:name="_Toc213839733"/>
    </w:p>
    <w:p>
      <w:pPr>
        <w:snapToGrid w:val="0"/>
        <w:spacing w:line="500" w:lineRule="exact"/>
        <w:ind w:firstLine="420" w:firstLineChars="200"/>
        <w:rPr>
          <w:rFonts w:ascii="宋体" w:hAnsi="宋体" w:cs="宋体"/>
          <w:b/>
          <w:szCs w:val="21"/>
        </w:rPr>
      </w:pPr>
      <w:r>
        <w:rPr>
          <w:rFonts w:hint="eastAsia" w:ascii="宋体" w:hAnsi="宋体" w:cs="宋体"/>
          <w:b/>
          <w:szCs w:val="21"/>
        </w:rPr>
        <w:t>（二十）磋商响应文件的修改</w:t>
      </w:r>
      <w:bookmarkEnd w:id="0"/>
    </w:p>
    <w:p>
      <w:pPr>
        <w:snapToGrid w:val="0"/>
        <w:spacing w:line="500" w:lineRule="exact"/>
        <w:ind w:firstLine="420" w:firstLineChars="200"/>
        <w:rPr>
          <w:rFonts w:ascii="宋体" w:hAnsi="宋体" w:cs="宋体"/>
          <w:szCs w:val="21"/>
        </w:rPr>
      </w:pPr>
      <w:r>
        <w:rPr>
          <w:rFonts w:hint="eastAsia" w:ascii="宋体" w:hAnsi="宋体" w:cs="宋体"/>
          <w:szCs w:val="21"/>
        </w:rPr>
        <w:t>20.1 投标人在递交磋商响应文件截止时间之前，对所递交的磋商响应文件可以以书面形式补充、修改或撤回已提交的磋商响应文件，补充、修改的内容为磋商响应文件的组成部分，对投标人具有约束力。</w:t>
      </w:r>
      <w:bookmarkStart w:id="1" w:name="_Toc213839734"/>
    </w:p>
    <w:p>
      <w:pPr>
        <w:snapToGrid w:val="0"/>
        <w:spacing w:line="500" w:lineRule="exact"/>
        <w:ind w:firstLine="420" w:firstLineChars="200"/>
        <w:rPr>
          <w:rFonts w:ascii="宋体" w:hAnsi="宋体" w:cs="宋体"/>
          <w:szCs w:val="21"/>
        </w:rPr>
      </w:pPr>
      <w:r>
        <w:rPr>
          <w:rFonts w:hint="eastAsia" w:ascii="宋体" w:hAnsi="宋体" w:cs="宋体"/>
          <w:szCs w:val="21"/>
        </w:rPr>
        <w:t>投标人对磋商响应文件的补充、修改或撤回，应按本磋商文件的规定编制、密封、标识和提交，并在内层和外层封套上清楚标明“补充”、“修改”等字样。</w:t>
      </w:r>
    </w:p>
    <w:p>
      <w:pPr>
        <w:snapToGrid w:val="0"/>
        <w:spacing w:line="500" w:lineRule="exact"/>
        <w:ind w:firstLine="420" w:firstLineChars="200"/>
        <w:rPr>
          <w:rFonts w:ascii="宋体" w:hAnsi="宋体" w:cs="宋体"/>
          <w:szCs w:val="21"/>
        </w:rPr>
      </w:pPr>
    </w:p>
    <w:p>
      <w:pPr>
        <w:snapToGrid w:val="0"/>
        <w:spacing w:line="500" w:lineRule="exact"/>
        <w:ind w:firstLine="200"/>
        <w:jc w:val="center"/>
        <w:rPr>
          <w:rFonts w:ascii="宋体" w:hAnsi="宋体" w:cs="宋体"/>
          <w:b/>
          <w:szCs w:val="21"/>
        </w:rPr>
      </w:pPr>
      <w:r>
        <w:rPr>
          <w:rFonts w:hint="eastAsia" w:ascii="宋体" w:hAnsi="宋体" w:cs="宋体"/>
          <w:b/>
          <w:szCs w:val="21"/>
        </w:rPr>
        <w:t>五、无效标、废标条款</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（二十一）无效竞标条款</w:t>
      </w:r>
    </w:p>
    <w:p>
      <w:pPr>
        <w:snapToGrid w:val="0"/>
        <w:spacing w:line="500" w:lineRule="exact"/>
        <w:ind w:firstLine="420" w:firstLineChars="200"/>
        <w:jc w:val="left"/>
        <w:rPr>
          <w:rFonts w:ascii="宋体" w:hAnsi="宋体" w:cs="宋体"/>
          <w:szCs w:val="21"/>
        </w:rPr>
      </w:pPr>
      <w:r>
        <w:rPr>
          <w:rFonts w:hint="eastAsia" w:ascii="宋体" w:hAnsi="宋体" w:cs="宋体"/>
          <w:szCs w:val="21"/>
        </w:rPr>
        <w:t>21.1 投标人资格不符合竞争性磋商文件规定或未按规定提交资质证件的；</w:t>
      </w:r>
    </w:p>
    <w:p>
      <w:pPr>
        <w:snapToGrid w:val="0"/>
        <w:spacing w:line="500" w:lineRule="exact"/>
        <w:ind w:firstLine="420" w:firstLineChars="200"/>
        <w:jc w:val="left"/>
        <w:rPr>
          <w:rFonts w:ascii="宋体" w:hAnsi="宋体" w:cs="宋体"/>
          <w:szCs w:val="21"/>
        </w:rPr>
      </w:pPr>
      <w:r>
        <w:rPr>
          <w:rFonts w:hint="eastAsia" w:ascii="宋体" w:hAnsi="宋体" w:cs="宋体"/>
          <w:szCs w:val="21"/>
        </w:rPr>
        <w:t>21.2 投标人未在规定的时间内提交磋商保证金或未按磋商文件要求提交磋商保证金的；</w:t>
      </w:r>
    </w:p>
    <w:p>
      <w:pPr>
        <w:snapToGrid w:val="0"/>
        <w:spacing w:line="500" w:lineRule="exact"/>
        <w:ind w:firstLine="420" w:firstLineChars="200"/>
        <w:jc w:val="left"/>
        <w:rPr>
          <w:rFonts w:ascii="宋体" w:hAnsi="宋体" w:cs="宋体"/>
          <w:szCs w:val="21"/>
        </w:rPr>
      </w:pPr>
      <w:r>
        <w:rPr>
          <w:rFonts w:hint="eastAsia" w:ascii="宋体" w:hAnsi="宋体" w:cs="宋体"/>
          <w:szCs w:val="21"/>
        </w:rPr>
        <w:t>21.3 磋商响应文件密封、签署、盖章不符合竞争性磋商文件要求的；</w:t>
      </w:r>
    </w:p>
    <w:p>
      <w:pPr>
        <w:snapToGrid w:val="0"/>
        <w:spacing w:line="500" w:lineRule="exact"/>
        <w:ind w:firstLine="420" w:firstLineChars="200"/>
        <w:jc w:val="left"/>
        <w:rPr>
          <w:rFonts w:ascii="宋体" w:hAnsi="宋体" w:cs="宋体"/>
          <w:szCs w:val="21"/>
        </w:rPr>
      </w:pPr>
      <w:r>
        <w:rPr>
          <w:rFonts w:hint="eastAsia" w:ascii="宋体" w:hAnsi="宋体" w:cs="宋体"/>
          <w:szCs w:val="21"/>
        </w:rPr>
        <w:t>21.4 磋商响应文件出现重大偏差，未对竞争性磋商文件进行实质性响应；</w:t>
      </w:r>
    </w:p>
    <w:p>
      <w:pPr>
        <w:snapToGrid w:val="0"/>
        <w:spacing w:line="500" w:lineRule="exact"/>
        <w:ind w:firstLine="420" w:firstLineChars="200"/>
        <w:jc w:val="left"/>
        <w:rPr>
          <w:rFonts w:ascii="宋体" w:hAnsi="宋体" w:cs="宋体"/>
          <w:szCs w:val="21"/>
        </w:rPr>
      </w:pPr>
      <w:r>
        <w:rPr>
          <w:rFonts w:hint="eastAsia" w:ascii="宋体" w:hAnsi="宋体" w:cs="宋体"/>
          <w:szCs w:val="21"/>
        </w:rPr>
        <w:t>21.5 被授权人不参加磋商仪式及质询事宜的；</w:t>
      </w:r>
    </w:p>
    <w:p>
      <w:pPr>
        <w:snapToGrid w:val="0"/>
        <w:spacing w:line="500" w:lineRule="exact"/>
        <w:ind w:firstLine="420" w:firstLineChars="200"/>
        <w:jc w:val="left"/>
        <w:rPr>
          <w:rFonts w:ascii="宋体" w:hAnsi="宋体" w:cs="宋体"/>
          <w:szCs w:val="21"/>
        </w:rPr>
      </w:pPr>
      <w:r>
        <w:rPr>
          <w:rFonts w:hint="eastAsia" w:ascii="宋体" w:hAnsi="宋体" w:cs="宋体"/>
          <w:szCs w:val="21"/>
        </w:rPr>
        <w:t>21.6 其它磋商小组认为不符合磋商文件要求其他情况；</w:t>
      </w:r>
    </w:p>
    <w:p>
      <w:pPr>
        <w:snapToGrid w:val="0"/>
        <w:spacing w:line="500" w:lineRule="exact"/>
        <w:ind w:firstLine="420" w:firstLineChars="200"/>
        <w:jc w:val="left"/>
        <w:rPr>
          <w:rFonts w:ascii="宋体" w:hAnsi="宋体" w:cs="宋体"/>
          <w:szCs w:val="21"/>
        </w:rPr>
      </w:pPr>
      <w:r>
        <w:rPr>
          <w:rFonts w:hint="eastAsia" w:ascii="宋体" w:hAnsi="宋体" w:cs="宋体"/>
          <w:szCs w:val="21"/>
        </w:rPr>
        <w:t>21.7 法律、法规规定的其他情况。</w:t>
      </w:r>
    </w:p>
    <w:p>
      <w:pPr>
        <w:snapToGrid w:val="0"/>
        <w:spacing w:line="500" w:lineRule="exact"/>
        <w:ind w:firstLine="420" w:firstLineChars="200"/>
        <w:rPr>
          <w:rFonts w:ascii="宋体" w:hAnsi="宋体" w:cs="宋体"/>
          <w:b/>
          <w:szCs w:val="21"/>
        </w:rPr>
      </w:pPr>
      <w:r>
        <w:rPr>
          <w:rFonts w:hint="eastAsia" w:ascii="宋体" w:hAnsi="宋体" w:cs="宋体"/>
          <w:b/>
          <w:szCs w:val="21"/>
        </w:rPr>
        <w:t>（二十二）废标条款</w:t>
      </w:r>
    </w:p>
    <w:p>
      <w:pPr>
        <w:snapToGrid w:val="0"/>
        <w:spacing w:line="500" w:lineRule="exact"/>
        <w:ind w:firstLine="420" w:firstLineChars="200"/>
        <w:jc w:val="left"/>
        <w:rPr>
          <w:rFonts w:ascii="宋体" w:hAnsi="宋体" w:cs="宋体"/>
          <w:bCs/>
          <w:szCs w:val="21"/>
        </w:rPr>
      </w:pPr>
      <w:r>
        <w:rPr>
          <w:rFonts w:hint="eastAsia" w:ascii="宋体" w:hAnsi="宋体" w:cs="宋体"/>
          <w:bCs/>
          <w:szCs w:val="21"/>
        </w:rPr>
        <w:t>22.1 开标后，符合专业条件的投标人或者对竞争性磋商文件作实质响应的投标人不足三家的；</w:t>
      </w:r>
    </w:p>
    <w:p>
      <w:pPr>
        <w:snapToGrid w:val="0"/>
        <w:spacing w:line="500" w:lineRule="exact"/>
        <w:ind w:firstLine="420" w:firstLineChars="200"/>
        <w:rPr>
          <w:rFonts w:ascii="宋体" w:hAnsi="宋体" w:cs="宋体"/>
          <w:szCs w:val="21"/>
        </w:rPr>
      </w:pPr>
      <w:r>
        <w:rPr>
          <w:rFonts w:hint="eastAsia" w:ascii="宋体" w:hAnsi="宋体" w:cs="宋体"/>
          <w:szCs w:val="21"/>
        </w:rPr>
        <w:t>22.2 出现影响采购公正的违法、违规行为的；</w:t>
      </w:r>
    </w:p>
    <w:p>
      <w:pPr>
        <w:snapToGrid w:val="0"/>
        <w:spacing w:line="500" w:lineRule="exact"/>
        <w:ind w:firstLine="420" w:firstLineChars="200"/>
        <w:rPr>
          <w:rFonts w:ascii="宋体" w:hAnsi="宋体" w:cs="宋体"/>
          <w:szCs w:val="21"/>
        </w:rPr>
      </w:pPr>
      <w:r>
        <w:rPr>
          <w:rFonts w:hint="eastAsia" w:ascii="宋体" w:hAnsi="宋体" w:cs="宋体"/>
          <w:szCs w:val="21"/>
        </w:rPr>
        <w:t>22.3 投标人的报价均超过了采购预算，采购人不能支付的；</w:t>
      </w:r>
    </w:p>
    <w:p>
      <w:pPr>
        <w:snapToGrid w:val="0"/>
        <w:spacing w:line="500" w:lineRule="exact"/>
        <w:ind w:firstLine="420" w:firstLineChars="200"/>
        <w:rPr>
          <w:rFonts w:ascii="宋体" w:hAnsi="宋体" w:cs="宋体"/>
          <w:szCs w:val="21"/>
        </w:rPr>
      </w:pPr>
      <w:r>
        <w:rPr>
          <w:rFonts w:hint="eastAsia" w:ascii="宋体" w:hAnsi="宋体" w:cs="宋体"/>
          <w:szCs w:val="21"/>
        </w:rPr>
        <w:t>22.4 因重大变故，采购任务取消的。</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（二十三）参与投标人不得少于三家</w:t>
      </w:r>
    </w:p>
    <w:p>
      <w:pPr>
        <w:snapToGrid w:val="0"/>
        <w:spacing w:line="500" w:lineRule="exact"/>
        <w:ind w:firstLine="420" w:firstLineChars="200"/>
        <w:rPr>
          <w:rFonts w:ascii="宋体" w:hAnsi="宋体" w:cs="宋体"/>
          <w:szCs w:val="21"/>
        </w:rPr>
      </w:pPr>
      <w:r>
        <w:rPr>
          <w:rFonts w:hint="eastAsia" w:ascii="宋体" w:hAnsi="宋体" w:cs="宋体"/>
          <w:szCs w:val="21"/>
        </w:rPr>
        <w:t>23.1 根据《政府采购竞争性磋商采购方式管理暂行办法》的规定，参与项目的投标人不得少于三家。</w:t>
      </w:r>
    </w:p>
    <w:p>
      <w:pPr>
        <w:snapToGrid w:val="0"/>
        <w:spacing w:line="500" w:lineRule="exact"/>
        <w:ind w:firstLine="420" w:firstLineChars="200"/>
        <w:rPr>
          <w:rFonts w:ascii="宋体" w:hAnsi="宋体" w:cs="宋体"/>
          <w:szCs w:val="21"/>
        </w:rPr>
      </w:pPr>
      <w:r>
        <w:rPr>
          <w:rFonts w:hint="eastAsia" w:ascii="宋体" w:hAnsi="宋体" w:cs="宋体"/>
          <w:b/>
          <w:bCs/>
          <w:szCs w:val="21"/>
        </w:rPr>
        <w:t>（二十四）取消成交候选人资格条款</w:t>
      </w:r>
    </w:p>
    <w:p>
      <w:pPr>
        <w:snapToGrid w:val="0"/>
        <w:spacing w:line="500" w:lineRule="exact"/>
        <w:ind w:firstLine="420" w:firstLineChars="200"/>
        <w:rPr>
          <w:rFonts w:ascii="宋体" w:hAnsi="宋体" w:cs="宋体"/>
          <w:szCs w:val="21"/>
        </w:rPr>
      </w:pPr>
      <w:r>
        <w:rPr>
          <w:rFonts w:hint="eastAsia" w:ascii="宋体" w:hAnsi="宋体" w:cs="宋体"/>
          <w:szCs w:val="21"/>
        </w:rPr>
        <w:t>24.1 提供虚假材料谋取成交的；</w:t>
      </w:r>
    </w:p>
    <w:p>
      <w:pPr>
        <w:snapToGrid w:val="0"/>
        <w:spacing w:line="500" w:lineRule="exact"/>
        <w:ind w:firstLine="420" w:firstLineChars="200"/>
        <w:rPr>
          <w:rFonts w:ascii="宋体" w:hAnsi="宋体" w:cs="宋体"/>
          <w:szCs w:val="21"/>
        </w:rPr>
      </w:pPr>
      <w:r>
        <w:rPr>
          <w:rFonts w:hint="eastAsia" w:ascii="宋体" w:hAnsi="宋体" w:cs="宋体"/>
          <w:szCs w:val="21"/>
        </w:rPr>
        <w:t>24.2 采取不正当手段诋毁、排挤其他投标人的；</w:t>
      </w:r>
    </w:p>
    <w:p>
      <w:pPr>
        <w:snapToGrid w:val="0"/>
        <w:spacing w:line="500" w:lineRule="exact"/>
        <w:ind w:firstLine="420" w:firstLineChars="200"/>
        <w:rPr>
          <w:rFonts w:ascii="宋体" w:hAnsi="宋体" w:cs="宋体"/>
          <w:szCs w:val="21"/>
        </w:rPr>
      </w:pPr>
      <w:r>
        <w:rPr>
          <w:rFonts w:hint="eastAsia" w:ascii="宋体" w:hAnsi="宋体" w:cs="宋体"/>
          <w:szCs w:val="21"/>
        </w:rPr>
        <w:t>24.3 与采购人、其他投标人或者采购代理机构恶意串通的；</w:t>
      </w:r>
    </w:p>
    <w:p>
      <w:pPr>
        <w:snapToGrid w:val="0"/>
        <w:spacing w:line="500" w:lineRule="exact"/>
        <w:ind w:firstLine="420" w:firstLineChars="200"/>
        <w:rPr>
          <w:rFonts w:ascii="宋体" w:hAnsi="宋体" w:cs="宋体"/>
          <w:szCs w:val="21"/>
        </w:rPr>
      </w:pPr>
      <w:r>
        <w:rPr>
          <w:rFonts w:hint="eastAsia" w:ascii="宋体" w:hAnsi="宋体" w:cs="宋体"/>
          <w:szCs w:val="21"/>
        </w:rPr>
        <w:t>24.4 向采购人、采购代理机构行贿或者提供其他不正当利益的；</w:t>
      </w:r>
    </w:p>
    <w:p>
      <w:pPr>
        <w:snapToGrid w:val="0"/>
        <w:spacing w:line="500" w:lineRule="exact"/>
        <w:ind w:firstLine="420" w:firstLineChars="200"/>
        <w:rPr>
          <w:rFonts w:ascii="宋体" w:hAnsi="宋体" w:cs="宋体"/>
          <w:szCs w:val="21"/>
        </w:rPr>
      </w:pPr>
      <w:r>
        <w:rPr>
          <w:rFonts w:hint="eastAsia" w:ascii="宋体" w:hAnsi="宋体" w:cs="宋体"/>
          <w:szCs w:val="21"/>
        </w:rPr>
        <w:t>24.5 在规定的时间内未按磋商要求与采购人签订采购合同或未按采购文件要求提交履约担保的；</w:t>
      </w:r>
    </w:p>
    <w:p>
      <w:pPr>
        <w:snapToGrid w:val="0"/>
        <w:spacing w:line="500" w:lineRule="exact"/>
        <w:ind w:firstLine="420" w:firstLineChars="200"/>
        <w:rPr>
          <w:rFonts w:ascii="宋体" w:hAnsi="宋体" w:cs="宋体"/>
          <w:szCs w:val="21"/>
        </w:rPr>
      </w:pPr>
      <w:r>
        <w:rPr>
          <w:rFonts w:hint="eastAsia" w:ascii="宋体" w:hAnsi="宋体" w:cs="宋体"/>
          <w:szCs w:val="21"/>
        </w:rPr>
        <w:t>24.6 法律、法规规定的其他情况。</w:t>
      </w:r>
    </w:p>
    <w:p>
      <w:pPr>
        <w:snapToGrid w:val="0"/>
        <w:spacing w:line="500" w:lineRule="exact"/>
        <w:ind w:firstLine="420" w:firstLineChars="200"/>
        <w:rPr>
          <w:rFonts w:ascii="宋体" w:hAnsi="宋体" w:cs="宋体"/>
          <w:szCs w:val="21"/>
        </w:rPr>
      </w:pPr>
    </w:p>
    <w:p>
      <w:pPr>
        <w:snapToGrid w:val="0"/>
        <w:spacing w:line="500" w:lineRule="exact"/>
        <w:ind w:firstLine="200"/>
        <w:jc w:val="center"/>
        <w:rPr>
          <w:rFonts w:ascii="宋体" w:hAnsi="宋体" w:cs="宋体"/>
          <w:b/>
          <w:szCs w:val="21"/>
        </w:rPr>
      </w:pPr>
      <w:r>
        <w:rPr>
          <w:rFonts w:hint="eastAsia" w:ascii="宋体" w:hAnsi="宋体" w:cs="宋体"/>
          <w:b/>
          <w:szCs w:val="21"/>
        </w:rPr>
        <w:t>六、磋商程序及最终报价</w:t>
      </w:r>
      <w:bookmarkEnd w:id="1"/>
    </w:p>
    <w:p>
      <w:pPr>
        <w:snapToGrid w:val="0"/>
        <w:spacing w:line="500" w:lineRule="exact"/>
        <w:ind w:firstLine="411" w:firstLineChars="196"/>
        <w:rPr>
          <w:rFonts w:ascii="宋体" w:hAnsi="宋体" w:cs="宋体"/>
          <w:b/>
          <w:bCs/>
          <w:szCs w:val="21"/>
        </w:rPr>
      </w:pPr>
      <w:r>
        <w:rPr>
          <w:rFonts w:hint="eastAsia" w:ascii="宋体" w:hAnsi="宋体" w:cs="宋体"/>
          <w:b/>
          <w:bCs/>
          <w:szCs w:val="21"/>
        </w:rPr>
        <w:t>（二十五）磋商原则</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评、定标依据《中华人民共和国政府采购法》、《政府采购竞争性磋商采购方式管理暂行办法》等相关规定，遵循公开、公平、公正、竞争的原则。</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25.1 严格执行《中华人民共和国政府采购法》及自治区有关法规、政策、维护采购人、投标人的合法权益，选择对采购人最为有利的投标人或候选投标人。</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25.2 磋商小组所有成员应当集中与单一投标人分别进行磋商，并给予所有参加磋商的投标人平等的磋商机会。不应谈及与投标人所提供的服务质量、技术、价格等无关的话题。</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25.3 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投标人。</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25.4 坚持价格合理、综合评优的原则，不以最低报价作为成交唯一标准。</w:t>
      </w:r>
    </w:p>
    <w:p>
      <w:pPr>
        <w:adjustRightInd w:val="0"/>
        <w:snapToGrid w:val="0"/>
        <w:spacing w:line="500" w:lineRule="exact"/>
        <w:ind w:firstLine="420" w:firstLineChars="200"/>
        <w:rPr>
          <w:rFonts w:ascii="宋体" w:hAnsi="宋体" w:cs="宋体"/>
          <w:b/>
          <w:szCs w:val="21"/>
        </w:rPr>
      </w:pPr>
      <w:r>
        <w:rPr>
          <w:rFonts w:hint="eastAsia" w:ascii="宋体" w:hAnsi="宋体" w:cs="宋体"/>
          <w:b/>
          <w:bCs/>
          <w:szCs w:val="21"/>
        </w:rPr>
        <w:t>（二十六）</w:t>
      </w:r>
      <w:r>
        <w:rPr>
          <w:rFonts w:hint="eastAsia" w:ascii="宋体" w:hAnsi="宋体" w:cs="宋体"/>
          <w:b/>
          <w:szCs w:val="21"/>
        </w:rPr>
        <w:t>磋商小组</w:t>
      </w:r>
    </w:p>
    <w:p>
      <w:pPr>
        <w:snapToGrid w:val="0"/>
        <w:spacing w:line="500" w:lineRule="exact"/>
        <w:ind w:firstLine="420" w:firstLineChars="200"/>
        <w:rPr>
          <w:rFonts w:ascii="宋体" w:hAnsi="宋体" w:cs="宋体"/>
          <w:szCs w:val="21"/>
        </w:rPr>
      </w:pPr>
      <w:r>
        <w:rPr>
          <w:rFonts w:hint="eastAsia" w:ascii="宋体" w:hAnsi="宋体" w:cs="宋体"/>
          <w:szCs w:val="21"/>
        </w:rPr>
        <w:t>26.1 采购人根据本项目的特点，于开标前48小时内，从评审专家库中随机抽取组建磋商小组，其成员由有关工程、经济等方面的专家3人组成。</w:t>
      </w:r>
    </w:p>
    <w:p>
      <w:pPr>
        <w:snapToGrid w:val="0"/>
        <w:spacing w:line="500" w:lineRule="exact"/>
        <w:ind w:firstLine="420" w:firstLineChars="200"/>
        <w:rPr>
          <w:rFonts w:ascii="宋体" w:hAnsi="宋体" w:cs="宋体"/>
          <w:szCs w:val="21"/>
        </w:rPr>
      </w:pPr>
      <w:r>
        <w:rPr>
          <w:rFonts w:hint="eastAsia" w:ascii="宋体" w:hAnsi="宋体" w:cs="宋体"/>
          <w:szCs w:val="21"/>
        </w:rPr>
        <w:t>26.2 磋商小组在监督部门的监督下独立完成磋商工作，负责对磋商响应文件进行审查、质询、评审、推选成交候选投标人。</w:t>
      </w:r>
    </w:p>
    <w:p>
      <w:pPr>
        <w:snapToGrid w:val="0"/>
        <w:spacing w:line="500" w:lineRule="exact"/>
        <w:ind w:firstLine="420" w:firstLineChars="200"/>
        <w:rPr>
          <w:rFonts w:ascii="宋体" w:hAnsi="宋体" w:cs="宋体"/>
          <w:b/>
          <w:bCs/>
          <w:szCs w:val="21"/>
        </w:rPr>
      </w:pPr>
      <w:r>
        <w:rPr>
          <w:rFonts w:hint="eastAsia" w:ascii="宋体" w:hAnsi="宋体" w:cs="宋体"/>
          <w:b/>
          <w:bCs/>
          <w:szCs w:val="21"/>
        </w:rPr>
        <w:t>（二十七）磋商程序</w:t>
      </w:r>
    </w:p>
    <w:p>
      <w:pPr>
        <w:widowControl/>
        <w:snapToGrid w:val="0"/>
        <w:spacing w:line="500" w:lineRule="exact"/>
        <w:ind w:firstLine="420" w:firstLineChars="200"/>
        <w:rPr>
          <w:rFonts w:ascii="宋体" w:hAnsi="宋体" w:cs="宋体"/>
          <w:szCs w:val="21"/>
        </w:rPr>
      </w:pPr>
      <w:r>
        <w:rPr>
          <w:rFonts w:hint="eastAsia" w:ascii="宋体" w:hAnsi="宋体" w:cs="宋体"/>
          <w:szCs w:val="21"/>
        </w:rPr>
        <w:t>27.1 代理机构按竞争性磋商文件规定的时间、地点组织开标、磋商。采购单位代表及有关工作人员参加，政府采购监管部门视情况参与。</w:t>
      </w:r>
    </w:p>
    <w:p>
      <w:pPr>
        <w:widowControl/>
        <w:snapToGrid w:val="0"/>
        <w:spacing w:line="500" w:lineRule="exact"/>
        <w:ind w:firstLine="420" w:firstLineChars="200"/>
        <w:rPr>
          <w:rFonts w:ascii="宋体" w:hAnsi="宋体" w:cs="宋体"/>
          <w:b/>
          <w:szCs w:val="21"/>
          <w:u w:val="single"/>
        </w:rPr>
      </w:pPr>
      <w:r>
        <w:rPr>
          <w:rFonts w:hint="eastAsia" w:ascii="宋体" w:hAnsi="宋体" w:cs="宋体"/>
          <w:szCs w:val="21"/>
        </w:rPr>
        <w:t>27.2 招标会将于投标须知前附表规定的时间和地点召开，邀请投标人参加。磋商小组成员不得参加开标活动。投标人须委派开标代表参加开标。与会的投标人代表应在磋商响应文件递交登记表上签字确认其磋商响应文件已递交。</w:t>
      </w:r>
      <w:r>
        <w:rPr>
          <w:rFonts w:hint="eastAsia" w:ascii="宋体" w:hAnsi="宋体" w:cs="宋体"/>
          <w:b/>
          <w:szCs w:val="21"/>
        </w:rPr>
        <w:t>在开标前不得开启磋商响应文件。</w:t>
      </w:r>
    </w:p>
    <w:p>
      <w:pPr>
        <w:snapToGrid w:val="0"/>
        <w:spacing w:line="500" w:lineRule="exact"/>
        <w:ind w:firstLine="420" w:firstLineChars="200"/>
        <w:rPr>
          <w:rFonts w:ascii="宋体" w:hAnsi="宋体" w:cs="宋体"/>
          <w:szCs w:val="21"/>
        </w:rPr>
      </w:pPr>
      <w:r>
        <w:rPr>
          <w:rFonts w:hint="eastAsia" w:ascii="宋体" w:hAnsi="宋体" w:cs="宋体"/>
          <w:szCs w:val="21"/>
        </w:rPr>
        <w:t>27.3 开标会议由代理机构主持。宣读开标纪律，介绍采购人监督人；由证件齐全、满足要求的投标人或其推选的代表检查各投标人磋商响应文件的送达时间、封装、标识、密封等情况；开标时，由采购人及监管部门对投标人的有效证件进行资格查验；合格投标人不足3家的，不得评标。对检查未通过的，采购人将拒绝并原封退回其磋商响应文件。</w:t>
      </w:r>
    </w:p>
    <w:p>
      <w:pPr>
        <w:snapToGrid w:val="0"/>
        <w:spacing w:line="500" w:lineRule="exact"/>
        <w:ind w:firstLine="420" w:firstLineChars="200"/>
        <w:rPr>
          <w:rFonts w:ascii="宋体" w:hAnsi="宋体" w:cs="宋体"/>
          <w:szCs w:val="21"/>
        </w:rPr>
      </w:pPr>
      <w:r>
        <w:rPr>
          <w:rFonts w:hint="eastAsia" w:ascii="宋体" w:hAnsi="宋体" w:cs="宋体"/>
          <w:szCs w:val="21"/>
        </w:rPr>
        <w:t>27.4 经审查确认无误后，由采购人或采购代理机构工作人员按磋商响应文件送达时间逆顺序当众拆启磋商响应文件，宣读开标一览表中投标人的名称及工期、质量目标、项目负责人等竞磋文件规定的需要宣布的其他内容；如唱标人宣读的内容与磋商响应文件不一致时，投标人代表应当场提出。</w:t>
      </w:r>
    </w:p>
    <w:p>
      <w:pPr>
        <w:snapToGrid w:val="0"/>
        <w:spacing w:line="500" w:lineRule="exact"/>
        <w:ind w:firstLine="420" w:firstLineChars="200"/>
        <w:rPr>
          <w:rFonts w:ascii="宋体" w:hAnsi="宋体" w:cs="宋体"/>
          <w:szCs w:val="21"/>
        </w:rPr>
      </w:pPr>
      <w:r>
        <w:rPr>
          <w:rFonts w:hint="eastAsia" w:ascii="宋体" w:hAnsi="宋体" w:cs="宋体"/>
          <w:szCs w:val="21"/>
        </w:rPr>
        <w:t>27.5 投标人代表对开标过程和开标记录有疑义，以及认为采购人、采购代理机构相关工作人员有需要回避的情形的，应当场提出询问或者回避申请。投标人未参加开标的，视同认可开标结果。</w:t>
      </w:r>
    </w:p>
    <w:p>
      <w:pPr>
        <w:snapToGrid w:val="0"/>
        <w:spacing w:line="500" w:lineRule="exact"/>
        <w:ind w:firstLine="420" w:firstLineChars="200"/>
        <w:rPr>
          <w:rFonts w:ascii="宋体" w:hAnsi="宋体" w:cs="宋体"/>
          <w:szCs w:val="21"/>
        </w:rPr>
      </w:pPr>
      <w:r>
        <w:rPr>
          <w:rFonts w:hint="eastAsia" w:ascii="宋体" w:hAnsi="宋体" w:cs="宋体"/>
          <w:szCs w:val="21"/>
        </w:rPr>
        <w:t>27.6 磋商会议由磋商小组组长主持。磋商小组首先对各磋商响应文件进行初步审查，初步审查包括资格性审查和符合性审查，未通过审查的为无效标。</w:t>
      </w:r>
    </w:p>
    <w:p>
      <w:pPr>
        <w:snapToGrid w:val="0"/>
        <w:spacing w:line="500" w:lineRule="exact"/>
        <w:ind w:firstLine="420" w:firstLineChars="200"/>
        <w:rPr>
          <w:rFonts w:ascii="宋体" w:hAnsi="宋体" w:cs="宋体"/>
          <w:szCs w:val="21"/>
        </w:rPr>
      </w:pPr>
      <w:r>
        <w:rPr>
          <w:rFonts w:hint="eastAsia" w:ascii="宋体" w:hAnsi="宋体" w:cs="宋体"/>
          <w:szCs w:val="21"/>
        </w:rPr>
        <w:t>⑴资格性检查：磋商小组将根据法律法规和竞争性磋商文件的规定，对磋商响应文件的资格证明文件、磋商保证金等进行审查，以确定投标人是否具备竞争性磋商资格。</w:t>
      </w:r>
    </w:p>
    <w:p>
      <w:pPr>
        <w:widowControl/>
        <w:tabs>
          <w:tab w:val="left" w:pos="540"/>
        </w:tabs>
        <w:snapToGrid w:val="0"/>
        <w:spacing w:line="500" w:lineRule="exact"/>
        <w:ind w:firstLine="420" w:firstLineChars="200"/>
        <w:rPr>
          <w:rFonts w:ascii="宋体" w:hAnsi="宋体" w:cs="宋体"/>
          <w:szCs w:val="21"/>
        </w:rPr>
      </w:pPr>
      <w:r>
        <w:rPr>
          <w:rFonts w:hint="eastAsia" w:ascii="宋体" w:hAnsi="宋体" w:cs="宋体"/>
          <w:szCs w:val="21"/>
        </w:rPr>
        <w:t>⑵符合性检查：依据竞争性磋商文件的规定，从磋商响应文件的有效性、完整性和对竞争性磋商文件的响应程度进行审查，以确定是否对竞争性磋商文件的要求做出了实质性的响应，存在重大偏离的磋商响应文件为无效标。所谓重大偏离是指投标人磋商响应文件中所述服务质量、技术、规格、数量、交货期等和服务明显不能满足竞争性磋商文件要求。磋商小组成员对需要共同认定的事项存在争议的，应当按照少数服从多数的原则作出结论。持不同意见的磋商小组成员应当在评标报告上签署不同意见及理由，否则视为同意评标报告。</w:t>
      </w:r>
    </w:p>
    <w:p>
      <w:pPr>
        <w:snapToGrid w:val="0"/>
        <w:spacing w:line="500" w:lineRule="exact"/>
        <w:ind w:firstLine="420" w:firstLineChars="200"/>
        <w:rPr>
          <w:rFonts w:ascii="宋体" w:hAnsi="宋体" w:cs="宋体"/>
          <w:szCs w:val="21"/>
        </w:rPr>
      </w:pPr>
      <w:r>
        <w:rPr>
          <w:rFonts w:hint="eastAsia" w:ascii="宋体" w:hAnsi="宋体" w:cs="宋体"/>
          <w:szCs w:val="21"/>
        </w:rPr>
        <w:t>27.7 磋商小组判断“磋商响应文件”的响应性，仅基于“磋商响应文件”本身而不靠外部证据。对非实质性响应的磋商响应文件，投标人不能通过修正或撤销不符之处，而使其成为实质性响应。</w:t>
      </w:r>
    </w:p>
    <w:p>
      <w:pPr>
        <w:pStyle w:val="10"/>
        <w:tabs>
          <w:tab w:val="left" w:pos="1260"/>
        </w:tabs>
        <w:snapToGrid w:val="0"/>
        <w:spacing w:line="500" w:lineRule="exact"/>
        <w:ind w:firstLine="420" w:firstLineChars="200"/>
        <w:rPr>
          <w:rFonts w:hAnsi="宋体" w:cs="宋体"/>
          <w:sz w:val="21"/>
          <w:szCs w:val="21"/>
        </w:rPr>
      </w:pPr>
      <w:r>
        <w:rPr>
          <w:rFonts w:hint="eastAsia" w:hAnsi="宋体" w:cs="宋体"/>
          <w:sz w:val="21"/>
          <w:szCs w:val="21"/>
        </w:rPr>
        <w:t>27.8 磋商小组根据竞争性磋商文件要求，讨论、通过磋商工作流程和磋商要点。</w:t>
      </w:r>
    </w:p>
    <w:p>
      <w:pPr>
        <w:pStyle w:val="10"/>
        <w:snapToGrid w:val="0"/>
        <w:spacing w:line="500" w:lineRule="exact"/>
        <w:ind w:firstLine="420" w:firstLineChars="200"/>
        <w:rPr>
          <w:rFonts w:hAnsi="宋体" w:cs="宋体"/>
          <w:sz w:val="21"/>
          <w:szCs w:val="21"/>
        </w:rPr>
      </w:pPr>
      <w:r>
        <w:rPr>
          <w:rFonts w:hint="eastAsia" w:hAnsi="宋体" w:cs="宋体"/>
          <w:sz w:val="21"/>
          <w:szCs w:val="21"/>
        </w:rPr>
        <w:t>27.9 采购人按照投标人签到时间顺序通知有效投标人磋商。</w:t>
      </w:r>
    </w:p>
    <w:p>
      <w:pPr>
        <w:pStyle w:val="10"/>
        <w:snapToGrid w:val="0"/>
        <w:spacing w:line="500" w:lineRule="exact"/>
        <w:ind w:firstLine="420" w:firstLineChars="200"/>
        <w:rPr>
          <w:rFonts w:hAnsi="宋体" w:cs="宋体"/>
          <w:sz w:val="21"/>
          <w:szCs w:val="21"/>
        </w:rPr>
      </w:pPr>
      <w:r>
        <w:rPr>
          <w:rFonts w:hint="eastAsia" w:hAnsi="宋体" w:cs="宋体"/>
          <w:sz w:val="21"/>
          <w:szCs w:val="21"/>
        </w:rPr>
        <w:t>参与二次及多次报价及服务承诺的人员须是投标人法定代表人或其授权代表（核对身份证）。</w:t>
      </w:r>
    </w:p>
    <w:p>
      <w:pPr>
        <w:adjustRightInd w:val="0"/>
        <w:snapToGrid w:val="0"/>
        <w:spacing w:line="500" w:lineRule="exact"/>
        <w:ind w:firstLine="420" w:firstLineChars="200"/>
        <w:rPr>
          <w:rFonts w:ascii="宋体" w:hAnsi="宋体" w:cs="宋体"/>
          <w:szCs w:val="21"/>
        </w:rPr>
      </w:pPr>
      <w:r>
        <w:rPr>
          <w:rFonts w:hint="eastAsia" w:ascii="宋体" w:hAnsi="宋体" w:cs="宋体"/>
          <w:szCs w:val="21"/>
        </w:rPr>
        <w:t>27.10 围绕磋商要点，磋商小组全体成员集中与单一投标人分别进行磋商，逐家磋商一次为一个轮次，本项目磋商轮次原则上为一轮，具体由磋商小组视情况决定。投标人未及时参与磋商或多次报价的，视为自动放弃参与磋商的资格。</w:t>
      </w:r>
    </w:p>
    <w:p>
      <w:pPr>
        <w:pStyle w:val="10"/>
        <w:snapToGrid w:val="0"/>
        <w:spacing w:line="500" w:lineRule="exact"/>
        <w:ind w:firstLine="420" w:firstLineChars="200"/>
        <w:rPr>
          <w:rFonts w:hAnsi="宋体" w:cs="宋体"/>
          <w:sz w:val="21"/>
          <w:szCs w:val="21"/>
        </w:rPr>
      </w:pPr>
      <w:r>
        <w:rPr>
          <w:rFonts w:hint="eastAsia" w:hAnsi="宋体" w:cs="宋体"/>
          <w:sz w:val="21"/>
          <w:szCs w:val="21"/>
        </w:rPr>
        <w:t>27.11 竞争性磋商文件有较大变动的，磋商小组将以书面形式通知所有参加磋商的投标人。</w:t>
      </w:r>
    </w:p>
    <w:p>
      <w:pPr>
        <w:snapToGrid w:val="0"/>
        <w:spacing w:line="500" w:lineRule="exact"/>
        <w:ind w:firstLine="413" w:firstLineChars="197"/>
        <w:rPr>
          <w:rFonts w:ascii="宋体" w:hAnsi="宋体" w:cs="宋体"/>
          <w:bCs/>
          <w:szCs w:val="21"/>
        </w:rPr>
      </w:pPr>
      <w:r>
        <w:rPr>
          <w:rFonts w:hint="eastAsia" w:ascii="宋体" w:hAnsi="宋体" w:cs="宋体"/>
          <w:bCs/>
          <w:szCs w:val="21"/>
        </w:rPr>
        <w:t>27.12 评审中，磋商小组可对磋商响应文件中含义不明确、同类问题表述不一致或者有明显文字和计算错误的内容，磋商小组应当以书面形式要求投标人作出必要的澄清、说明或者补正。</w:t>
      </w:r>
    </w:p>
    <w:p>
      <w:pPr>
        <w:snapToGrid w:val="0"/>
        <w:spacing w:line="500" w:lineRule="exact"/>
        <w:ind w:firstLine="413" w:firstLineChars="197"/>
        <w:rPr>
          <w:rFonts w:ascii="宋体" w:hAnsi="宋体" w:cs="宋体"/>
          <w:bCs/>
          <w:szCs w:val="21"/>
        </w:rPr>
      </w:pPr>
      <w:r>
        <w:rPr>
          <w:rFonts w:hint="eastAsia" w:ascii="宋体" w:hAnsi="宋体" w:cs="宋体"/>
          <w:bCs/>
          <w:szCs w:val="21"/>
        </w:rPr>
        <w:t>投标人的澄清、说明或者补正应当采用书面形式，并加盖公章，或者由法定代表人或其授权的代表签字。投标人的澄清、说明或者补正不得超出磋商响应文件的范围或者改变磋商响应文件的实质性内容。</w:t>
      </w:r>
    </w:p>
    <w:p>
      <w:pPr>
        <w:snapToGrid w:val="0"/>
        <w:spacing w:line="500" w:lineRule="exact"/>
        <w:ind w:firstLine="413" w:firstLineChars="197"/>
        <w:rPr>
          <w:rFonts w:ascii="宋体" w:hAnsi="宋体" w:cs="宋体"/>
          <w:b/>
          <w:bCs/>
          <w:szCs w:val="21"/>
        </w:rPr>
      </w:pPr>
      <w:r>
        <w:rPr>
          <w:rFonts w:hint="eastAsia" w:ascii="宋体" w:hAnsi="宋体" w:cs="宋体"/>
          <w:bCs/>
          <w:szCs w:val="21"/>
        </w:rPr>
        <w:t>27.13</w:t>
      </w:r>
      <w:r>
        <w:rPr>
          <w:rFonts w:hint="eastAsia" w:ascii="宋体" w:hAnsi="宋体" w:cs="宋体"/>
          <w:b/>
          <w:bCs/>
          <w:szCs w:val="21"/>
        </w:rPr>
        <w:t>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pPr>
        <w:snapToGrid w:val="0"/>
        <w:spacing w:line="500" w:lineRule="exact"/>
        <w:ind w:firstLine="413" w:firstLineChars="197"/>
        <w:rPr>
          <w:rFonts w:ascii="宋体" w:hAnsi="宋体" w:cs="宋体"/>
          <w:bCs/>
          <w:szCs w:val="21"/>
        </w:rPr>
      </w:pPr>
      <w:r>
        <w:rPr>
          <w:rFonts w:hint="eastAsia" w:ascii="宋体" w:hAnsi="宋体" w:cs="宋体"/>
          <w:bCs/>
          <w:szCs w:val="21"/>
        </w:rPr>
        <w:t>27.14 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pStyle w:val="10"/>
        <w:snapToGrid w:val="0"/>
        <w:spacing w:line="500" w:lineRule="exact"/>
        <w:ind w:firstLine="308" w:firstLineChars="147"/>
        <w:rPr>
          <w:rFonts w:hAnsi="宋体" w:cs="宋体"/>
          <w:b/>
          <w:sz w:val="21"/>
          <w:szCs w:val="21"/>
        </w:rPr>
      </w:pPr>
      <w:bookmarkStart w:id="2" w:name="_Toc213839741"/>
      <w:r>
        <w:rPr>
          <w:rFonts w:hint="eastAsia" w:hAnsi="宋体" w:cs="宋体"/>
          <w:b/>
          <w:sz w:val="21"/>
          <w:szCs w:val="21"/>
        </w:rPr>
        <w:t>（二十八）最终报价</w:t>
      </w:r>
    </w:p>
    <w:p>
      <w:pPr>
        <w:snapToGrid w:val="0"/>
        <w:spacing w:line="500" w:lineRule="exact"/>
        <w:ind w:firstLine="420" w:firstLineChars="200"/>
        <w:rPr>
          <w:rFonts w:ascii="宋体" w:hAnsi="宋体" w:cs="宋体"/>
          <w:szCs w:val="21"/>
        </w:rPr>
      </w:pPr>
      <w:r>
        <w:rPr>
          <w:rFonts w:hint="eastAsia" w:ascii="宋体" w:hAnsi="宋体" w:cs="宋体"/>
          <w:szCs w:val="21"/>
        </w:rPr>
        <w:t>28.1 磋商结束后，磋商小组将要求所有有效投标人在规定时间内提交最终报价及服务承诺。</w:t>
      </w:r>
    </w:p>
    <w:p>
      <w:pPr>
        <w:snapToGrid w:val="0"/>
        <w:spacing w:line="500" w:lineRule="exact"/>
        <w:ind w:firstLine="308" w:firstLineChars="147"/>
        <w:rPr>
          <w:rFonts w:ascii="宋体" w:hAnsi="宋体" w:cs="宋体"/>
          <w:b/>
          <w:szCs w:val="21"/>
        </w:rPr>
      </w:pPr>
      <w:r>
        <w:rPr>
          <w:rFonts w:hint="eastAsia" w:ascii="宋体" w:hAnsi="宋体" w:cs="宋体"/>
          <w:b/>
          <w:szCs w:val="21"/>
        </w:rPr>
        <w:t>（二十九）确定成交候选投标人</w:t>
      </w:r>
    </w:p>
    <w:p>
      <w:pPr>
        <w:snapToGrid w:val="0"/>
        <w:spacing w:line="500" w:lineRule="exact"/>
        <w:ind w:firstLine="413" w:firstLineChars="197"/>
        <w:rPr>
          <w:rFonts w:ascii="宋体" w:hAnsi="宋体" w:cs="宋体"/>
          <w:szCs w:val="21"/>
        </w:rPr>
      </w:pPr>
      <w:r>
        <w:rPr>
          <w:rFonts w:hint="eastAsia" w:ascii="宋体" w:hAnsi="宋体" w:cs="宋体"/>
          <w:szCs w:val="21"/>
        </w:rPr>
        <w:t>29.1 经磋商确定最终采购需求和提交最后报价的投标人后，由磋商小组采用综合评分法对提交最后报价的投标人的磋商响应文件和最后报价进行综合评分。</w:t>
      </w:r>
    </w:p>
    <w:p>
      <w:pPr>
        <w:snapToGrid w:val="0"/>
        <w:spacing w:line="500" w:lineRule="exact"/>
        <w:ind w:firstLine="413" w:firstLineChars="197"/>
        <w:rPr>
          <w:rFonts w:ascii="宋体" w:hAnsi="宋体" w:cs="宋体"/>
          <w:bCs/>
          <w:szCs w:val="21"/>
        </w:rPr>
      </w:pPr>
      <w:r>
        <w:rPr>
          <w:rFonts w:hint="eastAsia" w:ascii="宋体" w:hAnsi="宋体" w:cs="宋体"/>
          <w:bCs/>
          <w:szCs w:val="21"/>
        </w:rPr>
        <w:t>综合评分法是指磋商响应文件满足磋商文件全部实质性要求，且按照评审因素的量化指标评审得分最高的投标人为成交候选人的评标方法。采用综合评分法的，评标结果按评审后得分由高到低顺序排列。得分相同的，按投标报价由低到高顺序排列。得分且投标报价相同的并列。</w:t>
      </w:r>
    </w:p>
    <w:p>
      <w:pPr>
        <w:snapToGrid w:val="0"/>
        <w:spacing w:line="500" w:lineRule="exact"/>
        <w:ind w:firstLine="420" w:firstLineChars="200"/>
        <w:rPr>
          <w:rFonts w:ascii="宋体" w:hAnsi="宋体" w:cs="宋体"/>
          <w:b/>
          <w:szCs w:val="21"/>
        </w:rPr>
      </w:pPr>
      <w:r>
        <w:rPr>
          <w:rFonts w:hint="eastAsia" w:ascii="宋体" w:hAnsi="宋体" w:cs="宋体"/>
          <w:b/>
          <w:szCs w:val="21"/>
        </w:rPr>
        <w:t>（三十）磋商过程</w:t>
      </w:r>
      <w:bookmarkEnd w:id="2"/>
      <w:r>
        <w:rPr>
          <w:rFonts w:hint="eastAsia" w:ascii="宋体" w:hAnsi="宋体" w:cs="宋体"/>
          <w:b/>
          <w:szCs w:val="21"/>
        </w:rPr>
        <w:t>保密</w:t>
      </w:r>
    </w:p>
    <w:p>
      <w:pPr>
        <w:snapToGrid w:val="0"/>
        <w:spacing w:line="500" w:lineRule="exact"/>
        <w:ind w:firstLine="420" w:firstLineChars="200"/>
        <w:rPr>
          <w:rFonts w:ascii="宋体" w:hAnsi="宋体" w:cs="宋体"/>
          <w:szCs w:val="21"/>
        </w:rPr>
      </w:pPr>
      <w:r>
        <w:rPr>
          <w:rFonts w:hint="eastAsia" w:ascii="宋体" w:hAnsi="宋体" w:cs="宋体"/>
          <w:szCs w:val="21"/>
        </w:rPr>
        <w:t>30.1 在宣布成交结果之前，凡属于审查、澄清、评价、比较竞争性磋商文件等有关信息，相关当事人均不得泄露给任何磋商投标人或与磋商工作无关的人员。</w:t>
      </w:r>
    </w:p>
    <w:p>
      <w:pPr>
        <w:snapToGrid w:val="0"/>
        <w:spacing w:line="500" w:lineRule="exact"/>
        <w:ind w:firstLine="420" w:firstLineChars="200"/>
        <w:rPr>
          <w:rFonts w:ascii="宋体" w:hAnsi="宋体" w:cs="宋体"/>
          <w:szCs w:val="21"/>
        </w:rPr>
      </w:pPr>
      <w:r>
        <w:rPr>
          <w:rFonts w:hint="eastAsia" w:ascii="宋体" w:hAnsi="宋体" w:cs="宋体"/>
          <w:szCs w:val="21"/>
        </w:rPr>
        <w:t>30.2 投标人不得探听上述信息，不得以任何行为影响磋商过程，否则其磋商响应文件将被作为无效磋商响应文件。</w:t>
      </w:r>
    </w:p>
    <w:p>
      <w:pPr>
        <w:snapToGrid w:val="0"/>
        <w:spacing w:line="500" w:lineRule="exact"/>
        <w:ind w:firstLine="420" w:firstLineChars="200"/>
        <w:rPr>
          <w:rFonts w:ascii="宋体" w:hAnsi="宋体" w:cs="宋体"/>
          <w:szCs w:val="21"/>
        </w:rPr>
      </w:pPr>
      <w:r>
        <w:rPr>
          <w:rFonts w:hint="eastAsia" w:ascii="宋体" w:hAnsi="宋体" w:cs="宋体"/>
          <w:szCs w:val="21"/>
        </w:rPr>
        <w:t>30.3 在磋商期间，代理机构有专门工作人员与投标人进行联络。</w:t>
      </w:r>
    </w:p>
    <w:p>
      <w:pPr>
        <w:snapToGrid w:val="0"/>
        <w:spacing w:line="500" w:lineRule="exact"/>
        <w:ind w:firstLine="420" w:firstLineChars="200"/>
        <w:rPr>
          <w:rFonts w:ascii="宋体" w:hAnsi="宋体" w:cs="宋体"/>
          <w:szCs w:val="21"/>
        </w:rPr>
      </w:pPr>
      <w:r>
        <w:rPr>
          <w:rFonts w:hint="eastAsia" w:ascii="宋体" w:hAnsi="宋体" w:cs="宋体"/>
          <w:szCs w:val="21"/>
        </w:rPr>
        <w:t>30.4 采购人和磋商小组不向未成交的投标人解释未成交原因，也不对磋商过程中的细节问题进行公布。</w:t>
      </w:r>
    </w:p>
    <w:p>
      <w:pPr>
        <w:snapToGrid w:val="0"/>
        <w:spacing w:line="440" w:lineRule="exact"/>
        <w:ind w:firstLine="200"/>
        <w:jc w:val="center"/>
        <w:rPr>
          <w:rFonts w:ascii="宋体" w:hAnsi="宋体" w:cs="宋体"/>
          <w:kern w:val="0"/>
          <w:sz w:val="28"/>
          <w:szCs w:val="28"/>
        </w:rPr>
      </w:pPr>
      <w:r>
        <w:rPr>
          <w:rFonts w:hint="eastAsia" w:ascii="宋体" w:hAnsi="宋体" w:cs="宋体"/>
          <w:b/>
          <w:szCs w:val="21"/>
        </w:rPr>
        <w:br w:type="page"/>
      </w:r>
      <w:r>
        <w:rPr>
          <w:rFonts w:hint="eastAsia" w:ascii="宋体" w:hAnsi="宋体" w:cs="宋体"/>
          <w:kern w:val="0"/>
          <w:sz w:val="28"/>
          <w:szCs w:val="28"/>
        </w:rPr>
        <w:t>七、评标办法</w:t>
      </w:r>
    </w:p>
    <w:p>
      <w:pPr>
        <w:snapToGrid w:val="0"/>
        <w:spacing w:line="440" w:lineRule="exact"/>
        <w:rPr>
          <w:rFonts w:ascii="宋体" w:hAnsi="宋体" w:cs="宋体"/>
          <w:kern w:val="0"/>
          <w:szCs w:val="21"/>
        </w:rPr>
      </w:pPr>
      <w:r>
        <w:rPr>
          <w:rFonts w:hint="eastAsia" w:ascii="宋体" w:hAnsi="宋体" w:cs="宋体"/>
          <w:kern w:val="0"/>
          <w:szCs w:val="21"/>
        </w:rPr>
        <w:t>（三十一）初步审查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92"/>
        <w:gridCol w:w="3986"/>
        <w:gridCol w:w="994"/>
        <w:gridCol w:w="1032"/>
        <w:gridCol w:w="1008"/>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项目</w:t>
            </w:r>
          </w:p>
        </w:tc>
        <w:tc>
          <w:tcPr>
            <w:tcW w:w="4678" w:type="dxa"/>
            <w:gridSpan w:val="2"/>
            <w:tcBorders>
              <w:bottom w:val="single" w:color="auto" w:sz="4" w:space="0"/>
            </w:tcBorders>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评  审  内  容</w:t>
            </w:r>
          </w:p>
        </w:tc>
        <w:tc>
          <w:tcPr>
            <w:tcW w:w="994"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投标人1</w:t>
            </w:r>
          </w:p>
        </w:tc>
        <w:tc>
          <w:tcPr>
            <w:tcW w:w="1032"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投标人2</w:t>
            </w:r>
          </w:p>
        </w:tc>
        <w:tc>
          <w:tcPr>
            <w:tcW w:w="1008"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投标人3</w:t>
            </w:r>
          </w:p>
        </w:tc>
        <w:tc>
          <w:tcPr>
            <w:tcW w:w="1302"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初</w:t>
            </w:r>
          </w:p>
          <w:p>
            <w:pPr>
              <w:snapToGrid w:val="0"/>
              <w:spacing w:line="500" w:lineRule="exact"/>
              <w:jc w:val="center"/>
              <w:rPr>
                <w:rFonts w:ascii="宋体" w:hAnsi="宋体" w:cs="宋体"/>
                <w:kern w:val="0"/>
                <w:szCs w:val="21"/>
              </w:rPr>
            </w:pPr>
            <w:r>
              <w:rPr>
                <w:rFonts w:hint="eastAsia" w:ascii="宋体" w:hAnsi="宋体" w:cs="宋体"/>
                <w:kern w:val="0"/>
                <w:szCs w:val="21"/>
              </w:rPr>
              <w:t>步</w:t>
            </w:r>
          </w:p>
          <w:p>
            <w:pPr>
              <w:snapToGrid w:val="0"/>
              <w:spacing w:line="500" w:lineRule="exact"/>
              <w:jc w:val="center"/>
              <w:rPr>
                <w:rFonts w:ascii="宋体" w:hAnsi="宋体" w:cs="宋体"/>
                <w:kern w:val="0"/>
                <w:szCs w:val="21"/>
              </w:rPr>
            </w:pPr>
            <w:r>
              <w:rPr>
                <w:rFonts w:hint="eastAsia" w:ascii="宋体" w:hAnsi="宋体" w:cs="宋体"/>
                <w:kern w:val="0"/>
                <w:szCs w:val="21"/>
              </w:rPr>
              <w:t>评</w:t>
            </w:r>
          </w:p>
          <w:p>
            <w:pPr>
              <w:snapToGrid w:val="0"/>
              <w:spacing w:line="500" w:lineRule="exact"/>
              <w:jc w:val="center"/>
              <w:rPr>
                <w:rFonts w:ascii="宋体" w:hAnsi="宋体" w:cs="宋体"/>
                <w:kern w:val="0"/>
                <w:szCs w:val="21"/>
              </w:rPr>
            </w:pPr>
            <w:r>
              <w:rPr>
                <w:rFonts w:hint="eastAsia" w:ascii="宋体" w:hAnsi="宋体" w:cs="宋体"/>
                <w:kern w:val="0"/>
                <w:szCs w:val="21"/>
              </w:rPr>
              <w:t>审</w:t>
            </w:r>
          </w:p>
          <w:p>
            <w:pPr>
              <w:snapToGrid w:val="0"/>
              <w:spacing w:line="500" w:lineRule="exact"/>
              <w:jc w:val="center"/>
              <w:rPr>
                <w:rFonts w:ascii="宋体" w:hAnsi="宋体" w:cs="宋体"/>
                <w:kern w:val="0"/>
                <w:szCs w:val="21"/>
              </w:rPr>
            </w:pPr>
            <w:r>
              <w:rPr>
                <w:rFonts w:hint="eastAsia" w:ascii="宋体" w:hAnsi="宋体" w:cs="宋体"/>
                <w:kern w:val="0"/>
                <w:szCs w:val="21"/>
              </w:rPr>
              <w:t>︹</w:t>
            </w:r>
          </w:p>
          <w:p>
            <w:pPr>
              <w:snapToGrid w:val="0"/>
              <w:spacing w:line="500" w:lineRule="exact"/>
              <w:jc w:val="center"/>
              <w:rPr>
                <w:rFonts w:ascii="宋体" w:hAnsi="宋体" w:cs="宋体"/>
                <w:kern w:val="0"/>
                <w:szCs w:val="21"/>
              </w:rPr>
            </w:pPr>
            <w:r>
              <w:rPr>
                <w:rFonts w:hint="eastAsia" w:ascii="宋体" w:hAnsi="宋体" w:cs="宋体"/>
                <w:kern w:val="0"/>
                <w:szCs w:val="21"/>
              </w:rPr>
              <w:t>符</w:t>
            </w:r>
          </w:p>
          <w:p>
            <w:pPr>
              <w:snapToGrid w:val="0"/>
              <w:spacing w:line="500" w:lineRule="exact"/>
              <w:jc w:val="center"/>
              <w:rPr>
                <w:rFonts w:ascii="宋体" w:hAnsi="宋体" w:cs="宋体"/>
                <w:kern w:val="0"/>
                <w:szCs w:val="21"/>
              </w:rPr>
            </w:pPr>
            <w:r>
              <w:rPr>
                <w:rFonts w:hint="eastAsia" w:ascii="宋体" w:hAnsi="宋体" w:cs="宋体"/>
                <w:kern w:val="0"/>
                <w:szCs w:val="21"/>
              </w:rPr>
              <w:t>合</w:t>
            </w:r>
          </w:p>
          <w:p>
            <w:pPr>
              <w:snapToGrid w:val="0"/>
              <w:spacing w:line="500" w:lineRule="exact"/>
              <w:jc w:val="center"/>
              <w:rPr>
                <w:rFonts w:ascii="宋体" w:hAnsi="宋体" w:cs="宋体"/>
                <w:kern w:val="0"/>
                <w:szCs w:val="21"/>
              </w:rPr>
            </w:pPr>
            <w:r>
              <w:rPr>
                <w:rFonts w:hint="eastAsia" w:ascii="宋体" w:hAnsi="宋体" w:cs="宋体"/>
                <w:kern w:val="0"/>
                <w:szCs w:val="21"/>
              </w:rPr>
              <w:t>性</w:t>
            </w:r>
          </w:p>
          <w:p>
            <w:pPr>
              <w:snapToGrid w:val="0"/>
              <w:spacing w:line="500" w:lineRule="exact"/>
              <w:jc w:val="center"/>
              <w:rPr>
                <w:rFonts w:ascii="宋体" w:hAnsi="宋体" w:cs="宋体"/>
                <w:kern w:val="0"/>
                <w:szCs w:val="21"/>
              </w:rPr>
            </w:pPr>
            <w:r>
              <w:rPr>
                <w:rFonts w:hint="eastAsia" w:ascii="宋体" w:hAnsi="宋体" w:cs="宋体"/>
                <w:kern w:val="0"/>
                <w:szCs w:val="21"/>
              </w:rPr>
              <w:t>审</w:t>
            </w:r>
          </w:p>
          <w:p>
            <w:pPr>
              <w:snapToGrid w:val="0"/>
              <w:spacing w:line="500" w:lineRule="exact"/>
              <w:jc w:val="center"/>
              <w:rPr>
                <w:rFonts w:ascii="宋体" w:hAnsi="宋体" w:cs="宋体"/>
                <w:kern w:val="0"/>
                <w:szCs w:val="21"/>
              </w:rPr>
            </w:pPr>
            <w:r>
              <w:rPr>
                <w:rFonts w:hint="eastAsia" w:ascii="宋体" w:hAnsi="宋体" w:cs="宋体"/>
                <w:kern w:val="0"/>
                <w:szCs w:val="21"/>
              </w:rPr>
              <w:t>查</w:t>
            </w:r>
          </w:p>
          <w:p>
            <w:pPr>
              <w:snapToGrid w:val="0"/>
              <w:spacing w:line="500" w:lineRule="exact"/>
              <w:jc w:val="center"/>
              <w:rPr>
                <w:rFonts w:ascii="宋体" w:hAnsi="宋体" w:cs="宋体"/>
                <w:kern w:val="0"/>
                <w:szCs w:val="21"/>
              </w:rPr>
            </w:pPr>
            <w:r>
              <w:rPr>
                <w:rFonts w:hint="eastAsia" w:ascii="宋体" w:hAnsi="宋体" w:cs="宋体"/>
                <w:kern w:val="0"/>
                <w:szCs w:val="21"/>
              </w:rPr>
              <w:t>表</w:t>
            </w:r>
          </w:p>
          <w:p>
            <w:pPr>
              <w:snapToGrid w:val="0"/>
              <w:spacing w:line="500" w:lineRule="exact"/>
              <w:jc w:val="center"/>
              <w:rPr>
                <w:rFonts w:ascii="宋体" w:hAnsi="宋体" w:cs="宋体"/>
                <w:kern w:val="0"/>
                <w:szCs w:val="21"/>
              </w:rPr>
            </w:pPr>
            <w:r>
              <w:rPr>
                <w:rFonts w:hint="eastAsia" w:ascii="宋体" w:hAnsi="宋体" w:cs="宋体"/>
                <w:kern w:val="0"/>
                <w:szCs w:val="21"/>
              </w:rPr>
              <w:t>︺</w:t>
            </w: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1</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投标文件是否按磋商文件要求签字或盖章；</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2</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投标报价是否高于本项目的控制价；</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3</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投标人是否对同一招标项目做出两个以上报价且未明确效力的；</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4</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投标文件的工期是否超过磋商文件规定期限；</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5</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投标保证金的缴纳主体是否与投标人一致、提供投标担保或者所提供的投标担保不符合采购文件要求；</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6</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项目负责人是否符合磋商文件要求、并按磋商文件要求提供相关资料；拟派主要服务人员是否符合磋商文件要求并按采购文件要求提供相关资料；</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7</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投标文件封面右上角是否注明“正本”或“副本”字样；</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8</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投标承诺书是否按磋商文件规定格式完整提供、且按磋商文件要求签字或盖章；</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9</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法定代表人身份证明书及法定代表人授权委托书是否按磋商文件规定格式完整提供、并按磋商文件要求签字或盖章。</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10</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企业信誉是否满足磋商文件的要求</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11</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投标文件是否附有招标人不能接受的条件</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12</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技术服务等是否满足磋商文件要求；</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snapToGrid w:val="0"/>
              <w:spacing w:line="500" w:lineRule="exact"/>
              <w:rPr>
                <w:rFonts w:ascii="宋体" w:hAnsi="宋体" w:cs="宋体"/>
                <w:kern w:val="0"/>
                <w:szCs w:val="21"/>
              </w:rPr>
            </w:pPr>
          </w:p>
        </w:tc>
        <w:tc>
          <w:tcPr>
            <w:tcW w:w="692"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13</w:t>
            </w:r>
          </w:p>
        </w:tc>
        <w:tc>
          <w:tcPr>
            <w:tcW w:w="3986" w:type="dxa"/>
            <w:vAlign w:val="center"/>
          </w:tcPr>
          <w:p>
            <w:pPr>
              <w:snapToGrid w:val="0"/>
              <w:spacing w:line="500" w:lineRule="exact"/>
              <w:rPr>
                <w:rFonts w:ascii="宋体" w:hAnsi="宋体" w:cs="宋体"/>
                <w:kern w:val="0"/>
                <w:szCs w:val="21"/>
              </w:rPr>
            </w:pPr>
            <w:r>
              <w:rPr>
                <w:rFonts w:hint="eastAsia" w:ascii="宋体" w:hAnsi="宋体" w:cs="宋体"/>
                <w:kern w:val="0"/>
                <w:szCs w:val="21"/>
              </w:rPr>
              <w:t>是否满足磋商文件实质性要求的其他情形</w:t>
            </w:r>
          </w:p>
        </w:tc>
        <w:tc>
          <w:tcPr>
            <w:tcW w:w="994" w:type="dxa"/>
            <w:vAlign w:val="center"/>
          </w:tcPr>
          <w:p>
            <w:pPr>
              <w:snapToGrid w:val="0"/>
              <w:spacing w:line="500" w:lineRule="exact"/>
              <w:rPr>
                <w:rFonts w:ascii="宋体" w:hAnsi="宋体" w:cs="宋体"/>
                <w:kern w:val="0"/>
                <w:szCs w:val="21"/>
              </w:rPr>
            </w:pPr>
          </w:p>
        </w:tc>
        <w:tc>
          <w:tcPr>
            <w:tcW w:w="1032" w:type="dxa"/>
            <w:vAlign w:val="center"/>
          </w:tcPr>
          <w:p>
            <w:pPr>
              <w:snapToGrid w:val="0"/>
              <w:spacing w:line="500" w:lineRule="exact"/>
              <w:rPr>
                <w:rFonts w:ascii="宋体" w:hAnsi="宋体" w:cs="宋体"/>
                <w:kern w:val="0"/>
                <w:szCs w:val="21"/>
              </w:rPr>
            </w:pPr>
          </w:p>
        </w:tc>
        <w:tc>
          <w:tcPr>
            <w:tcW w:w="1008" w:type="dxa"/>
            <w:vAlign w:val="center"/>
          </w:tcPr>
          <w:p>
            <w:pPr>
              <w:snapToGrid w:val="0"/>
              <w:spacing w:line="500" w:lineRule="exact"/>
              <w:rPr>
                <w:rFonts w:ascii="宋体" w:hAnsi="宋体" w:cs="宋体"/>
                <w:kern w:val="0"/>
                <w:szCs w:val="21"/>
              </w:rPr>
            </w:pPr>
          </w:p>
        </w:tc>
        <w:tc>
          <w:tcPr>
            <w:tcW w:w="1302" w:type="dxa"/>
            <w:vAlign w:val="center"/>
          </w:tcPr>
          <w:p>
            <w:pPr>
              <w:snapToGrid w:val="0"/>
              <w:spacing w:line="500" w:lineRule="exac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7"/>
            <w:vAlign w:val="center"/>
          </w:tcPr>
          <w:p>
            <w:pPr>
              <w:snapToGrid w:val="0"/>
              <w:spacing w:line="500" w:lineRule="exact"/>
              <w:rPr>
                <w:rFonts w:ascii="宋体" w:hAnsi="宋体" w:cs="宋体"/>
                <w:kern w:val="0"/>
                <w:szCs w:val="21"/>
              </w:rPr>
            </w:pPr>
            <w:r>
              <w:rPr>
                <w:rFonts w:hint="eastAsia" w:ascii="宋体" w:hAnsi="宋体" w:cs="宋体"/>
                <w:kern w:val="0"/>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9831" w:type="dxa"/>
            <w:gridSpan w:val="7"/>
            <w:vAlign w:val="center"/>
          </w:tcPr>
          <w:p>
            <w:pPr>
              <w:snapToGrid w:val="0"/>
              <w:spacing w:line="500" w:lineRule="exact"/>
              <w:rPr>
                <w:rFonts w:ascii="宋体" w:hAnsi="宋体" w:cs="宋体"/>
                <w:kern w:val="0"/>
                <w:szCs w:val="21"/>
              </w:rPr>
            </w:pPr>
            <w:r>
              <w:rPr>
                <w:rFonts w:hint="eastAsia" w:ascii="宋体" w:hAnsi="宋体" w:cs="宋体"/>
                <w:kern w:val="0"/>
                <w:szCs w:val="21"/>
              </w:rPr>
              <w:t>评标委员会成员签名：</w:t>
            </w:r>
          </w:p>
          <w:p>
            <w:pPr>
              <w:snapToGrid w:val="0"/>
              <w:spacing w:line="500" w:lineRule="exact"/>
              <w:rPr>
                <w:rFonts w:ascii="宋体" w:hAnsi="宋体" w:cs="宋体"/>
                <w:kern w:val="0"/>
                <w:szCs w:val="21"/>
              </w:rPr>
            </w:pPr>
            <w:r>
              <w:rPr>
                <w:rFonts w:hint="eastAsia" w:ascii="宋体" w:hAnsi="宋体" w:cs="宋体"/>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7"/>
            <w:vAlign w:val="center"/>
          </w:tcPr>
          <w:p>
            <w:pPr>
              <w:snapToGrid w:val="0"/>
              <w:spacing w:line="500" w:lineRule="exact"/>
              <w:rPr>
                <w:rFonts w:ascii="宋体" w:hAnsi="宋体" w:cs="宋体"/>
                <w:kern w:val="0"/>
                <w:szCs w:val="21"/>
              </w:rPr>
            </w:pPr>
            <w:r>
              <w:rPr>
                <w:rFonts w:hint="eastAsia" w:ascii="宋体" w:hAnsi="宋体" w:cs="宋体"/>
                <w:kern w:val="0"/>
                <w:szCs w:val="21"/>
              </w:rPr>
              <w:t>备注：如果磋商响应文件中有一项未通过上述审查标准，评标委员会将认定整个磋商响应文件不响应竞磋文件而予以投标无效，并且不允许投标人通过修改或撤销其不符合要求的差异或保留，使之成为具有响应性的投标。通过重大偏差审核的以“√”标记；未通过重大偏差审核的以“×”标记，并予以说明。</w:t>
            </w:r>
          </w:p>
        </w:tc>
      </w:tr>
    </w:tbl>
    <w:p>
      <w:pPr>
        <w:snapToGrid w:val="0"/>
        <w:spacing w:line="500" w:lineRule="exact"/>
        <w:rPr>
          <w:rFonts w:ascii="宋体" w:hAnsi="宋体" w:cs="宋体"/>
          <w:kern w:val="0"/>
          <w:szCs w:val="21"/>
        </w:rPr>
      </w:pPr>
    </w:p>
    <w:p>
      <w:pPr>
        <w:snapToGrid w:val="0"/>
        <w:spacing w:line="500" w:lineRule="exact"/>
        <w:rPr>
          <w:rFonts w:ascii="宋体" w:hAnsi="宋体" w:cs="宋体"/>
          <w:kern w:val="0"/>
          <w:szCs w:val="21"/>
        </w:rPr>
      </w:pPr>
      <w:r>
        <w:rPr>
          <w:rFonts w:hint="eastAsia" w:ascii="宋体" w:hAnsi="宋体" w:cs="宋体"/>
          <w:kern w:val="0"/>
          <w:szCs w:val="21"/>
        </w:rPr>
        <w:t>二、投标报价评审标准及办法</w:t>
      </w:r>
    </w:p>
    <w:p>
      <w:pPr>
        <w:snapToGrid w:val="0"/>
        <w:spacing w:line="500" w:lineRule="exact"/>
        <w:rPr>
          <w:rFonts w:ascii="宋体" w:hAnsi="宋体" w:cs="宋体"/>
          <w:kern w:val="0"/>
          <w:szCs w:val="21"/>
        </w:rPr>
      </w:pPr>
      <w:r>
        <w:rPr>
          <w:rFonts w:hint="eastAsia" w:ascii="宋体" w:hAnsi="宋体" w:cs="宋体"/>
          <w:kern w:val="0"/>
          <w:szCs w:val="21"/>
        </w:rPr>
        <w:t>满足磋商文件要求且最后投标价格最低的投标报价为磋商基准价，磋商报价得分=（磋商基准价／最后磋商报价）×价格权值×100，计算分数时四舍五入取小数点后两位。【说明： 评标的具体评审办法和标准：商务标权重20%、技术标权重30%，经济标权重50%】</w:t>
      </w:r>
    </w:p>
    <w:p>
      <w:pPr>
        <w:snapToGrid w:val="0"/>
        <w:spacing w:line="500" w:lineRule="exact"/>
        <w:jc w:val="center"/>
        <w:rPr>
          <w:rFonts w:ascii="宋体" w:hAnsi="宋体" w:cs="宋体"/>
          <w:kern w:val="0"/>
          <w:szCs w:val="21"/>
        </w:rPr>
      </w:pPr>
    </w:p>
    <w:p>
      <w:pPr>
        <w:snapToGrid w:val="0"/>
        <w:spacing w:line="500" w:lineRule="exact"/>
        <w:jc w:val="center"/>
        <w:rPr>
          <w:rFonts w:ascii="宋体" w:hAnsi="宋体" w:cs="宋体"/>
          <w:kern w:val="0"/>
          <w:szCs w:val="21"/>
        </w:rPr>
      </w:pPr>
      <w:r>
        <w:rPr>
          <w:rFonts w:hint="eastAsia" w:ascii="宋体" w:hAnsi="宋体" w:cs="宋体"/>
          <w:kern w:val="0"/>
          <w:szCs w:val="21"/>
        </w:rPr>
        <w:t>经济标评审标准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97"/>
        <w:gridCol w:w="1178"/>
        <w:gridCol w:w="851"/>
        <w:gridCol w:w="5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75"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序号</w:t>
            </w:r>
          </w:p>
        </w:tc>
        <w:tc>
          <w:tcPr>
            <w:tcW w:w="1097"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项目</w:t>
            </w:r>
          </w:p>
        </w:tc>
        <w:tc>
          <w:tcPr>
            <w:tcW w:w="1178" w:type="dxa"/>
            <w:tcBorders>
              <w:bottom w:val="single" w:color="auto" w:sz="4" w:space="0"/>
            </w:tcBorders>
          </w:tcPr>
          <w:p>
            <w:pPr>
              <w:snapToGrid w:val="0"/>
              <w:spacing w:line="500" w:lineRule="exact"/>
              <w:rPr>
                <w:rFonts w:ascii="宋体" w:hAnsi="宋体" w:cs="宋体"/>
                <w:kern w:val="0"/>
                <w:szCs w:val="21"/>
              </w:rPr>
            </w:pPr>
            <w:r>
              <w:rPr>
                <w:rFonts w:hint="eastAsia" w:ascii="宋体" w:hAnsi="宋体" w:cs="宋体"/>
                <w:kern w:val="0"/>
                <w:szCs w:val="21"/>
              </w:rPr>
              <w:t>评审因素</w:t>
            </w:r>
          </w:p>
        </w:tc>
        <w:tc>
          <w:tcPr>
            <w:tcW w:w="851"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标准分</w:t>
            </w:r>
          </w:p>
        </w:tc>
        <w:tc>
          <w:tcPr>
            <w:tcW w:w="5741" w:type="dxa"/>
            <w:tcBorders>
              <w:bottom w:val="single" w:color="auto" w:sz="4" w:space="0"/>
            </w:tcBorders>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75"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1</w:t>
            </w:r>
          </w:p>
        </w:tc>
        <w:tc>
          <w:tcPr>
            <w:tcW w:w="1097"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经济（权重50%）</w:t>
            </w:r>
          </w:p>
        </w:tc>
        <w:tc>
          <w:tcPr>
            <w:tcW w:w="1178"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价格</w:t>
            </w:r>
          </w:p>
        </w:tc>
        <w:tc>
          <w:tcPr>
            <w:tcW w:w="851"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50</w:t>
            </w:r>
          </w:p>
        </w:tc>
        <w:tc>
          <w:tcPr>
            <w:tcW w:w="5741" w:type="dxa"/>
            <w:vAlign w:val="center"/>
          </w:tcPr>
          <w:p>
            <w:pPr>
              <w:snapToGrid w:val="0"/>
              <w:spacing w:line="500" w:lineRule="exact"/>
              <w:rPr>
                <w:rFonts w:ascii="宋体" w:hAnsi="宋体" w:cs="宋体"/>
                <w:kern w:val="0"/>
                <w:szCs w:val="21"/>
              </w:rPr>
            </w:pPr>
            <w:r>
              <w:rPr>
                <w:rFonts w:hint="eastAsia"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9642" w:type="dxa"/>
            <w:gridSpan w:val="5"/>
            <w:vAlign w:val="center"/>
          </w:tcPr>
          <w:p>
            <w:pPr>
              <w:snapToGrid w:val="0"/>
              <w:spacing w:line="500" w:lineRule="exact"/>
              <w:rPr>
                <w:rFonts w:hint="eastAsia" w:ascii="宋体" w:hAnsi="宋体" w:cs="宋体"/>
                <w:kern w:val="0"/>
                <w:szCs w:val="21"/>
              </w:rPr>
            </w:pPr>
            <w:r>
              <w:rPr>
                <w:rFonts w:hint="eastAsia" w:ascii="宋体" w:hAnsi="宋体" w:cs="宋体"/>
                <w:kern w:val="0"/>
                <w:szCs w:val="21"/>
              </w:rPr>
              <w:t>注：本项目经济标权重取值范围：K</w:t>
            </w:r>
            <w:r>
              <w:rPr>
                <w:rFonts w:hint="eastAsia" w:ascii="宋体" w:hAnsi="宋体" w:cs="宋体"/>
                <w:kern w:val="0"/>
                <w:szCs w:val="21"/>
                <w:lang w:val="en-US" w:eastAsia="zh-CN"/>
              </w:rPr>
              <w:t>3</w:t>
            </w:r>
            <w:r>
              <w:rPr>
                <w:rFonts w:hint="eastAsia" w:ascii="宋体" w:hAnsi="宋体" w:cs="宋体"/>
                <w:kern w:val="0"/>
                <w:szCs w:val="21"/>
              </w:rPr>
              <w:t>=50%。各值均保留两位小数，后余位数四舍五入</w:t>
            </w:r>
          </w:p>
          <w:p>
            <w:pPr>
              <w:snapToGrid w:val="0"/>
              <w:spacing w:line="500" w:lineRule="exact"/>
              <w:rPr>
                <w:rFonts w:ascii="宋体" w:hAnsi="宋体" w:cs="宋体"/>
                <w:kern w:val="0"/>
                <w:szCs w:val="21"/>
              </w:rPr>
            </w:pPr>
          </w:p>
        </w:tc>
      </w:tr>
    </w:tbl>
    <w:p>
      <w:pPr>
        <w:snapToGrid w:val="0"/>
        <w:spacing w:line="500" w:lineRule="exact"/>
        <w:rPr>
          <w:rFonts w:ascii="宋体" w:hAnsi="宋体" w:cs="宋体"/>
          <w:kern w:val="0"/>
          <w:szCs w:val="21"/>
        </w:rPr>
      </w:pPr>
    </w:p>
    <w:p>
      <w:pPr>
        <w:snapToGrid w:val="0"/>
        <w:spacing w:line="500" w:lineRule="exact"/>
        <w:jc w:val="center"/>
        <w:rPr>
          <w:rFonts w:ascii="宋体" w:hAnsi="宋体" w:cs="宋体"/>
          <w:kern w:val="0"/>
          <w:szCs w:val="21"/>
        </w:rPr>
      </w:pPr>
    </w:p>
    <w:p>
      <w:pPr>
        <w:snapToGrid w:val="0"/>
        <w:spacing w:line="500" w:lineRule="exact"/>
        <w:jc w:val="center"/>
        <w:rPr>
          <w:rFonts w:ascii="宋体" w:hAnsi="宋体" w:cs="宋体"/>
          <w:kern w:val="0"/>
          <w:szCs w:val="21"/>
        </w:rPr>
      </w:pPr>
    </w:p>
    <w:p>
      <w:pPr>
        <w:snapToGrid w:val="0"/>
        <w:spacing w:line="500" w:lineRule="exact"/>
        <w:jc w:val="center"/>
        <w:rPr>
          <w:rFonts w:ascii="宋体" w:hAnsi="宋体" w:cs="宋体"/>
          <w:kern w:val="0"/>
          <w:szCs w:val="21"/>
        </w:rPr>
      </w:pPr>
    </w:p>
    <w:p>
      <w:pPr>
        <w:snapToGrid w:val="0"/>
        <w:spacing w:line="500" w:lineRule="exact"/>
        <w:jc w:val="center"/>
        <w:rPr>
          <w:rFonts w:ascii="宋体" w:hAnsi="宋体" w:cs="宋体"/>
          <w:kern w:val="0"/>
          <w:szCs w:val="21"/>
        </w:rPr>
      </w:pPr>
    </w:p>
    <w:p>
      <w:pPr>
        <w:snapToGrid w:val="0"/>
        <w:spacing w:line="500" w:lineRule="exact"/>
        <w:jc w:val="center"/>
        <w:rPr>
          <w:rFonts w:ascii="宋体" w:hAnsi="宋体" w:cs="宋体"/>
          <w:kern w:val="0"/>
          <w:szCs w:val="21"/>
        </w:rPr>
      </w:pPr>
    </w:p>
    <w:p>
      <w:pPr>
        <w:snapToGrid w:val="0"/>
        <w:spacing w:line="500" w:lineRule="exact"/>
        <w:jc w:val="center"/>
        <w:rPr>
          <w:rFonts w:ascii="宋体" w:hAnsi="宋体" w:cs="宋体"/>
          <w:kern w:val="0"/>
          <w:szCs w:val="21"/>
        </w:rPr>
      </w:pPr>
    </w:p>
    <w:p>
      <w:pPr>
        <w:snapToGrid w:val="0"/>
        <w:spacing w:line="500" w:lineRule="exact"/>
        <w:jc w:val="center"/>
        <w:rPr>
          <w:rFonts w:ascii="宋体" w:hAnsi="宋体" w:cs="宋体"/>
          <w:kern w:val="0"/>
          <w:szCs w:val="21"/>
        </w:rPr>
      </w:pPr>
      <w:r>
        <w:rPr>
          <w:rFonts w:hint="eastAsia" w:ascii="宋体" w:hAnsi="宋体" w:cs="宋体"/>
          <w:kern w:val="0"/>
          <w:szCs w:val="21"/>
        </w:rPr>
        <w:t>商务标评分标准</w:t>
      </w:r>
    </w:p>
    <w:tbl>
      <w:tblPr>
        <w:tblStyle w:val="22"/>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327"/>
        <w:gridCol w:w="971"/>
        <w:gridCol w:w="6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458"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项目分值</w:t>
            </w:r>
          </w:p>
        </w:tc>
        <w:tc>
          <w:tcPr>
            <w:tcW w:w="1327"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评审项目</w:t>
            </w:r>
          </w:p>
        </w:tc>
        <w:tc>
          <w:tcPr>
            <w:tcW w:w="971" w:type="dxa"/>
            <w:tcBorders>
              <w:bottom w:val="single" w:color="auto" w:sz="4" w:space="0"/>
            </w:tcBorders>
            <w:vAlign w:val="center"/>
          </w:tcPr>
          <w:p>
            <w:pPr>
              <w:snapToGrid w:val="0"/>
              <w:spacing w:line="500" w:lineRule="exact"/>
              <w:rPr>
                <w:rFonts w:ascii="宋体" w:hAnsi="宋体" w:cs="宋体"/>
                <w:kern w:val="0"/>
                <w:szCs w:val="21"/>
              </w:rPr>
            </w:pPr>
            <w:r>
              <w:rPr>
                <w:rFonts w:hint="eastAsia" w:ascii="宋体" w:hAnsi="宋体" w:cs="宋体"/>
                <w:kern w:val="0"/>
                <w:szCs w:val="21"/>
              </w:rPr>
              <w:t>标准分</w:t>
            </w:r>
          </w:p>
        </w:tc>
        <w:tc>
          <w:tcPr>
            <w:tcW w:w="6044" w:type="dxa"/>
            <w:tcBorders>
              <w:bottom w:val="single" w:color="auto" w:sz="4" w:space="0"/>
            </w:tcBorders>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1458" w:type="dxa"/>
            <w:vMerge w:val="restart"/>
            <w:vAlign w:val="center"/>
          </w:tcPr>
          <w:p>
            <w:pPr>
              <w:snapToGrid w:val="0"/>
              <w:spacing w:line="500" w:lineRule="exact"/>
              <w:rPr>
                <w:rFonts w:ascii="宋体" w:hAnsi="宋体" w:cs="宋体"/>
                <w:kern w:val="0"/>
                <w:szCs w:val="21"/>
              </w:rPr>
            </w:pPr>
            <w:r>
              <w:rPr>
                <w:rFonts w:hint="eastAsia" w:ascii="宋体" w:hAnsi="宋体" w:cs="宋体"/>
                <w:kern w:val="0"/>
                <w:szCs w:val="21"/>
              </w:rPr>
              <w:t>商务标</w:t>
            </w:r>
          </w:p>
          <w:p>
            <w:pPr>
              <w:snapToGrid w:val="0"/>
              <w:spacing w:line="500" w:lineRule="exact"/>
              <w:rPr>
                <w:rFonts w:ascii="宋体" w:hAnsi="宋体" w:cs="宋体"/>
                <w:kern w:val="0"/>
                <w:szCs w:val="21"/>
              </w:rPr>
            </w:pPr>
            <w:r>
              <w:rPr>
                <w:rFonts w:hint="eastAsia" w:ascii="宋体" w:hAnsi="宋体" w:cs="宋体"/>
                <w:kern w:val="0"/>
                <w:szCs w:val="21"/>
              </w:rPr>
              <w:t>100分（权重20%）</w:t>
            </w:r>
          </w:p>
        </w:tc>
        <w:tc>
          <w:tcPr>
            <w:tcW w:w="1327" w:type="dxa"/>
            <w:vAlign w:val="center"/>
          </w:tcPr>
          <w:p>
            <w:pPr>
              <w:snapToGrid w:val="0"/>
              <w:spacing w:line="500" w:lineRule="exact"/>
              <w:jc w:val="center"/>
              <w:rPr>
                <w:rFonts w:ascii="宋体" w:hAnsi="宋体" w:cs="宋体"/>
                <w:kern w:val="0"/>
                <w:szCs w:val="21"/>
                <w:highlight w:val="yellow"/>
              </w:rPr>
            </w:pPr>
            <w:r>
              <w:rPr>
                <w:rFonts w:hint="eastAsia" w:ascii="宋体" w:hAnsi="宋体" w:cs="宋体"/>
                <w:kern w:val="0"/>
                <w:szCs w:val="21"/>
                <w:highlight w:val="none"/>
              </w:rPr>
              <w:t>投标人类似业绩</w:t>
            </w:r>
          </w:p>
        </w:tc>
        <w:tc>
          <w:tcPr>
            <w:tcW w:w="971" w:type="dxa"/>
            <w:vAlign w:val="center"/>
          </w:tcPr>
          <w:p>
            <w:pPr>
              <w:snapToGrid w:val="0"/>
              <w:spacing w:line="5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w:t>
            </w:r>
          </w:p>
        </w:tc>
        <w:tc>
          <w:tcPr>
            <w:tcW w:w="6044" w:type="dxa"/>
            <w:vAlign w:val="center"/>
          </w:tcPr>
          <w:p>
            <w:pPr>
              <w:snapToGrid w:val="0"/>
              <w:spacing w:line="500" w:lineRule="exact"/>
              <w:rPr>
                <w:rFonts w:ascii="宋体" w:hAnsi="宋体" w:cs="宋体"/>
                <w:kern w:val="0"/>
                <w:szCs w:val="21"/>
              </w:rPr>
            </w:pPr>
            <w:r>
              <w:rPr>
                <w:rFonts w:hint="eastAsia" w:ascii="宋体" w:hAnsi="宋体" w:cs="宋体"/>
                <w:kern w:val="0"/>
                <w:szCs w:val="21"/>
              </w:rPr>
              <w:t xml:space="preserve">投标人近三年（2019年1月1日至今）相关类似业绩不少于1个，提供1个得 </w:t>
            </w:r>
            <w:r>
              <w:rPr>
                <w:rFonts w:hint="eastAsia" w:ascii="宋体" w:hAnsi="宋体" w:cs="宋体"/>
                <w:kern w:val="0"/>
                <w:szCs w:val="21"/>
                <w:lang w:val="en-US" w:eastAsia="zh-CN"/>
              </w:rPr>
              <w:t>10</w:t>
            </w:r>
            <w:r>
              <w:rPr>
                <w:rFonts w:hint="eastAsia" w:ascii="宋体" w:hAnsi="宋体" w:cs="宋体"/>
                <w:kern w:val="0"/>
                <w:szCs w:val="21"/>
              </w:rPr>
              <w:t>分</w:t>
            </w:r>
            <w:r>
              <w:rPr>
                <w:rFonts w:hint="eastAsia" w:ascii="宋体" w:hAnsi="宋体" w:cs="宋体"/>
                <w:kern w:val="0"/>
                <w:szCs w:val="21"/>
                <w:lang w:eastAsia="zh-CN"/>
              </w:rPr>
              <w:t>，</w:t>
            </w:r>
            <w:r>
              <w:rPr>
                <w:rFonts w:hint="eastAsia" w:ascii="宋体" w:hAnsi="宋体" w:cs="宋体"/>
                <w:kern w:val="0"/>
                <w:szCs w:val="21"/>
              </w:rPr>
              <w:t>满分</w:t>
            </w:r>
            <w:r>
              <w:rPr>
                <w:rFonts w:hint="eastAsia" w:ascii="宋体" w:hAnsi="宋体" w:cs="宋体"/>
                <w:kern w:val="0"/>
                <w:szCs w:val="21"/>
                <w:lang w:val="en-US" w:eastAsia="zh-CN"/>
              </w:rPr>
              <w:t>20</w:t>
            </w:r>
            <w:r>
              <w:rPr>
                <w:rFonts w:hint="eastAsia" w:ascii="宋体" w:hAnsi="宋体" w:cs="宋体"/>
                <w:kern w:val="0"/>
                <w:szCs w:val="21"/>
              </w:rPr>
              <w:t>分。且证明材料齐全（包括中标通知书、施工合同的复印件）。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458" w:type="dxa"/>
            <w:vMerge w:val="continue"/>
            <w:vAlign w:val="center"/>
          </w:tcPr>
          <w:p>
            <w:pPr>
              <w:snapToGrid w:val="0"/>
              <w:spacing w:line="500" w:lineRule="exact"/>
              <w:rPr>
                <w:rFonts w:ascii="宋体" w:hAnsi="宋体" w:cs="宋体"/>
                <w:kern w:val="0"/>
                <w:szCs w:val="21"/>
              </w:rPr>
            </w:pPr>
          </w:p>
        </w:tc>
        <w:tc>
          <w:tcPr>
            <w:tcW w:w="1327" w:type="dxa"/>
            <w:vAlign w:val="center"/>
          </w:tcPr>
          <w:p>
            <w:pPr>
              <w:pStyle w:val="18"/>
              <w:spacing w:before="0" w:beforeAutospacing="0" w:after="0" w:afterAutospacing="0"/>
              <w:jc w:val="center"/>
              <w:rPr>
                <w:rFonts w:hint="eastAsia" w:ascii="新宋体" w:hAnsi="新宋体" w:eastAsia="新宋体" w:cs="新宋体"/>
                <w:color w:val="auto"/>
              </w:rPr>
            </w:pPr>
          </w:p>
          <w:p>
            <w:pPr>
              <w:pStyle w:val="18"/>
              <w:spacing w:before="0" w:beforeAutospacing="0" w:after="0" w:afterAutospacing="0"/>
              <w:jc w:val="center"/>
              <w:rPr>
                <w:rFonts w:hint="eastAsia" w:ascii="新宋体" w:hAnsi="新宋体" w:eastAsia="新宋体" w:cs="新宋体"/>
                <w:color w:val="auto"/>
              </w:rPr>
            </w:pPr>
          </w:p>
          <w:p>
            <w:pPr>
              <w:pStyle w:val="18"/>
              <w:spacing w:before="0" w:beforeAutospacing="0" w:after="0" w:afterAutospacing="0"/>
              <w:jc w:val="center"/>
              <w:rPr>
                <w:rFonts w:hint="eastAsia" w:ascii="新宋体" w:hAnsi="新宋体" w:eastAsia="新宋体" w:cs="新宋体"/>
                <w:color w:val="auto"/>
              </w:rPr>
            </w:pPr>
            <w:r>
              <w:rPr>
                <w:rFonts w:hint="eastAsia" w:ascii="新宋体" w:hAnsi="新宋体" w:eastAsia="新宋体" w:cs="新宋体"/>
                <w:color w:val="auto"/>
              </w:rPr>
              <w:t>企业诚信</w:t>
            </w:r>
          </w:p>
          <w:p>
            <w:pPr>
              <w:snapToGrid w:val="0"/>
              <w:spacing w:line="500" w:lineRule="exact"/>
              <w:jc w:val="center"/>
              <w:rPr>
                <w:rFonts w:hint="eastAsia" w:ascii="宋体" w:hAnsi="宋体" w:cs="宋体"/>
                <w:kern w:val="0"/>
                <w:szCs w:val="21"/>
              </w:rPr>
            </w:pPr>
          </w:p>
        </w:tc>
        <w:tc>
          <w:tcPr>
            <w:tcW w:w="971" w:type="dxa"/>
            <w:vAlign w:val="center"/>
          </w:tcPr>
          <w:p>
            <w:pPr>
              <w:snapToGrid w:val="0"/>
              <w:spacing w:line="5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6044" w:type="dxa"/>
            <w:vAlign w:val="center"/>
          </w:tcPr>
          <w:p>
            <w:pPr>
              <w:pStyle w:val="18"/>
              <w:numPr>
                <w:ilvl w:val="0"/>
                <w:numId w:val="2"/>
              </w:numPr>
              <w:spacing w:before="0" w:beforeAutospacing="0" w:after="0" w:afterAutospacing="0" w:line="24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“国家企业信用信息公示系统”网站（http://www.gsxt.gov.cn/index.html）未被列入“严重违法失信企业名单”</w:t>
            </w:r>
          </w:p>
          <w:p>
            <w:pPr>
              <w:pStyle w:val="18"/>
              <w:numPr>
                <w:ilvl w:val="0"/>
                <w:numId w:val="2"/>
              </w:numPr>
              <w:spacing w:before="0" w:beforeAutospacing="0" w:after="0" w:afterAutospacing="0" w:line="24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“信用中国”网站(www.creditchina.gov.cn)未被列入“失信被执行人名单”</w:t>
            </w:r>
          </w:p>
          <w:p>
            <w:pPr>
              <w:pStyle w:val="18"/>
              <w:numPr>
                <w:ilvl w:val="0"/>
                <w:numId w:val="2"/>
              </w:numPr>
              <w:spacing w:before="0" w:beforeAutospacing="0" w:after="0" w:afterAutospacing="0" w:line="240" w:lineRule="atLeast"/>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“信用中国”网站(www.creditchina.gov.cn)未被列入“重大税收违法案件当事人名单”</w:t>
            </w:r>
          </w:p>
          <w:p>
            <w:pPr>
              <w:snapToGrid w:val="0"/>
              <w:spacing w:line="500" w:lineRule="exact"/>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注：须提供网站查询截图，</w:t>
            </w:r>
            <w:r>
              <w:rPr>
                <w:rFonts w:hint="eastAsia" w:ascii="宋体" w:hAnsi="宋体" w:cs="宋体"/>
                <w:kern w:val="0"/>
                <w:sz w:val="21"/>
                <w:szCs w:val="21"/>
                <w:lang w:val="en-US" w:eastAsia="zh-CN" w:bidi="ar-SA"/>
              </w:rPr>
              <w:t>提供一个得5分，满分15分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1458" w:type="dxa"/>
            <w:vMerge w:val="continue"/>
            <w:vAlign w:val="center"/>
          </w:tcPr>
          <w:p>
            <w:pPr>
              <w:snapToGrid w:val="0"/>
              <w:spacing w:line="500" w:lineRule="exact"/>
              <w:rPr>
                <w:rFonts w:ascii="宋体" w:hAnsi="宋体" w:cs="宋体"/>
                <w:kern w:val="0"/>
                <w:szCs w:val="21"/>
              </w:rPr>
            </w:pPr>
          </w:p>
        </w:tc>
        <w:tc>
          <w:tcPr>
            <w:tcW w:w="1327"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项目现场管理班子配备人员</w:t>
            </w:r>
          </w:p>
        </w:tc>
        <w:tc>
          <w:tcPr>
            <w:tcW w:w="971"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40</w:t>
            </w:r>
          </w:p>
        </w:tc>
        <w:tc>
          <w:tcPr>
            <w:tcW w:w="6044" w:type="dxa"/>
            <w:vAlign w:val="center"/>
          </w:tcPr>
          <w:p>
            <w:pPr>
              <w:snapToGrid w:val="0"/>
              <w:spacing w:line="500" w:lineRule="exact"/>
              <w:rPr>
                <w:rFonts w:ascii="宋体" w:hAnsi="宋体" w:cs="宋体"/>
                <w:kern w:val="0"/>
                <w:szCs w:val="21"/>
              </w:rPr>
            </w:pPr>
            <w:r>
              <w:rPr>
                <w:rFonts w:hint="eastAsia" w:ascii="宋体" w:hAnsi="宋体" w:cs="宋体"/>
                <w:kern w:val="0"/>
                <w:szCs w:val="21"/>
                <w:highlight w:val="none"/>
              </w:rPr>
              <w:t>项目工程师、施工管理员、质量管理员、安全管理员等要配备齐全，其中项目工程师须</w:t>
            </w:r>
            <w:r>
              <w:rPr>
                <w:rFonts w:hint="eastAsia" w:ascii="宋体" w:hAnsi="宋体" w:cs="宋体"/>
                <w:kern w:val="0"/>
                <w:szCs w:val="21"/>
              </w:rPr>
              <w:t>附职称证书，其他人员证件均需提供。提供1个得10分，满分40分。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6" w:hRule="atLeast"/>
          <w:jc w:val="center"/>
        </w:trPr>
        <w:tc>
          <w:tcPr>
            <w:tcW w:w="1458" w:type="dxa"/>
            <w:vMerge w:val="continue"/>
            <w:vAlign w:val="center"/>
          </w:tcPr>
          <w:p>
            <w:pPr>
              <w:snapToGrid w:val="0"/>
              <w:spacing w:line="500" w:lineRule="exact"/>
              <w:rPr>
                <w:rFonts w:ascii="宋体" w:hAnsi="宋体" w:cs="宋体"/>
                <w:kern w:val="0"/>
                <w:szCs w:val="21"/>
              </w:rPr>
            </w:pPr>
          </w:p>
        </w:tc>
        <w:tc>
          <w:tcPr>
            <w:tcW w:w="1327" w:type="dxa"/>
            <w:vAlign w:val="center"/>
          </w:tcPr>
          <w:p>
            <w:pPr>
              <w:rPr>
                <w:rFonts w:hint="eastAsia" w:ascii="宋体" w:hAnsi="宋体"/>
              </w:rPr>
            </w:pPr>
          </w:p>
          <w:p>
            <w:pPr>
              <w:rPr>
                <w:rFonts w:hint="eastAsia" w:ascii="宋体" w:hAnsi="宋体"/>
              </w:rPr>
            </w:pPr>
          </w:p>
          <w:p>
            <w:pPr>
              <w:rPr>
                <w:szCs w:val="21"/>
              </w:rPr>
            </w:pPr>
            <w:r>
              <w:rPr>
                <w:rFonts w:hint="eastAsia" w:ascii="宋体" w:hAnsi="宋体"/>
              </w:rPr>
              <w:t>信用等级</w:t>
            </w:r>
          </w:p>
          <w:p>
            <w:pPr>
              <w:snapToGrid w:val="0"/>
              <w:spacing w:line="500" w:lineRule="exact"/>
              <w:jc w:val="center"/>
              <w:rPr>
                <w:rFonts w:ascii="宋体" w:hAnsi="宋体" w:cs="宋体"/>
                <w:kern w:val="0"/>
                <w:szCs w:val="21"/>
              </w:rPr>
            </w:pPr>
          </w:p>
        </w:tc>
        <w:tc>
          <w:tcPr>
            <w:tcW w:w="971" w:type="dxa"/>
            <w:vAlign w:val="center"/>
          </w:tcPr>
          <w:p>
            <w:pPr>
              <w:snapToGrid w:val="0"/>
              <w:spacing w:line="50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5</w:t>
            </w:r>
          </w:p>
        </w:tc>
        <w:tc>
          <w:tcPr>
            <w:tcW w:w="6044" w:type="dxa"/>
            <w:vAlign w:val="center"/>
          </w:tcPr>
          <w:p>
            <w:pPr>
              <w:rPr>
                <w:rFonts w:ascii="宋体" w:hAnsi="宋体" w:cs="宋体"/>
                <w:kern w:val="0"/>
                <w:szCs w:val="21"/>
              </w:rPr>
            </w:pPr>
            <w:r>
              <w:rPr>
                <w:rFonts w:hint="eastAsia" w:ascii="宋体" w:hAnsi="宋体" w:cs="宋体"/>
                <w:kern w:val="0"/>
                <w:szCs w:val="21"/>
              </w:rPr>
              <w:t>信用等级为AAA级，得25分；信用等级为AA级，得</w:t>
            </w:r>
            <w:r>
              <w:rPr>
                <w:rFonts w:ascii="宋体" w:hAnsi="宋体" w:cs="宋体"/>
                <w:kern w:val="0"/>
                <w:szCs w:val="21"/>
              </w:rPr>
              <w:t>22</w:t>
            </w:r>
            <w:r>
              <w:rPr>
                <w:rFonts w:hint="eastAsia" w:ascii="宋体" w:hAnsi="宋体" w:cs="宋体"/>
                <w:kern w:val="0"/>
                <w:szCs w:val="21"/>
              </w:rPr>
              <w:t>.5分；信用等级为A级，得</w:t>
            </w:r>
            <w:r>
              <w:rPr>
                <w:rFonts w:ascii="宋体" w:hAnsi="宋体" w:cs="宋体"/>
                <w:kern w:val="0"/>
                <w:szCs w:val="21"/>
              </w:rPr>
              <w:t>20</w:t>
            </w:r>
            <w:r>
              <w:rPr>
                <w:rFonts w:hint="eastAsia" w:ascii="宋体" w:hAnsi="宋体" w:cs="宋体"/>
                <w:kern w:val="0"/>
                <w:szCs w:val="21"/>
              </w:rPr>
              <w:t>分；信用等级为BBB级，得</w:t>
            </w:r>
            <w:r>
              <w:rPr>
                <w:rFonts w:ascii="宋体" w:hAnsi="宋体" w:cs="宋体"/>
                <w:kern w:val="0"/>
                <w:szCs w:val="21"/>
              </w:rPr>
              <w:t>17</w:t>
            </w:r>
            <w:r>
              <w:rPr>
                <w:rFonts w:hint="eastAsia" w:ascii="宋体" w:hAnsi="宋体" w:cs="宋体"/>
                <w:kern w:val="0"/>
                <w:szCs w:val="21"/>
              </w:rPr>
              <w:t>.5分；信用等级为BB级，得</w:t>
            </w:r>
            <w:r>
              <w:rPr>
                <w:rFonts w:ascii="宋体" w:hAnsi="宋体" w:cs="宋体"/>
                <w:kern w:val="0"/>
                <w:szCs w:val="21"/>
              </w:rPr>
              <w:t>15</w:t>
            </w:r>
            <w:r>
              <w:rPr>
                <w:rFonts w:hint="eastAsia" w:ascii="宋体" w:hAnsi="宋体" w:cs="宋体"/>
                <w:kern w:val="0"/>
                <w:szCs w:val="21"/>
              </w:rPr>
              <w:t>分；信用等级为B级，得12.5分；信用等级为CCC级，得</w:t>
            </w:r>
            <w:r>
              <w:rPr>
                <w:rFonts w:ascii="宋体" w:hAnsi="宋体" w:cs="宋体"/>
                <w:kern w:val="0"/>
                <w:szCs w:val="21"/>
              </w:rPr>
              <w:t>10</w:t>
            </w:r>
            <w:r>
              <w:rPr>
                <w:rFonts w:hint="eastAsia" w:ascii="宋体" w:hAnsi="宋体" w:cs="宋体"/>
                <w:kern w:val="0"/>
                <w:szCs w:val="21"/>
              </w:rPr>
              <w:t>分；信用等级为CC级，得</w:t>
            </w:r>
            <w:r>
              <w:rPr>
                <w:rFonts w:ascii="宋体" w:hAnsi="宋体" w:cs="宋体"/>
                <w:kern w:val="0"/>
                <w:szCs w:val="21"/>
              </w:rPr>
              <w:t>7</w:t>
            </w:r>
            <w:r>
              <w:rPr>
                <w:rFonts w:hint="eastAsia" w:ascii="宋体" w:hAnsi="宋体" w:cs="宋体"/>
                <w:kern w:val="0"/>
                <w:szCs w:val="21"/>
              </w:rPr>
              <w:t>.5分；信用等级为C级，得</w:t>
            </w:r>
            <w:r>
              <w:rPr>
                <w:rFonts w:ascii="宋体" w:hAnsi="宋体" w:cs="宋体"/>
                <w:kern w:val="0"/>
                <w:szCs w:val="21"/>
              </w:rPr>
              <w:t>5</w:t>
            </w:r>
            <w:r>
              <w:rPr>
                <w:rFonts w:hint="eastAsia" w:ascii="宋体" w:hAnsi="宋体" w:cs="宋体"/>
                <w:kern w:val="0"/>
                <w:szCs w:val="21"/>
              </w:rPr>
              <w:t>分；（必须提供有效期内的综合信用评价报告）。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800" w:type="dxa"/>
            <w:gridSpan w:val="4"/>
            <w:vAlign w:val="center"/>
          </w:tcPr>
          <w:p>
            <w:pPr>
              <w:snapToGrid w:val="0"/>
              <w:spacing w:line="500" w:lineRule="exact"/>
              <w:rPr>
                <w:rFonts w:ascii="宋体" w:hAnsi="宋体" w:cs="宋体"/>
                <w:kern w:val="0"/>
                <w:szCs w:val="21"/>
              </w:rPr>
            </w:pPr>
            <w:r>
              <w:rPr>
                <w:rFonts w:hint="eastAsia" w:ascii="宋体" w:hAnsi="宋体" w:cs="宋体"/>
                <w:kern w:val="0"/>
                <w:szCs w:val="21"/>
              </w:rPr>
              <w:t>注：本项目商务标权重取值范围：K2= 20%。各值均保留两位小数，后余位数四舍五入</w:t>
            </w:r>
          </w:p>
        </w:tc>
      </w:tr>
    </w:tbl>
    <w:p>
      <w:pPr>
        <w:snapToGrid w:val="0"/>
        <w:spacing w:line="500" w:lineRule="exact"/>
        <w:jc w:val="center"/>
        <w:rPr>
          <w:rFonts w:ascii="宋体" w:hAnsi="宋体" w:cs="宋体"/>
          <w:b/>
          <w:szCs w:val="21"/>
        </w:rPr>
      </w:pPr>
      <w:r>
        <w:rPr>
          <w:rFonts w:hint="eastAsia" w:ascii="宋体" w:hAnsi="宋体" w:cs="宋体"/>
          <w:b/>
          <w:bCs/>
          <w:szCs w:val="21"/>
        </w:rPr>
        <w:t>技术标评标标准</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427"/>
        <w:gridCol w:w="857"/>
        <w:gridCol w:w="6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1368" w:type="dxa"/>
            <w:vAlign w:val="center"/>
          </w:tcPr>
          <w:p>
            <w:pPr>
              <w:pStyle w:val="82"/>
              <w:spacing w:line="440" w:lineRule="exact"/>
              <w:jc w:val="center"/>
              <w:rPr>
                <w:rFonts w:ascii="宋体" w:hAnsi="宋体" w:cs="宋体"/>
                <w:szCs w:val="21"/>
              </w:rPr>
            </w:pPr>
            <w:r>
              <w:rPr>
                <w:rFonts w:hint="eastAsia" w:ascii="宋体" w:hAnsi="宋体" w:cs="宋体"/>
                <w:szCs w:val="21"/>
              </w:rPr>
              <w:t>项目分值</w:t>
            </w:r>
          </w:p>
        </w:tc>
        <w:tc>
          <w:tcPr>
            <w:tcW w:w="2284" w:type="dxa"/>
            <w:gridSpan w:val="2"/>
            <w:vAlign w:val="center"/>
          </w:tcPr>
          <w:p>
            <w:pPr>
              <w:pStyle w:val="82"/>
              <w:spacing w:line="440" w:lineRule="exact"/>
              <w:jc w:val="center"/>
              <w:rPr>
                <w:rFonts w:ascii="宋体" w:hAnsi="宋体" w:cs="宋体"/>
                <w:szCs w:val="21"/>
              </w:rPr>
            </w:pPr>
            <w:r>
              <w:rPr>
                <w:rFonts w:hint="eastAsia" w:ascii="宋体" w:hAnsi="宋体" w:cs="宋体"/>
                <w:szCs w:val="21"/>
              </w:rPr>
              <w:t>评分内容</w:t>
            </w:r>
          </w:p>
        </w:tc>
        <w:tc>
          <w:tcPr>
            <w:tcW w:w="6095" w:type="dxa"/>
            <w:vAlign w:val="center"/>
          </w:tcPr>
          <w:p>
            <w:pPr>
              <w:pStyle w:val="82"/>
              <w:spacing w:line="440" w:lineRule="exact"/>
              <w:jc w:val="center"/>
              <w:rPr>
                <w:rFonts w:ascii="宋体" w:hAnsi="宋体" w:cs="宋体"/>
                <w:szCs w:val="21"/>
              </w:rPr>
            </w:pPr>
            <w:r>
              <w:rPr>
                <w:rFonts w:hint="eastAsia" w:ascii="宋体" w:hAnsi="宋体" w:cs="宋体"/>
                <w:szCs w:val="21"/>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368" w:type="dxa"/>
            <w:vMerge w:val="restart"/>
            <w:vAlign w:val="center"/>
          </w:tcPr>
          <w:p>
            <w:pPr>
              <w:pStyle w:val="82"/>
              <w:spacing w:line="440" w:lineRule="exact"/>
              <w:rPr>
                <w:rFonts w:ascii="宋体" w:hAnsi="宋体" w:cs="宋体"/>
                <w:szCs w:val="21"/>
              </w:rPr>
            </w:pPr>
            <w:r>
              <w:rPr>
                <w:rFonts w:hint="eastAsia" w:ascii="宋体" w:hAnsi="宋体" w:cs="宋体"/>
                <w:szCs w:val="21"/>
              </w:rPr>
              <w:t>技术标</w:t>
            </w:r>
          </w:p>
          <w:p>
            <w:pPr>
              <w:pStyle w:val="82"/>
              <w:spacing w:line="440" w:lineRule="exact"/>
              <w:rPr>
                <w:rFonts w:ascii="宋体" w:hAnsi="宋体" w:cs="宋体"/>
                <w:szCs w:val="21"/>
              </w:rPr>
            </w:pPr>
            <w:r>
              <w:rPr>
                <w:rFonts w:hint="eastAsia" w:ascii="宋体" w:hAnsi="宋体" w:cs="宋体"/>
                <w:szCs w:val="21"/>
              </w:rPr>
              <w:t>100分（权重30%）</w:t>
            </w:r>
          </w:p>
        </w:tc>
        <w:tc>
          <w:tcPr>
            <w:tcW w:w="1427" w:type="dxa"/>
            <w:vMerge w:val="restart"/>
            <w:vAlign w:val="center"/>
          </w:tcPr>
          <w:p>
            <w:pPr>
              <w:pStyle w:val="82"/>
              <w:spacing w:line="440" w:lineRule="exact"/>
              <w:jc w:val="center"/>
              <w:rPr>
                <w:rFonts w:ascii="宋体" w:hAnsi="宋体" w:cs="宋体"/>
                <w:szCs w:val="21"/>
              </w:rPr>
            </w:pPr>
            <w:r>
              <w:rPr>
                <w:rFonts w:hint="eastAsia" w:ascii="宋体" w:hAnsi="宋体" w:cs="宋体"/>
                <w:szCs w:val="21"/>
              </w:rPr>
              <w:t>全面性</w:t>
            </w:r>
          </w:p>
          <w:p>
            <w:pPr>
              <w:pStyle w:val="82"/>
              <w:spacing w:line="440" w:lineRule="exact"/>
              <w:jc w:val="center"/>
              <w:rPr>
                <w:rFonts w:ascii="宋体" w:hAnsi="宋体" w:cs="宋体"/>
                <w:szCs w:val="21"/>
              </w:rPr>
            </w:pPr>
            <w:r>
              <w:rPr>
                <w:rFonts w:hint="eastAsia" w:ascii="宋体" w:hAnsi="宋体" w:cs="宋体"/>
                <w:szCs w:val="21"/>
              </w:rPr>
              <w:t>20分</w:t>
            </w: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0～5</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施工方法先进得5分，一般得3分，否则酌情扣分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0～5</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施工人员安排合理得5分，一般得3分，否则酌情扣分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0～5</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确保工程质量、安全、文明施工等相关措施得力得5分，否则酌情扣分；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0～5</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施工总进度计划合理得5分，否则酌情扣分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368" w:type="dxa"/>
            <w:vMerge w:val="continue"/>
            <w:vAlign w:val="center"/>
          </w:tcPr>
          <w:p>
            <w:pPr>
              <w:pStyle w:val="82"/>
              <w:spacing w:line="440" w:lineRule="exact"/>
              <w:rPr>
                <w:rFonts w:ascii="宋体" w:hAnsi="宋体" w:cs="宋体"/>
                <w:szCs w:val="21"/>
              </w:rPr>
            </w:pPr>
          </w:p>
        </w:tc>
        <w:tc>
          <w:tcPr>
            <w:tcW w:w="1427" w:type="dxa"/>
            <w:vMerge w:val="restart"/>
            <w:vAlign w:val="center"/>
          </w:tcPr>
          <w:p>
            <w:pPr>
              <w:pStyle w:val="82"/>
              <w:spacing w:line="440" w:lineRule="exact"/>
              <w:jc w:val="center"/>
              <w:rPr>
                <w:rFonts w:ascii="宋体" w:hAnsi="宋体" w:cs="宋体"/>
                <w:szCs w:val="21"/>
              </w:rPr>
            </w:pPr>
            <w:r>
              <w:rPr>
                <w:rFonts w:hint="eastAsia" w:ascii="宋体" w:hAnsi="宋体" w:cs="宋体"/>
                <w:szCs w:val="21"/>
              </w:rPr>
              <w:t>可行性</w:t>
            </w:r>
          </w:p>
          <w:p>
            <w:pPr>
              <w:pStyle w:val="82"/>
              <w:spacing w:line="440" w:lineRule="exact"/>
              <w:jc w:val="center"/>
              <w:rPr>
                <w:rFonts w:ascii="宋体" w:hAnsi="宋体" w:cs="宋体"/>
                <w:szCs w:val="21"/>
              </w:rPr>
            </w:pPr>
            <w:r>
              <w:rPr>
                <w:rFonts w:hint="eastAsia" w:ascii="宋体" w:hAnsi="宋体" w:cs="宋体"/>
                <w:szCs w:val="21"/>
              </w:rPr>
              <w:t>20分</w:t>
            </w: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0～10</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主材明细表清晰、品目齐全，材料品质好得10分，一般得6分，否则酌情扣分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 w:hRule="atLeast"/>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0～10</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工期计划合理得10分，一般得6分，否则酌情扣分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68" w:type="dxa"/>
            <w:vMerge w:val="continue"/>
            <w:vAlign w:val="center"/>
          </w:tcPr>
          <w:p>
            <w:pPr>
              <w:pStyle w:val="82"/>
              <w:spacing w:line="440" w:lineRule="exact"/>
              <w:rPr>
                <w:rFonts w:ascii="宋体" w:hAnsi="宋体" w:cs="宋体"/>
                <w:szCs w:val="21"/>
              </w:rPr>
            </w:pPr>
          </w:p>
        </w:tc>
        <w:tc>
          <w:tcPr>
            <w:tcW w:w="1427" w:type="dxa"/>
            <w:vMerge w:val="restart"/>
            <w:vAlign w:val="center"/>
          </w:tcPr>
          <w:p>
            <w:pPr>
              <w:pStyle w:val="82"/>
              <w:spacing w:line="440" w:lineRule="exact"/>
              <w:jc w:val="center"/>
              <w:rPr>
                <w:rFonts w:ascii="宋体" w:hAnsi="宋体" w:cs="宋体"/>
                <w:szCs w:val="21"/>
              </w:rPr>
            </w:pPr>
            <w:r>
              <w:rPr>
                <w:rFonts w:hint="eastAsia" w:ascii="宋体" w:hAnsi="宋体" w:cs="宋体"/>
                <w:szCs w:val="21"/>
              </w:rPr>
              <w:t>针对性</w:t>
            </w:r>
          </w:p>
          <w:p>
            <w:pPr>
              <w:pStyle w:val="82"/>
              <w:spacing w:line="440" w:lineRule="exact"/>
              <w:jc w:val="center"/>
              <w:rPr>
                <w:rFonts w:ascii="宋体" w:hAnsi="宋体" w:cs="宋体"/>
                <w:szCs w:val="21"/>
              </w:rPr>
            </w:pPr>
            <w:r>
              <w:rPr>
                <w:rFonts w:hint="eastAsia" w:ascii="宋体" w:hAnsi="宋体" w:cs="宋体"/>
                <w:szCs w:val="21"/>
              </w:rPr>
              <w:t>25分</w:t>
            </w: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0～10</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涉及重点内容突出得10分、尚可得6分，否则酌情扣分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0～10</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相关配套机具合理得10分，否则酌情扣分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0～5</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 xml:space="preserve">工程项目的质保体系健全得5分，否则酌情扣分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368" w:type="dxa"/>
            <w:vMerge w:val="continue"/>
            <w:vAlign w:val="center"/>
          </w:tcPr>
          <w:p>
            <w:pPr>
              <w:pStyle w:val="82"/>
              <w:spacing w:line="440" w:lineRule="exact"/>
              <w:rPr>
                <w:rFonts w:ascii="宋体" w:hAnsi="宋体" w:cs="宋体"/>
                <w:szCs w:val="21"/>
              </w:rPr>
            </w:pPr>
          </w:p>
        </w:tc>
        <w:tc>
          <w:tcPr>
            <w:tcW w:w="1427" w:type="dxa"/>
            <w:vMerge w:val="restart"/>
            <w:vAlign w:val="center"/>
          </w:tcPr>
          <w:p>
            <w:pPr>
              <w:pStyle w:val="82"/>
              <w:spacing w:line="440" w:lineRule="exact"/>
              <w:jc w:val="center"/>
              <w:rPr>
                <w:rFonts w:ascii="宋体" w:hAnsi="宋体" w:cs="宋体"/>
                <w:szCs w:val="21"/>
              </w:rPr>
            </w:pPr>
            <w:r>
              <w:rPr>
                <w:rFonts w:hint="eastAsia" w:ascii="宋体" w:hAnsi="宋体" w:cs="宋体"/>
                <w:szCs w:val="21"/>
              </w:rPr>
              <w:t>先进性</w:t>
            </w:r>
          </w:p>
          <w:p>
            <w:pPr>
              <w:pStyle w:val="82"/>
              <w:spacing w:line="440" w:lineRule="exact"/>
              <w:jc w:val="center"/>
              <w:rPr>
                <w:rFonts w:ascii="宋体" w:hAnsi="宋体" w:cs="宋体"/>
                <w:szCs w:val="21"/>
              </w:rPr>
            </w:pPr>
            <w:r>
              <w:rPr>
                <w:rFonts w:hint="eastAsia" w:ascii="宋体" w:hAnsi="宋体" w:cs="宋体"/>
                <w:szCs w:val="21"/>
              </w:rPr>
              <w:t>20分</w:t>
            </w: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0～6</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采用优质工艺、新设备各得3分，没有不得分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0～8</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在确保工程质量前提下，有降低成本、缩短工期、减轻劳动强度提高进度提案者得8分，方案尚可得5分，一般得2分，否则酌情扣分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0～6</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执行相关行业规范得3分、有切实可行的保证措施各得3分，否则酌情扣分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restart"/>
            <w:vAlign w:val="center"/>
          </w:tcPr>
          <w:p>
            <w:pPr>
              <w:pStyle w:val="82"/>
              <w:spacing w:line="440" w:lineRule="exact"/>
              <w:jc w:val="center"/>
              <w:rPr>
                <w:rFonts w:ascii="宋体" w:hAnsi="宋体" w:cs="宋体"/>
                <w:szCs w:val="21"/>
              </w:rPr>
            </w:pPr>
            <w:r>
              <w:rPr>
                <w:rFonts w:hint="eastAsia" w:ascii="宋体" w:hAnsi="宋体" w:cs="宋体"/>
                <w:szCs w:val="21"/>
              </w:rPr>
              <w:t>强制性</w:t>
            </w:r>
          </w:p>
          <w:p>
            <w:pPr>
              <w:pStyle w:val="82"/>
              <w:spacing w:line="440" w:lineRule="exact"/>
              <w:jc w:val="center"/>
              <w:rPr>
                <w:rFonts w:ascii="宋体" w:hAnsi="宋体" w:cs="宋体"/>
                <w:szCs w:val="21"/>
              </w:rPr>
            </w:pPr>
            <w:r>
              <w:rPr>
                <w:rFonts w:hint="eastAsia" w:ascii="宋体" w:hAnsi="宋体" w:cs="宋体"/>
                <w:szCs w:val="21"/>
              </w:rPr>
              <w:t>7分</w:t>
            </w: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0～4</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安全保证措施应符合国家规定的强制性标准，并有针对性，同时要符合实际情况，切实可行得4分，否则酌情扣分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jc w:val="center"/>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0～3</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施工方案应能符合工程实际情况,提高工效、提高质量、降低消耗得3分，否则酌情扣分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restart"/>
            <w:vAlign w:val="center"/>
          </w:tcPr>
          <w:p>
            <w:pPr>
              <w:pStyle w:val="82"/>
              <w:spacing w:line="440" w:lineRule="exact"/>
              <w:jc w:val="center"/>
              <w:rPr>
                <w:rFonts w:ascii="宋体" w:hAnsi="宋体" w:cs="宋体"/>
                <w:szCs w:val="21"/>
              </w:rPr>
            </w:pPr>
            <w:r>
              <w:rPr>
                <w:rFonts w:hint="eastAsia" w:ascii="宋体" w:hAnsi="宋体" w:cs="宋体"/>
                <w:szCs w:val="21"/>
              </w:rPr>
              <w:t>承诺</w:t>
            </w:r>
          </w:p>
          <w:p>
            <w:pPr>
              <w:pStyle w:val="82"/>
              <w:spacing w:line="440" w:lineRule="exact"/>
              <w:jc w:val="center"/>
              <w:rPr>
                <w:rFonts w:ascii="宋体" w:hAnsi="宋体" w:cs="宋体"/>
                <w:szCs w:val="21"/>
              </w:rPr>
            </w:pPr>
            <w:r>
              <w:rPr>
                <w:rFonts w:hint="eastAsia" w:ascii="宋体" w:hAnsi="宋体" w:cs="宋体"/>
                <w:szCs w:val="21"/>
              </w:rPr>
              <w:t>8分</w:t>
            </w: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0～4</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保修有承诺、有违约处罚且措施可行、合理得4分，否则酌情扣分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368" w:type="dxa"/>
            <w:vMerge w:val="continue"/>
            <w:vAlign w:val="center"/>
          </w:tcPr>
          <w:p>
            <w:pPr>
              <w:pStyle w:val="82"/>
              <w:spacing w:line="440" w:lineRule="exact"/>
              <w:rPr>
                <w:rFonts w:ascii="宋体" w:hAnsi="宋体" w:cs="宋体"/>
                <w:szCs w:val="21"/>
              </w:rPr>
            </w:pPr>
          </w:p>
        </w:tc>
        <w:tc>
          <w:tcPr>
            <w:tcW w:w="1427" w:type="dxa"/>
            <w:vMerge w:val="continue"/>
            <w:vAlign w:val="center"/>
          </w:tcPr>
          <w:p>
            <w:pPr>
              <w:pStyle w:val="82"/>
              <w:spacing w:line="440" w:lineRule="exact"/>
              <w:rPr>
                <w:rFonts w:ascii="宋体" w:hAnsi="宋体" w:cs="宋体"/>
                <w:szCs w:val="21"/>
              </w:rPr>
            </w:pPr>
          </w:p>
        </w:tc>
        <w:tc>
          <w:tcPr>
            <w:tcW w:w="857" w:type="dxa"/>
            <w:vAlign w:val="center"/>
          </w:tcPr>
          <w:p>
            <w:pPr>
              <w:pStyle w:val="82"/>
              <w:spacing w:line="440" w:lineRule="exact"/>
              <w:jc w:val="center"/>
              <w:rPr>
                <w:rFonts w:ascii="宋体" w:hAnsi="宋体" w:cs="宋体"/>
                <w:szCs w:val="21"/>
              </w:rPr>
            </w:pPr>
            <w:r>
              <w:rPr>
                <w:rFonts w:hint="eastAsia" w:ascii="宋体" w:hAnsi="宋体" w:cs="宋体"/>
                <w:szCs w:val="21"/>
              </w:rPr>
              <w:t>0～4</w:t>
            </w:r>
          </w:p>
        </w:tc>
        <w:tc>
          <w:tcPr>
            <w:tcW w:w="6095" w:type="dxa"/>
            <w:vAlign w:val="center"/>
          </w:tcPr>
          <w:p>
            <w:pPr>
              <w:pStyle w:val="82"/>
              <w:spacing w:line="440" w:lineRule="exact"/>
              <w:rPr>
                <w:rFonts w:ascii="宋体" w:hAnsi="宋体" w:cs="宋体"/>
                <w:szCs w:val="21"/>
              </w:rPr>
            </w:pPr>
            <w:r>
              <w:rPr>
                <w:rFonts w:hint="eastAsia" w:ascii="宋体" w:hAnsi="宋体" w:cs="宋体"/>
                <w:szCs w:val="21"/>
              </w:rPr>
              <w:t>承诺售后服务的保障体制，维修期限的长短、期限合理得4分，否则酌情扣分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7" w:hRule="atLeast"/>
          <w:jc w:val="center"/>
        </w:trPr>
        <w:tc>
          <w:tcPr>
            <w:tcW w:w="9747" w:type="dxa"/>
            <w:gridSpan w:val="4"/>
            <w:tcBorders>
              <w:bottom w:val="single" w:color="auto" w:sz="12" w:space="0"/>
            </w:tcBorders>
            <w:vAlign w:val="center"/>
          </w:tcPr>
          <w:p>
            <w:pPr>
              <w:pStyle w:val="82"/>
              <w:spacing w:line="440" w:lineRule="exact"/>
              <w:rPr>
                <w:rFonts w:ascii="宋体" w:hAnsi="宋体" w:cs="宋体"/>
                <w:szCs w:val="21"/>
              </w:rPr>
            </w:pPr>
            <w:r>
              <w:rPr>
                <w:rFonts w:hint="eastAsia" w:ascii="宋体" w:hAnsi="宋体" w:cs="宋体"/>
                <w:szCs w:val="21"/>
              </w:rPr>
              <w:t>注：本项目技术标权重取值范围：K1=30%，</w:t>
            </w:r>
            <w:r>
              <w:rPr>
                <w:rFonts w:hint="eastAsia" w:ascii="宋体" w:hAnsi="宋体" w:cs="宋体"/>
                <w:bCs/>
                <w:szCs w:val="21"/>
              </w:rPr>
              <w:t>各值均保留两位小数，后余位数四舍五入</w:t>
            </w:r>
          </w:p>
        </w:tc>
      </w:tr>
    </w:tbl>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ind w:firstLine="200"/>
        <w:jc w:val="center"/>
        <w:rPr>
          <w:rFonts w:ascii="宋体" w:hAnsi="宋体" w:cs="宋体"/>
          <w:b/>
          <w:szCs w:val="21"/>
        </w:rPr>
      </w:pPr>
    </w:p>
    <w:p>
      <w:pPr>
        <w:snapToGrid w:val="0"/>
        <w:spacing w:line="500" w:lineRule="exact"/>
        <w:rPr>
          <w:rFonts w:ascii="宋体" w:hAnsi="宋体" w:cs="宋体"/>
          <w:b/>
          <w:szCs w:val="21"/>
        </w:rPr>
      </w:pPr>
    </w:p>
    <w:p>
      <w:pPr>
        <w:snapToGrid w:val="0"/>
        <w:spacing w:line="500" w:lineRule="exact"/>
        <w:ind w:firstLine="200"/>
        <w:jc w:val="center"/>
        <w:rPr>
          <w:rFonts w:hint="eastAsia" w:ascii="宋体" w:hAnsi="宋体" w:cs="宋体"/>
          <w:b/>
          <w:bCs/>
          <w:kern w:val="0"/>
          <w:sz w:val="28"/>
          <w:szCs w:val="28"/>
        </w:rPr>
      </w:pPr>
    </w:p>
    <w:p>
      <w:pPr>
        <w:snapToGrid w:val="0"/>
        <w:spacing w:line="500" w:lineRule="exact"/>
        <w:ind w:firstLine="200"/>
        <w:jc w:val="center"/>
        <w:rPr>
          <w:rFonts w:hint="eastAsia" w:ascii="宋体" w:hAnsi="宋体" w:cs="宋体"/>
          <w:b/>
          <w:bCs/>
          <w:kern w:val="0"/>
          <w:sz w:val="28"/>
          <w:szCs w:val="28"/>
        </w:rPr>
      </w:pPr>
    </w:p>
    <w:p>
      <w:pPr>
        <w:snapToGrid w:val="0"/>
        <w:spacing w:line="500" w:lineRule="exact"/>
        <w:ind w:firstLine="200"/>
        <w:jc w:val="center"/>
        <w:rPr>
          <w:rFonts w:hint="eastAsia" w:ascii="宋体" w:hAnsi="宋体" w:cs="宋体"/>
          <w:b/>
          <w:bCs/>
          <w:kern w:val="0"/>
          <w:sz w:val="28"/>
          <w:szCs w:val="28"/>
        </w:rPr>
      </w:pPr>
    </w:p>
    <w:p>
      <w:pPr>
        <w:snapToGrid w:val="0"/>
        <w:spacing w:line="500" w:lineRule="exact"/>
        <w:ind w:firstLine="200"/>
        <w:jc w:val="center"/>
        <w:rPr>
          <w:rFonts w:ascii="宋体" w:hAnsi="宋体" w:cs="宋体"/>
          <w:b/>
          <w:szCs w:val="21"/>
        </w:rPr>
      </w:pPr>
      <w:r>
        <w:rPr>
          <w:rFonts w:hint="eastAsia" w:ascii="宋体" w:hAnsi="宋体" w:cs="宋体"/>
          <w:b/>
          <w:bCs/>
          <w:kern w:val="0"/>
          <w:sz w:val="28"/>
          <w:szCs w:val="28"/>
        </w:rPr>
        <w:t>八、成</w:t>
      </w:r>
      <w:r>
        <w:rPr>
          <w:rFonts w:hint="eastAsia" w:ascii="宋体" w:hAnsi="宋体" w:cs="宋体"/>
          <w:b/>
          <w:sz w:val="28"/>
          <w:szCs w:val="28"/>
        </w:rPr>
        <w:t>交及合同签订</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（三十二）成交供应商</w:t>
      </w:r>
    </w:p>
    <w:p>
      <w:pPr>
        <w:snapToGrid w:val="0"/>
        <w:spacing w:line="500" w:lineRule="exact"/>
        <w:ind w:firstLine="420" w:firstLineChars="200"/>
        <w:rPr>
          <w:rFonts w:ascii="宋体" w:hAnsi="宋体" w:cs="宋体"/>
          <w:szCs w:val="21"/>
        </w:rPr>
      </w:pPr>
      <w:r>
        <w:rPr>
          <w:rFonts w:hint="eastAsia" w:ascii="宋体" w:hAnsi="宋体" w:cs="宋体"/>
          <w:szCs w:val="21"/>
        </w:rPr>
        <w:t>32.1 根据磋商小组对各投标人满足竞争性磋商文件实质性响应（所谓实质性响应，是指文件应与竞争性磋商文件的所有实质性条款、条件和要求相符，无显著差异或保留（由磋商小组确定）；经磋商确定最终采购需求和提交最后报价的投标人中由磋商小组采用综合评分法对提交最后报价的投标人的磋商响应文件和最后报价进行综合评分，并以综合评分由高到低选取三名成交候选人推荐给采购人（评分相同时，按最后报价由低到高的顺序推荐；评审得分和最后报价相同的，按照技术指标优劣顺序推荐）。</w:t>
      </w:r>
    </w:p>
    <w:p>
      <w:pPr>
        <w:snapToGrid w:val="0"/>
        <w:spacing w:line="500" w:lineRule="exact"/>
        <w:ind w:firstLine="420" w:firstLineChars="200"/>
        <w:rPr>
          <w:rFonts w:ascii="宋体" w:hAnsi="宋体" w:cs="宋体"/>
          <w:szCs w:val="21"/>
        </w:rPr>
      </w:pPr>
      <w:r>
        <w:rPr>
          <w:rFonts w:hint="eastAsia" w:ascii="宋体" w:hAnsi="宋体" w:cs="宋体"/>
          <w:b/>
          <w:bCs/>
          <w:szCs w:val="21"/>
        </w:rPr>
        <w:t>（三十三）资格条件</w:t>
      </w:r>
    </w:p>
    <w:p>
      <w:pPr>
        <w:snapToGrid w:val="0"/>
        <w:spacing w:line="500" w:lineRule="exact"/>
        <w:ind w:firstLine="420" w:firstLineChars="200"/>
        <w:jc w:val="left"/>
        <w:rPr>
          <w:rFonts w:ascii="宋体" w:hAnsi="宋体" w:cs="宋体"/>
          <w:szCs w:val="21"/>
        </w:rPr>
      </w:pPr>
      <w:r>
        <w:rPr>
          <w:rFonts w:hint="eastAsia" w:ascii="宋体" w:hAnsi="宋体" w:cs="宋体"/>
          <w:szCs w:val="21"/>
        </w:rPr>
        <w:t>33.1 采购人将在签订合同前对成交候选投标人是否能圆满地履行合同进行审查。审查包括成交候选投标人磋商响应文件中提供的所有资格证明材料原件，成交候选投标人磋商响应文件及补充承诺中涉及的其他相关资料原件，以及对本项目实施可能存在风险的其他因素。</w:t>
      </w:r>
    </w:p>
    <w:p>
      <w:pPr>
        <w:snapToGrid w:val="0"/>
        <w:spacing w:line="500" w:lineRule="exact"/>
        <w:ind w:firstLine="420" w:firstLineChars="200"/>
        <w:jc w:val="left"/>
        <w:rPr>
          <w:rFonts w:ascii="宋体" w:hAnsi="宋体" w:cs="宋体"/>
          <w:szCs w:val="21"/>
        </w:rPr>
      </w:pPr>
      <w:r>
        <w:rPr>
          <w:rFonts w:hint="eastAsia" w:ascii="宋体" w:hAnsi="宋体" w:cs="宋体"/>
          <w:szCs w:val="21"/>
        </w:rPr>
        <w:t>33.2 采购人若发现成交候选投标人在竞标过程中提供虚假证明文件，故意隐瞒公司不良信誉和财务状况，以及存在可能对合同圆满履行造成风险的其他因素等，则按规定取消其成交资格，监管部门依法进行处理。</w:t>
      </w:r>
    </w:p>
    <w:p>
      <w:pPr>
        <w:snapToGrid w:val="0"/>
        <w:spacing w:line="500" w:lineRule="exact"/>
        <w:ind w:firstLine="420" w:firstLineChars="200"/>
        <w:jc w:val="left"/>
        <w:rPr>
          <w:rFonts w:ascii="宋体" w:hAnsi="宋体" w:cs="宋体"/>
          <w:szCs w:val="21"/>
        </w:rPr>
      </w:pPr>
      <w:r>
        <w:rPr>
          <w:rFonts w:hint="eastAsia" w:ascii="宋体" w:hAnsi="宋体" w:cs="宋体"/>
          <w:szCs w:val="21"/>
        </w:rPr>
        <w:t>33.3 如果成交候选投标人被确认为不具备执行合同的能力，采购人将考虑按同样的程序审查下一个成交候选投标人。</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（三十四）成交通知书</w:t>
      </w:r>
    </w:p>
    <w:p>
      <w:pPr>
        <w:snapToGrid w:val="0"/>
        <w:spacing w:line="500" w:lineRule="exact"/>
        <w:ind w:firstLine="420" w:firstLineChars="200"/>
        <w:jc w:val="left"/>
        <w:rPr>
          <w:rFonts w:ascii="宋体" w:hAnsi="宋体" w:cs="宋体"/>
          <w:szCs w:val="21"/>
        </w:rPr>
      </w:pPr>
      <w:r>
        <w:rPr>
          <w:rFonts w:hint="eastAsia" w:ascii="宋体" w:hAnsi="宋体" w:cs="宋体"/>
          <w:szCs w:val="21"/>
        </w:rPr>
        <w:t>34.1 成交结果在原磋商公告发布媒体上发布后，采购人将向成交供应商发出成交通知书。</w:t>
      </w:r>
    </w:p>
    <w:p>
      <w:pPr>
        <w:snapToGrid w:val="0"/>
        <w:spacing w:line="500" w:lineRule="exact"/>
        <w:ind w:firstLine="420" w:firstLineChars="200"/>
        <w:jc w:val="left"/>
        <w:rPr>
          <w:rFonts w:ascii="宋体" w:hAnsi="宋体" w:cs="宋体"/>
          <w:szCs w:val="21"/>
        </w:rPr>
      </w:pPr>
      <w:r>
        <w:rPr>
          <w:rFonts w:hint="eastAsia" w:ascii="宋体" w:hAnsi="宋体" w:cs="宋体"/>
          <w:szCs w:val="21"/>
        </w:rPr>
        <w:t>34.2 成交人应及时到政府采购人领取成交通知书，成交通知书是签订合同的依据和组成部分。</w:t>
      </w:r>
    </w:p>
    <w:p>
      <w:pPr>
        <w:snapToGrid w:val="0"/>
        <w:spacing w:line="500" w:lineRule="exact"/>
        <w:ind w:firstLine="420" w:firstLineChars="200"/>
        <w:jc w:val="left"/>
        <w:rPr>
          <w:rFonts w:ascii="宋体" w:hAnsi="宋体" w:cs="宋体"/>
          <w:szCs w:val="21"/>
        </w:rPr>
      </w:pPr>
      <w:r>
        <w:rPr>
          <w:rFonts w:hint="eastAsia" w:ascii="宋体" w:hAnsi="宋体" w:cs="宋体"/>
          <w:b/>
          <w:bCs/>
          <w:szCs w:val="21"/>
        </w:rPr>
        <w:t>（三十五）签订合同</w:t>
      </w:r>
    </w:p>
    <w:p>
      <w:pPr>
        <w:snapToGrid w:val="0"/>
        <w:spacing w:line="500" w:lineRule="exact"/>
        <w:ind w:firstLine="420" w:firstLineChars="200"/>
        <w:jc w:val="left"/>
        <w:rPr>
          <w:rFonts w:ascii="宋体" w:hAnsi="宋体" w:cs="宋体"/>
          <w:b/>
          <w:szCs w:val="21"/>
        </w:rPr>
      </w:pPr>
      <w:r>
        <w:rPr>
          <w:rFonts w:hint="eastAsia" w:ascii="宋体" w:hAnsi="宋体" w:cs="宋体"/>
          <w:szCs w:val="21"/>
        </w:rPr>
        <w:t>35.1 成交供应商应在规定的时间、地点与采购人签订合同，竞争性磋商文件、成交人的磋商响应文件、分次报价及服务承诺文件以及评标过程中有关澄清文件均作为合同附件，</w:t>
      </w:r>
      <w:r>
        <w:rPr>
          <w:rFonts w:hint="eastAsia" w:ascii="宋体" w:hAnsi="宋体" w:cs="宋体"/>
          <w:b/>
          <w:szCs w:val="21"/>
        </w:rPr>
        <w:t>合同经采购人、成交供应商双方审核盖章后实施</w:t>
      </w:r>
      <w:r>
        <w:rPr>
          <w:rFonts w:hint="eastAsia" w:ascii="宋体" w:hAnsi="宋体" w:cs="宋体"/>
          <w:szCs w:val="21"/>
        </w:rPr>
        <w:t>。</w:t>
      </w:r>
    </w:p>
    <w:p>
      <w:pPr>
        <w:snapToGrid w:val="0"/>
        <w:spacing w:line="500" w:lineRule="exact"/>
        <w:ind w:firstLine="420" w:firstLineChars="200"/>
        <w:jc w:val="left"/>
        <w:rPr>
          <w:rFonts w:ascii="宋体" w:hAnsi="宋体" w:cs="宋体"/>
          <w:szCs w:val="21"/>
        </w:rPr>
      </w:pPr>
      <w:r>
        <w:rPr>
          <w:rFonts w:hint="eastAsia" w:ascii="宋体" w:hAnsi="宋体" w:cs="宋体"/>
          <w:szCs w:val="21"/>
        </w:rPr>
        <w:t>35.2 成交供应商无正当理由未在规定时间内与采购人签订合同的或未按磋商文件要求提交履约担保的，采购人有权建议取消其成交资格，并报请监管部门将对其依法处理。</w:t>
      </w:r>
    </w:p>
    <w:p>
      <w:pPr>
        <w:spacing w:line="500" w:lineRule="exact"/>
        <w:ind w:firstLine="420" w:firstLineChars="200"/>
        <w:rPr>
          <w:rFonts w:ascii="宋体" w:hAnsi="宋体" w:cs="宋体"/>
          <w:b/>
          <w:bCs/>
          <w:szCs w:val="21"/>
        </w:rPr>
      </w:pPr>
      <w:r>
        <w:rPr>
          <w:rFonts w:hint="eastAsia" w:ascii="宋体" w:hAnsi="宋体" w:cs="宋体"/>
          <w:b/>
          <w:bCs/>
          <w:szCs w:val="21"/>
        </w:rPr>
        <w:t xml:space="preserve">（三十六）招标代理服务费和履约保证金， </w:t>
      </w:r>
    </w:p>
    <w:p>
      <w:pPr>
        <w:snapToGrid w:val="0"/>
        <w:spacing w:line="500" w:lineRule="exact"/>
        <w:ind w:firstLine="420" w:firstLineChars="200"/>
        <w:jc w:val="left"/>
        <w:rPr>
          <w:rFonts w:hint="eastAsia" w:ascii="宋体" w:hAnsi="宋体" w:cs="宋体"/>
          <w:szCs w:val="21"/>
        </w:rPr>
      </w:pPr>
      <w:r>
        <w:rPr>
          <w:rFonts w:hint="eastAsia" w:ascii="宋体" w:hAnsi="宋体" w:cs="宋体"/>
          <w:szCs w:val="21"/>
        </w:rPr>
        <w:t>36.1投标人在递交投标书的同时将被视为同意承担招标代理服务费用；根据发改价格[2015]299号文件及计价格[2002]1980号文件计算的招标代理服务收费标准</w:t>
      </w:r>
      <w:r>
        <w:rPr>
          <w:rFonts w:hint="eastAsia" w:ascii="宋体" w:hAnsi="宋体" w:cs="宋体"/>
          <w:szCs w:val="21"/>
          <w:lang w:eastAsia="zh-CN"/>
        </w:rPr>
        <w:t>收</w:t>
      </w:r>
      <w:r>
        <w:rPr>
          <w:rFonts w:hint="eastAsia" w:ascii="宋体" w:hAnsi="宋体" w:cs="宋体"/>
          <w:szCs w:val="21"/>
        </w:rPr>
        <w:t xml:space="preserve">取。 </w:t>
      </w:r>
    </w:p>
    <w:p>
      <w:pPr>
        <w:snapToGrid w:val="0"/>
        <w:spacing w:line="500" w:lineRule="exact"/>
        <w:ind w:firstLine="420" w:firstLineChars="200"/>
        <w:jc w:val="left"/>
        <w:rPr>
          <w:rFonts w:ascii="宋体" w:hAnsi="宋体" w:cs="宋体"/>
          <w:szCs w:val="21"/>
        </w:rPr>
      </w:pPr>
      <w:r>
        <w:rPr>
          <w:rFonts w:hint="eastAsia" w:ascii="宋体" w:hAnsi="宋体" w:cs="宋体"/>
          <w:szCs w:val="21"/>
        </w:rPr>
        <w:t>36.2 成交供应商需在签订合同时需按磋商文件要求向采购人提交履约担保。</w:t>
      </w:r>
    </w:p>
    <w:p>
      <w:pPr>
        <w:snapToGrid w:val="0"/>
        <w:spacing w:line="500" w:lineRule="exact"/>
        <w:ind w:left="315" w:hanging="315" w:hangingChars="150"/>
        <w:jc w:val="left"/>
        <w:rPr>
          <w:rFonts w:ascii="宋体" w:hAnsi="宋体" w:cs="宋体"/>
          <w:szCs w:val="21"/>
        </w:rPr>
      </w:pPr>
    </w:p>
    <w:p>
      <w:pPr>
        <w:snapToGrid w:val="0"/>
        <w:spacing w:line="500" w:lineRule="exact"/>
        <w:ind w:firstLine="200"/>
        <w:jc w:val="center"/>
        <w:rPr>
          <w:rFonts w:ascii="宋体" w:hAnsi="宋体" w:cs="宋体"/>
          <w:b/>
          <w:szCs w:val="21"/>
        </w:rPr>
      </w:pPr>
      <w:r>
        <w:rPr>
          <w:rFonts w:hint="eastAsia" w:ascii="宋体" w:hAnsi="宋体" w:cs="宋体"/>
          <w:b/>
          <w:szCs w:val="21"/>
        </w:rPr>
        <w:t>十、验收及付款</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（三十七）验收</w:t>
      </w:r>
    </w:p>
    <w:p>
      <w:pPr>
        <w:snapToGrid w:val="0"/>
        <w:spacing w:line="500" w:lineRule="exact"/>
        <w:ind w:firstLine="420" w:firstLineChars="200"/>
        <w:jc w:val="left"/>
        <w:rPr>
          <w:rFonts w:ascii="宋体" w:hAnsi="宋体" w:cs="宋体"/>
          <w:szCs w:val="21"/>
        </w:rPr>
      </w:pPr>
      <w:r>
        <w:rPr>
          <w:rFonts w:hint="eastAsia" w:ascii="宋体" w:hAnsi="宋体" w:cs="宋体"/>
          <w:szCs w:val="21"/>
        </w:rPr>
        <w:t>37.1 采购单位组建验收小组，验收小组由采购单位三人以上组成，按</w:t>
      </w:r>
      <w:r>
        <w:rPr>
          <w:rFonts w:hint="eastAsia" w:ascii="宋体" w:hAnsi="宋体" w:cs="宋体"/>
          <w:bCs/>
          <w:szCs w:val="21"/>
        </w:rPr>
        <w:t>采购合同约定的时间组织验收。</w:t>
      </w:r>
    </w:p>
    <w:p>
      <w:pPr>
        <w:snapToGrid w:val="0"/>
        <w:spacing w:line="500" w:lineRule="exact"/>
        <w:ind w:firstLine="420" w:firstLineChars="200"/>
        <w:jc w:val="left"/>
        <w:rPr>
          <w:rFonts w:ascii="宋体" w:hAnsi="宋体" w:cs="宋体"/>
          <w:b/>
          <w:bCs/>
          <w:szCs w:val="21"/>
        </w:rPr>
      </w:pPr>
      <w:r>
        <w:rPr>
          <w:rFonts w:hint="eastAsia" w:ascii="宋体" w:hAnsi="宋体" w:cs="宋体"/>
          <w:b/>
          <w:bCs/>
          <w:szCs w:val="21"/>
        </w:rPr>
        <w:t>（三十八）项目办结及付款</w:t>
      </w:r>
    </w:p>
    <w:p>
      <w:pPr>
        <w:snapToGrid w:val="0"/>
        <w:spacing w:line="500" w:lineRule="exact"/>
        <w:ind w:firstLine="420" w:firstLineChars="200"/>
        <w:jc w:val="left"/>
        <w:rPr>
          <w:rFonts w:ascii="宋体" w:hAnsi="宋体" w:cs="宋体"/>
          <w:b/>
          <w:bCs/>
          <w:szCs w:val="21"/>
        </w:rPr>
      </w:pPr>
      <w:r>
        <w:rPr>
          <w:rFonts w:hint="eastAsia" w:ascii="宋体" w:hAnsi="宋体" w:cs="宋体"/>
          <w:szCs w:val="21"/>
        </w:rPr>
        <w:t>38.1 采购人凭项目合同、验收报告和提供采购人要求的发票原件后，在合同约定的时间内办理采购款支付手续。</w:t>
      </w:r>
    </w:p>
    <w:p>
      <w:pPr>
        <w:snapToGrid w:val="0"/>
        <w:spacing w:line="500" w:lineRule="exact"/>
        <w:ind w:firstLine="200"/>
        <w:jc w:val="center"/>
        <w:rPr>
          <w:rFonts w:ascii="宋体" w:hAnsi="宋体" w:cs="宋体"/>
          <w:b/>
          <w:szCs w:val="21"/>
        </w:rPr>
      </w:pPr>
      <w:r>
        <w:rPr>
          <w:rFonts w:hint="eastAsia" w:ascii="宋体" w:hAnsi="宋体" w:cs="宋体"/>
          <w:b/>
          <w:szCs w:val="21"/>
        </w:rPr>
        <w:t>十一、质疑与投诉</w:t>
      </w:r>
    </w:p>
    <w:p>
      <w:pPr>
        <w:snapToGrid w:val="0"/>
        <w:spacing w:line="500" w:lineRule="exact"/>
        <w:ind w:firstLine="411" w:firstLineChars="196"/>
        <w:outlineLvl w:val="0"/>
        <w:rPr>
          <w:rFonts w:ascii="宋体" w:hAnsi="宋体" w:cs="宋体"/>
          <w:b/>
          <w:bCs/>
          <w:szCs w:val="21"/>
        </w:rPr>
      </w:pPr>
      <w:r>
        <w:rPr>
          <w:rFonts w:hint="eastAsia" w:ascii="宋体" w:hAnsi="宋体" w:cs="宋体"/>
          <w:b/>
          <w:bCs/>
          <w:szCs w:val="21"/>
        </w:rPr>
        <w:t>（三十九）质疑与投诉</w:t>
      </w:r>
    </w:p>
    <w:p>
      <w:pPr>
        <w:snapToGrid w:val="0"/>
        <w:spacing w:line="500" w:lineRule="exact"/>
        <w:ind w:firstLine="420" w:firstLineChars="200"/>
        <w:outlineLvl w:val="0"/>
        <w:rPr>
          <w:rFonts w:ascii="宋体" w:hAnsi="宋体" w:cs="宋体"/>
          <w:szCs w:val="21"/>
        </w:rPr>
      </w:pPr>
      <w:r>
        <w:rPr>
          <w:rFonts w:hint="eastAsia" w:ascii="宋体" w:hAnsi="宋体" w:cs="宋体"/>
          <w:b/>
          <w:bCs/>
          <w:szCs w:val="21"/>
        </w:rPr>
        <w:t>39.1 质疑的提出</w:t>
      </w:r>
    </w:p>
    <w:p>
      <w:pPr>
        <w:snapToGrid w:val="0"/>
        <w:spacing w:line="500" w:lineRule="exact"/>
        <w:ind w:firstLine="420" w:firstLineChars="200"/>
        <w:jc w:val="left"/>
        <w:rPr>
          <w:rFonts w:ascii="宋体" w:hAnsi="宋体" w:cs="宋体"/>
          <w:szCs w:val="21"/>
        </w:rPr>
      </w:pPr>
      <w:r>
        <w:rPr>
          <w:rFonts w:hint="eastAsia" w:ascii="宋体" w:hAnsi="宋体" w:cs="宋体"/>
          <w:szCs w:val="21"/>
        </w:rPr>
        <w:t>1）投标人认为竞磋文件、招标过程和中标、成交结果使自己的权益受到损害的，可以在知道或者应知其权益受到损害之日起七个工作日内，以书面形式向采购人提出质疑。</w:t>
      </w:r>
    </w:p>
    <w:p>
      <w:pPr>
        <w:snapToGrid w:val="0"/>
        <w:spacing w:line="500" w:lineRule="exact"/>
        <w:ind w:firstLine="420" w:firstLineChars="200"/>
        <w:jc w:val="left"/>
        <w:rPr>
          <w:rFonts w:ascii="宋体" w:hAnsi="宋体" w:cs="宋体"/>
          <w:szCs w:val="21"/>
        </w:rPr>
      </w:pPr>
      <w:r>
        <w:rPr>
          <w:rFonts w:hint="eastAsia" w:ascii="宋体" w:hAnsi="宋体" w:cs="宋体"/>
          <w:szCs w:val="21"/>
        </w:rPr>
        <w:t>2）质疑函的必备内容</w:t>
      </w:r>
    </w:p>
    <w:p>
      <w:pPr>
        <w:snapToGrid w:val="0"/>
        <w:spacing w:line="500" w:lineRule="exact"/>
        <w:ind w:firstLine="420" w:firstLineChars="200"/>
        <w:jc w:val="left"/>
        <w:rPr>
          <w:rFonts w:ascii="宋体" w:hAnsi="宋体" w:cs="宋体"/>
          <w:szCs w:val="21"/>
        </w:rPr>
      </w:pPr>
      <w:r>
        <w:rPr>
          <w:rFonts w:hint="eastAsia" w:ascii="宋体" w:hAnsi="宋体" w:cs="宋体"/>
          <w:szCs w:val="21"/>
        </w:rPr>
        <w:t>①投标人提交的质疑函必须注明单位名称、详细地址、可供查询的单位和法定代表人的电话号码；</w:t>
      </w:r>
    </w:p>
    <w:p>
      <w:pPr>
        <w:snapToGrid w:val="0"/>
        <w:spacing w:line="500" w:lineRule="exact"/>
        <w:ind w:firstLine="420" w:firstLineChars="200"/>
        <w:jc w:val="left"/>
        <w:rPr>
          <w:rFonts w:ascii="宋体" w:hAnsi="宋体" w:cs="宋体"/>
          <w:szCs w:val="21"/>
        </w:rPr>
      </w:pPr>
      <w:r>
        <w:rPr>
          <w:rFonts w:hint="eastAsia" w:ascii="宋体" w:hAnsi="宋体" w:cs="宋体"/>
          <w:szCs w:val="21"/>
        </w:rPr>
        <w:t>②所参加项目的具体质疑事项及事实依据；</w:t>
      </w:r>
    </w:p>
    <w:p>
      <w:pPr>
        <w:snapToGrid w:val="0"/>
        <w:spacing w:line="500" w:lineRule="exact"/>
        <w:ind w:firstLine="420" w:firstLineChars="200"/>
        <w:jc w:val="left"/>
        <w:rPr>
          <w:rFonts w:ascii="宋体" w:hAnsi="宋体" w:cs="宋体"/>
          <w:szCs w:val="21"/>
        </w:rPr>
      </w:pPr>
      <w:r>
        <w:rPr>
          <w:rFonts w:hint="eastAsia" w:ascii="宋体" w:hAnsi="宋体" w:cs="宋体"/>
          <w:szCs w:val="21"/>
        </w:rPr>
        <w:t>③提起质疑的日期；</w:t>
      </w:r>
    </w:p>
    <w:p>
      <w:pPr>
        <w:snapToGrid w:val="0"/>
        <w:spacing w:line="500" w:lineRule="exact"/>
        <w:ind w:firstLine="420" w:firstLineChars="200"/>
        <w:jc w:val="left"/>
        <w:rPr>
          <w:rFonts w:ascii="宋体" w:hAnsi="宋体" w:cs="宋体"/>
          <w:szCs w:val="21"/>
        </w:rPr>
      </w:pPr>
      <w:r>
        <w:rPr>
          <w:rFonts w:hint="eastAsia" w:ascii="宋体" w:hAnsi="宋体" w:cs="宋体"/>
          <w:szCs w:val="21"/>
        </w:rPr>
        <w:t>④质疑函须加盖单位公章和法定代表人签章。</w:t>
      </w:r>
    </w:p>
    <w:p>
      <w:pPr>
        <w:snapToGrid w:val="0"/>
        <w:spacing w:line="500" w:lineRule="exact"/>
        <w:ind w:firstLine="420" w:firstLineChars="200"/>
        <w:jc w:val="left"/>
        <w:rPr>
          <w:rFonts w:ascii="宋体" w:hAnsi="宋体" w:cs="宋体"/>
          <w:szCs w:val="21"/>
        </w:rPr>
      </w:pPr>
      <w:r>
        <w:rPr>
          <w:rFonts w:hint="eastAsia" w:ascii="宋体" w:hAnsi="宋体" w:cs="宋体"/>
          <w:szCs w:val="21"/>
        </w:rPr>
        <w:t>⑤委托代理人递交质疑函的，还须提交委托质疑事项的委托授权书（附法定代表人和被授权人身份证正反面），加盖单位公章和法定代表人签章和被授权人签字，并出示被授权人身份证。</w:t>
      </w:r>
    </w:p>
    <w:p>
      <w:pPr>
        <w:snapToGrid w:val="0"/>
        <w:spacing w:line="500" w:lineRule="exact"/>
        <w:ind w:firstLine="420" w:firstLineChars="200"/>
        <w:jc w:val="left"/>
        <w:rPr>
          <w:rFonts w:ascii="宋体" w:hAnsi="宋体" w:cs="宋体"/>
          <w:szCs w:val="21"/>
        </w:rPr>
      </w:pPr>
      <w:r>
        <w:rPr>
          <w:rFonts w:hint="eastAsia" w:ascii="宋体" w:hAnsi="宋体" w:cs="宋体"/>
          <w:szCs w:val="21"/>
        </w:rPr>
        <w:t>3）质疑应符合下列条件：</w:t>
      </w:r>
    </w:p>
    <w:p>
      <w:pPr>
        <w:snapToGrid w:val="0"/>
        <w:spacing w:line="500" w:lineRule="exact"/>
        <w:ind w:firstLine="420" w:firstLineChars="200"/>
        <w:jc w:val="left"/>
        <w:rPr>
          <w:rFonts w:ascii="宋体" w:hAnsi="宋体" w:cs="宋体"/>
          <w:szCs w:val="21"/>
        </w:rPr>
      </w:pPr>
      <w:r>
        <w:rPr>
          <w:rFonts w:hint="eastAsia" w:ascii="宋体" w:hAnsi="宋体" w:cs="宋体"/>
          <w:szCs w:val="21"/>
        </w:rPr>
        <w:t>①质疑人是参与所质疑项目的招标活动投标人；</w:t>
      </w:r>
    </w:p>
    <w:p>
      <w:pPr>
        <w:snapToGrid w:val="0"/>
        <w:spacing w:line="500" w:lineRule="exact"/>
        <w:ind w:firstLine="420" w:firstLineChars="200"/>
        <w:jc w:val="left"/>
        <w:rPr>
          <w:rFonts w:ascii="宋体" w:hAnsi="宋体" w:cs="宋体"/>
          <w:szCs w:val="21"/>
        </w:rPr>
      </w:pPr>
      <w:r>
        <w:rPr>
          <w:rFonts w:hint="eastAsia" w:ascii="宋体" w:hAnsi="宋体" w:cs="宋体"/>
          <w:szCs w:val="21"/>
        </w:rPr>
        <w:t>②质疑函内容符合相关的规定；</w:t>
      </w:r>
    </w:p>
    <w:p>
      <w:pPr>
        <w:snapToGrid w:val="0"/>
        <w:spacing w:line="500" w:lineRule="exact"/>
        <w:ind w:firstLine="420" w:firstLineChars="200"/>
        <w:jc w:val="left"/>
        <w:rPr>
          <w:rFonts w:ascii="宋体" w:hAnsi="宋体" w:cs="宋体"/>
          <w:szCs w:val="21"/>
        </w:rPr>
      </w:pPr>
      <w:r>
        <w:rPr>
          <w:rFonts w:hint="eastAsia" w:ascii="宋体" w:hAnsi="宋体" w:cs="宋体"/>
          <w:szCs w:val="21"/>
        </w:rPr>
        <w:t>③在规定的有效期限内提起质疑；</w:t>
      </w:r>
    </w:p>
    <w:p>
      <w:pPr>
        <w:snapToGrid w:val="0"/>
        <w:spacing w:line="500" w:lineRule="exact"/>
        <w:ind w:firstLine="420" w:firstLineChars="200"/>
        <w:jc w:val="left"/>
        <w:rPr>
          <w:rFonts w:ascii="宋体" w:hAnsi="宋体" w:cs="宋体"/>
          <w:szCs w:val="21"/>
        </w:rPr>
      </w:pPr>
      <w:r>
        <w:rPr>
          <w:rFonts w:hint="eastAsia" w:ascii="宋体" w:hAnsi="宋体" w:cs="宋体"/>
          <w:szCs w:val="21"/>
        </w:rPr>
        <w:t>④招投标监管部门规定的其他条件。</w:t>
      </w:r>
    </w:p>
    <w:p>
      <w:pPr>
        <w:snapToGrid w:val="0"/>
        <w:spacing w:line="500" w:lineRule="exact"/>
        <w:ind w:firstLine="420" w:firstLineChars="200"/>
        <w:jc w:val="left"/>
        <w:rPr>
          <w:rFonts w:ascii="宋体" w:hAnsi="宋体" w:cs="宋体"/>
          <w:szCs w:val="21"/>
        </w:rPr>
      </w:pPr>
      <w:r>
        <w:rPr>
          <w:rFonts w:hint="eastAsia" w:ascii="宋体" w:hAnsi="宋体" w:cs="宋体"/>
          <w:szCs w:val="21"/>
        </w:rPr>
        <w:t>4）采购人在收到投标人的书面质疑后七个工作日内作出答复，并以书面形式通知质疑投标人和其他有关投标人，但答复的内容不涉及商业秘密。</w:t>
      </w:r>
    </w:p>
    <w:p>
      <w:pPr>
        <w:snapToGrid w:val="0"/>
        <w:spacing w:line="500" w:lineRule="exact"/>
        <w:ind w:firstLine="420" w:firstLineChars="200"/>
        <w:jc w:val="left"/>
        <w:rPr>
          <w:rFonts w:ascii="宋体" w:hAnsi="宋体" w:cs="宋体"/>
          <w:szCs w:val="21"/>
        </w:rPr>
      </w:pPr>
      <w:r>
        <w:rPr>
          <w:rFonts w:hint="eastAsia" w:ascii="宋体" w:hAnsi="宋体" w:cs="宋体"/>
          <w:szCs w:val="21"/>
        </w:rPr>
        <w:t>5）提出质疑的投标人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p>
    <w:p>
      <w:pPr>
        <w:snapToGrid w:val="0"/>
        <w:spacing w:line="500" w:lineRule="exact"/>
        <w:ind w:firstLine="420" w:firstLineChars="200"/>
        <w:jc w:val="left"/>
        <w:rPr>
          <w:rFonts w:ascii="宋体" w:hAnsi="宋体" w:cs="宋体"/>
          <w:b/>
          <w:szCs w:val="21"/>
        </w:rPr>
      </w:pPr>
    </w:p>
    <w:p>
      <w:pPr>
        <w:snapToGrid w:val="0"/>
        <w:spacing w:line="500" w:lineRule="exact"/>
        <w:ind w:firstLine="420" w:firstLineChars="200"/>
        <w:jc w:val="left"/>
        <w:rPr>
          <w:rFonts w:ascii="宋体" w:hAnsi="宋体" w:cs="宋体"/>
          <w:b/>
          <w:szCs w:val="21"/>
        </w:rPr>
      </w:pPr>
    </w:p>
    <w:p>
      <w:pPr>
        <w:snapToGrid w:val="0"/>
        <w:spacing w:line="500" w:lineRule="exact"/>
        <w:ind w:firstLine="420" w:firstLineChars="200"/>
        <w:jc w:val="left"/>
        <w:rPr>
          <w:rFonts w:ascii="宋体" w:hAnsi="宋体" w:cs="宋体"/>
          <w:b/>
          <w:szCs w:val="21"/>
        </w:rPr>
      </w:pPr>
      <w:r>
        <w:rPr>
          <w:rFonts w:hint="eastAsia" w:ascii="宋体" w:hAnsi="宋体" w:cs="宋体"/>
          <w:b/>
          <w:szCs w:val="21"/>
        </w:rPr>
        <w:br w:type="page"/>
      </w:r>
      <w:r>
        <w:rPr>
          <w:rFonts w:hint="eastAsia" w:ascii="宋体" w:hAnsi="宋体" w:cs="宋体"/>
          <w:b/>
          <w:szCs w:val="21"/>
        </w:rPr>
        <w:t>附表一</w:t>
      </w:r>
    </w:p>
    <w:p>
      <w:pPr>
        <w:snapToGrid w:val="0"/>
        <w:spacing w:line="440" w:lineRule="exact"/>
        <w:ind w:firstLine="420" w:firstLineChars="200"/>
        <w:jc w:val="center"/>
        <w:outlineLvl w:val="0"/>
        <w:rPr>
          <w:rFonts w:ascii="宋体" w:hAnsi="宋体" w:cs="宋体"/>
          <w:szCs w:val="21"/>
        </w:rPr>
      </w:pPr>
      <w:r>
        <w:rPr>
          <w:rFonts w:hint="eastAsia" w:ascii="宋体" w:hAnsi="宋体" w:cs="宋体"/>
          <w:b/>
          <w:bCs/>
          <w:szCs w:val="21"/>
        </w:rPr>
        <w:t>质疑函</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 </w:t>
      </w:r>
    </w:p>
    <w:p>
      <w:pPr>
        <w:snapToGrid w:val="0"/>
        <w:spacing w:line="440" w:lineRule="exact"/>
        <w:ind w:firstLine="420" w:firstLineChars="200"/>
        <w:outlineLvl w:val="0"/>
        <w:rPr>
          <w:rFonts w:ascii="宋体" w:hAnsi="宋体" w:cs="宋体"/>
          <w:szCs w:val="21"/>
        </w:rPr>
      </w:pPr>
      <w:r>
        <w:rPr>
          <w:rFonts w:hint="eastAsia" w:ascii="宋体" w:hAnsi="宋体" w:cs="宋体"/>
          <w:szCs w:val="21"/>
          <w:u w:val="single"/>
        </w:rPr>
        <w:t>                  </w:t>
      </w:r>
      <w:r>
        <w:rPr>
          <w:rFonts w:hint="eastAsia" w:ascii="宋体" w:hAnsi="宋体" w:cs="宋体"/>
          <w:szCs w:val="21"/>
        </w:rPr>
        <w:t>  ：</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依据政府采购相关法规，我公司对</w:t>
      </w:r>
      <w:r>
        <w:rPr>
          <w:rFonts w:hint="eastAsia" w:ascii="宋体" w:hAnsi="宋体" w:cs="宋体"/>
          <w:szCs w:val="21"/>
          <w:u w:val="single"/>
        </w:rPr>
        <w:t>           </w:t>
      </w:r>
      <w:r>
        <w:rPr>
          <w:rFonts w:hint="eastAsia" w:ascii="宋体" w:hAnsi="宋体" w:cs="宋体"/>
          <w:szCs w:val="21"/>
        </w:rPr>
        <w:t>项目的（项目编号：</w:t>
      </w:r>
      <w:r>
        <w:rPr>
          <w:rFonts w:hint="eastAsia" w:ascii="宋体" w:hAnsi="宋体" w:cs="宋体"/>
          <w:szCs w:val="21"/>
          <w:u w:val="single"/>
        </w:rPr>
        <w:t>         </w:t>
      </w:r>
      <w:r>
        <w:rPr>
          <w:rFonts w:hint="eastAsia" w:ascii="宋体" w:hAnsi="宋体" w:cs="宋体"/>
          <w:szCs w:val="21"/>
        </w:rPr>
        <w:t>）招标活动存在疑问，特提出质疑（详见下表）。</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我公司和本人对此质疑函内容的真实性负责，并愿意承担由此引起的相应处理和法律责任。</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 </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法定代表人（签字并盖名章）：</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身份证号码：</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固话：      传真：     手机：</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 </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本项目授权代理人（签字）：</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身份证号码：</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固话：        传真：    手机：</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公司地址：              邮编：</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（如法人为质疑文件提交人则不需要填授权代理内容）</w:t>
      </w:r>
    </w:p>
    <w:p>
      <w:pPr>
        <w:snapToGrid w:val="0"/>
        <w:spacing w:line="440" w:lineRule="exact"/>
        <w:ind w:firstLine="420" w:firstLineChars="200"/>
        <w:outlineLvl w:val="0"/>
        <w:rPr>
          <w:rFonts w:ascii="宋体" w:hAnsi="宋体" w:cs="宋体"/>
          <w:szCs w:val="21"/>
        </w:rPr>
      </w:pPr>
    </w:p>
    <w:p>
      <w:pPr>
        <w:snapToGrid w:val="0"/>
        <w:spacing w:line="440" w:lineRule="exact"/>
        <w:ind w:firstLine="420" w:firstLineChars="200"/>
        <w:outlineLvl w:val="0"/>
        <w:rPr>
          <w:rFonts w:ascii="宋体" w:hAnsi="宋体" w:cs="宋体"/>
          <w:szCs w:val="21"/>
        </w:rPr>
      </w:pPr>
      <w:r>
        <w:rPr>
          <w:rFonts w:hint="eastAsia" w:ascii="宋体" w:hAnsi="宋体" w:cs="宋体"/>
          <w:szCs w:val="21"/>
        </w:rPr>
        <w:t xml:space="preserve">注：委托代理人提交质疑文件的，须附法定代表人身份证正反面及授权代理人身份证正反面并加盖质疑人公章； </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质疑人（公章）：</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 </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                      年   月   日</w:t>
      </w:r>
    </w:p>
    <w:p>
      <w:pPr>
        <w:snapToGrid w:val="0"/>
        <w:spacing w:line="440" w:lineRule="exact"/>
        <w:rPr>
          <w:rFonts w:ascii="宋体" w:hAnsi="宋体" w:cs="宋体"/>
          <w:b/>
          <w:szCs w:val="21"/>
        </w:rPr>
      </w:pPr>
    </w:p>
    <w:p>
      <w:pPr>
        <w:snapToGrid w:val="0"/>
        <w:spacing w:line="440" w:lineRule="exact"/>
        <w:rPr>
          <w:rFonts w:ascii="宋体" w:hAnsi="宋体" w:cs="宋体"/>
          <w:b/>
          <w:szCs w:val="21"/>
        </w:rPr>
      </w:pPr>
    </w:p>
    <w:p>
      <w:pPr>
        <w:snapToGrid w:val="0"/>
        <w:spacing w:line="440" w:lineRule="exact"/>
        <w:rPr>
          <w:rFonts w:ascii="宋体" w:hAnsi="宋体" w:cs="宋体"/>
          <w:b/>
          <w:szCs w:val="21"/>
        </w:rPr>
      </w:pPr>
    </w:p>
    <w:p>
      <w:pPr>
        <w:snapToGrid w:val="0"/>
        <w:spacing w:line="440" w:lineRule="exact"/>
        <w:rPr>
          <w:rFonts w:ascii="宋体" w:hAnsi="宋体" w:cs="宋体"/>
          <w:b/>
          <w:szCs w:val="21"/>
        </w:rPr>
      </w:pPr>
    </w:p>
    <w:p>
      <w:pPr>
        <w:snapToGrid w:val="0"/>
        <w:spacing w:line="440" w:lineRule="exact"/>
        <w:rPr>
          <w:rFonts w:ascii="宋体" w:hAnsi="宋体" w:cs="宋体"/>
          <w:b/>
          <w:szCs w:val="21"/>
        </w:rPr>
      </w:pPr>
    </w:p>
    <w:p>
      <w:pPr>
        <w:snapToGrid w:val="0"/>
        <w:spacing w:line="440" w:lineRule="exact"/>
        <w:rPr>
          <w:rFonts w:ascii="宋体" w:hAnsi="宋体" w:cs="宋体"/>
          <w:b/>
          <w:szCs w:val="21"/>
        </w:rPr>
      </w:pPr>
    </w:p>
    <w:p>
      <w:pPr>
        <w:snapToGrid w:val="0"/>
        <w:spacing w:line="440" w:lineRule="exact"/>
        <w:rPr>
          <w:rFonts w:ascii="宋体" w:hAnsi="宋体" w:cs="宋体"/>
          <w:b/>
          <w:szCs w:val="21"/>
        </w:rPr>
      </w:pPr>
      <w:r>
        <w:rPr>
          <w:rFonts w:hint="eastAsia" w:ascii="宋体" w:hAnsi="宋体" w:cs="宋体"/>
          <w:b/>
          <w:szCs w:val="21"/>
        </w:rPr>
        <w:br w:type="page"/>
      </w:r>
      <w:r>
        <w:rPr>
          <w:rFonts w:hint="eastAsia" w:ascii="宋体" w:hAnsi="宋体" w:cs="宋体"/>
          <w:b/>
          <w:szCs w:val="21"/>
        </w:rPr>
        <w:t>附表二</w:t>
      </w:r>
    </w:p>
    <w:p>
      <w:pPr>
        <w:snapToGrid w:val="0"/>
        <w:spacing w:line="440" w:lineRule="exact"/>
        <w:ind w:firstLine="420" w:firstLineChars="200"/>
        <w:jc w:val="center"/>
        <w:outlineLvl w:val="0"/>
        <w:rPr>
          <w:rFonts w:ascii="宋体" w:hAnsi="宋体" w:cs="宋体"/>
          <w:szCs w:val="21"/>
        </w:rPr>
      </w:pPr>
      <w:r>
        <w:rPr>
          <w:rFonts w:hint="eastAsia" w:ascii="宋体" w:hAnsi="宋体" w:cs="宋体"/>
          <w:b/>
          <w:bCs/>
          <w:szCs w:val="21"/>
        </w:rPr>
        <w:t>质疑内容</w:t>
      </w:r>
    </w:p>
    <w:tbl>
      <w:tblPr>
        <w:tblStyle w:val="22"/>
        <w:tblW w:w="0" w:type="auto"/>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20" w:firstLineChars="200"/>
              <w:outlineLvl w:val="0"/>
              <w:rPr>
                <w:rFonts w:ascii="宋体" w:hAnsi="宋体" w:cs="宋体"/>
                <w:szCs w:val="21"/>
              </w:rPr>
            </w:pPr>
            <w:r>
              <w:rPr>
                <w:rFonts w:hint="eastAsia" w:ascii="宋体" w:hAnsi="宋体" w:cs="宋体"/>
                <w:szCs w:val="21"/>
              </w:rPr>
              <w:t>项目名称</w:t>
            </w:r>
          </w:p>
        </w:tc>
        <w:tc>
          <w:tcPr>
            <w:tcW w:w="68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20" w:firstLineChars="200"/>
              <w:outlineLvl w:val="0"/>
              <w:rPr>
                <w:rFonts w:ascii="宋体" w:hAnsi="宋体" w:cs="宋体"/>
                <w:szCs w:val="21"/>
              </w:rPr>
            </w:pPr>
            <w:r>
              <w:rPr>
                <w:rFonts w:hint="eastAsia" w:ascii="宋体" w:hAnsi="宋体" w:cs="宋体"/>
                <w:szCs w:val="21"/>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20" w:firstLineChars="200"/>
              <w:outlineLvl w:val="0"/>
              <w:rPr>
                <w:rFonts w:ascii="宋体" w:hAnsi="宋体" w:cs="宋体"/>
                <w:szCs w:val="21"/>
              </w:rPr>
            </w:pPr>
            <w:r>
              <w:rPr>
                <w:rFonts w:hint="eastAsia" w:ascii="宋体" w:hAnsi="宋体" w:cs="宋体"/>
                <w:szCs w:val="21"/>
              </w:rPr>
              <w:t>项目编号</w:t>
            </w:r>
          </w:p>
        </w:tc>
        <w:tc>
          <w:tcPr>
            <w:tcW w:w="6806" w:type="dxa"/>
            <w:tcBorders>
              <w:top w:val="nil"/>
              <w:left w:val="nil"/>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20" w:firstLineChars="200"/>
              <w:outlineLvl w:val="0"/>
              <w:rPr>
                <w:rFonts w:ascii="宋体" w:hAnsi="宋体" w:cs="宋体"/>
                <w:szCs w:val="21"/>
              </w:rPr>
            </w:pPr>
            <w:r>
              <w:rPr>
                <w:rFonts w:hint="eastAsia" w:ascii="宋体" w:hAnsi="宋体" w:cs="宋体"/>
                <w:szCs w:val="21"/>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440" w:lineRule="exact"/>
              <w:ind w:firstLine="420" w:firstLineChars="200"/>
              <w:outlineLvl w:val="0"/>
              <w:rPr>
                <w:rFonts w:ascii="宋体" w:hAnsi="宋体" w:cs="宋体"/>
                <w:szCs w:val="21"/>
              </w:rPr>
            </w:pPr>
            <w:r>
              <w:rPr>
                <w:rFonts w:hint="eastAsia" w:ascii="宋体" w:hAnsi="宋体" w:cs="宋体"/>
                <w:szCs w:val="21"/>
              </w:rPr>
              <w:t>具体的质疑事项及事实依据</w:t>
            </w:r>
          </w:p>
        </w:tc>
        <w:tc>
          <w:tcPr>
            <w:tcW w:w="7711" w:type="dxa"/>
            <w:gridSpan w:val="2"/>
            <w:tcBorders>
              <w:top w:val="nil"/>
              <w:left w:val="nil"/>
              <w:bottom w:val="single" w:color="auto" w:sz="8" w:space="0"/>
              <w:right w:val="single" w:color="auto" w:sz="8" w:space="0"/>
            </w:tcBorders>
            <w:tcMar>
              <w:top w:w="0" w:type="dxa"/>
              <w:left w:w="108" w:type="dxa"/>
              <w:bottom w:w="0" w:type="dxa"/>
              <w:right w:w="108" w:type="dxa"/>
            </w:tcMar>
          </w:tcPr>
          <w:p>
            <w:pPr>
              <w:snapToGrid w:val="0"/>
              <w:spacing w:line="276" w:lineRule="auto"/>
              <w:ind w:firstLine="420" w:firstLineChars="200"/>
              <w:outlineLvl w:val="0"/>
              <w:rPr>
                <w:rFonts w:ascii="宋体" w:hAnsi="宋体" w:cs="宋体"/>
                <w:szCs w:val="21"/>
              </w:rPr>
            </w:pPr>
            <w:r>
              <w:rPr>
                <w:rFonts w:hint="eastAsia" w:ascii="宋体" w:hAnsi="宋体" w:cs="宋体"/>
                <w:b/>
                <w:bCs/>
                <w:szCs w:val="21"/>
              </w:rPr>
              <w:t>一、质疑事项1：</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主要内容：</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事实依据：</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适应法规条款：</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佐证材料：</w:t>
            </w:r>
          </w:p>
          <w:p>
            <w:pPr>
              <w:snapToGrid w:val="0"/>
              <w:spacing w:line="276" w:lineRule="auto"/>
              <w:ind w:firstLine="420" w:firstLineChars="200"/>
              <w:outlineLvl w:val="0"/>
              <w:rPr>
                <w:rFonts w:ascii="宋体" w:hAnsi="宋体" w:cs="宋体"/>
                <w:szCs w:val="21"/>
              </w:rPr>
            </w:pPr>
            <w:r>
              <w:rPr>
                <w:rFonts w:hint="eastAsia" w:ascii="宋体" w:hAnsi="宋体" w:cs="宋体"/>
                <w:b/>
                <w:bCs/>
                <w:szCs w:val="21"/>
              </w:rPr>
              <w:t>二、质疑事项2：</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主要内容：</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事实依据：</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适应法规条款：</w:t>
            </w:r>
          </w:p>
          <w:p>
            <w:pPr>
              <w:snapToGrid w:val="0"/>
              <w:spacing w:line="276" w:lineRule="auto"/>
              <w:ind w:firstLine="420" w:firstLineChars="200"/>
              <w:outlineLvl w:val="0"/>
              <w:rPr>
                <w:rFonts w:ascii="宋体" w:hAnsi="宋体" w:cs="宋体"/>
                <w:szCs w:val="21"/>
              </w:rPr>
            </w:pPr>
            <w:r>
              <w:rPr>
                <w:rFonts w:hint="eastAsia" w:ascii="宋体" w:hAnsi="宋体" w:cs="宋体"/>
                <w:szCs w:val="21"/>
              </w:rPr>
              <w:t>佐证材料： </w:t>
            </w:r>
          </w:p>
          <w:p>
            <w:pPr>
              <w:snapToGrid w:val="0"/>
              <w:spacing w:line="276" w:lineRule="auto"/>
              <w:ind w:firstLine="420" w:firstLineChars="200"/>
              <w:outlineLvl w:val="0"/>
              <w:rPr>
                <w:rFonts w:ascii="宋体" w:hAnsi="宋体" w:cs="宋体"/>
                <w:szCs w:val="21"/>
              </w:rPr>
            </w:pPr>
            <w:r>
              <w:rPr>
                <w:rFonts w:hint="eastAsia" w:ascii="宋体" w:hAnsi="宋体" w:cs="宋体"/>
                <w:b/>
                <w:bCs/>
                <w:szCs w:val="21"/>
              </w:rPr>
              <w:t>三、同上</w:t>
            </w:r>
          </w:p>
        </w:tc>
      </w:tr>
    </w:tbl>
    <w:p>
      <w:pPr>
        <w:snapToGrid w:val="0"/>
        <w:spacing w:line="440" w:lineRule="exact"/>
        <w:ind w:firstLine="420" w:firstLineChars="200"/>
        <w:outlineLvl w:val="0"/>
        <w:rPr>
          <w:rFonts w:ascii="宋体" w:hAnsi="宋体" w:cs="宋体"/>
          <w:b/>
          <w:bCs/>
          <w:szCs w:val="21"/>
        </w:rPr>
      </w:pPr>
      <w:r>
        <w:rPr>
          <w:rFonts w:hint="eastAsia" w:ascii="宋体" w:hAnsi="宋体" w:cs="宋体"/>
          <w:b/>
          <w:bCs/>
          <w:szCs w:val="21"/>
        </w:rPr>
        <w:t>质疑人（盖公章）：</w:t>
      </w:r>
    </w:p>
    <w:p>
      <w:pPr>
        <w:snapToGrid w:val="0"/>
        <w:spacing w:line="440" w:lineRule="exact"/>
        <w:ind w:firstLine="420" w:firstLineChars="200"/>
        <w:outlineLvl w:val="0"/>
        <w:rPr>
          <w:rFonts w:ascii="宋体" w:hAnsi="宋体" w:cs="宋体"/>
          <w:b/>
          <w:bCs/>
          <w:szCs w:val="21"/>
        </w:rPr>
      </w:pPr>
      <w:r>
        <w:rPr>
          <w:rFonts w:hint="eastAsia" w:ascii="宋体" w:hAnsi="宋体" w:cs="宋体"/>
          <w:b/>
          <w:bCs/>
          <w:szCs w:val="21"/>
        </w:rPr>
        <w:t>法定发表人（签字、盖章）：</w:t>
      </w:r>
    </w:p>
    <w:p>
      <w:pPr>
        <w:snapToGrid w:val="0"/>
        <w:spacing w:line="440" w:lineRule="exact"/>
        <w:ind w:firstLine="420" w:firstLineChars="200"/>
        <w:outlineLvl w:val="0"/>
        <w:rPr>
          <w:rFonts w:ascii="宋体" w:hAnsi="宋体" w:cs="宋体"/>
          <w:b/>
          <w:bCs/>
          <w:szCs w:val="21"/>
        </w:rPr>
      </w:pPr>
      <w:r>
        <w:rPr>
          <w:rFonts w:hint="eastAsia" w:ascii="宋体" w:hAnsi="宋体" w:cs="宋体"/>
          <w:b/>
          <w:bCs/>
          <w:szCs w:val="21"/>
        </w:rPr>
        <w:t>授权代理人（签字）：</w:t>
      </w:r>
    </w:p>
    <w:p>
      <w:pPr>
        <w:snapToGrid w:val="0"/>
        <w:spacing w:line="440" w:lineRule="exact"/>
        <w:ind w:firstLine="420" w:firstLineChars="200"/>
        <w:outlineLvl w:val="0"/>
        <w:rPr>
          <w:rFonts w:ascii="宋体" w:hAnsi="宋体" w:cs="宋体"/>
          <w:b/>
          <w:bCs/>
          <w:szCs w:val="21"/>
        </w:rPr>
      </w:pPr>
      <w:r>
        <w:rPr>
          <w:rFonts w:hint="eastAsia" w:ascii="宋体" w:hAnsi="宋体" w:cs="宋体"/>
          <w:b/>
          <w:bCs/>
          <w:szCs w:val="21"/>
        </w:rPr>
        <w:t>日期：年  月  日</w:t>
      </w:r>
    </w:p>
    <w:p>
      <w:pPr>
        <w:snapToGrid w:val="0"/>
        <w:spacing w:line="440" w:lineRule="exact"/>
        <w:ind w:firstLine="420" w:firstLineChars="200"/>
        <w:outlineLvl w:val="0"/>
        <w:rPr>
          <w:rFonts w:ascii="宋体" w:hAnsi="宋体" w:cs="宋体"/>
          <w:szCs w:val="21"/>
        </w:rPr>
      </w:pPr>
      <w:r>
        <w:rPr>
          <w:rFonts w:hint="eastAsia" w:ascii="宋体" w:hAnsi="宋体" w:cs="宋体"/>
          <w:b/>
          <w:bCs/>
          <w:szCs w:val="21"/>
        </w:rPr>
        <w:t>备注：</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3、“具体的质疑事项及事实依据”一栏填写不下时，质疑人可另附页（A4），但附纸要求加盖质疑人公章。</w:t>
      </w:r>
    </w:p>
    <w:p>
      <w:pPr>
        <w:snapToGrid w:val="0"/>
        <w:spacing w:line="440" w:lineRule="exact"/>
        <w:ind w:firstLine="420" w:firstLineChars="200"/>
        <w:outlineLvl w:val="0"/>
        <w:rPr>
          <w:rFonts w:ascii="宋体" w:hAnsi="宋体" w:cs="宋体"/>
          <w:szCs w:val="21"/>
        </w:rPr>
      </w:pPr>
      <w:r>
        <w:rPr>
          <w:rFonts w:hint="eastAsia" w:ascii="宋体" w:hAnsi="宋体" w:cs="宋体"/>
          <w:szCs w:val="21"/>
        </w:rPr>
        <w:t>4、与质疑事项有关的材料应与质疑函合并装订。</w:t>
      </w:r>
    </w:p>
    <w:p>
      <w:pPr>
        <w:snapToGrid w:val="0"/>
        <w:spacing w:line="440" w:lineRule="exact"/>
        <w:ind w:firstLine="420" w:firstLineChars="200"/>
        <w:jc w:val="left"/>
        <w:rPr>
          <w:rFonts w:ascii="宋体" w:hAnsi="宋体" w:cs="宋体"/>
          <w:b/>
          <w:bCs/>
          <w:szCs w:val="21"/>
        </w:rPr>
      </w:pPr>
      <w:r>
        <w:rPr>
          <w:rFonts w:hint="eastAsia" w:ascii="宋体" w:hAnsi="宋体" w:cs="宋体"/>
          <w:szCs w:val="21"/>
        </w:rPr>
        <w:t>5、</w:t>
      </w:r>
      <w:r>
        <w:rPr>
          <w:rFonts w:hint="eastAsia" w:ascii="宋体" w:hAnsi="宋体" w:cs="宋体"/>
          <w:b/>
          <w:bCs/>
          <w:szCs w:val="21"/>
        </w:rPr>
        <w:t>质疑函一式三份。</w:t>
      </w:r>
    </w:p>
    <w:p>
      <w:pPr>
        <w:spacing w:line="360" w:lineRule="auto"/>
        <w:jc w:val="center"/>
        <w:rPr>
          <w:rFonts w:ascii="黑体" w:hAnsi="黑体"/>
          <w:b/>
          <w:kern w:val="0"/>
          <w:sz w:val="36"/>
          <w:szCs w:val="36"/>
        </w:rPr>
      </w:pPr>
      <w:r>
        <w:rPr>
          <w:rFonts w:hint="eastAsia" w:ascii="宋体" w:hAnsi="宋体" w:cs="宋体"/>
          <w:b/>
          <w:bCs/>
          <w:sz w:val="30"/>
          <w:szCs w:val="30"/>
        </w:rPr>
        <w:br w:type="page"/>
      </w:r>
      <w:r>
        <w:rPr>
          <w:rFonts w:hint="eastAsia" w:ascii="宋体" w:hAnsi="宋体"/>
          <w:b/>
          <w:kern w:val="0"/>
          <w:sz w:val="32"/>
          <w:szCs w:val="32"/>
        </w:rPr>
        <w:t>第三部分  合同条款（参考）</w:t>
      </w:r>
    </w:p>
    <w:p>
      <w:pPr>
        <w:pStyle w:val="4"/>
        <w:ind w:left="576" w:hanging="576"/>
        <w:jc w:val="center"/>
        <w:rPr>
          <w:rFonts w:hAnsi="宋体" w:cs="仿宋_GB2312"/>
          <w:color w:val="000000"/>
          <w:szCs w:val="28"/>
        </w:rPr>
      </w:pPr>
      <w:bookmarkStart w:id="3" w:name="_BookMark_1"/>
      <w:r>
        <w:rPr>
          <w:rFonts w:hAnsi="宋体" w:cs="仿宋_GB2312"/>
          <w:szCs w:val="28"/>
        </w:rPr>
        <w:t>第一部分 合同协议书</w:t>
      </w:r>
    </w:p>
    <w:bookmarkEnd w:id="3"/>
    <w:p>
      <w:pPr>
        <w:spacing w:line="360" w:lineRule="auto"/>
        <w:rPr>
          <w:rFonts w:ascii="宋体" w:hAnsi="宋体" w:cs="仿宋_GB2312"/>
          <w:b/>
          <w:color w:val="000000"/>
          <w:szCs w:val="21"/>
          <w:u w:val="single"/>
        </w:rPr>
      </w:pPr>
      <w:r>
        <w:rPr>
          <w:rFonts w:hint="eastAsia" w:ascii="宋体" w:hAnsi="宋体" w:cs="仿宋_GB2312"/>
          <w:b/>
          <w:color w:val="000000"/>
          <w:szCs w:val="21"/>
        </w:rPr>
        <w:t>发包人（全称）：</w:t>
      </w:r>
      <w:r>
        <w:rPr>
          <w:rFonts w:hint="eastAsia" w:ascii="宋体" w:hAnsi="宋体" w:cs="仿宋_GB2312"/>
          <w:b/>
          <w:color w:val="000000"/>
          <w:szCs w:val="21"/>
          <w:u w:val="single"/>
        </w:rPr>
        <w:t xml:space="preserve">                     </w:t>
      </w:r>
      <w:r>
        <w:rPr>
          <w:rFonts w:ascii="宋体" w:hAnsi="宋体" w:cs="仿宋_GB2312"/>
          <w:b/>
          <w:color w:val="000000"/>
          <w:szCs w:val="21"/>
          <w:u w:val="single"/>
        </w:rPr>
        <w:t xml:space="preserve">  </w:t>
      </w:r>
      <w:r>
        <w:rPr>
          <w:rFonts w:hint="eastAsia" w:ascii="宋体" w:hAnsi="宋体" w:cs="仿宋_GB2312"/>
          <w:b/>
          <w:color w:val="000000"/>
          <w:szCs w:val="21"/>
          <w:u w:val="single"/>
        </w:rPr>
        <w:t xml:space="preserve">  </w:t>
      </w:r>
    </w:p>
    <w:p>
      <w:pPr>
        <w:spacing w:line="360" w:lineRule="auto"/>
        <w:rPr>
          <w:rFonts w:ascii="宋体" w:hAnsi="宋体" w:cs="仿宋_GB2312"/>
          <w:b/>
          <w:color w:val="000000"/>
          <w:szCs w:val="21"/>
          <w:u w:val="single"/>
        </w:rPr>
      </w:pPr>
      <w:r>
        <w:rPr>
          <w:rFonts w:hint="eastAsia" w:ascii="宋体" w:hAnsi="宋体" w:cs="仿宋_GB2312"/>
          <w:b/>
          <w:color w:val="000000"/>
          <w:szCs w:val="21"/>
        </w:rPr>
        <w:t>承包人（全称）：</w:t>
      </w:r>
      <w:r>
        <w:rPr>
          <w:rFonts w:hint="eastAsia" w:ascii="宋体" w:hAnsi="宋体" w:cs="仿宋_GB2312"/>
          <w:b/>
          <w:color w:val="000000"/>
          <w:szCs w:val="21"/>
          <w:u w:val="single"/>
        </w:rPr>
        <w:t xml:space="preserve">                       </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根据《中华人民共和国合同法》、《中华人民共和国建筑法》及有关法律规定，遵循平等、自愿、公平和诚实信用的原则，双方就</w:t>
      </w:r>
    </w:p>
    <w:p>
      <w:pPr>
        <w:spacing w:line="360" w:lineRule="auto"/>
        <w:rPr>
          <w:rFonts w:ascii="宋体" w:hAnsi="宋体" w:cs="仿宋_GB2312"/>
          <w:color w:val="000000"/>
          <w:szCs w:val="21"/>
        </w:rPr>
      </w:pPr>
      <w:r>
        <w:rPr>
          <w:rFonts w:hint="eastAsia" w:ascii="宋体" w:hAnsi="宋体" w:cs="仿宋_GB2312"/>
          <w:color w:val="000000"/>
          <w:szCs w:val="21"/>
          <w:u w:val="single"/>
        </w:rPr>
        <w:t xml:space="preserve">                                      </w:t>
      </w:r>
      <w:r>
        <w:rPr>
          <w:rFonts w:hint="eastAsia" w:ascii="宋体" w:hAnsi="宋体" w:cs="仿宋_GB2312"/>
          <w:color w:val="000000"/>
          <w:szCs w:val="21"/>
        </w:rPr>
        <w:t>工程施工及有关事项协商一致，共同达成如下协议：</w:t>
      </w:r>
    </w:p>
    <w:p>
      <w:pPr>
        <w:rPr>
          <w:rFonts w:ascii="宋体" w:hAnsi="宋体" w:cs="仿宋_GB2312"/>
          <w:b/>
          <w:bCs/>
          <w:color w:val="000000"/>
          <w:szCs w:val="21"/>
        </w:rPr>
      </w:pPr>
      <w:r>
        <w:rPr>
          <w:rFonts w:hint="eastAsia" w:ascii="宋体" w:hAnsi="宋体" w:cs="仿宋_GB2312"/>
          <w:b/>
          <w:color w:val="000000"/>
          <w:szCs w:val="21"/>
        </w:rPr>
        <w:t xml:space="preserve"> </w:t>
      </w:r>
      <w:bookmarkStart w:id="4" w:name="_Toc351203481"/>
      <w:r>
        <w:rPr>
          <w:rFonts w:hint="eastAsia" w:ascii="宋体" w:hAnsi="宋体" w:cs="仿宋_GB2312"/>
          <w:b/>
          <w:bCs/>
          <w:color w:val="000000"/>
          <w:szCs w:val="21"/>
        </w:rPr>
        <w:t>一、工程概况</w:t>
      </w:r>
      <w:bookmarkEnd w:id="4"/>
    </w:p>
    <w:p>
      <w:pPr>
        <w:spacing w:line="360" w:lineRule="auto"/>
        <w:ind w:firstLine="411" w:firstLineChars="196"/>
        <w:rPr>
          <w:rFonts w:ascii="宋体" w:hAnsi="宋体" w:cs="仿宋_GB2312"/>
          <w:color w:val="000000"/>
          <w:szCs w:val="21"/>
          <w:u w:val="single"/>
        </w:rPr>
      </w:pPr>
      <w:r>
        <w:rPr>
          <w:rFonts w:hint="eastAsia" w:ascii="宋体" w:hAnsi="宋体" w:cs="仿宋_GB2312"/>
          <w:bCs/>
          <w:color w:val="000000"/>
          <w:szCs w:val="21"/>
        </w:rPr>
        <w:t>1.工程名称</w:t>
      </w:r>
      <w:r>
        <w:rPr>
          <w:rFonts w:hint="eastAsia" w:ascii="宋体" w:hAnsi="宋体" w:cs="仿宋_GB2312"/>
          <w:color w:val="000000"/>
          <w:szCs w:val="21"/>
        </w:rPr>
        <w:t>：</w:t>
      </w:r>
      <w:r>
        <w:rPr>
          <w:rFonts w:hint="eastAsia" w:ascii="宋体" w:hAnsi="宋体" w:cs="仿宋_GB2312"/>
          <w:color w:val="000000"/>
          <w:szCs w:val="21"/>
          <w:u w:val="single"/>
        </w:rPr>
        <w:t xml:space="preserve">                                     </w:t>
      </w:r>
      <w:r>
        <w:rPr>
          <w:rFonts w:hint="eastAsia" w:ascii="宋体" w:hAnsi="宋体" w:cs="仿宋_GB2312"/>
          <w:color w:val="000000"/>
          <w:szCs w:val="21"/>
        </w:rPr>
        <w:t>。</w:t>
      </w:r>
    </w:p>
    <w:p>
      <w:pPr>
        <w:spacing w:line="360" w:lineRule="auto"/>
        <w:ind w:firstLine="411" w:firstLineChars="196"/>
        <w:rPr>
          <w:rFonts w:ascii="宋体" w:hAnsi="宋体" w:cs="仿宋_GB2312"/>
          <w:bCs/>
          <w:color w:val="000000"/>
          <w:szCs w:val="21"/>
        </w:rPr>
      </w:pPr>
      <w:r>
        <w:rPr>
          <w:rFonts w:hint="eastAsia" w:ascii="宋体" w:hAnsi="宋体" w:cs="仿宋_GB2312"/>
          <w:bCs/>
          <w:color w:val="000000"/>
          <w:szCs w:val="21"/>
        </w:rPr>
        <w:t>2.工程地点：</w:t>
      </w:r>
      <w:r>
        <w:rPr>
          <w:rFonts w:hint="eastAsia" w:ascii="宋体" w:hAnsi="宋体" w:cs="仿宋_GB2312"/>
          <w:color w:val="000000"/>
          <w:szCs w:val="21"/>
          <w:u w:val="single"/>
        </w:rPr>
        <w:t xml:space="preserve">                                  </w:t>
      </w:r>
      <w:r>
        <w:rPr>
          <w:rFonts w:hint="eastAsia" w:ascii="宋体" w:hAnsi="宋体" w:cs="仿宋_GB2312"/>
          <w:color w:val="000000"/>
          <w:szCs w:val="21"/>
        </w:rPr>
        <w:t>。</w:t>
      </w:r>
    </w:p>
    <w:p>
      <w:pPr>
        <w:spacing w:line="360" w:lineRule="auto"/>
        <w:ind w:firstLine="411" w:firstLineChars="196"/>
        <w:rPr>
          <w:rFonts w:ascii="宋体" w:hAnsi="宋体" w:cs="仿宋_GB2312"/>
          <w:bCs/>
          <w:color w:val="000000"/>
          <w:szCs w:val="21"/>
        </w:rPr>
      </w:pPr>
      <w:r>
        <w:rPr>
          <w:rFonts w:hint="eastAsia" w:ascii="宋体" w:hAnsi="宋体" w:cs="仿宋_GB2312"/>
          <w:bCs/>
          <w:color w:val="000000"/>
          <w:szCs w:val="21"/>
        </w:rPr>
        <w:t>3.工程立项批准文号：</w:t>
      </w:r>
      <w:r>
        <w:rPr>
          <w:rFonts w:hint="eastAsia" w:ascii="宋体" w:hAnsi="宋体" w:cs="仿宋_GB2312"/>
          <w:color w:val="000000"/>
          <w:szCs w:val="21"/>
          <w:u w:val="single"/>
        </w:rPr>
        <w:t xml:space="preserve">                                      </w:t>
      </w:r>
      <w:r>
        <w:rPr>
          <w:rFonts w:hint="eastAsia" w:ascii="宋体" w:hAnsi="宋体" w:cs="仿宋_GB2312"/>
          <w:bCs/>
          <w:color w:val="000000"/>
          <w:szCs w:val="21"/>
        </w:rPr>
        <w:t>。</w:t>
      </w:r>
    </w:p>
    <w:p>
      <w:pPr>
        <w:spacing w:line="360" w:lineRule="auto"/>
        <w:ind w:firstLine="411" w:firstLineChars="196"/>
        <w:rPr>
          <w:rFonts w:ascii="宋体" w:hAnsi="宋体" w:cs="仿宋_GB2312"/>
          <w:bCs/>
          <w:color w:val="000000"/>
          <w:szCs w:val="21"/>
        </w:rPr>
      </w:pPr>
      <w:r>
        <w:rPr>
          <w:rFonts w:hint="eastAsia" w:ascii="宋体" w:hAnsi="宋体" w:cs="仿宋_GB2312"/>
          <w:bCs/>
          <w:color w:val="000000"/>
          <w:szCs w:val="21"/>
        </w:rPr>
        <w:t>4.资金来源：</w:t>
      </w:r>
      <w:r>
        <w:rPr>
          <w:rFonts w:hint="eastAsia" w:ascii="宋体" w:hAnsi="宋体" w:cs="仿宋_GB2312"/>
          <w:color w:val="000000"/>
          <w:szCs w:val="21"/>
          <w:u w:val="single"/>
        </w:rPr>
        <w:t xml:space="preserve">                                     </w:t>
      </w:r>
      <w:r>
        <w:rPr>
          <w:rFonts w:hint="eastAsia" w:ascii="宋体" w:hAnsi="宋体" w:cs="仿宋_GB2312"/>
          <w:bCs/>
          <w:color w:val="000000"/>
          <w:szCs w:val="21"/>
        </w:rPr>
        <w:t>。</w:t>
      </w:r>
    </w:p>
    <w:p>
      <w:pPr>
        <w:spacing w:line="360" w:lineRule="auto"/>
        <w:ind w:firstLine="411" w:firstLineChars="196"/>
        <w:rPr>
          <w:rFonts w:ascii="宋体" w:hAnsi="宋体" w:cs="仿宋_GB2312"/>
          <w:bCs/>
          <w:color w:val="000000"/>
          <w:szCs w:val="21"/>
        </w:rPr>
      </w:pPr>
      <w:r>
        <w:rPr>
          <w:rFonts w:hint="eastAsia" w:ascii="宋体" w:hAnsi="宋体" w:cs="仿宋_GB2312"/>
          <w:bCs/>
          <w:color w:val="000000"/>
          <w:szCs w:val="21"/>
        </w:rPr>
        <w:t>5.工程内容：</w:t>
      </w:r>
      <w:r>
        <w:rPr>
          <w:rFonts w:hint="eastAsia" w:ascii="宋体" w:hAnsi="宋体" w:cs="仿宋_GB2312"/>
          <w:color w:val="000000"/>
          <w:szCs w:val="21"/>
          <w:u w:val="single"/>
        </w:rPr>
        <w:t xml:space="preserve">                                       </w:t>
      </w:r>
      <w:r>
        <w:rPr>
          <w:rFonts w:hint="eastAsia" w:ascii="宋体" w:hAnsi="宋体" w:cs="仿宋_GB2312"/>
          <w:bCs/>
          <w:color w:val="000000"/>
          <w:szCs w:val="21"/>
        </w:rPr>
        <w:t>。</w:t>
      </w:r>
    </w:p>
    <w:p>
      <w:pPr>
        <w:spacing w:line="360" w:lineRule="auto"/>
        <w:ind w:firstLine="411" w:firstLineChars="196"/>
        <w:rPr>
          <w:rFonts w:ascii="宋体" w:hAnsi="宋体" w:cs="仿宋_GB2312"/>
          <w:bCs/>
          <w:color w:val="000000"/>
          <w:szCs w:val="21"/>
        </w:rPr>
      </w:pPr>
      <w:r>
        <w:rPr>
          <w:rFonts w:hint="eastAsia" w:ascii="宋体" w:hAnsi="宋体" w:cs="仿宋_GB2312"/>
          <w:color w:val="000000"/>
          <w:szCs w:val="21"/>
        </w:rPr>
        <w:t>群体工程应附《承包人承揽工程项目一览表》（附件1）。</w:t>
      </w:r>
    </w:p>
    <w:p>
      <w:pPr>
        <w:spacing w:line="360" w:lineRule="auto"/>
        <w:ind w:firstLine="411" w:firstLineChars="196"/>
        <w:rPr>
          <w:rFonts w:ascii="宋体" w:hAnsi="宋体" w:cs="仿宋_GB2312"/>
          <w:bCs/>
          <w:color w:val="000000"/>
          <w:szCs w:val="21"/>
        </w:rPr>
      </w:pPr>
      <w:r>
        <w:rPr>
          <w:rFonts w:hint="eastAsia" w:ascii="宋体" w:hAnsi="宋体" w:cs="仿宋_GB2312"/>
          <w:bCs/>
          <w:color w:val="000000"/>
          <w:szCs w:val="21"/>
        </w:rPr>
        <w:t>6.工程承包范围：</w:t>
      </w:r>
    </w:p>
    <w:p>
      <w:pPr>
        <w:spacing w:line="360" w:lineRule="auto"/>
        <w:ind w:firstLine="405" w:firstLineChars="193"/>
        <w:rPr>
          <w:rFonts w:ascii="宋体" w:hAnsi="宋体" w:cs="仿宋_GB2312"/>
          <w:color w:val="000000"/>
          <w:szCs w:val="21"/>
        </w:rPr>
      </w:pPr>
      <w:r>
        <w:rPr>
          <w:rFonts w:hint="eastAsia" w:ascii="宋体" w:hAnsi="宋体" w:cs="仿宋_GB2312"/>
          <w:color w:val="000000"/>
          <w:szCs w:val="21"/>
          <w:u w:val="single"/>
        </w:rPr>
        <w:t>                                 </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u w:val="single"/>
        </w:rPr>
        <w:t>                               </w:t>
      </w:r>
      <w:r>
        <w:rPr>
          <w:rFonts w:hint="eastAsia" w:ascii="宋体" w:hAnsi="宋体" w:cs="仿宋_GB2312"/>
          <w:color w:val="000000"/>
          <w:szCs w:val="21"/>
        </w:rPr>
        <w:t>。</w:t>
      </w:r>
      <w:bookmarkStart w:id="5" w:name="_Toc351203482"/>
    </w:p>
    <w:p>
      <w:pPr>
        <w:rPr>
          <w:rFonts w:ascii="宋体" w:hAnsi="宋体" w:cs="仿宋_GB2312"/>
          <w:b/>
          <w:color w:val="000000"/>
          <w:szCs w:val="21"/>
        </w:rPr>
      </w:pPr>
      <w:r>
        <w:rPr>
          <w:rFonts w:hint="eastAsia" w:ascii="宋体" w:hAnsi="宋体" w:cs="仿宋_GB2312"/>
          <w:b/>
          <w:color w:val="000000"/>
          <w:szCs w:val="21"/>
        </w:rPr>
        <w:t>二、合同工期</w:t>
      </w:r>
      <w:bookmarkEnd w:id="5"/>
    </w:p>
    <w:p>
      <w:pPr>
        <w:spacing w:line="360" w:lineRule="auto"/>
        <w:ind w:firstLine="459"/>
        <w:rPr>
          <w:rFonts w:ascii="宋体" w:hAnsi="宋体" w:cs="仿宋_GB2312"/>
          <w:color w:val="000000"/>
          <w:szCs w:val="21"/>
        </w:rPr>
      </w:pPr>
      <w:r>
        <w:rPr>
          <w:rFonts w:hint="eastAsia" w:ascii="宋体" w:hAnsi="宋体" w:cs="仿宋_GB2312"/>
          <w:color w:val="000000"/>
          <w:szCs w:val="21"/>
        </w:rPr>
        <w:t>计划开工日期：</w:t>
      </w:r>
      <w:r>
        <w:rPr>
          <w:rFonts w:hint="eastAsia" w:ascii="宋体" w:hAnsi="宋体" w:cs="仿宋_GB2312"/>
          <w:color w:val="000000"/>
          <w:szCs w:val="21"/>
          <w:u w:val="single"/>
        </w:rPr>
        <w:t></w:t>
      </w:r>
      <w:r>
        <w:rPr>
          <w:rFonts w:hint="eastAsia" w:ascii="宋体" w:hAnsi="宋体" w:cs="仿宋_GB2312"/>
          <w:color w:val="000000"/>
          <w:szCs w:val="21"/>
        </w:rPr>
        <w:t>年</w:t>
      </w:r>
      <w:r>
        <w:rPr>
          <w:rFonts w:hint="eastAsia" w:ascii="宋体" w:hAnsi="宋体" w:cs="仿宋_GB2312"/>
          <w:color w:val="000000"/>
          <w:szCs w:val="21"/>
          <w:u w:val="single"/>
        </w:rPr>
        <w:t></w:t>
      </w:r>
      <w:r>
        <w:rPr>
          <w:rFonts w:hint="eastAsia" w:ascii="宋体" w:hAnsi="宋体" w:cs="仿宋_GB2312"/>
          <w:color w:val="000000"/>
          <w:szCs w:val="21"/>
        </w:rPr>
        <w:t>月</w:t>
      </w:r>
      <w:r>
        <w:rPr>
          <w:rFonts w:hint="eastAsia" w:ascii="宋体" w:hAnsi="宋体" w:cs="仿宋_GB2312"/>
          <w:color w:val="000000"/>
          <w:szCs w:val="21"/>
          <w:u w:val="single"/>
        </w:rPr>
        <w:t></w:t>
      </w:r>
      <w:r>
        <w:rPr>
          <w:rFonts w:hint="eastAsia" w:ascii="宋体" w:hAnsi="宋体" w:cs="仿宋_GB2312"/>
          <w:color w:val="000000"/>
          <w:szCs w:val="21"/>
        </w:rPr>
        <w:t>日。</w:t>
      </w:r>
    </w:p>
    <w:p>
      <w:pPr>
        <w:spacing w:line="360" w:lineRule="auto"/>
        <w:ind w:firstLine="459"/>
        <w:rPr>
          <w:rFonts w:ascii="宋体" w:hAnsi="宋体" w:cs="仿宋_GB2312"/>
          <w:color w:val="000000"/>
          <w:szCs w:val="21"/>
        </w:rPr>
      </w:pPr>
      <w:r>
        <w:rPr>
          <w:rFonts w:hint="eastAsia" w:ascii="宋体" w:hAnsi="宋体" w:cs="仿宋_GB2312"/>
          <w:color w:val="000000"/>
          <w:szCs w:val="21"/>
        </w:rPr>
        <w:t>计划竣工日期：</w:t>
      </w:r>
      <w:r>
        <w:rPr>
          <w:rFonts w:hint="eastAsia" w:ascii="宋体" w:hAnsi="宋体" w:cs="仿宋_GB2312"/>
          <w:color w:val="000000"/>
          <w:szCs w:val="21"/>
          <w:u w:val="single"/>
        </w:rPr>
        <w:t></w:t>
      </w:r>
      <w:r>
        <w:rPr>
          <w:rFonts w:hint="eastAsia" w:ascii="宋体" w:hAnsi="宋体" w:cs="仿宋_GB2312"/>
          <w:color w:val="000000"/>
          <w:szCs w:val="21"/>
        </w:rPr>
        <w:t>年</w:t>
      </w:r>
      <w:r>
        <w:rPr>
          <w:rFonts w:hint="eastAsia" w:ascii="宋体" w:hAnsi="宋体" w:cs="仿宋_GB2312"/>
          <w:color w:val="000000"/>
          <w:szCs w:val="21"/>
          <w:u w:val="single"/>
        </w:rPr>
        <w:t></w:t>
      </w:r>
      <w:r>
        <w:rPr>
          <w:rFonts w:hint="eastAsia" w:ascii="宋体" w:hAnsi="宋体" w:cs="仿宋_GB2312"/>
          <w:color w:val="000000"/>
          <w:szCs w:val="21"/>
        </w:rPr>
        <w:t>月</w:t>
      </w:r>
      <w:r>
        <w:rPr>
          <w:rFonts w:hint="eastAsia" w:ascii="宋体" w:hAnsi="宋体" w:cs="仿宋_GB2312"/>
          <w:color w:val="000000"/>
          <w:szCs w:val="21"/>
          <w:u w:val="single"/>
        </w:rPr>
        <w:t></w:t>
      </w:r>
      <w:r>
        <w:rPr>
          <w:rFonts w:hint="eastAsia" w:ascii="宋体" w:hAnsi="宋体" w:cs="仿宋_GB2312"/>
          <w:color w:val="000000"/>
          <w:szCs w:val="21"/>
        </w:rPr>
        <w:t>日。</w:t>
      </w:r>
    </w:p>
    <w:p>
      <w:pPr>
        <w:spacing w:line="360" w:lineRule="auto"/>
        <w:ind w:firstLine="459"/>
        <w:rPr>
          <w:rFonts w:ascii="宋体" w:hAnsi="宋体" w:cs="仿宋_GB2312"/>
          <w:color w:val="000000"/>
          <w:szCs w:val="21"/>
        </w:rPr>
      </w:pPr>
      <w:r>
        <w:rPr>
          <w:rFonts w:hint="eastAsia" w:ascii="宋体" w:hAnsi="宋体" w:cs="仿宋_GB2312"/>
          <w:color w:val="000000"/>
          <w:szCs w:val="21"/>
        </w:rPr>
        <w:t>工期总日历天数：</w:t>
      </w:r>
      <w:r>
        <w:rPr>
          <w:rFonts w:hint="eastAsia" w:ascii="宋体" w:hAnsi="宋体" w:cs="仿宋_GB2312"/>
          <w:color w:val="000000"/>
          <w:szCs w:val="21"/>
          <w:u w:val="single"/>
        </w:rPr>
        <w:t></w:t>
      </w:r>
      <w:r>
        <w:rPr>
          <w:rFonts w:hint="eastAsia" w:ascii="宋体" w:hAnsi="宋体" w:cs="仿宋_GB2312"/>
          <w:color w:val="000000"/>
          <w:szCs w:val="21"/>
        </w:rPr>
        <w:t>天。工期总日历天数与根据前述计划开竣工日期计算的工期天数不一致的，以工期总日历天数为准。</w:t>
      </w:r>
    </w:p>
    <w:p>
      <w:pPr>
        <w:rPr>
          <w:rFonts w:ascii="宋体" w:hAnsi="宋体" w:cs="仿宋_GB2312"/>
          <w:b/>
          <w:color w:val="000000"/>
          <w:szCs w:val="21"/>
        </w:rPr>
      </w:pPr>
      <w:bookmarkStart w:id="6" w:name="_Toc351203483"/>
      <w:r>
        <w:rPr>
          <w:rFonts w:hint="eastAsia" w:ascii="宋体" w:hAnsi="宋体" w:cs="仿宋_GB2312"/>
          <w:b/>
          <w:color w:val="000000"/>
          <w:szCs w:val="21"/>
        </w:rPr>
        <w:t>三、质量标准</w:t>
      </w:r>
      <w:bookmarkEnd w:id="6"/>
    </w:p>
    <w:p>
      <w:pPr>
        <w:spacing w:line="360" w:lineRule="auto"/>
        <w:ind w:firstLine="459"/>
        <w:rPr>
          <w:rFonts w:ascii="宋体" w:hAnsi="宋体" w:cs="仿宋_GB2312"/>
          <w:color w:val="000000"/>
          <w:szCs w:val="21"/>
        </w:rPr>
      </w:pPr>
      <w:r>
        <w:rPr>
          <w:rFonts w:hint="eastAsia" w:ascii="宋体" w:hAnsi="宋体" w:cs="仿宋_GB2312"/>
          <w:color w:val="000000"/>
          <w:szCs w:val="21"/>
        </w:rPr>
        <w:t>工程质量符合</w:t>
      </w:r>
      <w:r>
        <w:rPr>
          <w:rFonts w:hint="eastAsia" w:ascii="宋体" w:hAnsi="宋体" w:cs="仿宋_GB2312"/>
          <w:color w:val="000000"/>
          <w:szCs w:val="21"/>
          <w:u w:val="single"/>
        </w:rPr>
        <w:t></w:t>
      </w:r>
      <w:r>
        <w:rPr>
          <w:rFonts w:hint="eastAsia" w:ascii="宋体" w:hAnsi="宋体" w:cs="仿宋_GB2312"/>
          <w:color w:val="000000"/>
          <w:szCs w:val="21"/>
        </w:rPr>
        <w:t>标准。</w:t>
      </w:r>
    </w:p>
    <w:p>
      <w:pPr>
        <w:rPr>
          <w:rFonts w:ascii="宋体" w:hAnsi="宋体" w:cs="仿宋_GB2312"/>
          <w:b/>
          <w:color w:val="000000"/>
          <w:szCs w:val="21"/>
        </w:rPr>
      </w:pPr>
      <w:bookmarkStart w:id="7" w:name="_Toc351203484"/>
      <w:r>
        <w:rPr>
          <w:rFonts w:hint="eastAsia" w:ascii="宋体" w:hAnsi="宋体" w:cs="仿宋_GB2312"/>
          <w:b/>
          <w:color w:val="000000"/>
          <w:szCs w:val="21"/>
        </w:rPr>
        <w:t>四、签约合同价与合同价格形式</w:t>
      </w:r>
      <w:bookmarkEnd w:id="7"/>
      <w:r>
        <w:rPr>
          <w:rFonts w:hint="eastAsia" w:ascii="宋体" w:hAnsi="宋体" w:cs="仿宋_GB2312"/>
          <w:b/>
          <w:color w:val="000000"/>
          <w:szCs w:val="21"/>
        </w:rPr>
        <w:tab/>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1.签约合同价为：</w:t>
      </w:r>
    </w:p>
    <w:p>
      <w:pPr>
        <w:spacing w:line="360" w:lineRule="auto"/>
        <w:ind w:firstLine="525" w:firstLineChars="250"/>
        <w:rPr>
          <w:rFonts w:ascii="宋体" w:hAnsi="宋体" w:cs="仿宋_GB2312"/>
          <w:color w:val="000000"/>
          <w:szCs w:val="21"/>
        </w:rPr>
      </w:pPr>
      <w:r>
        <w:rPr>
          <w:rFonts w:hint="eastAsia" w:ascii="宋体" w:hAnsi="宋体" w:cs="仿宋_GB2312"/>
          <w:color w:val="000000"/>
          <w:szCs w:val="21"/>
        </w:rPr>
        <w:t>人民币（大写）</w:t>
      </w:r>
      <w:r>
        <w:rPr>
          <w:rFonts w:hint="eastAsia" w:ascii="宋体" w:hAnsi="宋体" w:cs="仿宋_GB2312"/>
          <w:color w:val="000000"/>
          <w:szCs w:val="21"/>
          <w:u w:val="single"/>
        </w:rPr>
        <w:t xml:space="preserve">                 </w:t>
      </w:r>
      <w:r>
        <w:rPr>
          <w:rFonts w:hint="eastAsia" w:ascii="宋体" w:hAnsi="宋体" w:cs="仿宋_GB2312"/>
          <w:color w:val="000000"/>
          <w:szCs w:val="21"/>
        </w:rPr>
        <w:t>(¥</w:t>
      </w:r>
      <w:r>
        <w:rPr>
          <w:rFonts w:hint="eastAsia" w:ascii="宋体" w:hAnsi="宋体" w:cs="仿宋_GB2312"/>
          <w:color w:val="000000"/>
          <w:szCs w:val="21"/>
          <w:u w:val="single"/>
        </w:rPr>
        <w:t xml:space="preserve">            </w:t>
      </w:r>
      <w:r>
        <w:rPr>
          <w:rFonts w:hint="eastAsia" w:ascii="宋体" w:hAnsi="宋体" w:cs="仿宋_GB2312"/>
          <w:color w:val="000000"/>
          <w:szCs w:val="21"/>
        </w:rPr>
        <w:t>元)；</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其中：</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（1）安全文明施工费：</w:t>
      </w:r>
    </w:p>
    <w:p>
      <w:pPr>
        <w:spacing w:line="360" w:lineRule="auto"/>
        <w:ind w:firstLine="945" w:firstLineChars="450"/>
        <w:rPr>
          <w:rFonts w:ascii="宋体" w:hAnsi="宋体" w:cs="仿宋_GB2312"/>
          <w:color w:val="000000"/>
          <w:szCs w:val="21"/>
        </w:rPr>
      </w:pPr>
      <w:r>
        <w:rPr>
          <w:rFonts w:hint="eastAsia" w:ascii="宋体" w:hAnsi="宋体" w:cs="仿宋_GB2312"/>
          <w:color w:val="000000"/>
          <w:szCs w:val="21"/>
        </w:rPr>
        <w:t>人民币（大写）</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w:t>
      </w:r>
      <w:r>
        <w:rPr>
          <w:rFonts w:hint="eastAsia" w:ascii="宋体" w:hAnsi="宋体" w:cs="仿宋_GB2312"/>
          <w:color w:val="000000"/>
          <w:szCs w:val="21"/>
          <w:u w:val="single"/>
        </w:rPr>
        <w:t xml:space="preserve">          </w:t>
      </w:r>
      <w:r>
        <w:rPr>
          <w:rFonts w:hint="eastAsia" w:ascii="宋体" w:hAnsi="宋体" w:cs="仿宋_GB2312"/>
          <w:color w:val="000000"/>
          <w:szCs w:val="21"/>
        </w:rPr>
        <w:t>元)；</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（2）材料和工程设备暂估价金额：</w:t>
      </w:r>
    </w:p>
    <w:p>
      <w:pPr>
        <w:spacing w:line="360" w:lineRule="auto"/>
        <w:ind w:firstLine="945" w:firstLineChars="450"/>
        <w:rPr>
          <w:rFonts w:ascii="宋体" w:hAnsi="宋体" w:cs="仿宋_GB2312"/>
          <w:color w:val="000000"/>
          <w:szCs w:val="21"/>
        </w:rPr>
      </w:pPr>
      <w:r>
        <w:rPr>
          <w:rFonts w:hint="eastAsia" w:ascii="宋体" w:hAnsi="宋体" w:cs="仿宋_GB2312"/>
          <w:color w:val="000000"/>
          <w:szCs w:val="21"/>
        </w:rPr>
        <w:t>人民币（大写）</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w:t>
      </w:r>
      <w:r>
        <w:rPr>
          <w:rFonts w:hint="eastAsia" w:ascii="宋体" w:hAnsi="宋体" w:cs="仿宋_GB2312"/>
          <w:color w:val="000000"/>
          <w:szCs w:val="21"/>
          <w:u w:val="single"/>
        </w:rPr>
        <w:t xml:space="preserve">          </w:t>
      </w:r>
      <w:r>
        <w:rPr>
          <w:rFonts w:hint="eastAsia" w:ascii="宋体" w:hAnsi="宋体" w:cs="仿宋_GB2312"/>
          <w:color w:val="000000"/>
          <w:szCs w:val="21"/>
        </w:rPr>
        <w:t>元)；</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（3）专业工程暂估价金额：</w:t>
      </w:r>
    </w:p>
    <w:p>
      <w:pPr>
        <w:spacing w:line="360" w:lineRule="auto"/>
        <w:ind w:firstLine="945" w:firstLineChars="450"/>
        <w:rPr>
          <w:rFonts w:ascii="宋体" w:hAnsi="宋体" w:cs="仿宋_GB2312"/>
          <w:color w:val="000000"/>
          <w:szCs w:val="21"/>
        </w:rPr>
      </w:pPr>
      <w:r>
        <w:rPr>
          <w:rFonts w:hint="eastAsia" w:ascii="宋体" w:hAnsi="宋体" w:cs="仿宋_GB2312"/>
          <w:color w:val="000000"/>
          <w:szCs w:val="21"/>
        </w:rPr>
        <w:t>人民币（大写）</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w:t>
      </w:r>
      <w:r>
        <w:rPr>
          <w:rFonts w:hint="eastAsia" w:ascii="宋体" w:hAnsi="宋体" w:cs="仿宋_GB2312"/>
          <w:color w:val="000000"/>
          <w:szCs w:val="21"/>
          <w:u w:val="single"/>
        </w:rPr>
        <w:t xml:space="preserve">          </w:t>
      </w:r>
      <w:r>
        <w:rPr>
          <w:rFonts w:hint="eastAsia" w:ascii="宋体" w:hAnsi="宋体" w:cs="仿宋_GB2312"/>
          <w:color w:val="000000"/>
          <w:szCs w:val="21"/>
        </w:rPr>
        <w:t>元)；</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（4）暂列金额：</w:t>
      </w:r>
    </w:p>
    <w:p>
      <w:pPr>
        <w:spacing w:line="360" w:lineRule="auto"/>
        <w:ind w:firstLine="945" w:firstLineChars="450"/>
        <w:rPr>
          <w:rFonts w:ascii="宋体" w:hAnsi="宋体" w:cs="仿宋_GB2312"/>
          <w:color w:val="000000"/>
          <w:szCs w:val="21"/>
        </w:rPr>
      </w:pPr>
      <w:r>
        <w:rPr>
          <w:rFonts w:hint="eastAsia" w:ascii="宋体" w:hAnsi="宋体" w:cs="仿宋_GB2312"/>
          <w:color w:val="000000"/>
          <w:szCs w:val="21"/>
        </w:rPr>
        <w:t>人民币（大写）</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w:t>
      </w:r>
      <w:r>
        <w:rPr>
          <w:rFonts w:hint="eastAsia" w:ascii="宋体" w:hAnsi="宋体" w:cs="仿宋_GB2312"/>
          <w:color w:val="000000"/>
          <w:szCs w:val="21"/>
          <w:u w:val="single"/>
        </w:rPr>
        <w:t xml:space="preserve">          </w:t>
      </w:r>
      <w:r>
        <w:rPr>
          <w:rFonts w:hint="eastAsia" w:ascii="宋体" w:hAnsi="宋体" w:cs="仿宋_GB2312"/>
          <w:color w:val="000000"/>
          <w:szCs w:val="21"/>
        </w:rPr>
        <w:t>元)。</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2.合同价格形式：</w:t>
      </w:r>
      <w:r>
        <w:rPr>
          <w:rFonts w:hint="eastAsia" w:ascii="宋体" w:hAnsi="宋体" w:cs="仿宋_GB2312"/>
          <w:color w:val="000000"/>
          <w:szCs w:val="21"/>
          <w:u w:val="single"/>
        </w:rPr>
        <w:t>                                      </w:t>
      </w:r>
      <w:r>
        <w:rPr>
          <w:rFonts w:hint="eastAsia" w:ascii="宋体" w:hAnsi="宋体" w:cs="仿宋_GB2312"/>
          <w:color w:val="000000"/>
          <w:szCs w:val="21"/>
        </w:rPr>
        <w:t>。</w:t>
      </w:r>
    </w:p>
    <w:p>
      <w:pPr>
        <w:rPr>
          <w:rFonts w:ascii="宋体" w:hAnsi="宋体" w:cs="仿宋_GB2312"/>
          <w:b/>
          <w:color w:val="000000"/>
          <w:szCs w:val="21"/>
        </w:rPr>
      </w:pPr>
      <w:bookmarkStart w:id="8" w:name="_Toc351203485"/>
      <w:r>
        <w:rPr>
          <w:rFonts w:hint="eastAsia" w:ascii="宋体" w:hAnsi="宋体" w:cs="仿宋_GB2312"/>
          <w:b/>
          <w:color w:val="000000"/>
          <w:szCs w:val="21"/>
        </w:rPr>
        <w:t>五、</w:t>
      </w:r>
      <w:bookmarkEnd w:id="8"/>
      <w:r>
        <w:rPr>
          <w:rFonts w:hint="eastAsia" w:ascii="宋体" w:hAnsi="宋体" w:cs="仿宋_GB2312"/>
          <w:b/>
          <w:color w:val="000000"/>
          <w:szCs w:val="21"/>
        </w:rPr>
        <w:t>项目经理</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承包人项目经理：</w:t>
      </w:r>
      <w:r>
        <w:rPr>
          <w:rFonts w:hint="eastAsia" w:ascii="宋体" w:hAnsi="宋体" w:cs="仿宋_GB2312"/>
          <w:color w:val="000000"/>
          <w:szCs w:val="21"/>
          <w:u w:val="single"/>
        </w:rPr>
        <w:t>                     </w:t>
      </w:r>
      <w:r>
        <w:rPr>
          <w:rFonts w:hint="eastAsia" w:ascii="宋体" w:hAnsi="宋体" w:cs="仿宋_GB2312"/>
          <w:color w:val="000000"/>
          <w:szCs w:val="21"/>
        </w:rPr>
        <w:t>。</w:t>
      </w:r>
    </w:p>
    <w:p>
      <w:pPr>
        <w:rPr>
          <w:rFonts w:ascii="宋体" w:hAnsi="宋体" w:cs="仿宋_GB2312"/>
          <w:b/>
          <w:color w:val="000000"/>
          <w:szCs w:val="21"/>
        </w:rPr>
      </w:pPr>
      <w:bookmarkStart w:id="9" w:name="_Toc351203486"/>
      <w:r>
        <w:rPr>
          <w:rFonts w:hint="eastAsia" w:ascii="宋体" w:hAnsi="宋体" w:cs="仿宋_GB2312"/>
          <w:b/>
          <w:color w:val="000000"/>
          <w:szCs w:val="21"/>
        </w:rPr>
        <w:t>六、合同文件构成</w:t>
      </w:r>
      <w:bookmarkEnd w:id="9"/>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本协议书与下列文件一起构成合同文件：</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（1）中标通知书（如果有）；</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（2）投标函及其附录（如果有）； </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（3）专用合同条款及其附件；</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（4）通用合同条款；</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（5）技术标准和要求；</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（6）图纸；</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（7）已标价工程量清单或预算书；</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（8）其他合同文件。</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上述各项合同文件包括合同当事人就该项合同文件所作出的补充和修改，属于同一类内容的文件，应以最新签署的为准。专用合同条款及其附件须经合同当事人签字或盖章。</w:t>
      </w:r>
    </w:p>
    <w:p>
      <w:pPr>
        <w:rPr>
          <w:rFonts w:ascii="宋体" w:hAnsi="宋体" w:cs="仿宋_GB2312"/>
          <w:b/>
          <w:color w:val="000000"/>
          <w:szCs w:val="21"/>
        </w:rPr>
      </w:pPr>
      <w:bookmarkStart w:id="10" w:name="_Toc351203487"/>
      <w:r>
        <w:rPr>
          <w:rFonts w:hint="eastAsia" w:ascii="宋体" w:hAnsi="宋体" w:cs="仿宋_GB2312"/>
          <w:b/>
          <w:color w:val="000000"/>
          <w:szCs w:val="21"/>
        </w:rPr>
        <w:t>七、承诺</w:t>
      </w:r>
      <w:bookmarkEnd w:id="10"/>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3.发包人和承包人通过招投标形式签订合同的，双方理解并承诺不再就同一工程另行签订与合同实质性内容相背离的协议。</w:t>
      </w:r>
    </w:p>
    <w:p>
      <w:pPr>
        <w:rPr>
          <w:rFonts w:ascii="宋体" w:hAnsi="宋体" w:cs="仿宋_GB2312"/>
          <w:b/>
          <w:color w:val="000000"/>
          <w:szCs w:val="21"/>
        </w:rPr>
      </w:pPr>
      <w:bookmarkStart w:id="11" w:name="_Toc351203488"/>
      <w:r>
        <w:rPr>
          <w:rFonts w:hint="eastAsia" w:ascii="宋体" w:hAnsi="宋体" w:cs="仿宋_GB2312"/>
          <w:b/>
          <w:color w:val="000000"/>
          <w:szCs w:val="21"/>
        </w:rPr>
        <w:t>八、词语含义</w:t>
      </w:r>
      <w:bookmarkEnd w:id="11"/>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本协议书中词语含义与第二部分通用合同条款中赋予的含义相同。</w:t>
      </w:r>
    </w:p>
    <w:p>
      <w:pPr>
        <w:rPr>
          <w:rFonts w:ascii="宋体" w:hAnsi="宋体" w:cs="仿宋_GB2312"/>
          <w:b/>
          <w:color w:val="000000"/>
          <w:szCs w:val="21"/>
        </w:rPr>
      </w:pPr>
      <w:bookmarkStart w:id="12" w:name="_Toc351203489"/>
      <w:r>
        <w:rPr>
          <w:rFonts w:hint="eastAsia" w:ascii="宋体" w:hAnsi="宋体" w:cs="仿宋_GB2312"/>
          <w:b/>
          <w:color w:val="000000"/>
          <w:szCs w:val="21"/>
        </w:rPr>
        <w:t>九、签订时间</w:t>
      </w:r>
      <w:bookmarkEnd w:id="12"/>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本合同于</w:t>
      </w:r>
      <w:r>
        <w:rPr>
          <w:rFonts w:hint="eastAsia" w:ascii="宋体" w:hAnsi="宋体" w:cs="仿宋_GB2312"/>
          <w:bCs/>
          <w:color w:val="000000"/>
          <w:szCs w:val="21"/>
          <w:u w:val="single"/>
        </w:rPr>
        <w:t xml:space="preserve">         </w:t>
      </w:r>
      <w:r>
        <w:rPr>
          <w:rFonts w:hint="eastAsia" w:ascii="宋体" w:hAnsi="宋体" w:cs="仿宋_GB2312"/>
          <w:bCs/>
          <w:color w:val="000000"/>
          <w:szCs w:val="21"/>
        </w:rPr>
        <w:t>年</w:t>
      </w:r>
      <w:r>
        <w:rPr>
          <w:rFonts w:hint="eastAsia" w:ascii="宋体" w:hAnsi="宋体" w:cs="仿宋_GB2312"/>
          <w:bCs/>
          <w:color w:val="000000"/>
          <w:szCs w:val="21"/>
          <w:u w:val="single"/>
        </w:rPr>
        <w:t xml:space="preserve">    </w:t>
      </w:r>
      <w:r>
        <w:rPr>
          <w:rFonts w:hint="eastAsia" w:ascii="宋体" w:hAnsi="宋体" w:cs="仿宋_GB2312"/>
          <w:bCs/>
          <w:color w:val="000000"/>
          <w:szCs w:val="21"/>
        </w:rPr>
        <w:t>月</w:t>
      </w:r>
      <w:r>
        <w:rPr>
          <w:rFonts w:hint="eastAsia" w:ascii="宋体" w:hAnsi="宋体" w:cs="仿宋_GB2312"/>
          <w:bCs/>
          <w:color w:val="000000"/>
          <w:szCs w:val="21"/>
          <w:u w:val="single"/>
        </w:rPr>
        <w:t xml:space="preserve">    </w:t>
      </w:r>
      <w:r>
        <w:rPr>
          <w:rFonts w:hint="eastAsia" w:ascii="宋体" w:hAnsi="宋体" w:cs="仿宋_GB2312"/>
          <w:bCs/>
          <w:color w:val="000000"/>
          <w:szCs w:val="21"/>
        </w:rPr>
        <w:t>日签订。</w:t>
      </w:r>
    </w:p>
    <w:p>
      <w:pPr>
        <w:rPr>
          <w:rFonts w:ascii="宋体" w:hAnsi="宋体" w:cs="仿宋_GB2312"/>
          <w:b/>
          <w:color w:val="000000"/>
          <w:szCs w:val="21"/>
        </w:rPr>
      </w:pPr>
      <w:bookmarkStart w:id="13" w:name="_Toc351203490"/>
      <w:r>
        <w:rPr>
          <w:rFonts w:hint="eastAsia" w:ascii="宋体" w:hAnsi="宋体" w:cs="仿宋_GB2312"/>
          <w:b/>
          <w:color w:val="000000"/>
          <w:szCs w:val="21"/>
        </w:rPr>
        <w:t>十、签订地点</w:t>
      </w:r>
      <w:bookmarkEnd w:id="13"/>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本合同在</w:t>
      </w:r>
      <w:r>
        <w:rPr>
          <w:rFonts w:hint="eastAsia" w:ascii="宋体" w:hAnsi="宋体" w:cs="仿宋_GB2312"/>
          <w:bCs/>
          <w:color w:val="000000"/>
          <w:szCs w:val="21"/>
          <w:u w:val="single"/>
        </w:rPr>
        <w:t xml:space="preserve">                                    </w:t>
      </w:r>
      <w:r>
        <w:rPr>
          <w:rFonts w:hint="eastAsia" w:ascii="宋体" w:hAnsi="宋体" w:cs="仿宋_GB2312"/>
          <w:bCs/>
          <w:color w:val="000000"/>
          <w:szCs w:val="21"/>
        </w:rPr>
        <w:t>签订。</w:t>
      </w:r>
    </w:p>
    <w:p>
      <w:pPr>
        <w:rPr>
          <w:rFonts w:ascii="宋体" w:hAnsi="宋体" w:cs="仿宋_GB2312"/>
          <w:b/>
          <w:color w:val="000000"/>
          <w:szCs w:val="21"/>
        </w:rPr>
      </w:pPr>
      <w:bookmarkStart w:id="14" w:name="_Toc351203491"/>
      <w:r>
        <w:rPr>
          <w:rFonts w:hint="eastAsia" w:ascii="宋体" w:hAnsi="宋体" w:cs="仿宋_GB2312"/>
          <w:b/>
          <w:color w:val="000000"/>
          <w:szCs w:val="21"/>
        </w:rPr>
        <w:t>十一、补充协议</w:t>
      </w:r>
      <w:bookmarkEnd w:id="14"/>
    </w:p>
    <w:p>
      <w:pPr>
        <w:spacing w:line="360" w:lineRule="auto"/>
        <w:ind w:firstLine="420" w:firstLineChars="200"/>
        <w:rPr>
          <w:rFonts w:ascii="宋体" w:hAnsi="宋体" w:cs="仿宋_GB2312"/>
          <w:b/>
          <w:bCs/>
          <w:color w:val="000000"/>
          <w:szCs w:val="21"/>
        </w:rPr>
      </w:pPr>
      <w:r>
        <w:rPr>
          <w:rFonts w:hint="eastAsia" w:ascii="宋体" w:hAnsi="宋体" w:cs="仿宋_GB2312"/>
          <w:bCs/>
          <w:color w:val="000000"/>
          <w:szCs w:val="21"/>
        </w:rPr>
        <w:t>合同未尽事宜，合同当事人另行签订补充协议，补充协议是合同的组成部分。</w:t>
      </w:r>
    </w:p>
    <w:p>
      <w:pPr>
        <w:rPr>
          <w:rFonts w:ascii="宋体" w:hAnsi="宋体" w:cs="仿宋_GB2312"/>
          <w:b/>
          <w:color w:val="000000"/>
          <w:szCs w:val="21"/>
        </w:rPr>
      </w:pPr>
      <w:bookmarkStart w:id="15" w:name="_Toc351203492"/>
      <w:r>
        <w:rPr>
          <w:rFonts w:hint="eastAsia" w:ascii="宋体" w:hAnsi="宋体" w:cs="仿宋_GB2312"/>
          <w:b/>
          <w:color w:val="000000"/>
          <w:szCs w:val="21"/>
        </w:rPr>
        <w:t>十二、合同生效</w:t>
      </w:r>
      <w:bookmarkEnd w:id="15"/>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本合同自</w:t>
      </w:r>
      <w:r>
        <w:rPr>
          <w:rFonts w:hint="eastAsia" w:ascii="宋体" w:hAnsi="宋体" w:cs="仿宋_GB2312"/>
          <w:bCs/>
          <w:color w:val="000000"/>
          <w:szCs w:val="21"/>
          <w:u w:val="single"/>
        </w:rPr>
        <w:t xml:space="preserve">                                   </w:t>
      </w:r>
      <w:r>
        <w:rPr>
          <w:rFonts w:hint="eastAsia" w:ascii="宋体" w:hAnsi="宋体" w:cs="仿宋_GB2312"/>
          <w:bCs/>
          <w:color w:val="000000"/>
          <w:szCs w:val="21"/>
        </w:rPr>
        <w:t>生效。</w:t>
      </w:r>
    </w:p>
    <w:p>
      <w:pPr>
        <w:rPr>
          <w:rFonts w:ascii="宋体" w:hAnsi="宋体" w:cs="仿宋_GB2312"/>
          <w:b/>
          <w:color w:val="000000"/>
          <w:szCs w:val="21"/>
        </w:rPr>
      </w:pPr>
      <w:bookmarkStart w:id="16" w:name="_Toc351203493"/>
      <w:r>
        <w:rPr>
          <w:rFonts w:hint="eastAsia" w:ascii="宋体" w:hAnsi="宋体" w:cs="仿宋_GB2312"/>
          <w:b/>
          <w:color w:val="000000"/>
          <w:szCs w:val="21"/>
        </w:rPr>
        <w:t>十三、合同份数</w:t>
      </w:r>
      <w:bookmarkEnd w:id="16"/>
    </w:p>
    <w:p>
      <w:pPr>
        <w:spacing w:line="360" w:lineRule="auto"/>
        <w:ind w:firstLine="420" w:firstLineChars="200"/>
        <w:rPr>
          <w:rFonts w:ascii="宋体" w:hAnsi="宋体" w:cs="仿宋_GB2312"/>
          <w:bCs/>
          <w:color w:val="000000"/>
          <w:szCs w:val="21"/>
        </w:rPr>
      </w:pPr>
      <w:r>
        <w:rPr>
          <w:rFonts w:hint="eastAsia" w:ascii="宋体" w:hAnsi="宋体" w:cs="仿宋_GB2312"/>
          <w:bCs/>
          <w:color w:val="000000"/>
          <w:szCs w:val="21"/>
        </w:rPr>
        <w:t>本合同一式</w:t>
      </w:r>
      <w:r>
        <w:rPr>
          <w:rFonts w:hint="eastAsia" w:ascii="宋体" w:hAnsi="宋体" w:cs="仿宋_GB2312"/>
          <w:bCs/>
          <w:color w:val="000000"/>
          <w:szCs w:val="21"/>
          <w:u w:val="single"/>
        </w:rPr>
        <w:t xml:space="preserve">    </w:t>
      </w:r>
      <w:r>
        <w:rPr>
          <w:rFonts w:hint="eastAsia" w:ascii="宋体" w:hAnsi="宋体" w:cs="仿宋_GB2312"/>
          <w:bCs/>
          <w:color w:val="000000"/>
          <w:szCs w:val="21"/>
        </w:rPr>
        <w:t>份，均具有同等法律效力，发包人执</w:t>
      </w:r>
      <w:r>
        <w:rPr>
          <w:rFonts w:hint="eastAsia" w:ascii="宋体" w:hAnsi="宋体" w:cs="仿宋_GB2312"/>
          <w:bCs/>
          <w:color w:val="000000"/>
          <w:szCs w:val="21"/>
          <w:u w:val="single"/>
        </w:rPr>
        <w:t xml:space="preserve">    </w:t>
      </w:r>
      <w:r>
        <w:rPr>
          <w:rFonts w:hint="eastAsia" w:ascii="宋体" w:hAnsi="宋体" w:cs="仿宋_GB2312"/>
          <w:bCs/>
          <w:color w:val="000000"/>
          <w:szCs w:val="21"/>
        </w:rPr>
        <w:t>份，承包人执</w:t>
      </w:r>
      <w:r>
        <w:rPr>
          <w:rFonts w:hint="eastAsia" w:ascii="宋体" w:hAnsi="宋体" w:cs="仿宋_GB2312"/>
          <w:bCs/>
          <w:color w:val="000000"/>
          <w:szCs w:val="21"/>
          <w:u w:val="single"/>
        </w:rPr>
        <w:t xml:space="preserve">    </w:t>
      </w:r>
      <w:r>
        <w:rPr>
          <w:rFonts w:hint="eastAsia" w:ascii="宋体" w:hAnsi="宋体" w:cs="仿宋_GB2312"/>
          <w:bCs/>
          <w:color w:val="000000"/>
          <w:szCs w:val="21"/>
        </w:rPr>
        <w:t>份。</w:t>
      </w:r>
    </w:p>
    <w:p>
      <w:pPr>
        <w:spacing w:line="360" w:lineRule="auto"/>
        <w:rPr>
          <w:rFonts w:ascii="宋体" w:hAnsi="宋体" w:cs="仿宋_GB2312"/>
          <w:bCs/>
          <w:color w:val="000000"/>
          <w:szCs w:val="21"/>
        </w:rPr>
      </w:pPr>
    </w:p>
    <w:p>
      <w:pPr>
        <w:spacing w:line="360" w:lineRule="auto"/>
        <w:rPr>
          <w:rFonts w:ascii="宋体" w:hAnsi="宋体" w:cs="仿宋_GB2312"/>
          <w:bCs/>
          <w:color w:val="000000"/>
          <w:szCs w:val="21"/>
        </w:rPr>
      </w:pPr>
    </w:p>
    <w:p>
      <w:pPr>
        <w:spacing w:line="360" w:lineRule="auto"/>
        <w:rPr>
          <w:rFonts w:ascii="宋体" w:hAnsi="宋体" w:cs="仿宋_GB2312"/>
          <w:color w:val="000000"/>
          <w:szCs w:val="21"/>
        </w:rPr>
      </w:pPr>
      <w:r>
        <w:rPr>
          <w:rFonts w:hint="eastAsia" w:ascii="宋体" w:hAnsi="宋体" w:cs="仿宋_GB2312"/>
          <w:color w:val="000000"/>
          <w:szCs w:val="21"/>
        </w:rPr>
        <w:t>发包人：  (公章)             承包人：  (公章)</w:t>
      </w:r>
    </w:p>
    <w:p>
      <w:pPr>
        <w:spacing w:line="360" w:lineRule="auto"/>
        <w:rPr>
          <w:rFonts w:ascii="宋体" w:hAnsi="宋体" w:cs="仿宋_GB2312"/>
          <w:color w:val="000000"/>
          <w:szCs w:val="21"/>
          <w:u w:val="single"/>
        </w:rPr>
      </w:pPr>
      <w:r>
        <w:rPr>
          <w:rFonts w:hint="eastAsia" w:ascii="宋体" w:hAnsi="宋体" w:cs="仿宋_GB2312"/>
          <w:color w:val="000000"/>
          <w:szCs w:val="21"/>
        </w:rPr>
        <w:t xml:space="preserve">                                 </w:t>
      </w:r>
    </w:p>
    <w:p>
      <w:pPr>
        <w:spacing w:line="360" w:lineRule="auto"/>
        <w:rPr>
          <w:rFonts w:ascii="宋体" w:hAnsi="宋体" w:cs="仿宋_GB2312"/>
          <w:color w:val="000000"/>
          <w:szCs w:val="21"/>
        </w:rPr>
      </w:pPr>
      <w:r>
        <w:rPr>
          <w:rFonts w:hint="eastAsia" w:ascii="宋体" w:hAnsi="宋体" w:cs="仿宋_GB2312"/>
          <w:color w:val="000000"/>
          <w:szCs w:val="21"/>
        </w:rPr>
        <w:t>法定代表人或其委托代理人：  法定代表人或其委托代理人：</w:t>
      </w:r>
    </w:p>
    <w:p>
      <w:pPr>
        <w:spacing w:line="360" w:lineRule="auto"/>
        <w:rPr>
          <w:rFonts w:ascii="宋体" w:hAnsi="宋体" w:cs="仿宋_GB2312"/>
          <w:color w:val="000000"/>
          <w:szCs w:val="21"/>
        </w:rPr>
      </w:pPr>
      <w:r>
        <w:rPr>
          <w:rFonts w:hint="eastAsia" w:ascii="宋体" w:hAnsi="宋体" w:cs="仿宋_GB2312"/>
          <w:color w:val="000000"/>
          <w:szCs w:val="21"/>
        </w:rPr>
        <w:t>（签字或盖章）                    （签字或盖章）</w:t>
      </w:r>
    </w:p>
    <w:p>
      <w:pPr>
        <w:spacing w:line="360" w:lineRule="auto"/>
        <w:rPr>
          <w:rFonts w:ascii="宋体" w:hAnsi="宋体" w:cs="仿宋_GB2312"/>
          <w:color w:val="000000"/>
          <w:szCs w:val="21"/>
          <w:u w:val="single"/>
        </w:rPr>
      </w:pPr>
    </w:p>
    <w:p>
      <w:pPr>
        <w:tabs>
          <w:tab w:val="left" w:pos="4410"/>
        </w:tabs>
        <w:spacing w:line="360" w:lineRule="auto"/>
        <w:rPr>
          <w:rFonts w:ascii="宋体" w:hAnsi="宋体" w:cs="仿宋_GB2312"/>
          <w:color w:val="000000"/>
          <w:szCs w:val="21"/>
        </w:rPr>
      </w:pPr>
      <w:r>
        <w:rPr>
          <w:rFonts w:hint="eastAsia" w:ascii="宋体" w:hAnsi="宋体" w:cs="仿宋_GB2312"/>
          <w:color w:val="000000"/>
          <w:szCs w:val="21"/>
        </w:rPr>
        <w:t>组织机构代码：</w:t>
      </w:r>
      <w:r>
        <w:rPr>
          <w:rFonts w:hint="eastAsia" w:ascii="宋体" w:hAnsi="宋体" w:cs="仿宋_GB2312"/>
          <w:color w:val="000000"/>
          <w:szCs w:val="21"/>
          <w:u w:val="single"/>
        </w:rPr>
        <w:t xml:space="preserve">       </w:t>
      </w:r>
      <w:r>
        <w:rPr>
          <w:rFonts w:hint="eastAsia" w:ascii="宋体" w:hAnsi="宋体" w:cs="仿宋_GB2312"/>
          <w:color w:val="000000"/>
          <w:szCs w:val="21"/>
        </w:rPr>
        <w:t xml:space="preserve">  组织机构代码：</w:t>
      </w:r>
      <w:r>
        <w:rPr>
          <w:rFonts w:hint="eastAsia" w:ascii="宋体" w:hAnsi="宋体" w:cs="仿宋_GB2312"/>
          <w:color w:val="000000"/>
          <w:szCs w:val="21"/>
          <w:u w:val="single"/>
        </w:rPr>
        <w:t xml:space="preserve">    </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w:t>
      </w:r>
    </w:p>
    <w:p>
      <w:pPr>
        <w:spacing w:line="360" w:lineRule="auto"/>
        <w:rPr>
          <w:rFonts w:ascii="宋体" w:hAnsi="宋体" w:cs="仿宋_GB2312"/>
          <w:color w:val="000000"/>
          <w:szCs w:val="21"/>
        </w:rPr>
      </w:pPr>
      <w:r>
        <w:rPr>
          <w:rFonts w:hint="eastAsia" w:ascii="宋体" w:hAnsi="宋体" w:cs="仿宋_GB2312"/>
          <w:color w:val="000000"/>
          <w:szCs w:val="21"/>
        </w:rPr>
        <w:t>地  址：</w:t>
      </w:r>
      <w:r>
        <w:rPr>
          <w:rFonts w:hint="eastAsia" w:ascii="宋体" w:hAnsi="宋体" w:cs="仿宋_GB2312"/>
          <w:color w:val="000000"/>
          <w:szCs w:val="21"/>
          <w:u w:val="single"/>
        </w:rPr>
        <w:t xml:space="preserve">     </w:t>
      </w:r>
      <w:r>
        <w:rPr>
          <w:rFonts w:hint="eastAsia" w:ascii="宋体" w:hAnsi="宋体" w:cs="仿宋_GB2312"/>
          <w:color w:val="000000"/>
          <w:szCs w:val="21"/>
        </w:rPr>
        <w:t xml:space="preserve">  地  址：</w:t>
      </w:r>
      <w:r>
        <w:rPr>
          <w:rFonts w:hint="eastAsia" w:ascii="宋体" w:hAnsi="宋体" w:cs="仿宋_GB2312"/>
          <w:color w:val="000000"/>
          <w:szCs w:val="21"/>
          <w:u w:val="single"/>
        </w:rPr>
        <w:t xml:space="preserve">        </w:t>
      </w:r>
    </w:p>
    <w:p>
      <w:pPr>
        <w:spacing w:line="360" w:lineRule="auto"/>
        <w:rPr>
          <w:rFonts w:ascii="宋体" w:hAnsi="宋体" w:cs="仿宋_GB2312"/>
          <w:color w:val="000000"/>
          <w:szCs w:val="21"/>
        </w:rPr>
      </w:pPr>
      <w:r>
        <w:rPr>
          <w:rFonts w:hint="eastAsia" w:ascii="宋体" w:hAnsi="宋体" w:cs="仿宋_GB2312"/>
          <w:color w:val="000000"/>
          <w:szCs w:val="21"/>
        </w:rPr>
        <w:t>邮政编码：</w:t>
      </w:r>
      <w:r>
        <w:rPr>
          <w:rFonts w:hint="eastAsia" w:ascii="宋体" w:hAnsi="宋体" w:cs="仿宋_GB2312"/>
          <w:color w:val="000000"/>
          <w:szCs w:val="21"/>
          <w:u w:val="single"/>
        </w:rPr>
        <w:t xml:space="preserve">     </w:t>
      </w:r>
      <w:r>
        <w:rPr>
          <w:rFonts w:hint="eastAsia" w:ascii="宋体" w:hAnsi="宋体" w:cs="仿宋_GB2312"/>
          <w:color w:val="000000"/>
          <w:szCs w:val="21"/>
        </w:rPr>
        <w:t xml:space="preserve">  邮政编码：</w:t>
      </w:r>
      <w:r>
        <w:rPr>
          <w:rFonts w:hint="eastAsia" w:ascii="宋体" w:hAnsi="宋体" w:cs="仿宋_GB2312"/>
          <w:color w:val="000000"/>
          <w:szCs w:val="21"/>
          <w:u w:val="single"/>
        </w:rPr>
        <w:t xml:space="preserve">    </w:t>
      </w:r>
    </w:p>
    <w:p>
      <w:pPr>
        <w:spacing w:line="360" w:lineRule="auto"/>
        <w:rPr>
          <w:rFonts w:ascii="宋体" w:hAnsi="宋体" w:cs="仿宋_GB2312"/>
          <w:color w:val="000000"/>
          <w:szCs w:val="21"/>
        </w:rPr>
      </w:pPr>
      <w:r>
        <w:rPr>
          <w:rFonts w:hint="eastAsia" w:ascii="宋体" w:hAnsi="宋体" w:cs="仿宋_GB2312"/>
          <w:color w:val="000000"/>
          <w:szCs w:val="21"/>
        </w:rPr>
        <w:t>法定代表人：</w:t>
      </w:r>
      <w:r>
        <w:rPr>
          <w:rFonts w:hint="eastAsia" w:ascii="宋体" w:hAnsi="宋体" w:cs="仿宋_GB2312"/>
          <w:color w:val="000000"/>
          <w:szCs w:val="21"/>
          <w:u w:val="single"/>
        </w:rPr>
        <w:t xml:space="preserve">           </w:t>
      </w:r>
      <w:r>
        <w:rPr>
          <w:rFonts w:hint="eastAsia" w:ascii="宋体" w:hAnsi="宋体" w:cs="仿宋_GB2312"/>
          <w:color w:val="000000"/>
          <w:szCs w:val="21"/>
        </w:rPr>
        <w:t xml:space="preserve">  法定代表人：</w:t>
      </w:r>
      <w:r>
        <w:rPr>
          <w:rFonts w:hint="eastAsia" w:ascii="宋体" w:hAnsi="宋体" w:cs="仿宋_GB2312"/>
          <w:color w:val="000000"/>
          <w:szCs w:val="21"/>
          <w:u w:val="single"/>
        </w:rPr>
        <w:t xml:space="preserve">         </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w:t>
      </w:r>
    </w:p>
    <w:p>
      <w:pPr>
        <w:spacing w:line="360" w:lineRule="auto"/>
        <w:rPr>
          <w:rFonts w:ascii="宋体" w:hAnsi="宋体" w:cs="仿宋_GB2312"/>
          <w:color w:val="000000"/>
          <w:szCs w:val="21"/>
        </w:rPr>
      </w:pPr>
      <w:r>
        <w:rPr>
          <w:rFonts w:hint="eastAsia" w:ascii="宋体" w:hAnsi="宋体" w:cs="仿宋_GB2312"/>
          <w:color w:val="000000"/>
          <w:szCs w:val="21"/>
        </w:rPr>
        <w:t>委托代理人：</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委托代理人：</w:t>
      </w:r>
      <w:r>
        <w:rPr>
          <w:rFonts w:hint="eastAsia" w:ascii="宋体" w:hAnsi="宋体" w:cs="仿宋_GB2312"/>
          <w:color w:val="000000"/>
          <w:szCs w:val="21"/>
          <w:u w:val="single"/>
        </w:rPr>
        <w:t xml:space="preserve">         </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w:t>
      </w:r>
    </w:p>
    <w:p>
      <w:pPr>
        <w:spacing w:line="360" w:lineRule="auto"/>
        <w:rPr>
          <w:rFonts w:ascii="宋体" w:hAnsi="宋体" w:cs="仿宋_GB2312"/>
          <w:color w:val="000000"/>
          <w:szCs w:val="21"/>
        </w:rPr>
      </w:pPr>
      <w:r>
        <w:rPr>
          <w:rFonts w:hint="eastAsia" w:ascii="宋体" w:hAnsi="宋体" w:cs="仿宋_GB2312"/>
          <w:color w:val="000000"/>
          <w:szCs w:val="21"/>
        </w:rPr>
        <w:t>电  话：</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电  话：</w:t>
      </w:r>
      <w:r>
        <w:rPr>
          <w:rFonts w:hint="eastAsia" w:ascii="宋体" w:hAnsi="宋体" w:cs="仿宋_GB2312"/>
          <w:color w:val="000000"/>
          <w:szCs w:val="21"/>
          <w:u w:val="single"/>
        </w:rPr>
        <w:t xml:space="preserve">      </w:t>
      </w:r>
    </w:p>
    <w:p>
      <w:pPr>
        <w:spacing w:line="360" w:lineRule="auto"/>
        <w:rPr>
          <w:rFonts w:ascii="宋体" w:hAnsi="宋体" w:cs="仿宋_GB2312"/>
          <w:color w:val="000000"/>
          <w:szCs w:val="21"/>
        </w:rPr>
      </w:pPr>
      <w:r>
        <w:rPr>
          <w:rFonts w:hint="eastAsia" w:ascii="宋体" w:hAnsi="宋体" w:cs="仿宋_GB2312"/>
          <w:color w:val="000000"/>
          <w:szCs w:val="21"/>
        </w:rPr>
        <w:t>传  真：</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传  真：</w:t>
      </w:r>
      <w:r>
        <w:rPr>
          <w:rFonts w:hint="eastAsia" w:ascii="宋体" w:hAnsi="宋体" w:cs="仿宋_GB2312"/>
          <w:color w:val="000000"/>
          <w:szCs w:val="21"/>
          <w:u w:val="single"/>
        </w:rPr>
        <w:t xml:space="preserve"> </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   </w:t>
      </w:r>
    </w:p>
    <w:p>
      <w:pPr>
        <w:spacing w:line="360" w:lineRule="auto"/>
        <w:rPr>
          <w:rFonts w:ascii="宋体" w:hAnsi="宋体" w:cs="仿宋_GB2312"/>
          <w:color w:val="000000"/>
          <w:szCs w:val="21"/>
        </w:rPr>
      </w:pPr>
      <w:r>
        <w:rPr>
          <w:rFonts w:hint="eastAsia" w:ascii="宋体" w:hAnsi="宋体" w:cs="仿宋_GB2312"/>
          <w:color w:val="000000"/>
          <w:szCs w:val="21"/>
        </w:rPr>
        <w:t>电子信箱：</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电子信箱：</w:t>
      </w:r>
      <w:r>
        <w:rPr>
          <w:rFonts w:hint="eastAsia" w:ascii="宋体" w:hAnsi="宋体" w:cs="仿宋_GB2312"/>
          <w:color w:val="000000"/>
          <w:szCs w:val="21"/>
          <w:u w:val="single"/>
        </w:rPr>
        <w:t xml:space="preserve">    </w:t>
      </w:r>
    </w:p>
    <w:p>
      <w:pPr>
        <w:spacing w:line="360" w:lineRule="auto"/>
        <w:rPr>
          <w:rFonts w:ascii="宋体" w:hAnsi="宋体" w:cs="仿宋_GB2312"/>
          <w:color w:val="000000"/>
          <w:szCs w:val="21"/>
        </w:rPr>
      </w:pPr>
      <w:r>
        <w:rPr>
          <w:rFonts w:hint="eastAsia" w:ascii="宋体" w:hAnsi="宋体" w:cs="仿宋_GB2312"/>
          <w:color w:val="000000"/>
          <w:szCs w:val="21"/>
        </w:rPr>
        <w:t>开户银行：</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开户银行：</w:t>
      </w:r>
      <w:r>
        <w:rPr>
          <w:rFonts w:hint="eastAsia" w:ascii="宋体" w:hAnsi="宋体" w:cs="仿宋_GB2312"/>
          <w:color w:val="000000"/>
          <w:szCs w:val="21"/>
          <w:u w:val="single"/>
        </w:rPr>
        <w:t xml:space="preserve">    </w:t>
      </w:r>
    </w:p>
    <w:p>
      <w:pPr>
        <w:spacing w:line="360" w:lineRule="auto"/>
        <w:rPr>
          <w:rFonts w:ascii="宋体" w:hAnsi="宋体" w:cs="仿宋_GB2312"/>
          <w:color w:val="000000"/>
          <w:szCs w:val="21"/>
        </w:rPr>
      </w:pPr>
      <w:r>
        <w:rPr>
          <w:rFonts w:hint="eastAsia" w:ascii="宋体" w:hAnsi="宋体" w:cs="仿宋_GB2312"/>
          <w:color w:val="000000"/>
          <w:szCs w:val="21"/>
        </w:rPr>
        <w:t>账  号：</w:t>
      </w:r>
      <w:r>
        <w:rPr>
          <w:rFonts w:hint="eastAsia" w:ascii="宋体" w:hAnsi="宋体" w:cs="仿宋_GB2312"/>
          <w:color w:val="000000"/>
          <w:szCs w:val="21"/>
          <w:u w:val="single"/>
        </w:rPr>
        <w:t xml:space="preserve">       </w:t>
      </w:r>
      <w:r>
        <w:rPr>
          <w:rFonts w:hint="eastAsia" w:ascii="宋体" w:hAnsi="宋体" w:cs="仿宋_GB2312"/>
          <w:color w:val="000000"/>
          <w:szCs w:val="21"/>
        </w:rPr>
        <w:t xml:space="preserve">   账  号：</w:t>
      </w:r>
      <w:r>
        <w:rPr>
          <w:rFonts w:hint="eastAsia" w:ascii="宋体" w:hAnsi="宋体" w:cs="仿宋_GB2312"/>
          <w:color w:val="000000"/>
          <w:szCs w:val="21"/>
          <w:u w:val="single"/>
        </w:rPr>
        <w:t xml:space="preserve">     </w:t>
      </w:r>
    </w:p>
    <w:p>
      <w:pPr>
        <w:autoSpaceDE w:val="0"/>
        <w:autoSpaceDN w:val="0"/>
        <w:adjustRightInd w:val="0"/>
        <w:spacing w:line="360" w:lineRule="auto"/>
        <w:rPr>
          <w:rFonts w:ascii="宋体" w:hAnsi="宋体" w:cs="仿宋_GB2312"/>
          <w:b/>
          <w:kern w:val="0"/>
          <w:szCs w:val="21"/>
          <w:lang w:val="zh-CN"/>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keepNext/>
        <w:keepLines/>
        <w:numPr>
          <w:ilvl w:val="0"/>
          <w:numId w:val="3"/>
        </w:numPr>
        <w:spacing w:before="260" w:after="260" w:line="416" w:lineRule="auto"/>
        <w:jc w:val="center"/>
        <w:outlineLvl w:val="1"/>
        <w:rPr>
          <w:rFonts w:ascii="宋体" w:hAnsi="宋体" w:cs="仿宋_GB2312"/>
          <w:b/>
          <w:sz w:val="28"/>
          <w:szCs w:val="28"/>
        </w:rPr>
      </w:pPr>
      <w:r>
        <w:rPr>
          <w:rFonts w:hint="eastAsia" w:ascii="宋体" w:hAnsi="宋体" w:cs="仿宋_GB2312"/>
          <w:b/>
          <w:sz w:val="28"/>
          <w:szCs w:val="28"/>
        </w:rPr>
        <w:t>通用合同条款</w:t>
      </w:r>
    </w:p>
    <w:p>
      <w:pPr>
        <w:pStyle w:val="21"/>
        <w:ind w:left="840" w:leftChars="400" w:firstLine="0" w:firstLineChars="0"/>
      </w:pPr>
    </w:p>
    <w:p>
      <w:r>
        <w:rPr>
          <w:rFonts w:hint="eastAsia"/>
        </w:rPr>
        <w:t>执行《建设工程施工合同（示范文本）》（</w:t>
      </w:r>
      <w:r>
        <w:t>GF-2017-0201</w:t>
      </w:r>
      <w:r>
        <w:rPr>
          <w:rFonts w:hint="eastAsia"/>
        </w:rPr>
        <w:t>）通用合同条款，此处省略。</w:t>
      </w: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pStyle w:val="21"/>
        <w:ind w:firstLine="643"/>
        <w:rPr>
          <w:rFonts w:ascii="宋体" w:hAnsi="宋体"/>
          <w:b/>
          <w:kern w:val="0"/>
          <w:sz w:val="32"/>
          <w:szCs w:val="32"/>
        </w:rPr>
      </w:pPr>
    </w:p>
    <w:p>
      <w:pPr>
        <w:pStyle w:val="21"/>
        <w:ind w:firstLine="643"/>
        <w:rPr>
          <w:rFonts w:ascii="宋体" w:hAnsi="宋体"/>
          <w:b/>
          <w:kern w:val="0"/>
          <w:sz w:val="32"/>
          <w:szCs w:val="32"/>
        </w:rPr>
      </w:pPr>
    </w:p>
    <w:p>
      <w:pPr>
        <w:pStyle w:val="21"/>
        <w:ind w:firstLine="643"/>
        <w:rPr>
          <w:rFonts w:ascii="宋体" w:hAnsi="宋体"/>
          <w:b/>
          <w:kern w:val="0"/>
          <w:sz w:val="32"/>
          <w:szCs w:val="32"/>
        </w:rPr>
      </w:pPr>
    </w:p>
    <w:p>
      <w:pPr>
        <w:pStyle w:val="21"/>
        <w:ind w:firstLine="643"/>
        <w:rPr>
          <w:rFonts w:ascii="宋体" w:hAnsi="宋体"/>
          <w:b/>
          <w:kern w:val="0"/>
          <w:sz w:val="32"/>
          <w:szCs w:val="32"/>
        </w:rPr>
      </w:pPr>
    </w:p>
    <w:p>
      <w:pPr>
        <w:pStyle w:val="21"/>
        <w:ind w:firstLine="643"/>
        <w:rPr>
          <w:rFonts w:ascii="宋体" w:hAnsi="宋体"/>
          <w:b/>
          <w:kern w:val="0"/>
          <w:sz w:val="32"/>
          <w:szCs w:val="32"/>
        </w:rPr>
      </w:pPr>
    </w:p>
    <w:p>
      <w:pPr>
        <w:pStyle w:val="21"/>
        <w:ind w:firstLine="643"/>
        <w:rPr>
          <w:rFonts w:ascii="宋体" w:hAnsi="宋体"/>
          <w:b/>
          <w:kern w:val="0"/>
          <w:sz w:val="32"/>
          <w:szCs w:val="32"/>
        </w:rPr>
      </w:pPr>
    </w:p>
    <w:p>
      <w:pPr>
        <w:pStyle w:val="21"/>
        <w:ind w:firstLine="643"/>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ind w:firstLine="3040" w:firstLineChars="950"/>
        <w:rPr>
          <w:rFonts w:ascii="宋体" w:hAnsi="宋体"/>
          <w:b/>
          <w:kern w:val="0"/>
          <w:sz w:val="32"/>
          <w:szCs w:val="32"/>
        </w:rPr>
      </w:pPr>
    </w:p>
    <w:p>
      <w:pPr>
        <w:spacing w:line="360" w:lineRule="auto"/>
        <w:rPr>
          <w:rFonts w:ascii="宋体" w:hAnsi="宋体"/>
          <w:b/>
          <w:kern w:val="0"/>
          <w:sz w:val="32"/>
          <w:szCs w:val="32"/>
        </w:rPr>
      </w:pPr>
    </w:p>
    <w:p>
      <w:pPr>
        <w:pStyle w:val="4"/>
        <w:ind w:left="576" w:hanging="576"/>
        <w:jc w:val="center"/>
        <w:rPr>
          <w:rFonts w:hAnsi="宋体" w:cs="仿宋_GB2312"/>
          <w:szCs w:val="28"/>
        </w:rPr>
      </w:pPr>
      <w:r>
        <w:rPr>
          <w:rFonts w:hAnsi="宋体" w:cs="仿宋_GB2312"/>
          <w:szCs w:val="28"/>
        </w:rPr>
        <w:t>第三部分 专用合同条款</w:t>
      </w:r>
    </w:p>
    <w:p>
      <w:pPr>
        <w:rPr>
          <w:rFonts w:ascii="宋体" w:hAnsi="宋体" w:cs="仿宋_GB2312"/>
          <w:b/>
          <w:color w:val="000000"/>
          <w:szCs w:val="21"/>
        </w:rPr>
      </w:pPr>
      <w:bookmarkStart w:id="17" w:name="_Toc351203633"/>
      <w:r>
        <w:rPr>
          <w:rFonts w:hint="eastAsia" w:ascii="宋体" w:hAnsi="宋体" w:cs="仿宋_GB2312"/>
          <w:b/>
          <w:color w:val="000000"/>
          <w:szCs w:val="21"/>
        </w:rPr>
        <w:t>1</w:t>
      </w:r>
      <w:bookmarkStart w:id="18" w:name="_Toc296891196"/>
      <w:bookmarkStart w:id="19" w:name="_Toc296347155"/>
      <w:bookmarkStart w:id="20" w:name="_Toc292559361"/>
      <w:bookmarkStart w:id="21" w:name="_Toc292559866"/>
      <w:bookmarkStart w:id="22" w:name="_Toc296944495"/>
      <w:bookmarkStart w:id="23" w:name="_Toc296890984"/>
      <w:bookmarkStart w:id="24" w:name="_Toc297048342"/>
      <w:bookmarkStart w:id="25" w:name="_Toc297120456"/>
      <w:bookmarkStart w:id="26" w:name="_Toc296346657"/>
      <w:bookmarkStart w:id="27" w:name="_Toc296503156"/>
      <w:r>
        <w:rPr>
          <w:rFonts w:hint="eastAsia" w:ascii="宋体" w:hAnsi="宋体" w:cs="仿宋_GB2312"/>
          <w:b/>
          <w:color w:val="000000"/>
          <w:szCs w:val="21"/>
        </w:rPr>
        <w:t>. 一般约定</w:t>
      </w:r>
      <w:bookmarkEnd w:id="17"/>
    </w:p>
    <w:bookmarkEnd w:id="18"/>
    <w:bookmarkEnd w:id="19"/>
    <w:bookmarkEnd w:id="20"/>
    <w:bookmarkEnd w:id="21"/>
    <w:bookmarkEnd w:id="22"/>
    <w:bookmarkEnd w:id="23"/>
    <w:bookmarkEnd w:id="24"/>
    <w:bookmarkEnd w:id="25"/>
    <w:bookmarkEnd w:id="26"/>
    <w:bookmarkEnd w:id="27"/>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1.1 词语定义</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1.1.1合同</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1.1.1.10其他合同文件包括：施工组织设计</w:t>
      </w:r>
      <w:r>
        <w:rPr>
          <w:rFonts w:hint="eastAsia" w:ascii="宋体" w:hAnsi="宋体" w:cs="仿宋_GB2312"/>
          <w:color w:val="000000"/>
          <w:szCs w:val="21"/>
          <w:u w:val="single"/>
        </w:rPr>
        <w:t>、招标文件（含澄清文件、暂列金、暂估价）、洽谈记录、图纸会审记录、发包人相关制度、廉政协议等文件</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1.1.2 合同当事人及其他相关方</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1.1.2.4监理人：</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名    称：</w:t>
      </w:r>
      <w:r>
        <w:rPr>
          <w:rFonts w:hint="eastAsia" w:ascii="宋体" w:hAnsi="宋体" w:cs="仿宋_GB2312"/>
          <w:color w:val="000000"/>
          <w:szCs w:val="21"/>
          <w:u w:val="single"/>
        </w:rPr>
        <w:t xml:space="preserve">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资质类别和等级：</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联系电话：</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电子信箱：</w:t>
      </w:r>
      <w:r>
        <w:rPr>
          <w:rFonts w:hint="eastAsia" w:ascii="宋体" w:hAnsi="宋体" w:cs="仿宋_GB2312"/>
          <w:color w:val="000000"/>
          <w:szCs w:val="21"/>
          <w:u w:val="single"/>
        </w:rPr>
        <w:t>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通信地址：</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1.1.2.5 设计人：</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名    称：</w:t>
      </w:r>
      <w:r>
        <w:rPr>
          <w:rFonts w:hint="eastAsia" w:ascii="宋体" w:hAnsi="宋体" w:cs="仿宋_GB2312"/>
          <w:color w:val="000000"/>
          <w:szCs w:val="21"/>
          <w:u w:val="single"/>
        </w:rPr>
        <w:t xml:space="preserve">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资质类别和等级：</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联系电话：</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电子信箱：</w:t>
      </w:r>
      <w:r>
        <w:rPr>
          <w:rFonts w:hint="eastAsia" w:ascii="宋体" w:hAnsi="宋体" w:cs="仿宋_GB2312"/>
          <w:color w:val="000000"/>
          <w:szCs w:val="21"/>
          <w:u w:val="single"/>
        </w:rPr>
        <w:t xml:space="preserve">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通信地址：</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1.1.3 工程和设备</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1.1.3.7 作为施工现场组成部分的其他场所包括：</w:t>
      </w:r>
      <w:r>
        <w:rPr>
          <w:rFonts w:hint="eastAsia" w:ascii="宋体" w:hAnsi="宋体" w:cs="仿宋_GB2312"/>
          <w:color w:val="000000"/>
          <w:szCs w:val="21"/>
          <w:u w:val="single"/>
        </w:rPr>
        <w:t xml:space="preserve">执行通用条款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kern w:val="0"/>
          <w:szCs w:val="21"/>
        </w:rPr>
        <w:t>1.1.3.9 永久占地包括：</w:t>
      </w:r>
      <w:r>
        <w:rPr>
          <w:rFonts w:hint="eastAsia" w:ascii="宋体" w:hAnsi="宋体" w:cs="仿宋_GB2312"/>
          <w:color w:val="000000"/>
          <w:szCs w:val="21"/>
          <w:u w:val="single"/>
        </w:rPr>
        <w:t xml:space="preserve">执行通用条款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1.1.3.10 临时占地包括：</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u w:val="single"/>
        </w:rPr>
        <w:t xml:space="preserve">  生活、办公等临时设施及设备、材料加工、堆放场地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 xml:space="preserve">1.3法律 </w:t>
      </w:r>
    </w:p>
    <w:p>
      <w:pPr>
        <w:autoSpaceDE w:val="0"/>
        <w:autoSpaceDN w:val="0"/>
        <w:adjustRightInd w:val="0"/>
        <w:spacing w:line="360" w:lineRule="auto"/>
        <w:ind w:left="596" w:leftChars="284"/>
        <w:jc w:val="left"/>
        <w:rPr>
          <w:rFonts w:ascii="宋体" w:hAnsi="宋体" w:cs="仿宋_GB2312"/>
          <w:color w:val="000000"/>
          <w:szCs w:val="21"/>
        </w:rPr>
      </w:pPr>
      <w:r>
        <w:rPr>
          <w:rFonts w:hint="eastAsia" w:ascii="宋体" w:hAnsi="宋体" w:cs="仿宋_GB2312"/>
          <w:color w:val="000000"/>
          <w:szCs w:val="21"/>
        </w:rPr>
        <w:t>适用于合同的其他规范性文件：</w:t>
      </w:r>
    </w:p>
    <w:p>
      <w:pPr>
        <w:autoSpaceDE w:val="0"/>
        <w:autoSpaceDN w:val="0"/>
        <w:adjustRightInd w:val="0"/>
        <w:spacing w:line="360" w:lineRule="auto"/>
        <w:ind w:left="596" w:leftChars="284"/>
        <w:jc w:val="left"/>
        <w:rPr>
          <w:rFonts w:ascii="宋体" w:hAnsi="宋体" w:cs="仿宋_GB2312"/>
          <w:szCs w:val="21"/>
        </w:rPr>
      </w:pPr>
      <w:r>
        <w:rPr>
          <w:rFonts w:hint="eastAsia" w:ascii="宋体" w:hAnsi="宋体" w:cs="仿宋_GB2312"/>
          <w:szCs w:val="21"/>
          <w:u w:val="single"/>
        </w:rPr>
        <w:t xml:space="preserve">  《建设工程工程量清单计价规范》 GB50500-2013、《建设工程文件归档整理规范》 （GB/T50328-2001）、国家重大建设项目文件归档要求与档案整理规（DA/T28-2002）、国家施工质量验收规范、规程、施工技术标准、设计图纸及其他设计文件；现行的施工规范和技术标准等</w:t>
      </w:r>
      <w:r>
        <w:rPr>
          <w:rFonts w:hint="eastAsia" w:ascii="宋体" w:hAnsi="宋体" w:cs="仿宋_GB2312"/>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1.4 标准和规范</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1.4.1适用于工程的标准规范包括：</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u w:val="single"/>
        </w:rPr>
        <w:t xml:space="preserve">  《建设工程工程量清单计价规范》 GB50500-2013       </w:t>
      </w:r>
      <w:r>
        <w:rPr>
          <w:rFonts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kern w:val="0"/>
          <w:szCs w:val="21"/>
          <w:u w:val="single"/>
        </w:rPr>
      </w:pPr>
      <w:r>
        <w:rPr>
          <w:rFonts w:hint="eastAsia" w:ascii="宋体" w:hAnsi="宋体" w:cs="仿宋_GB2312"/>
          <w:color w:val="000000"/>
          <w:kern w:val="0"/>
          <w:szCs w:val="21"/>
        </w:rPr>
        <w:t>1.4.2 发包人提供国外标准、规范的名称：</w:t>
      </w:r>
    </w:p>
    <w:p>
      <w:pPr>
        <w:spacing w:line="360" w:lineRule="auto"/>
        <w:ind w:firstLine="420" w:firstLineChars="200"/>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发包人提供国外标准、规范的份数：</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发包人提供国外标准、规范的名称：</w:t>
      </w:r>
    </w:p>
    <w:p>
      <w:pPr>
        <w:spacing w:line="360" w:lineRule="auto"/>
        <w:ind w:firstLine="420" w:firstLineChars="200"/>
        <w:rPr>
          <w:rFonts w:ascii="宋体" w:hAnsi="宋体" w:cs="仿宋_GB2312"/>
          <w:color w:val="000000"/>
          <w:szCs w:val="21"/>
        </w:rPr>
      </w:pP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left="420"/>
        <w:rPr>
          <w:rFonts w:ascii="宋体" w:hAnsi="宋体" w:cs="仿宋_GB2312"/>
          <w:color w:val="000000"/>
          <w:szCs w:val="21"/>
          <w:u w:val="single"/>
        </w:rPr>
      </w:pPr>
      <w:r>
        <w:rPr>
          <w:rFonts w:hint="eastAsia" w:ascii="宋体" w:hAnsi="宋体" w:cs="仿宋_GB2312"/>
          <w:color w:val="000000"/>
          <w:szCs w:val="21"/>
        </w:rPr>
        <w:t>1.4.3发包人对工程的技术标准和功能要求的特殊要求：</w:t>
      </w:r>
      <w:r>
        <w:rPr>
          <w:rFonts w:hint="eastAsia" w:ascii="宋体" w:hAnsi="宋体" w:cs="仿宋_GB2312"/>
          <w:color w:val="000000"/>
          <w:szCs w:val="21"/>
          <w:u w:val="single"/>
        </w:rPr>
        <w:t></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w:t>
      </w:r>
      <w:r>
        <w:rPr>
          <w:rFonts w:hint="eastAsia" w:ascii="宋体" w:hAnsi="宋体" w:cs="仿宋_GB2312"/>
          <w:color w:val="00000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1.5 合同文件的优先顺序</w:t>
      </w:r>
    </w:p>
    <w:p>
      <w:pPr>
        <w:autoSpaceDE w:val="0"/>
        <w:autoSpaceDN w:val="0"/>
        <w:adjustRightInd w:val="0"/>
        <w:spacing w:line="360" w:lineRule="auto"/>
        <w:ind w:firstLine="420" w:firstLineChars="200"/>
        <w:jc w:val="left"/>
        <w:rPr>
          <w:rFonts w:ascii="宋体" w:hAnsi="宋体" w:cs="仿宋_GB2312"/>
          <w:szCs w:val="21"/>
          <w:u w:val="single"/>
        </w:rPr>
      </w:pPr>
      <w:r>
        <w:rPr>
          <w:rFonts w:hint="eastAsia" w:ascii="宋体" w:hAnsi="宋体" w:cs="仿宋_GB2312"/>
          <w:szCs w:val="21"/>
        </w:rPr>
        <w:t>合同文件组成及优先顺序为：</w:t>
      </w:r>
      <w:r>
        <w:rPr>
          <w:rFonts w:hint="eastAsia" w:ascii="宋体" w:hAnsi="宋体" w:cs="仿宋_GB2312"/>
          <w:szCs w:val="21"/>
          <w:u w:val="single"/>
        </w:rPr>
        <w:t>（1）合同协议书；（2）中标通知书；（3）投标函及其附录； （4）专用合同条款及其附件；（5）通用合同条款；（6）技术标准和要求；（7）图纸；（8）中标价工程量清单；（9）其他合同文件。</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1.6 图纸和承包人文件</w:t>
      </w:r>
      <w:r>
        <w:rPr>
          <w:rFonts w:hint="eastAsia" w:ascii="宋体" w:hAnsi="宋体" w:cs="仿宋_GB2312"/>
          <w:color w:val="000000"/>
          <w:szCs w:val="21"/>
        </w:rPr>
        <w:tab/>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1.6.1 图纸的提供</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发包人向承包人提供图纸的期限：</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u w:val="single"/>
        </w:rPr>
        <w:t>合同签订后叁日内提供施工图肆套；</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发包人向承包人提供图纸的数量：</w:t>
      </w:r>
      <w:r>
        <w:rPr>
          <w:rFonts w:hint="eastAsia" w:ascii="宋体" w:hAnsi="宋体" w:cs="仿宋_GB2312"/>
          <w:color w:val="000000"/>
          <w:szCs w:val="21"/>
          <w:u w:val="single"/>
        </w:rPr>
        <w:t>肆套</w:t>
      </w:r>
      <w:r>
        <w:rPr>
          <w:rFonts w:hint="eastAsia" w:ascii="宋体" w:hAnsi="宋体" w:cs="仿宋_GB2312"/>
          <w:color w:val="000000"/>
          <w:szCs w:val="21"/>
        </w:rPr>
        <w:t>；</w:t>
      </w:r>
      <w:r>
        <w:rPr>
          <w:rFonts w:hint="eastAsia" w:ascii="宋体" w:hAnsi="宋体" w:cs="仿宋_GB2312"/>
          <w:color w:val="000000"/>
          <w:szCs w:val="21"/>
          <w:u w:val="single"/>
        </w:rPr>
        <w:t xml:space="preserve">        </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发包人向承包人提供图纸的内容：</w:t>
      </w:r>
      <w:r>
        <w:rPr>
          <w:rFonts w:hint="eastAsia" w:ascii="宋体" w:hAnsi="宋体" w:cs="仿宋_GB2312"/>
          <w:color w:val="000000"/>
          <w:szCs w:val="21"/>
          <w:u w:val="single"/>
        </w:rPr>
        <w:t>全套施工图纸</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1.6.4 承包人文件</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需要由承包人提供的文件，包括：</w:t>
      </w:r>
      <w:r>
        <w:rPr>
          <w:rFonts w:hint="eastAsia" w:ascii="宋体" w:hAnsi="宋体" w:cs="仿宋_GB2312"/>
          <w:color w:val="000000"/>
          <w:szCs w:val="21"/>
          <w:u w:val="single"/>
        </w:rPr>
        <w:t>施工组织设计、工程进度计划、专项施工方案、必要的加工图和大样图等。</w:t>
      </w:r>
    </w:p>
    <w:p>
      <w:pPr>
        <w:spacing w:line="360" w:lineRule="auto"/>
        <w:ind w:firstLine="420" w:firstLineChars="200"/>
        <w:rPr>
          <w:rFonts w:hint="eastAsia" w:ascii="宋体" w:hAnsi="宋体" w:cs="仿宋_GB2312"/>
          <w:color w:val="000000"/>
          <w:szCs w:val="21"/>
          <w:u w:val="single"/>
        </w:rPr>
      </w:pPr>
      <w:r>
        <w:rPr>
          <w:rFonts w:hint="eastAsia" w:ascii="宋体" w:hAnsi="宋体" w:cs="仿宋_GB2312"/>
          <w:color w:val="000000"/>
          <w:szCs w:val="21"/>
        </w:rPr>
        <w:t>承包人提供的文件的期限为：</w:t>
      </w:r>
      <w:r>
        <w:rPr>
          <w:rFonts w:hint="eastAsia" w:ascii="宋体" w:hAnsi="宋体" w:cs="仿宋_GB2312"/>
          <w:color w:val="000000"/>
          <w:szCs w:val="21"/>
          <w:u w:val="single"/>
        </w:rPr>
        <w:t>接到发包人要求后7个日历日向监理人提供，并由监理人报送至发包人；</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承包人提供的文件的数量为：</w:t>
      </w:r>
      <w:r>
        <w:rPr>
          <w:rFonts w:hint="eastAsia" w:ascii="宋体" w:hAnsi="宋体" w:cs="仿宋_GB2312"/>
          <w:color w:val="000000"/>
          <w:szCs w:val="21"/>
          <w:u w:val="single"/>
        </w:rPr>
        <w:t xml:space="preserve"> 一般为一式四份，特殊文件另行要求；</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承包人提供的文件的形式为：</w:t>
      </w:r>
      <w:r>
        <w:rPr>
          <w:rFonts w:hint="eastAsia" w:ascii="宋体" w:hAnsi="宋体" w:cs="仿宋_GB2312"/>
          <w:color w:val="000000"/>
          <w:szCs w:val="21"/>
          <w:u w:val="single"/>
        </w:rPr>
        <w:t>一般为打印纸质版，特殊文件另行要求；</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发包人审批承包人文件的期限：</w:t>
      </w:r>
      <w:r>
        <w:rPr>
          <w:rFonts w:hint="eastAsia" w:ascii="宋体" w:hAnsi="宋体" w:cs="仿宋_GB2312"/>
          <w:color w:val="000000"/>
          <w:szCs w:val="21"/>
          <w:u w:val="single"/>
        </w:rPr>
        <w:t>接到承包人报送文件（监理人审核通过）之日起7个日历日。</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1.6.5 现场图纸准备</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关于现场图纸准备的约定：</w:t>
      </w:r>
      <w:r>
        <w:rPr>
          <w:rFonts w:hint="eastAsia" w:ascii="宋体" w:hAnsi="宋体" w:cs="仿宋_GB2312"/>
          <w:color w:val="000000"/>
          <w:szCs w:val="21"/>
          <w:u w:val="single"/>
        </w:rPr>
        <w:t>发包人一套完整的施工图纸。</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1.7 联络</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1.7.1发包人和承包人应当在</w:t>
      </w:r>
      <w:r>
        <w:rPr>
          <w:rFonts w:hint="eastAsia" w:ascii="宋体" w:hAnsi="宋体" w:cs="仿宋_GB2312"/>
          <w:color w:val="000000"/>
          <w:szCs w:val="21"/>
          <w:u w:val="single"/>
        </w:rPr>
        <w:t></w:t>
      </w:r>
      <w:r>
        <w:rPr>
          <w:rFonts w:hint="eastAsia" w:ascii="宋体" w:hAnsi="宋体" w:cs="仿宋_GB2312"/>
          <w:color w:val="000000"/>
          <w:szCs w:val="21"/>
          <w:u w:val="single"/>
          <w:lang w:val="en-US" w:eastAsia="zh-CN"/>
        </w:rPr>
        <w:t>7</w:t>
      </w:r>
      <w:r>
        <w:rPr>
          <w:rFonts w:hint="eastAsia" w:ascii="宋体" w:hAnsi="宋体" w:cs="仿宋_GB2312"/>
          <w:color w:val="000000"/>
          <w:szCs w:val="21"/>
          <w:u w:val="single"/>
        </w:rPr>
        <w:t xml:space="preserve">   </w:t>
      </w:r>
      <w:r>
        <w:rPr>
          <w:rFonts w:hint="eastAsia" w:ascii="宋体" w:hAnsi="宋体" w:cs="仿宋_GB2312"/>
          <w:color w:val="000000"/>
          <w:kern w:val="0"/>
          <w:szCs w:val="21"/>
        </w:rPr>
        <w:t>天内将与合同有关的通知、批准、证明、证书、指示、指令、要求、请求、同意、意见、确定和决定等书面函件送达对方当事人。</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1.7.2 发包人接收文件的地点：</w:t>
      </w:r>
      <w:r>
        <w:rPr>
          <w:rFonts w:hint="eastAsia" w:ascii="宋体" w:hAnsi="宋体" w:cs="仿宋_GB2312"/>
          <w:color w:val="000000"/>
          <w:kern w:val="0"/>
          <w:szCs w:val="21"/>
          <w:u w:val="single"/>
        </w:rPr>
        <w:t xml:space="preserve">现场办公室  </w:t>
      </w:r>
      <w:r>
        <w:rPr>
          <w:rFonts w:hint="eastAsia" w:ascii="宋体" w:hAnsi="宋体" w:cs="仿宋_GB2312"/>
          <w:color w:val="000000"/>
          <w:szCs w:val="21"/>
          <w:u w:val="single"/>
        </w:rPr>
        <w:t></w:t>
      </w:r>
      <w:r>
        <w:rPr>
          <w:rFonts w:hint="eastAsia" w:ascii="宋体" w:hAnsi="宋体" w:cs="仿宋_GB2312"/>
          <w:color w:val="000000"/>
          <w:kern w:val="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发包人指定的接收人为：</w:t>
      </w:r>
      <w:r>
        <w:rPr>
          <w:rFonts w:hint="eastAsia" w:ascii="宋体" w:hAnsi="宋体" w:cs="仿宋_GB2312"/>
          <w:color w:val="000000"/>
          <w:kern w:val="0"/>
          <w:szCs w:val="21"/>
          <w:u w:val="single"/>
        </w:rPr>
        <w:t>业主派驻现场代表</w:t>
      </w:r>
      <w:r>
        <w:rPr>
          <w:rFonts w:hint="eastAsia" w:ascii="宋体" w:hAnsi="宋体" w:cs="仿宋_GB2312"/>
          <w:color w:val="000000"/>
          <w:szCs w:val="21"/>
          <w:u w:val="single"/>
        </w:rPr>
        <w:t></w:t>
      </w:r>
      <w:r>
        <w:rPr>
          <w:rFonts w:hint="eastAsia" w:ascii="宋体" w:hAnsi="宋体" w:cs="仿宋_GB2312"/>
          <w:color w:val="000000"/>
          <w:kern w:val="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承包人接收文件的地点：</w:t>
      </w:r>
      <w:r>
        <w:rPr>
          <w:rFonts w:hint="eastAsia" w:ascii="宋体" w:hAnsi="宋体" w:cs="仿宋_GB2312"/>
          <w:color w:val="000000"/>
          <w:kern w:val="0"/>
          <w:szCs w:val="21"/>
          <w:u w:val="single"/>
        </w:rPr>
        <w:t>承包人施工现场项目部</w:t>
      </w:r>
      <w:r>
        <w:rPr>
          <w:rFonts w:hint="eastAsia" w:ascii="宋体" w:hAnsi="宋体" w:cs="仿宋_GB2312"/>
          <w:color w:val="000000"/>
          <w:szCs w:val="21"/>
          <w:u w:val="single"/>
        </w:rPr>
        <w:t></w:t>
      </w:r>
      <w:r>
        <w:rPr>
          <w:rFonts w:hint="eastAsia" w:ascii="宋体" w:hAnsi="宋体" w:cs="仿宋_GB2312"/>
          <w:color w:val="000000"/>
          <w:kern w:val="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承包人指定的接收人为：</w:t>
      </w:r>
      <w:r>
        <w:rPr>
          <w:rFonts w:hint="eastAsia" w:ascii="宋体" w:hAnsi="宋体" w:cs="仿宋_GB2312"/>
          <w:color w:val="000000"/>
          <w:szCs w:val="21"/>
          <w:u w:val="single"/>
        </w:rPr>
        <w:t xml:space="preserve">   ******           </w:t>
      </w:r>
      <w:r>
        <w:rPr>
          <w:rFonts w:hint="eastAsia" w:ascii="宋体" w:hAnsi="宋体" w:cs="仿宋_GB2312"/>
          <w:color w:val="000000"/>
          <w:kern w:val="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监理人接收文件的地点：</w:t>
      </w:r>
      <w:r>
        <w:rPr>
          <w:rFonts w:hint="eastAsia" w:ascii="宋体" w:hAnsi="宋体" w:cs="仿宋_GB2312"/>
          <w:color w:val="000000"/>
          <w:szCs w:val="21"/>
          <w:u w:val="single"/>
        </w:rPr>
        <w:t>监理人施工现场办公室</w:t>
      </w:r>
      <w:r>
        <w:rPr>
          <w:rFonts w:hint="eastAsia" w:ascii="宋体" w:hAnsi="宋体" w:cs="仿宋_GB2312"/>
          <w:color w:val="000000"/>
          <w:kern w:val="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监理人指定的接收人为：</w:t>
      </w:r>
      <w:r>
        <w:rPr>
          <w:rFonts w:hint="eastAsia" w:ascii="宋体" w:hAnsi="宋体" w:cs="仿宋_GB2312"/>
          <w:color w:val="000000"/>
          <w:szCs w:val="21"/>
          <w:u w:val="single"/>
        </w:rPr>
        <w:t>总监或总监代表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1.10 交通运输</w:t>
      </w:r>
    </w:p>
    <w:p>
      <w:pPr>
        <w:spacing w:line="360" w:lineRule="auto"/>
        <w:ind w:firstLine="420" w:firstLineChars="200"/>
        <w:rPr>
          <w:rFonts w:ascii="宋体" w:hAnsi="宋体" w:cs="仿宋_GB2312"/>
          <w:szCs w:val="21"/>
        </w:rPr>
      </w:pPr>
      <w:r>
        <w:rPr>
          <w:rFonts w:hint="eastAsia" w:ascii="宋体" w:hAnsi="宋体" w:cs="仿宋_GB2312"/>
          <w:szCs w:val="21"/>
        </w:rPr>
        <w:t>1</w:t>
      </w:r>
      <w:bookmarkStart w:id="28" w:name="_Toc300934943"/>
      <w:bookmarkStart w:id="29" w:name="_Toc318581155"/>
      <w:bookmarkStart w:id="30" w:name="_Toc304295521"/>
      <w:bookmarkStart w:id="31" w:name="_Toc312677986"/>
      <w:bookmarkStart w:id="32" w:name="_Toc303539100"/>
      <w:r>
        <w:rPr>
          <w:rFonts w:hint="eastAsia" w:ascii="宋体" w:hAnsi="宋体" w:cs="仿宋_GB2312"/>
          <w:szCs w:val="21"/>
        </w:rPr>
        <w:t>.10.1 出入现场的权利</w:t>
      </w:r>
    </w:p>
    <w:p>
      <w:pPr>
        <w:spacing w:line="360" w:lineRule="auto"/>
        <w:ind w:firstLine="420" w:firstLineChars="200"/>
        <w:rPr>
          <w:rFonts w:ascii="宋体" w:hAnsi="宋体" w:cs="仿宋_GB2312"/>
          <w:szCs w:val="21"/>
        </w:rPr>
      </w:pPr>
      <w:r>
        <w:rPr>
          <w:rFonts w:hint="eastAsia" w:ascii="宋体" w:hAnsi="宋体" w:cs="仿宋_GB2312"/>
          <w:szCs w:val="21"/>
        </w:rPr>
        <w:t>关于出入现场的权利的约定：</w:t>
      </w:r>
      <w:r>
        <w:rPr>
          <w:rFonts w:hint="eastAsia" w:ascii="宋体" w:hAnsi="宋体" w:cs="仿宋_GB2312"/>
          <w:szCs w:val="21"/>
          <w:u w:val="single"/>
        </w:rPr>
        <w:t>执行通用条款第1.10.1条款</w:t>
      </w:r>
      <w:r>
        <w:rPr>
          <w:rFonts w:hint="eastAsia" w:ascii="宋体" w:hAnsi="宋体" w:cs="仿宋_GB2312"/>
          <w:szCs w:val="21"/>
          <w:u w:val="single"/>
          <w:lang w:val="en-US" w:eastAsia="zh-CN"/>
        </w:rPr>
        <w:t xml:space="preserve"> </w:t>
      </w:r>
      <w:r>
        <w:rPr>
          <w:rFonts w:hint="eastAsia" w:ascii="宋体" w:hAnsi="宋体" w:cs="仿宋_GB2312"/>
          <w:color w:val="000000"/>
          <w:szCs w:val="21"/>
          <w:u w:val="single"/>
        </w:rPr>
        <w:t xml:space="preserve">  </w:t>
      </w:r>
      <w:r>
        <w:rPr>
          <w:rFonts w:hint="eastAsia" w:ascii="宋体" w:hAnsi="宋体" w:cs="仿宋_GB2312"/>
          <w:szCs w:val="21"/>
        </w:rPr>
        <w:t>。</w:t>
      </w:r>
    </w:p>
    <w:bookmarkEnd w:id="28"/>
    <w:bookmarkEnd w:id="29"/>
    <w:bookmarkEnd w:id="30"/>
    <w:bookmarkEnd w:id="31"/>
    <w:bookmarkEnd w:id="32"/>
    <w:p>
      <w:pPr>
        <w:spacing w:line="360" w:lineRule="auto"/>
        <w:ind w:firstLine="420" w:firstLineChars="200"/>
        <w:jc w:val="left"/>
        <w:rPr>
          <w:rFonts w:ascii="宋体" w:hAnsi="宋体" w:cs="仿宋_GB2312"/>
          <w:szCs w:val="21"/>
        </w:rPr>
      </w:pPr>
      <w:r>
        <w:rPr>
          <w:rFonts w:hint="eastAsia" w:ascii="宋体" w:hAnsi="宋体" w:cs="仿宋_GB2312"/>
          <w:szCs w:val="21"/>
        </w:rPr>
        <w:t>1</w:t>
      </w:r>
      <w:bookmarkStart w:id="33" w:name="_Toc304295522"/>
      <w:bookmarkStart w:id="34" w:name="_Toc300934944"/>
      <w:bookmarkStart w:id="35" w:name="_Toc318581156"/>
      <w:bookmarkStart w:id="36" w:name="_Toc303539101"/>
      <w:bookmarkStart w:id="37" w:name="_Toc312677987"/>
      <w:r>
        <w:rPr>
          <w:rFonts w:hint="eastAsia" w:ascii="宋体" w:hAnsi="宋体" w:cs="仿宋_GB2312"/>
          <w:szCs w:val="21"/>
        </w:rPr>
        <w:t>.10.3 场内交通</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关于场外交通和场内交通的边界的约定：</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szCs w:val="21"/>
          <w:u w:val="single"/>
        </w:rPr>
        <w:t xml:space="preserve">根据发包人定位放线确定  </w:t>
      </w:r>
      <w:r>
        <w:rPr>
          <w:rFonts w:hint="eastAsia" w:ascii="宋体" w:hAnsi="宋体" w:cs="仿宋_GB2312"/>
          <w:szCs w:val="21"/>
        </w:rPr>
        <w:t>。</w:t>
      </w:r>
    </w:p>
    <w:p>
      <w:pPr>
        <w:spacing w:line="360" w:lineRule="auto"/>
        <w:ind w:firstLine="420" w:firstLineChars="200"/>
        <w:jc w:val="left"/>
        <w:rPr>
          <w:rFonts w:ascii="宋体" w:hAnsi="宋体" w:cs="仿宋_GB2312"/>
          <w:szCs w:val="21"/>
        </w:rPr>
      </w:pPr>
      <w:r>
        <w:rPr>
          <w:rFonts w:hint="eastAsia" w:ascii="宋体" w:hAnsi="宋体" w:cs="仿宋_GB2312"/>
          <w:szCs w:val="21"/>
        </w:rPr>
        <w:t>关于发包人向承包人免费提供满足工程施工需要的场内道路和交通设施的约定：</w:t>
      </w:r>
    </w:p>
    <w:p>
      <w:pPr>
        <w:spacing w:line="360" w:lineRule="auto"/>
        <w:ind w:firstLine="420" w:firstLineChars="200"/>
        <w:jc w:val="left"/>
        <w:rPr>
          <w:rFonts w:ascii="宋体" w:hAnsi="宋体" w:cs="仿宋_GB2312"/>
          <w:szCs w:val="21"/>
        </w:rPr>
      </w:pPr>
      <w:r>
        <w:rPr>
          <w:rFonts w:hint="eastAsia" w:ascii="宋体" w:hAnsi="宋体" w:cs="仿宋_GB2312"/>
          <w:color w:val="000000"/>
          <w:szCs w:val="21"/>
          <w:u w:val="single"/>
        </w:rPr>
        <w:t xml:space="preserve">执行通用条款   </w:t>
      </w:r>
      <w:r>
        <w:rPr>
          <w:rFonts w:hint="eastAsia" w:ascii="宋体" w:hAnsi="宋体" w:cs="仿宋_GB2312"/>
          <w:szCs w:val="21"/>
        </w:rPr>
        <w:t>。</w:t>
      </w:r>
      <w:bookmarkEnd w:id="33"/>
      <w:bookmarkEnd w:id="34"/>
      <w:bookmarkEnd w:id="35"/>
      <w:bookmarkEnd w:id="36"/>
      <w:bookmarkEnd w:id="37"/>
      <w:bookmarkStart w:id="38" w:name="_Toc318581157"/>
    </w:p>
    <w:p>
      <w:pPr>
        <w:spacing w:line="360" w:lineRule="auto"/>
        <w:ind w:firstLine="420" w:firstLineChars="200"/>
        <w:jc w:val="left"/>
        <w:rPr>
          <w:rFonts w:ascii="宋体" w:hAnsi="宋体" w:cs="仿宋_GB2312"/>
          <w:szCs w:val="21"/>
        </w:rPr>
      </w:pPr>
      <w:r>
        <w:rPr>
          <w:rFonts w:hint="eastAsia" w:ascii="宋体" w:hAnsi="宋体" w:cs="仿宋_GB2312"/>
          <w:szCs w:val="21"/>
        </w:rPr>
        <w:t>1.10.4超大件和超重件的运输</w:t>
      </w:r>
    </w:p>
    <w:p>
      <w:pPr>
        <w:spacing w:line="360" w:lineRule="auto"/>
        <w:ind w:firstLine="420" w:firstLineChars="200"/>
        <w:jc w:val="left"/>
        <w:rPr>
          <w:rFonts w:ascii="宋体" w:hAnsi="宋体" w:cs="仿宋_GB2312"/>
          <w:szCs w:val="21"/>
        </w:rPr>
      </w:pPr>
      <w:r>
        <w:rPr>
          <w:rFonts w:hint="eastAsia" w:ascii="宋体" w:hAnsi="宋体" w:cs="仿宋_GB2312"/>
          <w:szCs w:val="21"/>
        </w:rPr>
        <w:t>运输超大件或超重件所需的道路和桥梁临时加固改造费用和其他有关费用由</w:t>
      </w:r>
      <w:r>
        <w:rPr>
          <w:rFonts w:hint="eastAsia" w:ascii="宋体" w:hAnsi="宋体" w:cs="仿宋_GB2312"/>
          <w:szCs w:val="21"/>
          <w:u w:val="single"/>
        </w:rPr>
        <w:t xml:space="preserve">  承包人       </w:t>
      </w:r>
      <w:r>
        <w:rPr>
          <w:rFonts w:hint="eastAsia" w:ascii="宋体" w:hAnsi="宋体" w:cs="仿宋_GB2312"/>
          <w:szCs w:val="21"/>
        </w:rPr>
        <w:t>承担。</w:t>
      </w:r>
    </w:p>
    <w:bookmarkEnd w:id="38"/>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1.11 知识产权</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仿宋_GB2312"/>
          <w:color w:val="000000"/>
          <w:szCs w:val="21"/>
          <w:u w:val="single"/>
        </w:rPr>
        <w:t xml:space="preserve">执行通用条款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关于发包人提供的上述文件的使用限制的要求：</w:t>
      </w:r>
      <w:r>
        <w:rPr>
          <w:rFonts w:hint="eastAsia" w:ascii="宋体" w:hAnsi="宋体" w:cs="仿宋_GB2312"/>
          <w:color w:val="000000"/>
          <w:szCs w:val="21"/>
          <w:u w:val="single"/>
        </w:rPr>
        <w:t xml:space="preserve">执行通用条款  </w:t>
      </w:r>
      <w:r>
        <w:rPr>
          <w:rFonts w:hint="eastAsia" w:ascii="宋体" w:hAnsi="宋体" w:cs="仿宋_GB2312"/>
          <w:color w:val="000000"/>
          <w:szCs w:val="21"/>
        </w:rPr>
        <w:t>。</w:t>
      </w:r>
    </w:p>
    <w:p>
      <w:pPr>
        <w:spacing w:line="360" w:lineRule="auto"/>
        <w:ind w:firstLine="425"/>
        <w:rPr>
          <w:rFonts w:ascii="宋体" w:hAnsi="宋体" w:cs="仿宋_GB2312"/>
          <w:color w:val="000000"/>
          <w:szCs w:val="21"/>
          <w:u w:val="single"/>
        </w:rPr>
      </w:pPr>
      <w:r>
        <w:rPr>
          <w:rFonts w:hint="eastAsia" w:ascii="宋体" w:hAnsi="宋体" w:cs="仿宋_GB2312"/>
          <w:color w:val="000000"/>
          <w:szCs w:val="21"/>
        </w:rPr>
        <w:t>1.11.2 关于承包人为实施工程所编制文件的著作权的归属：</w:t>
      </w:r>
      <w:r>
        <w:rPr>
          <w:rFonts w:hint="eastAsia" w:ascii="宋体" w:hAnsi="宋体" w:cs="仿宋_GB2312"/>
          <w:color w:val="000000"/>
          <w:szCs w:val="21"/>
          <w:u w:val="single"/>
        </w:rPr>
        <w:t xml:space="preserve">执行通用条款  </w:t>
      </w:r>
      <w:r>
        <w:rPr>
          <w:rFonts w:hint="eastAsia" w:ascii="宋体" w:hAnsi="宋体" w:cs="仿宋_GB2312"/>
          <w:color w:val="000000"/>
          <w:szCs w:val="21"/>
        </w:rPr>
        <w:t>。</w:t>
      </w:r>
    </w:p>
    <w:p>
      <w:pPr>
        <w:spacing w:line="360" w:lineRule="auto"/>
        <w:rPr>
          <w:rFonts w:ascii="宋体" w:hAnsi="宋体" w:cs="仿宋_GB2312"/>
          <w:color w:val="000000"/>
          <w:szCs w:val="21"/>
          <w:u w:val="single"/>
        </w:rPr>
      </w:pPr>
      <w:r>
        <w:rPr>
          <w:rFonts w:hint="eastAsia" w:ascii="宋体" w:hAnsi="宋体" w:cs="仿宋_GB2312"/>
          <w:color w:val="000000"/>
          <w:szCs w:val="21"/>
        </w:rPr>
        <w:t>关于承包人提供的上述文件的使用限制的要求：</w:t>
      </w:r>
      <w:r>
        <w:rPr>
          <w:rFonts w:hint="eastAsia" w:ascii="宋体" w:hAnsi="宋体" w:cs="仿宋_GB2312"/>
          <w:color w:val="000000"/>
          <w:szCs w:val="21"/>
          <w:u w:val="single"/>
        </w:rPr>
        <w:t xml:space="preserve">执行通用条款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1.11.4 承包人在施工过程中所采用的专利、专有技术、技术秘密的使用费的承担方式：</w:t>
      </w:r>
    </w:p>
    <w:p>
      <w:pPr>
        <w:spacing w:line="360" w:lineRule="auto"/>
        <w:rPr>
          <w:rFonts w:ascii="宋体" w:hAnsi="宋体" w:cs="仿宋_GB2312"/>
          <w:color w:val="000000"/>
          <w:kern w:val="0"/>
          <w:szCs w:val="21"/>
        </w:rPr>
      </w:pPr>
      <w:r>
        <w:rPr>
          <w:rFonts w:hint="eastAsia" w:ascii="宋体" w:hAnsi="宋体" w:cs="仿宋_GB2312"/>
          <w:color w:val="000000"/>
          <w:szCs w:val="21"/>
          <w:u w:val="single"/>
        </w:rPr>
        <w:t xml:space="preserve">包含在合同协议书第四条约定的签约合同价中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1.13工程量清单错误的修正</w:t>
      </w:r>
    </w:p>
    <w:p>
      <w:pPr>
        <w:spacing w:line="360" w:lineRule="auto"/>
        <w:ind w:firstLine="420" w:firstLineChars="200"/>
        <w:rPr>
          <w:rFonts w:ascii="宋体" w:hAnsi="宋体" w:cs="仿宋_GB2312"/>
          <w:szCs w:val="21"/>
        </w:rPr>
      </w:pPr>
      <w:r>
        <w:rPr>
          <w:rFonts w:hint="eastAsia" w:ascii="宋体" w:hAnsi="宋体" w:cs="仿宋_GB2312"/>
          <w:szCs w:val="21"/>
        </w:rPr>
        <w:t>出现工程量清单错误时，是否调整合同价格：</w:t>
      </w:r>
      <w:r>
        <w:rPr>
          <w:rFonts w:hint="eastAsia" w:ascii="宋体" w:hAnsi="宋体" w:cs="仿宋_GB2312"/>
          <w:szCs w:val="21"/>
          <w:u w:val="single"/>
        </w:rPr>
        <w:t xml:space="preserve">  是  </w:t>
      </w:r>
      <w:r>
        <w:rPr>
          <w:rFonts w:hint="eastAsia" w:ascii="宋体" w:hAnsi="宋体" w:cs="仿宋_GB2312"/>
          <w:kern w:val="0"/>
          <w:szCs w:val="21"/>
        </w:rPr>
        <w:t>。</w:t>
      </w:r>
    </w:p>
    <w:p>
      <w:pPr>
        <w:autoSpaceDE w:val="0"/>
        <w:autoSpaceDN w:val="0"/>
        <w:adjustRightInd w:val="0"/>
        <w:ind w:firstLine="315" w:firstLineChars="150"/>
        <w:rPr>
          <w:rFonts w:ascii="宋体" w:hAnsi="宋体" w:cs="仿宋_GB2312"/>
          <w:szCs w:val="21"/>
          <w:u w:val="single"/>
        </w:rPr>
      </w:pPr>
      <w:r>
        <w:rPr>
          <w:rFonts w:hint="eastAsia" w:ascii="宋体" w:hAnsi="宋体" w:cs="仿宋_GB2312"/>
          <w:szCs w:val="21"/>
        </w:rPr>
        <w:t>允许调整合同价格的工程量偏差范围：</w:t>
      </w:r>
      <w:r>
        <w:rPr>
          <w:rFonts w:hint="eastAsia" w:ascii="宋体" w:hAnsi="宋体" w:cs="仿宋_GB2312"/>
          <w:szCs w:val="21"/>
          <w:u w:val="single"/>
        </w:rPr>
        <w:t>当工程量清单项目工程量的变化幅度在</w:t>
      </w:r>
      <w:r>
        <w:rPr>
          <w:rFonts w:ascii="宋体" w:hAnsi="宋体" w:cs="仿宋_GB2312"/>
          <w:szCs w:val="21"/>
          <w:u w:val="single"/>
        </w:rPr>
        <w:t>±15%</w:t>
      </w:r>
      <w:r>
        <w:rPr>
          <w:rFonts w:hint="eastAsia" w:ascii="宋体" w:hAnsi="宋体" w:cs="仿宋_GB2312"/>
          <w:szCs w:val="21"/>
          <w:u w:val="single"/>
        </w:rPr>
        <w:t>（含</w:t>
      </w:r>
      <w:r>
        <w:rPr>
          <w:rFonts w:ascii="宋体" w:hAnsi="宋体" w:cs="仿宋_GB2312"/>
          <w:szCs w:val="21"/>
          <w:u w:val="single"/>
        </w:rPr>
        <w:t>15%</w:t>
      </w:r>
      <w:r>
        <w:rPr>
          <w:rFonts w:hint="eastAsia" w:ascii="宋体" w:hAnsi="宋体" w:cs="仿宋_GB2312"/>
          <w:szCs w:val="21"/>
          <w:u w:val="single"/>
        </w:rPr>
        <w:t>）以内时，其综合单价不做调整，执行原有综合单价。当工程量清单项目工程量的变化幅度在</w:t>
      </w:r>
      <w:r>
        <w:rPr>
          <w:rFonts w:ascii="宋体" w:hAnsi="宋体" w:cs="仿宋_GB2312"/>
          <w:szCs w:val="21"/>
          <w:u w:val="single"/>
        </w:rPr>
        <w:t>±15%</w:t>
      </w:r>
      <w:r>
        <w:rPr>
          <w:rFonts w:hint="eastAsia" w:ascii="宋体" w:hAnsi="宋体" w:cs="仿宋_GB2312"/>
          <w:szCs w:val="21"/>
          <w:u w:val="single"/>
        </w:rPr>
        <w:t>以外时，其综合单价进行调整。调整方法为：超出</w:t>
      </w:r>
      <w:r>
        <w:rPr>
          <w:rFonts w:ascii="宋体" w:hAnsi="宋体" w:cs="仿宋_GB2312"/>
          <w:szCs w:val="21"/>
          <w:u w:val="single"/>
        </w:rPr>
        <w:t>15%</w:t>
      </w:r>
      <w:r>
        <w:rPr>
          <w:rFonts w:hint="eastAsia" w:ascii="宋体" w:hAnsi="宋体" w:cs="仿宋_GB2312"/>
          <w:szCs w:val="21"/>
          <w:u w:val="single"/>
        </w:rPr>
        <w:t>的原综合单价下浮</w:t>
      </w:r>
      <w:r>
        <w:rPr>
          <w:rFonts w:ascii="宋体" w:hAnsi="宋体" w:cs="仿宋_GB2312"/>
          <w:szCs w:val="21"/>
          <w:u w:val="single"/>
        </w:rPr>
        <w:t>10%</w:t>
      </w:r>
      <w:r>
        <w:rPr>
          <w:rFonts w:hint="eastAsia" w:ascii="宋体" w:hAnsi="宋体" w:cs="仿宋_GB2312"/>
          <w:szCs w:val="21"/>
          <w:u w:val="single"/>
        </w:rPr>
        <w:t>；当确认变更的费用发生争议时，施工方不得以该争议作为怠工、停工等的理由，必须正常施工。</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1.14工程量清单结算约定</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1.14.1工程量清单约定范围外的部分（合同外）</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⑴工程量清单约定范围外的工程材料原则上仍由承包人采购（发包人和承包人另有约定的除外），采购时须由发包人和承包人认定品质，材料价格由发包人认定；</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⑵工程量约定范围外的工程项目，合同内含有同类项目的按照同类项目综合单价结算，合同内没有同类项目的按照现行清单规范重新组价进行结算。</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 xml:space="preserve"> 1.14.3措施费：</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1.14.4清单综合单价包括的风险范围及承包人承担的相关费用：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⑴招标文件要求的全部风险；</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⑵合同价不因劳务、材料或其他因素（包括发包人及代理人原因）产生的合同实施成本的变动而进行调整；</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⑶满足工程的工期条件及本工程工期超出国家定额工期的抢工措施费；</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⑷施工期间工程因各种因素发生和需要采取的技术措施费（含砼外加剂等）、安全文明施工措施和土石方垮塌及清理费用等；</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⑸连续5天以内（含5天）的停水、停电、停车而发生窝工损失费用等；</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⑹施工中如遇施工场地周围地下管线的保护措施费用；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⑺施工过程场内的硬化道路、硬化地面、超标噪音级排污、施工占道应发生的费用；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⑻发包人核定的材料的理论重量和实际重量的量差；</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⑼发包人、承包人双方安装工程穿过墙面、楼面、地面的管路护套安装及管道安装完工后对洞口填补及防水处理费用；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⑽成品门窗塞缝，为各分包单位提供现场协调管理、提供必要的简易脚手架、垂直吊运等；</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⑾承包人原因造成的一切费用及损失；</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⑿承包该工程合同内容所存在的各种风险；</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⒀工程竣工验收和工程移交前承包单位对竣工工程成品保卫和保护所发生的费用；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⒁承包人配合发包人进行施工许可证和质量监督手续的办理可能发生的费用，以及为发包人分包项目的配合费而发生的费用和风险；</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⒂建筑垃圾的清运费（包括建筑垃圾的挖、运、上车、环卫、易撒漏物质密闭运输和费用、出渣费）；</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⒃经发包人审定的施工组织设计在工程需发生的技术措施费用。包括现浇构件中固定钢筋位置的保证构件几何尺寸的支撑钢筋、措施钢筋等，模板工程中的对拉螺栓（片）以及砼后浇带的支撑系统等施工技术上的措施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⒄施工机械、施工用材超运距费用及大型机械进出场费；</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⒅该工程中相关职能部门对各系统的测试、调试的费用；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⒆施工周边为保证安全和方便通行等搭设的通道及天桥等防护措施费用；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⒇承包方承包范围内的各种检测费。</w:t>
      </w:r>
    </w:p>
    <w:p>
      <w:pPr>
        <w:spacing w:line="360" w:lineRule="auto"/>
        <w:ind w:firstLine="420" w:firstLineChars="200"/>
        <w:rPr>
          <w:rFonts w:ascii="宋体" w:hAnsi="宋体" w:cs="仿宋_GB2312"/>
          <w:color w:val="000000"/>
          <w:szCs w:val="21"/>
        </w:rPr>
      </w:pP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1.14.5竣工资料要求：</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⑴按设计图纸和施工合同约定的工程范围的全部工作内容完成；</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⑵有完整的技术档案和施工管理资料；</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⑶有工程使用的主要建筑材料、建筑构配件和设备的进场的试验报告；</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⑷经勘察、设计、施工、监理等单位检查，并分别签署工程质量合格；</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⑸有档案馆出具的资料移交证书；</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⑹承包人和发包人签署了工程保修书；</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1.14.6工程交工：</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⑴承包人应按约定的合同竣工时间，完成工程施工和验收，无条件交付给发包人，不得以任何理由和借口拖延交付；</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⑵设计变更资料必须经发包人技术负责人和设计单位相关人员签认，设计变更增减量，只作为办理设计变更调整工程结算的依据，承包人不能因一般设计变更而要求发包人延长工程合同工期；</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⑶工程竣工验收全部交付发包人后，才能按照合同约定的结算程序办理工程价款结算。</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1.14.7资料签认：</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⑴施工过程中变更或增减部分签证资料的有效性条件：双方即时签认的、合法的、已归档、且在结算办理工作的第一步即核对结算资料时，经双方核对签认的原始资料；</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⑵施工过程中变更或增减部分有效签证条件按以下条款执行：</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施工过程中发生涉及费用的技术资料、签证，必须不少于四人签字认可。即由甲方现场负责人（至少2人）、监理单位1人，乙方代表（至少1人）共同签认后方可纳入结算，结算审定后进入工程总造价，签证单必须附工程量计算式；</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1.14.8核价材料：</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对于项目材料、设备的核价，合同清单有单价的，承包单位严格按照清单价选购合格材料，发包人确定品质及单价；非由总承包单位原因引起的材料变更，单价由项目建设方、代建方、监理方、总承包方等共同确认单价。</w:t>
      </w:r>
    </w:p>
    <w:p>
      <w:pPr>
        <w:spacing w:line="360" w:lineRule="auto"/>
        <w:ind w:firstLine="420" w:firstLineChars="200"/>
        <w:rPr>
          <w:rFonts w:ascii="宋体" w:hAnsi="宋体" w:cs="仿宋_GB2312"/>
          <w:color w:val="000000"/>
          <w:szCs w:val="21"/>
        </w:rPr>
      </w:pPr>
    </w:p>
    <w:p>
      <w:pPr>
        <w:spacing w:line="360" w:lineRule="auto"/>
        <w:ind w:firstLine="420" w:firstLineChars="200"/>
        <w:rPr>
          <w:rFonts w:ascii="宋体" w:hAnsi="宋体" w:cs="仿宋_GB2312"/>
          <w:color w:val="000000"/>
          <w:szCs w:val="21"/>
        </w:rPr>
      </w:pPr>
      <w:bookmarkStart w:id="39" w:name="_Toc351203634"/>
      <w:r>
        <w:rPr>
          <w:rFonts w:hint="eastAsia" w:ascii="宋体" w:hAnsi="宋体" w:cs="仿宋_GB2312"/>
          <w:color w:val="000000"/>
          <w:szCs w:val="21"/>
        </w:rPr>
        <w:t>2</w:t>
      </w:r>
      <w:bookmarkStart w:id="40" w:name="_Toc292559867"/>
      <w:bookmarkStart w:id="41" w:name="_Toc296503157"/>
      <w:bookmarkStart w:id="42" w:name="_Toc296346658"/>
      <w:bookmarkStart w:id="43" w:name="_Toc296347156"/>
      <w:bookmarkStart w:id="44" w:name="_Toc296944496"/>
      <w:bookmarkStart w:id="45" w:name="_Toc296891197"/>
      <w:bookmarkStart w:id="46" w:name="_Toc297048343"/>
      <w:bookmarkStart w:id="47" w:name="_Toc296890985"/>
      <w:bookmarkStart w:id="48" w:name="_Toc297120457"/>
      <w:bookmarkStart w:id="49" w:name="_Toc292559362"/>
      <w:r>
        <w:rPr>
          <w:rFonts w:hint="eastAsia" w:ascii="宋体" w:hAnsi="宋体" w:cs="仿宋_GB2312"/>
          <w:color w:val="000000"/>
          <w:szCs w:val="21"/>
        </w:rPr>
        <w:t>. 发包人</w:t>
      </w:r>
      <w:bookmarkEnd w:id="39"/>
    </w:p>
    <w:bookmarkEnd w:id="40"/>
    <w:bookmarkEnd w:id="41"/>
    <w:bookmarkEnd w:id="42"/>
    <w:bookmarkEnd w:id="43"/>
    <w:bookmarkEnd w:id="44"/>
    <w:bookmarkEnd w:id="45"/>
    <w:bookmarkEnd w:id="46"/>
    <w:bookmarkEnd w:id="47"/>
    <w:bookmarkEnd w:id="48"/>
    <w:bookmarkEnd w:id="49"/>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2.2 发包人代表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发包人代表：</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姓    名：</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身份证号：</w:t>
      </w:r>
      <w:r>
        <w:rPr>
          <w:rFonts w:hint="eastAsia" w:ascii="宋体" w:hAnsi="宋体" w:cs="仿宋_GB2312"/>
          <w:color w:val="000000"/>
          <w:szCs w:val="21"/>
          <w:u w:val="single"/>
        </w:rPr>
        <w:t xml:space="preserve">  </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职    务：</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联系电话：</w:t>
      </w:r>
      <w:r>
        <w:rPr>
          <w:rFonts w:hint="eastAsia" w:ascii="宋体" w:hAnsi="宋体" w:cs="仿宋_GB2312"/>
          <w:color w:val="000000"/>
          <w:szCs w:val="21"/>
          <w:u w:val="single"/>
        </w:rPr>
        <w:t>  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电子信箱：</w:t>
      </w:r>
      <w:r>
        <w:rPr>
          <w:rFonts w:hint="eastAsia" w:ascii="宋体" w:hAnsi="宋体" w:cs="仿宋_GB2312"/>
          <w:color w:val="000000"/>
          <w:szCs w:val="21"/>
          <w:u w:val="single"/>
        </w:rPr>
        <w:t> 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通信地址：</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b/>
          <w:color w:val="000000"/>
          <w:szCs w:val="21"/>
        </w:rPr>
      </w:pPr>
      <w:r>
        <w:rPr>
          <w:rFonts w:hint="eastAsia" w:ascii="宋体" w:hAnsi="宋体" w:cs="仿宋_GB2312"/>
          <w:color w:val="000000"/>
          <w:szCs w:val="21"/>
        </w:rPr>
        <w:t>发包人对发包人代表的授权范围如下：</w:t>
      </w:r>
      <w:r>
        <w:rPr>
          <w:rFonts w:hint="eastAsia" w:ascii="宋体" w:hAnsi="宋体" w:cs="仿宋_GB2312"/>
          <w:color w:val="000000"/>
          <w:szCs w:val="21"/>
          <w:u w:val="single"/>
        </w:rPr>
        <w:t>1、 督促监理工程师按照监理合同办事:2、协调各有关单位工作: 3、工程进度与工程量的确达: 4、督促并控制好工程进度、质量、投资。</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2.4 施工现场、施工条件和基础资料的提供</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2.4.1 提供施工现场</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关于发包人移交施工现场的期限要求：</w:t>
      </w:r>
      <w:r>
        <w:rPr>
          <w:rFonts w:hint="eastAsia" w:ascii="宋体" w:hAnsi="宋体" w:cs="仿宋_GB2312"/>
          <w:color w:val="000000"/>
          <w:szCs w:val="21"/>
          <w:u w:val="single"/>
        </w:rPr>
        <w:t xml:space="preserve">按通用合同条款执行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2.4.2 提供施工条件</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关于发包人应负责提供施工所需要的条件，包括：</w:t>
      </w:r>
      <w:r>
        <w:rPr>
          <w:rFonts w:hint="eastAsia" w:ascii="宋体" w:hAnsi="宋体" w:cs="仿宋_GB2312"/>
          <w:color w:val="000000"/>
          <w:szCs w:val="21"/>
          <w:u w:val="single"/>
        </w:rPr>
        <w:t xml:space="preserve">执行通用合同条款      </w:t>
      </w:r>
      <w:r>
        <w:rPr>
          <w:rFonts w:hint="eastAsia" w:ascii="宋体" w:hAnsi="宋体" w:cs="仿宋_GB2312"/>
          <w:color w:val="00000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2.5 资金来源证明及支付担保</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发包人提供资金来源证明的期限要求：</w:t>
      </w:r>
      <w:r>
        <w:rPr>
          <w:rFonts w:hint="eastAsia" w:ascii="宋体" w:hAnsi="宋体" w:cs="仿宋_GB2312"/>
          <w:color w:val="000000"/>
          <w:szCs w:val="21"/>
          <w:u w:val="single"/>
        </w:rPr>
        <w:t>按通用合同条款执行。</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发包人是否提供支付担保：</w:t>
      </w:r>
      <w:r>
        <w:rPr>
          <w:rFonts w:hint="eastAsia" w:ascii="宋体" w:hAnsi="宋体" w:cs="仿宋_GB2312"/>
          <w:color w:val="000000"/>
          <w:szCs w:val="21"/>
          <w:u w:val="single"/>
        </w:rPr>
        <w:t>按通用合同条款执行。</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发包人提供支付担保的形式：</w:t>
      </w:r>
      <w:r>
        <w:rPr>
          <w:rFonts w:hint="eastAsia" w:ascii="宋体" w:hAnsi="宋体" w:cs="仿宋_GB2312"/>
          <w:color w:val="000000"/>
          <w:szCs w:val="21"/>
          <w:u w:val="single"/>
        </w:rPr>
        <w:t>按通用合同条款执行。</w:t>
      </w:r>
    </w:p>
    <w:p>
      <w:pPr>
        <w:rPr>
          <w:rFonts w:ascii="宋体" w:hAnsi="宋体" w:cs="仿宋_GB2312"/>
          <w:b/>
          <w:color w:val="000000"/>
          <w:szCs w:val="21"/>
        </w:rPr>
      </w:pPr>
      <w:bookmarkStart w:id="50" w:name="_Toc351203635"/>
      <w:r>
        <w:rPr>
          <w:rFonts w:hint="eastAsia" w:ascii="宋体" w:hAnsi="宋体" w:cs="仿宋_GB2312"/>
          <w:b/>
          <w:color w:val="000000"/>
          <w:szCs w:val="21"/>
        </w:rPr>
        <w:t>3</w:t>
      </w:r>
      <w:bookmarkStart w:id="51" w:name="_Toc296503158"/>
      <w:bookmarkStart w:id="52" w:name="_Toc296891198"/>
      <w:bookmarkStart w:id="53" w:name="_Toc292559363"/>
      <w:bookmarkStart w:id="54" w:name="_Toc296890986"/>
      <w:bookmarkStart w:id="55" w:name="_Toc297120458"/>
      <w:bookmarkStart w:id="56" w:name="_Toc296347157"/>
      <w:bookmarkStart w:id="57" w:name="_Toc296944497"/>
      <w:bookmarkStart w:id="58" w:name="_Toc292559868"/>
      <w:bookmarkStart w:id="59" w:name="_Toc296346659"/>
      <w:bookmarkStart w:id="60" w:name="_Toc297048344"/>
      <w:r>
        <w:rPr>
          <w:rFonts w:hint="eastAsia" w:ascii="宋体" w:hAnsi="宋体" w:cs="仿宋_GB2312"/>
          <w:b/>
          <w:color w:val="000000"/>
          <w:szCs w:val="21"/>
        </w:rPr>
        <w:t>. 承包人</w:t>
      </w:r>
      <w:bookmarkEnd w:id="50"/>
    </w:p>
    <w:bookmarkEnd w:id="51"/>
    <w:bookmarkEnd w:id="52"/>
    <w:bookmarkEnd w:id="53"/>
    <w:bookmarkEnd w:id="54"/>
    <w:bookmarkEnd w:id="55"/>
    <w:bookmarkEnd w:id="56"/>
    <w:bookmarkEnd w:id="57"/>
    <w:bookmarkEnd w:id="58"/>
    <w:bookmarkEnd w:id="59"/>
    <w:bookmarkEnd w:id="60"/>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3.1 承包人的一般义务</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kern w:val="0"/>
          <w:szCs w:val="21"/>
        </w:rPr>
        <w:t>（5）</w:t>
      </w:r>
      <w:r>
        <w:rPr>
          <w:rFonts w:hint="eastAsia" w:ascii="宋体" w:hAnsi="宋体" w:cs="仿宋_GB2312"/>
          <w:color w:val="000000"/>
          <w:szCs w:val="21"/>
        </w:rPr>
        <w:t>承包人提交的竣工资料的内容：</w:t>
      </w:r>
      <w:r>
        <w:rPr>
          <w:rFonts w:hint="eastAsia" w:ascii="宋体" w:hAnsi="宋体" w:cs="仿宋_GB2312"/>
          <w:color w:val="000000"/>
          <w:szCs w:val="21"/>
          <w:u w:val="single"/>
        </w:rPr>
        <w:t>竣工资料必须真实准确，与工程实际相符。</w:t>
      </w:r>
    </w:p>
    <w:p>
      <w:pPr>
        <w:spacing w:line="360" w:lineRule="auto"/>
        <w:jc w:val="left"/>
        <w:rPr>
          <w:rFonts w:ascii="宋体" w:hAnsi="宋体" w:cs="仿宋_GB2312"/>
          <w:color w:val="000000"/>
          <w:szCs w:val="21"/>
        </w:rPr>
      </w:pPr>
      <w:r>
        <w:rPr>
          <w:rFonts w:hint="eastAsia" w:ascii="宋体" w:hAnsi="宋体" w:cs="仿宋_GB2312"/>
          <w:color w:val="000000"/>
          <w:szCs w:val="21"/>
        </w:rPr>
        <w:t xml:space="preserve">    承包人需要提交的竣工资料套数： </w:t>
      </w:r>
      <w:r>
        <w:rPr>
          <w:rFonts w:hint="eastAsia" w:ascii="宋体" w:hAnsi="宋体" w:cs="仿宋_GB2312"/>
          <w:color w:val="000000"/>
          <w:szCs w:val="21"/>
          <w:u w:val="single"/>
        </w:rPr>
        <w:t xml:space="preserve">竣工图五套（要求计算机出图）其中原件4套，电子文件一套，竣工资料三套 。 </w:t>
      </w:r>
    </w:p>
    <w:p>
      <w:pPr>
        <w:spacing w:line="360" w:lineRule="auto"/>
        <w:jc w:val="left"/>
        <w:rPr>
          <w:rFonts w:ascii="宋体" w:hAnsi="宋体" w:cs="仿宋_GB2312"/>
          <w:color w:val="000000"/>
          <w:szCs w:val="21"/>
        </w:rPr>
      </w:pPr>
      <w:r>
        <w:rPr>
          <w:rFonts w:hint="eastAsia" w:ascii="宋体" w:hAnsi="宋体" w:cs="仿宋_GB2312"/>
          <w:color w:val="000000"/>
          <w:szCs w:val="21"/>
        </w:rPr>
        <w:t xml:space="preserve">    承包人提交的竣工资料的费用承担：</w:t>
      </w:r>
      <w:r>
        <w:rPr>
          <w:rFonts w:hint="eastAsia" w:ascii="宋体" w:hAnsi="宋体" w:cs="仿宋_GB2312"/>
          <w:color w:val="000000"/>
          <w:szCs w:val="21"/>
          <w:u w:val="single"/>
        </w:rPr>
        <w:t xml:space="preserve">  由承包人承担    </w:t>
      </w:r>
      <w:r>
        <w:rPr>
          <w:rFonts w:hint="eastAsia" w:ascii="宋体" w:hAnsi="宋体" w:cs="仿宋_GB2312"/>
          <w:color w:val="000000"/>
          <w:szCs w:val="21"/>
        </w:rPr>
        <w:t>。</w:t>
      </w:r>
    </w:p>
    <w:p>
      <w:pPr>
        <w:spacing w:line="360" w:lineRule="auto"/>
        <w:jc w:val="left"/>
        <w:rPr>
          <w:rFonts w:ascii="宋体" w:hAnsi="宋体" w:cs="仿宋_GB2312"/>
          <w:color w:val="000000"/>
          <w:szCs w:val="21"/>
        </w:rPr>
      </w:pPr>
      <w:r>
        <w:rPr>
          <w:rFonts w:hint="eastAsia" w:ascii="宋体" w:hAnsi="宋体" w:cs="仿宋_GB2312"/>
          <w:color w:val="000000"/>
          <w:szCs w:val="21"/>
        </w:rPr>
        <w:t xml:space="preserve">    承包人提交的竣工资料移交时间：</w:t>
      </w:r>
      <w:r>
        <w:rPr>
          <w:rFonts w:hint="eastAsia" w:ascii="宋体" w:hAnsi="宋体" w:cs="仿宋_GB2312"/>
          <w:color w:val="000000"/>
          <w:szCs w:val="21"/>
          <w:u w:val="single"/>
        </w:rPr>
        <w:t xml:space="preserve">竣工验收通过后15日内、备案之前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承包人提交的竣工资料形式要求：</w:t>
      </w:r>
      <w:r>
        <w:rPr>
          <w:rFonts w:hint="eastAsia" w:ascii="宋体" w:hAnsi="宋体" w:cs="仿宋_GB2312"/>
          <w:color w:val="000000"/>
          <w:szCs w:val="21"/>
          <w:u w:val="single"/>
        </w:rPr>
        <w:t xml:space="preserve"> 书面及电子文档 </w:t>
      </w:r>
      <w:r>
        <w:rPr>
          <w:rFonts w:hint="eastAsia" w:ascii="宋体" w:hAnsi="宋体" w:cs="仿宋_GB2312"/>
          <w:color w:val="000000"/>
          <w:szCs w:val="21"/>
        </w:rPr>
        <w:t>。</w:t>
      </w:r>
    </w:p>
    <w:p>
      <w:pPr>
        <w:spacing w:line="360" w:lineRule="auto"/>
        <w:ind w:firstLine="420" w:firstLineChars="200"/>
        <w:rPr>
          <w:rFonts w:hint="eastAsia" w:ascii="宋体" w:hAnsi="宋体" w:cs="仿宋_GB2312"/>
          <w:color w:val="000000"/>
          <w:kern w:val="0"/>
          <w:szCs w:val="21"/>
          <w:u w:val="single"/>
        </w:rPr>
      </w:pPr>
      <w:r>
        <w:rPr>
          <w:rFonts w:hint="eastAsia" w:ascii="宋体" w:hAnsi="宋体" w:cs="仿宋_GB2312"/>
          <w:color w:val="000000"/>
          <w:kern w:val="0"/>
          <w:szCs w:val="21"/>
        </w:rPr>
        <w:t>（6）承包人应履行的其他义务：</w:t>
      </w:r>
      <w:r>
        <w:rPr>
          <w:rFonts w:hint="eastAsia" w:ascii="宋体" w:hAnsi="宋体" w:cs="仿宋_GB2312"/>
          <w:color w:val="000000"/>
          <w:kern w:val="0"/>
          <w:szCs w:val="21"/>
          <w:u w:val="single"/>
        </w:rPr>
        <w:t>1) 承包人施工时必须与电信、广电、给水、电力等有关部门密切配合，保质保量完成施工任务。</w:t>
      </w:r>
    </w:p>
    <w:p>
      <w:pPr>
        <w:spacing w:line="360" w:lineRule="auto"/>
        <w:ind w:firstLine="420" w:firstLineChars="200"/>
        <w:rPr>
          <w:rFonts w:ascii="宋体" w:hAnsi="宋体" w:cs="仿宋_GB2312"/>
          <w:color w:val="000000"/>
          <w:szCs w:val="21"/>
        </w:rPr>
      </w:pPr>
      <w:r>
        <w:rPr>
          <w:rFonts w:hint="eastAsia" w:ascii="宋体" w:hAnsi="宋体" w:cs="仿宋_GB2312"/>
          <w:color w:val="000000"/>
          <w:kern w:val="0"/>
          <w:szCs w:val="21"/>
          <w:u w:val="single"/>
        </w:rPr>
        <w:t>2)承包人在施工时，必须全面协调好与周边环境关系，施工时承包人因自身原因未处理好周边环境关系而导致工程停工，发包人将不承担由此引起的工期延误及其他工程费用损失。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cs="仿宋_GB2312"/>
          <w:color w:val="000000"/>
          <w:szCs w:val="21"/>
          <w:u w:val="single"/>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3.2 项目经理</w:t>
      </w:r>
    </w:p>
    <w:p>
      <w:pPr>
        <w:spacing w:line="360" w:lineRule="auto"/>
        <w:ind w:firstLine="420" w:firstLineChars="200"/>
        <w:rPr>
          <w:rFonts w:ascii="宋体" w:hAnsi="宋体" w:cs="仿宋_GB2312"/>
          <w:color w:val="000000"/>
          <w:szCs w:val="21"/>
        </w:rPr>
      </w:pPr>
      <w:r>
        <w:rPr>
          <w:rFonts w:hint="eastAsia" w:ascii="宋体" w:hAnsi="宋体" w:cs="仿宋_GB2312"/>
          <w:color w:val="000000"/>
          <w:kern w:val="0"/>
          <w:szCs w:val="21"/>
        </w:rPr>
        <w:t xml:space="preserve">3.2.1 </w:t>
      </w:r>
      <w:r>
        <w:rPr>
          <w:rFonts w:hint="eastAsia" w:ascii="宋体" w:hAnsi="宋体" w:cs="仿宋_GB2312"/>
          <w:color w:val="000000"/>
          <w:szCs w:val="21"/>
        </w:rPr>
        <w:t>项目经理：</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姓    名：</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身份证号：</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建造师执业资格等级：</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建造师注册证书号：</w:t>
      </w:r>
      <w:r>
        <w:rPr>
          <w:rFonts w:hint="eastAsia" w:ascii="宋体" w:hAnsi="宋体" w:cs="仿宋_GB2312"/>
          <w:color w:val="000000"/>
          <w:szCs w:val="21"/>
          <w:u w:val="single"/>
        </w:rPr>
        <w:t>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建造师执业印章号：</w:t>
      </w:r>
      <w:r>
        <w:rPr>
          <w:rFonts w:hint="eastAsia" w:ascii="宋体" w:hAnsi="宋体" w:cs="仿宋_GB2312"/>
          <w:color w:val="000000"/>
          <w:szCs w:val="21"/>
          <w:u w:val="single"/>
        </w:rPr>
        <w:t>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安全生产考核合格证书号：</w:t>
      </w:r>
      <w:r>
        <w:rPr>
          <w:rFonts w:hint="eastAsia" w:ascii="宋体" w:hAnsi="宋体" w:cs="仿宋_GB2312"/>
          <w:color w:val="000000"/>
          <w:szCs w:val="21"/>
          <w:u w:val="single"/>
        </w:rPr>
        <w:t>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联系电话：</w:t>
      </w:r>
      <w:r>
        <w:rPr>
          <w:rFonts w:hint="eastAsia" w:ascii="宋体" w:hAnsi="宋体" w:cs="仿宋_GB2312"/>
          <w:color w:val="000000"/>
          <w:szCs w:val="21"/>
          <w:u w:val="single"/>
        </w:rPr>
        <w:t>  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电子信箱：</w:t>
      </w:r>
      <w:r>
        <w:rPr>
          <w:rFonts w:hint="eastAsia" w:ascii="宋体" w:hAnsi="宋体" w:cs="仿宋_GB2312"/>
          <w:color w:val="000000"/>
          <w:szCs w:val="21"/>
          <w:u w:val="single"/>
        </w:rPr>
        <w:t></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通信地址：</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承包人对项目经理的授权范围如下：</w:t>
      </w:r>
      <w:r>
        <w:rPr>
          <w:rFonts w:hint="eastAsia" w:ascii="宋体" w:hAnsi="宋体" w:cs="仿宋_GB2312"/>
          <w:color w:val="000000"/>
          <w:szCs w:val="21"/>
          <w:u w:val="single"/>
        </w:rPr>
        <w:t>按</w:t>
      </w:r>
      <w:r>
        <w:rPr>
          <w:rFonts w:hint="eastAsia" w:ascii="宋体" w:hAnsi="宋体" w:cs="仿宋_GB2312"/>
          <w:color w:val="000000"/>
          <w:szCs w:val="21"/>
          <w:u w:val="single"/>
          <w:lang w:eastAsia="zh-CN"/>
        </w:rPr>
        <w:t>照</w:t>
      </w:r>
      <w:r>
        <w:rPr>
          <w:rFonts w:hint="eastAsia" w:ascii="宋体" w:hAnsi="宋体" w:cs="仿宋_GB2312"/>
          <w:color w:val="000000"/>
          <w:szCs w:val="21"/>
          <w:u w:val="single"/>
        </w:rPr>
        <w:t>合同的约定组织工程施工</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关于项目经理每月在施工现场的时间要求：</w:t>
      </w:r>
      <w:r>
        <w:rPr>
          <w:rFonts w:hint="eastAsia" w:ascii="宋体" w:hAnsi="宋体" w:cs="仿宋_GB2312"/>
          <w:color w:val="000000"/>
          <w:kern w:val="0"/>
          <w:szCs w:val="21"/>
          <w:u w:val="single"/>
        </w:rPr>
        <w:t>不少于25天</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承包人未提交劳动合同，以及没有为项目经理缴纳社会保险证明的违约责任</w:t>
      </w:r>
      <w:r>
        <w:rPr>
          <w:rFonts w:hint="eastAsia" w:ascii="宋体" w:hAnsi="宋体" w:cs="仿宋_GB2312"/>
          <w:color w:val="000000"/>
          <w:kern w:val="0"/>
          <w:szCs w:val="21"/>
          <w:lang w:eastAsia="zh-CN"/>
        </w:rPr>
        <w:t>：</w:t>
      </w:r>
      <w:r>
        <w:rPr>
          <w:rFonts w:hint="eastAsia" w:ascii="宋体" w:hAnsi="宋体" w:cs="仿宋_GB2312"/>
          <w:color w:val="000000"/>
          <w:kern w:val="0"/>
          <w:szCs w:val="21"/>
          <w:u w:val="single"/>
        </w:rPr>
        <w:t>执行通用条款。</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kern w:val="0"/>
          <w:szCs w:val="21"/>
        </w:rPr>
        <w:t>项目经理未经批准，擅自离开施工现场的违约责任：</w:t>
      </w:r>
      <w:r>
        <w:rPr>
          <w:rFonts w:hint="eastAsia" w:ascii="宋体" w:hAnsi="宋体" w:cs="仿宋_GB2312"/>
          <w:color w:val="000000"/>
          <w:kern w:val="0"/>
          <w:szCs w:val="21"/>
          <w:u w:val="single"/>
        </w:rPr>
        <w:t>未在施工现场日期连续达5天以上者，发包人对承包人提出警示，同时承包人承担每次警示后2万元的罚款。</w:t>
      </w:r>
    </w:p>
    <w:p>
      <w:pPr>
        <w:spacing w:line="360" w:lineRule="auto"/>
        <w:ind w:firstLine="420" w:firstLineChars="200"/>
        <w:rPr>
          <w:rFonts w:hint="eastAsia" w:ascii="宋体" w:hAnsi="宋体" w:cs="仿宋_GB2312"/>
          <w:color w:val="000000"/>
          <w:szCs w:val="21"/>
          <w:u w:val="single"/>
        </w:rPr>
      </w:pPr>
      <w:r>
        <w:rPr>
          <w:rFonts w:hint="eastAsia" w:ascii="宋体" w:hAnsi="宋体" w:cs="仿宋_GB2312"/>
          <w:color w:val="000000"/>
          <w:szCs w:val="21"/>
        </w:rPr>
        <w:t>3.2.3 承包人擅自更换项目经理的违约责任：</w:t>
      </w:r>
      <w:r>
        <w:rPr>
          <w:rFonts w:hint="eastAsia" w:ascii="宋体" w:hAnsi="宋体" w:cs="仿宋_GB2312"/>
          <w:color w:val="000000"/>
          <w:szCs w:val="21"/>
          <w:u w:val="single"/>
        </w:rPr>
        <w:t xml:space="preserve">若擅自变更、则承包人承担中标价5%的违约金。 </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u w:val="single"/>
          <w:lang w:val="en-US" w:eastAsia="zh-CN"/>
        </w:rPr>
        <w:t xml:space="preserve">  承包人应书面通知更换项目经理并取得发包人同意。</w:t>
      </w:r>
      <w:r>
        <w:rPr>
          <w:rFonts w:hint="eastAsia" w:ascii="宋体" w:hAnsi="宋体" w:cs="仿宋_GB2312"/>
          <w:color w:val="000000"/>
          <w:szCs w:val="21"/>
          <w:u w:val="single"/>
        </w:rPr>
        <w:t xml:space="preserve">     </w:t>
      </w:r>
    </w:p>
    <w:p>
      <w:pPr>
        <w:spacing w:line="360" w:lineRule="auto"/>
        <w:ind w:firstLine="420"/>
        <w:rPr>
          <w:rFonts w:ascii="宋体" w:hAnsi="宋体" w:cs="仿宋_GB2312"/>
          <w:color w:val="000000"/>
          <w:szCs w:val="21"/>
        </w:rPr>
      </w:pPr>
      <w:r>
        <w:rPr>
          <w:rFonts w:hint="eastAsia" w:ascii="宋体" w:hAnsi="宋体" w:cs="仿宋_GB2312"/>
          <w:color w:val="000000"/>
          <w:szCs w:val="21"/>
        </w:rPr>
        <w:t>3.2.4 承包人无正当理由拒绝更换项目经理的违约责任：</w:t>
      </w:r>
      <w:r>
        <w:rPr>
          <w:rFonts w:hint="eastAsia" w:ascii="宋体" w:hAnsi="宋体" w:cs="仿宋_GB2312"/>
          <w:color w:val="000000"/>
          <w:szCs w:val="21"/>
          <w:u w:val="single"/>
        </w:rPr>
        <w:t>发包人有权责令限期撤换，拒不撤换的，由承包人承担3万元违约金，由此对发包人造成的工期延误和经济损失由承包人承担。</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3.3 承包人人员</w:t>
      </w:r>
    </w:p>
    <w:p>
      <w:pPr>
        <w:spacing w:line="360" w:lineRule="auto"/>
        <w:ind w:firstLine="420" w:firstLineChars="200"/>
        <w:rPr>
          <w:rFonts w:hint="eastAsia" w:ascii="宋体" w:hAnsi="宋体" w:eastAsia="宋体" w:cs="仿宋_GB2312"/>
          <w:color w:val="000000"/>
          <w:szCs w:val="21"/>
          <w:lang w:eastAsia="zh-CN"/>
        </w:rPr>
      </w:pPr>
      <w:r>
        <w:rPr>
          <w:rFonts w:hint="eastAsia" w:ascii="宋体" w:hAnsi="宋体" w:cs="仿宋_GB2312"/>
          <w:color w:val="000000"/>
          <w:szCs w:val="21"/>
        </w:rPr>
        <w:t>3.3.1 承包人提交项目管理机构及施工现场管理人员安排报告的期限：</w:t>
      </w:r>
      <w:r>
        <w:rPr>
          <w:rFonts w:hint="eastAsia" w:ascii="宋体" w:hAnsi="宋体" w:cs="仿宋_GB2312"/>
          <w:color w:val="000000"/>
          <w:szCs w:val="21"/>
          <w:u w:val="single"/>
        </w:rPr>
        <w:t xml:space="preserve">  开工前7日内   </w:t>
      </w:r>
      <w:r>
        <w:rPr>
          <w:rFonts w:hint="eastAsia" w:ascii="宋体" w:hAnsi="宋体" w:cs="仿宋_GB2312"/>
          <w:color w:val="000000"/>
          <w:szCs w:val="21"/>
          <w:u w:val="single"/>
          <w:lang w:eastAsia="zh-CN"/>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3.3.3 承包人无正当理由拒绝撤换主要施工管理人员的违约责任：</w:t>
      </w:r>
      <w:r>
        <w:rPr>
          <w:rFonts w:hint="eastAsia" w:ascii="宋体" w:hAnsi="宋体" w:cs="仿宋_GB2312"/>
          <w:color w:val="000000"/>
          <w:szCs w:val="21"/>
          <w:u w:val="single"/>
        </w:rPr>
        <w:t xml:space="preserve">发包人有权责令限期撤换，拒不撤换的，由承包人承担2万元违约金，由此对发包人造成的工期延误和经济损失由承包人承担 。  </w:t>
      </w:r>
      <w:r>
        <w:rPr>
          <w:rFonts w:ascii="宋体" w:hAnsi="宋体" w:cs="仿宋_GB2312"/>
          <w:color w:val="000000"/>
          <w:szCs w:val="21"/>
          <w:u w:val="single"/>
        </w:rPr>
        <w:t xml:space="preserve"> </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3.3.4 承包人主要施工管理人员离开施工现场的批准要求：</w:t>
      </w:r>
      <w:r>
        <w:rPr>
          <w:rFonts w:hint="eastAsia" w:ascii="宋体" w:hAnsi="宋体" w:cs="仿宋_GB2312"/>
          <w:color w:val="000000"/>
          <w:szCs w:val="21"/>
          <w:u w:val="single"/>
        </w:rPr>
        <w:t>承包人如需更换项目经理部主要成员，应至少提前7天以书面形式向发包人提出申请，且该书面申请应加盖公司印章后方为有效，未经发包人同意不得更换项目经理部主要成员 。</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3.3.5承包人擅自更换主要施工管理人员的违约责任：</w:t>
      </w:r>
      <w:r>
        <w:rPr>
          <w:rFonts w:hint="eastAsia" w:ascii="宋体" w:hAnsi="宋体" w:cs="仿宋_GB2312"/>
          <w:color w:val="000000"/>
          <w:szCs w:val="21"/>
          <w:u w:val="single"/>
        </w:rPr>
        <w:t>未经发包人同意，不得擅自更换主要施工管理人员，否则承包人承担中标价1%的违约金 ，由此对发包人造成的工期延误和经济损失由承包人承担。</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承包人主要施工管理人员擅自离开施工现场的违约责任：</w:t>
      </w:r>
      <w:r>
        <w:rPr>
          <w:rFonts w:hint="eastAsia" w:ascii="宋体" w:hAnsi="宋体" w:cs="仿宋_GB2312"/>
          <w:color w:val="000000"/>
          <w:szCs w:val="21"/>
          <w:u w:val="single"/>
        </w:rPr>
        <w:t>项目技术负责人处2000元/天的违约金，其他人员处500元/天的违约金，并在工程进度款或结算款中扣除，由此对发包人造成的工期延误和经济损失由承包人承担。</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3</w:t>
      </w:r>
      <w:bookmarkStart w:id="61" w:name="_Toc304295523"/>
      <w:bookmarkStart w:id="62" w:name="_Toc296347158"/>
      <w:bookmarkStart w:id="63" w:name="_Toc296890987"/>
      <w:bookmarkStart w:id="64" w:name="_Toc300934945"/>
      <w:bookmarkStart w:id="65" w:name="_Toc297123492"/>
      <w:bookmarkStart w:id="66" w:name="_Toc292559364"/>
      <w:bookmarkStart w:id="67" w:name="_Toc297120459"/>
      <w:bookmarkStart w:id="68" w:name="_Toc296944498"/>
      <w:bookmarkStart w:id="69" w:name="_Toc296346660"/>
      <w:bookmarkStart w:id="70" w:name="_Toc312677988"/>
      <w:bookmarkStart w:id="71" w:name="_Toc296891199"/>
      <w:bookmarkStart w:id="72" w:name="_Toc297048345"/>
      <w:bookmarkStart w:id="73" w:name="_Toc303539102"/>
      <w:bookmarkStart w:id="74" w:name="_Toc297216151"/>
      <w:bookmarkStart w:id="75" w:name="_Toc292559869"/>
      <w:bookmarkStart w:id="76" w:name="_Toc296503159"/>
      <w:r>
        <w:rPr>
          <w:rFonts w:hint="eastAsia" w:ascii="宋体" w:hAnsi="宋体" w:cs="仿宋_GB2312"/>
          <w:color w:val="000000"/>
          <w:szCs w:val="21"/>
        </w:rPr>
        <w:t>.5 分包</w:t>
      </w: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Pr>
        <w:spacing w:line="360" w:lineRule="auto"/>
        <w:ind w:firstLine="420" w:firstLineChars="200"/>
        <w:rPr>
          <w:rFonts w:ascii="宋体" w:hAnsi="宋体" w:cs="仿宋_GB2312"/>
          <w:szCs w:val="21"/>
        </w:rPr>
      </w:pPr>
      <w:r>
        <w:rPr>
          <w:rFonts w:hint="eastAsia" w:ascii="宋体" w:hAnsi="宋体" w:cs="仿宋_GB2312"/>
          <w:szCs w:val="21"/>
        </w:rPr>
        <w:t>3</w:t>
      </w:r>
      <w:bookmarkStart w:id="77" w:name="_Toc297216152"/>
      <w:bookmarkStart w:id="78" w:name="_Toc292559365"/>
      <w:bookmarkStart w:id="79" w:name="_Toc296944499"/>
      <w:bookmarkStart w:id="80" w:name="_Toc292559870"/>
      <w:bookmarkStart w:id="81" w:name="_Toc303539103"/>
      <w:bookmarkStart w:id="82" w:name="_Toc296891200"/>
      <w:bookmarkStart w:id="83" w:name="_Toc297123493"/>
      <w:bookmarkStart w:id="84" w:name="_Toc304295524"/>
      <w:bookmarkStart w:id="85" w:name="_Toc300934946"/>
      <w:bookmarkStart w:id="86" w:name="_Toc296890988"/>
      <w:bookmarkStart w:id="87" w:name="_Toc297048346"/>
      <w:bookmarkStart w:id="88" w:name="_Toc296347159"/>
      <w:bookmarkStart w:id="89" w:name="_Toc296503160"/>
      <w:bookmarkStart w:id="90" w:name="_Toc296346661"/>
      <w:bookmarkStart w:id="91" w:name="_Toc297120460"/>
      <w:bookmarkStart w:id="92" w:name="_Toc318581158"/>
      <w:bookmarkStart w:id="93" w:name="_Toc312677989"/>
      <w:r>
        <w:rPr>
          <w:rFonts w:hint="eastAsia" w:ascii="宋体" w:hAnsi="宋体" w:cs="仿宋_GB2312"/>
          <w:szCs w:val="21"/>
        </w:rPr>
        <w:t>.5.1 分包的一般约定</w:t>
      </w:r>
    </w:p>
    <w:p>
      <w:pPr>
        <w:spacing w:line="360" w:lineRule="auto"/>
        <w:ind w:firstLine="420" w:firstLineChars="200"/>
        <w:jc w:val="left"/>
        <w:rPr>
          <w:rFonts w:ascii="宋体" w:hAnsi="宋体" w:cs="仿宋_GB2312"/>
          <w:szCs w:val="21"/>
        </w:rPr>
      </w:pPr>
      <w:r>
        <w:rPr>
          <w:rFonts w:hint="eastAsia" w:ascii="宋体" w:hAnsi="宋体" w:cs="仿宋_GB2312"/>
          <w:szCs w:val="21"/>
        </w:rPr>
        <w:t>禁止分包的工程包括：</w:t>
      </w:r>
      <w:r>
        <w:rPr>
          <w:rFonts w:hint="eastAsia" w:ascii="宋体" w:hAnsi="宋体" w:cs="仿宋_GB2312"/>
          <w:color w:val="000000"/>
          <w:szCs w:val="21"/>
          <w:u w:val="single"/>
        </w:rPr>
        <w:t xml:space="preserve">本工程禁止分包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szCs w:val="21"/>
        </w:rPr>
        <w:t>主体结构、关键性工作的范围：</w:t>
      </w:r>
      <w:r>
        <w:rPr>
          <w:rFonts w:hint="eastAsia" w:ascii="宋体" w:hAnsi="宋体" w:cs="仿宋_GB2312"/>
          <w:szCs w:val="21"/>
          <w:u w:val="single"/>
        </w:rPr>
        <w:t>（详见招标文件清单部份）</w:t>
      </w:r>
      <w:r>
        <w:rPr>
          <w:rFonts w:hint="eastAsia" w:ascii="宋体" w:hAnsi="宋体" w:cs="仿宋_GB2312"/>
          <w:color w:val="000000"/>
          <w:szCs w:val="21"/>
          <w:u w:val="single"/>
        </w:rPr>
        <w:t xml:space="preserve">   </w:t>
      </w:r>
      <w:r>
        <w:rPr>
          <w:rFonts w:hint="eastAsia" w:ascii="宋体" w:hAnsi="宋体" w:cs="仿宋_GB2312"/>
          <w:color w:val="000000"/>
          <w:szCs w:val="21"/>
        </w:rPr>
        <w:t>。</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4" w:name="_Toc300934947"/>
      <w:bookmarkStart w:id="95" w:name="_Toc296346662"/>
      <w:bookmarkStart w:id="96" w:name="_Toc303539104"/>
      <w:bookmarkStart w:id="97" w:name="_Toc297123494"/>
      <w:bookmarkStart w:id="98" w:name="_Toc297048347"/>
      <w:bookmarkStart w:id="99" w:name="_Toc296891201"/>
      <w:bookmarkStart w:id="100" w:name="_Toc297216153"/>
      <w:bookmarkStart w:id="101" w:name="_Toc296503161"/>
      <w:bookmarkStart w:id="102" w:name="_Toc296347160"/>
      <w:bookmarkStart w:id="103" w:name="_Toc296890989"/>
      <w:bookmarkStart w:id="104" w:name="_Toc296944500"/>
      <w:bookmarkStart w:id="105" w:name="_Toc304295525"/>
      <w:bookmarkStart w:id="106" w:name="_Toc297120461"/>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Pr>
        <w:spacing w:line="360" w:lineRule="auto"/>
        <w:rPr>
          <w:rFonts w:ascii="宋体" w:hAnsi="宋体" w:cs="仿宋_GB2312"/>
          <w:szCs w:val="21"/>
        </w:rPr>
      </w:pPr>
      <w:r>
        <w:rPr>
          <w:rFonts w:hint="eastAsia" w:ascii="宋体" w:hAnsi="宋体" w:cs="仿宋_GB2312"/>
          <w:szCs w:val="21"/>
        </w:rPr>
        <w:t xml:space="preserve">    3</w:t>
      </w:r>
      <w:bookmarkStart w:id="107" w:name="_Toc318581159"/>
      <w:bookmarkStart w:id="108" w:name="_Toc312677990"/>
      <w:r>
        <w:rPr>
          <w:rFonts w:hint="eastAsia" w:ascii="宋体" w:hAnsi="宋体" w:cs="仿宋_GB2312"/>
          <w:szCs w:val="21"/>
        </w:rPr>
        <w:t>.5.2分包的确定</w:t>
      </w:r>
    </w:p>
    <w:p>
      <w:pPr>
        <w:spacing w:line="360" w:lineRule="auto"/>
        <w:ind w:firstLine="420" w:firstLineChars="200"/>
        <w:rPr>
          <w:rFonts w:ascii="宋体" w:hAnsi="宋体" w:cs="仿宋_GB2312"/>
          <w:color w:val="000000"/>
          <w:szCs w:val="21"/>
          <w:u w:val="single"/>
        </w:rPr>
      </w:pPr>
      <w:r>
        <w:rPr>
          <w:rFonts w:hint="eastAsia" w:ascii="宋体" w:hAnsi="宋体" w:cs="仿宋_GB2312"/>
          <w:szCs w:val="21"/>
        </w:rPr>
        <w:t>允许分包的专业工程包括：</w:t>
      </w:r>
      <w:r>
        <w:rPr>
          <w:rFonts w:hint="eastAsia" w:ascii="宋体" w:hAnsi="宋体" w:cs="仿宋_GB2312"/>
          <w:szCs w:val="21"/>
          <w:u w:val="single"/>
        </w:rPr>
        <w:t xml:space="preserve"> 符合法律规定，在满足通用条款要求的基础上，经发包人同意分包的专业工程。</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其他关于分包的约定：</w:t>
      </w:r>
      <w:r>
        <w:rPr>
          <w:rFonts w:hint="eastAsia" w:ascii="宋体" w:hAnsi="宋体" w:cs="仿宋_GB2312"/>
          <w:color w:val="000000"/>
          <w:szCs w:val="21"/>
          <w:u w:val="single"/>
        </w:rPr>
        <w:t xml:space="preserve"> 由承包人直接支付   </w:t>
      </w:r>
      <w:r>
        <w:rPr>
          <w:rFonts w:hint="eastAsia" w:ascii="宋体" w:hAnsi="宋体" w:cs="仿宋_GB2312"/>
          <w:color w:val="000000"/>
          <w:szCs w:val="21"/>
        </w:rPr>
        <w:t>。</w:t>
      </w:r>
    </w:p>
    <w:p>
      <w:pPr>
        <w:spacing w:line="360" w:lineRule="auto"/>
        <w:ind w:firstLine="420" w:firstLineChars="200"/>
        <w:rPr>
          <w:rFonts w:ascii="宋体" w:hAnsi="宋体" w:cs="仿宋_GB2312"/>
          <w:szCs w:val="21"/>
        </w:rPr>
      </w:pPr>
      <w:r>
        <w:rPr>
          <w:rFonts w:hint="eastAsia" w:ascii="宋体" w:hAnsi="宋体" w:cs="仿宋_GB2312"/>
          <w:szCs w:val="21"/>
        </w:rPr>
        <w:t>3.5.4 分包合同价款</w:t>
      </w:r>
    </w:p>
    <w:p>
      <w:pPr>
        <w:spacing w:line="360" w:lineRule="auto"/>
        <w:ind w:firstLine="420" w:firstLineChars="200"/>
        <w:rPr>
          <w:rFonts w:ascii="宋体" w:hAnsi="宋体" w:cs="仿宋_GB2312"/>
          <w:szCs w:val="21"/>
        </w:rPr>
      </w:pPr>
      <w:r>
        <w:rPr>
          <w:rFonts w:hint="eastAsia" w:ascii="宋体" w:hAnsi="宋体" w:cs="仿宋_GB2312"/>
          <w:szCs w:val="21"/>
        </w:rPr>
        <w:t>关于分包合同价款支付的约定：</w:t>
      </w:r>
      <w:r>
        <w:rPr>
          <w:rFonts w:hint="eastAsia" w:ascii="宋体" w:hAnsi="宋体" w:cs="仿宋_GB2312"/>
          <w:color w:val="000000"/>
          <w:szCs w:val="21"/>
          <w:u w:val="single"/>
        </w:rPr>
        <w:t xml:space="preserve">  无         </w:t>
      </w:r>
      <w:r>
        <w:rPr>
          <w:rFonts w:hint="eastAsia" w:ascii="宋体" w:hAnsi="宋体" w:cs="仿宋_GB2312"/>
          <w:color w:val="000000"/>
          <w:szCs w:val="21"/>
        </w:rPr>
        <w:t>。</w:t>
      </w:r>
    </w:p>
    <w:bookmarkEnd w:id="107"/>
    <w:bookmarkEnd w:id="108"/>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3.6 工程照管与成品、半成品保护</w:t>
      </w:r>
    </w:p>
    <w:p>
      <w:pPr>
        <w:spacing w:before="120" w:after="120" w:line="360" w:lineRule="auto"/>
        <w:ind w:firstLine="420" w:firstLineChars="200"/>
        <w:rPr>
          <w:rFonts w:ascii="宋体" w:hAnsi="宋体" w:cs="仿宋_GB2312"/>
          <w:color w:val="000000"/>
          <w:kern w:val="0"/>
          <w:szCs w:val="21"/>
          <w:u w:val="single"/>
        </w:rPr>
      </w:pPr>
      <w:r>
        <w:rPr>
          <w:rFonts w:hint="eastAsia" w:ascii="宋体" w:hAnsi="宋体" w:cs="仿宋_GB2312"/>
          <w:color w:val="000000"/>
          <w:kern w:val="0"/>
          <w:szCs w:val="21"/>
        </w:rPr>
        <w:t>承包人负责照管工程及工程相关的材料、工程设备的起始时间：</w:t>
      </w:r>
      <w:r>
        <w:rPr>
          <w:rFonts w:hint="eastAsia" w:ascii="宋体" w:hAnsi="宋体" w:cs="仿宋_GB2312"/>
          <w:color w:val="000000"/>
          <w:szCs w:val="21"/>
          <w:u w:val="single"/>
        </w:rPr>
        <w:t xml:space="preserve">  执行通用条款</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3.7 履约担保</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承包人是否提供履约担保：</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eastAsia="zh-CN"/>
        </w:rPr>
        <w:t>是</w:t>
      </w:r>
      <w:r>
        <w:rPr>
          <w:rFonts w:hint="eastAsia" w:ascii="宋体" w:hAnsi="宋体" w:cs="仿宋_GB2312"/>
          <w:color w:val="000000"/>
          <w:szCs w:val="21"/>
          <w:u w:val="single"/>
        </w:rPr>
        <w:t xml:space="preserve"> </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承包人提供履约担保的形式、金额及期限的：</w:t>
      </w:r>
      <w:r>
        <w:rPr>
          <w:rFonts w:hint="eastAsia" w:ascii="宋体" w:hAnsi="宋体" w:cs="仿宋_GB2312"/>
          <w:color w:val="000000"/>
          <w:szCs w:val="21"/>
          <w:u w:val="single"/>
        </w:rPr>
        <w:t>履约担保形式采用银行保函，金额为中标价的10%，合同签订后，开工前7天提供，至竣工验收合格后60天内且合同约定内容全部完成后无息退回。</w:t>
      </w:r>
      <w:r>
        <w:rPr>
          <w:rFonts w:hint="eastAsia" w:ascii="宋体" w:hAnsi="宋体" w:cs="仿宋_GB2312"/>
          <w:color w:val="000000"/>
          <w:szCs w:val="21"/>
        </w:rPr>
        <w:t xml:space="preserve">  </w:t>
      </w:r>
    </w:p>
    <w:p>
      <w:pPr>
        <w:rPr>
          <w:rFonts w:ascii="宋体" w:hAnsi="宋体" w:cs="仿宋_GB2312"/>
          <w:b/>
          <w:color w:val="000000"/>
          <w:szCs w:val="21"/>
        </w:rPr>
      </w:pPr>
      <w:bookmarkStart w:id="109" w:name="_Toc351203636"/>
      <w:r>
        <w:rPr>
          <w:rFonts w:hint="eastAsia" w:ascii="宋体" w:hAnsi="宋体" w:cs="仿宋_GB2312"/>
          <w:b/>
          <w:color w:val="000000"/>
          <w:szCs w:val="21"/>
        </w:rPr>
        <w:t>4</w:t>
      </w:r>
      <w:bookmarkStart w:id="110" w:name="_Toc267251413"/>
      <w:bookmarkStart w:id="111" w:name="_Toc292559366"/>
      <w:bookmarkStart w:id="112" w:name="_Toc292559871"/>
      <w:bookmarkStart w:id="113" w:name="_Toc296346663"/>
      <w:bookmarkStart w:id="114" w:name="_Toc297048348"/>
      <w:bookmarkStart w:id="115" w:name="_Toc296347161"/>
      <w:bookmarkStart w:id="116" w:name="_Toc296503162"/>
      <w:bookmarkStart w:id="117" w:name="_Toc296944501"/>
      <w:bookmarkStart w:id="118" w:name="_Toc296891202"/>
      <w:bookmarkStart w:id="119" w:name="_Toc297120462"/>
      <w:bookmarkStart w:id="120" w:name="_Toc296890990"/>
      <w:r>
        <w:rPr>
          <w:rFonts w:hint="eastAsia" w:ascii="宋体" w:hAnsi="宋体" w:cs="仿宋_GB2312"/>
          <w:b/>
          <w:color w:val="000000"/>
          <w:szCs w:val="21"/>
        </w:rPr>
        <w:t>. 监</w:t>
      </w:r>
      <w:bookmarkEnd w:id="110"/>
      <w:bookmarkEnd w:id="111"/>
      <w:bookmarkEnd w:id="112"/>
      <w:bookmarkEnd w:id="113"/>
      <w:bookmarkEnd w:id="114"/>
      <w:bookmarkEnd w:id="115"/>
      <w:bookmarkEnd w:id="116"/>
      <w:bookmarkEnd w:id="117"/>
      <w:bookmarkEnd w:id="118"/>
      <w:bookmarkEnd w:id="119"/>
      <w:bookmarkEnd w:id="120"/>
      <w:r>
        <w:rPr>
          <w:rFonts w:hint="eastAsia" w:ascii="宋体" w:hAnsi="宋体" w:cs="仿宋_GB2312"/>
          <w:b/>
          <w:color w:val="000000"/>
          <w:szCs w:val="21"/>
        </w:rPr>
        <w:t>理人</w:t>
      </w:r>
      <w:bookmarkEnd w:id="109"/>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4.1监理人的一般规定</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关于监理人的监理内容：</w:t>
      </w:r>
      <w:r>
        <w:rPr>
          <w:rFonts w:hint="eastAsia" w:ascii="宋体" w:hAnsi="宋体" w:cs="仿宋_GB2312"/>
          <w:color w:val="000000"/>
          <w:szCs w:val="21"/>
          <w:u w:val="single"/>
        </w:rPr>
        <w:t xml:space="preserve">  按照发包人 与监理方签订的合同。依照合同和有关法律、法规、负责和主持整个项目的监理工作，在合同规定范围内。对工程项目施工进行全过程监理包括但不限于三控（质量、进度、投资控制）、三管（合同管理、职业健康安全与环境管理、信息管理）一协调   。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关于监理人的监理权限：</w:t>
      </w:r>
      <w:r>
        <w:rPr>
          <w:rFonts w:hint="eastAsia" w:ascii="宋体" w:hAnsi="宋体" w:cs="仿宋_GB2312"/>
          <w:color w:val="000000"/>
          <w:szCs w:val="21"/>
          <w:u w:val="single"/>
        </w:rPr>
        <w:t xml:space="preserve">   执行通用条款及监理合同    </w:t>
      </w:r>
      <w:r>
        <w:rPr>
          <w:rFonts w:hint="eastAsia" w:ascii="宋体" w:hAnsi="宋体" w:cs="仿宋_GB2312"/>
          <w:color w:val="000000"/>
          <w:szCs w:val="21"/>
        </w:rPr>
        <w:t xml:space="preserve">。 </w:t>
      </w:r>
    </w:p>
    <w:p>
      <w:pPr>
        <w:spacing w:line="360" w:lineRule="auto"/>
        <w:ind w:firstLine="420" w:firstLineChars="200"/>
        <w:rPr>
          <w:rFonts w:ascii="宋体" w:hAnsi="宋体" w:cs="仿宋_GB2312"/>
          <w:color w:val="000000"/>
          <w:szCs w:val="21"/>
          <w:u w:val="single"/>
        </w:rPr>
      </w:pPr>
      <w:r>
        <w:rPr>
          <w:rFonts w:hint="eastAsia" w:ascii="宋体" w:hAnsi="宋体" w:cs="仿宋_GB2312"/>
          <w:color w:val="000000"/>
          <w:szCs w:val="21"/>
        </w:rPr>
        <w:t>关于监理人在施工现场的办公场所、生活场所的提供和费用承担的约定：</w:t>
      </w:r>
      <w:r>
        <w:rPr>
          <w:rFonts w:hint="eastAsia" w:ascii="宋体" w:hAnsi="宋体" w:cs="仿宋_GB2312"/>
          <w:color w:val="000000"/>
          <w:szCs w:val="21"/>
          <w:u w:val="single"/>
        </w:rPr>
        <w:t>由承包人提供不少于25平方米/间的办公用房1间，费用包含在投标报价中，办公设备、办公用品及其费用由监理单位自行承担 。</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4.2 监理人员</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总监理工程师：</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姓    名：</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职    务：</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监理工程师执业资格证书号：</w:t>
      </w:r>
      <w:r>
        <w:rPr>
          <w:rFonts w:hint="eastAsia" w:ascii="宋体" w:hAnsi="宋体" w:cs="仿宋_GB2312"/>
          <w:color w:val="000000"/>
          <w:szCs w:val="21"/>
          <w:u w:val="single"/>
        </w:rPr>
        <w:t>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联系电话：</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电子信箱：</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通信地址：</w:t>
      </w:r>
      <w:r>
        <w:rPr>
          <w:rFonts w:hint="eastAsia" w:ascii="宋体" w:hAnsi="宋体" w:cs="仿宋_GB2312"/>
          <w:color w:val="000000"/>
          <w:szCs w:val="21"/>
          <w:u w:val="single"/>
        </w:rPr>
        <w:t>   </w:t>
      </w:r>
      <w:r>
        <w:rPr>
          <w:rFonts w:hint="eastAsia" w:ascii="宋体" w:hAnsi="宋体" w:cs="仿宋_GB2312"/>
          <w:color w:val="000000"/>
          <w:szCs w:val="21"/>
        </w:rPr>
        <w:t>；</w:t>
      </w:r>
    </w:p>
    <w:p>
      <w:pPr>
        <w:spacing w:line="360" w:lineRule="auto"/>
        <w:ind w:firstLine="420" w:firstLineChars="200"/>
        <w:rPr>
          <w:rFonts w:ascii="宋体" w:hAnsi="宋体" w:cs="仿宋_GB2312"/>
          <w:color w:val="000000"/>
          <w:szCs w:val="21"/>
        </w:rPr>
      </w:pPr>
      <w:r>
        <w:rPr>
          <w:rFonts w:hint="eastAsia" w:ascii="宋体" w:hAnsi="宋体" w:cs="仿宋_GB2312"/>
          <w:color w:val="000000"/>
          <w:szCs w:val="21"/>
        </w:rPr>
        <w:t>关于监理人的其他约定：</w:t>
      </w:r>
      <w:r>
        <w:rPr>
          <w:rFonts w:hint="eastAsia" w:ascii="宋体" w:hAnsi="宋体" w:cs="仿宋_GB2312"/>
          <w:color w:val="000000"/>
          <w:szCs w:val="21"/>
          <w:u w:val="single"/>
        </w:rPr>
        <w:t xml:space="preserve">  严格履行本职职责，认真细致，负责完成与业主签订的合同  </w:t>
      </w:r>
      <w:r>
        <w:rPr>
          <w:rFonts w:hint="eastAsia" w:ascii="宋体" w:hAnsi="宋体" w:cs="仿宋_GB2312"/>
          <w:color w:val="00000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4.4 商定或确定</w:t>
      </w:r>
    </w:p>
    <w:p>
      <w:pPr>
        <w:spacing w:line="360" w:lineRule="auto"/>
        <w:ind w:firstLine="420" w:firstLineChars="200"/>
        <w:rPr>
          <w:rFonts w:ascii="宋体" w:hAnsi="宋体" w:cs="仿宋_GB2312"/>
          <w:color w:val="000000"/>
          <w:szCs w:val="21"/>
        </w:rPr>
      </w:pPr>
      <w:bookmarkStart w:id="121" w:name="_Toc267251418"/>
      <w:r>
        <w:rPr>
          <w:rFonts w:hint="eastAsia" w:ascii="宋体" w:hAnsi="宋体" w:cs="仿宋_GB2312"/>
          <w:color w:val="000000"/>
          <w:szCs w:val="21"/>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hint="eastAsia" w:ascii="宋体" w:hAnsi="宋体" w:cs="仿宋_GB2312"/>
          <w:color w:val="000000"/>
          <w:kern w:val="0"/>
          <w:szCs w:val="21"/>
          <w:u w:val="single"/>
        </w:rPr>
      </w:pPr>
      <w:r>
        <w:rPr>
          <w:rFonts w:hint="eastAsia" w:ascii="宋体" w:hAnsi="宋体" w:cs="仿宋_GB2312"/>
          <w:color w:val="000000"/>
          <w:kern w:val="0"/>
          <w:szCs w:val="21"/>
        </w:rPr>
        <w:t>（1）</w:t>
      </w:r>
      <w:r>
        <w:rPr>
          <w:rFonts w:hint="eastAsia" w:ascii="宋体" w:hAnsi="宋体" w:cs="仿宋_GB2312"/>
          <w:color w:val="000000"/>
          <w:kern w:val="0"/>
          <w:szCs w:val="21"/>
          <w:u w:val="single"/>
        </w:rPr>
        <w:t xml:space="preserve">    质量争议的检测         ；</w:t>
      </w:r>
    </w:p>
    <w:p>
      <w:pPr>
        <w:autoSpaceDE w:val="0"/>
        <w:autoSpaceDN w:val="0"/>
        <w:adjustRightInd w:val="0"/>
        <w:spacing w:line="360" w:lineRule="auto"/>
        <w:ind w:firstLine="420" w:firstLineChars="200"/>
        <w:jc w:val="left"/>
        <w:rPr>
          <w:rFonts w:hint="eastAsia" w:ascii="宋体" w:hAnsi="宋体" w:cs="仿宋_GB2312"/>
          <w:color w:val="000000"/>
          <w:kern w:val="0"/>
          <w:szCs w:val="21"/>
          <w:u w:val="single"/>
        </w:rPr>
      </w:pPr>
      <w:r>
        <w:rPr>
          <w:rFonts w:hint="eastAsia" w:ascii="宋体" w:hAnsi="宋体" w:cs="仿宋_GB2312"/>
          <w:color w:val="000000"/>
          <w:kern w:val="0"/>
          <w:szCs w:val="21"/>
          <w:u w:val="none"/>
        </w:rPr>
        <w:t>（2）</w:t>
      </w:r>
      <w:r>
        <w:rPr>
          <w:rFonts w:hint="eastAsia" w:ascii="宋体" w:hAnsi="宋体" w:cs="仿宋_GB2312"/>
          <w:color w:val="000000"/>
          <w:kern w:val="0"/>
          <w:szCs w:val="21"/>
          <w:u w:val="single"/>
        </w:rPr>
        <w:t xml:space="preserve">    材料与工程设备的替代     ；</w:t>
      </w:r>
    </w:p>
    <w:p>
      <w:pPr>
        <w:autoSpaceDE w:val="0"/>
        <w:autoSpaceDN w:val="0"/>
        <w:adjustRightInd w:val="0"/>
        <w:spacing w:line="360" w:lineRule="auto"/>
        <w:ind w:firstLine="420" w:firstLineChars="200"/>
        <w:jc w:val="left"/>
        <w:rPr>
          <w:rFonts w:hint="eastAsia" w:ascii="宋体" w:hAnsi="宋体" w:cs="仿宋_GB2312"/>
          <w:color w:val="000000"/>
          <w:kern w:val="0"/>
          <w:szCs w:val="21"/>
          <w:u w:val="single"/>
        </w:rPr>
      </w:pPr>
      <w:r>
        <w:rPr>
          <w:rFonts w:hint="eastAsia" w:ascii="宋体" w:hAnsi="宋体" w:cs="仿宋_GB2312"/>
          <w:color w:val="000000"/>
          <w:kern w:val="0"/>
          <w:szCs w:val="21"/>
          <w:u w:val="none"/>
        </w:rPr>
        <w:t>（3）</w:t>
      </w:r>
      <w:r>
        <w:rPr>
          <w:rFonts w:hint="eastAsia" w:ascii="宋体" w:hAnsi="宋体" w:cs="仿宋_GB2312"/>
          <w:color w:val="000000"/>
          <w:kern w:val="0"/>
          <w:szCs w:val="21"/>
          <w:u w:val="single"/>
        </w:rPr>
        <w:t xml:space="preserve">     变更工程量          ；</w:t>
      </w:r>
    </w:p>
    <w:p>
      <w:pPr>
        <w:autoSpaceDE w:val="0"/>
        <w:autoSpaceDN w:val="0"/>
        <w:adjustRightInd w:val="0"/>
        <w:spacing w:line="360" w:lineRule="auto"/>
        <w:ind w:firstLine="420" w:firstLineChars="200"/>
        <w:jc w:val="left"/>
        <w:rPr>
          <w:rFonts w:hint="eastAsia" w:ascii="宋体" w:hAnsi="宋体" w:cs="仿宋_GB2312"/>
          <w:color w:val="000000"/>
          <w:kern w:val="0"/>
          <w:szCs w:val="21"/>
          <w:u w:val="single"/>
        </w:rPr>
      </w:pPr>
      <w:r>
        <w:rPr>
          <w:rFonts w:hint="eastAsia" w:ascii="宋体" w:hAnsi="宋体" w:cs="仿宋_GB2312"/>
          <w:color w:val="000000"/>
          <w:kern w:val="0"/>
          <w:szCs w:val="21"/>
          <w:u w:val="none"/>
        </w:rPr>
        <w:t>（4）</w:t>
      </w:r>
      <w:r>
        <w:rPr>
          <w:rFonts w:hint="eastAsia" w:ascii="宋体" w:hAnsi="宋体" w:cs="仿宋_GB2312"/>
          <w:color w:val="000000"/>
          <w:kern w:val="0"/>
          <w:szCs w:val="21"/>
          <w:u w:val="single"/>
          <w:lang w:val="en-US" w:eastAsia="zh-CN"/>
        </w:rPr>
        <w:t xml:space="preserve">   </w:t>
      </w:r>
      <w:r>
        <w:rPr>
          <w:rFonts w:hint="eastAsia" w:ascii="宋体" w:hAnsi="宋体" w:cs="仿宋_GB2312"/>
          <w:color w:val="000000"/>
          <w:kern w:val="0"/>
          <w:szCs w:val="21"/>
          <w:u w:val="single"/>
        </w:rPr>
        <w:t>变更引起的工期调整   ；</w:t>
      </w:r>
    </w:p>
    <w:p>
      <w:pPr>
        <w:autoSpaceDE w:val="0"/>
        <w:autoSpaceDN w:val="0"/>
        <w:adjustRightInd w:val="0"/>
        <w:spacing w:line="360" w:lineRule="auto"/>
        <w:ind w:firstLine="420" w:firstLineChars="200"/>
        <w:jc w:val="left"/>
        <w:rPr>
          <w:rFonts w:hint="eastAsia" w:ascii="宋体" w:hAnsi="宋体" w:cs="仿宋_GB2312"/>
          <w:color w:val="000000"/>
          <w:kern w:val="0"/>
          <w:szCs w:val="21"/>
          <w:u w:val="single"/>
        </w:rPr>
      </w:pPr>
      <w:r>
        <w:rPr>
          <w:rFonts w:hint="eastAsia" w:ascii="宋体" w:hAnsi="宋体" w:cs="仿宋_GB2312"/>
          <w:color w:val="000000"/>
          <w:kern w:val="0"/>
          <w:szCs w:val="21"/>
          <w:u w:val="none"/>
          <w:lang w:eastAsia="zh-CN"/>
        </w:rPr>
        <w:t>（</w:t>
      </w:r>
      <w:r>
        <w:rPr>
          <w:rFonts w:hint="eastAsia" w:ascii="宋体" w:hAnsi="宋体" w:cs="仿宋_GB2312"/>
          <w:color w:val="000000"/>
          <w:kern w:val="0"/>
          <w:szCs w:val="21"/>
          <w:u w:val="none"/>
          <w:lang w:val="en-US" w:eastAsia="zh-CN"/>
        </w:rPr>
        <w:t>5</w:t>
      </w:r>
      <w:r>
        <w:rPr>
          <w:rFonts w:hint="eastAsia" w:ascii="宋体" w:hAnsi="宋体" w:cs="仿宋_GB2312"/>
          <w:color w:val="000000"/>
          <w:kern w:val="0"/>
          <w:szCs w:val="21"/>
          <w:u w:val="none"/>
          <w:lang w:eastAsia="zh-CN"/>
        </w:rPr>
        <w:t>）</w:t>
      </w:r>
      <w:r>
        <w:rPr>
          <w:rFonts w:hint="eastAsia" w:ascii="宋体" w:hAnsi="宋体" w:cs="仿宋_GB2312"/>
          <w:color w:val="000000"/>
          <w:kern w:val="0"/>
          <w:szCs w:val="21"/>
          <w:u w:val="single"/>
        </w:rPr>
        <w:t xml:space="preserve">  计日工；</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（6）</w:t>
      </w:r>
      <w:r>
        <w:rPr>
          <w:rFonts w:hint="eastAsia" w:ascii="宋体" w:hAnsi="宋体" w:cs="仿宋_GB2312"/>
          <w:color w:val="000000"/>
          <w:kern w:val="0"/>
          <w:szCs w:val="21"/>
          <w:u w:val="single"/>
        </w:rPr>
        <w:t xml:space="preserve">  法律变化引起的调整      ；</w:t>
      </w:r>
    </w:p>
    <w:p>
      <w:pPr>
        <w:rPr>
          <w:rFonts w:ascii="宋体" w:hAnsi="宋体" w:cs="仿宋_GB2312"/>
          <w:b/>
          <w:color w:val="000000"/>
          <w:szCs w:val="21"/>
        </w:rPr>
      </w:pPr>
      <w:bookmarkStart w:id="122" w:name="_Toc351203637"/>
      <w:r>
        <w:rPr>
          <w:rFonts w:hint="eastAsia" w:ascii="宋体" w:hAnsi="宋体" w:cs="仿宋_GB2312"/>
          <w:b/>
          <w:color w:val="000000"/>
          <w:szCs w:val="21"/>
        </w:rPr>
        <w:t>5</w:t>
      </w:r>
      <w:bookmarkEnd w:id="121"/>
      <w:bookmarkStart w:id="123" w:name="_Toc292559872"/>
      <w:bookmarkStart w:id="124" w:name="_Toc296347162"/>
      <w:bookmarkStart w:id="125" w:name="_Toc296944502"/>
      <w:bookmarkStart w:id="126" w:name="_Toc296503163"/>
      <w:bookmarkStart w:id="127" w:name="_Toc297120463"/>
      <w:bookmarkStart w:id="128" w:name="_Toc297048349"/>
      <w:bookmarkStart w:id="129" w:name="_Toc292559367"/>
      <w:bookmarkStart w:id="130" w:name="_Toc296346664"/>
      <w:bookmarkStart w:id="131" w:name="_Toc296891203"/>
      <w:bookmarkStart w:id="132" w:name="_Toc296890991"/>
      <w:r>
        <w:rPr>
          <w:rFonts w:hint="eastAsia" w:ascii="宋体" w:hAnsi="宋体" w:cs="仿宋_GB2312"/>
          <w:b/>
          <w:color w:val="000000"/>
          <w:szCs w:val="21"/>
        </w:rPr>
        <w:t>. 工程质量</w:t>
      </w:r>
      <w:bookmarkEnd w:id="122"/>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5.1 质量要求</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5</w:t>
      </w:r>
      <w:bookmarkStart w:id="133" w:name="_Toc312677997"/>
      <w:bookmarkStart w:id="134" w:name="_Toc304295527"/>
      <w:bookmarkStart w:id="135" w:name="_Toc318581164"/>
      <w:bookmarkStart w:id="136" w:name="_Toc297123496"/>
      <w:bookmarkStart w:id="137" w:name="_Toc303539106"/>
      <w:bookmarkStart w:id="138" w:name="_Toc300934949"/>
      <w:bookmarkStart w:id="139" w:name="_Toc297216155"/>
      <w:r>
        <w:rPr>
          <w:rFonts w:hint="eastAsia" w:ascii="宋体" w:hAnsi="宋体" w:cs="仿宋_GB2312"/>
          <w:szCs w:val="21"/>
        </w:rPr>
        <w:t>.1.1 特殊质量标准和要求：</w:t>
      </w:r>
      <w:r>
        <w:rPr>
          <w:rFonts w:hint="eastAsia" w:ascii="宋体" w:hAnsi="宋体" w:cs="仿宋_GB2312"/>
          <w:szCs w:val="21"/>
          <w:u w:val="single"/>
        </w:rPr>
        <w:t xml:space="preserve">执行通用条款   </w:t>
      </w:r>
      <w:r>
        <w:rPr>
          <w:rFonts w:hint="eastAsia" w:ascii="宋体" w:hAnsi="宋体" w:cs="仿宋_GB2312"/>
          <w:szCs w:val="21"/>
        </w:rPr>
        <w:t>。</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关于工程奖项的约定：</w:t>
      </w:r>
      <w:r>
        <w:rPr>
          <w:rFonts w:hint="eastAsia" w:ascii="宋体" w:hAnsi="宋体" w:cs="仿宋_GB2312"/>
          <w:szCs w:val="21"/>
          <w:u w:val="single"/>
        </w:rPr>
        <w:t xml:space="preserve"> 按发包人要求   </w:t>
      </w:r>
      <w:r>
        <w:rPr>
          <w:rFonts w:hint="eastAsia" w:ascii="宋体" w:hAnsi="宋体" w:cs="仿宋_GB2312"/>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5.3 隐蔽工程检查</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5.3.2承包人提前通知监理人隐蔽工程检查的期限的约定：</w:t>
      </w:r>
      <w:r>
        <w:rPr>
          <w:rFonts w:hint="eastAsia" w:ascii="宋体" w:hAnsi="宋体" w:cs="仿宋_GB2312"/>
          <w:szCs w:val="21"/>
          <w:u w:val="single"/>
        </w:rPr>
        <w:t xml:space="preserve">   </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szCs w:val="21"/>
        </w:rPr>
      </w:pPr>
      <w:r>
        <w:rPr>
          <w:rFonts w:hint="eastAsia" w:ascii="宋体" w:hAnsi="宋体" w:cs="仿宋_GB2312"/>
          <w:szCs w:val="21"/>
        </w:rPr>
        <w:t>监理人不能按时进行检查时，应提前</w:t>
      </w:r>
      <w:r>
        <w:rPr>
          <w:rFonts w:hint="eastAsia" w:ascii="宋体" w:hAnsi="宋体" w:cs="仿宋_GB2312"/>
          <w:szCs w:val="21"/>
          <w:u w:val="single"/>
        </w:rPr>
        <w:t xml:space="preserve">  24   </w:t>
      </w:r>
      <w:r>
        <w:rPr>
          <w:rFonts w:hint="eastAsia" w:ascii="宋体" w:hAnsi="宋体" w:cs="仿宋_GB2312"/>
          <w:szCs w:val="21"/>
        </w:rPr>
        <w:t>小时提交书面延期要求。</w:t>
      </w:r>
    </w:p>
    <w:p>
      <w:pPr>
        <w:spacing w:line="360" w:lineRule="auto"/>
        <w:ind w:firstLine="420" w:firstLineChars="200"/>
        <w:jc w:val="left"/>
        <w:rPr>
          <w:rFonts w:ascii="宋体" w:hAnsi="宋体" w:cs="仿宋_GB2312"/>
          <w:szCs w:val="21"/>
        </w:rPr>
      </w:pPr>
      <w:r>
        <w:rPr>
          <w:rFonts w:hint="eastAsia" w:ascii="宋体" w:hAnsi="宋体" w:cs="仿宋_GB2312"/>
          <w:szCs w:val="21"/>
        </w:rPr>
        <w:t>关于延期最长不得超过：</w:t>
      </w:r>
      <w:r>
        <w:rPr>
          <w:rFonts w:hint="eastAsia" w:ascii="宋体" w:hAnsi="宋体" w:cs="仿宋_GB2312"/>
          <w:szCs w:val="21"/>
          <w:u w:val="single"/>
        </w:rPr>
        <w:t xml:space="preserve">  48   </w:t>
      </w:r>
      <w:r>
        <w:rPr>
          <w:rFonts w:hint="eastAsia" w:ascii="宋体" w:hAnsi="宋体" w:cs="仿宋_GB2312"/>
          <w:szCs w:val="21"/>
        </w:rPr>
        <w:t>小时。</w:t>
      </w:r>
    </w:p>
    <w:p>
      <w:pPr>
        <w:rPr>
          <w:rFonts w:ascii="宋体" w:hAnsi="宋体" w:cs="仿宋_GB2312"/>
          <w:b/>
          <w:color w:val="000000"/>
          <w:szCs w:val="21"/>
        </w:rPr>
      </w:pPr>
      <w:bookmarkStart w:id="140" w:name="_Toc351203638"/>
      <w:r>
        <w:rPr>
          <w:rFonts w:hint="eastAsia" w:ascii="宋体" w:hAnsi="宋体" w:cs="仿宋_GB2312"/>
          <w:b/>
          <w:color w:val="000000"/>
          <w:szCs w:val="21"/>
        </w:rPr>
        <w:t>6. 安全文明施工与环境保护</w:t>
      </w:r>
      <w:bookmarkEnd w:id="140"/>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6.1安全文明施工</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6.1.1</w:t>
      </w:r>
      <w:r>
        <w:rPr>
          <w:rFonts w:hint="eastAsia" w:ascii="宋体" w:hAnsi="宋体" w:cs="仿宋_GB2312"/>
          <w:color w:val="000000"/>
          <w:szCs w:val="21"/>
        </w:rPr>
        <w:t xml:space="preserve"> 项目安全生产的达标目标及相应事项的约定：</w:t>
      </w:r>
      <w:r>
        <w:rPr>
          <w:rFonts w:hint="eastAsia" w:ascii="宋体" w:hAnsi="宋体" w:cs="仿宋_GB2312"/>
          <w:color w:val="000000"/>
          <w:szCs w:val="21"/>
          <w:u w:val="single"/>
        </w:rPr>
        <w:t>承包人应按《建筑施工企业安全生产管理机构设置及专职安全生产管理人员配备办法》(建质[2008] 91号)设置专职安全生产管理人员，并按照相关内容和国家行业规范要求采取有效的安全措施，以保证自身及第三人和周边环境的安全。</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6.1.4 关于治安保卫的特别约定：</w:t>
      </w:r>
      <w:r>
        <w:rPr>
          <w:rFonts w:hint="eastAsia" w:ascii="宋体" w:hAnsi="宋体" w:cs="仿宋_GB2312"/>
          <w:szCs w:val="21"/>
          <w:u w:val="single"/>
        </w:rPr>
        <w:t xml:space="preserve">     </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关于编制施工场地治安管理计划的约定：</w:t>
      </w:r>
      <w:r>
        <w:rPr>
          <w:rFonts w:hint="eastAsia" w:ascii="宋体" w:hAnsi="宋体" w:cs="仿宋_GB2312"/>
          <w:szCs w:val="21"/>
          <w:u w:val="single"/>
        </w:rPr>
        <w:t xml:space="preserve"> 开工前由承包人负责编施工场地治安管理计划，并制定应对突发治安事件的紧急预案，全面负责施工现场的安全保卫工作，并承担相关责任 。</w:t>
      </w:r>
    </w:p>
    <w:p>
      <w:pPr>
        <w:spacing w:line="360" w:lineRule="auto"/>
        <w:ind w:firstLine="420" w:firstLineChars="200"/>
        <w:jc w:val="left"/>
        <w:rPr>
          <w:rFonts w:ascii="宋体" w:hAnsi="宋体" w:cs="仿宋_GB2312"/>
          <w:szCs w:val="21"/>
        </w:rPr>
      </w:pPr>
      <w:r>
        <w:rPr>
          <w:rFonts w:hint="eastAsia" w:ascii="宋体" w:hAnsi="宋体" w:cs="仿宋_GB2312"/>
          <w:szCs w:val="21"/>
        </w:rPr>
        <w:t>6.1.5 文明施工</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合同当事人对文明施工的要求：</w:t>
      </w:r>
      <w:r>
        <w:rPr>
          <w:rFonts w:hint="eastAsia" w:ascii="宋体" w:hAnsi="宋体" w:cs="仿宋_GB2312"/>
          <w:szCs w:val="21"/>
          <w:u w:val="single"/>
        </w:rPr>
        <w:t>达到《建筑施工现场环境与卫生标准》JGJ 146-2013以及国家、地方、行业相关规范性要求；费用包含在投标报价中 。</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6.1.6 关于安全文明施工费支付比例和支付期限的约定：</w:t>
      </w:r>
      <w:r>
        <w:rPr>
          <w:rFonts w:hint="eastAsia" w:ascii="宋体" w:hAnsi="宋体" w:cs="仿宋_GB2312"/>
          <w:szCs w:val="21"/>
          <w:u w:val="single"/>
        </w:rPr>
        <w:t>不单独支付，预付款及进度款中已包含安全文明施工费，预付款及进度款按专用条款12.2及12.4条约定支付。</w:t>
      </w:r>
      <w:r>
        <w:rPr>
          <w:rFonts w:hint="eastAsia" w:ascii="宋体" w:hAnsi="宋体" w:cs="仿宋_GB2312"/>
          <w:szCs w:val="21"/>
        </w:rPr>
        <w:t>。</w:t>
      </w:r>
    </w:p>
    <w:bookmarkEnd w:id="133"/>
    <w:bookmarkEnd w:id="134"/>
    <w:bookmarkEnd w:id="135"/>
    <w:bookmarkEnd w:id="136"/>
    <w:bookmarkEnd w:id="137"/>
    <w:bookmarkEnd w:id="138"/>
    <w:bookmarkEnd w:id="139"/>
    <w:p>
      <w:pPr>
        <w:rPr>
          <w:rFonts w:ascii="宋体" w:hAnsi="宋体" w:cs="仿宋_GB2312"/>
          <w:b/>
          <w:color w:val="000000"/>
          <w:szCs w:val="21"/>
        </w:rPr>
      </w:pPr>
      <w:bookmarkStart w:id="141" w:name="_Toc351203639"/>
      <w:r>
        <w:rPr>
          <w:rFonts w:hint="eastAsia" w:ascii="宋体" w:hAnsi="宋体" w:cs="仿宋_GB2312"/>
          <w:b/>
          <w:color w:val="000000"/>
          <w:szCs w:val="21"/>
        </w:rPr>
        <w:t>7. 工期和进度</w:t>
      </w:r>
      <w:bookmarkEnd w:id="141"/>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7.1 施工组织设计</w:t>
      </w:r>
    </w:p>
    <w:p>
      <w:pPr>
        <w:autoSpaceDE w:val="0"/>
        <w:autoSpaceDN w:val="0"/>
        <w:adjustRightInd w:val="0"/>
        <w:spacing w:line="360" w:lineRule="auto"/>
        <w:ind w:firstLine="420" w:firstLineChars="200"/>
        <w:jc w:val="left"/>
        <w:rPr>
          <w:rFonts w:ascii="宋体" w:hAnsi="宋体" w:cs="仿宋_GB2312"/>
          <w:szCs w:val="21"/>
          <w:u w:val="single"/>
        </w:rPr>
      </w:pPr>
      <w:r>
        <w:rPr>
          <w:rFonts w:hint="eastAsia" w:ascii="宋体" w:hAnsi="宋体" w:cs="仿宋_GB2312"/>
          <w:szCs w:val="21"/>
        </w:rPr>
        <w:t xml:space="preserve">7.1.1 </w:t>
      </w:r>
      <w:r>
        <w:rPr>
          <w:rFonts w:hint="eastAsia" w:ascii="宋体" w:hAnsi="宋体" w:cs="仿宋_GB2312"/>
          <w:color w:val="000000"/>
          <w:szCs w:val="21"/>
        </w:rPr>
        <w:t>合</w:t>
      </w:r>
      <w:r>
        <w:rPr>
          <w:rFonts w:hint="eastAsia" w:ascii="宋体" w:hAnsi="宋体" w:cs="仿宋_GB2312"/>
          <w:color w:val="000000"/>
          <w:kern w:val="0"/>
          <w:szCs w:val="21"/>
        </w:rPr>
        <w:t>同当事人约定的施工组织设计应包括的其他内容：</w:t>
      </w:r>
      <w:r>
        <w:rPr>
          <w:rFonts w:hint="eastAsia" w:ascii="宋体" w:hAnsi="宋体" w:cs="仿宋_GB2312"/>
          <w:szCs w:val="21"/>
          <w:u w:val="single"/>
        </w:rPr>
        <w:t xml:space="preserve">   </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szCs w:val="21"/>
        </w:rPr>
        <w:t>7.1.2</w:t>
      </w:r>
      <w:r>
        <w:rPr>
          <w:rFonts w:hint="eastAsia" w:ascii="宋体" w:hAnsi="宋体" w:cs="仿宋_GB2312"/>
          <w:color w:val="000000"/>
          <w:szCs w:val="21"/>
        </w:rPr>
        <w:t xml:space="preserve"> </w:t>
      </w:r>
      <w:r>
        <w:rPr>
          <w:rFonts w:hint="eastAsia" w:ascii="宋体" w:hAnsi="宋体" w:cs="仿宋_GB2312"/>
          <w:color w:val="000000"/>
          <w:kern w:val="0"/>
          <w:szCs w:val="21"/>
        </w:rPr>
        <w:t>施工组织设计的提交和修改</w:t>
      </w:r>
    </w:p>
    <w:p>
      <w:pPr>
        <w:autoSpaceDE w:val="0"/>
        <w:autoSpaceDN w:val="0"/>
        <w:adjustRightInd w:val="0"/>
        <w:spacing w:line="360" w:lineRule="auto"/>
        <w:ind w:firstLine="420" w:firstLineChars="200"/>
        <w:jc w:val="left"/>
        <w:rPr>
          <w:rFonts w:ascii="宋体" w:hAnsi="宋体" w:cs="仿宋_GB2312"/>
          <w:szCs w:val="21"/>
          <w:u w:val="single"/>
        </w:rPr>
      </w:pPr>
      <w:r>
        <w:rPr>
          <w:rFonts w:hint="eastAsia" w:ascii="宋体" w:hAnsi="宋体" w:cs="仿宋_GB2312"/>
          <w:color w:val="000000"/>
          <w:kern w:val="0"/>
          <w:szCs w:val="21"/>
        </w:rPr>
        <w:t>承包人提交详细施工组织设计的期限的约定：</w:t>
      </w:r>
      <w:r>
        <w:rPr>
          <w:rFonts w:hint="eastAsia" w:ascii="宋体" w:hAnsi="宋体" w:cs="仿宋_GB2312"/>
          <w:color w:val="000000"/>
          <w:kern w:val="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发包人和监理人在收到详细的施工组织设计后确认或提出修改意见的期限：</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w:t>
      </w:r>
      <w:bookmarkStart w:id="142" w:name="_Toc312678005"/>
      <w:bookmarkStart w:id="143" w:name="_Toc297216173"/>
      <w:bookmarkStart w:id="144" w:name="_Toc297123514"/>
      <w:bookmarkStart w:id="145" w:name="_Toc303539123"/>
      <w:bookmarkStart w:id="146" w:name="_Toc300934966"/>
      <w:bookmarkStart w:id="147" w:name="_Toc304295541"/>
      <w:bookmarkStart w:id="148" w:name="_Toc312677479"/>
      <w:r>
        <w:rPr>
          <w:rFonts w:hint="eastAsia" w:ascii="宋体" w:hAnsi="宋体" w:cs="仿宋_GB2312"/>
          <w:color w:val="000000"/>
          <w:szCs w:val="21"/>
        </w:rPr>
        <w:t>.2 施工进度计划</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7.2.2 施工进度计划的修订</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发包人和监理人在收到修订的施工进度计划后确认或提出修改意见的期限：</w:t>
      </w:r>
      <w:r>
        <w:rPr>
          <w:rFonts w:hint="eastAsia" w:ascii="宋体" w:hAnsi="宋体" w:cs="仿宋_GB2312"/>
          <w:szCs w:val="21"/>
          <w:u w:val="single"/>
        </w:rPr>
        <w:t>年度施工计划在承包人提交后14天内、月进度计划在承包人提交后7天内，工程师逾期不确认或未提出修改意见的视为同意  。</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7.3 开工</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7.3.1 开工准备</w:t>
      </w:r>
    </w:p>
    <w:p>
      <w:pPr>
        <w:spacing w:line="360" w:lineRule="auto"/>
        <w:ind w:firstLine="645"/>
        <w:jc w:val="left"/>
        <w:rPr>
          <w:rFonts w:ascii="宋体" w:hAnsi="宋体" w:cs="仿宋_GB2312"/>
          <w:szCs w:val="21"/>
          <w:u w:val="single"/>
        </w:rPr>
      </w:pPr>
      <w:r>
        <w:rPr>
          <w:rFonts w:hint="eastAsia" w:ascii="宋体" w:hAnsi="宋体" w:cs="仿宋_GB2312"/>
          <w:color w:val="000000"/>
          <w:szCs w:val="21"/>
        </w:rPr>
        <w:t>关于承包人提交</w:t>
      </w:r>
      <w:r>
        <w:rPr>
          <w:rFonts w:hint="eastAsia" w:ascii="宋体" w:hAnsi="宋体" w:cs="仿宋_GB2312"/>
          <w:color w:val="000000"/>
          <w:kern w:val="0"/>
          <w:szCs w:val="21"/>
        </w:rPr>
        <w:t>工程开工报审表的期限：</w:t>
      </w:r>
      <w:r>
        <w:rPr>
          <w:rFonts w:hint="eastAsia" w:ascii="宋体" w:hAnsi="宋体" w:cs="仿宋_GB2312"/>
          <w:szCs w:val="21"/>
          <w:u w:val="single"/>
        </w:rPr>
        <w:t xml:space="preserve">至迟不得晚于通用条款7.3.2条（开工通知）载明的开工日期前7天      </w:t>
      </w:r>
      <w:r>
        <w:rPr>
          <w:rFonts w:hint="eastAsia" w:ascii="宋体" w:hAnsi="宋体" w:cs="仿宋_GB2312"/>
          <w:szCs w:val="21"/>
        </w:rPr>
        <w:t>。</w:t>
      </w:r>
    </w:p>
    <w:p>
      <w:pPr>
        <w:spacing w:line="360" w:lineRule="auto"/>
        <w:ind w:firstLine="645"/>
        <w:jc w:val="left"/>
        <w:rPr>
          <w:rFonts w:ascii="宋体" w:hAnsi="宋体" w:cs="仿宋_GB2312"/>
          <w:color w:val="000000"/>
          <w:szCs w:val="21"/>
        </w:rPr>
      </w:pPr>
      <w:r>
        <w:rPr>
          <w:rFonts w:hint="eastAsia" w:ascii="宋体" w:hAnsi="宋体" w:cs="仿宋_GB2312"/>
          <w:color w:val="000000"/>
          <w:szCs w:val="21"/>
        </w:rPr>
        <w:t>关于发包人应完成的其他开工准备工作及期限：</w:t>
      </w:r>
      <w:r>
        <w:rPr>
          <w:rFonts w:hint="eastAsia" w:ascii="宋体" w:hAnsi="宋体" w:cs="仿宋_GB2312"/>
          <w:szCs w:val="21"/>
          <w:u w:val="single"/>
        </w:rPr>
        <w:t xml:space="preserve">执行通用条款        </w:t>
      </w:r>
      <w:r>
        <w:rPr>
          <w:rFonts w:hint="eastAsia" w:ascii="宋体" w:hAnsi="宋体" w:cs="仿宋_GB2312"/>
          <w:szCs w:val="21"/>
        </w:rPr>
        <w:t>。</w:t>
      </w:r>
    </w:p>
    <w:p>
      <w:pPr>
        <w:spacing w:line="360" w:lineRule="auto"/>
        <w:ind w:firstLine="420" w:firstLineChars="200"/>
        <w:jc w:val="left"/>
        <w:rPr>
          <w:rFonts w:ascii="宋体" w:hAnsi="宋体" w:cs="仿宋_GB2312"/>
          <w:szCs w:val="21"/>
        </w:rPr>
      </w:pPr>
      <w:r>
        <w:rPr>
          <w:rFonts w:hint="eastAsia" w:ascii="宋体" w:hAnsi="宋体" w:cs="仿宋_GB2312"/>
          <w:color w:val="000000"/>
          <w:szCs w:val="21"/>
        </w:rPr>
        <w:t>关于承包人应完成的其他开工准备工作及期限：</w:t>
      </w:r>
      <w:r>
        <w:rPr>
          <w:rFonts w:hint="eastAsia" w:ascii="宋体" w:hAnsi="宋体" w:cs="仿宋_GB2312"/>
          <w:color w:val="000000"/>
          <w:szCs w:val="21"/>
          <w:u w:val="single"/>
        </w:rPr>
        <w:t xml:space="preserve"> 执行通用条款    </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7.3.2开工通知</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因发包人原因造成监理人未能在计划开工日期之日起</w:t>
      </w:r>
      <w:r>
        <w:rPr>
          <w:rFonts w:hint="eastAsia" w:ascii="宋体" w:hAnsi="宋体" w:cs="仿宋_GB2312"/>
          <w:szCs w:val="21"/>
          <w:u w:val="single"/>
        </w:rPr>
        <w:t xml:space="preserve">  90 </w:t>
      </w:r>
      <w:r>
        <w:rPr>
          <w:rFonts w:hint="eastAsia" w:ascii="宋体" w:hAnsi="宋体" w:cs="仿宋_GB2312"/>
          <w:color w:val="000000"/>
          <w:szCs w:val="21"/>
        </w:rPr>
        <w:t>天内发出开工通知的，承包人有权提出价格调整要求，或者解除合同。</w:t>
      </w:r>
    </w:p>
    <w:bookmarkEnd w:id="142"/>
    <w:bookmarkEnd w:id="143"/>
    <w:bookmarkEnd w:id="144"/>
    <w:bookmarkEnd w:id="145"/>
    <w:bookmarkEnd w:id="146"/>
    <w:bookmarkEnd w:id="147"/>
    <w:bookmarkEnd w:id="148"/>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7.4 测量放线</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7.4.1发包人通过监理人向承包人提供测量基准点、基准线和水准点及其书面资料的期限：</w:t>
      </w:r>
      <w:r>
        <w:rPr>
          <w:rFonts w:hint="eastAsia" w:ascii="宋体" w:hAnsi="宋体" w:cs="仿宋_GB2312"/>
          <w:szCs w:val="21"/>
          <w:u w:val="single"/>
        </w:rPr>
        <w:t xml:space="preserve"> 开工前7天 。</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w:t>
      </w:r>
      <w:bookmarkStart w:id="149" w:name="_Toc300934968"/>
      <w:bookmarkStart w:id="150" w:name="_Toc297216175"/>
      <w:bookmarkStart w:id="151" w:name="_Toc297123516"/>
      <w:bookmarkStart w:id="152" w:name="_Toc303539125"/>
      <w:bookmarkStart w:id="153" w:name="_Toc304295546"/>
      <w:bookmarkStart w:id="154" w:name="_Toc312677484"/>
      <w:bookmarkStart w:id="155" w:name="_Toc312678010"/>
      <w:r>
        <w:rPr>
          <w:rFonts w:hint="eastAsia" w:ascii="宋体" w:hAnsi="宋体" w:cs="仿宋_GB2312"/>
          <w:color w:val="000000"/>
          <w:szCs w:val="21"/>
        </w:rPr>
        <w:t>.5 工期延误</w:t>
      </w:r>
    </w:p>
    <w:bookmarkEnd w:id="149"/>
    <w:bookmarkEnd w:id="150"/>
    <w:bookmarkEnd w:id="151"/>
    <w:bookmarkEnd w:id="152"/>
    <w:bookmarkEnd w:id="153"/>
    <w:bookmarkEnd w:id="154"/>
    <w:bookmarkEnd w:id="155"/>
    <w:p>
      <w:pPr>
        <w:spacing w:line="360" w:lineRule="auto"/>
        <w:ind w:firstLine="420" w:firstLineChars="200"/>
        <w:jc w:val="left"/>
        <w:rPr>
          <w:rFonts w:ascii="宋体" w:hAnsi="宋体" w:cs="仿宋_GB2312"/>
          <w:szCs w:val="21"/>
        </w:rPr>
      </w:pPr>
      <w:r>
        <w:rPr>
          <w:rFonts w:hint="eastAsia" w:ascii="宋体" w:hAnsi="宋体" w:cs="仿宋_GB2312"/>
          <w:szCs w:val="21"/>
        </w:rPr>
        <w:t>7.5.1 因发包人原因导致工期延误</w:t>
      </w:r>
    </w:p>
    <w:p>
      <w:pPr>
        <w:spacing w:line="360" w:lineRule="auto"/>
        <w:ind w:firstLine="420" w:firstLineChars="200"/>
        <w:jc w:val="left"/>
        <w:rPr>
          <w:rFonts w:ascii="宋体" w:hAnsi="宋体" w:cs="仿宋_GB2312"/>
          <w:szCs w:val="21"/>
        </w:rPr>
      </w:pPr>
      <w:r>
        <w:rPr>
          <w:rFonts w:hint="eastAsia" w:ascii="宋体" w:hAnsi="宋体" w:cs="仿宋_GB2312"/>
          <w:szCs w:val="21"/>
        </w:rPr>
        <w:t>（7）因发包人原因导致工期延误的其他情形：</w:t>
      </w:r>
      <w:r>
        <w:rPr>
          <w:rFonts w:hint="eastAsia" w:ascii="宋体" w:hAnsi="宋体" w:cs="仿宋_GB2312"/>
          <w:szCs w:val="21"/>
          <w:u w:val="single"/>
        </w:rPr>
        <w:t>执行通用条款本条 。</w:t>
      </w:r>
    </w:p>
    <w:p>
      <w:pPr>
        <w:spacing w:line="360" w:lineRule="auto"/>
        <w:ind w:firstLine="420" w:firstLineChars="200"/>
        <w:jc w:val="left"/>
        <w:rPr>
          <w:rFonts w:ascii="宋体" w:hAnsi="宋体" w:cs="仿宋_GB2312"/>
          <w:szCs w:val="21"/>
        </w:rPr>
      </w:pPr>
      <w:r>
        <w:rPr>
          <w:rFonts w:hint="eastAsia" w:ascii="宋体" w:hAnsi="宋体" w:cs="仿宋_GB2312"/>
          <w:szCs w:val="21"/>
        </w:rPr>
        <w:t>7</w:t>
      </w:r>
      <w:bookmarkStart w:id="156" w:name="_Toc312678012"/>
      <w:bookmarkStart w:id="157" w:name="_Toc312677486"/>
      <w:bookmarkStart w:id="158" w:name="_Toc318581169"/>
      <w:bookmarkStart w:id="159" w:name="_Toc304295548"/>
      <w:bookmarkStart w:id="160" w:name="_Toc297123518"/>
      <w:bookmarkStart w:id="161" w:name="_Toc300934970"/>
      <w:bookmarkStart w:id="162" w:name="_Toc303539127"/>
      <w:bookmarkStart w:id="163" w:name="_Toc297216177"/>
      <w:r>
        <w:rPr>
          <w:rFonts w:hint="eastAsia" w:ascii="宋体" w:hAnsi="宋体" w:cs="仿宋_GB2312"/>
          <w:szCs w:val="21"/>
        </w:rPr>
        <w:t>.5.2 因承包人原因导致工期延误</w:t>
      </w:r>
    </w:p>
    <w:bookmarkEnd w:id="156"/>
    <w:bookmarkEnd w:id="157"/>
    <w:bookmarkEnd w:id="158"/>
    <w:p>
      <w:pPr>
        <w:spacing w:line="360" w:lineRule="auto"/>
        <w:ind w:firstLine="420" w:firstLineChars="200"/>
        <w:jc w:val="left"/>
        <w:rPr>
          <w:rFonts w:ascii="宋体" w:hAnsi="宋体" w:cs="仿宋_GB2312"/>
          <w:szCs w:val="21"/>
          <w:u w:val="single"/>
        </w:rPr>
      </w:pPr>
      <w:r>
        <w:rPr>
          <w:rFonts w:hint="eastAsia" w:ascii="宋体" w:hAnsi="宋体" w:cs="仿宋_GB2312"/>
          <w:szCs w:val="21"/>
        </w:rPr>
        <w:t>因</w:t>
      </w:r>
      <w:bookmarkStart w:id="164" w:name="_Toc312677487"/>
      <w:bookmarkStart w:id="165" w:name="_Toc312678013"/>
      <w:bookmarkStart w:id="166" w:name="_Toc318581170"/>
      <w:r>
        <w:rPr>
          <w:rFonts w:hint="eastAsia" w:ascii="宋体" w:hAnsi="宋体" w:cs="仿宋_GB2312"/>
          <w:szCs w:val="21"/>
        </w:rPr>
        <w:t>承包人原因造成工期延误，逾期竣工违约金的计算方法为：</w:t>
      </w:r>
      <w:r>
        <w:rPr>
          <w:rFonts w:hint="eastAsia" w:ascii="宋体" w:hAnsi="宋体" w:cs="仿宋_GB2312"/>
          <w:szCs w:val="21"/>
          <w:u w:val="single"/>
        </w:rPr>
        <w:t>除每延误一天向发包人支付5000元的工期违约金外，还须承担由此给发包人造成的其他经济损失及法律责任。</w:t>
      </w:r>
      <w:bookmarkEnd w:id="159"/>
      <w:bookmarkEnd w:id="160"/>
      <w:bookmarkEnd w:id="161"/>
      <w:bookmarkEnd w:id="162"/>
      <w:bookmarkEnd w:id="163"/>
      <w:bookmarkEnd w:id="164"/>
      <w:bookmarkEnd w:id="165"/>
    </w:p>
    <w:bookmarkEnd w:id="166"/>
    <w:p>
      <w:pPr>
        <w:spacing w:line="360" w:lineRule="auto"/>
        <w:ind w:firstLine="420" w:firstLineChars="200"/>
        <w:jc w:val="left"/>
        <w:rPr>
          <w:rFonts w:ascii="宋体" w:hAnsi="宋体" w:cs="仿宋_GB2312"/>
          <w:szCs w:val="21"/>
        </w:rPr>
      </w:pPr>
      <w:r>
        <w:rPr>
          <w:rFonts w:hint="eastAsia" w:ascii="宋体" w:hAnsi="宋体" w:cs="仿宋_GB2312"/>
          <w:szCs w:val="21"/>
        </w:rPr>
        <w:t>因承包人原因造成工期延误，逾</w:t>
      </w:r>
      <w:bookmarkStart w:id="167" w:name="_Toc312678014"/>
      <w:bookmarkStart w:id="168" w:name="_Toc318581171"/>
      <w:r>
        <w:rPr>
          <w:rFonts w:hint="eastAsia" w:ascii="宋体" w:hAnsi="宋体" w:cs="仿宋_GB2312"/>
          <w:szCs w:val="21"/>
        </w:rPr>
        <w:t>期竣工违约金的上限：</w:t>
      </w:r>
      <w:r>
        <w:rPr>
          <w:rFonts w:hint="eastAsia" w:ascii="宋体" w:hAnsi="宋体" w:cs="仿宋_GB2312"/>
          <w:szCs w:val="21"/>
          <w:u w:val="single"/>
        </w:rPr>
        <w:t>总额不超过合同价款的15%。</w:t>
      </w:r>
    </w:p>
    <w:bookmarkEnd w:id="167"/>
    <w:bookmarkEnd w:id="168"/>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w:t>
      </w:r>
      <w:bookmarkStart w:id="169" w:name="_Toc303539128"/>
      <w:bookmarkStart w:id="170" w:name="_Toc300934971"/>
      <w:bookmarkStart w:id="171" w:name="_Toc304295549"/>
      <w:bookmarkStart w:id="172" w:name="_Toc297123519"/>
      <w:bookmarkStart w:id="173" w:name="_Toc312678015"/>
      <w:bookmarkStart w:id="174" w:name="_Toc297216178"/>
      <w:r>
        <w:rPr>
          <w:rFonts w:hint="eastAsia" w:ascii="宋体" w:hAnsi="宋体" w:cs="仿宋_GB2312"/>
          <w:color w:val="000000"/>
          <w:szCs w:val="21"/>
        </w:rPr>
        <w:t>.6 不</w:t>
      </w:r>
      <w:bookmarkEnd w:id="169"/>
      <w:bookmarkEnd w:id="170"/>
      <w:bookmarkEnd w:id="171"/>
      <w:bookmarkEnd w:id="172"/>
      <w:bookmarkEnd w:id="173"/>
      <w:bookmarkEnd w:id="174"/>
      <w:r>
        <w:rPr>
          <w:rFonts w:hint="eastAsia" w:ascii="宋体" w:hAnsi="宋体" w:cs="仿宋_GB2312"/>
          <w:color w:val="000000"/>
          <w:szCs w:val="21"/>
        </w:rPr>
        <w:t>利物质条件</w:t>
      </w:r>
    </w:p>
    <w:p>
      <w:pPr>
        <w:spacing w:line="360" w:lineRule="auto"/>
        <w:ind w:firstLine="420" w:firstLineChars="200"/>
        <w:jc w:val="left"/>
        <w:rPr>
          <w:rFonts w:ascii="宋体" w:hAnsi="宋体" w:cs="仿宋_GB2312"/>
          <w:szCs w:val="21"/>
          <w:u w:val="single"/>
        </w:rPr>
      </w:pPr>
      <w:bookmarkStart w:id="175" w:name="_Toc300934972"/>
      <w:bookmarkStart w:id="176" w:name="_Toc304295550"/>
      <w:bookmarkStart w:id="177" w:name="_Toc297216179"/>
      <w:bookmarkStart w:id="178" w:name="_Toc297123520"/>
      <w:bookmarkStart w:id="179" w:name="_Toc312678016"/>
      <w:bookmarkStart w:id="180" w:name="_Toc303539129"/>
      <w:bookmarkStart w:id="181" w:name="_Toc318581172"/>
      <w:r>
        <w:rPr>
          <w:rFonts w:hint="eastAsia" w:ascii="宋体" w:hAnsi="宋体" w:cs="仿宋_GB2312"/>
          <w:szCs w:val="21"/>
        </w:rPr>
        <w:t>不利物质条件的其他情形和有关约定：</w:t>
      </w:r>
    </w:p>
    <w:p>
      <w:pPr>
        <w:tabs>
          <w:tab w:val="left" w:pos="4380"/>
        </w:tabs>
        <w:spacing w:line="360" w:lineRule="auto"/>
        <w:ind w:firstLine="420" w:firstLineChars="200"/>
        <w:jc w:val="left"/>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r>
        <w:rPr>
          <w:rFonts w:ascii="宋体" w:hAnsi="宋体" w:cs="仿宋_GB2312"/>
          <w:szCs w:val="21"/>
        </w:rPr>
        <w:tab/>
      </w:r>
    </w:p>
    <w:bookmarkEnd w:id="175"/>
    <w:bookmarkEnd w:id="176"/>
    <w:bookmarkEnd w:id="177"/>
    <w:bookmarkEnd w:id="178"/>
    <w:bookmarkEnd w:id="179"/>
    <w:bookmarkEnd w:id="180"/>
    <w:bookmarkEnd w:id="181"/>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w:t>
      </w:r>
      <w:bookmarkStart w:id="182" w:name="_Toc312678017"/>
      <w:bookmarkStart w:id="183" w:name="_Toc297123521"/>
      <w:bookmarkStart w:id="184" w:name="_Toc300934973"/>
      <w:bookmarkStart w:id="185" w:name="_Toc304295551"/>
      <w:bookmarkStart w:id="186" w:name="_Toc297216180"/>
      <w:bookmarkStart w:id="187" w:name="_Toc303539130"/>
      <w:r>
        <w:rPr>
          <w:rFonts w:hint="eastAsia" w:ascii="宋体" w:hAnsi="宋体" w:cs="仿宋_GB2312"/>
          <w:color w:val="000000"/>
          <w:szCs w:val="21"/>
        </w:rPr>
        <w:t>.7异常恶劣的气候条件</w:t>
      </w:r>
    </w:p>
    <w:bookmarkEnd w:id="182"/>
    <w:bookmarkEnd w:id="183"/>
    <w:bookmarkEnd w:id="184"/>
    <w:bookmarkEnd w:id="185"/>
    <w:bookmarkEnd w:id="186"/>
    <w:bookmarkEnd w:id="187"/>
    <w:p>
      <w:pPr>
        <w:spacing w:line="360" w:lineRule="auto"/>
        <w:ind w:firstLine="420" w:firstLineChars="200"/>
        <w:jc w:val="left"/>
        <w:rPr>
          <w:rFonts w:ascii="宋体" w:hAnsi="宋体" w:cs="仿宋_GB2312"/>
          <w:szCs w:val="21"/>
        </w:rPr>
      </w:pPr>
      <w:r>
        <w:rPr>
          <w:rFonts w:hint="eastAsia" w:ascii="宋体" w:hAnsi="宋体" w:cs="仿宋_GB2312"/>
          <w:szCs w:val="21"/>
        </w:rPr>
        <w:t>发包人和承包人同意以下情形视为异常恶劣的气候条件：</w:t>
      </w:r>
    </w:p>
    <w:p>
      <w:pPr>
        <w:numPr>
          <w:ilvl w:val="0"/>
          <w:numId w:val="4"/>
        </w:numPr>
        <w:spacing w:line="360" w:lineRule="auto"/>
        <w:ind w:firstLine="420" w:firstLineChars="200"/>
        <w:jc w:val="left"/>
        <w:rPr>
          <w:rFonts w:hint="eastAsia" w:ascii="宋体" w:hAnsi="宋体" w:cs="仿宋_GB2312"/>
          <w:szCs w:val="21"/>
        </w:rPr>
      </w:pPr>
      <w:r>
        <w:rPr>
          <w:rFonts w:hint="eastAsia" w:ascii="宋体" w:hAnsi="宋体" w:cs="仿宋_GB2312"/>
          <w:szCs w:val="21"/>
          <w:u w:val="single"/>
        </w:rPr>
        <w:t xml:space="preserve">以当地政府或建设管理部门发布的要求停工通知为准    </w:t>
      </w:r>
      <w:r>
        <w:rPr>
          <w:rFonts w:hint="eastAsia" w:ascii="宋体" w:hAnsi="宋体" w:cs="仿宋_GB2312"/>
          <w:szCs w:val="21"/>
        </w:rPr>
        <w:t>。</w:t>
      </w:r>
    </w:p>
    <w:p>
      <w:pPr>
        <w:numPr>
          <w:ilvl w:val="0"/>
          <w:numId w:val="4"/>
        </w:numPr>
        <w:spacing w:line="360" w:lineRule="auto"/>
        <w:ind w:firstLine="420" w:firstLineChars="200"/>
        <w:jc w:val="left"/>
        <w:rPr>
          <w:rFonts w:hint="eastAsia" w:ascii="宋体" w:hAnsi="宋体" w:cs="仿宋_GB2312"/>
          <w:szCs w:val="21"/>
          <w:u w:val="single"/>
        </w:rPr>
      </w:pPr>
      <w:r>
        <w:rPr>
          <w:rFonts w:hint="eastAsia" w:ascii="宋体" w:hAnsi="宋体" w:cs="仿宋_GB2312"/>
          <w:szCs w:val="21"/>
          <w:u w:val="single"/>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single"/>
        </w:rPr>
        <w:t xml:space="preserve"> 执行通用条款        ；</w:t>
      </w:r>
    </w:p>
    <w:p>
      <w:pPr>
        <w:spacing w:line="360" w:lineRule="auto"/>
        <w:ind w:firstLine="420" w:firstLineChars="200"/>
        <w:jc w:val="left"/>
        <w:rPr>
          <w:rFonts w:ascii="宋体" w:hAnsi="宋体" w:cs="仿宋_GB2312"/>
          <w:szCs w:val="21"/>
        </w:rPr>
      </w:pPr>
      <w:r>
        <w:rPr>
          <w:rFonts w:hint="eastAsia" w:ascii="宋体" w:hAnsi="宋体" w:cs="仿宋_GB2312"/>
          <w:szCs w:val="21"/>
        </w:rPr>
        <w:t>（3）</w:t>
      </w:r>
      <w:r>
        <w:rPr>
          <w:rFonts w:hint="eastAsia" w:ascii="宋体" w:hAnsi="宋体" w:cs="仿宋_GB2312"/>
          <w:szCs w:val="21"/>
          <w:u w:val="single"/>
        </w:rPr>
        <w:t xml:space="preserve">  </w:t>
      </w:r>
      <w:r>
        <w:rPr>
          <w:rFonts w:hint="eastAsia" w:ascii="宋体" w:hAnsi="宋体" w:cs="仿宋_GB2312"/>
          <w:szCs w:val="21"/>
          <w:u w:val="single"/>
          <w:lang w:val="en-US" w:eastAsia="zh-CN"/>
        </w:rPr>
        <w:t xml:space="preserve">       </w:t>
      </w:r>
      <w:r>
        <w:rPr>
          <w:rFonts w:hint="eastAsia" w:ascii="宋体" w:hAnsi="宋体" w:cs="仿宋_GB2312"/>
          <w:szCs w:val="21"/>
          <w:u w:val="single"/>
        </w:rPr>
        <w:t>执行通用条款         。</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7.9 提前竣工的奖励</w:t>
      </w:r>
    </w:p>
    <w:p>
      <w:pPr>
        <w:spacing w:line="360" w:lineRule="auto"/>
        <w:ind w:firstLine="420" w:firstLineChars="200"/>
        <w:jc w:val="left"/>
        <w:rPr>
          <w:rFonts w:ascii="宋体" w:hAnsi="宋体" w:cs="仿宋_GB2312"/>
          <w:szCs w:val="21"/>
        </w:rPr>
      </w:pPr>
      <w:r>
        <w:rPr>
          <w:rFonts w:hint="eastAsia" w:ascii="宋体" w:hAnsi="宋体" w:cs="仿宋_GB2312"/>
          <w:szCs w:val="21"/>
        </w:rPr>
        <w:t>7.9.2提前竣工的奖励：</w:t>
      </w:r>
      <w:r>
        <w:rPr>
          <w:rFonts w:hint="eastAsia" w:ascii="宋体" w:hAnsi="宋体" w:cs="仿宋_GB2312"/>
          <w:szCs w:val="21"/>
          <w:u w:val="single"/>
        </w:rPr>
        <w:t xml:space="preserve">    </w:t>
      </w:r>
      <w:r>
        <w:rPr>
          <w:rFonts w:hint="eastAsia" w:ascii="宋体" w:hAnsi="宋体" w:cs="仿宋_GB2312"/>
          <w:szCs w:val="21"/>
          <w:u w:val="single"/>
          <w:lang w:eastAsia="zh-CN"/>
        </w:rPr>
        <w:t>无</w:t>
      </w:r>
      <w:r>
        <w:rPr>
          <w:rFonts w:hint="eastAsia" w:ascii="宋体" w:hAnsi="宋体" w:cs="仿宋_GB2312"/>
          <w:szCs w:val="21"/>
          <w:u w:val="single"/>
        </w:rPr>
        <w:t xml:space="preserve">       </w:t>
      </w:r>
      <w:r>
        <w:rPr>
          <w:rFonts w:hint="eastAsia" w:ascii="宋体" w:hAnsi="宋体" w:cs="仿宋_GB2312"/>
          <w:szCs w:val="21"/>
        </w:rPr>
        <w:t>。</w:t>
      </w:r>
    </w:p>
    <w:p>
      <w:pPr>
        <w:rPr>
          <w:rFonts w:ascii="宋体" w:hAnsi="宋体" w:cs="仿宋_GB2312"/>
          <w:b/>
          <w:color w:val="000000"/>
          <w:szCs w:val="21"/>
        </w:rPr>
      </w:pPr>
      <w:bookmarkStart w:id="188" w:name="_Toc351203640"/>
      <w:r>
        <w:rPr>
          <w:rFonts w:hint="eastAsia" w:ascii="宋体" w:hAnsi="宋体" w:cs="仿宋_GB2312"/>
          <w:b/>
          <w:color w:val="000000"/>
          <w:szCs w:val="21"/>
        </w:rPr>
        <w:t>8. 材料与设备</w:t>
      </w:r>
      <w:bookmarkEnd w:id="188"/>
    </w:p>
    <w:bookmarkEnd w:id="123"/>
    <w:bookmarkEnd w:id="124"/>
    <w:bookmarkEnd w:id="125"/>
    <w:bookmarkEnd w:id="126"/>
    <w:bookmarkEnd w:id="127"/>
    <w:bookmarkEnd w:id="128"/>
    <w:bookmarkEnd w:id="129"/>
    <w:bookmarkEnd w:id="130"/>
    <w:bookmarkEnd w:id="131"/>
    <w:bookmarkEnd w:id="132"/>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8</w:t>
      </w:r>
      <w:bookmarkStart w:id="189" w:name="_Toc312678019"/>
      <w:bookmarkStart w:id="190" w:name="_Toc304295556"/>
      <w:bookmarkStart w:id="191" w:name="_Toc292559372"/>
      <w:bookmarkStart w:id="192" w:name="_Toc300934979"/>
      <w:bookmarkStart w:id="193" w:name="_Toc297120467"/>
      <w:bookmarkStart w:id="194" w:name="_Toc296891207"/>
      <w:bookmarkStart w:id="195" w:name="_Toc296944506"/>
      <w:bookmarkStart w:id="196" w:name="_Toc292559877"/>
      <w:bookmarkStart w:id="197" w:name="_Toc297216186"/>
      <w:bookmarkStart w:id="198" w:name="_Toc280868654"/>
      <w:bookmarkStart w:id="199" w:name="_Toc312677493"/>
      <w:bookmarkStart w:id="200" w:name="_Toc297123527"/>
      <w:bookmarkStart w:id="201" w:name="_Toc303539136"/>
      <w:bookmarkStart w:id="202" w:name="_Toc296346668"/>
      <w:bookmarkStart w:id="203" w:name="_Toc296347166"/>
      <w:bookmarkStart w:id="204" w:name="_Toc296890995"/>
      <w:bookmarkStart w:id="205" w:name="_Toc296503167"/>
      <w:bookmarkStart w:id="206" w:name="_Toc297048353"/>
      <w:bookmarkStart w:id="207" w:name="_Toc280868655"/>
      <w:bookmarkStart w:id="208" w:name="_Toc280868656"/>
      <w:bookmarkStart w:id="209" w:name="_Toc267251424"/>
      <w:r>
        <w:rPr>
          <w:rFonts w:hint="eastAsia" w:ascii="宋体" w:hAnsi="宋体" w:cs="仿宋_GB2312"/>
          <w:color w:val="000000"/>
          <w:szCs w:val="21"/>
        </w:rPr>
        <w:t>.4材料与工程设备的保管与使用</w:t>
      </w:r>
    </w:p>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Pr>
        <w:spacing w:line="360" w:lineRule="auto"/>
        <w:ind w:firstLine="420" w:firstLineChars="200"/>
        <w:jc w:val="left"/>
        <w:rPr>
          <w:rFonts w:ascii="宋体" w:hAnsi="宋体" w:cs="仿宋_GB2312"/>
          <w:szCs w:val="21"/>
          <w:u w:val="single"/>
        </w:rPr>
      </w:pPr>
      <w:r>
        <w:rPr>
          <w:rFonts w:hint="eastAsia" w:ascii="宋体" w:hAnsi="宋体" w:cs="仿宋_GB2312"/>
          <w:szCs w:val="21"/>
        </w:rPr>
        <w:t>8</w:t>
      </w:r>
      <w:bookmarkStart w:id="210" w:name="_Toc292559373"/>
      <w:bookmarkStart w:id="211" w:name="_Toc292559878"/>
      <w:bookmarkStart w:id="212" w:name="_Toc300934980"/>
      <w:bookmarkStart w:id="213" w:name="_Toc312677494"/>
      <w:bookmarkStart w:id="214" w:name="_Toc296944507"/>
      <w:bookmarkStart w:id="215" w:name="_Toc318581173"/>
      <w:bookmarkStart w:id="216" w:name="_Toc296503168"/>
      <w:bookmarkStart w:id="217" w:name="_Toc297048354"/>
      <w:bookmarkStart w:id="218" w:name="_Toc304295557"/>
      <w:bookmarkStart w:id="219" w:name="_Toc296890996"/>
      <w:bookmarkStart w:id="220" w:name="_Toc296347167"/>
      <w:bookmarkStart w:id="221" w:name="_Toc312678020"/>
      <w:bookmarkStart w:id="222" w:name="_Toc296891208"/>
      <w:bookmarkStart w:id="223" w:name="_Toc297123528"/>
      <w:bookmarkStart w:id="224" w:name="_Toc297216187"/>
      <w:bookmarkStart w:id="225" w:name="_Toc296346669"/>
      <w:bookmarkStart w:id="226" w:name="_Toc297120468"/>
      <w:bookmarkStart w:id="227" w:name="_Toc303539137"/>
      <w:r>
        <w:rPr>
          <w:rFonts w:hint="eastAsia" w:ascii="宋体" w:hAnsi="宋体" w:cs="仿宋_GB2312"/>
          <w:szCs w:val="21"/>
        </w:rPr>
        <w:t>.4.1发包人供应的材料设备的保管费用的承担：</w:t>
      </w:r>
    </w:p>
    <w:p>
      <w:pPr>
        <w:spacing w:line="360" w:lineRule="auto"/>
        <w:ind w:firstLine="420"/>
        <w:jc w:val="left"/>
        <w:rPr>
          <w:rFonts w:ascii="宋体" w:hAnsi="宋体" w:cs="仿宋_GB2312"/>
          <w:szCs w:val="21"/>
        </w:rPr>
      </w:pPr>
      <w:r>
        <w:rPr>
          <w:rFonts w:hint="eastAsia" w:ascii="宋体" w:hAnsi="宋体" w:cs="仿宋_GB2312"/>
          <w:szCs w:val="21"/>
          <w:u w:val="single"/>
        </w:rPr>
        <w:t xml:space="preserve"> 执行通用条款           </w:t>
      </w:r>
      <w:r>
        <w:rPr>
          <w:rFonts w:hint="eastAsia" w:ascii="宋体" w:hAnsi="宋体" w:cs="仿宋_GB2312"/>
          <w:szCs w:val="21"/>
        </w:rPr>
        <w:t>。</w:t>
      </w:r>
      <w:bookmarkEnd w:id="210"/>
      <w:bookmarkEnd w:id="211"/>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8.6 样品</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8.6.1</w:t>
      </w:r>
      <w:r>
        <w:rPr>
          <w:rFonts w:hint="eastAsia" w:ascii="宋体" w:hAnsi="宋体" w:cs="仿宋_GB2312"/>
          <w:color w:val="000000"/>
          <w:kern w:val="0"/>
          <w:szCs w:val="21"/>
        </w:rPr>
        <w:tab/>
      </w:r>
      <w:r>
        <w:rPr>
          <w:rFonts w:hint="eastAsia" w:ascii="宋体" w:hAnsi="宋体" w:cs="仿宋_GB2312"/>
          <w:color w:val="000000"/>
          <w:kern w:val="0"/>
          <w:szCs w:val="21"/>
        </w:rPr>
        <w:t>样品的报送与封存</w:t>
      </w:r>
    </w:p>
    <w:p>
      <w:pPr>
        <w:autoSpaceDE w:val="0"/>
        <w:autoSpaceDN w:val="0"/>
        <w:adjustRightInd w:val="0"/>
        <w:spacing w:line="360" w:lineRule="auto"/>
        <w:ind w:firstLine="420" w:firstLineChars="200"/>
        <w:jc w:val="left"/>
        <w:rPr>
          <w:rFonts w:ascii="宋体" w:hAnsi="宋体" w:cs="仿宋_GB2312"/>
          <w:szCs w:val="21"/>
          <w:u w:val="single"/>
        </w:rPr>
      </w:pPr>
      <w:r>
        <w:rPr>
          <w:rFonts w:hint="eastAsia" w:ascii="宋体" w:hAnsi="宋体" w:cs="仿宋_GB2312"/>
          <w:color w:val="000000"/>
          <w:kern w:val="0"/>
          <w:szCs w:val="21"/>
        </w:rPr>
        <w:t>需要承包人报送样品的材料或工程设备，样品的种类、名称、规格、数量要求：</w:t>
      </w:r>
    </w:p>
    <w:p>
      <w:pPr>
        <w:autoSpaceDE w:val="0"/>
        <w:autoSpaceDN w:val="0"/>
        <w:adjustRightInd w:val="0"/>
        <w:spacing w:line="360" w:lineRule="auto"/>
        <w:ind w:firstLine="420"/>
        <w:jc w:val="left"/>
        <w:rPr>
          <w:rFonts w:ascii="宋体" w:hAnsi="宋体" w:cs="仿宋_GB2312"/>
          <w:szCs w:val="21"/>
        </w:rPr>
      </w:pPr>
      <w:r>
        <w:rPr>
          <w:rFonts w:hint="eastAsia" w:ascii="宋体" w:hAnsi="宋体" w:cs="仿宋_GB2312"/>
          <w:szCs w:val="21"/>
          <w:u w:val="single"/>
        </w:rPr>
        <w:t xml:space="preserve">执行通用条款且必须符合招标文件要求。        </w:t>
      </w:r>
      <w:r>
        <w:rPr>
          <w:rFonts w:hint="eastAsia" w:ascii="宋体" w:hAnsi="宋体" w:cs="仿宋_GB2312"/>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8.8 施工设备和临时设施</w:t>
      </w:r>
    </w:p>
    <w:p>
      <w:pPr>
        <w:autoSpaceDE w:val="0"/>
        <w:autoSpaceDN w:val="0"/>
        <w:adjustRightInd w:val="0"/>
        <w:spacing w:line="360" w:lineRule="auto"/>
        <w:ind w:firstLine="420" w:firstLineChars="200"/>
        <w:jc w:val="left"/>
        <w:rPr>
          <w:rFonts w:ascii="宋体" w:hAnsi="宋体" w:cs="仿宋_GB2312"/>
          <w:szCs w:val="21"/>
        </w:rPr>
      </w:pPr>
      <w:r>
        <w:rPr>
          <w:rFonts w:hint="eastAsia" w:ascii="宋体" w:hAnsi="宋体" w:cs="仿宋_GB2312"/>
          <w:szCs w:val="21"/>
        </w:rPr>
        <w:t>8.8.1 承包人提供的施工设备和临时设施</w:t>
      </w:r>
    </w:p>
    <w:p>
      <w:pPr>
        <w:autoSpaceDE w:val="0"/>
        <w:autoSpaceDN w:val="0"/>
        <w:adjustRightInd w:val="0"/>
        <w:spacing w:line="360" w:lineRule="auto"/>
        <w:ind w:firstLine="420" w:firstLineChars="200"/>
        <w:jc w:val="left"/>
        <w:rPr>
          <w:rFonts w:ascii="宋体" w:hAnsi="宋体" w:cs="仿宋_GB2312"/>
          <w:szCs w:val="21"/>
        </w:rPr>
      </w:pPr>
      <w:r>
        <w:rPr>
          <w:rFonts w:hint="eastAsia" w:ascii="宋体" w:hAnsi="宋体" w:cs="仿宋_GB2312"/>
          <w:szCs w:val="21"/>
        </w:rPr>
        <w:t>关于修建临时设施费用承担的约定：</w:t>
      </w:r>
      <w:r>
        <w:rPr>
          <w:rFonts w:hint="eastAsia" w:ascii="宋体" w:hAnsi="宋体" w:cs="仿宋_GB2312"/>
          <w:szCs w:val="21"/>
          <w:u w:val="single"/>
        </w:rPr>
        <w:t xml:space="preserve">  执行通用条款           </w:t>
      </w:r>
      <w:r>
        <w:rPr>
          <w:rFonts w:hint="eastAsia" w:ascii="宋体" w:hAnsi="宋体" w:cs="仿宋_GB2312"/>
          <w:szCs w:val="21"/>
        </w:rPr>
        <w:t>。</w:t>
      </w:r>
    </w:p>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Pr>
        <w:rPr>
          <w:rFonts w:ascii="宋体" w:hAnsi="宋体" w:cs="仿宋_GB2312"/>
          <w:b/>
          <w:color w:val="000000"/>
          <w:szCs w:val="21"/>
        </w:rPr>
      </w:pPr>
      <w:bookmarkStart w:id="228" w:name="_Toc351203641"/>
      <w:r>
        <w:rPr>
          <w:rFonts w:hint="eastAsia" w:ascii="宋体" w:hAnsi="宋体" w:cs="仿宋_GB2312"/>
          <w:b/>
          <w:color w:val="000000"/>
          <w:szCs w:val="21"/>
        </w:rPr>
        <w:t>9</w:t>
      </w:r>
      <w:bookmarkEnd w:id="207"/>
      <w:bookmarkEnd w:id="208"/>
      <w:bookmarkEnd w:id="209"/>
      <w:bookmarkStart w:id="229" w:name="_Toc297123533"/>
      <w:bookmarkStart w:id="230" w:name="_Toc300934982"/>
      <w:bookmarkStart w:id="231" w:name="_Toc312678021"/>
      <w:bookmarkStart w:id="232" w:name="_Toc297216192"/>
      <w:bookmarkStart w:id="233" w:name="_Toc312677495"/>
      <w:bookmarkStart w:id="234" w:name="_Toc304295559"/>
      <w:bookmarkStart w:id="235" w:name="_Toc303539139"/>
      <w:bookmarkStart w:id="236" w:name="_Toc296891213"/>
      <w:bookmarkStart w:id="237" w:name="_Toc292559378"/>
      <w:bookmarkStart w:id="238" w:name="_Toc297048359"/>
      <w:bookmarkStart w:id="239" w:name="_Toc296347172"/>
      <w:bookmarkStart w:id="240" w:name="_Toc267251428"/>
      <w:bookmarkStart w:id="241" w:name="_Toc296346674"/>
      <w:bookmarkStart w:id="242" w:name="_Toc267251427"/>
      <w:bookmarkStart w:id="243" w:name="_Toc297120473"/>
      <w:bookmarkStart w:id="244" w:name="_Toc296503173"/>
      <w:bookmarkStart w:id="245" w:name="_Toc296944512"/>
      <w:bookmarkStart w:id="246" w:name="_Toc296891001"/>
      <w:bookmarkStart w:id="247" w:name="_Toc292559883"/>
      <w:r>
        <w:rPr>
          <w:rFonts w:hint="eastAsia" w:ascii="宋体" w:hAnsi="宋体" w:cs="仿宋_GB2312"/>
          <w:b/>
          <w:color w:val="000000"/>
          <w:szCs w:val="21"/>
        </w:rPr>
        <w:t>. 试验与检验</w:t>
      </w:r>
      <w:bookmarkEnd w:id="228"/>
    </w:p>
    <w:bookmarkEnd w:id="229"/>
    <w:bookmarkEnd w:id="230"/>
    <w:bookmarkEnd w:id="231"/>
    <w:bookmarkEnd w:id="232"/>
    <w:bookmarkEnd w:id="233"/>
    <w:bookmarkEnd w:id="234"/>
    <w:bookmarkEnd w:id="235"/>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9</w:t>
      </w:r>
      <w:bookmarkStart w:id="248" w:name="_Toc304295560"/>
      <w:bookmarkStart w:id="249" w:name="_Toc300934983"/>
      <w:bookmarkStart w:id="250" w:name="_Toc312678022"/>
      <w:bookmarkStart w:id="251" w:name="_Toc297216193"/>
      <w:bookmarkStart w:id="252" w:name="_Toc303539140"/>
      <w:bookmarkStart w:id="253" w:name="_Toc297123534"/>
      <w:bookmarkStart w:id="254" w:name="_Toc312677496"/>
      <w:r>
        <w:rPr>
          <w:rFonts w:hint="eastAsia" w:ascii="宋体" w:hAnsi="宋体" w:cs="仿宋_GB2312"/>
          <w:color w:val="000000"/>
          <w:szCs w:val="21"/>
        </w:rPr>
        <w:t>.1试验设备与试验人员</w:t>
      </w:r>
    </w:p>
    <w:bookmarkEnd w:id="248"/>
    <w:bookmarkEnd w:id="249"/>
    <w:bookmarkEnd w:id="250"/>
    <w:bookmarkEnd w:id="251"/>
    <w:bookmarkEnd w:id="252"/>
    <w:bookmarkEnd w:id="253"/>
    <w:bookmarkEnd w:id="254"/>
    <w:p>
      <w:pPr>
        <w:spacing w:line="360" w:lineRule="auto"/>
        <w:ind w:firstLine="420" w:firstLineChars="200"/>
        <w:jc w:val="left"/>
        <w:rPr>
          <w:rFonts w:ascii="宋体" w:hAnsi="宋体" w:cs="仿宋_GB2312"/>
          <w:szCs w:val="21"/>
        </w:rPr>
      </w:pPr>
      <w:r>
        <w:rPr>
          <w:rFonts w:hint="eastAsia" w:ascii="宋体" w:hAnsi="宋体" w:cs="仿宋_GB2312"/>
          <w:szCs w:val="21"/>
        </w:rPr>
        <w:t>9</w:t>
      </w:r>
      <w:bookmarkStart w:id="255" w:name="_Toc297123535"/>
      <w:bookmarkStart w:id="256" w:name="_Toc312677497"/>
      <w:bookmarkStart w:id="257" w:name="_Toc300934984"/>
      <w:bookmarkStart w:id="258" w:name="_Toc303539141"/>
      <w:bookmarkStart w:id="259" w:name="_Toc297216194"/>
      <w:bookmarkStart w:id="260" w:name="_Toc304295561"/>
      <w:bookmarkStart w:id="261" w:name="_Toc312678023"/>
      <w:bookmarkStart w:id="262" w:name="_Toc318581174"/>
      <w:r>
        <w:rPr>
          <w:rFonts w:hint="eastAsia" w:ascii="宋体" w:hAnsi="宋体" w:cs="仿宋_GB2312"/>
          <w:szCs w:val="21"/>
        </w:rPr>
        <w:t>.1.2 试验设备</w:t>
      </w:r>
    </w:p>
    <w:p>
      <w:pPr>
        <w:spacing w:line="360" w:lineRule="auto"/>
        <w:ind w:firstLine="420" w:firstLineChars="200"/>
        <w:jc w:val="left"/>
        <w:rPr>
          <w:rFonts w:ascii="宋体" w:hAnsi="宋体" w:cs="仿宋_GB2312"/>
          <w:szCs w:val="21"/>
        </w:rPr>
      </w:pPr>
      <w:r>
        <w:rPr>
          <w:rFonts w:hint="eastAsia" w:ascii="宋体" w:hAnsi="宋体" w:cs="仿宋_GB2312"/>
          <w:szCs w:val="21"/>
        </w:rPr>
        <w:t>施工现场需要配置的试验场所：</w:t>
      </w:r>
      <w:bookmarkEnd w:id="255"/>
      <w:bookmarkEnd w:id="256"/>
      <w:bookmarkEnd w:id="257"/>
      <w:bookmarkEnd w:id="258"/>
      <w:bookmarkEnd w:id="259"/>
      <w:bookmarkEnd w:id="260"/>
      <w:bookmarkEnd w:id="261"/>
      <w:bookmarkStart w:id="263" w:name="_Toc304295562"/>
      <w:bookmarkStart w:id="264" w:name="_Toc297216195"/>
      <w:bookmarkStart w:id="265" w:name="_Toc312677498"/>
      <w:bookmarkStart w:id="266" w:name="_Toc312678024"/>
      <w:bookmarkStart w:id="267" w:name="_Toc297123536"/>
      <w:bookmarkStart w:id="268" w:name="_Toc303539142"/>
      <w:bookmarkStart w:id="269" w:name="_Toc300934985"/>
      <w:r>
        <w:rPr>
          <w:rFonts w:hint="eastAsia" w:ascii="宋体" w:hAnsi="宋体" w:cs="仿宋_GB2312"/>
          <w:szCs w:val="21"/>
          <w:u w:val="single"/>
        </w:rPr>
        <w:t xml:space="preserve">根据工程需要。 </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施工现场需要配备的试验设备：</w:t>
      </w:r>
      <w:r>
        <w:rPr>
          <w:rFonts w:hint="eastAsia" w:ascii="宋体" w:hAnsi="宋体" w:cs="仿宋_GB2312"/>
          <w:szCs w:val="21"/>
          <w:u w:val="single"/>
        </w:rPr>
        <w:t>按工程要求配置。</w:t>
      </w:r>
    </w:p>
    <w:p>
      <w:pPr>
        <w:spacing w:line="360" w:lineRule="auto"/>
        <w:ind w:firstLine="420" w:firstLineChars="200"/>
        <w:jc w:val="left"/>
        <w:rPr>
          <w:rFonts w:ascii="宋体" w:hAnsi="宋体" w:cs="仿宋_GB2312"/>
          <w:szCs w:val="21"/>
        </w:rPr>
      </w:pPr>
      <w:r>
        <w:rPr>
          <w:rFonts w:hint="eastAsia" w:ascii="宋体" w:hAnsi="宋体" w:cs="仿宋_GB2312"/>
          <w:szCs w:val="21"/>
        </w:rPr>
        <w:t>施工现场需要具备的其他试验条件：</w:t>
      </w:r>
      <w:r>
        <w:rPr>
          <w:rFonts w:hint="eastAsia" w:ascii="宋体" w:hAnsi="宋体" w:cs="仿宋_GB2312"/>
          <w:szCs w:val="21"/>
          <w:u w:val="single"/>
        </w:rPr>
        <w:t xml:space="preserve">执行通用条款  </w:t>
      </w:r>
      <w:r>
        <w:rPr>
          <w:rFonts w:hint="eastAsia" w:ascii="宋体" w:hAnsi="宋体" w:cs="仿宋_GB2312"/>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 xml:space="preserve">9.4 现场工艺试验 </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现场工艺试验的有关约定：</w:t>
      </w:r>
    </w:p>
    <w:p>
      <w:pPr>
        <w:spacing w:line="360" w:lineRule="auto"/>
        <w:ind w:firstLine="420"/>
        <w:jc w:val="left"/>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bookmarkEnd w:id="262"/>
    <w:bookmarkEnd w:id="263"/>
    <w:bookmarkEnd w:id="264"/>
    <w:bookmarkEnd w:id="265"/>
    <w:bookmarkEnd w:id="266"/>
    <w:bookmarkEnd w:id="267"/>
    <w:bookmarkEnd w:id="268"/>
    <w:bookmarkEnd w:id="269"/>
    <w:p>
      <w:pPr>
        <w:rPr>
          <w:rFonts w:ascii="宋体" w:hAnsi="宋体" w:cs="仿宋_GB2312"/>
          <w:b/>
          <w:color w:val="000000"/>
          <w:szCs w:val="21"/>
        </w:rPr>
      </w:pPr>
      <w:bookmarkStart w:id="270" w:name="_Toc351203642"/>
      <w:r>
        <w:rPr>
          <w:rFonts w:hint="eastAsia" w:ascii="宋体" w:hAnsi="宋体" w:cs="仿宋_GB2312"/>
          <w:b/>
          <w:color w:val="000000"/>
          <w:szCs w:val="21"/>
        </w:rPr>
        <w:t>1</w:t>
      </w:r>
      <w:bookmarkEnd w:id="236"/>
      <w:bookmarkEnd w:id="237"/>
      <w:bookmarkEnd w:id="238"/>
      <w:bookmarkEnd w:id="239"/>
      <w:bookmarkEnd w:id="240"/>
      <w:bookmarkEnd w:id="241"/>
      <w:bookmarkEnd w:id="242"/>
      <w:bookmarkEnd w:id="243"/>
      <w:bookmarkEnd w:id="244"/>
      <w:bookmarkEnd w:id="245"/>
      <w:bookmarkEnd w:id="246"/>
      <w:bookmarkEnd w:id="247"/>
      <w:bookmarkStart w:id="271" w:name="_Toc296347192"/>
      <w:bookmarkStart w:id="272" w:name="_Toc297123540"/>
      <w:bookmarkStart w:id="273" w:name="_Toc297048379"/>
      <w:bookmarkStart w:id="274" w:name="_Toc296503193"/>
      <w:bookmarkStart w:id="275" w:name="_Toc296891233"/>
      <w:bookmarkStart w:id="276" w:name="_Toc297120493"/>
      <w:bookmarkStart w:id="277" w:name="_Toc297216199"/>
      <w:bookmarkStart w:id="278" w:name="_Toc296891021"/>
      <w:bookmarkStart w:id="279" w:name="_Toc296346694"/>
      <w:bookmarkStart w:id="280" w:name="_Toc303539146"/>
      <w:bookmarkStart w:id="281" w:name="_Toc292559398"/>
      <w:bookmarkStart w:id="282" w:name="_Toc292559903"/>
      <w:bookmarkStart w:id="283" w:name="_Toc300934989"/>
      <w:bookmarkStart w:id="284" w:name="_Toc296944532"/>
      <w:bookmarkStart w:id="285" w:name="_Toc304295566"/>
      <w:bookmarkStart w:id="286" w:name="_Toc312677499"/>
      <w:bookmarkStart w:id="287" w:name="_Toc312678025"/>
      <w:bookmarkStart w:id="288" w:name="_Toc267251441"/>
      <w:bookmarkStart w:id="289" w:name="_Toc267251440"/>
      <w:bookmarkStart w:id="290" w:name="_Toc267251435"/>
      <w:bookmarkStart w:id="291" w:name="_Toc267251437"/>
      <w:bookmarkStart w:id="292" w:name="_Toc267251439"/>
      <w:bookmarkStart w:id="293" w:name="_Toc267251433"/>
      <w:bookmarkStart w:id="294" w:name="_Toc267251442"/>
      <w:r>
        <w:rPr>
          <w:rFonts w:hint="eastAsia" w:ascii="宋体" w:hAnsi="宋体" w:cs="仿宋_GB2312"/>
          <w:b/>
          <w:color w:val="000000"/>
          <w:szCs w:val="21"/>
        </w:rPr>
        <w:t>0. 变更</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bookmarkEnd w:id="286"/>
    <w:bookmarkEnd w:id="287"/>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w:t>
      </w:r>
      <w:bookmarkStart w:id="295" w:name="_Toc296347193"/>
      <w:bookmarkStart w:id="296" w:name="_Toc296346695"/>
      <w:bookmarkStart w:id="297" w:name="_Toc292559399"/>
      <w:bookmarkStart w:id="298" w:name="_Toc297048380"/>
      <w:bookmarkStart w:id="299" w:name="_Toc312678026"/>
      <w:bookmarkStart w:id="300" w:name="_Toc304295567"/>
      <w:bookmarkStart w:id="301" w:name="_Toc312677500"/>
      <w:bookmarkStart w:id="302" w:name="_Toc296503194"/>
      <w:bookmarkStart w:id="303" w:name="_Toc303539147"/>
      <w:bookmarkStart w:id="304" w:name="_Toc292559904"/>
      <w:bookmarkStart w:id="305" w:name="_Toc296891234"/>
      <w:bookmarkStart w:id="306" w:name="_Toc296944533"/>
      <w:bookmarkStart w:id="307" w:name="_Toc300934990"/>
      <w:bookmarkStart w:id="308" w:name="_Toc297123541"/>
      <w:bookmarkStart w:id="309" w:name="_Toc297216200"/>
      <w:bookmarkStart w:id="310" w:name="_Toc296891022"/>
      <w:bookmarkStart w:id="311" w:name="_Toc297120494"/>
      <w:r>
        <w:rPr>
          <w:rFonts w:hint="eastAsia" w:ascii="宋体" w:hAnsi="宋体" w:cs="仿宋_GB2312"/>
          <w:color w:val="000000"/>
          <w:szCs w:val="21"/>
        </w:rPr>
        <w:t>0.1变更的范围</w:t>
      </w:r>
    </w:p>
    <w:p>
      <w:pPr>
        <w:spacing w:line="360" w:lineRule="auto"/>
        <w:ind w:firstLine="420"/>
        <w:jc w:val="left"/>
        <w:rPr>
          <w:rFonts w:ascii="宋体" w:hAnsi="宋体" w:cs="仿宋_GB2312"/>
          <w:color w:val="000000"/>
          <w:szCs w:val="21"/>
        </w:rPr>
      </w:pPr>
      <w:r>
        <w:rPr>
          <w:rFonts w:hint="eastAsia" w:ascii="宋体" w:hAnsi="宋体" w:cs="仿宋_GB2312"/>
          <w:color w:val="000000"/>
          <w:szCs w:val="21"/>
        </w:rPr>
        <w:t>关于变更的范围的约定：</w:t>
      </w:r>
      <w:r>
        <w:rPr>
          <w:rFonts w:hint="eastAsia" w:ascii="宋体" w:hAnsi="宋体" w:cs="仿宋_GB2312"/>
          <w:color w:val="000000"/>
          <w:szCs w:val="21"/>
          <w:u w:val="single"/>
        </w:rPr>
        <w:t>经发包人和监理人共同确认的通用合同条款事项； 经发包人确认的设计变更；经发包人、监理人和承包人确认的经济签证；发包人提供的工程量清单的错项漏项的调整。其余变更的范围的约定：执行通用条款。</w:t>
      </w:r>
    </w:p>
    <w:p>
      <w:pPr>
        <w:spacing w:after="120" w:line="360" w:lineRule="auto"/>
        <w:ind w:firstLine="424" w:firstLineChars="202"/>
        <w:rPr>
          <w:rFonts w:ascii="宋体" w:hAnsi="宋体" w:cs="仿宋_GB2312"/>
          <w:color w:val="000000"/>
          <w:szCs w:val="21"/>
        </w:rPr>
      </w:pPr>
      <w:r>
        <w:rPr>
          <w:rFonts w:hint="eastAsia" w:ascii="宋体" w:hAnsi="宋体" w:cs="仿宋_GB2312"/>
          <w:color w:val="000000"/>
          <w:szCs w:val="21"/>
        </w:rPr>
        <w:t>10.4 变更估价</w:t>
      </w:r>
    </w:p>
    <w:p>
      <w:pPr>
        <w:spacing w:line="360" w:lineRule="auto"/>
        <w:ind w:firstLine="420" w:firstLineChars="200"/>
        <w:jc w:val="left"/>
        <w:rPr>
          <w:rFonts w:ascii="宋体" w:hAnsi="宋体" w:cs="仿宋_GB2312"/>
          <w:szCs w:val="21"/>
        </w:rPr>
      </w:pPr>
      <w:r>
        <w:rPr>
          <w:rFonts w:hint="eastAsia" w:ascii="宋体" w:hAnsi="宋体" w:cs="仿宋_GB2312"/>
          <w:szCs w:val="21"/>
        </w:rPr>
        <w:t>10.4.1 变更估价原则</w:t>
      </w:r>
    </w:p>
    <w:p>
      <w:pPr>
        <w:spacing w:line="360" w:lineRule="auto"/>
        <w:ind w:firstLine="420" w:firstLineChars="200"/>
        <w:jc w:val="left"/>
        <w:rPr>
          <w:rFonts w:hint="eastAsia" w:ascii="宋体" w:hAnsi="宋体" w:cs="仿宋_GB2312"/>
          <w:color w:val="000000"/>
          <w:szCs w:val="21"/>
        </w:rPr>
      </w:pPr>
      <w:r>
        <w:rPr>
          <w:rFonts w:hint="eastAsia" w:ascii="宋体" w:hAnsi="宋体" w:cs="仿宋_GB2312"/>
          <w:color w:val="000000"/>
          <w:szCs w:val="21"/>
        </w:rPr>
        <w:t>关于变更估价的约定</w:t>
      </w:r>
      <w:r>
        <w:rPr>
          <w:rFonts w:ascii="宋体" w:hAnsi="宋体" w:cs="仿宋_GB2312"/>
          <w:color w:val="000000"/>
          <w:szCs w:val="21"/>
        </w:rPr>
        <w:t>：</w:t>
      </w:r>
      <w:r>
        <w:rPr>
          <w:rFonts w:hint="eastAsia" w:ascii="宋体" w:hAnsi="宋体" w:cs="仿宋_GB2312"/>
          <w:color w:val="000000"/>
          <w:szCs w:val="21"/>
          <w:u w:val="single"/>
        </w:rPr>
        <w:t>（一）工程主材发生变更，经发包人确认后，主材仅计取税金；</w:t>
      </w:r>
    </w:p>
    <w:p>
      <w:pPr>
        <w:spacing w:line="360" w:lineRule="auto"/>
        <w:ind w:firstLine="420" w:firstLineChars="200"/>
        <w:jc w:val="left"/>
        <w:rPr>
          <w:rFonts w:hint="eastAsia" w:ascii="宋体" w:hAnsi="宋体" w:cs="仿宋_GB2312"/>
          <w:color w:val="000000"/>
          <w:szCs w:val="21"/>
          <w:u w:val="single"/>
        </w:rPr>
      </w:pPr>
      <w:r>
        <w:rPr>
          <w:rFonts w:hint="eastAsia" w:ascii="宋体" w:hAnsi="宋体" w:cs="仿宋_GB2312"/>
          <w:color w:val="000000"/>
          <w:szCs w:val="21"/>
          <w:u w:val="single"/>
        </w:rPr>
        <w:t>（二）重新组价项目（格式仍采用清单格式），按2010年现行定额套用相应的工程类别，最终造价乘以承包人报价浮动率；</w:t>
      </w:r>
    </w:p>
    <w:p>
      <w:pPr>
        <w:spacing w:line="360" w:lineRule="auto"/>
        <w:ind w:firstLine="420" w:firstLineChars="200"/>
        <w:jc w:val="left"/>
        <w:rPr>
          <w:rFonts w:hint="eastAsia" w:ascii="宋体" w:hAnsi="宋体" w:cs="仿宋_GB2312"/>
          <w:color w:val="000000"/>
          <w:szCs w:val="21"/>
          <w:u w:val="single"/>
        </w:rPr>
      </w:pPr>
      <w:r>
        <w:rPr>
          <w:rFonts w:hint="eastAsia" w:ascii="宋体" w:hAnsi="宋体" w:cs="仿宋_GB2312"/>
          <w:color w:val="000000"/>
          <w:szCs w:val="21"/>
          <w:u w:val="single"/>
        </w:rPr>
        <w:t>（三）工程变更引起已标价工程量清单项目或其工程数量发生变化的：</w:t>
      </w:r>
    </w:p>
    <w:p>
      <w:pPr>
        <w:spacing w:line="360" w:lineRule="auto"/>
        <w:ind w:firstLine="420" w:firstLineChars="200"/>
        <w:jc w:val="left"/>
        <w:rPr>
          <w:rFonts w:hint="eastAsia" w:ascii="宋体" w:hAnsi="宋体" w:cs="仿宋_GB2312"/>
          <w:color w:val="000000"/>
          <w:szCs w:val="21"/>
          <w:u w:val="single"/>
        </w:rPr>
      </w:pPr>
      <w:r>
        <w:rPr>
          <w:rFonts w:hint="eastAsia" w:ascii="宋体" w:hAnsi="宋体" w:cs="仿宋_GB2312"/>
          <w:color w:val="000000"/>
          <w:szCs w:val="21"/>
          <w:u w:val="single"/>
        </w:rPr>
        <w:t>（1）已标价工程量清单中有适用于变更工程项目的，采用该项目单价。</w:t>
      </w:r>
    </w:p>
    <w:p>
      <w:pPr>
        <w:spacing w:line="360" w:lineRule="auto"/>
        <w:ind w:firstLine="420" w:firstLineChars="200"/>
        <w:jc w:val="left"/>
        <w:rPr>
          <w:rFonts w:hint="eastAsia" w:ascii="宋体" w:hAnsi="宋体" w:cs="仿宋_GB2312"/>
          <w:color w:val="000000"/>
          <w:szCs w:val="21"/>
          <w:u w:val="single"/>
        </w:rPr>
      </w:pPr>
      <w:r>
        <w:rPr>
          <w:rFonts w:hint="eastAsia" w:ascii="宋体" w:hAnsi="宋体" w:cs="仿宋_GB2312"/>
          <w:color w:val="000000"/>
          <w:szCs w:val="21"/>
          <w:u w:val="single"/>
        </w:rPr>
        <w:t>（2）已标价工程量清单中没有适用但有类似于变更工程项目的，在合理范围内参照类似项目的单价 。</w:t>
      </w:r>
    </w:p>
    <w:p>
      <w:pPr>
        <w:spacing w:line="360" w:lineRule="auto"/>
        <w:ind w:firstLine="420" w:firstLineChars="200"/>
        <w:jc w:val="left"/>
        <w:rPr>
          <w:rFonts w:hint="eastAsia" w:ascii="宋体" w:hAnsi="宋体" w:cs="仿宋_GB2312"/>
          <w:color w:val="000000"/>
          <w:szCs w:val="21"/>
          <w:u w:val="single"/>
        </w:rPr>
      </w:pPr>
      <w:r>
        <w:rPr>
          <w:rFonts w:hint="eastAsia" w:ascii="宋体" w:hAnsi="宋体" w:cs="仿宋_GB2312"/>
          <w:color w:val="000000"/>
          <w:szCs w:val="21"/>
          <w:u w:val="single"/>
        </w:rPr>
        <w:t>变更导致实际完成的变更工程量与已标价工程量清单或预算书中列明的清单项目的工程量偏差超过15%时，该项目单价的调整原则为：当工程量增加 15%以上时，其增加部分的工程量的综合单价应予调低；当工程量减少 15%以上时，减少后剩余部分的工程量的综合单价应予调高。同时，如果工程变更项目出现承包人在工程量清单中填报的综合单价与发包人招标控制价或施工图预算相应清单项目的综合单价偏差超过 15%，按《2013建设工程计价计量规范》的工程量偏差计价调整的约定执行。</w:t>
      </w:r>
    </w:p>
    <w:p>
      <w:pPr>
        <w:spacing w:line="360" w:lineRule="auto"/>
        <w:ind w:firstLine="420" w:firstLineChars="200"/>
        <w:jc w:val="left"/>
        <w:rPr>
          <w:rFonts w:hint="eastAsia" w:ascii="宋体" w:hAnsi="宋体" w:cs="仿宋_GB2312"/>
          <w:color w:val="000000"/>
          <w:szCs w:val="21"/>
          <w:u w:val="single"/>
        </w:rPr>
      </w:pPr>
      <w:r>
        <w:rPr>
          <w:rFonts w:hint="eastAsia" w:ascii="宋体" w:hAnsi="宋体" w:cs="仿宋_GB2312"/>
          <w:color w:val="000000"/>
          <w:szCs w:val="21"/>
          <w:u w:val="single"/>
        </w:rPr>
        <w:t>（3）已标价工程量清单中无相同项目及类似项目单价的，根据计量 规则和计价办法，执行合同内的材料价格、工程设备价格和施工机械费用，执行合同中相关规费及税金，执行承包人报价浮动率，合同中没有的材料和设备价格，按甲、乙双方协商确定价格进行执行；人工单价按照工程造价管理机构发布的人工费文件进行调整。</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u w:val="single"/>
        </w:rPr>
        <w:t xml:space="preserve">（4）清单特征描述不详或不准确的，投标时承包人未提出异议的，以施工图纸为准，综合单价不予调整 。 </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Start w:id="312" w:name="_Toc296347196"/>
      <w:bookmarkStart w:id="313" w:name="_Toc297120497"/>
      <w:bookmarkStart w:id="314" w:name="_Toc297123544"/>
      <w:bookmarkStart w:id="315" w:name="_Toc296944536"/>
      <w:bookmarkStart w:id="316" w:name="_Toc303539150"/>
      <w:bookmarkStart w:id="317" w:name="_Toc296891025"/>
      <w:bookmarkStart w:id="318" w:name="_Toc296891237"/>
      <w:bookmarkStart w:id="319" w:name="_Toc297216203"/>
      <w:bookmarkStart w:id="320" w:name="_Toc296346698"/>
      <w:bookmarkStart w:id="321" w:name="_Toc297048383"/>
      <w:bookmarkStart w:id="322" w:name="_Toc292559402"/>
      <w:bookmarkStart w:id="323" w:name="_Toc296503197"/>
      <w:bookmarkStart w:id="324" w:name="_Toc292559907"/>
      <w:bookmarkStart w:id="325" w:name="_Toc300934993"/>
      <w:bookmarkStart w:id="326" w:name="_Toc304295570"/>
      <w:bookmarkStart w:id="327" w:name="_Toc312678029"/>
      <w:bookmarkStart w:id="328" w:name="_Toc312677503"/>
      <w:r>
        <w:rPr>
          <w:rFonts w:hint="eastAsia" w:ascii="宋体" w:hAnsi="宋体" w:cs="仿宋_GB2312"/>
          <w:color w:val="000000"/>
          <w:szCs w:val="21"/>
        </w:rPr>
        <w:t>0.5承</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Start w:id="329" w:name="_Toc296891243"/>
      <w:bookmarkStart w:id="330" w:name="_Toc296944542"/>
      <w:bookmarkStart w:id="331" w:name="_Toc292559408"/>
      <w:bookmarkStart w:id="332" w:name="_Toc297048389"/>
      <w:bookmarkStart w:id="333" w:name="_Toc296503203"/>
      <w:bookmarkStart w:id="334" w:name="_Toc296347202"/>
      <w:bookmarkStart w:id="335" w:name="_Toc300934994"/>
      <w:bookmarkStart w:id="336" w:name="_Toc297216204"/>
      <w:bookmarkStart w:id="337" w:name="_Toc296891031"/>
      <w:bookmarkStart w:id="338" w:name="_Toc296346704"/>
      <w:bookmarkStart w:id="339" w:name="_Toc303539151"/>
      <w:bookmarkStart w:id="340" w:name="_Toc292559913"/>
      <w:bookmarkStart w:id="341" w:name="_Toc297123545"/>
      <w:bookmarkStart w:id="342" w:name="_Toc297120503"/>
      <w:r>
        <w:rPr>
          <w:rFonts w:hint="eastAsia" w:ascii="宋体" w:hAnsi="宋体" w:cs="仿宋_GB2312"/>
          <w:color w:val="000000"/>
          <w:szCs w:val="21"/>
        </w:rPr>
        <w:t>包人的合理化建议</w:t>
      </w: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Pr>
        <w:spacing w:line="360" w:lineRule="auto"/>
        <w:ind w:firstLine="420" w:firstLineChars="200"/>
        <w:jc w:val="left"/>
        <w:rPr>
          <w:rFonts w:ascii="宋体" w:hAnsi="宋体" w:cs="仿宋_GB2312"/>
          <w:szCs w:val="21"/>
        </w:rPr>
      </w:pPr>
      <w:r>
        <w:rPr>
          <w:rFonts w:hint="eastAsia" w:ascii="宋体" w:hAnsi="宋体" w:cs="仿宋_GB2312"/>
          <w:szCs w:val="21"/>
        </w:rPr>
        <w:t>监理人审查承包人合理化建议的期限：</w:t>
      </w:r>
      <w:r>
        <w:rPr>
          <w:rFonts w:hint="eastAsia" w:ascii="宋体" w:hAnsi="宋体" w:cs="仿宋_GB2312"/>
          <w:szCs w:val="21"/>
          <w:u w:val="single"/>
        </w:rPr>
        <w:t xml:space="preserve">   </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szCs w:val="21"/>
        </w:rPr>
      </w:pPr>
      <w:r>
        <w:rPr>
          <w:rFonts w:hint="eastAsia" w:ascii="宋体" w:hAnsi="宋体" w:cs="仿宋_GB2312"/>
          <w:szCs w:val="21"/>
        </w:rPr>
        <w:t>发包人审批承包人合理化建议的期限：</w:t>
      </w:r>
      <w:r>
        <w:rPr>
          <w:rFonts w:hint="eastAsia" w:ascii="宋体" w:hAnsi="宋体" w:cs="仿宋_GB2312"/>
          <w:szCs w:val="21"/>
          <w:u w:val="single"/>
        </w:rPr>
        <w:t xml:space="preserve">   </w:t>
      </w:r>
      <w:r>
        <w:rPr>
          <w:rFonts w:hint="eastAsia" w:ascii="宋体" w:hAnsi="宋体" w:cs="仿宋_GB2312"/>
          <w:color w:val="000000"/>
          <w:szCs w:val="21"/>
          <w:u w:val="single"/>
        </w:rPr>
        <w:t>执行通用条款</w:t>
      </w:r>
      <w:r>
        <w:rPr>
          <w:rFonts w:hint="eastAsia" w:ascii="宋体" w:hAnsi="宋体" w:cs="仿宋_GB2312"/>
          <w:szCs w:val="21"/>
          <w:u w:val="single"/>
        </w:rPr>
        <w:t xml:space="preserve">   </w:t>
      </w:r>
      <w:r>
        <w:rPr>
          <w:rFonts w:hint="eastAsia" w:ascii="宋体" w:hAnsi="宋体" w:cs="仿宋_GB2312"/>
          <w:szCs w:val="21"/>
        </w:rPr>
        <w:t>。</w:t>
      </w:r>
    </w:p>
    <w:p>
      <w:pPr>
        <w:spacing w:line="360" w:lineRule="auto"/>
        <w:ind w:firstLine="420" w:firstLineChars="200"/>
        <w:jc w:val="left"/>
        <w:rPr>
          <w:rFonts w:ascii="宋体" w:hAnsi="宋体" w:cs="仿宋_GB2312"/>
          <w:szCs w:val="21"/>
          <w:u w:val="single"/>
        </w:rPr>
      </w:pPr>
      <w:r>
        <w:rPr>
          <w:rFonts w:hint="eastAsia" w:ascii="宋体" w:hAnsi="宋体" w:cs="仿宋_GB2312"/>
          <w:szCs w:val="21"/>
        </w:rPr>
        <w:t>承</w:t>
      </w:r>
      <w:bookmarkStart w:id="343" w:name="_Toc296347203"/>
      <w:bookmarkStart w:id="344" w:name="_Toc292559914"/>
      <w:bookmarkStart w:id="345" w:name="_Toc297048390"/>
      <w:bookmarkStart w:id="346" w:name="_Toc318581175"/>
      <w:bookmarkStart w:id="347" w:name="_Toc304295571"/>
      <w:bookmarkStart w:id="348" w:name="_Toc300934995"/>
      <w:bookmarkStart w:id="349" w:name="_Toc297216205"/>
      <w:bookmarkStart w:id="350" w:name="_Toc296346705"/>
      <w:bookmarkStart w:id="351" w:name="_Toc296944543"/>
      <w:bookmarkStart w:id="352" w:name="_Toc292559409"/>
      <w:bookmarkStart w:id="353" w:name="_Toc297123546"/>
      <w:bookmarkStart w:id="354" w:name="_Toc303539152"/>
      <w:bookmarkStart w:id="355" w:name="_Toc297120504"/>
      <w:bookmarkStart w:id="356" w:name="_Toc296503204"/>
      <w:bookmarkStart w:id="357" w:name="_Toc296891244"/>
      <w:bookmarkStart w:id="358" w:name="_Toc312677504"/>
      <w:bookmarkStart w:id="359" w:name="_Toc296891032"/>
      <w:bookmarkStart w:id="360" w:name="_Toc312678030"/>
      <w:r>
        <w:rPr>
          <w:rFonts w:hint="eastAsia" w:ascii="宋体" w:hAnsi="宋体" w:cs="仿宋_GB2312"/>
          <w:szCs w:val="21"/>
        </w:rPr>
        <w:t>包人提出的合理化建议降低了合同价格或者提高了工程经济效益的奖励的方法和金额为：</w:t>
      </w:r>
    </w:p>
    <w:p>
      <w:pPr>
        <w:spacing w:line="360" w:lineRule="auto"/>
        <w:ind w:firstLine="420"/>
        <w:jc w:val="left"/>
        <w:rPr>
          <w:rFonts w:ascii="宋体" w:hAnsi="宋体" w:cs="仿宋_GB2312"/>
          <w:szCs w:val="21"/>
          <w:u w:val="single"/>
        </w:rPr>
      </w:pPr>
      <w:r>
        <w:rPr>
          <w:rFonts w:hint="eastAsia" w:ascii="宋体" w:hAnsi="宋体" w:cs="仿宋_GB2312"/>
          <w:szCs w:val="21"/>
          <w:u w:val="single"/>
        </w:rPr>
        <w:t xml:space="preserve">    无     </w:t>
      </w:r>
      <w:r>
        <w:rPr>
          <w:rFonts w:hint="eastAsia" w:ascii="宋体" w:hAnsi="宋体" w:cs="仿宋_GB2312"/>
          <w:szCs w:val="21"/>
        </w:rPr>
        <w:t>。</w:t>
      </w:r>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w:t>
      </w:r>
      <w:bookmarkStart w:id="361" w:name="_Toc297123548"/>
      <w:bookmarkStart w:id="362" w:name="_Toc296346700"/>
      <w:bookmarkStart w:id="363" w:name="_Toc297216207"/>
      <w:bookmarkStart w:id="364" w:name="_Toc300934997"/>
      <w:bookmarkStart w:id="365" w:name="_Toc296891027"/>
      <w:bookmarkStart w:id="366" w:name="_Toc296503199"/>
      <w:bookmarkStart w:id="367" w:name="_Toc292559909"/>
      <w:bookmarkStart w:id="368" w:name="_Toc297120499"/>
      <w:bookmarkStart w:id="369" w:name="_Toc312677507"/>
      <w:bookmarkStart w:id="370" w:name="_Toc292559404"/>
      <w:bookmarkStart w:id="371" w:name="_Toc296347198"/>
      <w:bookmarkStart w:id="372" w:name="_Toc303539154"/>
      <w:bookmarkStart w:id="373" w:name="_Toc297048385"/>
      <w:bookmarkStart w:id="374" w:name="_Toc304295574"/>
      <w:bookmarkStart w:id="375" w:name="_Toc312678033"/>
      <w:bookmarkStart w:id="376" w:name="_Toc296944538"/>
      <w:bookmarkStart w:id="377" w:name="_Toc296891239"/>
      <w:r>
        <w:rPr>
          <w:rFonts w:hint="eastAsia" w:ascii="宋体" w:hAnsi="宋体" w:cs="仿宋_GB2312"/>
          <w:color w:val="000000"/>
          <w:szCs w:val="21"/>
        </w:rPr>
        <w:t>0.7 暂估价</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Pr>
        <w:spacing w:line="360" w:lineRule="auto"/>
        <w:ind w:firstLine="420" w:firstLineChars="200"/>
        <w:jc w:val="left"/>
        <w:rPr>
          <w:rFonts w:ascii="宋体" w:hAnsi="宋体" w:cs="仿宋_GB2312"/>
          <w:szCs w:val="21"/>
        </w:rPr>
      </w:pPr>
      <w:r>
        <w:rPr>
          <w:rFonts w:hint="eastAsia" w:ascii="宋体" w:hAnsi="宋体" w:cs="仿宋_GB2312"/>
          <w:kern w:val="0"/>
          <w:szCs w:val="21"/>
        </w:rPr>
        <w:t>暂</w:t>
      </w:r>
      <w:bookmarkStart w:id="378" w:name="_Toc318581176"/>
      <w:bookmarkStart w:id="379" w:name="_Toc312678034"/>
      <w:bookmarkStart w:id="380" w:name="_Toc312677508"/>
      <w:r>
        <w:rPr>
          <w:rFonts w:hint="eastAsia" w:ascii="宋体" w:hAnsi="宋体" w:cs="仿宋_GB2312"/>
          <w:kern w:val="0"/>
          <w:szCs w:val="21"/>
        </w:rPr>
        <w:t>估价材料和工程设备的明细详见附件11：《</w:t>
      </w:r>
      <w:r>
        <w:rPr>
          <w:rFonts w:hint="eastAsia" w:ascii="宋体" w:hAnsi="宋体" w:cs="仿宋_GB2312"/>
          <w:color w:val="000000"/>
          <w:szCs w:val="21"/>
        </w:rPr>
        <w:t>暂估价一览表》</w:t>
      </w:r>
      <w:r>
        <w:rPr>
          <w:rFonts w:hint="eastAsia" w:ascii="宋体" w:hAnsi="宋体" w:cs="仿宋_GB2312"/>
          <w:kern w:val="0"/>
          <w:szCs w:val="21"/>
        </w:rPr>
        <w:t>。</w:t>
      </w:r>
    </w:p>
    <w:bookmarkEnd w:id="378"/>
    <w:bookmarkEnd w:id="379"/>
    <w:bookmarkEnd w:id="380"/>
    <w:p>
      <w:pPr>
        <w:spacing w:line="360" w:lineRule="auto"/>
        <w:ind w:firstLine="420" w:firstLineChars="200"/>
        <w:jc w:val="left"/>
        <w:rPr>
          <w:rFonts w:ascii="宋体" w:hAnsi="宋体" w:cs="仿宋_GB2312"/>
          <w:szCs w:val="21"/>
        </w:rPr>
      </w:pPr>
      <w:r>
        <w:rPr>
          <w:rFonts w:hint="eastAsia" w:ascii="宋体" w:hAnsi="宋体" w:cs="仿宋_GB2312"/>
          <w:szCs w:val="21"/>
        </w:rPr>
        <w:t>1</w:t>
      </w:r>
      <w:bookmarkStart w:id="381" w:name="_Toc312678035"/>
      <w:bookmarkStart w:id="382" w:name="_Toc318581177"/>
      <w:bookmarkStart w:id="383" w:name="_Toc312677509"/>
      <w:r>
        <w:rPr>
          <w:rFonts w:hint="eastAsia" w:ascii="宋体" w:hAnsi="宋体" w:cs="仿宋_GB2312"/>
          <w:szCs w:val="21"/>
        </w:rPr>
        <w:t>0.7.1 依法必须招标的暂估价项目</w:t>
      </w:r>
    </w:p>
    <w:bookmarkEnd w:id="381"/>
    <w:bookmarkEnd w:id="382"/>
    <w:bookmarkEnd w:id="383"/>
    <w:p>
      <w:pPr>
        <w:spacing w:line="360" w:lineRule="auto"/>
        <w:ind w:firstLine="420" w:firstLineChars="200"/>
        <w:jc w:val="left"/>
        <w:rPr>
          <w:rFonts w:ascii="宋体" w:hAnsi="宋体" w:cs="仿宋_GB2312"/>
          <w:szCs w:val="21"/>
        </w:rPr>
      </w:pPr>
      <w:r>
        <w:rPr>
          <w:rFonts w:hint="eastAsia" w:ascii="宋体" w:hAnsi="宋体" w:cs="仿宋_GB2312"/>
          <w:szCs w:val="21"/>
        </w:rPr>
        <w:t>对于依法必须招标的暂估价项目的确认和批准采取第</w:t>
      </w:r>
      <w:r>
        <w:rPr>
          <w:rFonts w:hint="eastAsia" w:ascii="宋体" w:hAnsi="宋体" w:cs="仿宋_GB2312"/>
          <w:szCs w:val="21"/>
          <w:u w:val="single"/>
        </w:rPr>
        <w:t xml:space="preserve"> 通用条款10.7.1中的第</w:t>
      </w:r>
      <w:r>
        <w:rPr>
          <w:rFonts w:hint="eastAsia" w:ascii="宋体" w:hAnsi="宋体" w:cs="仿宋_GB2312"/>
          <w:szCs w:val="21"/>
          <w:u w:val="single"/>
          <w:lang w:val="en-US" w:eastAsia="zh-CN"/>
        </w:rPr>
        <w:t>1</w:t>
      </w:r>
      <w:r>
        <w:rPr>
          <w:rFonts w:hint="eastAsia" w:ascii="宋体" w:hAnsi="宋体" w:cs="仿宋_GB2312"/>
          <w:szCs w:val="21"/>
          <w:u w:val="single"/>
        </w:rPr>
        <w:t>种方式</w:t>
      </w:r>
      <w:r>
        <w:rPr>
          <w:rFonts w:hint="eastAsia" w:ascii="宋体" w:hAnsi="宋体" w:cs="仿宋_GB2312"/>
          <w:szCs w:val="21"/>
        </w:rPr>
        <w:t>确定。</w:t>
      </w:r>
    </w:p>
    <w:p>
      <w:pPr>
        <w:spacing w:line="360" w:lineRule="auto"/>
        <w:ind w:firstLine="420" w:firstLineChars="200"/>
        <w:jc w:val="left"/>
        <w:rPr>
          <w:rFonts w:ascii="宋体" w:hAnsi="宋体" w:cs="仿宋_GB2312"/>
          <w:szCs w:val="21"/>
        </w:rPr>
      </w:pPr>
      <w:r>
        <w:rPr>
          <w:rFonts w:hint="eastAsia" w:ascii="宋体" w:hAnsi="宋体" w:cs="仿宋_GB2312"/>
          <w:szCs w:val="21"/>
        </w:rPr>
        <w:t>10.7.2 不属于依法必须招标的暂估价项目</w:t>
      </w:r>
    </w:p>
    <w:p>
      <w:pPr>
        <w:spacing w:line="360" w:lineRule="auto"/>
        <w:ind w:firstLine="420" w:firstLineChars="200"/>
        <w:jc w:val="left"/>
        <w:rPr>
          <w:rFonts w:ascii="宋体" w:hAnsi="宋体" w:cs="仿宋_GB2312"/>
          <w:szCs w:val="21"/>
        </w:rPr>
      </w:pPr>
      <w:r>
        <w:rPr>
          <w:rFonts w:hint="eastAsia" w:ascii="宋体" w:hAnsi="宋体" w:cs="仿宋_GB2312"/>
          <w:szCs w:val="21"/>
        </w:rPr>
        <w:t>对于不属于依法必须招标的暂估价项目的确认和批准采取第</w:t>
      </w:r>
      <w:r>
        <w:rPr>
          <w:rFonts w:hint="eastAsia" w:ascii="宋体" w:hAnsi="宋体" w:cs="仿宋_GB2312"/>
          <w:szCs w:val="21"/>
          <w:u w:val="single"/>
        </w:rPr>
        <w:t>根据建设单位意愿</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确定。</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szCs w:val="21"/>
        </w:rPr>
        <w:t>第3种方式：</w:t>
      </w:r>
      <w:r>
        <w:rPr>
          <w:rFonts w:hint="eastAsia" w:ascii="宋体" w:hAnsi="宋体" w:cs="仿宋_GB2312"/>
          <w:color w:val="000000"/>
          <w:kern w:val="0"/>
          <w:szCs w:val="21"/>
        </w:rPr>
        <w:t>承包人直接实施的暂估价项目</w:t>
      </w:r>
    </w:p>
    <w:p>
      <w:pPr>
        <w:spacing w:line="360" w:lineRule="auto"/>
        <w:ind w:firstLine="420" w:firstLineChars="200"/>
        <w:jc w:val="left"/>
        <w:rPr>
          <w:rFonts w:ascii="宋体" w:hAnsi="宋体" w:cs="仿宋_GB2312"/>
          <w:szCs w:val="21"/>
        </w:rPr>
      </w:pPr>
      <w:r>
        <w:rPr>
          <w:rFonts w:hint="eastAsia" w:ascii="宋体" w:hAnsi="宋体" w:cs="仿宋_GB2312"/>
          <w:szCs w:val="21"/>
        </w:rPr>
        <w:t>承包人直接实施的暂估价项目的约定：</w:t>
      </w:r>
    </w:p>
    <w:p>
      <w:pPr>
        <w:spacing w:line="360" w:lineRule="auto"/>
        <w:ind w:firstLine="420"/>
        <w:jc w:val="left"/>
        <w:rPr>
          <w:rFonts w:ascii="宋体" w:hAnsi="宋体" w:cs="仿宋_GB2312"/>
          <w:szCs w:val="21"/>
        </w:rPr>
      </w:pPr>
      <w:r>
        <w:rPr>
          <w:rFonts w:hint="eastAsia" w:ascii="宋体" w:hAnsi="宋体" w:cs="仿宋_GB2312"/>
          <w:szCs w:val="21"/>
          <w:u w:val="single"/>
        </w:rPr>
        <w:t xml:space="preserve">  </w:t>
      </w:r>
      <w:r>
        <w:rPr>
          <w:rFonts w:hint="eastAsia" w:ascii="宋体" w:hAnsi="宋体" w:cs="仿宋_GB2312"/>
          <w:szCs w:val="21"/>
          <w:u w:val="single"/>
          <w:lang w:eastAsia="zh-CN"/>
        </w:rPr>
        <w:t>无</w:t>
      </w:r>
      <w:r>
        <w:rPr>
          <w:rFonts w:hint="eastAsia" w:ascii="宋体" w:hAnsi="宋体" w:cs="仿宋_GB2312"/>
          <w:szCs w:val="21"/>
          <w:u w:val="single"/>
        </w:rPr>
        <w:t xml:space="preserve">     </w:t>
      </w:r>
      <w:r>
        <w:rPr>
          <w:rFonts w:hint="eastAsia" w:ascii="宋体" w:hAnsi="宋体" w:cs="仿宋_GB2312"/>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10.8 暂列金额</w:t>
      </w:r>
    </w:p>
    <w:p>
      <w:pPr>
        <w:autoSpaceDE w:val="0"/>
        <w:autoSpaceDN w:val="0"/>
        <w:adjustRightInd w:val="0"/>
        <w:spacing w:line="360" w:lineRule="auto"/>
        <w:ind w:firstLine="420" w:firstLineChars="200"/>
        <w:jc w:val="left"/>
        <w:rPr>
          <w:rFonts w:hint="eastAsia" w:ascii="宋体" w:hAnsi="宋体" w:cs="仿宋_GB2312"/>
          <w:szCs w:val="21"/>
          <w:u w:val="single"/>
        </w:rPr>
      </w:pPr>
      <w:r>
        <w:rPr>
          <w:rFonts w:hint="eastAsia" w:ascii="宋体" w:hAnsi="宋体" w:cs="仿宋_GB2312"/>
          <w:color w:val="000000"/>
          <w:kern w:val="0"/>
          <w:szCs w:val="21"/>
        </w:rPr>
        <w:t>合同当事人关于暂列金额使用的约定：</w:t>
      </w:r>
      <w:bookmarkStart w:id="384" w:name="_Toc351203643"/>
      <w:r>
        <w:rPr>
          <w:rFonts w:hint="eastAsia" w:ascii="宋体" w:hAnsi="宋体" w:cs="仿宋_GB2312"/>
          <w:szCs w:val="21"/>
          <w:u w:val="single"/>
        </w:rPr>
        <w:t xml:space="preserve"> 暂列金不计入工程款付款基数。暂列金的使用须发包人同意，按实际发生计取，不发生不计取，未使用或剩余金额归发包人所有  。</w:t>
      </w:r>
    </w:p>
    <w:p>
      <w:pPr>
        <w:rPr>
          <w:rFonts w:ascii="宋体" w:hAnsi="宋体" w:cs="仿宋_GB2312"/>
          <w:b/>
          <w:color w:val="000000"/>
          <w:szCs w:val="21"/>
        </w:rPr>
      </w:pPr>
      <w:r>
        <w:rPr>
          <w:rFonts w:hint="eastAsia" w:ascii="宋体" w:hAnsi="宋体" w:cs="仿宋_GB2312"/>
          <w:b/>
          <w:color w:val="000000"/>
          <w:szCs w:val="21"/>
        </w:rPr>
        <w:t>11. 价格调整</w:t>
      </w:r>
      <w:bookmarkEnd w:id="384"/>
    </w:p>
    <w:p>
      <w:pPr>
        <w:spacing w:after="120" w:line="360" w:lineRule="auto"/>
        <w:ind w:firstLine="420" w:firstLineChars="200"/>
        <w:rPr>
          <w:rFonts w:ascii="宋体" w:hAnsi="宋体" w:cs="仿宋_GB2312"/>
          <w:color w:val="000000"/>
          <w:szCs w:val="21"/>
        </w:rPr>
      </w:pPr>
      <w:bookmarkStart w:id="385" w:name="_Toc300935000"/>
      <w:bookmarkStart w:id="386" w:name="_Toc296503201"/>
      <w:bookmarkStart w:id="387" w:name="_Toc292559911"/>
      <w:bookmarkStart w:id="388" w:name="_Toc296891241"/>
      <w:bookmarkStart w:id="389" w:name="_Toc304295577"/>
      <w:bookmarkStart w:id="390" w:name="_Toc312678039"/>
      <w:bookmarkStart w:id="391" w:name="_Toc303539157"/>
      <w:bookmarkStart w:id="392" w:name="_Toc292559406"/>
      <w:bookmarkStart w:id="393" w:name="_Toc296944540"/>
      <w:bookmarkStart w:id="394" w:name="_Toc297123550"/>
      <w:bookmarkStart w:id="395" w:name="_Toc297216209"/>
      <w:bookmarkStart w:id="396" w:name="_Toc297120501"/>
      <w:bookmarkStart w:id="397" w:name="_Toc296347200"/>
      <w:bookmarkStart w:id="398" w:name="_Toc296891029"/>
      <w:bookmarkStart w:id="399" w:name="_Toc296346702"/>
      <w:bookmarkStart w:id="400" w:name="_Toc297048387"/>
      <w:r>
        <w:rPr>
          <w:rFonts w:hint="eastAsia" w:ascii="宋体" w:hAnsi="宋体" w:cs="仿宋_GB2312"/>
          <w:color w:val="000000"/>
          <w:szCs w:val="21"/>
        </w:rPr>
        <w:t>11.1 市场价格波动引起的调整</w:t>
      </w:r>
    </w:p>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kern w:val="0"/>
          <w:szCs w:val="21"/>
        </w:rPr>
        <w:t>市场价格波动是否调整合同价格的约定：</w:t>
      </w:r>
      <w:r>
        <w:rPr>
          <w:rFonts w:hint="eastAsia" w:ascii="宋体" w:hAnsi="宋体" w:cs="仿宋_GB2312"/>
          <w:szCs w:val="21"/>
          <w:u w:val="single"/>
        </w:rPr>
        <w:t xml:space="preserve">    是     </w:t>
      </w:r>
      <w:r>
        <w:rPr>
          <w:rFonts w:hint="eastAsia" w:ascii="宋体" w:hAnsi="宋体" w:cs="仿宋_GB2312"/>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因市场价格波动调整合同价格，采用以下</w:t>
      </w:r>
      <w:r>
        <w:rPr>
          <w:rFonts w:hint="eastAsia" w:ascii="宋体" w:hAnsi="宋体" w:cs="仿宋_GB2312"/>
          <w:szCs w:val="21"/>
        </w:rPr>
        <w:t>第</w:t>
      </w:r>
      <w:r>
        <w:rPr>
          <w:rFonts w:hint="eastAsia" w:ascii="宋体" w:hAnsi="宋体" w:cs="仿宋_GB2312"/>
          <w:szCs w:val="21"/>
          <w:u w:val="single"/>
        </w:rPr>
        <w:t xml:space="preserve">  2 </w:t>
      </w:r>
      <w:r>
        <w:rPr>
          <w:rFonts w:hint="eastAsia" w:ascii="宋体" w:hAnsi="宋体" w:cs="仿宋_GB2312"/>
          <w:color w:val="000000"/>
          <w:szCs w:val="21"/>
        </w:rPr>
        <w:t>种方式对合同价格进行调整：</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第1种方式：采用价格指数进行价格调整。</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关于各可调因子、定值和变值权重，以及基本价格指数及其来源的约定：</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 xml:space="preserve">；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第2种方式：采用造价信息进行价格调整。</w:t>
      </w:r>
    </w:p>
    <w:p>
      <w:pPr>
        <w:spacing w:line="360" w:lineRule="auto"/>
        <w:ind w:firstLine="420" w:firstLineChars="200"/>
        <w:jc w:val="left"/>
        <w:rPr>
          <w:rFonts w:ascii="宋体" w:hAnsi="宋体" w:cs="仿宋_GB2312"/>
          <w:szCs w:val="21"/>
        </w:rPr>
      </w:pPr>
      <w:r>
        <w:rPr>
          <w:rFonts w:hint="eastAsia" w:ascii="宋体" w:hAnsi="宋体" w:cs="仿宋_GB2312"/>
          <w:szCs w:val="21"/>
        </w:rPr>
        <w:t>（2）关于基准价格的约定：</w:t>
      </w:r>
      <w:r>
        <w:rPr>
          <w:rFonts w:hint="eastAsia" w:ascii="宋体" w:hAnsi="宋体" w:cs="仿宋_GB2312"/>
          <w:szCs w:val="21"/>
          <w:u w:val="single"/>
        </w:rPr>
        <w:t>投标截止时段，造价信息部门发布的同期造价信息文件为准 。</w:t>
      </w:r>
    </w:p>
    <w:p>
      <w:pPr>
        <w:spacing w:line="360" w:lineRule="auto"/>
        <w:ind w:firstLine="420" w:firstLineChars="200"/>
        <w:jc w:val="left"/>
        <w:rPr>
          <w:rFonts w:ascii="宋体" w:hAnsi="宋体" w:cs="仿宋_GB2312"/>
          <w:szCs w:val="21"/>
        </w:rPr>
      </w:pPr>
      <w:r>
        <w:rPr>
          <w:rFonts w:hint="eastAsia" w:ascii="宋体" w:hAnsi="宋体" w:cs="仿宋_GB2312"/>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仿宋_GB2312"/>
          <w:szCs w:val="21"/>
          <w:u w:val="single"/>
        </w:rPr>
        <w:t xml:space="preserve"> 5 </w:t>
      </w:r>
      <w:r>
        <w:rPr>
          <w:rFonts w:hint="eastAsia" w:ascii="宋体" w:hAnsi="宋体" w:cs="仿宋_GB2312"/>
          <w:szCs w:val="21"/>
        </w:rPr>
        <w:t>%时，或材料单价跌幅以已标价工程量清单或预算书中载明材料单价为基础超过</w:t>
      </w:r>
      <w:r>
        <w:rPr>
          <w:rFonts w:hint="eastAsia" w:ascii="宋体" w:hAnsi="宋体" w:cs="仿宋_GB2312"/>
          <w:szCs w:val="21"/>
          <w:u w:val="single"/>
        </w:rPr>
        <w:t xml:space="preserve"> 5 </w:t>
      </w:r>
      <w:r>
        <w:rPr>
          <w:rFonts w:hint="eastAsia" w:ascii="宋体" w:hAnsi="宋体" w:cs="仿宋_GB2312"/>
          <w:szCs w:val="21"/>
        </w:rPr>
        <w:t>%时，其超过部分据实调整。</w:t>
      </w:r>
    </w:p>
    <w:p>
      <w:pPr>
        <w:spacing w:line="360" w:lineRule="auto"/>
        <w:ind w:firstLine="420" w:firstLineChars="200"/>
        <w:jc w:val="left"/>
        <w:rPr>
          <w:rFonts w:ascii="宋体" w:hAnsi="宋体" w:cs="仿宋_GB2312"/>
          <w:szCs w:val="21"/>
        </w:rPr>
      </w:pPr>
      <w:r>
        <w:rPr>
          <w:rFonts w:hint="eastAsia" w:ascii="宋体" w:hAnsi="宋体" w:cs="仿宋_GB2312"/>
          <w:szCs w:val="21"/>
        </w:rPr>
        <w:t>②承包人在已标价工程量清单或预算书中载明的材料单价高于基准价格的：专用合同条款合同履行期间材料单价跌幅以基准价格为基础超过</w:t>
      </w:r>
      <w:r>
        <w:rPr>
          <w:rFonts w:hint="eastAsia" w:ascii="宋体" w:hAnsi="宋体" w:cs="仿宋_GB2312"/>
          <w:szCs w:val="21"/>
          <w:u w:val="single"/>
        </w:rPr>
        <w:t xml:space="preserve">  5 </w:t>
      </w:r>
      <w:r>
        <w:rPr>
          <w:rFonts w:hint="eastAsia" w:ascii="宋体" w:hAnsi="宋体" w:cs="仿宋_GB2312"/>
          <w:szCs w:val="21"/>
        </w:rPr>
        <w:t>%时，材料单价涨幅以已标价工程量清单或预算书中载明材料单价为基础超过</w:t>
      </w:r>
      <w:r>
        <w:rPr>
          <w:rFonts w:hint="eastAsia" w:ascii="宋体" w:hAnsi="宋体" w:cs="仿宋_GB2312"/>
          <w:szCs w:val="21"/>
          <w:u w:val="single"/>
        </w:rPr>
        <w:t xml:space="preserve"> 5 </w:t>
      </w:r>
      <w:r>
        <w:rPr>
          <w:rFonts w:hint="eastAsia" w:ascii="宋体" w:hAnsi="宋体" w:cs="仿宋_GB2312"/>
          <w:szCs w:val="21"/>
        </w:rPr>
        <w:t>%时，其超过部分据实调整。</w:t>
      </w:r>
    </w:p>
    <w:p>
      <w:pPr>
        <w:spacing w:line="360" w:lineRule="auto"/>
        <w:ind w:firstLine="420" w:firstLineChars="200"/>
        <w:jc w:val="left"/>
        <w:rPr>
          <w:rFonts w:ascii="宋体" w:hAnsi="宋体" w:cs="仿宋_GB2312"/>
          <w:szCs w:val="21"/>
        </w:rPr>
      </w:pPr>
      <w:r>
        <w:rPr>
          <w:rFonts w:hint="eastAsia" w:ascii="宋体" w:hAnsi="宋体" w:cs="仿宋_GB2312"/>
          <w:szCs w:val="21"/>
        </w:rPr>
        <w:t>③承包人在已标价工程量清单或预算书中载明的材料单价等于基准单价的：专用合同条款合同履行期间材料单价涨跌幅以基准单价为基础超过±</w:t>
      </w:r>
      <w:r>
        <w:rPr>
          <w:rFonts w:hint="eastAsia" w:ascii="宋体" w:hAnsi="宋体" w:cs="仿宋_GB2312"/>
          <w:szCs w:val="21"/>
          <w:u w:val="single"/>
        </w:rPr>
        <w:t xml:space="preserve"> 5 </w:t>
      </w:r>
      <w:r>
        <w:rPr>
          <w:rFonts w:hint="eastAsia" w:ascii="宋体" w:hAnsi="宋体" w:cs="仿宋_GB2312"/>
          <w:szCs w:val="21"/>
        </w:rPr>
        <w:t>%时，其超过部分据实调整。</w:t>
      </w:r>
    </w:p>
    <w:p>
      <w:pPr>
        <w:spacing w:line="360" w:lineRule="auto"/>
        <w:ind w:firstLine="645"/>
        <w:jc w:val="left"/>
        <w:rPr>
          <w:rFonts w:ascii="宋体" w:hAnsi="宋体" w:cs="仿宋_GB2312"/>
          <w:color w:val="000000"/>
          <w:szCs w:val="21"/>
          <w:u w:val="single"/>
        </w:rPr>
      </w:pPr>
      <w:r>
        <w:rPr>
          <w:rFonts w:hint="eastAsia" w:ascii="宋体" w:hAnsi="宋体" w:cs="仿宋_GB2312"/>
          <w:color w:val="000000"/>
          <w:szCs w:val="21"/>
        </w:rPr>
        <w:t>第3种方式：其他价格调整方式：</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w:t>
      </w:r>
    </w:p>
    <w:bookmarkEnd w:id="288"/>
    <w:bookmarkEnd w:id="289"/>
    <w:bookmarkEnd w:id="290"/>
    <w:bookmarkEnd w:id="291"/>
    <w:bookmarkEnd w:id="292"/>
    <w:bookmarkEnd w:id="293"/>
    <w:p>
      <w:pPr>
        <w:rPr>
          <w:rFonts w:ascii="宋体" w:hAnsi="宋体" w:cs="仿宋_GB2312"/>
          <w:b/>
          <w:color w:val="000000"/>
          <w:szCs w:val="21"/>
        </w:rPr>
      </w:pPr>
      <w:bookmarkStart w:id="401" w:name="_Toc296891245"/>
      <w:bookmarkStart w:id="402" w:name="_Toc292559915"/>
      <w:bookmarkStart w:id="403" w:name="_Toc296891033"/>
      <w:bookmarkStart w:id="404" w:name="_Toc296944544"/>
      <w:bookmarkStart w:id="405" w:name="_Toc296347204"/>
      <w:bookmarkStart w:id="406" w:name="_Toc296503205"/>
      <w:bookmarkStart w:id="407" w:name="_Toc296346706"/>
      <w:bookmarkStart w:id="408" w:name="_Toc297048391"/>
      <w:bookmarkStart w:id="409" w:name="_Toc292559410"/>
      <w:bookmarkStart w:id="410" w:name="_Toc297120505"/>
      <w:bookmarkStart w:id="411" w:name="_Toc351203644"/>
      <w:bookmarkStart w:id="412" w:name="_Toc300935002"/>
      <w:bookmarkStart w:id="413" w:name="_Toc304295579"/>
      <w:bookmarkStart w:id="414" w:name="_Toc297123552"/>
      <w:bookmarkStart w:id="415" w:name="_Toc312678040"/>
      <w:bookmarkStart w:id="416" w:name="_Toc303539159"/>
      <w:bookmarkStart w:id="417" w:name="_Toc297216211"/>
      <w:r>
        <w:rPr>
          <w:rFonts w:hint="eastAsia" w:ascii="宋体" w:hAnsi="宋体" w:cs="仿宋_GB2312"/>
          <w:b/>
          <w:color w:val="000000"/>
          <w:szCs w:val="21"/>
        </w:rPr>
        <w:t xml:space="preserve">12. </w:t>
      </w:r>
      <w:bookmarkEnd w:id="401"/>
      <w:bookmarkEnd w:id="402"/>
      <w:bookmarkEnd w:id="403"/>
      <w:bookmarkEnd w:id="404"/>
      <w:bookmarkEnd w:id="405"/>
      <w:bookmarkEnd w:id="406"/>
      <w:bookmarkEnd w:id="407"/>
      <w:bookmarkEnd w:id="408"/>
      <w:bookmarkEnd w:id="409"/>
      <w:bookmarkEnd w:id="410"/>
      <w:r>
        <w:rPr>
          <w:rFonts w:hint="eastAsia" w:ascii="宋体" w:hAnsi="宋体" w:cs="仿宋_GB2312"/>
          <w:b/>
          <w:color w:val="000000"/>
          <w:szCs w:val="21"/>
        </w:rPr>
        <w:t>合同价格、计量与支付</w:t>
      </w:r>
      <w:bookmarkEnd w:id="411"/>
    </w:p>
    <w:bookmarkEnd w:id="412"/>
    <w:bookmarkEnd w:id="413"/>
    <w:bookmarkEnd w:id="414"/>
    <w:bookmarkEnd w:id="415"/>
    <w:bookmarkEnd w:id="416"/>
    <w:bookmarkEnd w:id="417"/>
    <w:p>
      <w:pPr>
        <w:spacing w:after="120" w:line="360" w:lineRule="auto"/>
        <w:ind w:firstLine="420" w:firstLineChars="200"/>
        <w:rPr>
          <w:rFonts w:ascii="宋体" w:hAnsi="宋体" w:cs="仿宋_GB2312"/>
          <w:color w:val="000000"/>
          <w:szCs w:val="21"/>
        </w:rPr>
      </w:pPr>
      <w:bookmarkStart w:id="418" w:name="_Toc267251461"/>
      <w:bookmarkStart w:id="419" w:name="_Toc292559411"/>
      <w:bookmarkStart w:id="420" w:name="_Toc292559916"/>
      <w:bookmarkStart w:id="421" w:name="_Toc296346707"/>
      <w:bookmarkStart w:id="422" w:name="_Toc296891246"/>
      <w:bookmarkStart w:id="423" w:name="_Toc296503206"/>
      <w:bookmarkStart w:id="424" w:name="_Toc297120506"/>
      <w:bookmarkStart w:id="425" w:name="_Toc297048392"/>
      <w:bookmarkStart w:id="426" w:name="_Toc296944545"/>
      <w:bookmarkStart w:id="427" w:name="_Toc296891034"/>
      <w:bookmarkStart w:id="428" w:name="_Toc296347205"/>
      <w:bookmarkStart w:id="429" w:name="_Toc303539160"/>
      <w:bookmarkStart w:id="430" w:name="_Toc312678041"/>
      <w:bookmarkStart w:id="431" w:name="_Toc297123553"/>
      <w:bookmarkStart w:id="432" w:name="_Toc297216212"/>
      <w:bookmarkStart w:id="433" w:name="_Toc304295580"/>
      <w:bookmarkStart w:id="434" w:name="_Toc300935003"/>
      <w:r>
        <w:rPr>
          <w:rFonts w:hint="eastAsia" w:ascii="宋体" w:hAnsi="宋体" w:cs="仿宋_GB2312"/>
          <w:color w:val="000000"/>
          <w:szCs w:val="21"/>
        </w:rPr>
        <w:t>12.1 合</w:t>
      </w:r>
      <w:bookmarkEnd w:id="418"/>
      <w:bookmarkEnd w:id="419"/>
      <w:bookmarkEnd w:id="420"/>
      <w:r>
        <w:rPr>
          <w:rFonts w:hint="eastAsia" w:ascii="宋体" w:hAnsi="宋体" w:cs="仿宋_GB2312"/>
          <w:color w:val="000000"/>
          <w:szCs w:val="21"/>
        </w:rPr>
        <w:t>同价</w:t>
      </w:r>
      <w:bookmarkEnd w:id="421"/>
      <w:bookmarkEnd w:id="422"/>
      <w:bookmarkEnd w:id="423"/>
      <w:bookmarkEnd w:id="424"/>
      <w:bookmarkEnd w:id="425"/>
      <w:bookmarkEnd w:id="426"/>
      <w:bookmarkEnd w:id="427"/>
      <w:bookmarkEnd w:id="428"/>
      <w:r>
        <w:rPr>
          <w:rFonts w:hint="eastAsia" w:ascii="宋体" w:hAnsi="宋体" w:cs="仿宋_GB2312"/>
          <w:color w:val="000000"/>
          <w:szCs w:val="21"/>
        </w:rPr>
        <w:t>格形式</w:t>
      </w:r>
    </w:p>
    <w:bookmarkEnd w:id="429"/>
    <w:bookmarkEnd w:id="430"/>
    <w:bookmarkEnd w:id="431"/>
    <w:bookmarkEnd w:id="432"/>
    <w:bookmarkEnd w:id="433"/>
    <w:bookmarkEnd w:id="434"/>
    <w:p>
      <w:pPr>
        <w:spacing w:line="360" w:lineRule="auto"/>
        <w:ind w:firstLine="420" w:firstLineChars="200"/>
        <w:jc w:val="left"/>
        <w:rPr>
          <w:rFonts w:ascii="宋体" w:hAnsi="宋体" w:cs="仿宋_GB2312"/>
          <w:b/>
          <w:szCs w:val="21"/>
        </w:rPr>
      </w:pPr>
      <w:r>
        <w:rPr>
          <w:rFonts w:hint="eastAsia" w:ascii="宋体" w:hAnsi="宋体" w:cs="仿宋_GB2312"/>
          <w:b/>
          <w:szCs w:val="21"/>
        </w:rPr>
        <w:t>按第</w:t>
      </w:r>
      <w:r>
        <w:rPr>
          <w:rFonts w:hint="eastAsia" w:ascii="宋体" w:hAnsi="宋体" w:cs="仿宋_GB2312"/>
          <w:b/>
          <w:szCs w:val="21"/>
          <w:u w:val="single"/>
        </w:rPr>
        <w:t>1</w:t>
      </w:r>
      <w:r>
        <w:rPr>
          <w:rFonts w:hint="eastAsia" w:ascii="宋体" w:hAnsi="宋体" w:cs="仿宋_GB2312"/>
          <w:b/>
          <w:szCs w:val="21"/>
        </w:rPr>
        <w:t>种合同形式约定</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1、单价合同。</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综合单价包含的风险范围：</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u w:val="single"/>
        </w:rPr>
        <w:t xml:space="preserve">①因综合单价未按特征描述的内容进行组价的，应视为承包人的风险；②因天气、地形、地质等自然条件的变化，采取的临时措施费用，由承包人承担，不可抗力因素除外；③按合同工期完成所采取的赶工措施费，由承包人自行承担。④由于承包人的原因，冬季发生的施工费用由承包人自行承担。⑤设备、材料等的保管费及场内外运输费，由承包人自行承担。⑥修复封堵等费用，由承包人自行承担。⑦对于承包人根据自身技术水平、管理、经营状况能够自主控制的风险，如承包人的管理费、利润的风险，承包人应结合市场情况，根据企业自身实际合理确定、自主报价，该部分风险由承包人全部承担。⑧对于主要由市场价格波动导致的价格风险以及材料、机械费用上涨风险，按照新疆自治区建设主管部门或其授权的工程造价管理机构发布的材料信息价中有的材料价格变化幅度在±5%以内，施工机械变化幅度在±10%以内的，超过部分给予调整。除合同约定的可调整风险费用外，本承包工程内容范围内的约定风险，已包含在投标报价的综合单价中，无需再计算 。 </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风险费用的计算方法：</w:t>
      </w:r>
      <w:r>
        <w:rPr>
          <w:rFonts w:hint="eastAsia" w:ascii="宋体" w:hAnsi="宋体" w:cs="仿宋_GB2312"/>
          <w:color w:val="000000"/>
          <w:szCs w:val="21"/>
          <w:u w:val="single"/>
        </w:rPr>
        <w:t xml:space="preserve"> 因法律变化引起的调整按通用条款11.2条执行；因材料的市场价格波动引起的调整按专用条款11.1条（市场价格波动引起的调整）约定执行；因变更引起的调整按专用条款10.4.1条（变更估价原则）执行。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风险范围以外合同价格的调整方法：</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u w:val="single"/>
        </w:rPr>
        <w:t xml:space="preserve">（1）材料暂估价以发包人提供工程量清单单价为准，结算时，若发生变动按发包人签字确认的单价给予找差，差价部分只计取税金；（2）发包人控制承包人提供的暂估材料必须经发包人确认后方可进入结算；（3）总承包服务费（若有时）对专业工程进行总承包管理和协调，并同时要求提供配合服务时，总承包服务费按施工现场内发生的专业工程造价不超过（3%）的限率进行结算；(4）如施工期间政府部门新出台的需发包人代为承包人缴纳的税、费，此类税、费由承包人自行承担，发包人将不再另行支付；(5）暂列金额结算时按实际发生的计取，发生多少计取多少，不发生不计取，结算时扣回；(6）计日工是为完成图纸以外的零星项目或工作，按投标报价时的计日工单价执行，发生多少计取多少，没有发生不计取，结算时扣回；(7）清单中列示的清单项，在实际施工过程中没有发生该项目清单，结算时将其清单项扣除 。（8）仅可计量措施项目可调，不可计量措施项目费按照招标文件及经济标总价包干，结算不予调整（扬尘污染防治措施增加费、安全文明施工费除外）。（9）当清单出现漏项项目，漏项工程量按经甲乙双方签章的内容计入结算。（10）设计变更和经济签证有类似单价执行类似综合单价，没有类似单价按当地预算定额组价乘以投标下浮率计入结算。当确认变更的费用发生争议时，甲乙双方协商解决，前提保证工程正常施工。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2、总价合同。</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总价包含的风险范围：</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风险费用的计算方法：</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风险范围以外合同价格的调整方法：</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3、其他价格方式：</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ascii="宋体" w:hAnsi="宋体" w:cs="仿宋_GB2312"/>
          <w:color w:val="000000"/>
          <w:szCs w:val="21"/>
          <w:u w:val="single"/>
        </w:rPr>
        <w:t xml:space="preserve"> </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after="120" w:line="360" w:lineRule="auto"/>
        <w:ind w:firstLine="420" w:firstLineChars="200"/>
        <w:rPr>
          <w:rFonts w:ascii="宋体" w:hAnsi="宋体" w:cs="仿宋_GB2312"/>
          <w:color w:val="000000"/>
          <w:szCs w:val="21"/>
        </w:rPr>
      </w:pPr>
      <w:bookmarkStart w:id="435" w:name="_Toc303539161"/>
      <w:bookmarkStart w:id="436" w:name="_Toc304295581"/>
      <w:bookmarkStart w:id="437" w:name="_Toc300935004"/>
      <w:bookmarkStart w:id="438" w:name="_Toc312678042"/>
      <w:bookmarkStart w:id="439" w:name="_Toc297123554"/>
      <w:bookmarkStart w:id="440" w:name="_Toc297216213"/>
      <w:bookmarkStart w:id="441" w:name="_Toc296944546"/>
      <w:bookmarkStart w:id="442" w:name="_Toc292559917"/>
      <w:bookmarkStart w:id="443" w:name="_Toc297048393"/>
      <w:bookmarkStart w:id="444" w:name="_Toc292559412"/>
      <w:bookmarkStart w:id="445" w:name="_Toc296891247"/>
      <w:bookmarkStart w:id="446" w:name="_Toc296347206"/>
      <w:bookmarkStart w:id="447" w:name="_Toc296891035"/>
      <w:bookmarkStart w:id="448" w:name="_Toc297120507"/>
      <w:bookmarkStart w:id="449" w:name="_Toc296503207"/>
      <w:bookmarkStart w:id="450" w:name="_Toc296346708"/>
      <w:r>
        <w:rPr>
          <w:rFonts w:hint="eastAsia" w:ascii="宋体" w:hAnsi="宋体" w:cs="仿宋_GB2312"/>
          <w:color w:val="000000"/>
          <w:szCs w:val="21"/>
        </w:rPr>
        <w:t>12.2 预付款</w:t>
      </w:r>
    </w:p>
    <w:bookmarkEnd w:id="435"/>
    <w:bookmarkEnd w:id="436"/>
    <w:bookmarkEnd w:id="437"/>
    <w:bookmarkEnd w:id="438"/>
    <w:bookmarkEnd w:id="439"/>
    <w:bookmarkEnd w:id="440"/>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12.2.1 预付款的支付</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预付款支付比例或金额：</w:t>
      </w:r>
      <w:r>
        <w:rPr>
          <w:rFonts w:hint="eastAsia" w:ascii="宋体" w:hAnsi="宋体" w:cs="仿宋_GB2312"/>
          <w:color w:val="000000"/>
          <w:szCs w:val="21"/>
          <w:u w:val="single"/>
        </w:rPr>
        <w:t>《建设工程价款结算暂行办法》包工包料工程的预付款按合同约定拨付，扣除暂列金后，预付款比例为合同金额的30%。</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预付款支付期限：</w:t>
      </w:r>
      <w:r>
        <w:rPr>
          <w:rFonts w:hint="eastAsia" w:ascii="宋体" w:hAnsi="宋体" w:cs="仿宋_GB2312"/>
          <w:color w:val="000000"/>
          <w:szCs w:val="21"/>
          <w:u w:val="single"/>
        </w:rPr>
        <w:t xml:space="preserve">  合同签订并取得开工报告14日内 。</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预付款扣回的方式：</w:t>
      </w:r>
      <w:r>
        <w:rPr>
          <w:rFonts w:hint="eastAsia" w:ascii="宋体" w:hAnsi="宋体" w:cs="仿宋_GB2312"/>
          <w:color w:val="000000"/>
          <w:szCs w:val="21"/>
          <w:u w:val="single"/>
        </w:rPr>
        <w:t>已完工程款累计达到合同价的60%后，发包方即从下次应付给承包方的工程款中，一次性扣回预付款。</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12.2.2 预付款担保</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承包人提交预付款担保的期限：</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预付款担保的形式为：</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w:t>
      </w:r>
    </w:p>
    <w:bookmarkEnd w:id="441"/>
    <w:bookmarkEnd w:id="442"/>
    <w:bookmarkEnd w:id="443"/>
    <w:bookmarkEnd w:id="444"/>
    <w:bookmarkEnd w:id="445"/>
    <w:bookmarkEnd w:id="446"/>
    <w:bookmarkEnd w:id="447"/>
    <w:bookmarkEnd w:id="448"/>
    <w:bookmarkEnd w:id="449"/>
    <w:bookmarkEnd w:id="450"/>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12.3 计量</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12.3.1 计量原则</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工程量计算规则：</w:t>
      </w:r>
      <w:r>
        <w:rPr>
          <w:rFonts w:hint="eastAsia" w:ascii="宋体" w:hAnsi="宋体" w:cs="仿宋_GB2312"/>
          <w:color w:val="000000"/>
          <w:szCs w:val="21"/>
          <w:u w:val="single"/>
        </w:rPr>
        <w:t xml:space="preserve"> 《执行通用条款、《建设工程工程量清单计算规范》GB50854-2013、《建设工程工程量清单计价规范》GB50500-2013及自治区相关建设工程工程量清单计价的规定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12.3.2 计量周期</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关于计量周期的约定：</w:t>
      </w:r>
      <w:r>
        <w:rPr>
          <w:rFonts w:hint="eastAsia" w:ascii="宋体" w:hAnsi="宋体" w:cs="仿宋_GB2312"/>
          <w:color w:val="000000"/>
          <w:szCs w:val="21"/>
          <w:u w:val="single"/>
        </w:rPr>
        <w:t xml:space="preserve">  按月（以整层工程量为计量单位，不足一整层的工程量，列入下月工程量报表）计量，每月20日前提供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12.3.3 单价合同的计量</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关于单价合同计量的约定：</w:t>
      </w:r>
      <w:r>
        <w:rPr>
          <w:rFonts w:hint="eastAsia" w:ascii="宋体" w:hAnsi="宋体" w:cs="仿宋_GB2312"/>
          <w:color w:val="000000"/>
          <w:szCs w:val="21"/>
          <w:u w:val="single"/>
        </w:rPr>
        <w:t xml:space="preserve">    执行通用条款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12.3.4 总价合同的计量</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关于总价合同计量的约定：</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eastAsia="zh-CN"/>
        </w:rPr>
        <w:t>无</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12.3.5总价合同采用支付分解表计量支付的，是否适用第</w:t>
      </w:r>
      <w:r>
        <w:rPr>
          <w:rFonts w:hint="eastAsia" w:ascii="宋体" w:hAnsi="宋体" w:cs="仿宋_GB2312"/>
          <w:color w:val="000000"/>
          <w:kern w:val="0"/>
          <w:szCs w:val="21"/>
        </w:rPr>
        <w:t xml:space="preserve">12.3.4 </w:t>
      </w:r>
      <w:r>
        <w:rPr>
          <w:rFonts w:hint="eastAsia" w:ascii="宋体" w:hAnsi="宋体" w:cs="仿宋_GB2312"/>
          <w:color w:val="000000"/>
          <w:szCs w:val="21"/>
        </w:rPr>
        <w:t>项</w:t>
      </w:r>
      <w:r>
        <w:rPr>
          <w:rFonts w:hint="eastAsia" w:ascii="宋体" w:hAnsi="宋体" w:cs="仿宋_GB2312"/>
          <w:color w:val="000000"/>
          <w:kern w:val="0"/>
          <w:szCs w:val="21"/>
        </w:rPr>
        <w:t>〔总价合同的计量〕</w:t>
      </w:r>
      <w:r>
        <w:rPr>
          <w:rFonts w:hint="eastAsia" w:ascii="宋体" w:hAnsi="宋体" w:cs="仿宋_GB2312"/>
          <w:color w:val="000000"/>
          <w:szCs w:val="21"/>
        </w:rPr>
        <w:t>约定进行计量：</w:t>
      </w:r>
      <w:r>
        <w:rPr>
          <w:rFonts w:hint="eastAsia" w:ascii="宋体" w:hAnsi="宋体" w:cs="仿宋_GB2312"/>
          <w:color w:val="000000"/>
          <w:szCs w:val="21"/>
          <w:u w:val="single"/>
        </w:rPr>
        <w:t xml:space="preserve">按通用合同条款执行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12.3.6 其他价格形式合同的计量</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其他价格形式的计量方式和程序：</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eastAsia="zh-CN"/>
        </w:rPr>
        <w:t>无</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12.4 工程进度款支付</w:t>
      </w:r>
    </w:p>
    <w:p>
      <w:pPr>
        <w:spacing w:line="360" w:lineRule="auto"/>
        <w:ind w:firstLine="420" w:firstLineChars="200"/>
        <w:jc w:val="left"/>
        <w:rPr>
          <w:rFonts w:ascii="宋体" w:hAnsi="宋体" w:cs="仿宋_GB2312"/>
          <w:color w:val="000000"/>
          <w:szCs w:val="21"/>
        </w:rPr>
      </w:pPr>
      <w:bookmarkStart w:id="451" w:name="_Toc292559416"/>
      <w:bookmarkStart w:id="452" w:name="_Toc296503211"/>
      <w:bookmarkStart w:id="453" w:name="_Toc300935006"/>
      <w:bookmarkStart w:id="454" w:name="_Toc297048397"/>
      <w:bookmarkStart w:id="455" w:name="_Toc303539163"/>
      <w:bookmarkStart w:id="456" w:name="_Toc296944550"/>
      <w:bookmarkStart w:id="457" w:name="_Toc296347210"/>
      <w:bookmarkStart w:id="458" w:name="_Toc297123556"/>
      <w:bookmarkStart w:id="459" w:name="_Toc296891039"/>
      <w:bookmarkStart w:id="460" w:name="_Toc296346712"/>
      <w:bookmarkStart w:id="461" w:name="_Toc292559921"/>
      <w:bookmarkStart w:id="462" w:name="_Toc297120511"/>
      <w:bookmarkStart w:id="463" w:name="_Toc297216215"/>
      <w:bookmarkStart w:id="464" w:name="_Toc296891251"/>
      <w:r>
        <w:rPr>
          <w:rFonts w:hint="eastAsia" w:ascii="宋体" w:hAnsi="宋体" w:cs="仿宋_GB2312"/>
          <w:color w:val="000000"/>
          <w:szCs w:val="21"/>
        </w:rPr>
        <w:t>12.4.1 付款周期</w:t>
      </w:r>
    </w:p>
    <w:p>
      <w:pPr>
        <w:spacing w:line="360" w:lineRule="auto"/>
        <w:ind w:firstLine="420" w:firstLineChars="200"/>
        <w:jc w:val="left"/>
        <w:rPr>
          <w:rFonts w:hint="eastAsia" w:ascii="宋体" w:hAnsi="宋体" w:cs="仿宋_GB2312"/>
          <w:szCs w:val="21"/>
          <w:highlight w:val="none"/>
          <w:u w:val="single"/>
        </w:rPr>
      </w:pPr>
      <w:r>
        <w:rPr>
          <w:rFonts w:hint="eastAsia" w:ascii="宋体" w:hAnsi="宋体" w:cs="仿宋_GB2312"/>
          <w:szCs w:val="21"/>
        </w:rPr>
        <w:t>关于付款周期的约定：</w:t>
      </w:r>
      <w:r>
        <w:rPr>
          <w:rFonts w:hint="eastAsia" w:ascii="宋体" w:hAnsi="宋体" w:cs="仿宋_GB2312"/>
          <w:szCs w:val="21"/>
          <w:highlight w:val="none"/>
          <w:u w:val="single"/>
        </w:rPr>
        <w:t>合同签订完成后并在开工前，发包人向承包人按中标价的30%支付工程预付款,待工程完成竣工验收、结算，支付至审定价的97%，扣除总额的3%作为质保金，待质保期满后7天内，无质量问题，拨付质保金。质保期内发生质量问题或其他事项，按质量保修书约定执行  。</w:t>
      </w:r>
    </w:p>
    <w:p>
      <w:pPr>
        <w:spacing w:line="360" w:lineRule="auto"/>
        <w:ind w:firstLine="420" w:firstLineChars="200"/>
        <w:jc w:val="left"/>
        <w:rPr>
          <w:rFonts w:ascii="宋体" w:hAnsi="宋体" w:cs="仿宋_GB2312"/>
          <w:szCs w:val="21"/>
        </w:rPr>
      </w:pPr>
      <w:r>
        <w:rPr>
          <w:rFonts w:hint="eastAsia" w:ascii="宋体" w:hAnsi="宋体" w:cs="仿宋_GB2312"/>
          <w:szCs w:val="21"/>
          <w:u w:val="single"/>
        </w:rPr>
        <w:t>承包人在施工期间不得拖欠工人工资，否则，发包人有权自主将工程进度款用于支付被拖欠的工人工资。</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12.4.2 进度付款申请单的编制</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关于进度付款申请单编制的约定：</w:t>
      </w:r>
    </w:p>
    <w:p>
      <w:pPr>
        <w:spacing w:line="360" w:lineRule="auto"/>
        <w:ind w:firstLine="420"/>
        <w:jc w:val="left"/>
        <w:rPr>
          <w:rFonts w:ascii="宋体" w:hAnsi="宋体" w:cs="仿宋_GB2312"/>
          <w:color w:val="000000"/>
          <w:szCs w:val="21"/>
        </w:rPr>
      </w:pPr>
      <w:r>
        <w:rPr>
          <w:rFonts w:hint="eastAsia" w:ascii="宋体" w:hAnsi="宋体" w:cs="仿宋_GB2312"/>
          <w:color w:val="000000"/>
          <w:szCs w:val="21"/>
          <w:u w:val="single"/>
        </w:rPr>
        <w:t xml:space="preserve">由乙方当月10日前提交进度付款申请，经甲方、监理、审核机构审定后支付 。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hint="eastAsia" w:ascii="宋体" w:hAnsi="宋体" w:cs="仿宋_GB2312"/>
          <w:color w:val="000000"/>
          <w:szCs w:val="21"/>
        </w:rPr>
        <w:t>2.4.3 进度付款申请单的提交</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（1）单价合同进度付款申请单提交的约定：</w:t>
      </w:r>
      <w:r>
        <w:rPr>
          <w:rFonts w:hint="eastAsia" w:ascii="宋体" w:hAnsi="宋体" w:cs="仿宋_GB2312"/>
          <w:color w:val="000000"/>
          <w:szCs w:val="21"/>
          <w:u w:val="single"/>
        </w:rPr>
        <w:t>与计量周期中约定时间相同。示例：每月20日前上报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（2）总价合同进度付款申请单提交的约定：</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eastAsia="zh-CN"/>
        </w:rPr>
        <w:t>无</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（3）其他价格形式合同进度付款申请单提交的约定：</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eastAsia="zh-CN"/>
        </w:rPr>
        <w:t>无</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12.4.4 进度款审核和支付</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（1）监理人审查并报送发包人的期限：</w:t>
      </w: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发包人完成审批并签发进度款支付证书的期限：</w:t>
      </w:r>
    </w:p>
    <w:p>
      <w:pPr>
        <w:spacing w:line="360" w:lineRule="auto"/>
        <w:ind w:firstLine="420"/>
        <w:jc w:val="left"/>
        <w:rPr>
          <w:rFonts w:ascii="宋体" w:hAnsi="宋体" w:cs="仿宋_GB2312"/>
          <w:color w:val="000000"/>
          <w:szCs w:val="21"/>
        </w:rPr>
      </w:pPr>
      <w:r>
        <w:rPr>
          <w:rFonts w:hint="eastAsia" w:ascii="宋体" w:hAnsi="宋体" w:cs="仿宋_GB2312"/>
          <w:color w:val="000000"/>
          <w:szCs w:val="21"/>
          <w:u w:val="single"/>
        </w:rPr>
        <w:t xml:space="preserve">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（2）发包人支付进度款的期限：</w:t>
      </w:r>
      <w:r>
        <w:rPr>
          <w:rFonts w:hint="eastAsia" w:ascii="宋体" w:hAnsi="宋体" w:cs="仿宋_GB2312"/>
          <w:color w:val="000000"/>
          <w:szCs w:val="21"/>
          <w:u w:val="single"/>
        </w:rPr>
        <w:t xml:space="preserve"> 执行通用条款          </w:t>
      </w:r>
      <w:r>
        <w:rPr>
          <w:rFonts w:hint="eastAsia" w:ascii="宋体" w:hAnsi="宋体" w:cs="仿宋_GB2312"/>
          <w:color w:val="000000"/>
          <w:szCs w:val="21"/>
        </w:rPr>
        <w:t>。</w:t>
      </w:r>
    </w:p>
    <w:p>
      <w:pPr>
        <w:spacing w:line="360" w:lineRule="auto"/>
        <w:ind w:firstLine="525" w:firstLineChars="250"/>
        <w:jc w:val="left"/>
        <w:rPr>
          <w:rFonts w:ascii="宋体" w:hAnsi="宋体" w:cs="仿宋_GB2312"/>
          <w:color w:val="000000"/>
          <w:kern w:val="0"/>
          <w:szCs w:val="21"/>
          <w:u w:val="single"/>
        </w:rPr>
      </w:pPr>
      <w:r>
        <w:rPr>
          <w:rFonts w:hint="eastAsia" w:ascii="宋体" w:hAnsi="宋体" w:cs="仿宋_GB2312"/>
          <w:color w:val="000000"/>
          <w:szCs w:val="21"/>
        </w:rPr>
        <w:t>发包人逾期支付进度款的违约金的计算方式：</w:t>
      </w:r>
      <w:r>
        <w:rPr>
          <w:rFonts w:hint="eastAsia" w:ascii="宋体" w:hAnsi="宋体" w:cs="仿宋_GB2312"/>
          <w:color w:val="000000"/>
          <w:kern w:val="0"/>
          <w:szCs w:val="21"/>
          <w:u w:val="single"/>
        </w:rPr>
        <w:t>发包人完成审批后28天内 。</w:t>
      </w:r>
    </w:p>
    <w:p>
      <w:pPr>
        <w:numPr>
          <w:ilvl w:val="2"/>
          <w:numId w:val="5"/>
        </w:numPr>
        <w:spacing w:line="360" w:lineRule="auto"/>
        <w:jc w:val="left"/>
        <w:rPr>
          <w:rFonts w:ascii="宋体" w:hAnsi="宋体" w:cs="仿宋_GB2312"/>
          <w:color w:val="000000"/>
          <w:szCs w:val="21"/>
        </w:rPr>
      </w:pPr>
      <w:r>
        <w:rPr>
          <w:rFonts w:hint="eastAsia" w:ascii="宋体" w:hAnsi="宋体" w:cs="仿宋_GB2312"/>
          <w:color w:val="000000"/>
          <w:szCs w:val="21"/>
        </w:rPr>
        <w:t>支付分解表的编制</w:t>
      </w:r>
    </w:p>
    <w:p>
      <w:pPr>
        <w:numPr>
          <w:ilvl w:val="0"/>
          <w:numId w:val="6"/>
        </w:numPr>
        <w:spacing w:line="360" w:lineRule="auto"/>
        <w:jc w:val="left"/>
        <w:rPr>
          <w:rFonts w:ascii="宋体" w:hAnsi="宋体" w:cs="仿宋_GB2312"/>
          <w:color w:val="000000"/>
          <w:szCs w:val="21"/>
        </w:rPr>
      </w:pPr>
      <w:r>
        <w:rPr>
          <w:rFonts w:hint="eastAsia" w:ascii="宋体" w:hAnsi="宋体" w:cs="仿宋_GB2312"/>
          <w:color w:val="000000"/>
          <w:szCs w:val="21"/>
        </w:rPr>
        <w:t>总价合同支付分解表的编制与审批：</w:t>
      </w:r>
      <w:r>
        <w:rPr>
          <w:rFonts w:hint="eastAsia" w:ascii="宋体" w:hAnsi="宋体" w:cs="仿宋_GB2312"/>
          <w:color w:val="000000"/>
          <w:kern w:val="0"/>
          <w:szCs w:val="21"/>
          <w:u w:val="single"/>
        </w:rPr>
        <w:t xml:space="preserve">  执行通用条款         </w:t>
      </w:r>
      <w:r>
        <w:rPr>
          <w:rFonts w:hint="eastAsia" w:ascii="宋体" w:hAnsi="宋体" w:cs="仿宋_GB2312"/>
          <w:color w:val="000000"/>
          <w:kern w:val="0"/>
          <w:szCs w:val="21"/>
        </w:rPr>
        <w:t>。</w:t>
      </w:r>
    </w:p>
    <w:p>
      <w:pPr>
        <w:numPr>
          <w:ilvl w:val="0"/>
          <w:numId w:val="6"/>
        </w:numPr>
        <w:spacing w:line="360" w:lineRule="auto"/>
        <w:jc w:val="left"/>
        <w:rPr>
          <w:rFonts w:ascii="宋体" w:hAnsi="宋体" w:cs="仿宋_GB2312"/>
          <w:color w:val="000000"/>
          <w:szCs w:val="21"/>
        </w:rPr>
      </w:pPr>
      <w:r>
        <w:rPr>
          <w:rFonts w:hint="eastAsia" w:ascii="宋体" w:hAnsi="宋体" w:cs="仿宋_GB2312"/>
          <w:color w:val="000000"/>
          <w:szCs w:val="21"/>
        </w:rPr>
        <w:t>单价合同的总价项目支付分解表的编制与审批：</w:t>
      </w:r>
      <w:r>
        <w:rPr>
          <w:rFonts w:hint="eastAsia" w:ascii="宋体" w:hAnsi="宋体" w:cs="仿宋_GB2312"/>
          <w:color w:val="000000"/>
          <w:kern w:val="0"/>
          <w:szCs w:val="21"/>
          <w:u w:val="single"/>
        </w:rPr>
        <w:t xml:space="preserve">执行通用条款          </w:t>
      </w:r>
      <w:r>
        <w:rPr>
          <w:rFonts w:hint="eastAsia" w:ascii="宋体" w:hAnsi="宋体" w:cs="仿宋_GB2312"/>
          <w:color w:val="000000"/>
          <w:kern w:val="0"/>
          <w:szCs w:val="21"/>
        </w:rPr>
        <w:t>。</w:t>
      </w:r>
    </w:p>
    <w:bookmarkEnd w:id="294"/>
    <w:p>
      <w:pPr>
        <w:rPr>
          <w:rFonts w:ascii="宋体" w:hAnsi="宋体" w:cs="仿宋_GB2312"/>
          <w:b/>
          <w:color w:val="000000"/>
          <w:szCs w:val="21"/>
        </w:rPr>
      </w:pPr>
      <w:bookmarkStart w:id="465" w:name="_Toc351203645"/>
      <w:bookmarkStart w:id="466" w:name="_Toc296346720"/>
      <w:bookmarkStart w:id="467" w:name="_Toc297120519"/>
      <w:bookmarkStart w:id="468" w:name="_Toc304295593"/>
      <w:bookmarkStart w:id="469" w:name="_Toc303539172"/>
      <w:bookmarkStart w:id="470" w:name="_Toc297048405"/>
      <w:bookmarkStart w:id="471" w:name="_Toc297216223"/>
      <w:bookmarkStart w:id="472" w:name="_Toc296944558"/>
      <w:bookmarkStart w:id="473" w:name="_Toc292559929"/>
      <w:bookmarkStart w:id="474" w:name="_Toc296347218"/>
      <w:bookmarkStart w:id="475" w:name="_Toc297123564"/>
      <w:bookmarkStart w:id="476" w:name="_Toc296503219"/>
      <w:bookmarkStart w:id="477" w:name="_Toc296891047"/>
      <w:bookmarkStart w:id="478" w:name="_Toc292559424"/>
      <w:bookmarkStart w:id="479" w:name="_Toc300935015"/>
      <w:bookmarkStart w:id="480" w:name="_Toc296891259"/>
      <w:bookmarkStart w:id="481" w:name="_Toc312678053"/>
      <w:r>
        <w:rPr>
          <w:rFonts w:hint="eastAsia" w:ascii="宋体" w:hAnsi="宋体" w:cs="仿宋_GB2312"/>
          <w:b/>
          <w:color w:val="000000"/>
          <w:szCs w:val="21"/>
        </w:rPr>
        <w:t>13. 验收和工程试车</w:t>
      </w:r>
      <w:bookmarkEnd w:id="465"/>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13.1 分部分项工程验收</w:t>
      </w:r>
    </w:p>
    <w:p>
      <w:pPr>
        <w:spacing w:line="360" w:lineRule="auto"/>
        <w:ind w:firstLine="420" w:firstLineChars="200"/>
        <w:jc w:val="left"/>
        <w:rPr>
          <w:rFonts w:ascii="宋体" w:hAnsi="宋体" w:cs="仿宋_GB2312"/>
          <w:szCs w:val="21"/>
        </w:rPr>
      </w:pPr>
      <w:r>
        <w:rPr>
          <w:rFonts w:hint="eastAsia" w:ascii="宋体" w:hAnsi="宋体" w:cs="仿宋_GB2312"/>
          <w:szCs w:val="21"/>
        </w:rPr>
        <w:t>13.1.2监理人不能按时进行验收时，应提前</w:t>
      </w:r>
      <w:r>
        <w:rPr>
          <w:rFonts w:hint="eastAsia" w:ascii="宋体" w:hAnsi="宋体" w:cs="仿宋_GB2312"/>
          <w:szCs w:val="21"/>
          <w:u w:val="single"/>
        </w:rPr>
        <w:t xml:space="preserve">  24 </w:t>
      </w:r>
      <w:r>
        <w:rPr>
          <w:rFonts w:hint="eastAsia" w:ascii="宋体" w:hAnsi="宋体" w:cs="仿宋_GB2312"/>
          <w:szCs w:val="21"/>
        </w:rPr>
        <w:t>小时提交书面延期要求。</w:t>
      </w:r>
    </w:p>
    <w:p>
      <w:pPr>
        <w:spacing w:line="360" w:lineRule="auto"/>
        <w:ind w:firstLine="420" w:firstLineChars="200"/>
        <w:jc w:val="left"/>
        <w:rPr>
          <w:rFonts w:ascii="宋体" w:hAnsi="宋体" w:cs="仿宋_GB2312"/>
          <w:b/>
          <w:color w:val="000000"/>
          <w:szCs w:val="21"/>
        </w:rPr>
      </w:pPr>
      <w:r>
        <w:rPr>
          <w:rFonts w:hint="eastAsia" w:ascii="宋体" w:hAnsi="宋体" w:cs="仿宋_GB2312"/>
          <w:szCs w:val="21"/>
        </w:rPr>
        <w:t>关于延期最长不得超过：</w:t>
      </w:r>
      <w:r>
        <w:rPr>
          <w:rFonts w:hint="eastAsia" w:ascii="宋体" w:hAnsi="宋体" w:cs="仿宋_GB2312"/>
          <w:szCs w:val="21"/>
          <w:u w:val="single"/>
        </w:rPr>
        <w:t xml:space="preserve">  48  </w:t>
      </w:r>
      <w:r>
        <w:rPr>
          <w:rFonts w:hint="eastAsia" w:ascii="宋体" w:hAnsi="宋体" w:cs="仿宋_GB2312"/>
          <w:szCs w:val="21"/>
        </w:rPr>
        <w:t>小时。</w:t>
      </w:r>
    </w:p>
    <w:p>
      <w:pPr>
        <w:spacing w:after="120" w:line="360" w:lineRule="auto"/>
        <w:ind w:firstLine="420" w:firstLineChars="200"/>
        <w:rPr>
          <w:rFonts w:ascii="宋体" w:hAnsi="宋体" w:cs="仿宋_GB2312"/>
          <w:color w:val="000000"/>
          <w:szCs w:val="21"/>
        </w:rPr>
      </w:pPr>
      <w:bookmarkStart w:id="482" w:name="_Toc297216224"/>
      <w:bookmarkStart w:id="483" w:name="_Toc297123565"/>
      <w:bookmarkStart w:id="484" w:name="_Toc297120523"/>
      <w:bookmarkStart w:id="485" w:name="_Toc303539173"/>
      <w:bookmarkStart w:id="486" w:name="_Toc292559933"/>
      <w:bookmarkStart w:id="487" w:name="_Toc312678056"/>
      <w:bookmarkStart w:id="488" w:name="_Toc304295596"/>
      <w:bookmarkStart w:id="489" w:name="_Toc297048409"/>
      <w:bookmarkStart w:id="490" w:name="_Toc296346724"/>
      <w:bookmarkStart w:id="491" w:name="_Toc296347222"/>
      <w:bookmarkStart w:id="492" w:name="_Toc296503223"/>
      <w:bookmarkStart w:id="493" w:name="_Toc296891263"/>
      <w:bookmarkStart w:id="494" w:name="_Toc296891051"/>
      <w:bookmarkStart w:id="495" w:name="_Toc296944562"/>
      <w:bookmarkStart w:id="496" w:name="_Toc300935016"/>
      <w:bookmarkStart w:id="497" w:name="_Toc292559428"/>
      <w:bookmarkStart w:id="498" w:name="_Toc267251473"/>
      <w:bookmarkStart w:id="499" w:name="_Toc267251472"/>
      <w:bookmarkStart w:id="500" w:name="_Toc267251476"/>
      <w:bookmarkStart w:id="501" w:name="_Toc267251474"/>
      <w:bookmarkStart w:id="502" w:name="_Toc267251470"/>
      <w:bookmarkStart w:id="503" w:name="_Toc267251475"/>
      <w:bookmarkStart w:id="504" w:name="_Toc267251471"/>
      <w:r>
        <w:rPr>
          <w:rFonts w:hint="eastAsia" w:ascii="宋体" w:hAnsi="宋体" w:cs="仿宋_GB2312"/>
          <w:color w:val="000000"/>
          <w:szCs w:val="21"/>
        </w:rPr>
        <w:t>13.2 竣工验收</w:t>
      </w:r>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Pr>
        <w:spacing w:line="360" w:lineRule="auto"/>
        <w:ind w:firstLine="420" w:firstLineChars="200"/>
        <w:jc w:val="left"/>
        <w:rPr>
          <w:rFonts w:ascii="宋体" w:hAnsi="宋体" w:cs="仿宋_GB2312"/>
          <w:color w:val="000000"/>
          <w:szCs w:val="21"/>
        </w:rPr>
      </w:pPr>
      <w:bookmarkStart w:id="505" w:name="_Toc280868704"/>
      <w:bookmarkStart w:id="506" w:name="_Toc280868705"/>
      <w:bookmarkStart w:id="507" w:name="_Toc280868706"/>
      <w:bookmarkStart w:id="508" w:name="_Toc280868707"/>
      <w:bookmarkStart w:id="509" w:name="_Toc280868708"/>
      <w:bookmarkStart w:id="510" w:name="_Toc280868709"/>
      <w:r>
        <w:rPr>
          <w:rFonts w:hint="eastAsia" w:ascii="宋体" w:hAnsi="宋体" w:cs="仿宋_GB2312"/>
          <w:color w:val="000000"/>
          <w:szCs w:val="21"/>
        </w:rPr>
        <w:t>13.2.2竣工验收程序</w:t>
      </w:r>
    </w:p>
    <w:bookmarkEnd w:id="505"/>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kern w:val="0"/>
          <w:szCs w:val="21"/>
        </w:rPr>
        <w:t>关于竣工验收程序的约定：</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竣工验收由建设单位组织：施工、勘察、设计、监理单位等共同参加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rPr>
        <w:t>发包人不按照本项约定组织竣工验收、颁发工程接收证书的违约金的计算方法：</w:t>
      </w:r>
      <w:bookmarkEnd w:id="506"/>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13.2.5移交、接收全部与部分工程</w:t>
      </w:r>
    </w:p>
    <w:bookmarkEnd w:id="507"/>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承包人向发包人移交工程的期限：</w:t>
      </w:r>
      <w:r>
        <w:rPr>
          <w:rFonts w:hint="eastAsia" w:ascii="宋体" w:hAnsi="宋体" w:cs="仿宋_GB2312"/>
          <w:color w:val="000000"/>
          <w:szCs w:val="21"/>
          <w:u w:val="single"/>
        </w:rPr>
        <w:t xml:space="preserve">   执行通用条款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发包人未按本合同约定接收全部或部分工程的，违约金的计算方法为：</w:t>
      </w:r>
    </w:p>
    <w:bookmarkEnd w:id="508"/>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无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szCs w:val="21"/>
        </w:rPr>
        <w:t>承包人未按时移交工程的，违约金的计算方法为：</w:t>
      </w:r>
      <w:r>
        <w:rPr>
          <w:rFonts w:hint="eastAsia" w:ascii="宋体" w:hAnsi="宋体" w:cs="仿宋_GB2312"/>
          <w:color w:val="000000"/>
          <w:kern w:val="0"/>
          <w:szCs w:val="21"/>
          <w:u w:val="single"/>
        </w:rPr>
        <w:t xml:space="preserve">执行通用条款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13.3 工程试车</w:t>
      </w:r>
    </w:p>
    <w:bookmarkEnd w:id="509"/>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13.3.1 试车程序</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rPr>
        <w:t>工程试车内容：</w:t>
      </w:r>
      <w:r>
        <w:rPr>
          <w:rFonts w:hint="eastAsia" w:ascii="宋体" w:hAnsi="宋体" w:cs="仿宋_GB2312"/>
          <w:color w:val="000000"/>
          <w:kern w:val="0"/>
          <w:szCs w:val="21"/>
          <w:u w:val="single"/>
        </w:rPr>
        <w:t xml:space="preserve">（若有）执行通用条款本条，并满足相关政府部门及发包方要求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（1）单机无负荷试车费用由</w:t>
      </w:r>
      <w:r>
        <w:rPr>
          <w:rFonts w:hint="eastAsia" w:ascii="宋体" w:hAnsi="宋体" w:cs="仿宋_GB2312"/>
          <w:color w:val="000000"/>
          <w:szCs w:val="21"/>
          <w:u w:val="single"/>
        </w:rPr>
        <w:t xml:space="preserve">       </w:t>
      </w:r>
      <w:r>
        <w:rPr>
          <w:rFonts w:hint="eastAsia" w:ascii="宋体" w:hAnsi="宋体" w:cs="仿宋_GB2312"/>
          <w:color w:val="000000"/>
          <w:kern w:val="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kern w:val="0"/>
          <w:szCs w:val="21"/>
        </w:rPr>
        <w:t>承担；</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（2）无负荷联动试车费用由</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 xml:space="preserve">    </w:t>
      </w:r>
      <w:r>
        <w:rPr>
          <w:rFonts w:hint="eastAsia" w:ascii="宋体" w:hAnsi="宋体" w:cs="仿宋_GB2312"/>
          <w:color w:val="000000"/>
          <w:szCs w:val="21"/>
          <w:u w:val="single"/>
        </w:rPr>
        <w:t xml:space="preserve">承包人    </w:t>
      </w:r>
      <w:r>
        <w:rPr>
          <w:rFonts w:hint="eastAsia" w:ascii="宋体" w:hAnsi="宋体" w:cs="仿宋_GB2312"/>
          <w:color w:val="000000"/>
          <w:kern w:val="0"/>
          <w:szCs w:val="21"/>
        </w:rPr>
        <w:t>承担。</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13.3.3 投料试车</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kern w:val="0"/>
          <w:szCs w:val="21"/>
        </w:rPr>
        <w:t>关于投料试车相关事项的约定：</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执行通用条款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13.6 竣工退场</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13.6.1 竣工退场</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承包人完成竣工退场的期限：</w:t>
      </w:r>
      <w:r>
        <w:rPr>
          <w:rFonts w:hint="eastAsia" w:ascii="宋体" w:hAnsi="宋体" w:cs="仿宋_GB2312"/>
          <w:color w:val="000000"/>
          <w:szCs w:val="21"/>
          <w:u w:val="single"/>
        </w:rPr>
        <w:t xml:space="preserve">     执行通用条款      </w:t>
      </w:r>
      <w:r>
        <w:rPr>
          <w:rFonts w:hint="eastAsia" w:ascii="宋体" w:hAnsi="宋体" w:cs="仿宋_GB2312"/>
          <w:color w:val="000000"/>
          <w:kern w:val="0"/>
          <w:szCs w:val="21"/>
        </w:rPr>
        <w:t>。</w:t>
      </w:r>
    </w:p>
    <w:p>
      <w:pPr>
        <w:rPr>
          <w:rFonts w:ascii="宋体" w:hAnsi="宋体" w:cs="仿宋_GB2312"/>
          <w:b/>
          <w:color w:val="000000"/>
          <w:szCs w:val="21"/>
        </w:rPr>
      </w:pPr>
      <w:bookmarkStart w:id="511" w:name="_Toc351203646"/>
      <w:r>
        <w:rPr>
          <w:rFonts w:hint="eastAsia" w:ascii="宋体" w:hAnsi="宋体" w:cs="仿宋_GB2312"/>
          <w:b/>
          <w:color w:val="000000"/>
          <w:szCs w:val="21"/>
        </w:rPr>
        <w:t>14. 竣工结算</w:t>
      </w:r>
      <w:bookmarkEnd w:id="511"/>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14.1 竣工付款申请</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szCs w:val="21"/>
        </w:rPr>
        <w:t>承包人提交竣工付款申请单的期限：</w:t>
      </w:r>
      <w:r>
        <w:rPr>
          <w:rFonts w:hint="eastAsia" w:ascii="宋体" w:hAnsi="宋体" w:cs="仿宋_GB2312"/>
          <w:szCs w:val="21"/>
          <w:u w:val="single"/>
        </w:rPr>
        <w:t>竣工验收合格之日起45天内完成竣工结算的要求，合理安排。递交竣工验收申请报告的同时，向发包人递交完整的竣工图（3份）、竣工结算报告及完整的结算资料（6份），承包人未按约定时间提交上述资料的，对承包人处以5000元/天的处罚（罚款在结算中扣除）。</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szCs w:val="21"/>
        </w:rPr>
        <w:t>竣工付款申请单应包括的内容：</w:t>
      </w:r>
      <w:r>
        <w:rPr>
          <w:rFonts w:hint="eastAsia" w:ascii="宋体" w:hAnsi="宋体" w:cs="仿宋_GB2312"/>
          <w:color w:val="000000"/>
          <w:kern w:val="0"/>
          <w:szCs w:val="21"/>
          <w:u w:val="single"/>
        </w:rPr>
        <w:t xml:space="preserve">（1）竣工结算价款总额；（2）累计已实际支付的合同价款；（3）应预留的质量保证金或履约保函；；（4）本次实际应支付的竣工结算款金额；（5）工程使用说明书；（6）各方交接单；（7）质量缺陷消缺单等 。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14.2 竣工结算审核</w:t>
      </w:r>
    </w:p>
    <w:p>
      <w:pPr>
        <w:spacing w:line="360" w:lineRule="auto"/>
        <w:ind w:firstLine="420" w:firstLineChars="200"/>
        <w:jc w:val="left"/>
        <w:rPr>
          <w:rFonts w:ascii="宋体" w:hAnsi="宋体" w:cs="仿宋_GB2312"/>
          <w:szCs w:val="21"/>
        </w:rPr>
      </w:pPr>
      <w:r>
        <w:rPr>
          <w:rFonts w:hint="eastAsia" w:ascii="宋体" w:hAnsi="宋体" w:cs="仿宋_GB2312"/>
          <w:szCs w:val="21"/>
        </w:rPr>
        <w:t>发包人审批竣工付款申请单的期限：</w:t>
      </w:r>
      <w:r>
        <w:rPr>
          <w:rFonts w:hint="eastAsia" w:ascii="宋体" w:hAnsi="宋体" w:cs="仿宋_GB2312"/>
          <w:szCs w:val="21"/>
          <w:u w:val="single"/>
        </w:rPr>
        <w:t>发包人收到承包人递交的竣工结算报告及结算资料后28天内进行核实，给予确认或提出修改意见。承包人未在21天内提交完整竣工结算资料的，除执行14.1条的处罚外，发包人有权根据已有资料进行审查，审查结果视为承包人认可 。</w:t>
      </w:r>
    </w:p>
    <w:p>
      <w:pPr>
        <w:spacing w:line="360" w:lineRule="auto"/>
        <w:ind w:firstLine="420" w:firstLineChars="200"/>
        <w:jc w:val="left"/>
        <w:rPr>
          <w:rFonts w:ascii="宋体" w:hAnsi="宋体" w:cs="仿宋_GB2312"/>
          <w:color w:val="000000"/>
          <w:szCs w:val="21"/>
        </w:rPr>
      </w:pPr>
      <w:r>
        <w:rPr>
          <w:rFonts w:hint="eastAsia" w:ascii="宋体" w:hAnsi="宋体" w:cs="仿宋_GB2312"/>
          <w:szCs w:val="21"/>
        </w:rPr>
        <w:t>发包人完成竣工付款的期限：</w:t>
      </w:r>
      <w:r>
        <w:rPr>
          <w:rFonts w:hint="eastAsia" w:ascii="宋体" w:hAnsi="宋体" w:cs="仿宋_GB2312"/>
          <w:szCs w:val="21"/>
          <w:u w:val="single"/>
        </w:rPr>
        <w:t>发包人确认竣工结算报告后的次月支付应付竣工结算价款 。</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szCs w:val="21"/>
        </w:rPr>
        <w:t>关于竣工付款证书异议部分复核的方式和程序：</w:t>
      </w:r>
      <w:r>
        <w:rPr>
          <w:rFonts w:hint="eastAsia" w:ascii="宋体" w:hAnsi="宋体" w:cs="仿宋_GB2312"/>
          <w:color w:val="000000"/>
          <w:kern w:val="0"/>
          <w:szCs w:val="21"/>
          <w:u w:val="single"/>
        </w:rPr>
        <w:t>有异议的，承包人在收到发包人签认的竣工付款证书后7天内提出异议，由合同当事人双方协商解决，协商不成的，按照第20条（争议解决）约定处理  。</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14.4 最终结清</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14.4.1 最终结清申请单</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承包人提交最终结清申请单的份数：</w:t>
      </w:r>
      <w:r>
        <w:rPr>
          <w:rFonts w:hint="eastAsia" w:ascii="宋体" w:hAnsi="宋体" w:cs="仿宋_GB2312"/>
          <w:color w:val="000000"/>
          <w:szCs w:val="21"/>
          <w:u w:val="single"/>
        </w:rPr>
        <w:t xml:space="preserve">   4份        </w:t>
      </w:r>
      <w:r>
        <w:rPr>
          <w:rFonts w:hint="eastAsia" w:ascii="宋体" w:hAnsi="宋体" w:cs="仿宋_GB2312"/>
          <w:color w:val="000000"/>
          <w:szCs w:val="21"/>
        </w:rPr>
        <w:t>。</w:t>
      </w:r>
    </w:p>
    <w:p>
      <w:pPr>
        <w:spacing w:line="360" w:lineRule="auto"/>
        <w:ind w:firstLine="420" w:firstLineChars="200"/>
        <w:jc w:val="left"/>
        <w:rPr>
          <w:rFonts w:ascii="宋体" w:hAnsi="宋体" w:cs="仿宋_GB2312"/>
          <w:szCs w:val="21"/>
        </w:rPr>
      </w:pPr>
      <w:r>
        <w:rPr>
          <w:rFonts w:hint="eastAsia" w:ascii="宋体" w:hAnsi="宋体" w:cs="仿宋_GB2312"/>
          <w:color w:val="000000"/>
          <w:kern w:val="0"/>
          <w:szCs w:val="21"/>
        </w:rPr>
        <w:t>承包人提交最终结算申请单的期限：</w:t>
      </w:r>
      <w:r>
        <w:rPr>
          <w:rFonts w:hint="eastAsia" w:ascii="宋体" w:hAnsi="宋体" w:cs="仿宋_GB2312"/>
          <w:color w:val="000000"/>
          <w:szCs w:val="21"/>
          <w:u w:val="single"/>
        </w:rPr>
        <w:t xml:space="preserve">   执行通用条款     </w:t>
      </w:r>
      <w:r>
        <w:rPr>
          <w:rFonts w:hint="eastAsia" w:ascii="宋体" w:hAnsi="宋体" w:cs="仿宋_GB2312"/>
          <w:color w:val="000000"/>
          <w:szCs w:val="21"/>
        </w:rPr>
        <w:t>。</w:t>
      </w:r>
      <w:r>
        <w:rPr>
          <w:rFonts w:hint="eastAsia" w:ascii="宋体" w:hAnsi="宋体" w:cs="仿宋_GB2312"/>
          <w:szCs w:val="21"/>
        </w:rPr>
        <w:t xml:space="preserve"> </w:t>
      </w:r>
    </w:p>
    <w:p>
      <w:pPr>
        <w:spacing w:line="360" w:lineRule="auto"/>
        <w:ind w:firstLine="420" w:firstLineChars="200"/>
        <w:jc w:val="left"/>
        <w:rPr>
          <w:rFonts w:ascii="宋体" w:hAnsi="宋体" w:cs="仿宋_GB2312"/>
          <w:szCs w:val="21"/>
        </w:rPr>
      </w:pPr>
      <w:r>
        <w:rPr>
          <w:rFonts w:hint="eastAsia" w:ascii="宋体" w:hAnsi="宋体" w:cs="仿宋_GB2312"/>
          <w:szCs w:val="21"/>
        </w:rPr>
        <w:t>14.4.2 最终结清证书和支付</w:t>
      </w:r>
    </w:p>
    <w:p>
      <w:pPr>
        <w:spacing w:line="360" w:lineRule="auto"/>
        <w:ind w:firstLine="420" w:firstLineChars="200"/>
        <w:jc w:val="left"/>
        <w:rPr>
          <w:rFonts w:ascii="宋体" w:hAnsi="宋体" w:cs="仿宋_GB2312"/>
          <w:szCs w:val="21"/>
        </w:rPr>
      </w:pPr>
      <w:r>
        <w:rPr>
          <w:rFonts w:hint="eastAsia" w:ascii="宋体" w:hAnsi="宋体" w:cs="仿宋_GB2312"/>
          <w:szCs w:val="21"/>
        </w:rPr>
        <w:t>（1）发包人完成最终结清申请单的审批并颁发最终结清证书的期限</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收到最终结算申请单28日内。</w:t>
      </w:r>
    </w:p>
    <w:p>
      <w:pPr>
        <w:spacing w:line="360" w:lineRule="auto"/>
        <w:ind w:firstLine="420" w:firstLineChars="200"/>
        <w:jc w:val="left"/>
        <w:rPr>
          <w:rFonts w:ascii="宋体" w:hAnsi="宋体" w:cs="仿宋_GB2312"/>
          <w:szCs w:val="21"/>
        </w:rPr>
      </w:pPr>
      <w:r>
        <w:rPr>
          <w:rFonts w:hint="eastAsia" w:ascii="宋体" w:hAnsi="宋体" w:cs="仿宋_GB2312"/>
          <w:szCs w:val="21"/>
        </w:rPr>
        <w:t>（2）发包人完成支付的期限：</w:t>
      </w:r>
      <w:r>
        <w:rPr>
          <w:rFonts w:hint="eastAsia" w:ascii="宋体" w:hAnsi="宋体" w:cs="仿宋_GB2312"/>
          <w:szCs w:val="21"/>
          <w:u w:val="single"/>
        </w:rPr>
        <w:t>颁发最终结清证书后28日内，且满足专用条款12.4.1条 。</w:t>
      </w:r>
    </w:p>
    <w:bookmarkEnd w:id="498"/>
    <w:bookmarkEnd w:id="499"/>
    <w:bookmarkEnd w:id="500"/>
    <w:bookmarkEnd w:id="501"/>
    <w:bookmarkEnd w:id="502"/>
    <w:bookmarkEnd w:id="503"/>
    <w:bookmarkEnd w:id="504"/>
    <w:bookmarkEnd w:id="510"/>
    <w:p>
      <w:pPr>
        <w:rPr>
          <w:rFonts w:ascii="宋体" w:hAnsi="宋体" w:cs="仿宋_GB2312"/>
          <w:b/>
          <w:color w:val="000000"/>
          <w:szCs w:val="21"/>
        </w:rPr>
      </w:pPr>
      <w:bookmarkStart w:id="512" w:name="_Toc351203647"/>
      <w:bookmarkStart w:id="513" w:name="_Toc267251483"/>
      <w:bookmarkStart w:id="514" w:name="_Toc267251484"/>
      <w:bookmarkStart w:id="515" w:name="_Toc267251482"/>
      <w:bookmarkStart w:id="516" w:name="_Toc267251485"/>
      <w:bookmarkStart w:id="517" w:name="_Toc267251489"/>
      <w:bookmarkStart w:id="518" w:name="_Toc267251486"/>
      <w:bookmarkStart w:id="519" w:name="_Toc267251488"/>
      <w:bookmarkStart w:id="520" w:name="_Toc267251490"/>
      <w:bookmarkStart w:id="521" w:name="_Toc267251497"/>
      <w:bookmarkStart w:id="522" w:name="_Toc267251496"/>
      <w:bookmarkStart w:id="523" w:name="_Toc267251493"/>
      <w:bookmarkStart w:id="524" w:name="_Toc267251499"/>
      <w:bookmarkStart w:id="525" w:name="_Toc267251503"/>
      <w:bookmarkStart w:id="526" w:name="_Toc267251495"/>
      <w:bookmarkStart w:id="527" w:name="_Toc267251491"/>
      <w:bookmarkStart w:id="528" w:name="_Toc267251498"/>
      <w:bookmarkStart w:id="529" w:name="_Toc267251492"/>
      <w:bookmarkStart w:id="530" w:name="_Toc267251502"/>
      <w:bookmarkStart w:id="531" w:name="_Toc267251494"/>
      <w:bookmarkStart w:id="532" w:name="_Toc267251501"/>
      <w:bookmarkStart w:id="533" w:name="_Toc267251506"/>
      <w:bookmarkStart w:id="534" w:name="_Toc267251504"/>
      <w:bookmarkStart w:id="535" w:name="_Toc267251507"/>
      <w:bookmarkStart w:id="536" w:name="_Toc267251508"/>
      <w:bookmarkStart w:id="537" w:name="_Toc267251511"/>
      <w:bookmarkStart w:id="538" w:name="_Toc267251514"/>
      <w:bookmarkStart w:id="539" w:name="_Toc267251515"/>
      <w:bookmarkStart w:id="540" w:name="_Toc267251510"/>
      <w:bookmarkStart w:id="541" w:name="_Toc267251509"/>
      <w:bookmarkStart w:id="542" w:name="_Toc267251513"/>
      <w:r>
        <w:rPr>
          <w:rFonts w:hint="eastAsia" w:ascii="宋体" w:hAnsi="宋体" w:cs="仿宋_GB2312"/>
          <w:b/>
          <w:color w:val="000000"/>
          <w:szCs w:val="21"/>
        </w:rPr>
        <w:t>15. 缺陷责任期与保修</w:t>
      </w:r>
      <w:bookmarkEnd w:id="512"/>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15.2缺陷责任期</w:t>
      </w:r>
      <w:bookmarkEnd w:id="513"/>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szCs w:val="21"/>
        </w:rPr>
        <w:t>缺陷责任期的具体期限：</w:t>
      </w:r>
      <w:r>
        <w:rPr>
          <w:rFonts w:hint="eastAsia" w:ascii="宋体" w:hAnsi="宋体" w:cs="仿宋_GB2312"/>
          <w:color w:val="000000"/>
          <w:kern w:val="0"/>
          <w:szCs w:val="21"/>
          <w:u w:val="single"/>
        </w:rPr>
        <w:t xml:space="preserve">   竣工验收后24个月。  </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15.3 质量保证金</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关于是否扣留质量保证金的约定：</w:t>
      </w:r>
      <w:r>
        <w:rPr>
          <w:rFonts w:hint="eastAsia" w:ascii="宋体" w:hAnsi="宋体" w:cs="仿宋_GB2312"/>
          <w:color w:val="000000"/>
          <w:szCs w:val="21"/>
          <w:u w:val="single"/>
        </w:rPr>
        <w:t xml:space="preserve">     扣留   </w:t>
      </w:r>
      <w:r>
        <w:rPr>
          <w:rFonts w:hint="eastAsia" w:ascii="宋体" w:hAnsi="宋体" w:cs="仿宋_GB2312"/>
          <w:color w:val="000000"/>
          <w:szCs w:val="21"/>
        </w:rPr>
        <w:t>。在工程项目竣工前，承包人按专用合同条款第3.7条提供履约担保的，发包人不得同时预留工程质量保证金。</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15.3.1 承包人提供质量保证金的方式</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质量保证金采用以下第</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3</w:t>
      </w:r>
      <w:r>
        <w:rPr>
          <w:rFonts w:hint="eastAsia" w:ascii="宋体" w:hAnsi="宋体" w:cs="仿宋_GB2312"/>
          <w:color w:val="000000"/>
          <w:szCs w:val="21"/>
        </w:rPr>
        <w:t>种方式：</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（1）质量保证金保函，保证金额为：</w:t>
      </w:r>
      <w:r>
        <w:rPr>
          <w:rFonts w:hint="eastAsia" w:ascii="宋体" w:hAnsi="宋体" w:cs="仿宋_GB2312"/>
          <w:color w:val="000000"/>
          <w:kern w:val="0"/>
          <w:szCs w:val="21"/>
          <w:u w:val="single"/>
        </w:rPr>
        <w:t xml:space="preserve">      无     </w:t>
      </w:r>
      <w:r>
        <w:rPr>
          <w:rFonts w:hint="eastAsia" w:ascii="宋体" w:hAnsi="宋体" w:cs="仿宋_GB2312"/>
          <w:color w:val="000000"/>
          <w:kern w:val="0"/>
          <w:szCs w:val="21"/>
        </w:rPr>
        <w:t>；</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（2）</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%的工程款；</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（3）其他方式:</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无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15.3.2 质量保证金的扣留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质量保证金的扣留采取以下第</w:t>
      </w:r>
      <w:r>
        <w:rPr>
          <w:rFonts w:hint="eastAsia" w:ascii="宋体" w:hAnsi="宋体" w:cs="仿宋_GB2312"/>
          <w:color w:val="000000"/>
          <w:szCs w:val="21"/>
          <w:u w:val="single"/>
        </w:rPr>
        <w:t xml:space="preserve"> 2  </w:t>
      </w:r>
      <w:r>
        <w:rPr>
          <w:rFonts w:hint="eastAsia" w:ascii="宋体" w:hAnsi="宋体" w:cs="仿宋_GB2312"/>
          <w:color w:val="000000"/>
          <w:szCs w:val="21"/>
        </w:rPr>
        <w:t>种方式：</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（2）工程竣工结算时一次性扣留质量保证金；</w:t>
      </w:r>
    </w:p>
    <w:p>
      <w:pPr>
        <w:autoSpaceDE w:val="0"/>
        <w:autoSpaceDN w:val="0"/>
        <w:adjustRightInd w:val="0"/>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rPr>
        <w:t>（3）其他扣留方式:</w:t>
      </w:r>
      <w:r>
        <w:rPr>
          <w:rFonts w:hint="eastAsia" w:ascii="宋体" w:hAnsi="宋体" w:cs="仿宋_GB2312"/>
          <w:color w:val="000000"/>
          <w:kern w:val="0"/>
          <w:szCs w:val="21"/>
          <w:u w:val="single"/>
        </w:rPr>
        <w:t xml:space="preserve">         无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szCs w:val="21"/>
        </w:rPr>
        <w:t>关于质量保证金的补充约定：</w:t>
      </w:r>
    </w:p>
    <w:bookmarkEnd w:id="514"/>
    <w:bookmarkEnd w:id="515"/>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无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15.4保修</w:t>
      </w:r>
    </w:p>
    <w:bookmarkEnd w:id="516"/>
    <w:p>
      <w:pPr>
        <w:spacing w:line="360" w:lineRule="auto"/>
        <w:ind w:firstLine="409" w:firstLineChars="195"/>
        <w:jc w:val="left"/>
        <w:rPr>
          <w:rFonts w:ascii="宋体" w:hAnsi="宋体" w:cs="仿宋_GB2312"/>
          <w:color w:val="000000"/>
          <w:szCs w:val="21"/>
        </w:rPr>
      </w:pPr>
      <w:r>
        <w:rPr>
          <w:rFonts w:hint="eastAsia" w:ascii="宋体" w:hAnsi="宋体" w:cs="仿宋_GB2312"/>
          <w:color w:val="000000"/>
          <w:szCs w:val="21"/>
        </w:rPr>
        <w:t>15.4.1 保修责任</w:t>
      </w:r>
    </w:p>
    <w:p>
      <w:pPr>
        <w:spacing w:line="360" w:lineRule="auto"/>
        <w:ind w:firstLine="409" w:firstLineChars="195"/>
        <w:jc w:val="left"/>
        <w:rPr>
          <w:rFonts w:ascii="宋体" w:hAnsi="宋体" w:cs="仿宋_GB2312"/>
          <w:color w:val="000000"/>
          <w:kern w:val="0"/>
          <w:szCs w:val="21"/>
          <w:u w:val="single"/>
        </w:rPr>
      </w:pPr>
      <w:r>
        <w:rPr>
          <w:rFonts w:hint="eastAsia" w:ascii="宋体" w:hAnsi="宋体" w:cs="仿宋_GB2312"/>
          <w:color w:val="000000"/>
          <w:szCs w:val="21"/>
        </w:rPr>
        <w:t>工程保修期为：</w:t>
      </w:r>
      <w:r>
        <w:rPr>
          <w:rFonts w:hint="eastAsia" w:ascii="宋体" w:hAnsi="宋体" w:cs="仿宋_GB2312"/>
          <w:color w:val="000000"/>
          <w:kern w:val="0"/>
          <w:szCs w:val="21"/>
          <w:u w:val="single"/>
        </w:rPr>
        <w:t xml:space="preserve">  见附件3质量保修书           </w:t>
      </w:r>
      <w:r>
        <w:rPr>
          <w:rFonts w:hint="eastAsia" w:ascii="宋体" w:hAnsi="宋体" w:cs="仿宋_GB2312"/>
          <w:color w:val="000000"/>
          <w:kern w:val="0"/>
          <w:szCs w:val="21"/>
        </w:rPr>
        <w:t>。</w:t>
      </w:r>
    </w:p>
    <w:p>
      <w:pPr>
        <w:spacing w:line="360" w:lineRule="auto"/>
        <w:ind w:firstLine="409" w:firstLineChars="195"/>
        <w:jc w:val="left"/>
        <w:rPr>
          <w:rFonts w:ascii="宋体" w:hAnsi="宋体" w:cs="仿宋_GB2312"/>
          <w:color w:val="000000"/>
          <w:szCs w:val="21"/>
        </w:rPr>
      </w:pPr>
      <w:r>
        <w:rPr>
          <w:rFonts w:hint="eastAsia" w:ascii="宋体" w:hAnsi="宋体" w:cs="仿宋_GB2312"/>
          <w:color w:val="000000"/>
          <w:szCs w:val="21"/>
        </w:rPr>
        <w:t>15.4.3 修复通知</w:t>
      </w:r>
    </w:p>
    <w:p>
      <w:pPr>
        <w:spacing w:line="360" w:lineRule="auto"/>
        <w:ind w:firstLine="409" w:firstLineChars="195"/>
        <w:jc w:val="left"/>
        <w:rPr>
          <w:rFonts w:ascii="宋体" w:hAnsi="宋体" w:cs="仿宋_GB2312"/>
          <w:color w:val="000000"/>
          <w:kern w:val="0"/>
          <w:szCs w:val="21"/>
          <w:u w:val="single"/>
        </w:rPr>
      </w:pPr>
      <w:r>
        <w:rPr>
          <w:rFonts w:hint="eastAsia" w:ascii="宋体" w:hAnsi="宋体" w:cs="仿宋_GB2312"/>
          <w:color w:val="000000"/>
          <w:kern w:val="0"/>
          <w:szCs w:val="21"/>
        </w:rPr>
        <w:t>承包人收到保修通知并到达工程现场的合理时间：</w:t>
      </w:r>
      <w:bookmarkEnd w:id="517"/>
      <w:bookmarkEnd w:id="518"/>
      <w:bookmarkEnd w:id="519"/>
      <w:bookmarkEnd w:id="520"/>
      <w:bookmarkStart w:id="543" w:name="_Toc351203648"/>
      <w:bookmarkStart w:id="544" w:name="_Toc280868717"/>
      <w:bookmarkStart w:id="545" w:name="_Toc280868718"/>
      <w:r>
        <w:rPr>
          <w:rFonts w:hint="eastAsia" w:ascii="宋体" w:hAnsi="宋体" w:cs="仿宋_GB2312"/>
          <w:color w:val="000000"/>
          <w:kern w:val="0"/>
          <w:szCs w:val="21"/>
          <w:u w:val="single"/>
        </w:rPr>
        <w:t xml:space="preserve"> 六小时内到达工程现场            </w:t>
      </w:r>
      <w:r>
        <w:rPr>
          <w:rFonts w:hint="eastAsia" w:ascii="宋体" w:hAnsi="宋体" w:cs="仿宋_GB2312"/>
          <w:color w:val="000000"/>
          <w:kern w:val="0"/>
          <w:szCs w:val="21"/>
        </w:rPr>
        <w:t>。</w:t>
      </w:r>
    </w:p>
    <w:p>
      <w:pPr>
        <w:rPr>
          <w:rFonts w:ascii="宋体" w:hAnsi="宋体" w:cs="仿宋_GB2312"/>
          <w:b/>
          <w:color w:val="000000"/>
          <w:szCs w:val="21"/>
        </w:rPr>
      </w:pPr>
      <w:r>
        <w:rPr>
          <w:rFonts w:hint="eastAsia" w:ascii="宋体" w:hAnsi="宋体" w:cs="仿宋_GB2312"/>
          <w:b/>
          <w:color w:val="000000"/>
          <w:szCs w:val="21"/>
        </w:rPr>
        <w:t>16. 违约</w:t>
      </w:r>
      <w:bookmarkEnd w:id="543"/>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16.1 发包人违约</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16.1.1发包人违约的情形</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rPr>
        <w:t>发包人违约的其他情形：</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numPr>
          <w:ilvl w:val="2"/>
          <w:numId w:val="7"/>
        </w:numPr>
        <w:spacing w:line="360" w:lineRule="auto"/>
        <w:jc w:val="left"/>
        <w:rPr>
          <w:rFonts w:ascii="宋体" w:hAnsi="宋体" w:cs="仿宋_GB2312"/>
          <w:color w:val="000000"/>
          <w:kern w:val="0"/>
          <w:szCs w:val="21"/>
        </w:rPr>
      </w:pPr>
      <w:r>
        <w:rPr>
          <w:rFonts w:hint="eastAsia" w:ascii="宋体" w:hAnsi="宋体" w:cs="仿宋_GB2312"/>
          <w:color w:val="000000"/>
          <w:kern w:val="0"/>
          <w:szCs w:val="21"/>
        </w:rPr>
        <w:t>发包人违约的责任</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发包人违约责任的承担方式和计算方法：</w:t>
      </w:r>
    </w:p>
    <w:p>
      <w:pPr>
        <w:spacing w:line="360" w:lineRule="auto"/>
        <w:ind w:firstLine="420" w:firstLineChars="200"/>
        <w:jc w:val="left"/>
        <w:rPr>
          <w:rFonts w:ascii="宋体" w:hAnsi="宋体" w:cs="仿宋_GB2312"/>
          <w:color w:val="000000"/>
          <w:kern w:val="0"/>
          <w:szCs w:val="21"/>
        </w:rPr>
      </w:pPr>
      <w:r>
        <w:rPr>
          <w:rFonts w:ascii="宋体" w:hAnsi="宋体" w:cs="仿宋_GB2312"/>
          <w:color w:val="000000"/>
          <w:kern w:val="0"/>
          <w:szCs w:val="21"/>
        </w:rPr>
        <w:t>（</w:t>
      </w:r>
      <w:r>
        <w:rPr>
          <w:rFonts w:hint="eastAsia" w:ascii="宋体" w:hAnsi="宋体" w:cs="仿宋_GB2312"/>
          <w:color w:val="000000"/>
          <w:kern w:val="0"/>
          <w:szCs w:val="21"/>
        </w:rPr>
        <w:t>1</w:t>
      </w:r>
      <w:r>
        <w:rPr>
          <w:rFonts w:ascii="宋体" w:hAnsi="宋体" w:cs="仿宋_GB2312"/>
          <w:color w:val="000000"/>
          <w:kern w:val="0"/>
          <w:szCs w:val="21"/>
        </w:rPr>
        <w:t>）</w:t>
      </w:r>
      <w:r>
        <w:rPr>
          <w:rFonts w:hint="eastAsia" w:ascii="宋体" w:hAnsi="宋体" w:cs="仿宋_GB2312"/>
          <w:color w:val="000000"/>
          <w:kern w:val="0"/>
          <w:szCs w:val="21"/>
        </w:rPr>
        <w:t>因发包人原因未能在计划开工日期前7天内下达开工通知的违约责任：</w:t>
      </w:r>
    </w:p>
    <w:p>
      <w:pPr>
        <w:spacing w:line="360" w:lineRule="auto"/>
        <w:ind w:left="42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（2）因发包人原因未能按合同约定支付合同价款的违约责任：</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（3）发包人违反第10.1款〔变更的范围〕第（2）项约定，自行实施被取消的工作或转由他人实施的违约责任：</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无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（4）发包人提供的材料、工程设备的规格、数量或质量不符合合同约定，或因发包人原因导致交货日期延误或交货地点变更等情况的违约责任：</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rPr>
        <w:t>（5）因发包人违反合同约定造成暂停施工的违约责任：</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（6）发包人无正当理由没有在约定期限内发出复工指示，导致承包人无法复工的违约责任：</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（7）其他：</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16.1.3 因发包人违约解除合同</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承包人按16.1.1项〔发包人违约的情形〕约定暂停施工满</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u w:val="single"/>
          <w:lang w:val="en-US" w:eastAsia="zh-CN"/>
        </w:rPr>
        <w:t xml:space="preserve">28  </w:t>
      </w:r>
      <w:r>
        <w:rPr>
          <w:rFonts w:hint="eastAsia" w:ascii="宋体" w:hAnsi="宋体" w:cs="仿宋_GB2312"/>
          <w:color w:val="000000"/>
          <w:kern w:val="0"/>
          <w:szCs w:val="21"/>
        </w:rPr>
        <w:t>天后发包人仍不纠正其违约行为并致使合同目的不能实现的，承包人有权解除合同。</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16.2 承包人违约</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16.2.1 承包人违约的情形</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rPr>
        <w:t>承包人违约的其他情形：</w:t>
      </w:r>
      <w:r>
        <w:rPr>
          <w:rFonts w:hint="eastAsia" w:ascii="宋体" w:hAnsi="宋体" w:cs="仿宋_GB2312"/>
          <w:color w:val="000000"/>
          <w:kern w:val="0"/>
          <w:szCs w:val="21"/>
          <w:u w:val="single"/>
        </w:rPr>
        <w:t xml:space="preserve"> 因承包人原因造成工程质量不合格的，承包人除承担全部责任和经济损失，并承担工程总价的1%的违约金，返工后如不能按期交工，每推延一天，按中标价万分之二赔偿，最大限额工程总造价的15%。</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16.2.2承包人违约的责任</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rPr>
        <w:t>承包人违约责任的承担方式和计算方法：</w:t>
      </w:r>
      <w:r>
        <w:rPr>
          <w:rFonts w:hint="eastAsia" w:ascii="宋体" w:hAnsi="宋体" w:cs="仿宋_GB2312"/>
          <w:color w:val="000000"/>
          <w:kern w:val="0"/>
          <w:szCs w:val="21"/>
          <w:u w:val="single"/>
        </w:rPr>
        <w:t xml:space="preserve">执行通用条款            </w:t>
      </w:r>
      <w:r>
        <w:rPr>
          <w:rFonts w:hint="eastAsia" w:ascii="宋体" w:hAnsi="宋体" w:cs="仿宋_GB2312"/>
          <w:color w:val="000000"/>
          <w:kern w:val="0"/>
          <w:szCs w:val="21"/>
        </w:rPr>
        <w:t>。</w:t>
      </w:r>
      <w:r>
        <w:rPr>
          <w:rFonts w:hint="eastAsia" w:ascii="宋体" w:hAnsi="宋体" w:cs="仿宋_GB2312"/>
          <w:color w:val="000000"/>
          <w:szCs w:val="21"/>
        </w:rPr>
        <w:t xml:space="preserve">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16.2.3 因承包人违约解除合同</w:t>
      </w:r>
    </w:p>
    <w:p>
      <w:pPr>
        <w:spacing w:before="120" w:after="120" w:line="360" w:lineRule="auto"/>
        <w:ind w:firstLine="420" w:firstLineChars="200"/>
        <w:rPr>
          <w:rFonts w:ascii="宋体" w:hAnsi="宋体" w:cs="仿宋_GB2312"/>
          <w:color w:val="000000"/>
          <w:kern w:val="0"/>
          <w:szCs w:val="21"/>
          <w:u w:val="single"/>
        </w:rPr>
      </w:pPr>
      <w:r>
        <w:rPr>
          <w:rFonts w:hint="eastAsia" w:ascii="宋体" w:hAnsi="宋体" w:cs="仿宋_GB2312"/>
          <w:color w:val="000000"/>
          <w:kern w:val="0"/>
          <w:szCs w:val="21"/>
        </w:rPr>
        <w:t>关于承包人违约解除合同的特别约定：</w:t>
      </w:r>
    </w:p>
    <w:p>
      <w:pPr>
        <w:spacing w:before="120" w:after="120" w:line="360" w:lineRule="auto"/>
        <w:ind w:firstLine="420" w:firstLineChars="200"/>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before="120" w:after="120"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发包人继续使用承包人在施工现场的材料、设备、临时工程、承包人文件和由承包人或以其名义编制的其他文件的费用承担方式：</w:t>
      </w:r>
      <w:r>
        <w:rPr>
          <w:rFonts w:hint="eastAsia" w:ascii="宋体" w:hAnsi="宋体" w:cs="仿宋_GB2312"/>
          <w:color w:val="000000"/>
          <w:kern w:val="0"/>
          <w:szCs w:val="21"/>
          <w:u w:val="single"/>
        </w:rPr>
        <w:t xml:space="preserve">  除通用合同条款规定外， 承包人还应承担由此给发包人造成的一切经济损失，直至追究法律责任。</w:t>
      </w:r>
    </w:p>
    <w:p>
      <w:pPr>
        <w:spacing w:before="120" w:after="120" w:line="360" w:lineRule="auto"/>
        <w:ind w:firstLine="420" w:firstLineChars="200"/>
        <w:rPr>
          <w:rFonts w:ascii="宋体" w:hAnsi="宋体" w:cs="仿宋_GB2312"/>
          <w:color w:val="000000"/>
          <w:kern w:val="0"/>
          <w:szCs w:val="21"/>
        </w:rPr>
      </w:pPr>
      <w:r>
        <w:rPr>
          <w:rFonts w:hint="eastAsia" w:ascii="宋体" w:hAnsi="宋体" w:cs="仿宋_GB2312"/>
          <w:color w:val="000000"/>
          <w:kern w:val="0"/>
          <w:szCs w:val="21"/>
        </w:rPr>
        <w:t>发包人继续使用承包人在施工现场的材料、设备、临时工程、承包人文件和由承包人或以其名义编制的其他文件的费用承担方式：</w:t>
      </w:r>
      <w:r>
        <w:rPr>
          <w:rFonts w:hint="eastAsia" w:ascii="宋体" w:hAnsi="宋体" w:cs="仿宋_GB2312"/>
          <w:color w:val="000000"/>
          <w:kern w:val="0"/>
          <w:szCs w:val="21"/>
          <w:u w:val="single"/>
        </w:rPr>
        <w:t>按照实际发生计算 。</w:t>
      </w:r>
    </w:p>
    <w:p>
      <w:pPr>
        <w:spacing w:before="120" w:after="120" w:line="360" w:lineRule="auto"/>
        <w:ind w:firstLine="420" w:firstLineChars="200"/>
        <w:rPr>
          <w:rFonts w:ascii="宋体" w:hAnsi="宋体" w:cs="仿宋_GB2312"/>
          <w:color w:val="000000"/>
          <w:kern w:val="0"/>
          <w:szCs w:val="21"/>
        </w:rPr>
      </w:pPr>
    </w:p>
    <w:p>
      <w:pPr>
        <w:rPr>
          <w:rFonts w:ascii="宋体" w:hAnsi="宋体" w:cs="仿宋_GB2312"/>
          <w:b/>
          <w:color w:val="000000"/>
          <w:szCs w:val="21"/>
        </w:rPr>
      </w:pPr>
      <w:bookmarkStart w:id="546" w:name="_Toc351203649"/>
      <w:r>
        <w:rPr>
          <w:rFonts w:hint="eastAsia" w:ascii="宋体" w:hAnsi="宋体" w:cs="仿宋_GB2312"/>
          <w:b/>
          <w:color w:val="000000"/>
          <w:szCs w:val="21"/>
        </w:rPr>
        <w:t>17. 不可抗力</w:t>
      </w:r>
      <w:bookmarkEnd w:id="546"/>
      <w:r>
        <w:rPr>
          <w:rFonts w:hint="eastAsia" w:ascii="宋体" w:hAnsi="宋体" w:cs="仿宋_GB2312"/>
          <w:b/>
          <w:color w:val="000000"/>
          <w:szCs w:val="21"/>
        </w:rPr>
        <w:t xml:space="preserve"> </w:t>
      </w:r>
      <w:bookmarkEnd w:id="544"/>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17.1 不可抗力的确认</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 xml:space="preserve">除通用合同条款约定的不可抗力事件之外，视为不可抗力的其他情形： </w:t>
      </w:r>
    </w:p>
    <w:p>
      <w:pPr>
        <w:spacing w:line="360" w:lineRule="auto"/>
        <w:ind w:firstLine="420" w:firstLineChars="200"/>
        <w:jc w:val="left"/>
        <w:rPr>
          <w:rFonts w:ascii="宋体" w:hAnsi="宋体" w:cs="仿宋_GB2312"/>
          <w:color w:val="000000"/>
          <w:kern w:val="0"/>
          <w:szCs w:val="21"/>
          <w:u w:val="single"/>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17.4 因不可抗力解除合同</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合同解除后，发包人应在商定或确定发包人应支付款项后</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28</w:t>
      </w:r>
      <w:r>
        <w:rPr>
          <w:rFonts w:hint="eastAsia" w:ascii="宋体" w:hAnsi="宋体" w:cs="仿宋_GB2312"/>
          <w:color w:val="000000"/>
          <w:szCs w:val="21"/>
          <w:u w:val="single"/>
        </w:rPr>
        <w:t xml:space="preserve">  </w:t>
      </w:r>
      <w:r>
        <w:rPr>
          <w:rFonts w:hint="eastAsia" w:ascii="宋体" w:hAnsi="宋体" w:cs="仿宋_GB2312"/>
          <w:color w:val="000000"/>
          <w:szCs w:val="21"/>
        </w:rPr>
        <w:t>天内完成款项的支付。</w:t>
      </w:r>
    </w:p>
    <w:p>
      <w:pPr>
        <w:rPr>
          <w:rFonts w:ascii="宋体" w:hAnsi="宋体" w:cs="仿宋_GB2312"/>
          <w:b/>
          <w:color w:val="000000"/>
          <w:szCs w:val="21"/>
        </w:rPr>
      </w:pPr>
      <w:bookmarkStart w:id="547" w:name="_Toc351203650"/>
      <w:r>
        <w:rPr>
          <w:rFonts w:hint="eastAsia" w:ascii="宋体" w:hAnsi="宋体" w:cs="仿宋_GB2312"/>
          <w:b/>
          <w:color w:val="000000"/>
          <w:szCs w:val="21"/>
        </w:rPr>
        <w:t>18. 保险</w:t>
      </w:r>
      <w:bookmarkEnd w:id="547"/>
    </w:p>
    <w:bookmarkEnd w:id="545"/>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18.1 工程保险</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关于工程保险的特别约定：</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kern w:val="0"/>
          <w:szCs w:val="21"/>
          <w:u w:val="single"/>
        </w:rPr>
        <w:t xml:space="preserve">     </w:t>
      </w:r>
      <w:r>
        <w:rPr>
          <w:rFonts w:hint="eastAsia" w:ascii="宋体" w:hAnsi="宋体" w:cs="仿宋_GB2312"/>
          <w:color w:val="000000"/>
          <w:szCs w:val="21"/>
          <w:u w:val="single"/>
        </w:rPr>
        <w:t xml:space="preserve">执行通用条款  </w:t>
      </w:r>
      <w:r>
        <w:rPr>
          <w:rFonts w:hint="eastAsia" w:ascii="宋体" w:hAnsi="宋体" w:cs="仿宋_GB2312"/>
          <w:color w:val="000000"/>
          <w:kern w:val="0"/>
          <w:szCs w:val="21"/>
          <w:u w:val="single"/>
        </w:rPr>
        <w:t xml:space="preserve">      </w:t>
      </w:r>
      <w:r>
        <w:rPr>
          <w:rFonts w:hint="eastAsia" w:ascii="宋体" w:hAnsi="宋体" w:cs="仿宋_GB2312"/>
          <w:color w:val="000000"/>
          <w:kern w:val="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18.3 其他保险</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关于其他保险的约定：</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kern w:val="0"/>
          <w:szCs w:val="21"/>
          <w:u w:val="single"/>
        </w:rPr>
        <w:t xml:space="preserve">承包人为施工现场的全部人员办理意外保险并支付保险费用。 </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承包人是否应为其施工设备等办理财产保险：</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u w:val="single"/>
        </w:rPr>
        <w:t xml:space="preserve">   是，如不按要求办理，损失自行承担。</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18.7 通知义务</w:t>
      </w:r>
    </w:p>
    <w:p>
      <w:pPr>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关于变更保险合同时的通知义务的约定：</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u w:val="single"/>
        </w:rPr>
        <w:t xml:space="preserve">     执行通用条款         </w:t>
      </w:r>
      <w:r>
        <w:rPr>
          <w:rFonts w:hint="eastAsia" w:ascii="宋体" w:hAnsi="宋体" w:cs="仿宋_GB2312"/>
          <w:color w:val="000000"/>
          <w:szCs w:val="21"/>
        </w:rPr>
        <w:t>。</w:t>
      </w:r>
    </w:p>
    <w:bookmarkEnd w:id="521"/>
    <w:bookmarkEnd w:id="522"/>
    <w:bookmarkEnd w:id="523"/>
    <w:bookmarkEnd w:id="524"/>
    <w:bookmarkEnd w:id="525"/>
    <w:bookmarkEnd w:id="526"/>
    <w:bookmarkEnd w:id="527"/>
    <w:bookmarkEnd w:id="528"/>
    <w:bookmarkEnd w:id="529"/>
    <w:bookmarkEnd w:id="530"/>
    <w:bookmarkEnd w:id="531"/>
    <w:bookmarkEnd w:id="532"/>
    <w:p>
      <w:pPr>
        <w:rPr>
          <w:rFonts w:ascii="宋体" w:hAnsi="宋体" w:cs="仿宋_GB2312"/>
          <w:b/>
          <w:color w:val="000000"/>
          <w:szCs w:val="21"/>
        </w:rPr>
      </w:pPr>
      <w:bookmarkStart w:id="548" w:name="_Toc351203651"/>
      <w:r>
        <w:rPr>
          <w:rFonts w:hint="eastAsia" w:ascii="宋体" w:hAnsi="宋体" w:cs="仿宋_GB2312"/>
          <w:b/>
          <w:color w:val="000000"/>
          <w:szCs w:val="21"/>
        </w:rPr>
        <w:t>20. 争议解决</w:t>
      </w:r>
      <w:bookmarkEnd w:id="548"/>
    </w:p>
    <w:bookmarkEnd w:id="533"/>
    <w:bookmarkEnd w:id="534"/>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20.3 争</w:t>
      </w:r>
      <w:bookmarkEnd w:id="535"/>
      <w:r>
        <w:rPr>
          <w:rFonts w:hint="eastAsia" w:ascii="宋体" w:hAnsi="宋体" w:cs="仿宋_GB2312"/>
          <w:color w:val="000000"/>
          <w:szCs w:val="21"/>
        </w:rPr>
        <w:t>议评审</w:t>
      </w:r>
    </w:p>
    <w:p>
      <w:pPr>
        <w:spacing w:line="360" w:lineRule="auto"/>
        <w:ind w:left="149" w:leftChars="71" w:firstLine="315" w:firstLineChars="150"/>
        <w:jc w:val="left"/>
        <w:rPr>
          <w:rFonts w:ascii="宋体" w:hAnsi="宋体" w:cs="仿宋_GB2312"/>
          <w:color w:val="000000"/>
          <w:szCs w:val="21"/>
          <w:u w:val="single"/>
        </w:rPr>
      </w:pPr>
      <w:r>
        <w:rPr>
          <w:rFonts w:hint="eastAsia" w:ascii="宋体" w:hAnsi="宋体" w:cs="仿宋_GB2312"/>
          <w:color w:val="000000"/>
          <w:szCs w:val="21"/>
        </w:rPr>
        <w:t>合同当事人是否同意将工程争议提交争议评审小组决定：</w:t>
      </w:r>
    </w:p>
    <w:p>
      <w:pPr>
        <w:spacing w:line="360" w:lineRule="auto"/>
        <w:ind w:left="149" w:leftChars="71" w:firstLine="315" w:firstLineChars="150"/>
        <w:jc w:val="left"/>
        <w:rPr>
          <w:rFonts w:ascii="宋体" w:hAnsi="宋体" w:cs="仿宋_GB2312"/>
          <w:color w:val="000000"/>
          <w:szCs w:val="21"/>
          <w:u w:val="single"/>
        </w:rPr>
      </w:pPr>
      <w:r>
        <w:rPr>
          <w:rFonts w:hint="eastAsia" w:ascii="宋体" w:hAnsi="宋体" w:cs="仿宋_GB2312"/>
          <w:color w:val="000000"/>
          <w:szCs w:val="21"/>
          <w:u w:val="single"/>
        </w:rPr>
        <w:t xml:space="preserve">      无         </w:t>
      </w:r>
      <w:r>
        <w:rPr>
          <w:rFonts w:hint="eastAsia" w:ascii="宋体" w:hAnsi="宋体" w:cs="仿宋_GB2312"/>
          <w:color w:val="000000"/>
          <w:szCs w:val="21"/>
        </w:rPr>
        <w:t xml:space="preserve">。 </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20.3.1 争议评审小组的确定</w:t>
      </w:r>
    </w:p>
    <w:p>
      <w:pPr>
        <w:spacing w:line="360" w:lineRule="auto"/>
        <w:ind w:firstLine="420" w:firstLineChars="200"/>
        <w:jc w:val="left"/>
        <w:rPr>
          <w:rFonts w:ascii="宋体" w:hAnsi="宋体" w:cs="仿宋_GB2312"/>
          <w:color w:val="000000"/>
          <w:szCs w:val="21"/>
          <w:u w:val="single"/>
        </w:rPr>
      </w:pPr>
      <w:r>
        <w:rPr>
          <w:rFonts w:hint="eastAsia" w:ascii="宋体" w:hAnsi="宋体" w:cs="仿宋_GB2312"/>
          <w:color w:val="000000"/>
          <w:szCs w:val="21"/>
        </w:rPr>
        <w:t>争议评审小组成员的确定：</w:t>
      </w:r>
      <w:r>
        <w:rPr>
          <w:rFonts w:hint="eastAsia" w:ascii="宋体" w:hAnsi="宋体" w:cs="仿宋_GB2312"/>
          <w:color w:val="000000"/>
          <w:szCs w:val="21"/>
          <w:u w:val="single"/>
        </w:rPr>
        <w:t xml:space="preserve">            无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选定争议评审员的期限：</w:t>
      </w:r>
      <w:r>
        <w:rPr>
          <w:rFonts w:hint="eastAsia" w:ascii="宋体" w:hAnsi="宋体" w:cs="仿宋_GB2312"/>
          <w:color w:val="000000"/>
          <w:szCs w:val="21"/>
          <w:u w:val="single"/>
        </w:rPr>
        <w:t xml:space="preserve">             无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争议评审小组成员的报酬承担方式：</w:t>
      </w:r>
      <w:r>
        <w:rPr>
          <w:rFonts w:hint="eastAsia" w:ascii="宋体" w:hAnsi="宋体" w:cs="仿宋_GB2312"/>
          <w:color w:val="000000"/>
          <w:szCs w:val="21"/>
          <w:u w:val="single"/>
        </w:rPr>
        <w:t xml:space="preserve">      无               </w:t>
      </w:r>
      <w:r>
        <w:rPr>
          <w:rFonts w:hint="eastAsia" w:ascii="宋体" w:hAnsi="宋体" w:cs="仿宋_GB2312"/>
          <w:color w:val="000000"/>
          <w:szCs w:val="21"/>
        </w:rPr>
        <w:t>。</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其他事项的约定：</w:t>
      </w:r>
      <w:r>
        <w:rPr>
          <w:rFonts w:hint="eastAsia" w:ascii="宋体" w:hAnsi="宋体" w:cs="仿宋_GB2312"/>
          <w:color w:val="000000"/>
          <w:szCs w:val="21"/>
          <w:u w:val="single"/>
        </w:rPr>
        <w:t xml:space="preserve">               无                      </w:t>
      </w:r>
      <w:r>
        <w:rPr>
          <w:rFonts w:hint="eastAsia" w:ascii="宋体" w:hAnsi="宋体" w:cs="仿宋_GB2312"/>
          <w:color w:val="000000"/>
          <w:szCs w:val="21"/>
        </w:rPr>
        <w:t>。</w:t>
      </w:r>
    </w:p>
    <w:p>
      <w:pPr>
        <w:autoSpaceDE w:val="0"/>
        <w:autoSpaceDN w:val="0"/>
        <w:adjustRightInd w:val="0"/>
        <w:spacing w:line="360" w:lineRule="auto"/>
        <w:ind w:firstLine="420" w:firstLineChars="200"/>
        <w:jc w:val="left"/>
        <w:rPr>
          <w:rFonts w:ascii="宋体" w:hAnsi="宋体" w:cs="仿宋_GB2312"/>
          <w:color w:val="000000"/>
          <w:kern w:val="0"/>
          <w:szCs w:val="21"/>
        </w:rPr>
      </w:pPr>
      <w:r>
        <w:rPr>
          <w:rFonts w:hint="eastAsia" w:ascii="宋体" w:hAnsi="宋体" w:cs="仿宋_GB2312"/>
          <w:color w:val="000000"/>
          <w:kern w:val="0"/>
          <w:szCs w:val="21"/>
        </w:rPr>
        <w:t>20.3.2 争议评审小组的决定</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合同当事人关于本项的约定：</w:t>
      </w:r>
      <w:r>
        <w:rPr>
          <w:rFonts w:hint="eastAsia" w:ascii="宋体" w:hAnsi="宋体" w:cs="仿宋_GB2312"/>
          <w:color w:val="000000"/>
          <w:szCs w:val="21"/>
          <w:u w:val="single"/>
        </w:rPr>
        <w:t xml:space="preserve">        无           </w:t>
      </w:r>
      <w:r>
        <w:rPr>
          <w:rFonts w:hint="eastAsia" w:ascii="宋体" w:hAnsi="宋体" w:cs="仿宋_GB2312"/>
          <w:color w:val="000000"/>
          <w:szCs w:val="21"/>
        </w:rPr>
        <w:t>。</w:t>
      </w:r>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20.4仲裁或诉讼</w:t>
      </w:r>
      <w:bookmarkEnd w:id="536"/>
    </w:p>
    <w:p>
      <w:pPr>
        <w:spacing w:after="120" w:line="360" w:lineRule="auto"/>
        <w:ind w:firstLine="420" w:firstLineChars="200"/>
        <w:rPr>
          <w:rFonts w:ascii="宋体" w:hAnsi="宋体" w:cs="仿宋_GB2312"/>
          <w:color w:val="000000"/>
          <w:szCs w:val="21"/>
        </w:rPr>
      </w:pPr>
      <w:r>
        <w:rPr>
          <w:rFonts w:hint="eastAsia" w:ascii="宋体" w:hAnsi="宋体" w:cs="仿宋_GB2312"/>
          <w:color w:val="000000"/>
          <w:szCs w:val="21"/>
        </w:rPr>
        <w:t>因合同及合同有关事项发生的争议，按下列第</w:t>
      </w:r>
      <w:r>
        <w:rPr>
          <w:rFonts w:hint="eastAsia" w:ascii="宋体" w:hAnsi="宋体" w:cs="仿宋_GB2312"/>
          <w:color w:val="000000"/>
          <w:szCs w:val="21"/>
          <w:u w:val="single"/>
        </w:rPr>
        <w:t xml:space="preserve">  2 </w:t>
      </w:r>
      <w:r>
        <w:rPr>
          <w:rFonts w:hint="eastAsia" w:ascii="宋体" w:hAnsi="宋体" w:cs="仿宋_GB2312"/>
          <w:color w:val="000000"/>
          <w:szCs w:val="21"/>
        </w:rPr>
        <w:t>种方式解决：</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（1）向</w:t>
      </w:r>
      <w:r>
        <w:rPr>
          <w:rFonts w:hint="eastAsia" w:ascii="宋体" w:hAnsi="宋体" w:cs="仿宋_GB2312"/>
          <w:color w:val="000000"/>
          <w:szCs w:val="21"/>
          <w:u w:val="single"/>
        </w:rPr>
        <w:t xml:space="preserve">           </w:t>
      </w:r>
      <w:r>
        <w:rPr>
          <w:rFonts w:hint="eastAsia" w:ascii="宋体" w:hAnsi="宋体" w:cs="仿宋_GB2312"/>
          <w:color w:val="000000"/>
          <w:szCs w:val="21"/>
          <w:u w:val="single"/>
          <w:lang w:val="en-US" w:eastAsia="zh-CN"/>
        </w:rPr>
        <w:t>/</w:t>
      </w:r>
      <w:r>
        <w:rPr>
          <w:rFonts w:hint="eastAsia" w:ascii="宋体" w:hAnsi="宋体" w:cs="仿宋_GB2312"/>
          <w:color w:val="000000"/>
          <w:szCs w:val="21"/>
          <w:u w:val="single"/>
        </w:rPr>
        <w:t xml:space="preserve">          </w:t>
      </w:r>
      <w:r>
        <w:rPr>
          <w:rFonts w:hint="eastAsia" w:ascii="宋体" w:hAnsi="宋体" w:cs="仿宋_GB2312"/>
          <w:color w:val="000000"/>
          <w:szCs w:val="21"/>
        </w:rPr>
        <w:t>仲裁委员会申请仲裁；</w:t>
      </w:r>
    </w:p>
    <w:p>
      <w:pPr>
        <w:spacing w:line="360" w:lineRule="auto"/>
        <w:ind w:firstLine="420" w:firstLineChars="200"/>
        <w:jc w:val="left"/>
        <w:rPr>
          <w:rFonts w:ascii="宋体" w:hAnsi="宋体" w:cs="仿宋_GB2312"/>
          <w:color w:val="000000"/>
          <w:szCs w:val="21"/>
        </w:rPr>
      </w:pPr>
      <w:r>
        <w:rPr>
          <w:rFonts w:hint="eastAsia" w:ascii="宋体" w:hAnsi="宋体" w:cs="仿宋_GB2312"/>
          <w:color w:val="000000"/>
          <w:szCs w:val="21"/>
        </w:rPr>
        <w:t>（2）向</w:t>
      </w:r>
      <w:r>
        <w:rPr>
          <w:rFonts w:hint="eastAsia" w:ascii="宋体" w:hAnsi="宋体" w:cs="仿宋_GB2312"/>
          <w:color w:val="000000"/>
          <w:szCs w:val="21"/>
          <w:u w:val="single"/>
        </w:rPr>
        <w:t xml:space="preserve">  </w:t>
      </w:r>
      <w:r>
        <w:rPr>
          <w:rFonts w:hint="eastAsia" w:ascii="宋体" w:hAnsi="宋体" w:cs="仿宋_GB2312"/>
          <w:szCs w:val="21"/>
          <w:u w:val="single"/>
        </w:rPr>
        <w:t xml:space="preserve"> 工程所在地 </w:t>
      </w:r>
      <w:r>
        <w:rPr>
          <w:rFonts w:hint="eastAsia" w:ascii="宋体" w:hAnsi="宋体" w:cs="仿宋_GB2312"/>
          <w:color w:val="000000"/>
          <w:szCs w:val="21"/>
          <w:u w:val="single"/>
        </w:rPr>
        <w:t xml:space="preserve">  </w:t>
      </w:r>
      <w:r>
        <w:rPr>
          <w:rFonts w:hint="eastAsia" w:ascii="宋体" w:hAnsi="宋体" w:cs="仿宋_GB2312"/>
          <w:color w:val="000000"/>
          <w:szCs w:val="21"/>
        </w:rPr>
        <w:t>人民法院起诉。</w:t>
      </w:r>
      <w:bookmarkEnd w:id="537"/>
      <w:bookmarkEnd w:id="538"/>
      <w:bookmarkEnd w:id="539"/>
      <w:bookmarkEnd w:id="540"/>
      <w:bookmarkEnd w:id="541"/>
      <w:bookmarkEnd w:id="542"/>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21.若项目存在本专用条款以外的风险因素，以双方签订的合同约定为准。附件</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协议书附件：</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附件1：承包人承揽工程项目一览表</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专用合同条款附件：</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附件2：发包人供应材料设备一览表</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附件3：工程质量保修书</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附件4：主要建设工程文件目录</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附件5：承包人用于本工程施工的机械设备表</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附件6：承包人主要施工管理人员表</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附件7：分包人主要施工管理人员表</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附件8：履约担保格式</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附件9：预付款担保格式</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附件10：支付担保格式</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附件11：暂估价一览表</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附件12：建设工程廉政责任书</w:t>
      </w:r>
    </w:p>
    <w:p>
      <w:pPr>
        <w:pStyle w:val="38"/>
        <w:spacing w:line="360" w:lineRule="auto"/>
        <w:ind w:firstLine="0"/>
        <w:rPr>
          <w:rFonts w:hint="eastAsia" w:ascii="宋体" w:hAnsi="宋体" w:cs="仿宋_GB2312"/>
          <w:color w:val="000000"/>
          <w:szCs w:val="21"/>
        </w:rPr>
      </w:pPr>
      <w:r>
        <w:rPr>
          <w:rFonts w:hint="eastAsia" w:ascii="宋体" w:hAnsi="宋体" w:cs="仿宋_GB2312"/>
          <w:color w:val="000000"/>
          <w:szCs w:val="21"/>
        </w:rPr>
        <w:t>附件13：施工廉政合同</w:t>
      </w:r>
    </w:p>
    <w:p>
      <w:pPr>
        <w:jc w:val="left"/>
        <w:rPr>
          <w:rFonts w:hint="eastAsia" w:asciiTheme="minorEastAsia" w:hAnsiTheme="minorEastAsia" w:eastAsiaTheme="minorEastAsia"/>
          <w:sz w:val="24"/>
          <w:szCs w:val="24"/>
        </w:rPr>
      </w:pPr>
    </w:p>
    <w:p>
      <w:pPr>
        <w:jc w:val="left"/>
        <w:rPr>
          <w:rFonts w:hint="eastAsia" w:asciiTheme="minorEastAsia" w:hAnsiTheme="minorEastAsia" w:eastAsiaTheme="minorEastAsia"/>
          <w:sz w:val="24"/>
          <w:szCs w:val="24"/>
        </w:rPr>
      </w:pPr>
    </w:p>
    <w:p>
      <w:pPr>
        <w:jc w:val="left"/>
        <w:rPr>
          <w:rFonts w:hint="eastAsia" w:asciiTheme="minorEastAsia" w:hAnsiTheme="minorEastAsia" w:eastAsiaTheme="minorEastAsia"/>
          <w:sz w:val="24"/>
          <w:szCs w:val="24"/>
        </w:rPr>
      </w:pPr>
    </w:p>
    <w:p>
      <w:pPr>
        <w:jc w:val="left"/>
        <w:rPr>
          <w:rFonts w:hint="eastAsia" w:asciiTheme="minorEastAsia" w:hAnsiTheme="minorEastAsia" w:eastAsiaTheme="minorEastAsia"/>
          <w:sz w:val="24"/>
          <w:szCs w:val="24"/>
        </w:rPr>
        <w:sectPr>
          <w:footerReference r:id="rId9" w:type="first"/>
          <w:footerReference r:id="rId8" w:type="default"/>
          <w:pgSz w:w="11906" w:h="16838"/>
          <w:pgMar w:top="1418" w:right="1531" w:bottom="1418" w:left="1554" w:header="851" w:footer="992" w:gutter="0"/>
          <w:pgNumType w:fmt="decimal" w:start="1"/>
          <w:cols w:space="720" w:num="1"/>
          <w:titlePg/>
          <w:docGrid w:type="linesAndChars" w:linePitch="312" w:charSpace="0"/>
        </w:sectPr>
      </w:pPr>
    </w:p>
    <w:p>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附件1：</w:t>
      </w:r>
    </w:p>
    <w:p>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承包人承揽工程项目一览表</w:t>
      </w:r>
    </w:p>
    <w:p>
      <w:pPr>
        <w:rPr>
          <w:rFonts w:asciiTheme="minorEastAsia" w:hAnsiTheme="minorEastAsia" w:eastAsiaTheme="minorEastAsia"/>
          <w:b/>
          <w:sz w:val="24"/>
          <w:szCs w:val="24"/>
        </w:rPr>
      </w:pPr>
    </w:p>
    <w:p>
      <w:pPr>
        <w:pStyle w:val="2"/>
        <w:rPr>
          <w:rFonts w:hint="eastAsia"/>
        </w:rPr>
      </w:pPr>
    </w:p>
    <w:tbl>
      <w:tblPr>
        <w:tblStyle w:val="22"/>
        <w:tblpPr w:leftFromText="180" w:rightFromText="180" w:vertAnchor="text" w:horzAnchor="page" w:tblpX="881" w:tblpY="301"/>
        <w:tblOverlap w:val="never"/>
        <w:tblW w:w="144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15"/>
        <w:gridCol w:w="2415"/>
        <w:gridCol w:w="1410"/>
        <w:gridCol w:w="1080"/>
        <w:gridCol w:w="1050"/>
        <w:gridCol w:w="1095"/>
        <w:gridCol w:w="1260"/>
        <w:gridCol w:w="1425"/>
        <w:gridCol w:w="1380"/>
        <w:gridCol w:w="1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15"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单位工程名称</w:t>
            </w:r>
          </w:p>
        </w:tc>
        <w:tc>
          <w:tcPr>
            <w:tcW w:w="2415"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建设规模</w:t>
            </w:r>
          </w:p>
        </w:tc>
        <w:tc>
          <w:tcPr>
            <w:tcW w:w="1410"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建筑面积(平方米)</w:t>
            </w:r>
          </w:p>
        </w:tc>
        <w:tc>
          <w:tcPr>
            <w:tcW w:w="1080"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结构形式</w:t>
            </w:r>
          </w:p>
        </w:tc>
        <w:tc>
          <w:tcPr>
            <w:tcW w:w="1050"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层数</w:t>
            </w:r>
          </w:p>
        </w:tc>
        <w:tc>
          <w:tcPr>
            <w:tcW w:w="1095"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生产能力</w:t>
            </w:r>
          </w:p>
        </w:tc>
        <w:tc>
          <w:tcPr>
            <w:tcW w:w="1260"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设备安装内容</w:t>
            </w:r>
          </w:p>
        </w:tc>
        <w:tc>
          <w:tcPr>
            <w:tcW w:w="1425"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合同价格（元）</w:t>
            </w:r>
          </w:p>
        </w:tc>
        <w:tc>
          <w:tcPr>
            <w:tcW w:w="1380"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开工日期</w:t>
            </w:r>
          </w:p>
        </w:tc>
        <w:tc>
          <w:tcPr>
            <w:tcW w:w="1560" w:type="dxa"/>
            <w:tcBorders>
              <w:top w:val="single" w:color="auto" w:sz="12" w:space="0"/>
              <w:bottom w:val="double" w:color="auto" w:sz="6" w:space="0"/>
            </w:tcBorders>
            <w:vAlign w:val="center"/>
          </w:tcPr>
          <w:p>
            <w:pPr>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tcBorders>
              <w:top w:val="double" w:color="auto" w:sz="6" w:space="0"/>
              <w:bottom w:val="single" w:color="auto" w:sz="6" w:space="0"/>
            </w:tcBorders>
            <w:vAlign w:val="center"/>
          </w:tcPr>
          <w:p>
            <w:pPr>
              <w:pStyle w:val="8"/>
              <w:keepNext/>
              <w:jc w:val="left"/>
              <w:rPr>
                <w:rFonts w:hint="default" w:asciiTheme="minorEastAsia" w:hAnsiTheme="minorEastAsia" w:eastAsiaTheme="minorEastAsia"/>
                <w:sz w:val="24"/>
                <w:szCs w:val="24"/>
              </w:rPr>
            </w:pPr>
          </w:p>
        </w:tc>
        <w:tc>
          <w:tcPr>
            <w:tcW w:w="2415"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410"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080"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050"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095"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260"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425"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380"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c>
          <w:tcPr>
            <w:tcW w:w="1560" w:type="dxa"/>
            <w:tcBorders>
              <w:top w:val="double" w:color="auto" w:sz="6" w:space="0"/>
              <w:bottom w:val="single" w:color="auto" w:sz="6" w:space="0"/>
            </w:tcBorders>
            <w:vAlign w:val="center"/>
          </w:tcPr>
          <w:p>
            <w:pPr>
              <w:pStyle w:val="8"/>
              <w:keepNext/>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tcBorders>
              <w:top w:val="nil"/>
            </w:tcBorders>
            <w:vAlign w:val="center"/>
          </w:tcPr>
          <w:p>
            <w:pPr>
              <w:pStyle w:val="8"/>
              <w:keepNext/>
              <w:rPr>
                <w:rFonts w:hint="default" w:asciiTheme="minorEastAsia" w:hAnsiTheme="minorEastAsia" w:eastAsiaTheme="minorEastAsia"/>
                <w:sz w:val="24"/>
                <w:szCs w:val="24"/>
              </w:rPr>
            </w:pPr>
          </w:p>
        </w:tc>
        <w:tc>
          <w:tcPr>
            <w:tcW w:w="2415" w:type="dxa"/>
            <w:tcBorders>
              <w:top w:val="nil"/>
            </w:tcBorders>
            <w:vAlign w:val="center"/>
          </w:tcPr>
          <w:p>
            <w:pPr>
              <w:pStyle w:val="8"/>
              <w:keepNext/>
              <w:rPr>
                <w:rFonts w:hint="default" w:asciiTheme="minorEastAsia" w:hAnsiTheme="minorEastAsia" w:eastAsiaTheme="minorEastAsia"/>
                <w:sz w:val="24"/>
                <w:szCs w:val="24"/>
              </w:rPr>
            </w:pPr>
          </w:p>
        </w:tc>
        <w:tc>
          <w:tcPr>
            <w:tcW w:w="1410" w:type="dxa"/>
            <w:tcBorders>
              <w:top w:val="nil"/>
            </w:tcBorders>
            <w:vAlign w:val="center"/>
          </w:tcPr>
          <w:p>
            <w:pPr>
              <w:pStyle w:val="8"/>
              <w:keepNext/>
              <w:rPr>
                <w:rFonts w:hint="default" w:asciiTheme="minorEastAsia" w:hAnsiTheme="minorEastAsia" w:eastAsiaTheme="minorEastAsia"/>
                <w:sz w:val="24"/>
                <w:szCs w:val="24"/>
              </w:rPr>
            </w:pPr>
          </w:p>
        </w:tc>
        <w:tc>
          <w:tcPr>
            <w:tcW w:w="1080" w:type="dxa"/>
            <w:tcBorders>
              <w:top w:val="nil"/>
            </w:tcBorders>
            <w:vAlign w:val="center"/>
          </w:tcPr>
          <w:p>
            <w:pPr>
              <w:pStyle w:val="8"/>
              <w:keepNext/>
              <w:rPr>
                <w:rFonts w:hint="default" w:asciiTheme="minorEastAsia" w:hAnsiTheme="minorEastAsia" w:eastAsiaTheme="minorEastAsia"/>
                <w:sz w:val="24"/>
                <w:szCs w:val="24"/>
              </w:rPr>
            </w:pPr>
          </w:p>
        </w:tc>
        <w:tc>
          <w:tcPr>
            <w:tcW w:w="1050" w:type="dxa"/>
            <w:tcBorders>
              <w:top w:val="nil"/>
            </w:tcBorders>
            <w:vAlign w:val="center"/>
          </w:tcPr>
          <w:p>
            <w:pPr>
              <w:pStyle w:val="8"/>
              <w:keepNext/>
              <w:rPr>
                <w:rFonts w:hint="default" w:asciiTheme="minorEastAsia" w:hAnsiTheme="minorEastAsia" w:eastAsiaTheme="minorEastAsia"/>
                <w:sz w:val="24"/>
                <w:szCs w:val="24"/>
              </w:rPr>
            </w:pPr>
          </w:p>
        </w:tc>
        <w:tc>
          <w:tcPr>
            <w:tcW w:w="1095" w:type="dxa"/>
            <w:tcBorders>
              <w:top w:val="nil"/>
            </w:tcBorders>
            <w:vAlign w:val="center"/>
          </w:tcPr>
          <w:p>
            <w:pPr>
              <w:pStyle w:val="8"/>
              <w:keepNext/>
              <w:rPr>
                <w:rFonts w:hint="default" w:asciiTheme="minorEastAsia" w:hAnsiTheme="minorEastAsia" w:eastAsiaTheme="minorEastAsia"/>
                <w:sz w:val="24"/>
                <w:szCs w:val="24"/>
              </w:rPr>
            </w:pPr>
          </w:p>
        </w:tc>
        <w:tc>
          <w:tcPr>
            <w:tcW w:w="1260" w:type="dxa"/>
            <w:tcBorders>
              <w:top w:val="nil"/>
            </w:tcBorders>
            <w:vAlign w:val="center"/>
          </w:tcPr>
          <w:p>
            <w:pPr>
              <w:pStyle w:val="8"/>
              <w:keepNext/>
              <w:rPr>
                <w:rFonts w:hint="default" w:asciiTheme="minorEastAsia" w:hAnsiTheme="minorEastAsia" w:eastAsiaTheme="minorEastAsia"/>
                <w:sz w:val="24"/>
                <w:szCs w:val="24"/>
              </w:rPr>
            </w:pPr>
          </w:p>
        </w:tc>
        <w:tc>
          <w:tcPr>
            <w:tcW w:w="1425" w:type="dxa"/>
            <w:tcBorders>
              <w:top w:val="nil"/>
            </w:tcBorders>
            <w:vAlign w:val="center"/>
          </w:tcPr>
          <w:p>
            <w:pPr>
              <w:pStyle w:val="8"/>
              <w:keepNext/>
              <w:rPr>
                <w:rFonts w:hint="default" w:asciiTheme="minorEastAsia" w:hAnsiTheme="minorEastAsia" w:eastAsiaTheme="minorEastAsia"/>
                <w:sz w:val="24"/>
                <w:szCs w:val="24"/>
              </w:rPr>
            </w:pPr>
          </w:p>
        </w:tc>
        <w:tc>
          <w:tcPr>
            <w:tcW w:w="1380" w:type="dxa"/>
            <w:tcBorders>
              <w:top w:val="nil"/>
            </w:tcBorders>
            <w:vAlign w:val="center"/>
          </w:tcPr>
          <w:p>
            <w:pPr>
              <w:pStyle w:val="8"/>
              <w:keepNext/>
              <w:rPr>
                <w:rFonts w:hint="default" w:asciiTheme="minorEastAsia" w:hAnsiTheme="minorEastAsia" w:eastAsiaTheme="minorEastAsia"/>
                <w:sz w:val="24"/>
                <w:szCs w:val="24"/>
              </w:rPr>
            </w:pPr>
          </w:p>
        </w:tc>
        <w:tc>
          <w:tcPr>
            <w:tcW w:w="1560" w:type="dxa"/>
            <w:tcBorders>
              <w:top w:val="nil"/>
            </w:tcBorders>
            <w:vAlign w:val="center"/>
          </w:tcPr>
          <w:p>
            <w:pPr>
              <w:pStyle w:val="8"/>
              <w:keepNext/>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tcBorders>
              <w:top w:val="nil"/>
            </w:tcBorders>
            <w:vAlign w:val="center"/>
          </w:tcPr>
          <w:p>
            <w:pPr>
              <w:pStyle w:val="8"/>
              <w:keepNext/>
              <w:rPr>
                <w:rFonts w:hint="default" w:asciiTheme="minorEastAsia" w:hAnsiTheme="minorEastAsia" w:eastAsiaTheme="minorEastAsia"/>
                <w:sz w:val="24"/>
                <w:szCs w:val="24"/>
              </w:rPr>
            </w:pPr>
          </w:p>
        </w:tc>
        <w:tc>
          <w:tcPr>
            <w:tcW w:w="2415" w:type="dxa"/>
            <w:tcBorders>
              <w:top w:val="nil"/>
            </w:tcBorders>
            <w:vAlign w:val="center"/>
          </w:tcPr>
          <w:p>
            <w:pPr>
              <w:pStyle w:val="8"/>
              <w:keepNext/>
              <w:rPr>
                <w:rFonts w:hint="default" w:asciiTheme="minorEastAsia" w:hAnsiTheme="minorEastAsia" w:eastAsiaTheme="minorEastAsia"/>
                <w:sz w:val="24"/>
                <w:szCs w:val="24"/>
              </w:rPr>
            </w:pPr>
          </w:p>
        </w:tc>
        <w:tc>
          <w:tcPr>
            <w:tcW w:w="1410" w:type="dxa"/>
            <w:tcBorders>
              <w:top w:val="nil"/>
            </w:tcBorders>
            <w:vAlign w:val="center"/>
          </w:tcPr>
          <w:p>
            <w:pPr>
              <w:pStyle w:val="8"/>
              <w:keepNext/>
              <w:rPr>
                <w:rFonts w:hint="default" w:asciiTheme="minorEastAsia" w:hAnsiTheme="minorEastAsia" w:eastAsiaTheme="minorEastAsia"/>
                <w:sz w:val="24"/>
                <w:szCs w:val="24"/>
              </w:rPr>
            </w:pPr>
          </w:p>
        </w:tc>
        <w:tc>
          <w:tcPr>
            <w:tcW w:w="1080" w:type="dxa"/>
            <w:tcBorders>
              <w:top w:val="nil"/>
            </w:tcBorders>
            <w:vAlign w:val="center"/>
          </w:tcPr>
          <w:p>
            <w:pPr>
              <w:pStyle w:val="8"/>
              <w:keepNext/>
              <w:rPr>
                <w:rFonts w:hint="default" w:asciiTheme="minorEastAsia" w:hAnsiTheme="minorEastAsia" w:eastAsiaTheme="minorEastAsia"/>
                <w:sz w:val="24"/>
                <w:szCs w:val="24"/>
              </w:rPr>
            </w:pPr>
          </w:p>
        </w:tc>
        <w:tc>
          <w:tcPr>
            <w:tcW w:w="1050" w:type="dxa"/>
            <w:tcBorders>
              <w:top w:val="nil"/>
            </w:tcBorders>
            <w:vAlign w:val="center"/>
          </w:tcPr>
          <w:p>
            <w:pPr>
              <w:pStyle w:val="8"/>
              <w:keepNext/>
              <w:rPr>
                <w:rFonts w:hint="default" w:asciiTheme="minorEastAsia" w:hAnsiTheme="minorEastAsia" w:eastAsiaTheme="minorEastAsia"/>
                <w:sz w:val="24"/>
                <w:szCs w:val="24"/>
              </w:rPr>
            </w:pPr>
          </w:p>
        </w:tc>
        <w:tc>
          <w:tcPr>
            <w:tcW w:w="1095" w:type="dxa"/>
            <w:tcBorders>
              <w:top w:val="nil"/>
            </w:tcBorders>
            <w:vAlign w:val="center"/>
          </w:tcPr>
          <w:p>
            <w:pPr>
              <w:pStyle w:val="8"/>
              <w:keepNext/>
              <w:rPr>
                <w:rFonts w:hint="default" w:asciiTheme="minorEastAsia" w:hAnsiTheme="minorEastAsia" w:eastAsiaTheme="minorEastAsia"/>
                <w:sz w:val="24"/>
                <w:szCs w:val="24"/>
              </w:rPr>
            </w:pPr>
          </w:p>
        </w:tc>
        <w:tc>
          <w:tcPr>
            <w:tcW w:w="1260" w:type="dxa"/>
            <w:tcBorders>
              <w:top w:val="nil"/>
            </w:tcBorders>
            <w:vAlign w:val="center"/>
          </w:tcPr>
          <w:p>
            <w:pPr>
              <w:pStyle w:val="8"/>
              <w:keepNext/>
              <w:rPr>
                <w:rFonts w:hint="default" w:asciiTheme="minorEastAsia" w:hAnsiTheme="minorEastAsia" w:eastAsiaTheme="minorEastAsia"/>
                <w:sz w:val="24"/>
                <w:szCs w:val="24"/>
              </w:rPr>
            </w:pPr>
          </w:p>
        </w:tc>
        <w:tc>
          <w:tcPr>
            <w:tcW w:w="1425" w:type="dxa"/>
            <w:tcBorders>
              <w:top w:val="nil"/>
            </w:tcBorders>
            <w:vAlign w:val="center"/>
          </w:tcPr>
          <w:p>
            <w:pPr>
              <w:pStyle w:val="8"/>
              <w:keepNext/>
              <w:rPr>
                <w:rFonts w:hint="default" w:asciiTheme="minorEastAsia" w:hAnsiTheme="minorEastAsia" w:eastAsiaTheme="minorEastAsia"/>
                <w:sz w:val="24"/>
                <w:szCs w:val="24"/>
              </w:rPr>
            </w:pPr>
          </w:p>
        </w:tc>
        <w:tc>
          <w:tcPr>
            <w:tcW w:w="1380" w:type="dxa"/>
            <w:tcBorders>
              <w:top w:val="nil"/>
            </w:tcBorders>
            <w:vAlign w:val="center"/>
          </w:tcPr>
          <w:p>
            <w:pPr>
              <w:pStyle w:val="8"/>
              <w:keepNext/>
              <w:rPr>
                <w:rFonts w:hint="default" w:asciiTheme="minorEastAsia" w:hAnsiTheme="minorEastAsia" w:eastAsiaTheme="minorEastAsia"/>
                <w:sz w:val="24"/>
                <w:szCs w:val="24"/>
              </w:rPr>
            </w:pPr>
          </w:p>
        </w:tc>
        <w:tc>
          <w:tcPr>
            <w:tcW w:w="1560" w:type="dxa"/>
            <w:tcBorders>
              <w:top w:val="nil"/>
            </w:tcBorders>
            <w:vAlign w:val="center"/>
          </w:tcPr>
          <w:p>
            <w:pPr>
              <w:pStyle w:val="8"/>
              <w:keepNext/>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vAlign w:val="center"/>
          </w:tcPr>
          <w:p>
            <w:pPr>
              <w:pStyle w:val="8"/>
              <w:keepNext/>
              <w:rPr>
                <w:rFonts w:hint="default" w:asciiTheme="minorEastAsia" w:hAnsiTheme="minorEastAsia" w:eastAsiaTheme="minorEastAsia"/>
                <w:sz w:val="24"/>
                <w:szCs w:val="24"/>
              </w:rPr>
            </w:pPr>
          </w:p>
        </w:tc>
        <w:tc>
          <w:tcPr>
            <w:tcW w:w="2415" w:type="dxa"/>
            <w:vAlign w:val="center"/>
          </w:tcPr>
          <w:p>
            <w:pPr>
              <w:pStyle w:val="8"/>
              <w:keepNext/>
              <w:rPr>
                <w:rFonts w:hint="default" w:asciiTheme="minorEastAsia" w:hAnsiTheme="minorEastAsia" w:eastAsiaTheme="minorEastAsia"/>
                <w:sz w:val="24"/>
                <w:szCs w:val="24"/>
              </w:rPr>
            </w:pPr>
          </w:p>
        </w:tc>
        <w:tc>
          <w:tcPr>
            <w:tcW w:w="1410" w:type="dxa"/>
            <w:vAlign w:val="center"/>
          </w:tcPr>
          <w:p>
            <w:pPr>
              <w:pStyle w:val="8"/>
              <w:keepNext/>
              <w:rPr>
                <w:rFonts w:hint="default" w:asciiTheme="minorEastAsia" w:hAnsiTheme="minorEastAsia" w:eastAsiaTheme="minorEastAsia"/>
                <w:sz w:val="24"/>
                <w:szCs w:val="24"/>
              </w:rPr>
            </w:pPr>
          </w:p>
        </w:tc>
        <w:tc>
          <w:tcPr>
            <w:tcW w:w="1080" w:type="dxa"/>
            <w:vAlign w:val="center"/>
          </w:tcPr>
          <w:p>
            <w:pPr>
              <w:pStyle w:val="8"/>
              <w:keepNext/>
              <w:rPr>
                <w:rFonts w:hint="default" w:asciiTheme="minorEastAsia" w:hAnsiTheme="minorEastAsia" w:eastAsiaTheme="minorEastAsia"/>
                <w:sz w:val="24"/>
                <w:szCs w:val="24"/>
              </w:rPr>
            </w:pPr>
          </w:p>
        </w:tc>
        <w:tc>
          <w:tcPr>
            <w:tcW w:w="1050" w:type="dxa"/>
            <w:vAlign w:val="center"/>
          </w:tcPr>
          <w:p>
            <w:pPr>
              <w:pStyle w:val="8"/>
              <w:keepNext/>
              <w:rPr>
                <w:rFonts w:hint="default" w:asciiTheme="minorEastAsia" w:hAnsiTheme="minorEastAsia" w:eastAsiaTheme="minorEastAsia"/>
                <w:sz w:val="24"/>
                <w:szCs w:val="24"/>
              </w:rPr>
            </w:pPr>
          </w:p>
        </w:tc>
        <w:tc>
          <w:tcPr>
            <w:tcW w:w="1095" w:type="dxa"/>
            <w:vAlign w:val="center"/>
          </w:tcPr>
          <w:p>
            <w:pPr>
              <w:pStyle w:val="8"/>
              <w:keepNext/>
              <w:rPr>
                <w:rFonts w:hint="default" w:asciiTheme="minorEastAsia" w:hAnsiTheme="minorEastAsia" w:eastAsiaTheme="minorEastAsia"/>
                <w:sz w:val="24"/>
                <w:szCs w:val="24"/>
              </w:rPr>
            </w:pPr>
          </w:p>
        </w:tc>
        <w:tc>
          <w:tcPr>
            <w:tcW w:w="1260" w:type="dxa"/>
            <w:vAlign w:val="center"/>
          </w:tcPr>
          <w:p>
            <w:pPr>
              <w:pStyle w:val="8"/>
              <w:keepNext/>
              <w:rPr>
                <w:rFonts w:hint="default" w:asciiTheme="minorEastAsia" w:hAnsiTheme="minorEastAsia" w:eastAsiaTheme="minorEastAsia"/>
                <w:sz w:val="24"/>
                <w:szCs w:val="24"/>
              </w:rPr>
            </w:pPr>
          </w:p>
        </w:tc>
        <w:tc>
          <w:tcPr>
            <w:tcW w:w="1425" w:type="dxa"/>
            <w:vAlign w:val="center"/>
          </w:tcPr>
          <w:p>
            <w:pPr>
              <w:pStyle w:val="8"/>
              <w:keepNext/>
              <w:rPr>
                <w:rFonts w:hint="default" w:asciiTheme="minorEastAsia" w:hAnsiTheme="minorEastAsia" w:eastAsiaTheme="minorEastAsia"/>
                <w:sz w:val="24"/>
                <w:szCs w:val="24"/>
              </w:rPr>
            </w:pPr>
          </w:p>
        </w:tc>
        <w:tc>
          <w:tcPr>
            <w:tcW w:w="1380" w:type="dxa"/>
            <w:vAlign w:val="center"/>
          </w:tcPr>
          <w:p>
            <w:pPr>
              <w:pStyle w:val="8"/>
              <w:keepNext/>
              <w:rPr>
                <w:rFonts w:hint="default" w:asciiTheme="minorEastAsia" w:hAnsiTheme="minorEastAsia" w:eastAsiaTheme="minorEastAsia"/>
                <w:sz w:val="24"/>
                <w:szCs w:val="24"/>
              </w:rPr>
            </w:pPr>
          </w:p>
        </w:tc>
        <w:tc>
          <w:tcPr>
            <w:tcW w:w="1560" w:type="dxa"/>
            <w:vAlign w:val="center"/>
          </w:tcPr>
          <w:p>
            <w:pPr>
              <w:pStyle w:val="8"/>
              <w:keepNext/>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vAlign w:val="center"/>
          </w:tcPr>
          <w:p>
            <w:pPr>
              <w:pStyle w:val="8"/>
              <w:keepNext/>
              <w:rPr>
                <w:rFonts w:hint="default" w:asciiTheme="minorEastAsia" w:hAnsiTheme="minorEastAsia" w:eastAsiaTheme="minorEastAsia"/>
                <w:sz w:val="24"/>
                <w:szCs w:val="24"/>
              </w:rPr>
            </w:pPr>
          </w:p>
        </w:tc>
        <w:tc>
          <w:tcPr>
            <w:tcW w:w="2415" w:type="dxa"/>
            <w:vAlign w:val="center"/>
          </w:tcPr>
          <w:p>
            <w:pPr>
              <w:pStyle w:val="8"/>
              <w:keepNext/>
              <w:rPr>
                <w:rFonts w:hint="default" w:asciiTheme="minorEastAsia" w:hAnsiTheme="minorEastAsia" w:eastAsiaTheme="minorEastAsia"/>
                <w:sz w:val="24"/>
                <w:szCs w:val="24"/>
              </w:rPr>
            </w:pPr>
          </w:p>
        </w:tc>
        <w:tc>
          <w:tcPr>
            <w:tcW w:w="1410" w:type="dxa"/>
            <w:vAlign w:val="center"/>
          </w:tcPr>
          <w:p>
            <w:pPr>
              <w:pStyle w:val="8"/>
              <w:keepNext/>
              <w:rPr>
                <w:rFonts w:hint="default" w:asciiTheme="minorEastAsia" w:hAnsiTheme="minorEastAsia" w:eastAsiaTheme="minorEastAsia"/>
                <w:sz w:val="24"/>
                <w:szCs w:val="24"/>
              </w:rPr>
            </w:pPr>
          </w:p>
        </w:tc>
        <w:tc>
          <w:tcPr>
            <w:tcW w:w="1080" w:type="dxa"/>
            <w:vAlign w:val="center"/>
          </w:tcPr>
          <w:p>
            <w:pPr>
              <w:pStyle w:val="8"/>
              <w:keepNext/>
              <w:rPr>
                <w:rFonts w:hint="default" w:asciiTheme="minorEastAsia" w:hAnsiTheme="minorEastAsia" w:eastAsiaTheme="minorEastAsia"/>
                <w:sz w:val="24"/>
                <w:szCs w:val="24"/>
              </w:rPr>
            </w:pPr>
          </w:p>
        </w:tc>
        <w:tc>
          <w:tcPr>
            <w:tcW w:w="1050" w:type="dxa"/>
            <w:vAlign w:val="center"/>
          </w:tcPr>
          <w:p>
            <w:pPr>
              <w:pStyle w:val="8"/>
              <w:keepNext/>
              <w:rPr>
                <w:rFonts w:hint="default" w:asciiTheme="minorEastAsia" w:hAnsiTheme="minorEastAsia" w:eastAsiaTheme="minorEastAsia"/>
                <w:sz w:val="24"/>
                <w:szCs w:val="24"/>
              </w:rPr>
            </w:pPr>
          </w:p>
        </w:tc>
        <w:tc>
          <w:tcPr>
            <w:tcW w:w="1095" w:type="dxa"/>
            <w:vAlign w:val="center"/>
          </w:tcPr>
          <w:p>
            <w:pPr>
              <w:pStyle w:val="8"/>
              <w:keepNext/>
              <w:rPr>
                <w:rFonts w:hint="default" w:asciiTheme="minorEastAsia" w:hAnsiTheme="minorEastAsia" w:eastAsiaTheme="minorEastAsia"/>
                <w:sz w:val="24"/>
                <w:szCs w:val="24"/>
              </w:rPr>
            </w:pPr>
          </w:p>
        </w:tc>
        <w:tc>
          <w:tcPr>
            <w:tcW w:w="1260" w:type="dxa"/>
            <w:vAlign w:val="center"/>
          </w:tcPr>
          <w:p>
            <w:pPr>
              <w:pStyle w:val="8"/>
              <w:keepNext/>
              <w:rPr>
                <w:rFonts w:hint="default" w:asciiTheme="minorEastAsia" w:hAnsiTheme="minorEastAsia" w:eastAsiaTheme="minorEastAsia"/>
                <w:sz w:val="24"/>
                <w:szCs w:val="24"/>
              </w:rPr>
            </w:pPr>
          </w:p>
        </w:tc>
        <w:tc>
          <w:tcPr>
            <w:tcW w:w="1425" w:type="dxa"/>
            <w:vAlign w:val="center"/>
          </w:tcPr>
          <w:p>
            <w:pPr>
              <w:pStyle w:val="8"/>
              <w:keepNext/>
              <w:rPr>
                <w:rFonts w:hint="default" w:asciiTheme="minorEastAsia" w:hAnsiTheme="minorEastAsia" w:eastAsiaTheme="minorEastAsia"/>
                <w:sz w:val="24"/>
                <w:szCs w:val="24"/>
              </w:rPr>
            </w:pPr>
          </w:p>
        </w:tc>
        <w:tc>
          <w:tcPr>
            <w:tcW w:w="1380" w:type="dxa"/>
            <w:vAlign w:val="center"/>
          </w:tcPr>
          <w:p>
            <w:pPr>
              <w:pStyle w:val="8"/>
              <w:keepNext/>
              <w:rPr>
                <w:rFonts w:hint="default" w:asciiTheme="minorEastAsia" w:hAnsiTheme="minorEastAsia" w:eastAsiaTheme="minorEastAsia"/>
                <w:sz w:val="24"/>
                <w:szCs w:val="24"/>
              </w:rPr>
            </w:pPr>
          </w:p>
        </w:tc>
        <w:tc>
          <w:tcPr>
            <w:tcW w:w="1560" w:type="dxa"/>
            <w:vAlign w:val="center"/>
          </w:tcPr>
          <w:p>
            <w:pPr>
              <w:pStyle w:val="8"/>
              <w:keepNext/>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tcBorders>
              <w:top w:val="nil"/>
            </w:tcBorders>
            <w:vAlign w:val="center"/>
          </w:tcPr>
          <w:p>
            <w:pPr>
              <w:pStyle w:val="8"/>
              <w:keepNext/>
              <w:rPr>
                <w:rFonts w:hint="default" w:asciiTheme="minorEastAsia" w:hAnsiTheme="minorEastAsia" w:eastAsiaTheme="minorEastAsia"/>
                <w:sz w:val="24"/>
                <w:szCs w:val="24"/>
              </w:rPr>
            </w:pPr>
          </w:p>
        </w:tc>
        <w:tc>
          <w:tcPr>
            <w:tcW w:w="2415" w:type="dxa"/>
            <w:tcBorders>
              <w:top w:val="nil"/>
            </w:tcBorders>
            <w:vAlign w:val="center"/>
          </w:tcPr>
          <w:p>
            <w:pPr>
              <w:pStyle w:val="8"/>
              <w:keepNext/>
              <w:rPr>
                <w:rFonts w:hint="default" w:asciiTheme="minorEastAsia" w:hAnsiTheme="minorEastAsia" w:eastAsiaTheme="minorEastAsia"/>
                <w:sz w:val="24"/>
                <w:szCs w:val="24"/>
              </w:rPr>
            </w:pPr>
          </w:p>
        </w:tc>
        <w:tc>
          <w:tcPr>
            <w:tcW w:w="1410" w:type="dxa"/>
            <w:tcBorders>
              <w:top w:val="nil"/>
            </w:tcBorders>
            <w:vAlign w:val="center"/>
          </w:tcPr>
          <w:p>
            <w:pPr>
              <w:pStyle w:val="8"/>
              <w:keepNext/>
              <w:rPr>
                <w:rFonts w:hint="default" w:asciiTheme="minorEastAsia" w:hAnsiTheme="minorEastAsia" w:eastAsiaTheme="minorEastAsia"/>
                <w:sz w:val="24"/>
                <w:szCs w:val="24"/>
              </w:rPr>
            </w:pPr>
          </w:p>
        </w:tc>
        <w:tc>
          <w:tcPr>
            <w:tcW w:w="1080" w:type="dxa"/>
            <w:tcBorders>
              <w:top w:val="nil"/>
            </w:tcBorders>
            <w:vAlign w:val="center"/>
          </w:tcPr>
          <w:p>
            <w:pPr>
              <w:pStyle w:val="8"/>
              <w:keepNext/>
              <w:rPr>
                <w:rFonts w:hint="default" w:asciiTheme="minorEastAsia" w:hAnsiTheme="minorEastAsia" w:eastAsiaTheme="minorEastAsia"/>
                <w:sz w:val="24"/>
                <w:szCs w:val="24"/>
              </w:rPr>
            </w:pPr>
          </w:p>
        </w:tc>
        <w:tc>
          <w:tcPr>
            <w:tcW w:w="1050" w:type="dxa"/>
            <w:tcBorders>
              <w:top w:val="nil"/>
            </w:tcBorders>
            <w:vAlign w:val="center"/>
          </w:tcPr>
          <w:p>
            <w:pPr>
              <w:pStyle w:val="8"/>
              <w:keepNext/>
              <w:rPr>
                <w:rFonts w:hint="default" w:asciiTheme="minorEastAsia" w:hAnsiTheme="minorEastAsia" w:eastAsiaTheme="minorEastAsia"/>
                <w:sz w:val="24"/>
                <w:szCs w:val="24"/>
              </w:rPr>
            </w:pPr>
          </w:p>
        </w:tc>
        <w:tc>
          <w:tcPr>
            <w:tcW w:w="1095" w:type="dxa"/>
            <w:tcBorders>
              <w:top w:val="nil"/>
            </w:tcBorders>
            <w:vAlign w:val="center"/>
          </w:tcPr>
          <w:p>
            <w:pPr>
              <w:pStyle w:val="8"/>
              <w:keepNext/>
              <w:rPr>
                <w:rFonts w:hint="default" w:asciiTheme="minorEastAsia" w:hAnsiTheme="minorEastAsia" w:eastAsiaTheme="minorEastAsia"/>
                <w:sz w:val="24"/>
                <w:szCs w:val="24"/>
              </w:rPr>
            </w:pPr>
          </w:p>
        </w:tc>
        <w:tc>
          <w:tcPr>
            <w:tcW w:w="1260" w:type="dxa"/>
            <w:tcBorders>
              <w:top w:val="nil"/>
            </w:tcBorders>
            <w:vAlign w:val="center"/>
          </w:tcPr>
          <w:p>
            <w:pPr>
              <w:pStyle w:val="8"/>
              <w:keepNext/>
              <w:rPr>
                <w:rFonts w:hint="default" w:asciiTheme="minorEastAsia" w:hAnsiTheme="minorEastAsia" w:eastAsiaTheme="minorEastAsia"/>
                <w:sz w:val="24"/>
                <w:szCs w:val="24"/>
              </w:rPr>
            </w:pPr>
          </w:p>
        </w:tc>
        <w:tc>
          <w:tcPr>
            <w:tcW w:w="1425" w:type="dxa"/>
            <w:tcBorders>
              <w:top w:val="nil"/>
            </w:tcBorders>
            <w:vAlign w:val="center"/>
          </w:tcPr>
          <w:p>
            <w:pPr>
              <w:pStyle w:val="8"/>
              <w:keepNext/>
              <w:rPr>
                <w:rFonts w:hint="default" w:asciiTheme="minorEastAsia" w:hAnsiTheme="minorEastAsia" w:eastAsiaTheme="minorEastAsia"/>
                <w:sz w:val="24"/>
                <w:szCs w:val="24"/>
              </w:rPr>
            </w:pPr>
          </w:p>
        </w:tc>
        <w:tc>
          <w:tcPr>
            <w:tcW w:w="1380" w:type="dxa"/>
            <w:tcBorders>
              <w:top w:val="nil"/>
            </w:tcBorders>
            <w:vAlign w:val="center"/>
          </w:tcPr>
          <w:p>
            <w:pPr>
              <w:pStyle w:val="8"/>
              <w:keepNext/>
              <w:rPr>
                <w:rFonts w:hint="default" w:asciiTheme="minorEastAsia" w:hAnsiTheme="minorEastAsia" w:eastAsiaTheme="minorEastAsia"/>
                <w:sz w:val="24"/>
                <w:szCs w:val="24"/>
              </w:rPr>
            </w:pPr>
          </w:p>
        </w:tc>
        <w:tc>
          <w:tcPr>
            <w:tcW w:w="1560" w:type="dxa"/>
            <w:tcBorders>
              <w:top w:val="nil"/>
            </w:tcBorders>
            <w:vAlign w:val="center"/>
          </w:tcPr>
          <w:p>
            <w:pPr>
              <w:pStyle w:val="8"/>
              <w:keepNext/>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tcBorders>
              <w:top w:val="nil"/>
            </w:tcBorders>
            <w:vAlign w:val="center"/>
          </w:tcPr>
          <w:p>
            <w:pPr>
              <w:pStyle w:val="8"/>
              <w:keepNext/>
              <w:rPr>
                <w:rFonts w:hint="default" w:asciiTheme="minorEastAsia" w:hAnsiTheme="minorEastAsia" w:eastAsiaTheme="minorEastAsia"/>
                <w:sz w:val="24"/>
                <w:szCs w:val="24"/>
              </w:rPr>
            </w:pPr>
          </w:p>
        </w:tc>
        <w:tc>
          <w:tcPr>
            <w:tcW w:w="2415" w:type="dxa"/>
            <w:tcBorders>
              <w:top w:val="nil"/>
            </w:tcBorders>
            <w:vAlign w:val="center"/>
          </w:tcPr>
          <w:p>
            <w:pPr>
              <w:pStyle w:val="8"/>
              <w:keepNext/>
              <w:rPr>
                <w:rFonts w:hint="default" w:asciiTheme="minorEastAsia" w:hAnsiTheme="minorEastAsia" w:eastAsiaTheme="minorEastAsia"/>
                <w:sz w:val="24"/>
                <w:szCs w:val="24"/>
              </w:rPr>
            </w:pPr>
          </w:p>
        </w:tc>
        <w:tc>
          <w:tcPr>
            <w:tcW w:w="1410" w:type="dxa"/>
            <w:tcBorders>
              <w:top w:val="nil"/>
            </w:tcBorders>
            <w:vAlign w:val="center"/>
          </w:tcPr>
          <w:p>
            <w:pPr>
              <w:pStyle w:val="8"/>
              <w:keepNext/>
              <w:rPr>
                <w:rFonts w:hint="default" w:asciiTheme="minorEastAsia" w:hAnsiTheme="minorEastAsia" w:eastAsiaTheme="minorEastAsia"/>
                <w:sz w:val="24"/>
                <w:szCs w:val="24"/>
              </w:rPr>
            </w:pPr>
          </w:p>
        </w:tc>
        <w:tc>
          <w:tcPr>
            <w:tcW w:w="1080" w:type="dxa"/>
            <w:tcBorders>
              <w:top w:val="nil"/>
            </w:tcBorders>
            <w:vAlign w:val="center"/>
          </w:tcPr>
          <w:p>
            <w:pPr>
              <w:pStyle w:val="8"/>
              <w:keepNext/>
              <w:rPr>
                <w:rFonts w:hint="default" w:asciiTheme="minorEastAsia" w:hAnsiTheme="minorEastAsia" w:eastAsiaTheme="minorEastAsia"/>
                <w:sz w:val="24"/>
                <w:szCs w:val="24"/>
              </w:rPr>
            </w:pPr>
          </w:p>
        </w:tc>
        <w:tc>
          <w:tcPr>
            <w:tcW w:w="1050" w:type="dxa"/>
            <w:tcBorders>
              <w:top w:val="nil"/>
            </w:tcBorders>
            <w:vAlign w:val="center"/>
          </w:tcPr>
          <w:p>
            <w:pPr>
              <w:pStyle w:val="8"/>
              <w:keepNext/>
              <w:rPr>
                <w:rFonts w:hint="default" w:asciiTheme="minorEastAsia" w:hAnsiTheme="minorEastAsia" w:eastAsiaTheme="minorEastAsia"/>
                <w:sz w:val="24"/>
                <w:szCs w:val="24"/>
              </w:rPr>
            </w:pPr>
          </w:p>
        </w:tc>
        <w:tc>
          <w:tcPr>
            <w:tcW w:w="1095" w:type="dxa"/>
            <w:tcBorders>
              <w:top w:val="nil"/>
            </w:tcBorders>
            <w:vAlign w:val="center"/>
          </w:tcPr>
          <w:p>
            <w:pPr>
              <w:pStyle w:val="8"/>
              <w:keepNext/>
              <w:rPr>
                <w:rFonts w:hint="default" w:asciiTheme="minorEastAsia" w:hAnsiTheme="minorEastAsia" w:eastAsiaTheme="minorEastAsia"/>
                <w:sz w:val="24"/>
                <w:szCs w:val="24"/>
              </w:rPr>
            </w:pPr>
          </w:p>
        </w:tc>
        <w:tc>
          <w:tcPr>
            <w:tcW w:w="1260" w:type="dxa"/>
            <w:tcBorders>
              <w:top w:val="nil"/>
            </w:tcBorders>
            <w:vAlign w:val="center"/>
          </w:tcPr>
          <w:p>
            <w:pPr>
              <w:pStyle w:val="8"/>
              <w:keepNext/>
              <w:rPr>
                <w:rFonts w:hint="default" w:asciiTheme="minorEastAsia" w:hAnsiTheme="minorEastAsia" w:eastAsiaTheme="minorEastAsia"/>
                <w:sz w:val="24"/>
                <w:szCs w:val="24"/>
              </w:rPr>
            </w:pPr>
          </w:p>
        </w:tc>
        <w:tc>
          <w:tcPr>
            <w:tcW w:w="1425" w:type="dxa"/>
            <w:tcBorders>
              <w:top w:val="nil"/>
            </w:tcBorders>
            <w:vAlign w:val="center"/>
          </w:tcPr>
          <w:p>
            <w:pPr>
              <w:pStyle w:val="8"/>
              <w:keepNext/>
              <w:rPr>
                <w:rFonts w:hint="default" w:asciiTheme="minorEastAsia" w:hAnsiTheme="minorEastAsia" w:eastAsiaTheme="minorEastAsia"/>
                <w:sz w:val="24"/>
                <w:szCs w:val="24"/>
              </w:rPr>
            </w:pPr>
          </w:p>
        </w:tc>
        <w:tc>
          <w:tcPr>
            <w:tcW w:w="1380" w:type="dxa"/>
            <w:tcBorders>
              <w:top w:val="nil"/>
            </w:tcBorders>
            <w:vAlign w:val="center"/>
          </w:tcPr>
          <w:p>
            <w:pPr>
              <w:pStyle w:val="8"/>
              <w:keepNext/>
              <w:rPr>
                <w:rFonts w:hint="default" w:asciiTheme="minorEastAsia" w:hAnsiTheme="minorEastAsia" w:eastAsiaTheme="minorEastAsia"/>
                <w:sz w:val="24"/>
                <w:szCs w:val="24"/>
              </w:rPr>
            </w:pPr>
          </w:p>
        </w:tc>
        <w:tc>
          <w:tcPr>
            <w:tcW w:w="1560" w:type="dxa"/>
            <w:tcBorders>
              <w:top w:val="nil"/>
            </w:tcBorders>
            <w:vAlign w:val="center"/>
          </w:tcPr>
          <w:p>
            <w:pPr>
              <w:pStyle w:val="8"/>
              <w:keepNext/>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815" w:type="dxa"/>
            <w:vAlign w:val="center"/>
          </w:tcPr>
          <w:p>
            <w:pPr>
              <w:pStyle w:val="8"/>
              <w:keepNext/>
              <w:rPr>
                <w:rFonts w:hint="default" w:asciiTheme="minorEastAsia" w:hAnsiTheme="minorEastAsia" w:eastAsiaTheme="minorEastAsia"/>
                <w:sz w:val="24"/>
                <w:szCs w:val="24"/>
              </w:rPr>
            </w:pPr>
          </w:p>
        </w:tc>
        <w:tc>
          <w:tcPr>
            <w:tcW w:w="2415" w:type="dxa"/>
            <w:vAlign w:val="center"/>
          </w:tcPr>
          <w:p>
            <w:pPr>
              <w:pStyle w:val="8"/>
              <w:keepNext/>
              <w:rPr>
                <w:rFonts w:hint="default" w:asciiTheme="minorEastAsia" w:hAnsiTheme="minorEastAsia" w:eastAsiaTheme="minorEastAsia"/>
                <w:sz w:val="24"/>
                <w:szCs w:val="24"/>
              </w:rPr>
            </w:pPr>
          </w:p>
        </w:tc>
        <w:tc>
          <w:tcPr>
            <w:tcW w:w="1410" w:type="dxa"/>
            <w:vAlign w:val="center"/>
          </w:tcPr>
          <w:p>
            <w:pPr>
              <w:pStyle w:val="8"/>
              <w:keepNext/>
              <w:rPr>
                <w:rFonts w:hint="default" w:asciiTheme="minorEastAsia" w:hAnsiTheme="minorEastAsia" w:eastAsiaTheme="minorEastAsia"/>
                <w:sz w:val="24"/>
                <w:szCs w:val="24"/>
              </w:rPr>
            </w:pPr>
          </w:p>
        </w:tc>
        <w:tc>
          <w:tcPr>
            <w:tcW w:w="1080" w:type="dxa"/>
            <w:vAlign w:val="center"/>
          </w:tcPr>
          <w:p>
            <w:pPr>
              <w:pStyle w:val="8"/>
              <w:keepNext/>
              <w:rPr>
                <w:rFonts w:hint="default" w:asciiTheme="minorEastAsia" w:hAnsiTheme="minorEastAsia" w:eastAsiaTheme="minorEastAsia"/>
                <w:sz w:val="24"/>
                <w:szCs w:val="24"/>
              </w:rPr>
            </w:pPr>
          </w:p>
        </w:tc>
        <w:tc>
          <w:tcPr>
            <w:tcW w:w="1050" w:type="dxa"/>
            <w:vAlign w:val="center"/>
          </w:tcPr>
          <w:p>
            <w:pPr>
              <w:pStyle w:val="8"/>
              <w:keepNext/>
              <w:rPr>
                <w:rFonts w:hint="default" w:asciiTheme="minorEastAsia" w:hAnsiTheme="minorEastAsia" w:eastAsiaTheme="minorEastAsia"/>
                <w:sz w:val="24"/>
                <w:szCs w:val="24"/>
              </w:rPr>
            </w:pPr>
          </w:p>
        </w:tc>
        <w:tc>
          <w:tcPr>
            <w:tcW w:w="1095" w:type="dxa"/>
            <w:vAlign w:val="center"/>
          </w:tcPr>
          <w:p>
            <w:pPr>
              <w:pStyle w:val="8"/>
              <w:keepNext/>
              <w:rPr>
                <w:rFonts w:hint="default" w:asciiTheme="minorEastAsia" w:hAnsiTheme="minorEastAsia" w:eastAsiaTheme="minorEastAsia"/>
                <w:sz w:val="24"/>
                <w:szCs w:val="24"/>
              </w:rPr>
            </w:pPr>
          </w:p>
        </w:tc>
        <w:tc>
          <w:tcPr>
            <w:tcW w:w="1260" w:type="dxa"/>
            <w:vAlign w:val="center"/>
          </w:tcPr>
          <w:p>
            <w:pPr>
              <w:pStyle w:val="8"/>
              <w:keepNext/>
              <w:rPr>
                <w:rFonts w:hint="default" w:asciiTheme="minorEastAsia" w:hAnsiTheme="minorEastAsia" w:eastAsiaTheme="minorEastAsia"/>
                <w:sz w:val="24"/>
                <w:szCs w:val="24"/>
              </w:rPr>
            </w:pPr>
          </w:p>
        </w:tc>
        <w:tc>
          <w:tcPr>
            <w:tcW w:w="1425" w:type="dxa"/>
            <w:vAlign w:val="center"/>
          </w:tcPr>
          <w:p>
            <w:pPr>
              <w:pStyle w:val="8"/>
              <w:keepNext/>
              <w:rPr>
                <w:rFonts w:hint="default" w:asciiTheme="minorEastAsia" w:hAnsiTheme="minorEastAsia" w:eastAsiaTheme="minorEastAsia"/>
                <w:sz w:val="24"/>
                <w:szCs w:val="24"/>
              </w:rPr>
            </w:pPr>
          </w:p>
        </w:tc>
        <w:tc>
          <w:tcPr>
            <w:tcW w:w="1380" w:type="dxa"/>
            <w:vAlign w:val="center"/>
          </w:tcPr>
          <w:p>
            <w:pPr>
              <w:pStyle w:val="8"/>
              <w:keepNext/>
              <w:rPr>
                <w:rFonts w:hint="default" w:asciiTheme="minorEastAsia" w:hAnsiTheme="minorEastAsia" w:eastAsiaTheme="minorEastAsia"/>
                <w:sz w:val="24"/>
                <w:szCs w:val="24"/>
              </w:rPr>
            </w:pPr>
          </w:p>
        </w:tc>
        <w:tc>
          <w:tcPr>
            <w:tcW w:w="1560" w:type="dxa"/>
            <w:vAlign w:val="center"/>
          </w:tcPr>
          <w:p>
            <w:pPr>
              <w:pStyle w:val="8"/>
              <w:keepNext/>
              <w:rPr>
                <w:rFonts w:hint="default" w:asciiTheme="minorEastAsia" w:hAnsiTheme="minorEastAsia" w:eastAsiaTheme="minorEastAsia"/>
                <w:sz w:val="24"/>
                <w:szCs w:val="24"/>
              </w:rPr>
            </w:pPr>
          </w:p>
        </w:tc>
      </w:tr>
    </w:tbl>
    <w:p>
      <w:pPr>
        <w:rPr>
          <w:rFonts w:asciiTheme="minorEastAsia" w:hAnsiTheme="minorEastAsia" w:eastAsiaTheme="minorEastAsia"/>
          <w:b/>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sectPr>
          <w:footerReference r:id="rId11" w:type="first"/>
          <w:footerReference r:id="rId10" w:type="default"/>
          <w:pgSz w:w="16838" w:h="11906" w:orient="landscape"/>
          <w:pgMar w:top="1554" w:right="1418" w:bottom="1531" w:left="1418" w:header="851" w:footer="992" w:gutter="0"/>
          <w:pgNumType w:fmt="decimal" w:start="59"/>
          <w:cols w:space="720" w:num="1"/>
          <w:titlePg/>
          <w:docGrid w:type="linesAndChars" w:linePitch="312" w:charSpace="0"/>
        </w:sectPr>
      </w:pPr>
    </w:p>
    <w:p>
      <w:pPr>
        <w:pStyle w:val="2"/>
        <w:rPr>
          <w:rFonts w:hint="eastAsia"/>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w:t>
      </w:r>
      <w:bookmarkStart w:id="549" w:name="_Toc296346726"/>
      <w:bookmarkStart w:id="550" w:name="_Toc296944564"/>
      <w:bookmarkStart w:id="551" w:name="_Toc267261692"/>
      <w:bookmarkStart w:id="552" w:name="_Toc296891265"/>
      <w:bookmarkStart w:id="553" w:name="_Toc296891053"/>
      <w:bookmarkStart w:id="554" w:name="_Toc296503225"/>
      <w:bookmarkStart w:id="555" w:name="_Toc296347224"/>
      <w:r>
        <w:rPr>
          <w:rFonts w:hint="eastAsia" w:asciiTheme="minorEastAsia" w:hAnsiTheme="minorEastAsia" w:eastAsiaTheme="minorEastAsia"/>
          <w:sz w:val="24"/>
          <w:szCs w:val="24"/>
        </w:rPr>
        <w:t>件2：</w:t>
      </w:r>
    </w:p>
    <w:bookmarkEnd w:id="549"/>
    <w:bookmarkEnd w:id="550"/>
    <w:bookmarkEnd w:id="551"/>
    <w:bookmarkEnd w:id="552"/>
    <w:bookmarkEnd w:id="553"/>
    <w:bookmarkEnd w:id="554"/>
    <w:bookmarkEnd w:id="555"/>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发包人供应材料设备一览表</w:t>
      </w:r>
    </w:p>
    <w:tbl>
      <w:tblPr>
        <w:tblStyle w:val="22"/>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8"/>
        <w:gridCol w:w="1459"/>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668"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59"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材料、</w:t>
            </w:r>
          </w:p>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设备品种</w:t>
            </w:r>
          </w:p>
        </w:tc>
        <w:tc>
          <w:tcPr>
            <w:tcW w:w="1418"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规格型号</w:t>
            </w:r>
          </w:p>
        </w:tc>
        <w:tc>
          <w:tcPr>
            <w:tcW w:w="94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851"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044"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单价（元）</w:t>
            </w:r>
          </w:p>
        </w:tc>
        <w:tc>
          <w:tcPr>
            <w:tcW w:w="992"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质量等级</w:t>
            </w:r>
          </w:p>
        </w:tc>
        <w:tc>
          <w:tcPr>
            <w:tcW w:w="851"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供应时间</w:t>
            </w:r>
          </w:p>
        </w:tc>
        <w:tc>
          <w:tcPr>
            <w:tcW w:w="1487"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送达地点</w:t>
            </w:r>
          </w:p>
        </w:tc>
        <w:tc>
          <w:tcPr>
            <w:tcW w:w="992"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459"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418"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94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851"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044"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992"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851"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487"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992"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tcBorders>
              <w:top w:val="nil"/>
            </w:tcBorders>
            <w:vAlign w:val="center"/>
          </w:tcPr>
          <w:p>
            <w:pPr>
              <w:spacing w:line="360" w:lineRule="auto"/>
              <w:rPr>
                <w:rFonts w:hint="default" w:asciiTheme="minorEastAsia" w:hAnsiTheme="minorEastAsia" w:eastAsiaTheme="minorEastAsia"/>
                <w:sz w:val="24"/>
                <w:szCs w:val="24"/>
              </w:rPr>
            </w:pPr>
          </w:p>
        </w:tc>
        <w:tc>
          <w:tcPr>
            <w:tcW w:w="1459" w:type="dxa"/>
            <w:tcBorders>
              <w:top w:val="nil"/>
            </w:tcBorders>
            <w:vAlign w:val="center"/>
          </w:tcPr>
          <w:p>
            <w:pPr>
              <w:spacing w:line="360" w:lineRule="auto"/>
              <w:rPr>
                <w:rFonts w:hint="default" w:asciiTheme="minorEastAsia" w:hAnsiTheme="minorEastAsia" w:eastAsiaTheme="minorEastAsia"/>
                <w:sz w:val="24"/>
                <w:szCs w:val="24"/>
              </w:rPr>
            </w:pPr>
          </w:p>
        </w:tc>
        <w:tc>
          <w:tcPr>
            <w:tcW w:w="1418" w:type="dxa"/>
            <w:tcBorders>
              <w:top w:val="nil"/>
            </w:tcBorders>
            <w:vAlign w:val="center"/>
          </w:tcPr>
          <w:p>
            <w:pPr>
              <w:spacing w:line="360" w:lineRule="auto"/>
              <w:rPr>
                <w:rFonts w:hint="default" w:asciiTheme="minorEastAsia" w:hAnsiTheme="minorEastAsia" w:eastAsiaTheme="minorEastAsia"/>
                <w:sz w:val="24"/>
                <w:szCs w:val="24"/>
              </w:rPr>
            </w:pPr>
          </w:p>
        </w:tc>
        <w:tc>
          <w:tcPr>
            <w:tcW w:w="940" w:type="dxa"/>
            <w:tcBorders>
              <w:top w:val="nil"/>
            </w:tcBorders>
            <w:vAlign w:val="center"/>
          </w:tcPr>
          <w:p>
            <w:pPr>
              <w:spacing w:line="360" w:lineRule="auto"/>
              <w:rPr>
                <w:rFonts w:hint="default" w:asciiTheme="minorEastAsia" w:hAnsiTheme="minorEastAsia" w:eastAsiaTheme="minorEastAsia"/>
                <w:sz w:val="24"/>
                <w:szCs w:val="24"/>
              </w:rPr>
            </w:pPr>
          </w:p>
        </w:tc>
        <w:tc>
          <w:tcPr>
            <w:tcW w:w="851" w:type="dxa"/>
            <w:tcBorders>
              <w:top w:val="nil"/>
            </w:tcBorders>
            <w:vAlign w:val="center"/>
          </w:tcPr>
          <w:p>
            <w:pPr>
              <w:spacing w:line="360" w:lineRule="auto"/>
              <w:rPr>
                <w:rFonts w:hint="default" w:asciiTheme="minorEastAsia" w:hAnsiTheme="minorEastAsia" w:eastAsiaTheme="minorEastAsia"/>
                <w:sz w:val="24"/>
                <w:szCs w:val="24"/>
              </w:rPr>
            </w:pPr>
          </w:p>
        </w:tc>
        <w:tc>
          <w:tcPr>
            <w:tcW w:w="1044" w:type="dxa"/>
            <w:tcBorders>
              <w:top w:val="nil"/>
            </w:tcBorders>
            <w:vAlign w:val="center"/>
          </w:tcPr>
          <w:p>
            <w:pPr>
              <w:spacing w:line="360" w:lineRule="auto"/>
              <w:rPr>
                <w:rFonts w:hint="default" w:asciiTheme="minorEastAsia" w:hAnsiTheme="minorEastAsia" w:eastAsiaTheme="minorEastAsia"/>
                <w:sz w:val="24"/>
                <w:szCs w:val="24"/>
              </w:rPr>
            </w:pPr>
          </w:p>
        </w:tc>
        <w:tc>
          <w:tcPr>
            <w:tcW w:w="992" w:type="dxa"/>
            <w:tcBorders>
              <w:top w:val="nil"/>
            </w:tcBorders>
            <w:vAlign w:val="center"/>
          </w:tcPr>
          <w:p>
            <w:pPr>
              <w:spacing w:line="360" w:lineRule="auto"/>
              <w:rPr>
                <w:rFonts w:hint="default" w:asciiTheme="minorEastAsia" w:hAnsiTheme="minorEastAsia" w:eastAsiaTheme="minorEastAsia"/>
                <w:sz w:val="24"/>
                <w:szCs w:val="24"/>
              </w:rPr>
            </w:pPr>
          </w:p>
        </w:tc>
        <w:tc>
          <w:tcPr>
            <w:tcW w:w="851" w:type="dxa"/>
            <w:tcBorders>
              <w:top w:val="nil"/>
            </w:tcBorders>
            <w:vAlign w:val="center"/>
          </w:tcPr>
          <w:p>
            <w:pPr>
              <w:spacing w:line="360" w:lineRule="auto"/>
              <w:rPr>
                <w:rFonts w:hint="default" w:asciiTheme="minorEastAsia" w:hAnsiTheme="minorEastAsia" w:eastAsiaTheme="minorEastAsia"/>
                <w:sz w:val="24"/>
                <w:szCs w:val="24"/>
              </w:rPr>
            </w:pPr>
          </w:p>
        </w:tc>
        <w:tc>
          <w:tcPr>
            <w:tcW w:w="1487" w:type="dxa"/>
            <w:tcBorders>
              <w:top w:val="nil"/>
            </w:tcBorders>
            <w:vAlign w:val="center"/>
          </w:tcPr>
          <w:p>
            <w:pPr>
              <w:spacing w:line="360" w:lineRule="auto"/>
              <w:rPr>
                <w:rFonts w:hint="default" w:asciiTheme="minorEastAsia" w:hAnsiTheme="minorEastAsia" w:eastAsiaTheme="minorEastAsia"/>
                <w:sz w:val="24"/>
                <w:szCs w:val="24"/>
              </w:rPr>
            </w:pPr>
          </w:p>
        </w:tc>
        <w:tc>
          <w:tcPr>
            <w:tcW w:w="992" w:type="dxa"/>
            <w:tcBorders>
              <w:top w:val="nil"/>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default" w:asciiTheme="minorEastAsia" w:hAnsiTheme="minorEastAsia" w:eastAsiaTheme="minorEastAsia"/>
                <w:sz w:val="24"/>
                <w:szCs w:val="24"/>
              </w:rPr>
            </w:pPr>
          </w:p>
        </w:tc>
        <w:tc>
          <w:tcPr>
            <w:tcW w:w="1459"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940"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044"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487"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default" w:asciiTheme="minorEastAsia" w:hAnsiTheme="minorEastAsia" w:eastAsiaTheme="minorEastAsia"/>
                <w:sz w:val="24"/>
                <w:szCs w:val="24"/>
              </w:rPr>
            </w:pPr>
          </w:p>
        </w:tc>
        <w:tc>
          <w:tcPr>
            <w:tcW w:w="1459"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940"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044"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487"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default" w:asciiTheme="minorEastAsia" w:hAnsiTheme="minorEastAsia" w:eastAsiaTheme="minorEastAsia"/>
                <w:sz w:val="24"/>
                <w:szCs w:val="24"/>
              </w:rPr>
            </w:pPr>
          </w:p>
        </w:tc>
        <w:tc>
          <w:tcPr>
            <w:tcW w:w="1459"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940"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044"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487"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default" w:asciiTheme="minorEastAsia" w:hAnsiTheme="minorEastAsia" w:eastAsiaTheme="minorEastAsia"/>
                <w:sz w:val="24"/>
                <w:szCs w:val="24"/>
              </w:rPr>
            </w:pPr>
          </w:p>
        </w:tc>
        <w:tc>
          <w:tcPr>
            <w:tcW w:w="1459"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940"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044"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487"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default" w:asciiTheme="minorEastAsia" w:hAnsiTheme="minorEastAsia" w:eastAsiaTheme="minorEastAsia"/>
                <w:sz w:val="24"/>
                <w:szCs w:val="24"/>
              </w:rPr>
            </w:pPr>
          </w:p>
        </w:tc>
        <w:tc>
          <w:tcPr>
            <w:tcW w:w="1459"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940"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044"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487"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default" w:asciiTheme="minorEastAsia" w:hAnsiTheme="minorEastAsia" w:eastAsiaTheme="minorEastAsia"/>
                <w:sz w:val="24"/>
                <w:szCs w:val="24"/>
              </w:rPr>
            </w:pPr>
          </w:p>
        </w:tc>
        <w:tc>
          <w:tcPr>
            <w:tcW w:w="1459"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940"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044"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487"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default" w:asciiTheme="minorEastAsia" w:hAnsiTheme="minorEastAsia" w:eastAsiaTheme="minorEastAsia"/>
                <w:sz w:val="24"/>
                <w:szCs w:val="24"/>
              </w:rPr>
            </w:pPr>
          </w:p>
        </w:tc>
        <w:tc>
          <w:tcPr>
            <w:tcW w:w="1459"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940"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044"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c>
          <w:tcPr>
            <w:tcW w:w="851" w:type="dxa"/>
            <w:vAlign w:val="center"/>
          </w:tcPr>
          <w:p>
            <w:pPr>
              <w:spacing w:line="360" w:lineRule="auto"/>
              <w:rPr>
                <w:rFonts w:hint="default" w:asciiTheme="minorEastAsia" w:hAnsiTheme="minorEastAsia" w:eastAsiaTheme="minorEastAsia"/>
                <w:sz w:val="24"/>
                <w:szCs w:val="24"/>
              </w:rPr>
            </w:pPr>
          </w:p>
        </w:tc>
        <w:tc>
          <w:tcPr>
            <w:tcW w:w="1487" w:type="dxa"/>
            <w:vAlign w:val="center"/>
          </w:tcPr>
          <w:p>
            <w:pPr>
              <w:spacing w:line="360" w:lineRule="auto"/>
              <w:rPr>
                <w:rFonts w:hint="default" w:asciiTheme="minorEastAsia" w:hAnsiTheme="minorEastAsia" w:eastAsiaTheme="minorEastAsia"/>
                <w:sz w:val="24"/>
                <w:szCs w:val="24"/>
              </w:rPr>
            </w:pPr>
          </w:p>
        </w:tc>
        <w:tc>
          <w:tcPr>
            <w:tcW w:w="992"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68" w:type="dxa"/>
            <w:vAlign w:val="center"/>
          </w:tcPr>
          <w:p>
            <w:pPr>
              <w:spacing w:line="360" w:lineRule="auto"/>
              <w:rPr>
                <w:rFonts w:hint="eastAsia" w:asciiTheme="minorEastAsia" w:hAnsiTheme="minorEastAsia" w:eastAsiaTheme="minorEastAsia"/>
                <w:sz w:val="24"/>
                <w:szCs w:val="24"/>
              </w:rPr>
            </w:pPr>
          </w:p>
        </w:tc>
        <w:tc>
          <w:tcPr>
            <w:tcW w:w="1459" w:type="dxa"/>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eastAsia" w:asciiTheme="minorEastAsia" w:hAnsiTheme="minorEastAsia" w:eastAsiaTheme="minorEastAsia"/>
                <w:sz w:val="24"/>
                <w:szCs w:val="24"/>
              </w:rPr>
            </w:pPr>
          </w:p>
        </w:tc>
        <w:tc>
          <w:tcPr>
            <w:tcW w:w="940"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044"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c>
          <w:tcPr>
            <w:tcW w:w="851" w:type="dxa"/>
            <w:vAlign w:val="center"/>
          </w:tcPr>
          <w:p>
            <w:pPr>
              <w:spacing w:line="360" w:lineRule="auto"/>
              <w:rPr>
                <w:rFonts w:hint="eastAsia" w:asciiTheme="minorEastAsia" w:hAnsiTheme="minorEastAsia" w:eastAsiaTheme="minorEastAsia"/>
                <w:sz w:val="24"/>
                <w:szCs w:val="24"/>
              </w:rPr>
            </w:pPr>
          </w:p>
        </w:tc>
        <w:tc>
          <w:tcPr>
            <w:tcW w:w="1487" w:type="dxa"/>
            <w:vAlign w:val="center"/>
          </w:tcPr>
          <w:p>
            <w:pPr>
              <w:spacing w:line="360" w:lineRule="auto"/>
              <w:rPr>
                <w:rFonts w:hint="eastAsia" w:asciiTheme="minorEastAsia" w:hAnsiTheme="minorEastAsia" w:eastAsiaTheme="minorEastAsia"/>
                <w:sz w:val="24"/>
                <w:szCs w:val="24"/>
              </w:rPr>
            </w:pPr>
          </w:p>
        </w:tc>
        <w:tc>
          <w:tcPr>
            <w:tcW w:w="992" w:type="dxa"/>
            <w:vAlign w:val="center"/>
          </w:tcPr>
          <w:p>
            <w:pPr>
              <w:spacing w:line="360" w:lineRule="auto"/>
              <w:rPr>
                <w:rFonts w:hint="eastAsia"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w:t>
      </w:r>
      <w:bookmarkStart w:id="556" w:name="_Toc267261693"/>
      <w:bookmarkStart w:id="557" w:name="_Toc296891266"/>
      <w:bookmarkStart w:id="558" w:name="_Toc296891054"/>
      <w:bookmarkStart w:id="559" w:name="_Toc296346727"/>
      <w:bookmarkStart w:id="560" w:name="_Toc296347225"/>
      <w:bookmarkStart w:id="561" w:name="_Toc296944565"/>
      <w:bookmarkStart w:id="562" w:name="_Toc296503226"/>
      <w:r>
        <w:rPr>
          <w:rFonts w:hint="eastAsia" w:asciiTheme="minorEastAsia" w:hAnsiTheme="minorEastAsia" w:eastAsiaTheme="minorEastAsia"/>
          <w:sz w:val="24"/>
          <w:szCs w:val="24"/>
        </w:rPr>
        <w:t>件3：</w:t>
      </w:r>
      <w:bookmarkEnd w:id="556"/>
      <w:bookmarkEnd w:id="557"/>
      <w:bookmarkEnd w:id="558"/>
      <w:bookmarkEnd w:id="559"/>
      <w:bookmarkEnd w:id="560"/>
      <w:bookmarkEnd w:id="561"/>
      <w:bookmarkEnd w:id="562"/>
      <w:r>
        <w:rPr>
          <w:rFonts w:hint="eastAsia" w:asciiTheme="minorEastAsia" w:hAnsiTheme="minorEastAsia" w:eastAsiaTheme="minorEastAsia"/>
          <w:sz w:val="24"/>
          <w:szCs w:val="24"/>
        </w:rPr>
        <w:t xml:space="preserve">    </w:t>
      </w: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工程质量保修书</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发包人（全称）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承包人（全称）：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发包人和承包人根据《中华人民共和国建筑法》和《建设工程质量管理条例》，经协商一致就                 （工程全称）签订工程质量保修书。</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一、工程质量保修范围和内容</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承包人在质量保修期内，按照有关法律规定和合同约定，承担工程质量保修责任。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按国家有关规定执行，全套施工图纸范围内的全部工作内容（包括招标文件、答疑补充文件、工程量清单）。</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二、质量保修期</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根据《建设工程质量管理条例》及有关规定，工程的质量保修期如下：</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1．地基基础工程和主体结构工程为设计文件规定的工程合理使用年限；</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2．屋面防水工程、有防水要求的卫生间、房间和外墙面的防渗为  伍 年；</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3．装修工程为 贰 年；</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4．电气管线、给排水管道、设备安装工程为   贰  年；</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5．供热与供冷系统为  贰  个采暖期、供冷期；</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6．住宅小区内的给排水设施、道路等配套工程为贰  年；</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7．其他项目保修期限约定如下： 其它按国家相关质量保修期规定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质量保修期自工程竣工验收合格之日起计算。</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三、缺陷责任期</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工程缺陷责任期为24个月，缺陷责任期自工程实际竣工之日起计算。单位工程先于全部工程进行验收，单位工程缺陷责任期自单位工程验收合格之日起算。</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缺陷责任期终止后，发包人应退还剩余的质量保证金。</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四、质量保修责任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1．属于保修范围、内容的项目，承包人应当在接到保修通知之日起7天内派人保修。承包人不在约定期限内派人保修的，发包人可以委托他人修理。</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2．发生紧急事故需抢修的，承包人在接到事故通知后，应当立即到达事故现场抢修。</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4．质量保修完成后，由发包人组织验收。</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五、保修费用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保修费用由造成质量缺陷的责任方承担。</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六、双方约定的其他工程质量保修事项：       无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工程质量保修书由发包人、承包人在工程竣工验收前共同签署，作为施工合同附件，其有效期限至保修期满。</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发包人(公章)：               承包人(公章)：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组织机构代码：               组织机构代码：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地址：                       地址：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邮政编码：                   邮政编码：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法定代表人：                 法定代表人：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委托代理人：                 委托代理人：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  话：                     电  话：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传  真：                     传  真：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电子信箱：                   电子信箱：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账  号：                     账  号：                                 </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主要建设工程文件目录</w:t>
      </w:r>
    </w:p>
    <w:tbl>
      <w:tblPr>
        <w:tblStyle w:val="22"/>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文件名称</w:t>
            </w:r>
          </w:p>
        </w:tc>
        <w:tc>
          <w:tcPr>
            <w:tcW w:w="1276"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套数</w:t>
            </w:r>
          </w:p>
        </w:tc>
        <w:tc>
          <w:tcPr>
            <w:tcW w:w="145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费用（元）</w:t>
            </w:r>
          </w:p>
        </w:tc>
        <w:tc>
          <w:tcPr>
            <w:tcW w:w="1243"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质量</w:t>
            </w:r>
          </w:p>
        </w:tc>
        <w:tc>
          <w:tcPr>
            <w:tcW w:w="1450" w:type="dxa"/>
            <w:tcBorders>
              <w:top w:val="single" w:color="auto" w:sz="12" w:space="0"/>
              <w:bottom w:val="double" w:color="auto" w:sz="6" w:space="0"/>
            </w:tcBorders>
          </w:tcPr>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移交时间</w:t>
            </w:r>
          </w:p>
        </w:tc>
        <w:tc>
          <w:tcPr>
            <w:tcW w:w="1667" w:type="dxa"/>
            <w:tcBorders>
              <w:top w:val="single" w:color="auto" w:sz="12" w:space="0"/>
              <w:bottom w:val="double" w:color="auto" w:sz="6" w:space="0"/>
            </w:tcBorders>
          </w:tcPr>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276"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45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243"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45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667"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spacing w:line="360" w:lineRule="auto"/>
              <w:rPr>
                <w:rFonts w:hint="default" w:asciiTheme="minorEastAsia" w:hAnsiTheme="minorEastAsia" w:eastAsiaTheme="minorEastAsia"/>
                <w:sz w:val="24"/>
                <w:szCs w:val="24"/>
              </w:rPr>
            </w:pPr>
          </w:p>
        </w:tc>
        <w:tc>
          <w:tcPr>
            <w:tcW w:w="1276" w:type="dxa"/>
            <w:tcBorders>
              <w:top w:val="nil"/>
            </w:tcBorders>
            <w:vAlign w:val="center"/>
          </w:tcPr>
          <w:p>
            <w:pPr>
              <w:spacing w:line="360" w:lineRule="auto"/>
              <w:rPr>
                <w:rFonts w:hint="default" w:asciiTheme="minorEastAsia" w:hAnsiTheme="minorEastAsia" w:eastAsiaTheme="minorEastAsia"/>
                <w:sz w:val="24"/>
                <w:szCs w:val="24"/>
              </w:rPr>
            </w:pPr>
          </w:p>
        </w:tc>
        <w:tc>
          <w:tcPr>
            <w:tcW w:w="1450" w:type="dxa"/>
            <w:tcBorders>
              <w:top w:val="nil"/>
            </w:tcBorders>
            <w:vAlign w:val="center"/>
          </w:tcPr>
          <w:p>
            <w:pPr>
              <w:spacing w:line="360" w:lineRule="auto"/>
              <w:rPr>
                <w:rFonts w:hint="default" w:asciiTheme="minorEastAsia" w:hAnsiTheme="minorEastAsia" w:eastAsiaTheme="minorEastAsia"/>
                <w:sz w:val="24"/>
                <w:szCs w:val="24"/>
              </w:rPr>
            </w:pPr>
          </w:p>
        </w:tc>
        <w:tc>
          <w:tcPr>
            <w:tcW w:w="1243" w:type="dxa"/>
            <w:tcBorders>
              <w:top w:val="nil"/>
            </w:tcBorders>
            <w:vAlign w:val="center"/>
          </w:tcPr>
          <w:p>
            <w:pPr>
              <w:spacing w:line="360" w:lineRule="auto"/>
              <w:rPr>
                <w:rFonts w:hint="default" w:asciiTheme="minorEastAsia" w:hAnsiTheme="minorEastAsia" w:eastAsiaTheme="minorEastAsia"/>
                <w:sz w:val="24"/>
                <w:szCs w:val="24"/>
              </w:rPr>
            </w:pPr>
          </w:p>
        </w:tc>
        <w:tc>
          <w:tcPr>
            <w:tcW w:w="1450" w:type="dxa"/>
            <w:tcBorders>
              <w:top w:val="nil"/>
            </w:tcBorders>
            <w:vAlign w:val="center"/>
          </w:tcPr>
          <w:p>
            <w:pPr>
              <w:spacing w:line="360" w:lineRule="auto"/>
              <w:rPr>
                <w:rFonts w:hint="default" w:asciiTheme="minorEastAsia" w:hAnsiTheme="minorEastAsia" w:eastAsiaTheme="minorEastAsia"/>
                <w:sz w:val="24"/>
                <w:szCs w:val="24"/>
              </w:rPr>
            </w:pPr>
          </w:p>
        </w:tc>
        <w:tc>
          <w:tcPr>
            <w:tcW w:w="1667" w:type="dxa"/>
            <w:tcBorders>
              <w:top w:val="nil"/>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hint="default" w:asciiTheme="minorEastAsia" w:hAnsiTheme="minorEastAsia" w:eastAsiaTheme="minorEastAsia"/>
                <w:sz w:val="24"/>
                <w:szCs w:val="24"/>
              </w:rPr>
            </w:pPr>
          </w:p>
        </w:tc>
        <w:tc>
          <w:tcPr>
            <w:tcW w:w="1276"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243"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667"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hint="default" w:asciiTheme="minorEastAsia" w:hAnsiTheme="minorEastAsia" w:eastAsiaTheme="minorEastAsia"/>
                <w:sz w:val="24"/>
                <w:szCs w:val="24"/>
              </w:rPr>
            </w:pPr>
          </w:p>
        </w:tc>
        <w:tc>
          <w:tcPr>
            <w:tcW w:w="1276"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243"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667"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hint="default" w:asciiTheme="minorEastAsia" w:hAnsiTheme="minorEastAsia" w:eastAsiaTheme="minorEastAsia"/>
                <w:sz w:val="24"/>
                <w:szCs w:val="24"/>
              </w:rPr>
            </w:pPr>
          </w:p>
        </w:tc>
        <w:tc>
          <w:tcPr>
            <w:tcW w:w="1276"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243"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667"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hint="default" w:asciiTheme="minorEastAsia" w:hAnsiTheme="minorEastAsia" w:eastAsiaTheme="minorEastAsia"/>
                <w:sz w:val="24"/>
                <w:szCs w:val="24"/>
              </w:rPr>
            </w:pPr>
          </w:p>
        </w:tc>
        <w:tc>
          <w:tcPr>
            <w:tcW w:w="1276"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243"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667"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hint="default" w:asciiTheme="minorEastAsia" w:hAnsiTheme="minorEastAsia" w:eastAsiaTheme="minorEastAsia"/>
                <w:sz w:val="24"/>
                <w:szCs w:val="24"/>
              </w:rPr>
            </w:pPr>
          </w:p>
        </w:tc>
        <w:tc>
          <w:tcPr>
            <w:tcW w:w="1276"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243"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667"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hint="default" w:asciiTheme="minorEastAsia" w:hAnsiTheme="minorEastAsia" w:eastAsiaTheme="minorEastAsia"/>
                <w:sz w:val="24"/>
                <w:szCs w:val="24"/>
              </w:rPr>
            </w:pPr>
          </w:p>
        </w:tc>
        <w:tc>
          <w:tcPr>
            <w:tcW w:w="1276"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243"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667"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spacing w:line="360" w:lineRule="auto"/>
              <w:rPr>
                <w:rFonts w:hint="default" w:asciiTheme="minorEastAsia" w:hAnsiTheme="minorEastAsia" w:eastAsiaTheme="minorEastAsia"/>
                <w:sz w:val="24"/>
                <w:szCs w:val="24"/>
              </w:rPr>
            </w:pPr>
          </w:p>
        </w:tc>
        <w:tc>
          <w:tcPr>
            <w:tcW w:w="1276"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243" w:type="dxa"/>
            <w:vAlign w:val="center"/>
          </w:tcPr>
          <w:p>
            <w:pPr>
              <w:spacing w:line="360" w:lineRule="auto"/>
              <w:rPr>
                <w:rFonts w:hint="default" w:asciiTheme="minorEastAsia" w:hAnsiTheme="minorEastAsia" w:eastAsiaTheme="minorEastAsia"/>
                <w:sz w:val="24"/>
                <w:szCs w:val="24"/>
              </w:rPr>
            </w:pPr>
          </w:p>
        </w:tc>
        <w:tc>
          <w:tcPr>
            <w:tcW w:w="1450" w:type="dxa"/>
            <w:vAlign w:val="center"/>
          </w:tcPr>
          <w:p>
            <w:pPr>
              <w:spacing w:line="360" w:lineRule="auto"/>
              <w:rPr>
                <w:rFonts w:hint="default" w:asciiTheme="minorEastAsia" w:hAnsiTheme="minorEastAsia" w:eastAsiaTheme="minorEastAsia"/>
                <w:sz w:val="24"/>
                <w:szCs w:val="24"/>
              </w:rPr>
            </w:pPr>
          </w:p>
        </w:tc>
        <w:tc>
          <w:tcPr>
            <w:tcW w:w="1667"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spacing w:line="360" w:lineRule="auto"/>
              <w:rPr>
                <w:rFonts w:hint="eastAsia" w:asciiTheme="minorEastAsia" w:hAnsiTheme="minorEastAsia" w:eastAsiaTheme="minorEastAsia"/>
                <w:sz w:val="24"/>
                <w:szCs w:val="24"/>
              </w:rPr>
            </w:pPr>
          </w:p>
        </w:tc>
        <w:tc>
          <w:tcPr>
            <w:tcW w:w="1276"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243" w:type="dxa"/>
          </w:tcPr>
          <w:p>
            <w:pPr>
              <w:spacing w:line="360" w:lineRule="auto"/>
              <w:rPr>
                <w:rFonts w:hint="eastAsia" w:asciiTheme="minorEastAsia" w:hAnsiTheme="minorEastAsia" w:eastAsiaTheme="minorEastAsia"/>
                <w:sz w:val="24"/>
                <w:szCs w:val="24"/>
              </w:rPr>
            </w:pPr>
          </w:p>
        </w:tc>
        <w:tc>
          <w:tcPr>
            <w:tcW w:w="1450" w:type="dxa"/>
          </w:tcPr>
          <w:p>
            <w:pPr>
              <w:spacing w:line="360" w:lineRule="auto"/>
              <w:rPr>
                <w:rFonts w:hint="eastAsia" w:asciiTheme="minorEastAsia" w:hAnsiTheme="minorEastAsia" w:eastAsiaTheme="minorEastAsia"/>
                <w:sz w:val="24"/>
                <w:szCs w:val="24"/>
              </w:rPr>
            </w:pPr>
          </w:p>
        </w:tc>
        <w:tc>
          <w:tcPr>
            <w:tcW w:w="1667" w:type="dxa"/>
          </w:tcPr>
          <w:p>
            <w:pPr>
              <w:spacing w:line="360" w:lineRule="auto"/>
              <w:rPr>
                <w:rFonts w:hint="eastAsia"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sz w:val="24"/>
          <w:szCs w:val="24"/>
        </w:rPr>
        <w:t>附</w:t>
      </w:r>
      <w:bookmarkStart w:id="563" w:name="_Toc296944566"/>
      <w:bookmarkStart w:id="564" w:name="_Toc296346728"/>
      <w:bookmarkStart w:id="565" w:name="_Toc296347226"/>
      <w:bookmarkStart w:id="566" w:name="_Toc296891267"/>
      <w:bookmarkStart w:id="567" w:name="_Toc296891055"/>
      <w:bookmarkStart w:id="568" w:name="_Toc296503227"/>
      <w:bookmarkStart w:id="569" w:name="_Toc267261698"/>
      <w:r>
        <w:rPr>
          <w:rFonts w:hint="eastAsia" w:asciiTheme="minorEastAsia" w:hAnsiTheme="minorEastAsia" w:eastAsiaTheme="minorEastAsia"/>
          <w:sz w:val="24"/>
          <w:szCs w:val="24"/>
        </w:rPr>
        <w:t>件5：</w:t>
      </w:r>
    </w:p>
    <w:bookmarkEnd w:id="563"/>
    <w:bookmarkEnd w:id="564"/>
    <w:bookmarkEnd w:id="565"/>
    <w:bookmarkEnd w:id="566"/>
    <w:bookmarkEnd w:id="567"/>
    <w:bookmarkEnd w:id="568"/>
    <w:bookmarkEnd w:id="569"/>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承包人用于本工程施工的机械设备表</w:t>
      </w:r>
    </w:p>
    <w:tbl>
      <w:tblPr>
        <w:tblStyle w:val="22"/>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418"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机械或设备名称</w:t>
            </w:r>
          </w:p>
        </w:tc>
        <w:tc>
          <w:tcPr>
            <w:tcW w:w="85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规格型号</w:t>
            </w:r>
          </w:p>
        </w:tc>
        <w:tc>
          <w:tcPr>
            <w:tcW w:w="1058"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88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制造年份</w:t>
            </w:r>
          </w:p>
        </w:tc>
        <w:tc>
          <w:tcPr>
            <w:tcW w:w="148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额定功率(kW)</w:t>
            </w:r>
          </w:p>
        </w:tc>
        <w:tc>
          <w:tcPr>
            <w:tcW w:w="102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生产能力</w:t>
            </w:r>
          </w:p>
        </w:tc>
        <w:tc>
          <w:tcPr>
            <w:tcW w:w="921"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418"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85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058"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88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02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48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1020"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c>
          <w:tcPr>
            <w:tcW w:w="921" w:type="dxa"/>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spacing w:line="360" w:lineRule="auto"/>
              <w:rPr>
                <w:rFonts w:hint="default" w:asciiTheme="minorEastAsia" w:hAnsiTheme="minorEastAsia" w:eastAsiaTheme="minorEastAsia"/>
                <w:sz w:val="24"/>
                <w:szCs w:val="24"/>
              </w:rPr>
            </w:pPr>
          </w:p>
        </w:tc>
        <w:tc>
          <w:tcPr>
            <w:tcW w:w="1418" w:type="dxa"/>
            <w:tcBorders>
              <w:top w:val="nil"/>
            </w:tcBorders>
            <w:vAlign w:val="center"/>
          </w:tcPr>
          <w:p>
            <w:pPr>
              <w:spacing w:line="360" w:lineRule="auto"/>
              <w:rPr>
                <w:rFonts w:hint="default" w:asciiTheme="minorEastAsia" w:hAnsiTheme="minorEastAsia" w:eastAsiaTheme="minorEastAsia"/>
                <w:sz w:val="24"/>
                <w:szCs w:val="24"/>
              </w:rPr>
            </w:pPr>
          </w:p>
        </w:tc>
        <w:tc>
          <w:tcPr>
            <w:tcW w:w="850" w:type="dxa"/>
            <w:tcBorders>
              <w:top w:val="nil"/>
            </w:tcBorders>
            <w:vAlign w:val="center"/>
          </w:tcPr>
          <w:p>
            <w:pPr>
              <w:spacing w:line="360" w:lineRule="auto"/>
              <w:rPr>
                <w:rFonts w:hint="default" w:asciiTheme="minorEastAsia" w:hAnsiTheme="minorEastAsia" w:eastAsiaTheme="minorEastAsia"/>
                <w:sz w:val="24"/>
                <w:szCs w:val="24"/>
              </w:rPr>
            </w:pPr>
          </w:p>
        </w:tc>
        <w:tc>
          <w:tcPr>
            <w:tcW w:w="1058" w:type="dxa"/>
            <w:tcBorders>
              <w:top w:val="nil"/>
            </w:tcBorders>
            <w:vAlign w:val="center"/>
          </w:tcPr>
          <w:p>
            <w:pPr>
              <w:spacing w:line="360" w:lineRule="auto"/>
              <w:rPr>
                <w:rFonts w:hint="default" w:asciiTheme="minorEastAsia" w:hAnsiTheme="minorEastAsia" w:eastAsiaTheme="minorEastAsia"/>
                <w:sz w:val="24"/>
                <w:szCs w:val="24"/>
              </w:rPr>
            </w:pPr>
          </w:p>
        </w:tc>
        <w:tc>
          <w:tcPr>
            <w:tcW w:w="880" w:type="dxa"/>
            <w:tcBorders>
              <w:top w:val="nil"/>
            </w:tcBorders>
            <w:vAlign w:val="center"/>
          </w:tcPr>
          <w:p>
            <w:pPr>
              <w:spacing w:line="360" w:lineRule="auto"/>
              <w:rPr>
                <w:rFonts w:hint="default" w:asciiTheme="minorEastAsia" w:hAnsiTheme="minorEastAsia" w:eastAsiaTheme="minorEastAsia"/>
                <w:sz w:val="24"/>
                <w:szCs w:val="24"/>
              </w:rPr>
            </w:pPr>
          </w:p>
        </w:tc>
        <w:tc>
          <w:tcPr>
            <w:tcW w:w="1020" w:type="dxa"/>
            <w:tcBorders>
              <w:top w:val="nil"/>
            </w:tcBorders>
            <w:vAlign w:val="center"/>
          </w:tcPr>
          <w:p>
            <w:pPr>
              <w:spacing w:line="360" w:lineRule="auto"/>
              <w:rPr>
                <w:rFonts w:hint="default" w:asciiTheme="minorEastAsia" w:hAnsiTheme="minorEastAsia" w:eastAsiaTheme="minorEastAsia"/>
                <w:sz w:val="24"/>
                <w:szCs w:val="24"/>
              </w:rPr>
            </w:pPr>
          </w:p>
        </w:tc>
        <w:tc>
          <w:tcPr>
            <w:tcW w:w="1480" w:type="dxa"/>
            <w:tcBorders>
              <w:top w:val="nil"/>
            </w:tcBorders>
            <w:vAlign w:val="center"/>
          </w:tcPr>
          <w:p>
            <w:pPr>
              <w:spacing w:line="360" w:lineRule="auto"/>
              <w:rPr>
                <w:rFonts w:hint="default" w:asciiTheme="minorEastAsia" w:hAnsiTheme="minorEastAsia" w:eastAsiaTheme="minorEastAsia"/>
                <w:sz w:val="24"/>
                <w:szCs w:val="24"/>
              </w:rPr>
            </w:pPr>
          </w:p>
        </w:tc>
        <w:tc>
          <w:tcPr>
            <w:tcW w:w="1020" w:type="dxa"/>
            <w:tcBorders>
              <w:top w:val="nil"/>
            </w:tcBorders>
            <w:vAlign w:val="center"/>
          </w:tcPr>
          <w:p>
            <w:pPr>
              <w:spacing w:line="360" w:lineRule="auto"/>
              <w:rPr>
                <w:rFonts w:hint="default" w:asciiTheme="minorEastAsia" w:hAnsiTheme="minorEastAsia" w:eastAsiaTheme="minorEastAsia"/>
                <w:sz w:val="24"/>
                <w:szCs w:val="24"/>
              </w:rPr>
            </w:pPr>
          </w:p>
        </w:tc>
        <w:tc>
          <w:tcPr>
            <w:tcW w:w="921" w:type="dxa"/>
            <w:tcBorders>
              <w:top w:val="nil"/>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850" w:type="dxa"/>
            <w:vAlign w:val="center"/>
          </w:tcPr>
          <w:p>
            <w:pPr>
              <w:spacing w:line="360" w:lineRule="auto"/>
              <w:rPr>
                <w:rFonts w:hint="default" w:asciiTheme="minorEastAsia" w:hAnsiTheme="minorEastAsia" w:eastAsiaTheme="minorEastAsia"/>
                <w:sz w:val="24"/>
                <w:szCs w:val="24"/>
              </w:rPr>
            </w:pPr>
          </w:p>
        </w:tc>
        <w:tc>
          <w:tcPr>
            <w:tcW w:w="1058" w:type="dxa"/>
            <w:vAlign w:val="center"/>
          </w:tcPr>
          <w:p>
            <w:pPr>
              <w:spacing w:line="360" w:lineRule="auto"/>
              <w:rPr>
                <w:rFonts w:hint="default" w:asciiTheme="minorEastAsia" w:hAnsiTheme="minorEastAsia" w:eastAsiaTheme="minorEastAsia"/>
                <w:sz w:val="24"/>
                <w:szCs w:val="24"/>
              </w:rPr>
            </w:pPr>
          </w:p>
        </w:tc>
        <w:tc>
          <w:tcPr>
            <w:tcW w:w="8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14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921"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850" w:type="dxa"/>
            <w:vAlign w:val="center"/>
          </w:tcPr>
          <w:p>
            <w:pPr>
              <w:spacing w:line="360" w:lineRule="auto"/>
              <w:rPr>
                <w:rFonts w:hint="default" w:asciiTheme="minorEastAsia" w:hAnsiTheme="minorEastAsia" w:eastAsiaTheme="minorEastAsia"/>
                <w:sz w:val="24"/>
                <w:szCs w:val="24"/>
              </w:rPr>
            </w:pPr>
          </w:p>
        </w:tc>
        <w:tc>
          <w:tcPr>
            <w:tcW w:w="1058" w:type="dxa"/>
            <w:vAlign w:val="center"/>
          </w:tcPr>
          <w:p>
            <w:pPr>
              <w:spacing w:line="360" w:lineRule="auto"/>
              <w:rPr>
                <w:rFonts w:hint="default" w:asciiTheme="minorEastAsia" w:hAnsiTheme="minorEastAsia" w:eastAsiaTheme="minorEastAsia"/>
                <w:sz w:val="24"/>
                <w:szCs w:val="24"/>
              </w:rPr>
            </w:pPr>
          </w:p>
        </w:tc>
        <w:tc>
          <w:tcPr>
            <w:tcW w:w="8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14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921"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850" w:type="dxa"/>
            <w:vAlign w:val="center"/>
          </w:tcPr>
          <w:p>
            <w:pPr>
              <w:spacing w:line="360" w:lineRule="auto"/>
              <w:rPr>
                <w:rFonts w:hint="default" w:asciiTheme="minorEastAsia" w:hAnsiTheme="minorEastAsia" w:eastAsiaTheme="minorEastAsia"/>
                <w:sz w:val="24"/>
                <w:szCs w:val="24"/>
              </w:rPr>
            </w:pPr>
          </w:p>
        </w:tc>
        <w:tc>
          <w:tcPr>
            <w:tcW w:w="1058" w:type="dxa"/>
            <w:vAlign w:val="center"/>
          </w:tcPr>
          <w:p>
            <w:pPr>
              <w:spacing w:line="360" w:lineRule="auto"/>
              <w:rPr>
                <w:rFonts w:hint="default" w:asciiTheme="minorEastAsia" w:hAnsiTheme="minorEastAsia" w:eastAsiaTheme="minorEastAsia"/>
                <w:sz w:val="24"/>
                <w:szCs w:val="24"/>
              </w:rPr>
            </w:pPr>
          </w:p>
        </w:tc>
        <w:tc>
          <w:tcPr>
            <w:tcW w:w="8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14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921"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850" w:type="dxa"/>
            <w:vAlign w:val="center"/>
          </w:tcPr>
          <w:p>
            <w:pPr>
              <w:spacing w:line="360" w:lineRule="auto"/>
              <w:rPr>
                <w:rFonts w:hint="default" w:asciiTheme="minorEastAsia" w:hAnsiTheme="minorEastAsia" w:eastAsiaTheme="minorEastAsia"/>
                <w:sz w:val="24"/>
                <w:szCs w:val="24"/>
              </w:rPr>
            </w:pPr>
          </w:p>
        </w:tc>
        <w:tc>
          <w:tcPr>
            <w:tcW w:w="1058" w:type="dxa"/>
            <w:vAlign w:val="center"/>
          </w:tcPr>
          <w:p>
            <w:pPr>
              <w:spacing w:line="360" w:lineRule="auto"/>
              <w:rPr>
                <w:rFonts w:hint="default" w:asciiTheme="minorEastAsia" w:hAnsiTheme="minorEastAsia" w:eastAsiaTheme="minorEastAsia"/>
                <w:sz w:val="24"/>
                <w:szCs w:val="24"/>
              </w:rPr>
            </w:pPr>
          </w:p>
        </w:tc>
        <w:tc>
          <w:tcPr>
            <w:tcW w:w="8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14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921"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850" w:type="dxa"/>
            <w:vAlign w:val="center"/>
          </w:tcPr>
          <w:p>
            <w:pPr>
              <w:spacing w:line="360" w:lineRule="auto"/>
              <w:rPr>
                <w:rFonts w:hint="default" w:asciiTheme="minorEastAsia" w:hAnsiTheme="minorEastAsia" w:eastAsiaTheme="minorEastAsia"/>
                <w:sz w:val="24"/>
                <w:szCs w:val="24"/>
              </w:rPr>
            </w:pPr>
          </w:p>
        </w:tc>
        <w:tc>
          <w:tcPr>
            <w:tcW w:w="1058" w:type="dxa"/>
            <w:vAlign w:val="center"/>
          </w:tcPr>
          <w:p>
            <w:pPr>
              <w:spacing w:line="360" w:lineRule="auto"/>
              <w:rPr>
                <w:rFonts w:hint="default" w:asciiTheme="minorEastAsia" w:hAnsiTheme="minorEastAsia" w:eastAsiaTheme="minorEastAsia"/>
                <w:sz w:val="24"/>
                <w:szCs w:val="24"/>
              </w:rPr>
            </w:pPr>
          </w:p>
        </w:tc>
        <w:tc>
          <w:tcPr>
            <w:tcW w:w="8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14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921"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850" w:type="dxa"/>
            <w:vAlign w:val="center"/>
          </w:tcPr>
          <w:p>
            <w:pPr>
              <w:spacing w:line="360" w:lineRule="auto"/>
              <w:rPr>
                <w:rFonts w:hint="default" w:asciiTheme="minorEastAsia" w:hAnsiTheme="minorEastAsia" w:eastAsiaTheme="minorEastAsia"/>
                <w:sz w:val="24"/>
                <w:szCs w:val="24"/>
              </w:rPr>
            </w:pPr>
          </w:p>
        </w:tc>
        <w:tc>
          <w:tcPr>
            <w:tcW w:w="1058" w:type="dxa"/>
            <w:vAlign w:val="center"/>
          </w:tcPr>
          <w:p>
            <w:pPr>
              <w:spacing w:line="360" w:lineRule="auto"/>
              <w:rPr>
                <w:rFonts w:hint="default" w:asciiTheme="minorEastAsia" w:hAnsiTheme="minorEastAsia" w:eastAsiaTheme="minorEastAsia"/>
                <w:sz w:val="24"/>
                <w:szCs w:val="24"/>
              </w:rPr>
            </w:pPr>
          </w:p>
        </w:tc>
        <w:tc>
          <w:tcPr>
            <w:tcW w:w="8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14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921"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850" w:type="dxa"/>
            <w:vAlign w:val="center"/>
          </w:tcPr>
          <w:p>
            <w:pPr>
              <w:spacing w:line="360" w:lineRule="auto"/>
              <w:rPr>
                <w:rFonts w:hint="default" w:asciiTheme="minorEastAsia" w:hAnsiTheme="minorEastAsia" w:eastAsiaTheme="minorEastAsia"/>
                <w:sz w:val="24"/>
                <w:szCs w:val="24"/>
              </w:rPr>
            </w:pPr>
          </w:p>
        </w:tc>
        <w:tc>
          <w:tcPr>
            <w:tcW w:w="1058" w:type="dxa"/>
            <w:vAlign w:val="center"/>
          </w:tcPr>
          <w:p>
            <w:pPr>
              <w:spacing w:line="360" w:lineRule="auto"/>
              <w:rPr>
                <w:rFonts w:hint="default" w:asciiTheme="minorEastAsia" w:hAnsiTheme="minorEastAsia" w:eastAsiaTheme="minorEastAsia"/>
                <w:sz w:val="24"/>
                <w:szCs w:val="24"/>
              </w:rPr>
            </w:pPr>
          </w:p>
        </w:tc>
        <w:tc>
          <w:tcPr>
            <w:tcW w:w="8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1480" w:type="dxa"/>
            <w:vAlign w:val="center"/>
          </w:tcPr>
          <w:p>
            <w:pPr>
              <w:spacing w:line="360" w:lineRule="auto"/>
              <w:rPr>
                <w:rFonts w:hint="default" w:asciiTheme="minorEastAsia" w:hAnsiTheme="minorEastAsia" w:eastAsiaTheme="minorEastAsia"/>
                <w:sz w:val="24"/>
                <w:szCs w:val="24"/>
              </w:rPr>
            </w:pPr>
          </w:p>
        </w:tc>
        <w:tc>
          <w:tcPr>
            <w:tcW w:w="1020" w:type="dxa"/>
            <w:vAlign w:val="center"/>
          </w:tcPr>
          <w:p>
            <w:pPr>
              <w:spacing w:line="360" w:lineRule="auto"/>
              <w:rPr>
                <w:rFonts w:hint="default" w:asciiTheme="minorEastAsia" w:hAnsiTheme="minorEastAsia" w:eastAsiaTheme="minorEastAsia"/>
                <w:sz w:val="24"/>
                <w:szCs w:val="24"/>
              </w:rPr>
            </w:pPr>
          </w:p>
        </w:tc>
        <w:tc>
          <w:tcPr>
            <w:tcW w:w="921"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360" w:lineRule="auto"/>
              <w:rPr>
                <w:rFonts w:hint="eastAsia" w:asciiTheme="minorEastAsia" w:hAnsiTheme="minorEastAsia" w:eastAsiaTheme="minorEastAsia"/>
                <w:sz w:val="24"/>
                <w:szCs w:val="24"/>
              </w:rPr>
            </w:pPr>
          </w:p>
        </w:tc>
        <w:tc>
          <w:tcPr>
            <w:tcW w:w="1418" w:type="dxa"/>
          </w:tcPr>
          <w:p>
            <w:pPr>
              <w:spacing w:line="360" w:lineRule="auto"/>
              <w:rPr>
                <w:rFonts w:hint="eastAsia" w:asciiTheme="minorEastAsia" w:hAnsiTheme="minorEastAsia" w:eastAsiaTheme="minorEastAsia"/>
                <w:sz w:val="24"/>
                <w:szCs w:val="24"/>
              </w:rPr>
            </w:pPr>
          </w:p>
        </w:tc>
        <w:tc>
          <w:tcPr>
            <w:tcW w:w="850" w:type="dxa"/>
          </w:tcPr>
          <w:p>
            <w:pPr>
              <w:spacing w:line="360" w:lineRule="auto"/>
              <w:rPr>
                <w:rFonts w:hint="eastAsia" w:asciiTheme="minorEastAsia" w:hAnsiTheme="minorEastAsia" w:eastAsiaTheme="minorEastAsia"/>
                <w:sz w:val="24"/>
                <w:szCs w:val="24"/>
              </w:rPr>
            </w:pPr>
          </w:p>
        </w:tc>
        <w:tc>
          <w:tcPr>
            <w:tcW w:w="1058" w:type="dxa"/>
          </w:tcPr>
          <w:p>
            <w:pPr>
              <w:spacing w:line="360" w:lineRule="auto"/>
              <w:rPr>
                <w:rFonts w:hint="eastAsia" w:asciiTheme="minorEastAsia" w:hAnsiTheme="minorEastAsia" w:eastAsiaTheme="minorEastAsia"/>
                <w:sz w:val="24"/>
                <w:szCs w:val="24"/>
              </w:rPr>
            </w:pPr>
          </w:p>
        </w:tc>
        <w:tc>
          <w:tcPr>
            <w:tcW w:w="8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1480" w:type="dxa"/>
          </w:tcPr>
          <w:p>
            <w:pPr>
              <w:spacing w:line="360" w:lineRule="auto"/>
              <w:rPr>
                <w:rFonts w:hint="eastAsia" w:asciiTheme="minorEastAsia" w:hAnsiTheme="minorEastAsia" w:eastAsiaTheme="minorEastAsia"/>
                <w:sz w:val="24"/>
                <w:szCs w:val="24"/>
              </w:rPr>
            </w:pPr>
          </w:p>
        </w:tc>
        <w:tc>
          <w:tcPr>
            <w:tcW w:w="1020" w:type="dxa"/>
          </w:tcPr>
          <w:p>
            <w:pPr>
              <w:spacing w:line="360" w:lineRule="auto"/>
              <w:rPr>
                <w:rFonts w:hint="eastAsia" w:asciiTheme="minorEastAsia" w:hAnsiTheme="minorEastAsia" w:eastAsiaTheme="minorEastAsia"/>
                <w:sz w:val="24"/>
                <w:szCs w:val="24"/>
              </w:rPr>
            </w:pPr>
          </w:p>
        </w:tc>
        <w:tc>
          <w:tcPr>
            <w:tcW w:w="921" w:type="dxa"/>
          </w:tcPr>
          <w:p>
            <w:pPr>
              <w:spacing w:line="360" w:lineRule="auto"/>
              <w:rPr>
                <w:rFonts w:hint="eastAsia"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w:t>
      </w:r>
      <w:bookmarkStart w:id="570" w:name="_Toc296347227"/>
      <w:bookmarkStart w:id="571" w:name="_Toc296503228"/>
      <w:bookmarkStart w:id="572" w:name="_Toc296944567"/>
      <w:bookmarkStart w:id="573" w:name="_Toc296346729"/>
      <w:bookmarkStart w:id="574" w:name="_Toc296891056"/>
      <w:bookmarkStart w:id="575" w:name="_Toc296891268"/>
      <w:bookmarkStart w:id="576" w:name="_Toc267261699"/>
      <w:r>
        <w:rPr>
          <w:rFonts w:hint="eastAsia" w:asciiTheme="minorEastAsia" w:hAnsiTheme="minorEastAsia" w:eastAsiaTheme="minorEastAsia"/>
          <w:sz w:val="24"/>
          <w:szCs w:val="24"/>
        </w:rPr>
        <w:t>件6：</w:t>
      </w:r>
    </w:p>
    <w:bookmarkEnd w:id="570"/>
    <w:bookmarkEnd w:id="571"/>
    <w:bookmarkEnd w:id="572"/>
    <w:bookmarkEnd w:id="573"/>
    <w:bookmarkEnd w:id="574"/>
    <w:bookmarkEnd w:id="575"/>
    <w:bookmarkEnd w:id="576"/>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承包人主要施工管理人员表</w:t>
      </w:r>
    </w:p>
    <w:tbl>
      <w:tblPr>
        <w:tblStyle w:val="22"/>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714"/>
        <w:gridCol w:w="1701"/>
        <w:gridCol w:w="1560"/>
        <w:gridCol w:w="23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名    称</w:t>
            </w:r>
          </w:p>
        </w:tc>
        <w:tc>
          <w:tcPr>
            <w:tcW w:w="1714"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701"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职务</w:t>
            </w:r>
          </w:p>
        </w:tc>
        <w:tc>
          <w:tcPr>
            <w:tcW w:w="1560"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2339"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主要资历、经验</w:t>
            </w:r>
          </w:p>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85" w:type="dxa"/>
            <w:gridSpan w:val="5"/>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项目主管</w:t>
            </w:r>
          </w:p>
        </w:tc>
        <w:tc>
          <w:tcPr>
            <w:tcW w:w="1714" w:type="dxa"/>
            <w:tcBorders>
              <w:top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701" w:type="dxa"/>
            <w:tcBorders>
              <w:top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560" w:type="dxa"/>
            <w:tcBorders>
              <w:top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2339" w:type="dxa"/>
            <w:tcBorders>
              <w:top w:val="nil"/>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nil"/>
            </w:tcBorders>
            <w:vAlign w:val="center"/>
          </w:tcPr>
          <w:p>
            <w:pPr>
              <w:spacing w:line="360" w:lineRule="auto"/>
              <w:rPr>
                <w:rFonts w:hint="default" w:asciiTheme="minorEastAsia" w:hAnsiTheme="minorEastAsia" w:eastAsiaTheme="minorEastAsia"/>
                <w:sz w:val="24"/>
                <w:szCs w:val="24"/>
              </w:rPr>
            </w:pP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nil"/>
              <w:bottom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其他人员</w:t>
            </w: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nil"/>
              <w:bottom w:val="nil"/>
            </w:tcBorders>
            <w:vAlign w:val="center"/>
          </w:tcPr>
          <w:p>
            <w:pPr>
              <w:spacing w:line="360" w:lineRule="auto"/>
              <w:rPr>
                <w:rFonts w:hint="default" w:asciiTheme="minorEastAsia" w:hAnsiTheme="minorEastAsia" w:eastAsiaTheme="minorEastAsia"/>
                <w:sz w:val="24"/>
                <w:szCs w:val="24"/>
              </w:rPr>
            </w:pP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85" w:type="dxa"/>
            <w:gridSpan w:val="5"/>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9"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项目经理</w:t>
            </w: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项目负责人</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项目副经理</w:t>
            </w: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技术负责人</w:t>
            </w: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技术负责人</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造价管理</w:t>
            </w: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造价员</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质量管理</w:t>
            </w: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质检员</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材料管理</w:t>
            </w: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材料员</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计划管理</w:t>
            </w:r>
          </w:p>
        </w:tc>
        <w:tc>
          <w:tcPr>
            <w:tcW w:w="1714"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安全管理</w:t>
            </w:r>
          </w:p>
        </w:tc>
        <w:tc>
          <w:tcPr>
            <w:tcW w:w="1714"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安全员</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vMerge w:val="restart"/>
            <w:tcBorders>
              <w:top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其他人员</w:t>
            </w:r>
          </w:p>
        </w:tc>
        <w:tc>
          <w:tcPr>
            <w:tcW w:w="1714"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施工员</w:t>
            </w: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vMerge w:val="continue"/>
            <w:vAlign w:val="center"/>
          </w:tcPr>
          <w:p>
            <w:pPr>
              <w:spacing w:line="360" w:lineRule="auto"/>
              <w:rPr>
                <w:rFonts w:hint="eastAsia" w:asciiTheme="minorEastAsia" w:hAnsiTheme="minorEastAsia" w:eastAsiaTheme="minorEastAsia"/>
                <w:sz w:val="24"/>
                <w:szCs w:val="24"/>
              </w:rPr>
            </w:pPr>
          </w:p>
        </w:tc>
        <w:tc>
          <w:tcPr>
            <w:tcW w:w="1714" w:type="dxa"/>
            <w:tcBorders>
              <w:bottom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701" w:type="dxa"/>
            <w:tcBorders>
              <w:bottom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资料员</w:t>
            </w:r>
          </w:p>
        </w:tc>
        <w:tc>
          <w:tcPr>
            <w:tcW w:w="1560" w:type="dxa"/>
            <w:tcBorders>
              <w:bottom w:val="nil"/>
            </w:tcBorders>
            <w:vAlign w:val="center"/>
          </w:tcPr>
          <w:p>
            <w:pPr>
              <w:spacing w:line="360" w:lineRule="auto"/>
              <w:rPr>
                <w:rFonts w:hint="default" w:asciiTheme="minorEastAsia" w:hAnsiTheme="minorEastAsia" w:eastAsiaTheme="minorEastAsia"/>
                <w:sz w:val="24"/>
                <w:szCs w:val="24"/>
              </w:rPr>
            </w:pPr>
          </w:p>
        </w:tc>
        <w:tc>
          <w:tcPr>
            <w:tcW w:w="2339" w:type="dxa"/>
            <w:tcBorders>
              <w:bottom w:val="nil"/>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vMerge w:val="continue"/>
            <w:vAlign w:val="center"/>
          </w:tcPr>
          <w:p>
            <w:pPr>
              <w:spacing w:line="360" w:lineRule="auto"/>
              <w:rPr>
                <w:rFonts w:hint="eastAsia" w:asciiTheme="minorEastAsia" w:hAnsiTheme="minorEastAsia" w:eastAsiaTheme="minorEastAsia"/>
                <w:sz w:val="24"/>
                <w:szCs w:val="24"/>
              </w:rPr>
            </w:pPr>
          </w:p>
        </w:tc>
        <w:tc>
          <w:tcPr>
            <w:tcW w:w="1714"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701"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试验员</w:t>
            </w:r>
          </w:p>
        </w:tc>
        <w:tc>
          <w:tcPr>
            <w:tcW w:w="1560" w:type="dxa"/>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714" w:type="dxa"/>
            <w:vAlign w:val="center"/>
          </w:tcPr>
          <w:p>
            <w:pPr>
              <w:spacing w:line="360" w:lineRule="auto"/>
              <w:rPr>
                <w:rFonts w:hint="default" w:asciiTheme="minorEastAsia" w:hAnsiTheme="minorEastAsia" w:eastAsiaTheme="minorEastAsia"/>
                <w:sz w:val="24"/>
                <w:szCs w:val="24"/>
              </w:rPr>
            </w:pPr>
          </w:p>
        </w:tc>
        <w:tc>
          <w:tcPr>
            <w:tcW w:w="1701" w:type="dxa"/>
            <w:vAlign w:val="center"/>
          </w:tcPr>
          <w:p>
            <w:pPr>
              <w:spacing w:line="360" w:lineRule="auto"/>
              <w:rPr>
                <w:rFonts w:hint="default" w:asciiTheme="minorEastAsia" w:hAnsiTheme="minorEastAsia" w:eastAsiaTheme="minorEastAsia"/>
                <w:sz w:val="24"/>
                <w:szCs w:val="24"/>
              </w:rPr>
            </w:pPr>
          </w:p>
        </w:tc>
        <w:tc>
          <w:tcPr>
            <w:tcW w:w="1560" w:type="dxa"/>
            <w:vAlign w:val="center"/>
          </w:tcPr>
          <w:p>
            <w:pPr>
              <w:spacing w:line="360" w:lineRule="auto"/>
              <w:rPr>
                <w:rFonts w:hint="default" w:asciiTheme="minorEastAsia" w:hAnsiTheme="minorEastAsia" w:eastAsiaTheme="minorEastAsia"/>
                <w:sz w:val="24"/>
                <w:szCs w:val="24"/>
              </w:rPr>
            </w:pPr>
          </w:p>
        </w:tc>
        <w:tc>
          <w:tcPr>
            <w:tcW w:w="2339" w:type="dxa"/>
            <w:vAlign w:val="center"/>
          </w:tcPr>
          <w:p>
            <w:pPr>
              <w:spacing w:line="360" w:lineRule="auto"/>
              <w:rPr>
                <w:rFonts w:hint="default"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sz w:val="24"/>
          <w:szCs w:val="24"/>
        </w:rPr>
        <w:t>附</w:t>
      </w:r>
      <w:bookmarkStart w:id="577" w:name="_Toc296891269"/>
      <w:bookmarkStart w:id="578" w:name="_Toc296346730"/>
      <w:bookmarkStart w:id="579" w:name="_Toc296347228"/>
      <w:bookmarkStart w:id="580" w:name="_Toc296503229"/>
      <w:bookmarkStart w:id="581" w:name="_Toc296944568"/>
      <w:bookmarkStart w:id="582" w:name="_Toc296891057"/>
      <w:r>
        <w:rPr>
          <w:rFonts w:hint="eastAsia" w:asciiTheme="minorEastAsia" w:hAnsiTheme="minorEastAsia" w:eastAsiaTheme="minorEastAsia"/>
          <w:sz w:val="24"/>
          <w:szCs w:val="24"/>
        </w:rPr>
        <w:t>件7：</w:t>
      </w:r>
    </w:p>
    <w:bookmarkEnd w:id="577"/>
    <w:bookmarkEnd w:id="578"/>
    <w:bookmarkEnd w:id="579"/>
    <w:bookmarkEnd w:id="580"/>
    <w:bookmarkEnd w:id="581"/>
    <w:bookmarkEnd w:id="582"/>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分包人主要施工管理人员表</w:t>
      </w:r>
    </w:p>
    <w:tbl>
      <w:tblPr>
        <w:tblStyle w:val="22"/>
        <w:tblW w:w="9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3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名    称</w:t>
            </w:r>
          </w:p>
        </w:tc>
        <w:tc>
          <w:tcPr>
            <w:tcW w:w="1418"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1134"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职务</w:t>
            </w:r>
          </w:p>
        </w:tc>
        <w:tc>
          <w:tcPr>
            <w:tcW w:w="1134"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职称</w:t>
            </w:r>
          </w:p>
        </w:tc>
        <w:tc>
          <w:tcPr>
            <w:tcW w:w="4309" w:type="dxa"/>
            <w:tcBorders>
              <w:top w:val="single" w:color="auto" w:sz="12" w:space="0"/>
              <w:bottom w:val="doub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66" w:type="dxa"/>
            <w:gridSpan w:val="5"/>
            <w:tcBorders>
              <w:top w:val="doub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项目主管</w:t>
            </w:r>
          </w:p>
        </w:tc>
        <w:tc>
          <w:tcPr>
            <w:tcW w:w="1418" w:type="dxa"/>
            <w:tcBorders>
              <w:top w:val="nil"/>
            </w:tcBorders>
            <w:vAlign w:val="center"/>
          </w:tcPr>
          <w:p>
            <w:pPr>
              <w:spacing w:line="360" w:lineRule="auto"/>
              <w:rPr>
                <w:rFonts w:hint="default" w:asciiTheme="minorEastAsia" w:hAnsiTheme="minorEastAsia" w:eastAsiaTheme="minorEastAsia"/>
                <w:sz w:val="24"/>
                <w:szCs w:val="24"/>
              </w:rPr>
            </w:pPr>
          </w:p>
        </w:tc>
        <w:tc>
          <w:tcPr>
            <w:tcW w:w="1134" w:type="dxa"/>
            <w:tcBorders>
              <w:top w:val="nil"/>
            </w:tcBorders>
            <w:vAlign w:val="center"/>
          </w:tcPr>
          <w:p>
            <w:pPr>
              <w:spacing w:line="360" w:lineRule="auto"/>
              <w:rPr>
                <w:rFonts w:hint="default" w:asciiTheme="minorEastAsia" w:hAnsiTheme="minorEastAsia" w:eastAsiaTheme="minorEastAsia"/>
                <w:sz w:val="24"/>
                <w:szCs w:val="24"/>
              </w:rPr>
            </w:pPr>
          </w:p>
        </w:tc>
        <w:tc>
          <w:tcPr>
            <w:tcW w:w="1134" w:type="dxa"/>
            <w:tcBorders>
              <w:top w:val="nil"/>
            </w:tcBorders>
            <w:vAlign w:val="center"/>
          </w:tcPr>
          <w:p>
            <w:pPr>
              <w:spacing w:line="360" w:lineRule="auto"/>
              <w:rPr>
                <w:rFonts w:hint="default" w:asciiTheme="minorEastAsia" w:hAnsiTheme="minorEastAsia" w:eastAsiaTheme="minorEastAsia"/>
                <w:sz w:val="24"/>
                <w:szCs w:val="24"/>
              </w:rPr>
            </w:pPr>
          </w:p>
        </w:tc>
        <w:tc>
          <w:tcPr>
            <w:tcW w:w="4309" w:type="dxa"/>
            <w:tcBorders>
              <w:top w:val="nil"/>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其他人员</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66" w:type="dxa"/>
            <w:gridSpan w:val="5"/>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项目经理</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项目副经理</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技术负责人</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造价管理</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质量管理</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材料管理</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计划管理</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安全管理</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其他人员</w:t>
            </w: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spacing w:line="360" w:lineRule="auto"/>
              <w:rPr>
                <w:rFonts w:hint="eastAsia" w:asciiTheme="minorEastAsia" w:hAnsiTheme="minorEastAsia" w:eastAsiaTheme="minorEastAsia"/>
                <w:sz w:val="24"/>
                <w:szCs w:val="24"/>
              </w:rPr>
            </w:pPr>
          </w:p>
        </w:tc>
        <w:tc>
          <w:tcPr>
            <w:tcW w:w="1418" w:type="dxa"/>
            <w:tcBorders>
              <w:bottom w:val="nil"/>
            </w:tcBorders>
            <w:vAlign w:val="center"/>
          </w:tcPr>
          <w:p>
            <w:pPr>
              <w:spacing w:line="360" w:lineRule="auto"/>
              <w:rPr>
                <w:rFonts w:hint="default" w:asciiTheme="minorEastAsia" w:hAnsiTheme="minorEastAsia" w:eastAsiaTheme="minorEastAsia"/>
                <w:sz w:val="24"/>
                <w:szCs w:val="24"/>
              </w:rPr>
            </w:pPr>
          </w:p>
        </w:tc>
        <w:tc>
          <w:tcPr>
            <w:tcW w:w="1134" w:type="dxa"/>
            <w:tcBorders>
              <w:bottom w:val="nil"/>
            </w:tcBorders>
            <w:vAlign w:val="center"/>
          </w:tcPr>
          <w:p>
            <w:pPr>
              <w:spacing w:line="360" w:lineRule="auto"/>
              <w:rPr>
                <w:rFonts w:hint="default" w:asciiTheme="minorEastAsia" w:hAnsiTheme="minorEastAsia" w:eastAsiaTheme="minorEastAsia"/>
                <w:sz w:val="24"/>
                <w:szCs w:val="24"/>
              </w:rPr>
            </w:pPr>
          </w:p>
        </w:tc>
        <w:tc>
          <w:tcPr>
            <w:tcW w:w="1134" w:type="dxa"/>
            <w:tcBorders>
              <w:bottom w:val="nil"/>
            </w:tcBorders>
            <w:vAlign w:val="center"/>
          </w:tcPr>
          <w:p>
            <w:pPr>
              <w:spacing w:line="360" w:lineRule="auto"/>
              <w:rPr>
                <w:rFonts w:hint="default" w:asciiTheme="minorEastAsia" w:hAnsiTheme="minorEastAsia" w:eastAsiaTheme="minorEastAsia"/>
                <w:sz w:val="24"/>
                <w:szCs w:val="24"/>
              </w:rPr>
            </w:pPr>
          </w:p>
        </w:tc>
        <w:tc>
          <w:tcPr>
            <w:tcW w:w="4309" w:type="dxa"/>
            <w:tcBorders>
              <w:bottom w:val="nil"/>
            </w:tcBorders>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spacing w:line="360" w:lineRule="auto"/>
              <w:rPr>
                <w:rFonts w:hint="eastAsia"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pPr>
              <w:spacing w:line="360" w:lineRule="auto"/>
              <w:rPr>
                <w:rFonts w:hint="default" w:asciiTheme="minorEastAsia" w:hAnsiTheme="minorEastAsia" w:eastAsiaTheme="minorEastAsia"/>
                <w:sz w:val="24"/>
                <w:szCs w:val="24"/>
              </w:rPr>
            </w:pPr>
          </w:p>
        </w:tc>
        <w:tc>
          <w:tcPr>
            <w:tcW w:w="1418"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1134" w:type="dxa"/>
            <w:vAlign w:val="center"/>
          </w:tcPr>
          <w:p>
            <w:pPr>
              <w:spacing w:line="360" w:lineRule="auto"/>
              <w:rPr>
                <w:rFonts w:hint="default" w:asciiTheme="minorEastAsia" w:hAnsiTheme="minorEastAsia" w:eastAsiaTheme="minorEastAsia"/>
                <w:sz w:val="24"/>
                <w:szCs w:val="24"/>
              </w:rPr>
            </w:pPr>
          </w:p>
        </w:tc>
        <w:tc>
          <w:tcPr>
            <w:tcW w:w="4309"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single" w:color="auto" w:sz="12" w:space="0"/>
            </w:tcBorders>
            <w:vAlign w:val="center"/>
          </w:tcPr>
          <w:p>
            <w:pPr>
              <w:spacing w:line="360" w:lineRule="auto"/>
              <w:rPr>
                <w:rFonts w:hint="default" w:asciiTheme="minorEastAsia" w:hAnsiTheme="minorEastAsia" w:eastAsiaTheme="minorEastAsia"/>
                <w:sz w:val="24"/>
                <w:szCs w:val="24"/>
              </w:rPr>
            </w:pPr>
          </w:p>
        </w:tc>
        <w:tc>
          <w:tcPr>
            <w:tcW w:w="1418" w:type="dxa"/>
            <w:tcBorders>
              <w:bottom w:val="single" w:color="auto" w:sz="12" w:space="0"/>
            </w:tcBorders>
            <w:vAlign w:val="center"/>
          </w:tcPr>
          <w:p>
            <w:pPr>
              <w:spacing w:line="360" w:lineRule="auto"/>
              <w:rPr>
                <w:rFonts w:hint="default" w:asciiTheme="minorEastAsia" w:hAnsiTheme="minorEastAsia" w:eastAsiaTheme="minorEastAsia"/>
                <w:sz w:val="24"/>
                <w:szCs w:val="24"/>
              </w:rPr>
            </w:pPr>
          </w:p>
        </w:tc>
        <w:tc>
          <w:tcPr>
            <w:tcW w:w="1134" w:type="dxa"/>
            <w:tcBorders>
              <w:bottom w:val="single" w:color="auto" w:sz="12" w:space="0"/>
            </w:tcBorders>
            <w:vAlign w:val="center"/>
          </w:tcPr>
          <w:p>
            <w:pPr>
              <w:spacing w:line="360" w:lineRule="auto"/>
              <w:rPr>
                <w:rFonts w:hint="default" w:asciiTheme="minorEastAsia" w:hAnsiTheme="minorEastAsia" w:eastAsiaTheme="minorEastAsia"/>
                <w:sz w:val="24"/>
                <w:szCs w:val="24"/>
              </w:rPr>
            </w:pPr>
          </w:p>
        </w:tc>
        <w:tc>
          <w:tcPr>
            <w:tcW w:w="1134" w:type="dxa"/>
            <w:tcBorders>
              <w:bottom w:val="single" w:color="auto" w:sz="12" w:space="0"/>
            </w:tcBorders>
            <w:vAlign w:val="center"/>
          </w:tcPr>
          <w:p>
            <w:pPr>
              <w:spacing w:line="360" w:lineRule="auto"/>
              <w:rPr>
                <w:rFonts w:hint="default" w:asciiTheme="minorEastAsia" w:hAnsiTheme="minorEastAsia" w:eastAsiaTheme="minorEastAsia"/>
                <w:sz w:val="24"/>
                <w:szCs w:val="24"/>
              </w:rPr>
            </w:pPr>
          </w:p>
        </w:tc>
        <w:tc>
          <w:tcPr>
            <w:tcW w:w="4309" w:type="dxa"/>
            <w:tcBorders>
              <w:bottom w:val="single" w:color="auto" w:sz="12" w:space="0"/>
            </w:tcBorders>
            <w:vAlign w:val="center"/>
          </w:tcPr>
          <w:p>
            <w:pPr>
              <w:spacing w:line="360" w:lineRule="auto"/>
              <w:rPr>
                <w:rFonts w:hint="default"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bookmarkStart w:id="583" w:name="_Toc267261701"/>
      <w:r>
        <w:rPr>
          <w:rFonts w:hint="eastAsia" w:asciiTheme="minorEastAsia" w:hAnsiTheme="minorEastAsia" w:eastAsiaTheme="minorEastAsia"/>
          <w:sz w:val="24"/>
          <w:szCs w:val="24"/>
        </w:rPr>
        <w:t>附</w:t>
      </w:r>
      <w:bookmarkStart w:id="584" w:name="_Toc296503231"/>
      <w:bookmarkStart w:id="585" w:name="_Toc296347230"/>
      <w:bookmarkStart w:id="586" w:name="_Toc296944570"/>
      <w:bookmarkStart w:id="587" w:name="_Toc296346732"/>
      <w:bookmarkStart w:id="588" w:name="_Toc296891059"/>
      <w:bookmarkStart w:id="589" w:name="_Toc296891271"/>
      <w:r>
        <w:rPr>
          <w:rFonts w:hint="eastAsia" w:asciiTheme="minorEastAsia" w:hAnsiTheme="minorEastAsia" w:eastAsiaTheme="minorEastAsia"/>
          <w:sz w:val="24"/>
          <w:szCs w:val="24"/>
        </w:rPr>
        <w:t>件8：</w:t>
      </w:r>
    </w:p>
    <w:bookmarkEnd w:id="583"/>
    <w:bookmarkEnd w:id="584"/>
    <w:bookmarkEnd w:id="585"/>
    <w:bookmarkEnd w:id="586"/>
    <w:bookmarkEnd w:id="587"/>
    <w:bookmarkEnd w:id="588"/>
    <w:bookmarkEnd w:id="589"/>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履约担保</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（发包人名称）：</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鉴于       /     （发包人名称，以下简称“发包人”）与</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（承包人名称）（以下称“承包人”）于    /  年    /  月    /  日就      /       （工程名称）施工及有关事项协商一致共同签订《建设工程施工合同》。我方愿意无条件地、不可撤销地就承包人履行与你方签订的合同，向你方提供连带责任担保。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担保金额人民币（大写）        /        元（¥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 担保有效期自你方与承包人签订的合同生效之日起至你方签发或应签发工程接收证书之日止。</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 在本担保有效期内，因承包人违反合同约定的义务给你方造成经济损失时，我方在收到你方以书面形式提出的在担保金额内的赔偿要求后，在7天内无条件支付。</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 你方和承包人按合同约定变更合同时，我方承担本担保规定的义务不变。</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 因本保函发生的纠纷，可由双方协商解决，协商不成的，任何一方均可提请    /    仲裁委员会仲裁。</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 本保函自我方法定代表人（或其授权代理人）签字并加盖公章之日起生效。</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担 保 人：      /                 （盖单位章）</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     /          （签字）</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地    址：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邮政编码：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    话：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传    真：            /                           </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年       /  月     /    日</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w:t>
      </w:r>
      <w:bookmarkStart w:id="590" w:name="_Toc296503232"/>
      <w:bookmarkStart w:id="591" w:name="_Toc267261702"/>
      <w:bookmarkStart w:id="592" w:name="_Toc296347231"/>
      <w:bookmarkStart w:id="593" w:name="_Toc296944571"/>
      <w:bookmarkStart w:id="594" w:name="_Toc296346733"/>
      <w:bookmarkStart w:id="595" w:name="_Toc296891060"/>
      <w:bookmarkStart w:id="596" w:name="_Toc296891272"/>
      <w:r>
        <w:rPr>
          <w:rFonts w:hint="eastAsia" w:asciiTheme="minorEastAsia" w:hAnsiTheme="minorEastAsia" w:eastAsiaTheme="minorEastAsia"/>
          <w:sz w:val="24"/>
          <w:szCs w:val="24"/>
        </w:rPr>
        <w:t>件9 ：</w:t>
      </w:r>
    </w:p>
    <w:bookmarkEnd w:id="590"/>
    <w:bookmarkEnd w:id="591"/>
    <w:bookmarkEnd w:id="592"/>
    <w:bookmarkEnd w:id="593"/>
    <w:bookmarkEnd w:id="594"/>
    <w:bookmarkEnd w:id="595"/>
    <w:bookmarkEnd w:id="596"/>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预付款担保</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（发包人名称）：</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根据      /          （承包人名称）（以下称“承包人”）与</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（发包人名称）（以下简称“发包人”）</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于    /  年   /   月    /日签订的      /         （工程名称）《建设工程施工合同》，承包人按约定的金额向你方提交一份预付款担保，即有权得到你方支付相等金额的预付款。我方愿意就你方提供给承包人的预付款为承包人提供连带责任担保。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担保金额人民币（大写）    /          元（¥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 担保有效期自预付款支付给承包人起生效，至你方签发的进度款支付证书说明已完全扣清止。</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 你方和承包人按合同约定变更合同时，我方承担本保函规定的义务不变。</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 因本保函发生的纠纷，可由双方协商解决，协商不成的，任何一方均可提请     /   仲裁委员会仲裁。</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 本保函自我方法定代表人（或其授权代理人）签字并加盖公章之日起生效。</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担保人：       /                （盖单位章）</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法定代表人或其委托代理人：    /      （签字）</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    址：</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邮政编码：</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电    话：</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传    真：</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年      /  月    /日</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w:t>
      </w:r>
      <w:bookmarkStart w:id="597" w:name="_Toc296891273"/>
      <w:bookmarkStart w:id="598" w:name="_Toc296891061"/>
      <w:bookmarkStart w:id="599" w:name="_Toc296944572"/>
      <w:bookmarkStart w:id="600" w:name="_Toc296346734"/>
      <w:bookmarkStart w:id="601" w:name="_Toc296503233"/>
      <w:bookmarkStart w:id="602" w:name="_Toc296347232"/>
      <w:r>
        <w:rPr>
          <w:rFonts w:hint="eastAsia" w:asciiTheme="minorEastAsia" w:hAnsiTheme="minorEastAsia" w:eastAsiaTheme="minorEastAsia"/>
          <w:sz w:val="24"/>
          <w:szCs w:val="24"/>
        </w:rPr>
        <w:t xml:space="preserve">件10:  </w:t>
      </w:r>
    </w:p>
    <w:bookmarkEnd w:id="597"/>
    <w:bookmarkEnd w:id="598"/>
    <w:bookmarkEnd w:id="599"/>
    <w:bookmarkEnd w:id="600"/>
    <w:bookmarkEnd w:id="601"/>
    <w:bookmarkEnd w:id="602"/>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支付担保</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（承包人）：</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鉴于你方作为承包人已经与       /     （发包人名称）（以下称“发包人”）于    /年   /月     /  日签订了    /          （工程名称）《建设工程施工合同》（以下称“主合同”），应发包人的申请，我方愿就发包人履行主合同约定的工程款支付义务以保证的方式向你方提供如下担保：</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一、保证的范围及保证金额</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我方的保证范围是主合同约定的工程款。</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 本保函所称主合同约定的工程款是指主合同约定的除工程质量保证金以外的合同价款。</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 我方保证的金额是主合同约定的工程款的    /    %，数额最高不超过人民币元（大写：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二、保证的方式及保证期间</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我方保证的方式为：连带责任保证。</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 我方保证的期间为：自本合同生效之日起至主合同约定的工程款支付完毕之日后   日内。</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 你方与发包人协议变更工程款支付日期的，经我方书面同意后，保证期间按照变更后的支付日期做相应调整。</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三、承担保证责任的形式</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我方承担保证责任的形式是代为支付。发包人未按主合同约定向你方支付工程款的，由我方在保证金额内代为支付。</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四、代偿的安排</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你方要求我方承担保证责任的，应向我方发出书面索赔通知及发包人未支付主合同约定工程款的证明材料。索赔通知应写明要求索赔的金额，支付款项应到达的账号。</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 我方收到你方的书面索赔通知及相应的证明材料后７天内无条件支付。</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五、保证责任的解除</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在本保函承诺的保证期间内，你方未书面向我方主张保证责任的，自保证期间届满次日起，我方保证责任解除。</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 发包人按主合同约定履行了工程款的全部支付义务的，自本保函承诺的保证期间届满次日起，我方保证责任解除。</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 我方按照本保函向你方履行保证责任所支付金额达到本保函保证金额时，自我方向你方支付（支付款项从我方账户划出）之日起，保证责任即解除。</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 按照法律法规的规定或出现应解除我方保证责任的其他情形的，我方在本保函项下的保证责任亦解除。</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 我方解除保证责任后，你方应自我方保证责任解除之日起  个工作日内，将本保函原件返还我方。</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六、免责条款</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 因你方违约致使发包人不能履行义务的，我方不承担保证责任。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 依照法律法规的规定或你方与发包人的另行约定，免除发包人部分或全部义务的，我方亦免除其相应的保证责任。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 因不可抗力造成发包人不能履行义务的，我方不承担保证责任。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七、争议解决</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因本保函或本保函相关事项发生的纠纷，可由双方协商解决，协商不成的，按下列第    /种方式解决：</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（1）向         /           仲裁委员会申请仲裁；</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（2）向                     人民法院起诉。</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八、保函的生效</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本保函自我方法定代表人（或其授权代理人）签字并加盖公章之日起生效。</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担保人：             /                   （盖章）</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法定代表人或委托代理人：        /  （签字）</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地    址：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邮政编码：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传    真：               /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          年    /     月  /   日</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附件11：</w:t>
      </w: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11-1：材料暂估价表</w:t>
      </w:r>
    </w:p>
    <w:tbl>
      <w:tblPr>
        <w:tblStyle w:val="22"/>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67"/>
        <w:gridCol w:w="3054"/>
        <w:gridCol w:w="825"/>
        <w:gridCol w:w="1125"/>
        <w:gridCol w:w="1238"/>
        <w:gridCol w:w="1444"/>
        <w:gridCol w:w="7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3054"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825"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125"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238"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单价（元）</w:t>
            </w:r>
          </w:p>
        </w:tc>
        <w:tc>
          <w:tcPr>
            <w:tcW w:w="1444"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合价（元）</w:t>
            </w:r>
          </w:p>
        </w:tc>
        <w:tc>
          <w:tcPr>
            <w:tcW w:w="720"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3054"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8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125" w:type="dxa"/>
            <w:shd w:val="clear" w:color="FFFFFF" w:fill="FFFFFF"/>
            <w:vAlign w:val="center"/>
          </w:tcPr>
          <w:p>
            <w:pPr>
              <w:spacing w:line="360" w:lineRule="auto"/>
              <w:rPr>
                <w:rFonts w:hint="default" w:asciiTheme="minorEastAsia" w:hAnsiTheme="minorEastAsia" w:eastAsiaTheme="minorEastAsia"/>
                <w:sz w:val="24"/>
                <w:szCs w:val="24"/>
              </w:rPr>
            </w:pPr>
          </w:p>
        </w:tc>
        <w:tc>
          <w:tcPr>
            <w:tcW w:w="1238" w:type="dxa"/>
            <w:shd w:val="clear" w:color="FFFFFF" w:fill="FFFFFF"/>
            <w:vAlign w:val="center"/>
          </w:tcPr>
          <w:p>
            <w:pPr>
              <w:spacing w:line="360" w:lineRule="auto"/>
              <w:rPr>
                <w:rFonts w:hint="default" w:asciiTheme="minorEastAsia" w:hAnsiTheme="minorEastAsia" w:eastAsiaTheme="minorEastAsia"/>
                <w:sz w:val="24"/>
                <w:szCs w:val="24"/>
              </w:rPr>
            </w:pPr>
          </w:p>
        </w:tc>
        <w:tc>
          <w:tcPr>
            <w:tcW w:w="1444" w:type="dxa"/>
            <w:shd w:val="clear" w:color="FFFFFF" w:fill="FFFFFF"/>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rPr>
                <w:rFonts w:hint="eastAsia" w:asciiTheme="minorEastAsia" w:hAnsiTheme="minorEastAsia" w:eastAsiaTheme="minorEastAsia"/>
                <w:sz w:val="24"/>
                <w:szCs w:val="24"/>
              </w:rPr>
            </w:pPr>
          </w:p>
        </w:tc>
        <w:tc>
          <w:tcPr>
            <w:tcW w:w="3054" w:type="dxa"/>
            <w:shd w:val="clear" w:color="FFFFFF" w:fill="FFFFFF"/>
            <w:vAlign w:val="center"/>
          </w:tcPr>
          <w:p>
            <w:pPr>
              <w:spacing w:line="360" w:lineRule="auto"/>
              <w:rPr>
                <w:rFonts w:hint="eastAsia"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rPr>
                <w:rFonts w:hint="eastAsia" w:asciiTheme="minorEastAsia" w:hAnsiTheme="minorEastAsia" w:eastAsiaTheme="minorEastAsia"/>
                <w:sz w:val="24"/>
                <w:szCs w:val="24"/>
              </w:rPr>
            </w:pPr>
          </w:p>
        </w:tc>
        <w:tc>
          <w:tcPr>
            <w:tcW w:w="3054" w:type="dxa"/>
            <w:shd w:val="clear" w:color="FFFFFF" w:fill="FFFFFF"/>
            <w:vAlign w:val="center"/>
          </w:tcPr>
          <w:p>
            <w:pPr>
              <w:spacing w:line="360" w:lineRule="auto"/>
              <w:rPr>
                <w:rFonts w:hint="eastAsia"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rPr>
                <w:rFonts w:hint="eastAsia" w:asciiTheme="minorEastAsia" w:hAnsiTheme="minorEastAsia" w:eastAsiaTheme="minorEastAsia"/>
                <w:sz w:val="24"/>
                <w:szCs w:val="24"/>
              </w:rPr>
            </w:pPr>
          </w:p>
        </w:tc>
        <w:tc>
          <w:tcPr>
            <w:tcW w:w="3054" w:type="dxa"/>
            <w:shd w:val="clear" w:color="FFFFFF" w:fill="FFFFFF"/>
            <w:vAlign w:val="center"/>
          </w:tcPr>
          <w:p>
            <w:pPr>
              <w:spacing w:line="360" w:lineRule="auto"/>
              <w:rPr>
                <w:rFonts w:hint="eastAsia"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shd w:val="clear" w:color="FFFFFF" w:fill="FFFFFF"/>
            <w:vAlign w:val="center"/>
          </w:tcPr>
          <w:p>
            <w:pPr>
              <w:spacing w:line="360" w:lineRule="auto"/>
              <w:rPr>
                <w:rFonts w:hint="eastAsia" w:asciiTheme="minorEastAsia" w:hAnsiTheme="minorEastAsia" w:eastAsiaTheme="minorEastAsia"/>
                <w:sz w:val="24"/>
                <w:szCs w:val="24"/>
              </w:rPr>
            </w:pPr>
          </w:p>
        </w:tc>
        <w:tc>
          <w:tcPr>
            <w:tcW w:w="3054" w:type="dxa"/>
            <w:shd w:val="clear" w:color="FFFFFF" w:fill="FFFFFF"/>
            <w:vAlign w:val="center"/>
          </w:tcPr>
          <w:p>
            <w:pPr>
              <w:spacing w:line="360" w:lineRule="auto"/>
              <w:rPr>
                <w:rFonts w:hint="eastAsia"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vAlign w:val="center"/>
          </w:tcPr>
          <w:p>
            <w:pPr>
              <w:spacing w:line="360" w:lineRule="auto"/>
              <w:rPr>
                <w:rFonts w:hint="default" w:asciiTheme="minorEastAsia" w:hAnsiTheme="minorEastAsia" w:eastAsiaTheme="minorEastAsia"/>
                <w:sz w:val="24"/>
                <w:szCs w:val="24"/>
              </w:rPr>
            </w:pPr>
          </w:p>
        </w:tc>
        <w:tc>
          <w:tcPr>
            <w:tcW w:w="3054" w:type="dxa"/>
            <w:vAlign w:val="center"/>
          </w:tcPr>
          <w:p>
            <w:pPr>
              <w:spacing w:line="360" w:lineRule="auto"/>
              <w:rPr>
                <w:rFonts w:hint="default"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vAlign w:val="center"/>
          </w:tcPr>
          <w:p>
            <w:pPr>
              <w:spacing w:line="360" w:lineRule="auto"/>
              <w:rPr>
                <w:rFonts w:hint="default" w:asciiTheme="minorEastAsia" w:hAnsiTheme="minorEastAsia" w:eastAsiaTheme="minorEastAsia"/>
                <w:sz w:val="24"/>
                <w:szCs w:val="24"/>
              </w:rPr>
            </w:pPr>
          </w:p>
        </w:tc>
        <w:tc>
          <w:tcPr>
            <w:tcW w:w="3054" w:type="dxa"/>
            <w:vAlign w:val="center"/>
          </w:tcPr>
          <w:p>
            <w:pPr>
              <w:spacing w:line="360" w:lineRule="auto"/>
              <w:rPr>
                <w:rFonts w:hint="default"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vAlign w:val="center"/>
          </w:tcPr>
          <w:p>
            <w:pPr>
              <w:spacing w:line="360" w:lineRule="auto"/>
              <w:rPr>
                <w:rFonts w:hint="default" w:asciiTheme="minorEastAsia" w:hAnsiTheme="minorEastAsia" w:eastAsiaTheme="minorEastAsia"/>
                <w:sz w:val="24"/>
                <w:szCs w:val="24"/>
              </w:rPr>
            </w:pPr>
          </w:p>
        </w:tc>
        <w:tc>
          <w:tcPr>
            <w:tcW w:w="3054" w:type="dxa"/>
            <w:vAlign w:val="center"/>
          </w:tcPr>
          <w:p>
            <w:pPr>
              <w:spacing w:line="360" w:lineRule="auto"/>
              <w:rPr>
                <w:rFonts w:hint="default"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vAlign w:val="center"/>
          </w:tcPr>
          <w:p>
            <w:pPr>
              <w:spacing w:line="360" w:lineRule="auto"/>
              <w:rPr>
                <w:rFonts w:hint="default" w:asciiTheme="minorEastAsia" w:hAnsiTheme="minorEastAsia" w:eastAsiaTheme="minorEastAsia"/>
                <w:sz w:val="24"/>
                <w:szCs w:val="24"/>
              </w:rPr>
            </w:pPr>
          </w:p>
        </w:tc>
        <w:tc>
          <w:tcPr>
            <w:tcW w:w="3054" w:type="dxa"/>
            <w:vAlign w:val="center"/>
          </w:tcPr>
          <w:p>
            <w:pPr>
              <w:spacing w:line="360" w:lineRule="auto"/>
              <w:rPr>
                <w:rFonts w:hint="default"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vAlign w:val="center"/>
          </w:tcPr>
          <w:p>
            <w:pPr>
              <w:spacing w:line="360" w:lineRule="auto"/>
              <w:rPr>
                <w:rFonts w:hint="default" w:asciiTheme="minorEastAsia" w:hAnsiTheme="minorEastAsia" w:eastAsiaTheme="minorEastAsia"/>
                <w:sz w:val="24"/>
                <w:szCs w:val="24"/>
              </w:rPr>
            </w:pPr>
          </w:p>
        </w:tc>
        <w:tc>
          <w:tcPr>
            <w:tcW w:w="3054" w:type="dxa"/>
            <w:vAlign w:val="center"/>
          </w:tcPr>
          <w:p>
            <w:pPr>
              <w:spacing w:line="360" w:lineRule="auto"/>
              <w:rPr>
                <w:rFonts w:hint="default"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67" w:type="dxa"/>
            <w:vAlign w:val="center"/>
          </w:tcPr>
          <w:p>
            <w:pPr>
              <w:spacing w:line="360" w:lineRule="auto"/>
              <w:rPr>
                <w:rFonts w:hint="default" w:asciiTheme="minorEastAsia" w:hAnsiTheme="minorEastAsia" w:eastAsiaTheme="minorEastAsia"/>
                <w:sz w:val="24"/>
                <w:szCs w:val="24"/>
              </w:rPr>
            </w:pPr>
          </w:p>
        </w:tc>
        <w:tc>
          <w:tcPr>
            <w:tcW w:w="3054" w:type="dxa"/>
            <w:vAlign w:val="center"/>
          </w:tcPr>
          <w:p>
            <w:pPr>
              <w:spacing w:line="360" w:lineRule="auto"/>
              <w:rPr>
                <w:rFonts w:hint="default" w:asciiTheme="minorEastAsia" w:hAnsiTheme="minorEastAsia" w:eastAsiaTheme="minorEastAsia"/>
                <w:sz w:val="24"/>
                <w:szCs w:val="24"/>
              </w:rPr>
            </w:pPr>
          </w:p>
        </w:tc>
        <w:tc>
          <w:tcPr>
            <w:tcW w:w="825" w:type="dxa"/>
            <w:vAlign w:val="center"/>
          </w:tcPr>
          <w:p>
            <w:pPr>
              <w:spacing w:line="360" w:lineRule="auto"/>
              <w:rPr>
                <w:rFonts w:hint="default" w:asciiTheme="minorEastAsia" w:hAnsiTheme="minorEastAsia" w:eastAsiaTheme="minorEastAsia"/>
                <w:sz w:val="24"/>
                <w:szCs w:val="24"/>
              </w:rPr>
            </w:pP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546" w:type="dxa"/>
            <w:gridSpan w:val="3"/>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125" w:type="dxa"/>
            <w:vAlign w:val="center"/>
          </w:tcPr>
          <w:p>
            <w:pPr>
              <w:spacing w:line="360" w:lineRule="auto"/>
              <w:rPr>
                <w:rFonts w:hint="default" w:asciiTheme="minorEastAsia" w:hAnsiTheme="minorEastAsia" w:eastAsiaTheme="minorEastAsia"/>
                <w:sz w:val="24"/>
                <w:szCs w:val="24"/>
              </w:rPr>
            </w:pPr>
          </w:p>
        </w:tc>
        <w:tc>
          <w:tcPr>
            <w:tcW w:w="1238" w:type="dxa"/>
            <w:vAlign w:val="center"/>
          </w:tcPr>
          <w:p>
            <w:pPr>
              <w:spacing w:line="360" w:lineRule="auto"/>
              <w:rPr>
                <w:rFonts w:hint="default" w:asciiTheme="minorEastAsia" w:hAnsiTheme="minorEastAsia" w:eastAsiaTheme="minorEastAsia"/>
                <w:sz w:val="24"/>
                <w:szCs w:val="24"/>
              </w:rPr>
            </w:pPr>
          </w:p>
        </w:tc>
        <w:tc>
          <w:tcPr>
            <w:tcW w:w="1444" w:type="dxa"/>
            <w:vAlign w:val="center"/>
          </w:tcPr>
          <w:p>
            <w:pPr>
              <w:spacing w:line="360" w:lineRule="auto"/>
              <w:rPr>
                <w:rFonts w:hint="default" w:asciiTheme="minorEastAsia" w:hAnsiTheme="minorEastAsia" w:eastAsiaTheme="minorEastAsia"/>
                <w:sz w:val="24"/>
                <w:szCs w:val="24"/>
              </w:rPr>
            </w:pPr>
          </w:p>
        </w:tc>
        <w:tc>
          <w:tcPr>
            <w:tcW w:w="720" w:type="dxa"/>
            <w:vAlign w:val="center"/>
          </w:tcPr>
          <w:p>
            <w:pPr>
              <w:spacing w:line="360" w:lineRule="auto"/>
              <w:rPr>
                <w:rFonts w:hint="default"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11-2：工程设备暂估价表</w:t>
      </w:r>
    </w:p>
    <w:tbl>
      <w:tblPr>
        <w:tblStyle w:val="22"/>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984"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851"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774"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352"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单价（元）</w:t>
            </w:r>
          </w:p>
        </w:tc>
        <w:tc>
          <w:tcPr>
            <w:tcW w:w="1418"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合价（元）</w:t>
            </w:r>
          </w:p>
        </w:tc>
        <w:tc>
          <w:tcPr>
            <w:tcW w:w="1701"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spacing w:line="360" w:lineRule="auto"/>
              <w:rPr>
                <w:rFonts w:hint="default" w:asciiTheme="minorEastAsia" w:hAnsiTheme="minorEastAsia" w:eastAsiaTheme="minorEastAsia"/>
                <w:sz w:val="24"/>
                <w:szCs w:val="24"/>
              </w:rPr>
            </w:pPr>
          </w:p>
        </w:tc>
        <w:tc>
          <w:tcPr>
            <w:tcW w:w="1984" w:type="dxa"/>
            <w:tcBorders>
              <w:top w:val="double" w:color="auto" w:sz="6" w:space="0"/>
              <w:bottom w:val="single" w:color="auto" w:sz="6" w:space="0"/>
            </w:tcBorders>
          </w:tcPr>
          <w:p>
            <w:pPr>
              <w:spacing w:line="360" w:lineRule="auto"/>
              <w:rPr>
                <w:rFonts w:hint="default" w:asciiTheme="minorEastAsia" w:hAnsiTheme="minorEastAsia" w:eastAsiaTheme="minorEastAsia"/>
                <w:sz w:val="24"/>
                <w:szCs w:val="24"/>
              </w:rPr>
            </w:pPr>
          </w:p>
        </w:tc>
        <w:tc>
          <w:tcPr>
            <w:tcW w:w="851" w:type="dxa"/>
            <w:tcBorders>
              <w:top w:val="double" w:color="auto" w:sz="6" w:space="0"/>
              <w:bottom w:val="single" w:color="auto" w:sz="6" w:space="0"/>
            </w:tcBorders>
          </w:tcPr>
          <w:p>
            <w:pPr>
              <w:spacing w:line="360" w:lineRule="auto"/>
              <w:rPr>
                <w:rFonts w:hint="default" w:asciiTheme="minorEastAsia" w:hAnsiTheme="minorEastAsia" w:eastAsiaTheme="minorEastAsia"/>
                <w:sz w:val="24"/>
                <w:szCs w:val="24"/>
              </w:rPr>
            </w:pPr>
          </w:p>
        </w:tc>
        <w:tc>
          <w:tcPr>
            <w:tcW w:w="774" w:type="dxa"/>
            <w:tcBorders>
              <w:top w:val="double" w:color="auto" w:sz="6" w:space="0"/>
              <w:bottom w:val="single" w:color="auto" w:sz="6" w:space="0"/>
            </w:tcBorders>
          </w:tcPr>
          <w:p>
            <w:pPr>
              <w:spacing w:line="360" w:lineRule="auto"/>
              <w:rPr>
                <w:rFonts w:hint="default" w:asciiTheme="minorEastAsia" w:hAnsiTheme="minorEastAsia" w:eastAsiaTheme="minorEastAsia"/>
                <w:sz w:val="24"/>
                <w:szCs w:val="24"/>
              </w:rPr>
            </w:pPr>
          </w:p>
        </w:tc>
        <w:tc>
          <w:tcPr>
            <w:tcW w:w="1352" w:type="dxa"/>
            <w:tcBorders>
              <w:top w:val="double" w:color="auto" w:sz="6" w:space="0"/>
              <w:bottom w:val="single" w:color="auto" w:sz="6" w:space="0"/>
            </w:tcBorders>
          </w:tcPr>
          <w:p>
            <w:pPr>
              <w:spacing w:line="360" w:lineRule="auto"/>
              <w:rPr>
                <w:rFonts w:hint="default" w:asciiTheme="minorEastAsia" w:hAnsiTheme="minorEastAsia" w:eastAsiaTheme="minorEastAsia"/>
                <w:sz w:val="24"/>
                <w:szCs w:val="24"/>
              </w:rPr>
            </w:pPr>
          </w:p>
        </w:tc>
        <w:tc>
          <w:tcPr>
            <w:tcW w:w="1418" w:type="dxa"/>
            <w:tcBorders>
              <w:top w:val="double" w:color="auto" w:sz="6" w:space="0"/>
              <w:bottom w:val="single" w:color="auto" w:sz="6" w:space="0"/>
            </w:tcBorders>
          </w:tcPr>
          <w:p>
            <w:pPr>
              <w:spacing w:line="360" w:lineRule="auto"/>
              <w:rPr>
                <w:rFonts w:hint="default" w:asciiTheme="minorEastAsia" w:hAnsiTheme="minorEastAsia" w:eastAsiaTheme="minorEastAsia"/>
                <w:sz w:val="24"/>
                <w:szCs w:val="24"/>
              </w:rPr>
            </w:pPr>
          </w:p>
        </w:tc>
        <w:tc>
          <w:tcPr>
            <w:tcW w:w="1701" w:type="dxa"/>
            <w:tcBorders>
              <w:top w:val="double" w:color="auto" w:sz="6" w:space="0"/>
              <w:bottom w:val="single" w:color="auto" w:sz="6" w:space="0"/>
            </w:tcBorders>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spacing w:line="360" w:lineRule="auto"/>
              <w:rPr>
                <w:rFonts w:hint="default" w:asciiTheme="minorEastAsia" w:hAnsiTheme="minorEastAsia" w:eastAsiaTheme="minorEastAsia"/>
                <w:sz w:val="24"/>
                <w:szCs w:val="24"/>
              </w:rPr>
            </w:pPr>
          </w:p>
        </w:tc>
        <w:tc>
          <w:tcPr>
            <w:tcW w:w="1984" w:type="dxa"/>
            <w:tcBorders>
              <w:top w:val="nil"/>
            </w:tcBorders>
          </w:tcPr>
          <w:p>
            <w:pPr>
              <w:spacing w:line="360" w:lineRule="auto"/>
              <w:rPr>
                <w:rFonts w:hint="default" w:asciiTheme="minorEastAsia" w:hAnsiTheme="minorEastAsia" w:eastAsiaTheme="minorEastAsia"/>
                <w:sz w:val="24"/>
                <w:szCs w:val="24"/>
              </w:rPr>
            </w:pPr>
          </w:p>
        </w:tc>
        <w:tc>
          <w:tcPr>
            <w:tcW w:w="851" w:type="dxa"/>
            <w:tcBorders>
              <w:top w:val="nil"/>
            </w:tcBorders>
          </w:tcPr>
          <w:p>
            <w:pPr>
              <w:spacing w:line="360" w:lineRule="auto"/>
              <w:rPr>
                <w:rFonts w:hint="default" w:asciiTheme="minorEastAsia" w:hAnsiTheme="minorEastAsia" w:eastAsiaTheme="minorEastAsia"/>
                <w:sz w:val="24"/>
                <w:szCs w:val="24"/>
              </w:rPr>
            </w:pPr>
          </w:p>
        </w:tc>
        <w:tc>
          <w:tcPr>
            <w:tcW w:w="774" w:type="dxa"/>
            <w:tcBorders>
              <w:top w:val="nil"/>
            </w:tcBorders>
          </w:tcPr>
          <w:p>
            <w:pPr>
              <w:spacing w:line="360" w:lineRule="auto"/>
              <w:rPr>
                <w:rFonts w:hint="default" w:asciiTheme="minorEastAsia" w:hAnsiTheme="minorEastAsia" w:eastAsiaTheme="minorEastAsia"/>
                <w:sz w:val="24"/>
                <w:szCs w:val="24"/>
              </w:rPr>
            </w:pPr>
          </w:p>
        </w:tc>
        <w:tc>
          <w:tcPr>
            <w:tcW w:w="1352" w:type="dxa"/>
            <w:tcBorders>
              <w:top w:val="nil"/>
            </w:tcBorders>
          </w:tcPr>
          <w:p>
            <w:pPr>
              <w:spacing w:line="360" w:lineRule="auto"/>
              <w:rPr>
                <w:rFonts w:hint="default" w:asciiTheme="minorEastAsia" w:hAnsiTheme="minorEastAsia" w:eastAsiaTheme="minorEastAsia"/>
                <w:sz w:val="24"/>
                <w:szCs w:val="24"/>
              </w:rPr>
            </w:pPr>
          </w:p>
        </w:tc>
        <w:tc>
          <w:tcPr>
            <w:tcW w:w="1418" w:type="dxa"/>
            <w:tcBorders>
              <w:top w:val="nil"/>
            </w:tcBorders>
          </w:tcPr>
          <w:p>
            <w:pPr>
              <w:spacing w:line="360" w:lineRule="auto"/>
              <w:rPr>
                <w:rFonts w:hint="default" w:asciiTheme="minorEastAsia" w:hAnsiTheme="minorEastAsia" w:eastAsiaTheme="minorEastAsia"/>
                <w:sz w:val="24"/>
                <w:szCs w:val="24"/>
              </w:rPr>
            </w:pPr>
          </w:p>
        </w:tc>
        <w:tc>
          <w:tcPr>
            <w:tcW w:w="1701" w:type="dxa"/>
            <w:tcBorders>
              <w:top w:val="nil"/>
            </w:tcBorders>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spacing w:line="360" w:lineRule="auto"/>
              <w:rPr>
                <w:rFonts w:hint="default" w:asciiTheme="minorEastAsia" w:hAnsiTheme="minorEastAsia" w:eastAsiaTheme="minorEastAsia"/>
                <w:sz w:val="24"/>
                <w:szCs w:val="24"/>
              </w:rPr>
            </w:pPr>
          </w:p>
        </w:tc>
        <w:tc>
          <w:tcPr>
            <w:tcW w:w="1984" w:type="dxa"/>
          </w:tcPr>
          <w:p>
            <w:pPr>
              <w:spacing w:line="360" w:lineRule="auto"/>
              <w:rPr>
                <w:rFonts w:hint="default" w:asciiTheme="minorEastAsia" w:hAnsiTheme="minorEastAsia" w:eastAsiaTheme="minorEastAsia"/>
                <w:sz w:val="24"/>
                <w:szCs w:val="24"/>
              </w:rPr>
            </w:pPr>
          </w:p>
        </w:tc>
        <w:tc>
          <w:tcPr>
            <w:tcW w:w="851" w:type="dxa"/>
          </w:tcPr>
          <w:p>
            <w:pPr>
              <w:spacing w:line="360" w:lineRule="auto"/>
              <w:rPr>
                <w:rFonts w:hint="default" w:asciiTheme="minorEastAsia" w:hAnsiTheme="minorEastAsia" w:eastAsiaTheme="minorEastAsia"/>
                <w:sz w:val="24"/>
                <w:szCs w:val="24"/>
              </w:rPr>
            </w:pPr>
          </w:p>
        </w:tc>
        <w:tc>
          <w:tcPr>
            <w:tcW w:w="774" w:type="dxa"/>
          </w:tcPr>
          <w:p>
            <w:pPr>
              <w:spacing w:line="360" w:lineRule="auto"/>
              <w:rPr>
                <w:rFonts w:hint="default" w:asciiTheme="minorEastAsia" w:hAnsiTheme="minorEastAsia" w:eastAsiaTheme="minorEastAsia"/>
                <w:sz w:val="24"/>
                <w:szCs w:val="24"/>
              </w:rPr>
            </w:pPr>
          </w:p>
        </w:tc>
        <w:tc>
          <w:tcPr>
            <w:tcW w:w="1352" w:type="dxa"/>
          </w:tcPr>
          <w:p>
            <w:pPr>
              <w:spacing w:line="360" w:lineRule="auto"/>
              <w:rPr>
                <w:rFonts w:hint="default" w:asciiTheme="minorEastAsia" w:hAnsiTheme="minorEastAsia" w:eastAsiaTheme="minorEastAsia"/>
                <w:sz w:val="24"/>
                <w:szCs w:val="24"/>
              </w:rPr>
            </w:pPr>
          </w:p>
        </w:tc>
        <w:tc>
          <w:tcPr>
            <w:tcW w:w="1418" w:type="dxa"/>
          </w:tcPr>
          <w:p>
            <w:pPr>
              <w:spacing w:line="360" w:lineRule="auto"/>
              <w:rPr>
                <w:rFonts w:hint="default" w:asciiTheme="minorEastAsia" w:hAnsiTheme="minorEastAsia" w:eastAsiaTheme="minorEastAsia"/>
                <w:sz w:val="24"/>
                <w:szCs w:val="24"/>
              </w:rPr>
            </w:pPr>
          </w:p>
        </w:tc>
        <w:tc>
          <w:tcPr>
            <w:tcW w:w="1701" w:type="dxa"/>
          </w:tcPr>
          <w:p>
            <w:pPr>
              <w:spacing w:line="360" w:lineRule="auto"/>
              <w:rPr>
                <w:rFonts w:hint="default"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sz w:val="24"/>
          <w:szCs w:val="24"/>
        </w:rPr>
        <w:t>11-3：专业工程暂估价表</w:t>
      </w:r>
    </w:p>
    <w:tbl>
      <w:tblPr>
        <w:tblStyle w:val="22"/>
        <w:tblW w:w="9679"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7"/>
        <w:gridCol w:w="1879"/>
        <w:gridCol w:w="1284"/>
        <w:gridCol w:w="1069"/>
        <w:gridCol w:w="1575"/>
        <w:gridCol w:w="1631"/>
        <w:gridCol w:w="13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79"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1284"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单位</w:t>
            </w:r>
          </w:p>
        </w:tc>
        <w:tc>
          <w:tcPr>
            <w:tcW w:w="1069"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1575"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单价（元）</w:t>
            </w:r>
          </w:p>
        </w:tc>
        <w:tc>
          <w:tcPr>
            <w:tcW w:w="1631"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合价（元）</w:t>
            </w:r>
          </w:p>
        </w:tc>
        <w:tc>
          <w:tcPr>
            <w:tcW w:w="1364" w:type="dxa"/>
            <w:tcBorders>
              <w:top w:val="single" w:color="auto" w:sz="12" w:space="0"/>
              <w:bottom w:val="double" w:color="auto" w:sz="6" w:space="0"/>
            </w:tcBorders>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79" w:type="dxa"/>
            <w:shd w:val="clear" w:color="FFFFFF" w:fill="FFFFFF"/>
            <w:vAlign w:val="center"/>
          </w:tcPr>
          <w:p>
            <w:pPr>
              <w:spacing w:line="360" w:lineRule="auto"/>
              <w:rPr>
                <w:rFonts w:hint="default" w:asciiTheme="minorEastAsia" w:hAnsiTheme="minorEastAsia" w:eastAsiaTheme="minorEastAsia"/>
                <w:sz w:val="24"/>
                <w:szCs w:val="24"/>
              </w:rPr>
            </w:pPr>
          </w:p>
        </w:tc>
        <w:tc>
          <w:tcPr>
            <w:tcW w:w="1284" w:type="dxa"/>
            <w:vAlign w:val="center"/>
          </w:tcPr>
          <w:p>
            <w:pPr>
              <w:spacing w:line="360" w:lineRule="auto"/>
              <w:rPr>
                <w:rFonts w:hint="default" w:asciiTheme="minorEastAsia" w:hAnsiTheme="minorEastAsia" w:eastAsiaTheme="minorEastAsia"/>
                <w:sz w:val="24"/>
                <w:szCs w:val="24"/>
              </w:rPr>
            </w:pPr>
          </w:p>
        </w:tc>
        <w:tc>
          <w:tcPr>
            <w:tcW w:w="1069" w:type="dxa"/>
            <w:vAlign w:val="center"/>
          </w:tcPr>
          <w:p>
            <w:pPr>
              <w:spacing w:line="360" w:lineRule="auto"/>
              <w:rPr>
                <w:rFonts w:hint="default" w:asciiTheme="minorEastAsia" w:hAnsiTheme="minorEastAsia" w:eastAsiaTheme="minorEastAsia"/>
                <w:sz w:val="24"/>
                <w:szCs w:val="24"/>
              </w:rPr>
            </w:pPr>
          </w:p>
        </w:tc>
        <w:tc>
          <w:tcPr>
            <w:tcW w:w="1575" w:type="dxa"/>
            <w:vAlign w:val="center"/>
          </w:tcPr>
          <w:p>
            <w:pPr>
              <w:spacing w:line="360" w:lineRule="auto"/>
              <w:rPr>
                <w:rFonts w:hint="default" w:asciiTheme="minorEastAsia" w:hAnsiTheme="minorEastAsia" w:eastAsiaTheme="minorEastAsia"/>
                <w:sz w:val="24"/>
                <w:szCs w:val="24"/>
              </w:rPr>
            </w:pPr>
          </w:p>
        </w:tc>
        <w:tc>
          <w:tcPr>
            <w:tcW w:w="1631" w:type="dxa"/>
            <w:vAlign w:val="center"/>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79"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284" w:type="dxa"/>
            <w:vAlign w:val="center"/>
          </w:tcPr>
          <w:p>
            <w:pPr>
              <w:spacing w:line="360" w:lineRule="auto"/>
              <w:rPr>
                <w:rFonts w:hint="eastAsia" w:asciiTheme="minorEastAsia" w:hAnsiTheme="minorEastAsia" w:eastAsiaTheme="minorEastAsia"/>
                <w:sz w:val="24"/>
                <w:szCs w:val="24"/>
              </w:rPr>
            </w:pPr>
          </w:p>
        </w:tc>
        <w:tc>
          <w:tcPr>
            <w:tcW w:w="1069" w:type="dxa"/>
            <w:vAlign w:val="center"/>
          </w:tcPr>
          <w:p>
            <w:pPr>
              <w:spacing w:line="360" w:lineRule="auto"/>
              <w:rPr>
                <w:rFonts w:hint="default" w:asciiTheme="minorEastAsia" w:hAnsiTheme="minorEastAsia" w:eastAsiaTheme="minorEastAsia"/>
                <w:sz w:val="24"/>
                <w:szCs w:val="24"/>
              </w:rPr>
            </w:pPr>
          </w:p>
        </w:tc>
        <w:tc>
          <w:tcPr>
            <w:tcW w:w="1575" w:type="dxa"/>
            <w:vAlign w:val="center"/>
          </w:tcPr>
          <w:p>
            <w:pPr>
              <w:spacing w:line="360" w:lineRule="auto"/>
              <w:rPr>
                <w:rFonts w:hint="default" w:asciiTheme="minorEastAsia" w:hAnsiTheme="minorEastAsia" w:eastAsiaTheme="minorEastAsia"/>
                <w:sz w:val="24"/>
                <w:szCs w:val="24"/>
              </w:rPr>
            </w:pPr>
          </w:p>
        </w:tc>
        <w:tc>
          <w:tcPr>
            <w:tcW w:w="1631" w:type="dxa"/>
            <w:vAlign w:val="center"/>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79"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284" w:type="dxa"/>
            <w:vAlign w:val="center"/>
          </w:tcPr>
          <w:p>
            <w:pPr>
              <w:spacing w:line="360" w:lineRule="auto"/>
              <w:rPr>
                <w:rFonts w:hint="eastAsia" w:asciiTheme="minorEastAsia" w:hAnsiTheme="minorEastAsia" w:eastAsiaTheme="minorEastAsia"/>
                <w:sz w:val="24"/>
                <w:szCs w:val="24"/>
              </w:rPr>
            </w:pPr>
          </w:p>
        </w:tc>
        <w:tc>
          <w:tcPr>
            <w:tcW w:w="1069" w:type="dxa"/>
            <w:vAlign w:val="center"/>
          </w:tcPr>
          <w:p>
            <w:pPr>
              <w:spacing w:line="360" w:lineRule="auto"/>
              <w:rPr>
                <w:rFonts w:hint="default" w:asciiTheme="minorEastAsia" w:hAnsiTheme="minorEastAsia" w:eastAsiaTheme="minorEastAsia"/>
                <w:sz w:val="24"/>
                <w:szCs w:val="24"/>
              </w:rPr>
            </w:pPr>
          </w:p>
        </w:tc>
        <w:tc>
          <w:tcPr>
            <w:tcW w:w="1575" w:type="dxa"/>
            <w:vAlign w:val="center"/>
          </w:tcPr>
          <w:p>
            <w:pPr>
              <w:spacing w:line="360" w:lineRule="auto"/>
              <w:rPr>
                <w:rFonts w:hint="default" w:asciiTheme="minorEastAsia" w:hAnsiTheme="minorEastAsia" w:eastAsiaTheme="minorEastAsia"/>
                <w:sz w:val="24"/>
                <w:szCs w:val="24"/>
              </w:rPr>
            </w:pPr>
          </w:p>
        </w:tc>
        <w:tc>
          <w:tcPr>
            <w:tcW w:w="1631" w:type="dxa"/>
            <w:vAlign w:val="center"/>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79"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284" w:type="dxa"/>
            <w:vAlign w:val="center"/>
          </w:tcPr>
          <w:p>
            <w:pPr>
              <w:spacing w:line="360" w:lineRule="auto"/>
              <w:rPr>
                <w:rFonts w:hint="eastAsia" w:asciiTheme="minorEastAsia" w:hAnsiTheme="minorEastAsia" w:eastAsiaTheme="minorEastAsia"/>
                <w:sz w:val="24"/>
                <w:szCs w:val="24"/>
              </w:rPr>
            </w:pPr>
          </w:p>
        </w:tc>
        <w:tc>
          <w:tcPr>
            <w:tcW w:w="1069" w:type="dxa"/>
            <w:vAlign w:val="center"/>
          </w:tcPr>
          <w:p>
            <w:pPr>
              <w:spacing w:line="360" w:lineRule="auto"/>
              <w:rPr>
                <w:rFonts w:hint="default" w:asciiTheme="minorEastAsia" w:hAnsiTheme="minorEastAsia" w:eastAsiaTheme="minorEastAsia"/>
                <w:sz w:val="24"/>
                <w:szCs w:val="24"/>
              </w:rPr>
            </w:pPr>
          </w:p>
        </w:tc>
        <w:tc>
          <w:tcPr>
            <w:tcW w:w="1575" w:type="dxa"/>
            <w:vAlign w:val="center"/>
          </w:tcPr>
          <w:p>
            <w:pPr>
              <w:spacing w:line="360" w:lineRule="auto"/>
              <w:rPr>
                <w:rFonts w:hint="default" w:asciiTheme="minorEastAsia" w:hAnsiTheme="minorEastAsia" w:eastAsiaTheme="minorEastAsia"/>
                <w:sz w:val="24"/>
                <w:szCs w:val="24"/>
              </w:rPr>
            </w:pPr>
          </w:p>
        </w:tc>
        <w:tc>
          <w:tcPr>
            <w:tcW w:w="1631" w:type="dxa"/>
            <w:vAlign w:val="center"/>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879" w:type="dxa"/>
            <w:shd w:val="clear" w:color="FFFFFF" w:fill="FFFFFF"/>
            <w:vAlign w:val="center"/>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tc>
        <w:tc>
          <w:tcPr>
            <w:tcW w:w="1284" w:type="dxa"/>
            <w:vAlign w:val="center"/>
          </w:tcPr>
          <w:p>
            <w:pPr>
              <w:spacing w:line="360" w:lineRule="auto"/>
              <w:rPr>
                <w:rFonts w:hint="eastAsia" w:asciiTheme="minorEastAsia" w:hAnsiTheme="minorEastAsia" w:eastAsiaTheme="minorEastAsia"/>
                <w:sz w:val="24"/>
                <w:szCs w:val="24"/>
              </w:rPr>
            </w:pPr>
          </w:p>
        </w:tc>
        <w:tc>
          <w:tcPr>
            <w:tcW w:w="1069" w:type="dxa"/>
            <w:vAlign w:val="center"/>
          </w:tcPr>
          <w:p>
            <w:pPr>
              <w:spacing w:line="360" w:lineRule="auto"/>
              <w:rPr>
                <w:rFonts w:hint="default" w:asciiTheme="minorEastAsia" w:hAnsiTheme="minorEastAsia" w:eastAsiaTheme="minorEastAsia"/>
                <w:sz w:val="24"/>
                <w:szCs w:val="24"/>
              </w:rPr>
            </w:pPr>
          </w:p>
        </w:tc>
        <w:tc>
          <w:tcPr>
            <w:tcW w:w="1575" w:type="dxa"/>
            <w:vAlign w:val="center"/>
          </w:tcPr>
          <w:p>
            <w:pPr>
              <w:spacing w:line="360" w:lineRule="auto"/>
              <w:rPr>
                <w:rFonts w:hint="default" w:asciiTheme="minorEastAsia" w:hAnsiTheme="minorEastAsia" w:eastAsiaTheme="minorEastAsia"/>
                <w:sz w:val="24"/>
                <w:szCs w:val="24"/>
              </w:rPr>
            </w:pPr>
          </w:p>
        </w:tc>
        <w:tc>
          <w:tcPr>
            <w:tcW w:w="1631" w:type="dxa"/>
            <w:vAlign w:val="center"/>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7" w:type="dxa"/>
          </w:tcPr>
          <w:p>
            <w:pPr>
              <w:spacing w:line="360" w:lineRule="auto"/>
              <w:rPr>
                <w:rFonts w:hint="default" w:asciiTheme="minorEastAsia" w:hAnsiTheme="minorEastAsia" w:eastAsiaTheme="minorEastAsia"/>
                <w:sz w:val="24"/>
                <w:szCs w:val="24"/>
              </w:rPr>
            </w:pPr>
          </w:p>
        </w:tc>
        <w:tc>
          <w:tcPr>
            <w:tcW w:w="1879" w:type="dxa"/>
          </w:tcPr>
          <w:p>
            <w:pPr>
              <w:spacing w:line="360" w:lineRule="auto"/>
              <w:rPr>
                <w:rFonts w:hint="default" w:asciiTheme="minorEastAsia" w:hAnsiTheme="minorEastAsia" w:eastAsiaTheme="minorEastAsia"/>
                <w:sz w:val="24"/>
                <w:szCs w:val="24"/>
              </w:rPr>
            </w:pPr>
          </w:p>
        </w:tc>
        <w:tc>
          <w:tcPr>
            <w:tcW w:w="1284" w:type="dxa"/>
          </w:tcPr>
          <w:p>
            <w:pPr>
              <w:spacing w:line="360" w:lineRule="auto"/>
              <w:rPr>
                <w:rFonts w:hint="default" w:asciiTheme="minorEastAsia" w:hAnsiTheme="minorEastAsia" w:eastAsiaTheme="minorEastAsia"/>
                <w:sz w:val="24"/>
                <w:szCs w:val="24"/>
              </w:rPr>
            </w:pP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040" w:type="dxa"/>
            <w:gridSpan w:val="3"/>
          </w:tcPr>
          <w:p>
            <w:pPr>
              <w:spacing w:line="360" w:lineRule="auto"/>
              <w:rPr>
                <w:rFonts w:hint="default" w:asciiTheme="minorEastAsia" w:hAnsiTheme="minorEastAsia" w:eastAsiaTheme="minorEastAsia"/>
                <w:sz w:val="24"/>
                <w:szCs w:val="24"/>
              </w:rPr>
            </w:pPr>
            <w:r>
              <w:rPr>
                <w:rFonts w:hint="eastAsia" w:asciiTheme="minorEastAsia" w:hAnsiTheme="minorEastAsia" w:eastAsiaTheme="minorEastAsia"/>
                <w:sz w:val="24"/>
                <w:szCs w:val="24"/>
              </w:rPr>
              <w:t>合计</w:t>
            </w:r>
          </w:p>
        </w:tc>
        <w:tc>
          <w:tcPr>
            <w:tcW w:w="1069" w:type="dxa"/>
          </w:tcPr>
          <w:p>
            <w:pPr>
              <w:spacing w:line="360" w:lineRule="auto"/>
              <w:rPr>
                <w:rFonts w:hint="default" w:asciiTheme="minorEastAsia" w:hAnsiTheme="minorEastAsia" w:eastAsiaTheme="minorEastAsia"/>
                <w:sz w:val="24"/>
                <w:szCs w:val="24"/>
              </w:rPr>
            </w:pPr>
          </w:p>
        </w:tc>
        <w:tc>
          <w:tcPr>
            <w:tcW w:w="1575" w:type="dxa"/>
          </w:tcPr>
          <w:p>
            <w:pPr>
              <w:spacing w:line="360" w:lineRule="auto"/>
              <w:rPr>
                <w:rFonts w:hint="default" w:asciiTheme="minorEastAsia" w:hAnsiTheme="minorEastAsia" w:eastAsiaTheme="minorEastAsia"/>
                <w:sz w:val="24"/>
                <w:szCs w:val="24"/>
              </w:rPr>
            </w:pPr>
          </w:p>
        </w:tc>
        <w:tc>
          <w:tcPr>
            <w:tcW w:w="1631" w:type="dxa"/>
          </w:tcPr>
          <w:p>
            <w:pPr>
              <w:spacing w:line="360" w:lineRule="auto"/>
              <w:rPr>
                <w:rFonts w:hint="default" w:asciiTheme="minorEastAsia" w:hAnsiTheme="minorEastAsia" w:eastAsiaTheme="minorEastAsia"/>
                <w:sz w:val="24"/>
                <w:szCs w:val="24"/>
              </w:rPr>
            </w:pPr>
          </w:p>
        </w:tc>
        <w:tc>
          <w:tcPr>
            <w:tcW w:w="1364" w:type="dxa"/>
          </w:tcPr>
          <w:p>
            <w:pPr>
              <w:spacing w:line="360" w:lineRule="auto"/>
              <w:rPr>
                <w:rFonts w:hint="default" w:asciiTheme="minorEastAsia" w:hAnsiTheme="minorEastAsia" w:eastAsiaTheme="minorEastAsia"/>
                <w:sz w:val="24"/>
                <w:szCs w:val="24"/>
              </w:rPr>
            </w:pPr>
          </w:p>
        </w:tc>
      </w:tr>
    </w:tbl>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附件12：</w:t>
      </w:r>
    </w:p>
    <w:p>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建设工程廉政责任书</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发包人：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承包人：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一、双方的责任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1.1应严格遵守国家关于建设工程的有关法律、法规，相关政策，以及廉政建设的各项规定。</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1.2严格执行建设工程合同文件，自觉按合同办事。</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1.3各项活动必须坚持公开、公平、公正、诚信、透明的原则(除法律法规另有规定者外)，不得为获取不正当的利益，损害国家、集体和对方利益，不得违反建设工程管理的规章制度。</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1.4发现对方在业务活动中有违规、违纪、违法行为的，应及时提醒对方，情节严重的，应向其上级主管部门或纪检监察、司法等有关机关举报。</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二、发包人责任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发包人的领导和从事该建设工程项目的工作人员，在工程建设的事前、事中、事后应遵守以下规定：</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2.1不得向承包人和相关单位索要或接受回扣、礼金、有价证券、贵重物品和好处费、感谢费等。</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2.2不得在承包人和相关单位报销任何应由发包人或个人支付的费用。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2.3不得要求、暗示或接受承包人和相关单位为个人装修住房、婚丧嫁娶、配偶子女的工作安排以及出国(境)、旅游等提供方便。</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2.4不得参加有可能影响公正执行公务的承包人和相关单位的宴请、健身、娱乐等活动。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2.5不得向承包人和相关单位介绍或为配偶、子女、亲属参与同发包人工程建设管理合同有关的业务活动；不得以任何理由要求承包人和相关单位使用某种产品、材料和设备。</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三、承包人责任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应与发包人保持正常的业务交往，按照有关法律法规和程序开展业务工作，严格执行工程建设的有关方针、政策，执行工程建设强制性标准，并遵守以下规定：</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3.1不得以任何理由向发包人及其工作人员索要、接受或赠送礼金、有价证券、贵重物品及回扣、好处费、感谢费等。</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3.2不得以任何理由为发包人和相关单位报销应由对方或个人支付的费用。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3.3不得接受或暗示为发包人、相关单位或个人装修住房、婚丧嫁娶、配偶子女的工作安排以及出国(境)、旅游等提供方便。</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3.4不得以任何理由为发包人、相关单位或个人组织有可能影响公正执行公务的宴请、健身、娱乐等活动。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四、违约责任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4.1发包人工作人员有违反本责任书第一、二条责任行为的，依据有关法律、法规给予处理；涉嫌犯罪的，移交司法机关追究刑事责任；给承包人单位造成经济损失的，应予以赔偿。</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4.2承包人工作人员有违反本责任书第一、三条责任行为的，依据有关法律法规处理；涉嫌犯罪的，移交司法机关追究刑事责任；给发包人单位造成经济损失的，应予以赔偿。</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4.3本责任书作为建设工程合同的组成部分，与建设工程合同具有同等法律效力。经双方签署后立即生效。</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五、责任书有效期</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本责任书有效期为双方签署之日起至该工程项目竣工验收合格时止。</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六、责任书份数</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本责任书一式二份，发包人承包人各执一份，具有同等效力。</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发包人： (盖章)                 承包人：(盖章)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法定地址：                      法定地址：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法定代表人：（盖章）            法定代表人：（盖章）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电话：                          电话：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传真：                          传真：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电子邮箱：                      电子邮箱：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邮政编码：                      邮政编码：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br w:type="page"/>
      </w:r>
      <w:r>
        <w:rPr>
          <w:rFonts w:hint="eastAsia" w:asciiTheme="minorEastAsia" w:hAnsiTheme="minorEastAsia" w:eastAsiaTheme="minorEastAsia"/>
          <w:sz w:val="24"/>
          <w:szCs w:val="24"/>
        </w:rPr>
        <w:t>附件13：</w:t>
      </w:r>
    </w:p>
    <w:p>
      <w:pPr>
        <w:spacing w:line="360" w:lineRule="auto"/>
        <w:jc w:val="center"/>
        <w:rPr>
          <w:rFonts w:hint="eastAsia" w:asciiTheme="minorEastAsia" w:hAnsiTheme="minorEastAsia" w:eastAsiaTheme="minorEastAsia"/>
          <w:sz w:val="24"/>
          <w:szCs w:val="24"/>
        </w:rPr>
      </w:pPr>
      <w:bookmarkStart w:id="603" w:name="_Toc492465348"/>
      <w:r>
        <w:rPr>
          <w:rFonts w:hint="eastAsia" w:asciiTheme="minorEastAsia" w:hAnsiTheme="minorEastAsia" w:eastAsiaTheme="minorEastAsia"/>
          <w:sz w:val="24"/>
          <w:szCs w:val="24"/>
        </w:rPr>
        <w:t>施工廉政</w:t>
      </w:r>
      <w:bookmarkStart w:id="604" w:name="top"/>
      <w:bookmarkEnd w:id="604"/>
      <w:r>
        <w:rPr>
          <w:rFonts w:hint="eastAsia" w:asciiTheme="minorEastAsia" w:hAnsiTheme="minorEastAsia" w:eastAsiaTheme="minorEastAsia"/>
          <w:sz w:val="24"/>
          <w:szCs w:val="24"/>
        </w:rPr>
        <w:t>合同</w:t>
      </w:r>
      <w:bookmarkEnd w:id="603"/>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建设单位:（以下简称甲方）</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施工单位: （以下简称乙方）</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项目名称：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为从源头上加强管理、堵塞漏洞、预防腐败，保证工程建设廉洁、高效、优质，根据中央、自治区、地区关于党风廉政建设的有关规定，甲、乙双方特订立此合同：</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第一条 甲、乙双方的义务：</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1、严格遵守国家有关法律法规以及关于工程建设管理的各项规定；</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2、严格执行双方签订的工程建设合同文件，自觉按合同办事；</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3、双方的业务活动坚持公开、公平、公正、诚信、透明的原则（除法律认定的商业秘密和合同文件另有规定之外），不得损害国家和集体利益，不得违反工程建设管理法律法规；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4、健全廉政制度，开展廉政教育，公布举报电话，监督并认真查处违法违纪行为；</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5、发现对方严重违反本协议义务条款的行为，有及时向对方上级机关或主管部门报告、申诉、建议处理的权利。</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第二条 甲方必须遵守的规定：</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1、不准索要或接受乙方的宴请、礼品、礼金、购物券、有价证券、各种回扣，以及高消费娱乐活动；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2、不准向乙方报销通讯费、房租费、差旅费、餐费、娱乐费、风景名胜游览费、个人学习费、技术服务咨询费等由甲方或个人支付的费用；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3、不准要求或者接受乙方为其住房装修、婚丧嫁娶活动、配偶子女的工作安排以及出国出境旅游等提供方便；</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4、不准让自己的配偶、子女、亲属介入乙方承担工程的施工或分包工程；</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5不准利用职务之便向乙方推销与工程有关的建筑材料、设备等，或利用工程变更等环节为乙方谋取非法利益；</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6、不准利用职务之便在工程款项的申报、支付程序上故意刁难乙方，为己谋取私利。</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第三条 乙方必须遵守的规定：</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1、不得向甲方及其工作人员行贿或馈赠礼品、有价证券、贵重物品；</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2、不得以任何名义为甲方及其工作人员报销应由甲方单位或个人支付的任何费用；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3、不得以任何理由安排甲方工作人员参加超标准宴请及娱乐活动；</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4、不得为甲方单位或个人购置通讯工具、办公用品等；</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5、不得与监理、设计单位相互串通，违反办事规程，损害甲方利益；</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6、不得以各种手段拉拢腐蚀甲方工作人员，或串通设计、监理等单位利用工程变更等环节谋取非法利益。</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第四条 违约责任：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1、甲方工作人员违反本合同第一、二条，按管理权限，依据有关规定，给予党纪、政纪或组织处理；涉嫌犯罪的，移交司法机关追究刑事责任；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乙方工作人员违反本协议第一、二条，按管理权限，依据有关规定，给予党纪、政纪或组织处理；给甲方单位造成经济损失的应予以赔偿；情节严重的，甲方通报给建设行政主管部门，建议给予相应的处罚；涉嫌犯罪的，移交司法机关追究刑事责任。</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第五条 本协议由甲乙双方负责执行，接受社会以及负责监督双方的纪检监察机关的监督。</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第六条 本协议有效期为签署之日起至该工程项目竣工，经审计机关审计结束，结算完毕止。</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第七条 本合同一式四份，甲乙双方各执两份。</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甲方单位（盖章）：                乙方单位（盖章）：</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法定代表人（盖章）：              法定代表人（盖章）：                </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项目负责人：                     项目负责人：</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地址：                           地  址：</w:t>
      </w:r>
    </w:p>
    <w:p>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电话：                           电  话：</w:t>
      </w:r>
    </w:p>
    <w:p>
      <w:pPr>
        <w:spacing w:line="360" w:lineRule="auto"/>
        <w:rPr>
          <w:rFonts w:hint="eastAsia" w:asciiTheme="minorEastAsia" w:hAnsiTheme="minorEastAsia" w:eastAsiaTheme="minorEastAsia"/>
          <w:sz w:val="24"/>
          <w:szCs w:val="24"/>
        </w:rPr>
        <w:sectPr>
          <w:footerReference r:id="rId13" w:type="first"/>
          <w:footerReference r:id="rId12" w:type="default"/>
          <w:pgSz w:w="11906" w:h="16838"/>
          <w:pgMar w:top="1418" w:right="1531" w:bottom="1418" w:left="1554" w:header="851" w:footer="992" w:gutter="0"/>
          <w:pgNumType w:fmt="decimal" w:start="60"/>
          <w:cols w:space="720" w:num="1"/>
          <w:titlePg/>
          <w:docGrid w:type="linesAndChars" w:linePitch="312" w:charSpace="0"/>
        </w:sectPr>
      </w:pPr>
      <w:r>
        <w:rPr>
          <w:rFonts w:hint="eastAsia" w:asciiTheme="minorEastAsia" w:hAnsiTheme="minorEastAsia" w:eastAsiaTheme="minorEastAsia"/>
          <w:sz w:val="24"/>
          <w:szCs w:val="24"/>
        </w:rPr>
        <w:t xml:space="preserve">年  月   日                      年  月  日 </w:t>
      </w:r>
    </w:p>
    <w:p>
      <w:pPr>
        <w:rPr>
          <w:rFonts w:ascii="宋体" w:hAnsi="宋体" w:cs="宋体"/>
          <w:szCs w:val="21"/>
        </w:rPr>
      </w:pPr>
      <w:r>
        <w:rPr>
          <w:rFonts w:hint="eastAsia" w:ascii="宋体" w:hAnsi="宋体" w:cs="宋体"/>
          <w:b/>
          <w:bCs/>
          <w:sz w:val="28"/>
          <w:szCs w:val="28"/>
        </w:rPr>
        <w:t>具体合同以最终签订为准</w:t>
      </w:r>
      <w:r>
        <w:rPr>
          <w:rFonts w:hint="eastAsia" w:ascii="宋体" w:hAnsi="宋体" w:cs="宋体"/>
          <w:szCs w:val="21"/>
        </w:rPr>
        <w:br w:type="page"/>
      </w:r>
    </w:p>
    <w:p>
      <w:pPr>
        <w:pStyle w:val="3"/>
        <w:spacing w:line="500" w:lineRule="exact"/>
        <w:jc w:val="center"/>
        <w:rPr>
          <w:rFonts w:ascii="宋体" w:hAnsi="宋体" w:cs="宋体"/>
          <w:bCs/>
          <w:kern w:val="2"/>
          <w:szCs w:val="32"/>
          <w:highlight w:val="yellow"/>
        </w:rPr>
      </w:pPr>
      <w:r>
        <w:rPr>
          <w:rFonts w:hint="eastAsia" w:ascii="宋体" w:hAnsi="宋体" w:cs="宋体"/>
          <w:bCs/>
          <w:kern w:val="2"/>
          <w:szCs w:val="32"/>
        </w:rPr>
        <w:t>第四部分 技术要求和技术规范</w:t>
      </w:r>
    </w:p>
    <w:p>
      <w:pPr>
        <w:pStyle w:val="3"/>
        <w:spacing w:line="500" w:lineRule="exact"/>
        <w:jc w:val="center"/>
        <w:rPr>
          <w:rFonts w:ascii="宋体" w:hAnsi="宋体" w:cs="宋体"/>
          <w:sz w:val="28"/>
          <w:szCs w:val="28"/>
          <w:highlight w:val="yellow"/>
        </w:rPr>
      </w:pPr>
    </w:p>
    <w:p>
      <w:pPr>
        <w:spacing w:line="360" w:lineRule="auto"/>
        <w:rPr>
          <w:rFonts w:ascii="宋体" w:hAnsi="宋体"/>
          <w:color w:val="FF0000"/>
          <w:kern w:val="0"/>
          <w:sz w:val="24"/>
          <w:szCs w:val="24"/>
        </w:rPr>
      </w:pPr>
      <w:r>
        <w:rPr>
          <w:rFonts w:hint="eastAsia" w:ascii="宋体" w:hAnsi="宋体"/>
          <w:b/>
          <w:kern w:val="0"/>
          <w:sz w:val="24"/>
          <w:szCs w:val="24"/>
        </w:rPr>
        <w:t>一、技术条件</w:t>
      </w:r>
      <w:r>
        <w:rPr>
          <w:rFonts w:hint="eastAsia" w:ascii="宋体" w:hAnsi="宋体"/>
          <w:b/>
          <w:kern w:val="0"/>
          <w:sz w:val="24"/>
          <w:szCs w:val="24"/>
        </w:rPr>
        <w:cr/>
      </w:r>
      <w:r>
        <w:rPr>
          <w:rFonts w:hint="eastAsia" w:ascii="宋体" w:hAnsi="宋体"/>
          <w:kern w:val="0"/>
          <w:sz w:val="24"/>
          <w:szCs w:val="24"/>
        </w:rPr>
        <w:t>1、现场自然条件</w:t>
      </w:r>
      <w:r>
        <w:rPr>
          <w:rFonts w:hint="eastAsia" w:ascii="宋体" w:hAnsi="宋体"/>
          <w:kern w:val="0"/>
          <w:sz w:val="24"/>
          <w:szCs w:val="24"/>
        </w:rPr>
        <w:cr/>
      </w:r>
      <w:r>
        <w:rPr>
          <w:rFonts w:hint="eastAsia" w:ascii="宋体" w:hAnsi="宋体"/>
          <w:kern w:val="0"/>
          <w:sz w:val="24"/>
          <w:szCs w:val="24"/>
        </w:rPr>
        <w:t xml:space="preserve">    自然条件：全市地势北高南低,东高西低,地形特征:为封闭型盆地,北部为东天山余脉,东西部皆为剥蚀低山丘陵环抱,南部干燥为剥蚀性残丘与台地。</w:t>
      </w:r>
      <w:r>
        <w:rPr>
          <w:rFonts w:hint="eastAsia" w:ascii="宋体" w:hAnsi="宋体"/>
          <w:kern w:val="0"/>
          <w:sz w:val="24"/>
          <w:szCs w:val="24"/>
        </w:rPr>
        <w:cr/>
      </w:r>
      <w:r>
        <w:rPr>
          <w:rFonts w:hint="eastAsia" w:ascii="宋体" w:hAnsi="宋体"/>
          <w:b/>
          <w:kern w:val="0"/>
          <w:sz w:val="24"/>
          <w:szCs w:val="24"/>
        </w:rPr>
        <w:t>2、地理位置及气候状况</w:t>
      </w:r>
      <w:r>
        <w:rPr>
          <w:rFonts w:hint="eastAsia" w:ascii="宋体" w:hAnsi="宋体"/>
          <w:b/>
          <w:kern w:val="0"/>
          <w:sz w:val="24"/>
          <w:szCs w:val="24"/>
        </w:rPr>
        <w:cr/>
      </w:r>
      <w:r>
        <w:rPr>
          <w:rFonts w:hint="eastAsia" w:ascii="宋体" w:hAnsi="宋体"/>
          <w:kern w:val="0"/>
          <w:sz w:val="24"/>
          <w:szCs w:val="24"/>
        </w:rPr>
        <w:t xml:space="preserve">    巴里坤哈萨克自治县是新疆维吾尔自治区东北部的一个边境县，位于天山山脉东段与东准噶尔断块山系之间的草原上，地理坐标为东经91°19′30″～94°48′30″、北纬43°21′～45°5′19″，东邻伊吾县，南接伊州区，西毗木垒哈萨克自治县，北界蒙古人民共和国，中蒙国界长达309公里。全县总面积38445.3平方公里，县境东西长276.4公里，南北宽180.6公里。县城西距新疆维吾尔自治区首府乌鲁木齐595公里，东南离伊州区131公里。巴里坤属温带亚干旱气候区。年平均气温1.O℃，极端最高气温33.5℃，极端最低气温-43.6℃，年平均有3.1五天日最高气温在30C以上。年平均日照时数3213.l小时，≥10C的积温1735.0℃，无霜期102天。年平均降水量203.0毫米，年平均蒸发量1621.7毫米。</w:t>
      </w:r>
    </w:p>
    <w:p>
      <w:pPr>
        <w:spacing w:line="360" w:lineRule="auto"/>
        <w:rPr>
          <w:rFonts w:ascii="宋体" w:hAnsi="宋体"/>
          <w:b/>
          <w:kern w:val="0"/>
          <w:sz w:val="24"/>
          <w:szCs w:val="24"/>
        </w:rPr>
      </w:pPr>
      <w:r>
        <w:rPr>
          <w:rFonts w:hint="eastAsia" w:ascii="宋体" w:hAnsi="宋体"/>
          <w:b/>
          <w:kern w:val="0"/>
          <w:sz w:val="24"/>
          <w:szCs w:val="24"/>
        </w:rPr>
        <w:t xml:space="preserve">3、现场施工条件 </w:t>
      </w:r>
    </w:p>
    <w:p>
      <w:pPr>
        <w:spacing w:line="360" w:lineRule="auto"/>
        <w:ind w:firstLine="360" w:firstLineChars="150"/>
        <w:rPr>
          <w:rFonts w:ascii="宋体" w:hAnsi="宋体"/>
          <w:kern w:val="0"/>
          <w:sz w:val="24"/>
          <w:szCs w:val="24"/>
          <w:highlight w:val="yellow"/>
        </w:rPr>
      </w:pPr>
      <w:r>
        <w:rPr>
          <w:rFonts w:hint="eastAsia" w:ascii="宋体" w:hAnsi="宋体"/>
          <w:kern w:val="0"/>
          <w:sz w:val="24"/>
          <w:szCs w:val="24"/>
        </w:rPr>
        <w:t>施工现场位于</w:t>
      </w:r>
      <w:r>
        <w:rPr>
          <w:rFonts w:hint="eastAsia" w:ascii="宋体" w:hAnsi="宋体"/>
          <w:sz w:val="24"/>
          <w:szCs w:val="24"/>
        </w:rPr>
        <w:t>哈</w:t>
      </w:r>
      <w:r>
        <w:rPr>
          <w:rFonts w:hint="eastAsia" w:ascii="宋体" w:hAnsi="宋体"/>
          <w:kern w:val="0"/>
          <w:sz w:val="24"/>
          <w:szCs w:val="24"/>
        </w:rPr>
        <w:t>密市巴里坤县，地势平坦，交通便利，具有较好的建设条件。</w:t>
      </w:r>
    </w:p>
    <w:p>
      <w:pPr>
        <w:spacing w:line="360" w:lineRule="auto"/>
        <w:ind w:left="964" w:hanging="964" w:hangingChars="400"/>
        <w:jc w:val="left"/>
        <w:rPr>
          <w:b/>
          <w:sz w:val="24"/>
          <w:szCs w:val="24"/>
        </w:rPr>
      </w:pPr>
      <w:r>
        <w:rPr>
          <w:rFonts w:hint="eastAsia" w:ascii="宋体" w:hAnsi="宋体"/>
          <w:b/>
          <w:kern w:val="0"/>
          <w:sz w:val="24"/>
          <w:szCs w:val="24"/>
        </w:rPr>
        <w:t>4、</w:t>
      </w:r>
      <w:r>
        <w:rPr>
          <w:rFonts w:hint="eastAsia"/>
          <w:b/>
          <w:sz w:val="24"/>
          <w:szCs w:val="24"/>
        </w:rPr>
        <w:t>工程规模和工程范围</w:t>
      </w:r>
    </w:p>
    <w:p>
      <w:pPr>
        <w:pStyle w:val="2"/>
        <w:ind w:firstLine="480" w:firstLineChars="200"/>
        <w:rPr>
          <w:rFonts w:ascii="宋体" w:hAnsi="宋体"/>
          <w:b w:val="0"/>
          <w:kern w:val="0"/>
          <w:szCs w:val="24"/>
        </w:rPr>
      </w:pPr>
      <w:r>
        <w:rPr>
          <w:rFonts w:hint="eastAsia" w:ascii="宋体" w:hAnsi="宋体"/>
          <w:b w:val="0"/>
          <w:kern w:val="0"/>
          <w:szCs w:val="24"/>
          <w:highlight w:val="none"/>
        </w:rPr>
        <w:t>本项目位于哈密市巴里坤县，巴里坤县群众文化活动中心院内硬化，铺装，车位，亮化，绿化等。（施工图设计包含的全部内容,详见工程量清单）</w:t>
      </w:r>
      <w:r>
        <w:rPr>
          <w:rFonts w:hint="eastAsia" w:ascii="宋体" w:hAnsi="宋体"/>
          <w:b w:val="0"/>
          <w:kern w:val="0"/>
          <w:szCs w:val="24"/>
        </w:rPr>
        <w:t>。</w:t>
      </w:r>
    </w:p>
    <w:p>
      <w:pPr>
        <w:adjustRightInd w:val="0"/>
        <w:snapToGrid w:val="0"/>
        <w:spacing w:line="500" w:lineRule="exact"/>
        <w:rPr>
          <w:rFonts w:ascii="宋体" w:hAnsi="宋体" w:cs="宋体"/>
          <w:sz w:val="24"/>
          <w:szCs w:val="24"/>
        </w:rPr>
      </w:pPr>
      <w:r>
        <w:rPr>
          <w:rFonts w:hint="eastAsia"/>
          <w:b/>
          <w:sz w:val="24"/>
          <w:szCs w:val="24"/>
        </w:rPr>
        <w:t>二、技术规范</w:t>
      </w:r>
      <w:r>
        <w:rPr>
          <w:rFonts w:hint="eastAsia"/>
          <w:b/>
          <w:sz w:val="24"/>
          <w:szCs w:val="24"/>
        </w:rPr>
        <w:cr/>
      </w:r>
      <w:r>
        <w:rPr>
          <w:rFonts w:hint="eastAsia"/>
          <w:sz w:val="24"/>
          <w:szCs w:val="24"/>
        </w:rPr>
        <w:t xml:space="preserve">    本工程的施工服务均须执行中华人民共和国国家标准及住房和城乡建设部颁发的有关建筑工程现行的规程、标准、规范、办法，以及住房和城乡建设部、新疆维吾尔自治区住房和城乡建设行政主管部门下发的有关建设工程施工方面的文件、规定。</w:t>
      </w:r>
    </w:p>
    <w:p>
      <w:pPr>
        <w:adjustRightInd w:val="0"/>
        <w:snapToGrid w:val="0"/>
        <w:spacing w:line="500" w:lineRule="exact"/>
        <w:rPr>
          <w:rFonts w:ascii="宋体" w:hAnsi="宋体" w:cs="宋体"/>
          <w:sz w:val="24"/>
          <w:szCs w:val="24"/>
        </w:rPr>
      </w:pPr>
    </w:p>
    <w:p>
      <w:pPr>
        <w:rPr>
          <w:rFonts w:ascii="宋体" w:hAnsi="宋体" w:cs="宋体"/>
        </w:rPr>
      </w:pPr>
    </w:p>
    <w:p>
      <w:pPr>
        <w:adjustRightInd w:val="0"/>
        <w:snapToGrid w:val="0"/>
        <w:spacing w:line="500" w:lineRule="exact"/>
        <w:rPr>
          <w:rFonts w:ascii="宋体" w:hAnsi="宋体" w:cs="宋体"/>
          <w:szCs w:val="21"/>
        </w:rPr>
      </w:pPr>
    </w:p>
    <w:p>
      <w:pPr>
        <w:pStyle w:val="2"/>
      </w:pPr>
    </w:p>
    <w:p>
      <w:pPr>
        <w:widowControl/>
        <w:jc w:val="center"/>
        <w:rPr>
          <w:rFonts w:ascii="宋体" w:hAnsi="宋体" w:cs="宋体"/>
          <w:b/>
          <w:bCs/>
          <w:sz w:val="32"/>
          <w:szCs w:val="32"/>
        </w:rPr>
      </w:pPr>
      <w:r>
        <w:rPr>
          <w:rFonts w:hint="eastAsia" w:ascii="宋体" w:hAnsi="宋体" w:cs="宋体"/>
          <w:b/>
          <w:bCs/>
          <w:sz w:val="32"/>
          <w:szCs w:val="32"/>
        </w:rPr>
        <w:t>第五部分  磋商响应文件格式</w:t>
      </w:r>
    </w:p>
    <w:p>
      <w:pPr>
        <w:spacing w:line="500" w:lineRule="exact"/>
        <w:ind w:firstLine="560" w:firstLineChars="200"/>
        <w:jc w:val="center"/>
        <w:rPr>
          <w:rFonts w:ascii="宋体" w:hAnsi="宋体" w:cs="宋体"/>
          <w:sz w:val="28"/>
          <w:szCs w:val="21"/>
        </w:rPr>
      </w:pPr>
      <w:r>
        <w:rPr>
          <w:rFonts w:hint="eastAsia" w:ascii="宋体" w:hAnsi="宋体" w:cs="宋体"/>
          <w:sz w:val="28"/>
          <w:szCs w:val="21"/>
        </w:rPr>
        <w:t>开标一览表</w:t>
      </w:r>
    </w:p>
    <w:p>
      <w:pPr>
        <w:spacing w:line="500" w:lineRule="exact"/>
        <w:ind w:firstLine="420" w:firstLineChars="200"/>
        <w:rPr>
          <w:rFonts w:ascii="宋体" w:hAnsi="宋体" w:cs="宋体"/>
          <w:szCs w:val="21"/>
        </w:rPr>
      </w:pPr>
      <w:r>
        <w:rPr>
          <w:rFonts w:hint="eastAsia" w:ascii="宋体" w:hAnsi="宋体" w:cs="宋体"/>
          <w:szCs w:val="21"/>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6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020" w:type="dxa"/>
            <w:vAlign w:val="center"/>
          </w:tcPr>
          <w:p>
            <w:pPr>
              <w:spacing w:line="500" w:lineRule="exact"/>
              <w:ind w:firstLine="420" w:firstLineChars="200"/>
              <w:jc w:val="center"/>
              <w:rPr>
                <w:rFonts w:ascii="宋体" w:hAnsi="宋体" w:cs="宋体"/>
                <w:szCs w:val="21"/>
              </w:rPr>
            </w:pPr>
            <w:r>
              <w:rPr>
                <w:rFonts w:hint="eastAsia" w:ascii="宋体" w:hAnsi="宋体" w:cs="宋体"/>
                <w:szCs w:val="21"/>
              </w:rPr>
              <w:t>项目</w:t>
            </w:r>
          </w:p>
        </w:tc>
        <w:tc>
          <w:tcPr>
            <w:tcW w:w="6624" w:type="dxa"/>
            <w:vAlign w:val="center"/>
          </w:tcPr>
          <w:p>
            <w:pPr>
              <w:spacing w:line="500" w:lineRule="exact"/>
              <w:ind w:firstLine="420" w:firstLineChars="200"/>
              <w:jc w:val="center"/>
              <w:rPr>
                <w:rFonts w:ascii="宋体" w:hAnsi="宋体" w:cs="宋体"/>
                <w:szCs w:val="21"/>
              </w:rPr>
            </w:pPr>
            <w:r>
              <w:rPr>
                <w:rFonts w:hint="eastAsia" w:ascii="宋体" w:hAnsi="宋体" w:cs="宋体"/>
                <w:szCs w:val="21"/>
              </w:rPr>
              <w:t>唱标内容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020" w:type="dxa"/>
            <w:vAlign w:val="center"/>
          </w:tcPr>
          <w:p>
            <w:pPr>
              <w:spacing w:line="500" w:lineRule="exact"/>
              <w:jc w:val="center"/>
              <w:rPr>
                <w:rFonts w:ascii="宋体" w:hAnsi="宋体" w:cs="宋体"/>
                <w:szCs w:val="21"/>
              </w:rPr>
            </w:pPr>
            <w:r>
              <w:rPr>
                <w:rFonts w:hint="eastAsia" w:ascii="宋体" w:hAnsi="宋体" w:cs="宋体"/>
                <w:szCs w:val="21"/>
              </w:rPr>
              <w:t>项目负责人</w:t>
            </w:r>
          </w:p>
        </w:tc>
        <w:tc>
          <w:tcPr>
            <w:tcW w:w="6624" w:type="dxa"/>
            <w:vAlign w:val="center"/>
          </w:tcPr>
          <w:p>
            <w:pPr>
              <w:spacing w:line="500" w:lineRule="exact"/>
              <w:ind w:firstLine="411" w:firstLineChars="196"/>
              <w:rPr>
                <w:rFonts w:ascii="宋体" w:hAnsi="宋体" w:cs="宋体"/>
                <w:szCs w:val="21"/>
              </w:rPr>
            </w:pPr>
            <w:r>
              <w:rPr>
                <w:rFonts w:hint="eastAsia" w:ascii="宋体" w:hAnsi="宋体" w:cs="宋体"/>
                <w:szCs w:val="21"/>
              </w:rPr>
              <w:t>姓名：</w:t>
            </w:r>
          </w:p>
          <w:p>
            <w:pPr>
              <w:spacing w:line="500" w:lineRule="exact"/>
              <w:ind w:firstLine="411" w:firstLineChars="196"/>
              <w:rPr>
                <w:rFonts w:ascii="宋体" w:hAnsi="宋体" w:cs="宋体"/>
                <w:szCs w:val="21"/>
              </w:rPr>
            </w:pPr>
            <w:r>
              <w:rPr>
                <w:rFonts w:hint="eastAsia" w:ascii="宋体" w:hAnsi="宋体" w:cs="宋体"/>
                <w:szCs w:val="21"/>
              </w:rPr>
              <w:t>身份证号码：</w:t>
            </w:r>
          </w:p>
          <w:p>
            <w:pPr>
              <w:spacing w:line="500" w:lineRule="exact"/>
              <w:ind w:firstLine="411" w:firstLineChars="196"/>
              <w:rPr>
                <w:rFonts w:ascii="宋体" w:hAnsi="宋体" w:cs="宋体"/>
                <w:szCs w:val="21"/>
              </w:rPr>
            </w:pPr>
            <w:r>
              <w:rPr>
                <w:rFonts w:hint="eastAsia" w:ascii="宋体" w:hAnsi="宋体" w:cs="宋体"/>
                <w:szCs w:val="21"/>
              </w:rPr>
              <w:t>建造师证书种类/等级：</w:t>
            </w:r>
          </w:p>
          <w:p>
            <w:pPr>
              <w:spacing w:line="500" w:lineRule="exact"/>
              <w:ind w:firstLine="411" w:firstLineChars="196"/>
              <w:rPr>
                <w:rFonts w:ascii="宋体" w:hAnsi="宋体" w:cs="宋体"/>
                <w:szCs w:val="21"/>
              </w:rPr>
            </w:pPr>
            <w:r>
              <w:rPr>
                <w:rFonts w:hint="eastAsia" w:ascii="宋体" w:hAnsi="宋体" w:cs="宋体"/>
                <w:szCs w:val="21"/>
              </w:rPr>
              <w:t>建造师证书编号：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20" w:type="dxa"/>
            <w:vAlign w:val="center"/>
          </w:tcPr>
          <w:p>
            <w:pPr>
              <w:spacing w:line="500" w:lineRule="exact"/>
              <w:jc w:val="center"/>
              <w:rPr>
                <w:rFonts w:ascii="宋体" w:hAnsi="宋体" w:cs="宋体"/>
                <w:szCs w:val="21"/>
              </w:rPr>
            </w:pPr>
            <w:r>
              <w:rPr>
                <w:rFonts w:hint="eastAsia" w:ascii="宋体" w:hAnsi="宋体" w:cs="宋体"/>
                <w:szCs w:val="21"/>
              </w:rPr>
              <w:t>工期</w:t>
            </w:r>
          </w:p>
        </w:tc>
        <w:tc>
          <w:tcPr>
            <w:tcW w:w="6624" w:type="dxa"/>
            <w:vAlign w:val="center"/>
          </w:tcPr>
          <w:p>
            <w:pPr>
              <w:shd w:val="clear"/>
              <w:spacing w:line="500" w:lineRule="exact"/>
              <w:jc w:val="center"/>
              <w:rPr>
                <w:highlight w:val="none"/>
              </w:rPr>
            </w:pPr>
            <w:r>
              <w:rPr>
                <w:rFonts w:hint="eastAsia"/>
                <w:highlight w:val="none"/>
              </w:rPr>
              <w:t>总工期：</w:t>
            </w:r>
            <w:r>
              <w:rPr>
                <w:rFonts w:hint="eastAsia"/>
                <w:highlight w:val="none"/>
                <w:lang w:val="en-US" w:eastAsia="zh-CN"/>
              </w:rPr>
              <w:t>31</w:t>
            </w:r>
            <w:r>
              <w:rPr>
                <w:rFonts w:hint="eastAsia"/>
                <w:highlight w:val="none"/>
              </w:rPr>
              <w:t>日历日</w:t>
            </w:r>
          </w:p>
          <w:p>
            <w:pPr>
              <w:shd w:val="clear"/>
              <w:spacing w:line="500" w:lineRule="exact"/>
              <w:jc w:val="center"/>
              <w:rPr>
                <w:rFonts w:ascii="宋体" w:hAnsi="宋体" w:cs="宋体"/>
                <w:szCs w:val="21"/>
              </w:rPr>
            </w:pPr>
            <w:r>
              <w:rPr>
                <w:rFonts w:hint="eastAsia"/>
                <w:highlight w:val="none"/>
              </w:rPr>
              <w:t>（开工日期：2022年04月30日 竣工日期：2022年0</w:t>
            </w:r>
            <w:r>
              <w:rPr>
                <w:rFonts w:hint="eastAsia"/>
                <w:highlight w:val="none"/>
                <w:lang w:val="en-US" w:eastAsia="zh-CN"/>
              </w:rPr>
              <w:t>5</w:t>
            </w:r>
            <w:r>
              <w:rPr>
                <w:rFonts w:hint="eastAsia"/>
                <w:highlight w:val="none"/>
              </w:rPr>
              <w:t>月</w:t>
            </w:r>
            <w:r>
              <w:rPr>
                <w:rFonts w:hint="eastAsia"/>
                <w:highlight w:val="none"/>
                <w:lang w:val="en-US" w:eastAsia="zh-CN"/>
              </w:rPr>
              <w:t>30</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020" w:type="dxa"/>
            <w:vAlign w:val="center"/>
          </w:tcPr>
          <w:p>
            <w:pPr>
              <w:spacing w:line="500" w:lineRule="exact"/>
              <w:jc w:val="center"/>
              <w:rPr>
                <w:rFonts w:ascii="宋体" w:hAnsi="宋体" w:cs="宋体"/>
                <w:szCs w:val="21"/>
              </w:rPr>
            </w:pPr>
            <w:r>
              <w:rPr>
                <w:rFonts w:hint="eastAsia" w:ascii="宋体" w:hAnsi="宋体" w:cs="宋体"/>
                <w:szCs w:val="21"/>
              </w:rPr>
              <w:t>质量标准</w:t>
            </w:r>
          </w:p>
        </w:tc>
        <w:tc>
          <w:tcPr>
            <w:tcW w:w="6624" w:type="dxa"/>
            <w:vAlign w:val="center"/>
          </w:tcPr>
          <w:p>
            <w:pPr>
              <w:spacing w:line="500" w:lineRule="exact"/>
              <w:ind w:firstLine="420" w:firstLineChars="20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020" w:type="dxa"/>
            <w:vAlign w:val="center"/>
          </w:tcPr>
          <w:p>
            <w:pPr>
              <w:spacing w:line="500" w:lineRule="exact"/>
              <w:ind w:firstLine="411" w:firstLineChars="196"/>
              <w:rPr>
                <w:rFonts w:ascii="宋体" w:hAnsi="宋体" w:cs="宋体"/>
                <w:szCs w:val="21"/>
              </w:rPr>
            </w:pPr>
          </w:p>
        </w:tc>
        <w:tc>
          <w:tcPr>
            <w:tcW w:w="6624" w:type="dxa"/>
            <w:vAlign w:val="center"/>
          </w:tcPr>
          <w:p>
            <w:pPr>
              <w:spacing w:line="500" w:lineRule="exact"/>
              <w:ind w:firstLine="411" w:firstLineChars="196"/>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9644" w:type="dxa"/>
            <w:gridSpan w:val="2"/>
            <w:vAlign w:val="center"/>
          </w:tcPr>
          <w:p>
            <w:pPr>
              <w:spacing w:line="500" w:lineRule="exact"/>
              <w:ind w:firstLine="420" w:firstLineChars="200"/>
              <w:rPr>
                <w:rFonts w:ascii="宋体" w:hAnsi="宋体" w:cs="宋体"/>
                <w:szCs w:val="21"/>
              </w:rPr>
            </w:pPr>
            <w:r>
              <w:rPr>
                <w:rFonts w:hint="eastAsia" w:ascii="宋体" w:hAnsi="宋体" w:cs="宋体"/>
                <w:szCs w:val="21"/>
              </w:rPr>
              <w:t>备注：</w:t>
            </w:r>
          </w:p>
        </w:tc>
      </w:tr>
    </w:tbl>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r>
        <w:rPr>
          <w:rFonts w:hint="eastAsia" w:ascii="宋体" w:hAnsi="宋体" w:cs="宋体"/>
          <w:szCs w:val="21"/>
        </w:rPr>
        <w:t>投标人（盖公章）：</w:t>
      </w:r>
    </w:p>
    <w:p>
      <w:pPr>
        <w:spacing w:line="500" w:lineRule="exact"/>
        <w:ind w:firstLine="420" w:firstLineChars="200"/>
        <w:rPr>
          <w:rFonts w:ascii="宋体" w:hAnsi="宋体" w:cs="宋体"/>
          <w:szCs w:val="21"/>
        </w:rPr>
      </w:pPr>
      <w:r>
        <w:rPr>
          <w:rFonts w:hint="eastAsia" w:ascii="宋体" w:hAnsi="宋体" w:cs="宋体"/>
          <w:szCs w:val="21"/>
        </w:rPr>
        <w:t>法定代表人（签字或盖章）：</w:t>
      </w:r>
    </w:p>
    <w:p>
      <w:pPr>
        <w:spacing w:line="500" w:lineRule="exact"/>
        <w:ind w:firstLine="420" w:firstLineChars="200"/>
        <w:rPr>
          <w:rFonts w:ascii="宋体" w:hAnsi="宋体" w:cs="宋体"/>
          <w:szCs w:val="21"/>
        </w:rPr>
      </w:pPr>
      <w:r>
        <w:rPr>
          <w:rFonts w:hint="eastAsia" w:ascii="宋体" w:hAnsi="宋体" w:cs="宋体"/>
          <w:szCs w:val="21"/>
        </w:rPr>
        <w:t>授权代理人（签字）：</w:t>
      </w:r>
    </w:p>
    <w:p>
      <w:pPr>
        <w:spacing w:line="500" w:lineRule="exact"/>
        <w:ind w:firstLine="420" w:firstLineChars="200"/>
        <w:rPr>
          <w:rFonts w:ascii="宋体" w:hAnsi="宋体" w:cs="宋体"/>
          <w:szCs w:val="21"/>
        </w:rPr>
      </w:pPr>
      <w:r>
        <w:rPr>
          <w:rFonts w:hint="eastAsia" w:ascii="宋体" w:hAnsi="宋体" w:cs="宋体"/>
          <w:szCs w:val="21"/>
        </w:rPr>
        <w:t>日期： 年  月  日</w:t>
      </w: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r>
        <w:rPr>
          <w:rFonts w:hint="eastAsia" w:ascii="宋体" w:hAnsi="宋体" w:cs="宋体"/>
          <w:szCs w:val="21"/>
        </w:rPr>
        <w:t>1、“工期”指合同生效之日起，多少天内完成合同规定的全部工作内容。</w:t>
      </w:r>
    </w:p>
    <w:p>
      <w:pPr>
        <w:spacing w:line="500" w:lineRule="exact"/>
        <w:ind w:firstLine="420" w:firstLineChars="200"/>
        <w:rPr>
          <w:rFonts w:ascii="宋体" w:hAnsi="宋体" w:cs="宋体"/>
          <w:szCs w:val="21"/>
        </w:rPr>
      </w:pPr>
      <w:r>
        <w:rPr>
          <w:rFonts w:hint="eastAsia" w:ascii="宋体" w:hAnsi="宋体" w:cs="宋体"/>
          <w:szCs w:val="21"/>
        </w:rPr>
        <w:t>2、此表用于开标现场唱标使用，须按招标要求单独密封、标识提供，否则将按无效标处理。</w:t>
      </w: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autoSpaceDE w:val="0"/>
        <w:autoSpaceDN w:val="0"/>
        <w:adjustRightInd w:val="0"/>
        <w:spacing w:line="360" w:lineRule="auto"/>
        <w:jc w:val="center"/>
        <w:rPr>
          <w:rFonts w:ascii="宋体" w:hAnsi="宋体" w:cs="宋体"/>
          <w:b/>
          <w:kern w:val="0"/>
          <w:sz w:val="30"/>
          <w:szCs w:val="30"/>
        </w:rPr>
      </w:pPr>
      <w:r>
        <w:rPr>
          <w:rFonts w:hint="eastAsia" w:ascii="宋体" w:hAnsi="宋体" w:cs="宋体"/>
          <w:b/>
          <w:kern w:val="0"/>
          <w:position w:val="-3"/>
          <w:sz w:val="30"/>
          <w:szCs w:val="30"/>
        </w:rPr>
        <w:t>最终</w:t>
      </w:r>
      <w:r>
        <w:rPr>
          <w:rFonts w:hint="eastAsia" w:ascii="宋体" w:hAnsi="宋体" w:cs="宋体"/>
          <w:b/>
          <w:spacing w:val="2"/>
          <w:kern w:val="0"/>
          <w:position w:val="-3"/>
          <w:sz w:val="30"/>
          <w:szCs w:val="30"/>
        </w:rPr>
        <w:t>投</w:t>
      </w:r>
      <w:r>
        <w:rPr>
          <w:rFonts w:hint="eastAsia" w:ascii="宋体" w:hAnsi="宋体" w:cs="宋体"/>
          <w:b/>
          <w:kern w:val="0"/>
          <w:position w:val="-3"/>
          <w:sz w:val="30"/>
          <w:szCs w:val="30"/>
        </w:rPr>
        <w:t>标</w:t>
      </w:r>
      <w:r>
        <w:rPr>
          <w:rFonts w:hint="eastAsia" w:ascii="宋体" w:hAnsi="宋体" w:cs="宋体"/>
          <w:b/>
          <w:spacing w:val="2"/>
          <w:kern w:val="0"/>
          <w:position w:val="-3"/>
          <w:sz w:val="30"/>
          <w:szCs w:val="30"/>
        </w:rPr>
        <w:t>报</w:t>
      </w:r>
      <w:r>
        <w:rPr>
          <w:rFonts w:hint="eastAsia" w:ascii="宋体" w:hAnsi="宋体" w:cs="宋体"/>
          <w:b/>
          <w:kern w:val="0"/>
          <w:position w:val="-3"/>
          <w:sz w:val="30"/>
          <w:szCs w:val="30"/>
        </w:rPr>
        <w:t>价表(格式)</w:t>
      </w:r>
    </w:p>
    <w:p>
      <w:pPr>
        <w:autoSpaceDE w:val="0"/>
        <w:autoSpaceDN w:val="0"/>
        <w:adjustRightInd w:val="0"/>
        <w:spacing w:line="360" w:lineRule="auto"/>
        <w:jc w:val="left"/>
        <w:rPr>
          <w:rFonts w:ascii="宋体" w:hAnsi="宋体" w:cs="宋体"/>
          <w:kern w:val="0"/>
          <w:sz w:val="20"/>
          <w:szCs w:val="20"/>
        </w:rPr>
      </w:pPr>
    </w:p>
    <w:p>
      <w:pPr>
        <w:spacing w:line="480" w:lineRule="auto"/>
        <w:rPr>
          <w:rFonts w:ascii="宋体" w:hAnsi="宋体" w:cs="宋体"/>
          <w:b/>
          <w:kern w:val="0"/>
          <w:sz w:val="22"/>
          <w:szCs w:val="20"/>
        </w:rPr>
      </w:pPr>
      <w:r>
        <w:rPr>
          <w:rFonts w:hint="eastAsia" w:ascii="宋体" w:hAnsi="宋体" w:cs="宋体"/>
          <w:b/>
          <w:spacing w:val="3"/>
          <w:kern w:val="0"/>
          <w:sz w:val="22"/>
          <w:szCs w:val="20"/>
        </w:rPr>
        <w:t>项</w:t>
      </w:r>
      <w:r>
        <w:rPr>
          <w:rFonts w:hint="eastAsia" w:ascii="宋体" w:hAnsi="宋体" w:cs="宋体"/>
          <w:b/>
          <w:kern w:val="0"/>
          <w:sz w:val="22"/>
          <w:szCs w:val="20"/>
        </w:rPr>
        <w:t>目</w:t>
      </w:r>
      <w:r>
        <w:rPr>
          <w:rFonts w:hint="eastAsia" w:ascii="宋体" w:hAnsi="宋体" w:cs="宋体"/>
          <w:b/>
          <w:spacing w:val="3"/>
          <w:kern w:val="0"/>
          <w:sz w:val="22"/>
          <w:szCs w:val="20"/>
        </w:rPr>
        <w:t xml:space="preserve">名称: </w:t>
      </w:r>
      <w:r>
        <w:rPr>
          <w:rFonts w:hint="eastAsia" w:ascii="宋体" w:hAnsi="宋体" w:cs="宋体"/>
          <w:b/>
          <w:kern w:val="0"/>
          <w:sz w:val="22"/>
          <w:szCs w:val="20"/>
        </w:rPr>
        <w:t>巴里坤县群众文化活动中心建设项目-室外铺装及附属设施建设项目</w:t>
      </w:r>
    </w:p>
    <w:p>
      <w:pPr>
        <w:spacing w:line="480" w:lineRule="auto"/>
        <w:rPr>
          <w:rFonts w:ascii="宋体" w:hAnsi="宋体" w:cs="宋体"/>
          <w:b/>
          <w:kern w:val="0"/>
          <w:sz w:val="20"/>
          <w:szCs w:val="20"/>
        </w:rPr>
      </w:pPr>
      <w:r>
        <w:rPr>
          <w:rFonts w:hint="eastAsia" w:ascii="宋体" w:hAnsi="宋体" w:cs="宋体"/>
          <w:b/>
          <w:spacing w:val="3"/>
          <w:kern w:val="0"/>
          <w:sz w:val="22"/>
          <w:szCs w:val="20"/>
        </w:rPr>
        <w:t>项</w:t>
      </w:r>
      <w:r>
        <w:rPr>
          <w:rFonts w:hint="eastAsia" w:ascii="宋体" w:hAnsi="宋体" w:cs="宋体"/>
          <w:b/>
          <w:kern w:val="0"/>
          <w:sz w:val="22"/>
          <w:szCs w:val="20"/>
        </w:rPr>
        <w:t>目</w:t>
      </w:r>
      <w:r>
        <w:rPr>
          <w:rFonts w:hint="eastAsia" w:ascii="宋体" w:hAnsi="宋体" w:cs="宋体"/>
          <w:b/>
          <w:spacing w:val="3"/>
          <w:kern w:val="0"/>
          <w:sz w:val="22"/>
          <w:szCs w:val="20"/>
        </w:rPr>
        <w:t>编号</w:t>
      </w:r>
      <w:r>
        <w:rPr>
          <w:rFonts w:hint="eastAsia" w:ascii="宋体" w:hAnsi="宋体" w:cs="宋体"/>
          <w:b/>
          <w:kern w:val="0"/>
          <w:sz w:val="22"/>
          <w:szCs w:val="20"/>
        </w:rPr>
        <w:t>：XJDH【2022】-H010</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71" w:type="dxa"/>
            <w:vAlign w:val="center"/>
          </w:tcPr>
          <w:p>
            <w:pPr>
              <w:spacing w:line="500" w:lineRule="exact"/>
              <w:jc w:val="center"/>
              <w:rPr>
                <w:rFonts w:ascii="宋体" w:hAnsi="宋体" w:cs="宋体"/>
                <w:szCs w:val="21"/>
              </w:rPr>
            </w:pPr>
            <w:r>
              <w:rPr>
                <w:rFonts w:hint="eastAsia" w:ascii="宋体" w:hAnsi="宋体" w:cs="宋体"/>
                <w:szCs w:val="21"/>
              </w:rPr>
              <w:t>项目</w:t>
            </w:r>
          </w:p>
        </w:tc>
        <w:tc>
          <w:tcPr>
            <w:tcW w:w="6145" w:type="dxa"/>
            <w:vAlign w:val="center"/>
          </w:tcPr>
          <w:p>
            <w:pPr>
              <w:spacing w:line="500" w:lineRule="exact"/>
              <w:ind w:firstLine="420" w:firstLineChars="200"/>
              <w:jc w:val="center"/>
              <w:rPr>
                <w:rFonts w:ascii="宋体" w:hAnsi="宋体" w:cs="宋体"/>
                <w:szCs w:val="21"/>
              </w:rPr>
            </w:pPr>
            <w:r>
              <w:rPr>
                <w:rFonts w:hint="eastAsia" w:ascii="宋体" w:hAnsi="宋体" w:cs="宋体"/>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571" w:type="dxa"/>
            <w:vAlign w:val="center"/>
          </w:tcPr>
          <w:p>
            <w:pPr>
              <w:spacing w:line="500" w:lineRule="exact"/>
              <w:jc w:val="center"/>
              <w:rPr>
                <w:rFonts w:ascii="宋体" w:hAnsi="宋体" w:cs="宋体"/>
                <w:szCs w:val="21"/>
              </w:rPr>
            </w:pPr>
            <w:r>
              <w:rPr>
                <w:rFonts w:hint="eastAsia" w:ascii="宋体" w:hAnsi="宋体" w:cs="宋体"/>
                <w:szCs w:val="21"/>
              </w:rPr>
              <w:t>投标报价（人民币）</w:t>
            </w:r>
          </w:p>
        </w:tc>
        <w:tc>
          <w:tcPr>
            <w:tcW w:w="6145" w:type="dxa"/>
            <w:vAlign w:val="center"/>
          </w:tcPr>
          <w:p>
            <w:pPr>
              <w:spacing w:line="500" w:lineRule="exact"/>
              <w:rPr>
                <w:rFonts w:ascii="宋体" w:hAnsi="宋体" w:cs="宋体"/>
                <w:szCs w:val="21"/>
              </w:rPr>
            </w:pPr>
            <w:r>
              <w:rPr>
                <w:rFonts w:hint="eastAsia" w:ascii="宋体" w:hAnsi="宋体" w:cs="宋体"/>
                <w:szCs w:val="21"/>
              </w:rPr>
              <w:t>小写：        元</w:t>
            </w:r>
          </w:p>
          <w:p>
            <w:pPr>
              <w:spacing w:line="500" w:lineRule="exact"/>
              <w:rPr>
                <w:rFonts w:ascii="宋体" w:hAnsi="宋体" w:cs="宋体"/>
                <w:szCs w:val="21"/>
              </w:rPr>
            </w:pPr>
            <w:r>
              <w:rPr>
                <w:rFonts w:hint="eastAsia" w:ascii="宋体" w:hAnsi="宋体" w:cs="宋体"/>
                <w:szCs w:val="21"/>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71" w:type="dxa"/>
            <w:vAlign w:val="center"/>
          </w:tcPr>
          <w:p>
            <w:pPr>
              <w:spacing w:line="500" w:lineRule="exact"/>
              <w:jc w:val="center"/>
              <w:rPr>
                <w:rFonts w:ascii="宋体" w:hAnsi="宋体" w:cs="宋体"/>
                <w:szCs w:val="21"/>
              </w:rPr>
            </w:pPr>
            <w:r>
              <w:rPr>
                <w:rFonts w:hint="eastAsia" w:ascii="宋体" w:hAnsi="宋体" w:cs="宋体"/>
                <w:szCs w:val="21"/>
              </w:rPr>
              <w:t>工期</w:t>
            </w:r>
          </w:p>
        </w:tc>
        <w:tc>
          <w:tcPr>
            <w:tcW w:w="6145" w:type="dxa"/>
            <w:vAlign w:val="center"/>
          </w:tcPr>
          <w:p>
            <w:pPr>
              <w:spacing w:line="500" w:lineRule="exact"/>
              <w:jc w:val="center"/>
              <w:rPr>
                <w:highlight w:val="none"/>
              </w:rPr>
            </w:pPr>
            <w:r>
              <w:rPr>
                <w:rFonts w:hint="eastAsia"/>
                <w:highlight w:val="none"/>
              </w:rPr>
              <w:t>总工期：</w:t>
            </w:r>
            <w:r>
              <w:rPr>
                <w:rFonts w:hint="eastAsia"/>
                <w:highlight w:val="none"/>
                <w:lang w:val="en-US" w:eastAsia="zh-CN"/>
              </w:rPr>
              <w:t>31</w:t>
            </w:r>
            <w:r>
              <w:rPr>
                <w:rFonts w:hint="eastAsia"/>
                <w:highlight w:val="none"/>
              </w:rPr>
              <w:t>日历日</w:t>
            </w:r>
          </w:p>
          <w:p>
            <w:pPr>
              <w:spacing w:line="500" w:lineRule="exact"/>
              <w:rPr>
                <w:rFonts w:ascii="宋体" w:hAnsi="宋体" w:cs="宋体"/>
                <w:szCs w:val="21"/>
                <w:highlight w:val="none"/>
              </w:rPr>
            </w:pPr>
            <w:r>
              <w:rPr>
                <w:rFonts w:hint="eastAsia"/>
                <w:highlight w:val="none"/>
              </w:rPr>
              <w:t>（开工日期：2022年04月30日 竣工日期：2022年0</w:t>
            </w:r>
            <w:r>
              <w:rPr>
                <w:rFonts w:hint="eastAsia"/>
                <w:highlight w:val="none"/>
                <w:lang w:val="en-US" w:eastAsia="zh-CN"/>
              </w:rPr>
              <w:t>5</w:t>
            </w:r>
            <w:r>
              <w:rPr>
                <w:rFonts w:hint="eastAsia"/>
                <w:highlight w:val="none"/>
              </w:rPr>
              <w:t>月</w:t>
            </w:r>
            <w:r>
              <w:rPr>
                <w:rFonts w:hint="eastAsia"/>
                <w:highlight w:val="none"/>
                <w:lang w:val="en-US" w:eastAsia="zh-CN"/>
              </w:rPr>
              <w:t>30</w:t>
            </w:r>
            <w:r>
              <w:rPr>
                <w:rFonts w:hint="eastAsia"/>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571" w:type="dxa"/>
            <w:vAlign w:val="center"/>
          </w:tcPr>
          <w:p>
            <w:pPr>
              <w:spacing w:line="500" w:lineRule="exact"/>
              <w:jc w:val="center"/>
              <w:rPr>
                <w:rFonts w:ascii="宋体" w:hAnsi="宋体" w:cs="宋体"/>
                <w:szCs w:val="21"/>
              </w:rPr>
            </w:pPr>
            <w:r>
              <w:rPr>
                <w:rFonts w:hint="eastAsia" w:ascii="宋体" w:hAnsi="宋体" w:cs="宋体"/>
                <w:szCs w:val="21"/>
              </w:rPr>
              <w:t>质量标准</w:t>
            </w:r>
          </w:p>
        </w:tc>
        <w:tc>
          <w:tcPr>
            <w:tcW w:w="6145" w:type="dxa"/>
            <w:vAlign w:val="center"/>
          </w:tcPr>
          <w:p>
            <w:pPr>
              <w:spacing w:line="500" w:lineRule="exact"/>
              <w:ind w:firstLine="2100" w:firstLineChars="1000"/>
              <w:rPr>
                <w:rFonts w:ascii="宋体" w:hAnsi="宋体" w:cs="宋体"/>
                <w:szCs w:val="21"/>
              </w:rPr>
            </w:pPr>
            <w:r>
              <w:rPr>
                <w:rFonts w:hint="eastAsia" w:ascii="宋体" w:hAnsi="宋体" w:cs="宋体"/>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571" w:type="dxa"/>
            <w:vAlign w:val="center"/>
          </w:tcPr>
          <w:p>
            <w:pPr>
              <w:spacing w:line="500" w:lineRule="exact"/>
              <w:jc w:val="center"/>
              <w:rPr>
                <w:rFonts w:ascii="宋体" w:hAnsi="宋体" w:cs="宋体"/>
                <w:szCs w:val="21"/>
              </w:rPr>
            </w:pPr>
            <w:r>
              <w:rPr>
                <w:rFonts w:hint="eastAsia" w:ascii="宋体" w:hAnsi="宋体" w:cs="宋体"/>
                <w:szCs w:val="21"/>
              </w:rPr>
              <w:t>报价总说明</w:t>
            </w:r>
          </w:p>
        </w:tc>
        <w:tc>
          <w:tcPr>
            <w:tcW w:w="6145" w:type="dxa"/>
            <w:vAlign w:val="center"/>
          </w:tcPr>
          <w:p>
            <w:pPr>
              <w:spacing w:line="500" w:lineRule="exact"/>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716" w:type="dxa"/>
            <w:gridSpan w:val="2"/>
            <w:vAlign w:val="center"/>
          </w:tcPr>
          <w:p>
            <w:pPr>
              <w:spacing w:line="500" w:lineRule="exact"/>
              <w:ind w:firstLine="420" w:firstLineChars="200"/>
              <w:rPr>
                <w:rFonts w:ascii="宋体" w:hAnsi="宋体" w:cs="宋体"/>
                <w:szCs w:val="21"/>
              </w:rPr>
            </w:pPr>
            <w:r>
              <w:rPr>
                <w:rFonts w:hint="eastAsia" w:ascii="宋体" w:hAnsi="宋体" w:cs="宋体"/>
                <w:szCs w:val="21"/>
              </w:rPr>
              <w:t>备注：</w:t>
            </w:r>
          </w:p>
        </w:tc>
      </w:tr>
    </w:tbl>
    <w:p>
      <w:pPr>
        <w:autoSpaceDE w:val="0"/>
        <w:autoSpaceDN w:val="0"/>
        <w:adjustRightInd w:val="0"/>
        <w:spacing w:before="18" w:line="360" w:lineRule="auto"/>
        <w:jc w:val="left"/>
        <w:rPr>
          <w:rFonts w:ascii="宋体" w:hAnsi="宋体" w:cs="宋体"/>
          <w:kern w:val="0"/>
          <w:sz w:val="22"/>
        </w:rPr>
      </w:pPr>
    </w:p>
    <w:p>
      <w:pPr>
        <w:autoSpaceDE w:val="0"/>
        <w:autoSpaceDN w:val="0"/>
        <w:adjustRightInd w:val="0"/>
        <w:spacing w:line="360" w:lineRule="auto"/>
        <w:ind w:left="294" w:right="-20"/>
        <w:jc w:val="left"/>
        <w:rPr>
          <w:rFonts w:ascii="宋体" w:hAnsi="宋体" w:cs="宋体"/>
          <w:b/>
          <w:spacing w:val="2"/>
          <w:w w:val="99"/>
          <w:kern w:val="0"/>
          <w:szCs w:val="21"/>
        </w:rPr>
      </w:pPr>
      <w:r>
        <w:rPr>
          <w:rFonts w:hint="eastAsia" w:ascii="宋体" w:hAnsi="宋体" w:cs="宋体"/>
          <w:b/>
          <w:spacing w:val="2"/>
          <w:w w:val="99"/>
          <w:kern w:val="0"/>
          <w:szCs w:val="21"/>
        </w:rPr>
        <w:t>注：1.表中大小写不一致时，以大写为准。</w:t>
      </w:r>
    </w:p>
    <w:p>
      <w:pPr>
        <w:autoSpaceDE w:val="0"/>
        <w:autoSpaceDN w:val="0"/>
        <w:adjustRightInd w:val="0"/>
        <w:spacing w:line="360" w:lineRule="auto"/>
        <w:ind w:left="716" w:right="-20"/>
        <w:jc w:val="left"/>
        <w:rPr>
          <w:rFonts w:ascii="宋体" w:hAnsi="宋体" w:cs="宋体"/>
          <w:b/>
          <w:spacing w:val="2"/>
          <w:w w:val="99"/>
          <w:kern w:val="0"/>
          <w:szCs w:val="21"/>
        </w:rPr>
      </w:pPr>
      <w:r>
        <w:rPr>
          <w:rFonts w:hint="eastAsia" w:ascii="宋体" w:hAnsi="宋体" w:cs="宋体"/>
          <w:b/>
          <w:spacing w:val="2"/>
          <w:w w:val="99"/>
          <w:kern w:val="0"/>
          <w:szCs w:val="21"/>
        </w:rPr>
        <w:t>2. 投标报价保留两位小数，投标单位如果需要对投标报价或其它内容加以说明，可在报价说明中填写。</w:t>
      </w:r>
    </w:p>
    <w:p>
      <w:pPr>
        <w:autoSpaceDE w:val="0"/>
        <w:autoSpaceDN w:val="0"/>
        <w:adjustRightInd w:val="0"/>
        <w:spacing w:line="360" w:lineRule="auto"/>
        <w:ind w:left="716" w:right="-20"/>
        <w:jc w:val="left"/>
        <w:rPr>
          <w:rFonts w:ascii="宋体" w:hAnsi="宋体" w:cs="宋体"/>
          <w:b/>
          <w:spacing w:val="2"/>
          <w:w w:val="99"/>
          <w:kern w:val="0"/>
          <w:szCs w:val="21"/>
        </w:rPr>
      </w:pPr>
      <w:r>
        <w:rPr>
          <w:rFonts w:hint="eastAsia" w:ascii="宋体" w:hAnsi="宋体" w:cs="宋体"/>
          <w:b/>
          <w:spacing w:val="2"/>
          <w:w w:val="99"/>
          <w:kern w:val="0"/>
          <w:szCs w:val="21"/>
        </w:rPr>
        <w:t>3.各投标人将此表内容不填写，只加盖单位章后，一式两份带到开标地点，现场进行最终报价。</w:t>
      </w:r>
    </w:p>
    <w:p>
      <w:pPr>
        <w:autoSpaceDE w:val="0"/>
        <w:autoSpaceDN w:val="0"/>
        <w:adjustRightInd w:val="0"/>
        <w:spacing w:line="360" w:lineRule="auto"/>
        <w:jc w:val="left"/>
        <w:rPr>
          <w:rFonts w:ascii="宋体" w:hAnsi="宋体" w:cs="宋体"/>
          <w:kern w:val="0"/>
          <w:sz w:val="20"/>
          <w:szCs w:val="20"/>
        </w:rPr>
      </w:pPr>
    </w:p>
    <w:p>
      <w:pPr>
        <w:spacing w:line="500" w:lineRule="exact"/>
        <w:ind w:firstLine="420" w:firstLineChars="200"/>
        <w:rPr>
          <w:rFonts w:ascii="宋体" w:hAnsi="宋体" w:cs="宋体"/>
          <w:szCs w:val="21"/>
        </w:rPr>
      </w:pPr>
      <w:r>
        <w:rPr>
          <w:rFonts w:hint="eastAsia" w:ascii="宋体" w:hAnsi="宋体" w:cs="宋体"/>
          <w:szCs w:val="21"/>
        </w:rPr>
        <w:t>投标人（盖公章）：</w:t>
      </w:r>
    </w:p>
    <w:p>
      <w:pPr>
        <w:spacing w:line="500" w:lineRule="exact"/>
        <w:ind w:firstLine="420" w:firstLineChars="200"/>
        <w:rPr>
          <w:rFonts w:ascii="宋体" w:hAnsi="宋体" w:cs="宋体"/>
          <w:szCs w:val="21"/>
        </w:rPr>
      </w:pPr>
      <w:r>
        <w:rPr>
          <w:rFonts w:hint="eastAsia" w:ascii="宋体" w:hAnsi="宋体" w:cs="宋体"/>
          <w:szCs w:val="21"/>
        </w:rPr>
        <w:t>法定代表人（签字或盖章）：</w:t>
      </w:r>
    </w:p>
    <w:p>
      <w:pPr>
        <w:spacing w:line="500" w:lineRule="exact"/>
        <w:ind w:firstLine="420" w:firstLineChars="200"/>
        <w:rPr>
          <w:rFonts w:ascii="宋体" w:hAnsi="宋体" w:cs="宋体"/>
          <w:szCs w:val="21"/>
        </w:rPr>
      </w:pPr>
      <w:r>
        <w:rPr>
          <w:rFonts w:hint="eastAsia" w:ascii="宋体" w:hAnsi="宋体" w:cs="宋体"/>
          <w:szCs w:val="21"/>
        </w:rPr>
        <w:t>授权代理人（签字）：</w:t>
      </w:r>
    </w:p>
    <w:p>
      <w:pPr>
        <w:spacing w:line="500" w:lineRule="exact"/>
        <w:ind w:firstLine="420" w:firstLineChars="200"/>
        <w:rPr>
          <w:rFonts w:ascii="宋体" w:hAnsi="宋体" w:cs="宋体"/>
          <w:szCs w:val="21"/>
        </w:rPr>
      </w:pPr>
      <w:r>
        <w:rPr>
          <w:rFonts w:hint="eastAsia" w:ascii="宋体" w:hAnsi="宋体" w:cs="宋体"/>
          <w:szCs w:val="21"/>
        </w:rPr>
        <w:t>日期：   年   月  日</w:t>
      </w:r>
    </w:p>
    <w:p>
      <w:pPr>
        <w:spacing w:line="500" w:lineRule="exact"/>
        <w:ind w:firstLine="420" w:firstLineChars="200"/>
        <w:jc w:val="center"/>
        <w:rPr>
          <w:rFonts w:ascii="宋体" w:hAnsi="宋体" w:cs="宋体"/>
          <w:szCs w:val="21"/>
        </w:rPr>
      </w:pPr>
      <w:r>
        <w:rPr>
          <w:rFonts w:hint="eastAsia" w:ascii="宋体" w:hAnsi="宋体" w:cs="宋体"/>
          <w:szCs w:val="21"/>
        </w:rPr>
        <w:br w:type="page"/>
      </w:r>
    </w:p>
    <w:p>
      <w:pPr>
        <w:spacing w:line="500" w:lineRule="exact"/>
        <w:rPr>
          <w:rFonts w:ascii="宋体" w:hAnsi="宋体" w:cs="宋体"/>
          <w:szCs w:val="21"/>
        </w:rPr>
      </w:pPr>
    </w:p>
    <w:p>
      <w:pPr>
        <w:spacing w:line="500" w:lineRule="exact"/>
        <w:ind w:firstLine="420" w:firstLineChars="200"/>
        <w:jc w:val="left"/>
        <w:rPr>
          <w:rFonts w:ascii="宋体" w:hAnsi="宋体" w:cs="宋体"/>
          <w:szCs w:val="21"/>
          <w:lang w:val="zh-CN"/>
        </w:rPr>
      </w:pPr>
      <w:r>
        <w:rPr>
          <w:rFonts w:hint="eastAsia" w:ascii="宋体" w:hAnsi="宋体" w:cs="宋体"/>
          <w:szCs w:val="21"/>
          <w:lang w:val="zh-CN"/>
        </w:rPr>
        <w:t>（封面示例）</w:t>
      </w:r>
    </w:p>
    <w:p>
      <w:pPr>
        <w:spacing w:line="500" w:lineRule="exact"/>
        <w:ind w:firstLine="420" w:firstLineChars="200"/>
        <w:jc w:val="center"/>
        <w:rPr>
          <w:rFonts w:ascii="宋体" w:hAnsi="宋体" w:cs="宋体"/>
          <w:szCs w:val="21"/>
          <w:lang w:val="zh-CN"/>
        </w:rPr>
      </w:pPr>
      <w:r>
        <w:rPr>
          <w:rFonts w:hint="eastAsia" w:ascii="宋体" w:hAnsi="宋体" w:cs="宋体"/>
          <w:szCs w:val="21"/>
        </w:rPr>
        <w:t xml:space="preserve">                                                                        </w:t>
      </w:r>
      <w:r>
        <w:rPr>
          <w:rFonts w:hint="eastAsia" w:ascii="宋体" w:hAnsi="宋体" w:cs="宋体"/>
          <w:szCs w:val="21"/>
          <w:lang w:val="zh-CN"/>
        </w:rPr>
        <w:t>正本</w:t>
      </w:r>
    </w:p>
    <w:p>
      <w:pPr>
        <w:spacing w:line="500" w:lineRule="exact"/>
        <w:ind w:firstLine="420" w:firstLineChars="200"/>
        <w:rPr>
          <w:rFonts w:ascii="宋体" w:hAnsi="宋体" w:cs="宋体"/>
          <w:szCs w:val="21"/>
          <w:lang w:val="zh-CN"/>
        </w:rPr>
      </w:pPr>
    </w:p>
    <w:p>
      <w:pPr>
        <w:spacing w:line="500" w:lineRule="exact"/>
        <w:ind w:firstLine="600" w:firstLineChars="200"/>
        <w:jc w:val="center"/>
        <w:rPr>
          <w:rFonts w:ascii="宋体" w:hAnsi="宋体" w:cs="宋体"/>
          <w:sz w:val="30"/>
          <w:szCs w:val="30"/>
        </w:rPr>
      </w:pPr>
    </w:p>
    <w:p>
      <w:pPr>
        <w:spacing w:line="500" w:lineRule="exact"/>
        <w:ind w:firstLine="600" w:firstLineChars="200"/>
        <w:jc w:val="center"/>
        <w:rPr>
          <w:rFonts w:ascii="宋体" w:hAnsi="宋体" w:cs="宋体"/>
          <w:sz w:val="30"/>
          <w:szCs w:val="30"/>
          <w:lang w:val="zh-CN"/>
        </w:rPr>
      </w:pPr>
      <w:r>
        <w:rPr>
          <w:rFonts w:hint="eastAsia" w:ascii="宋体" w:hAnsi="宋体" w:cs="宋体"/>
          <w:sz w:val="30"/>
          <w:szCs w:val="30"/>
        </w:rPr>
        <w:t>磋 商 响 应 文 件</w:t>
      </w:r>
      <w:r>
        <w:rPr>
          <w:rFonts w:hint="eastAsia" w:ascii="宋体" w:hAnsi="宋体" w:cs="宋体"/>
          <w:sz w:val="30"/>
          <w:szCs w:val="30"/>
          <w:lang w:val="zh-CN"/>
        </w:rPr>
        <w:t xml:space="preserve"> </w:t>
      </w: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r>
        <w:rPr>
          <w:rFonts w:hint="eastAsia" w:ascii="宋体" w:hAnsi="宋体" w:cs="宋体"/>
          <w:szCs w:val="21"/>
          <w:lang w:val="zh-CN"/>
        </w:rPr>
        <w:t>项目名称：</w:t>
      </w:r>
    </w:p>
    <w:p>
      <w:pPr>
        <w:spacing w:line="500" w:lineRule="exact"/>
        <w:ind w:firstLine="420" w:firstLineChars="200"/>
        <w:rPr>
          <w:rFonts w:ascii="宋体" w:hAnsi="宋体" w:cs="宋体"/>
          <w:szCs w:val="21"/>
          <w:lang w:val="zh-CN"/>
        </w:rPr>
      </w:pPr>
      <w:r>
        <w:rPr>
          <w:rFonts w:hint="eastAsia" w:ascii="宋体" w:hAnsi="宋体" w:cs="宋体"/>
          <w:szCs w:val="21"/>
          <w:lang w:val="zh-CN"/>
        </w:rPr>
        <w:t>项目编号：</w:t>
      </w:r>
    </w:p>
    <w:p>
      <w:pPr>
        <w:spacing w:line="500" w:lineRule="exact"/>
        <w:ind w:firstLine="420" w:firstLineChars="200"/>
        <w:rPr>
          <w:rFonts w:ascii="宋体" w:hAnsi="宋体" w:cs="宋体"/>
          <w:szCs w:val="21"/>
          <w:lang w:val="zh-CN"/>
        </w:rPr>
      </w:pPr>
      <w:r>
        <w:rPr>
          <w:rFonts w:hint="eastAsia" w:ascii="宋体" w:hAnsi="宋体" w:cs="宋体"/>
          <w:szCs w:val="21"/>
          <w:lang w:val="zh-CN"/>
        </w:rPr>
        <w:t>投标人（盖公章）：×××公司</w:t>
      </w:r>
    </w:p>
    <w:p>
      <w:pPr>
        <w:spacing w:line="500" w:lineRule="exact"/>
        <w:ind w:firstLine="420" w:firstLineChars="200"/>
        <w:rPr>
          <w:rFonts w:ascii="宋体" w:hAnsi="宋体" w:cs="宋体"/>
          <w:szCs w:val="21"/>
          <w:lang w:val="zh-CN"/>
        </w:rPr>
      </w:pPr>
      <w:r>
        <w:rPr>
          <w:rFonts w:hint="eastAsia" w:ascii="宋体" w:hAnsi="宋体" w:cs="宋体"/>
          <w:szCs w:val="21"/>
          <w:lang w:val="zh-CN"/>
        </w:rPr>
        <w:t>法定代表人（签字或盖章）:</w:t>
      </w:r>
    </w:p>
    <w:p>
      <w:pPr>
        <w:spacing w:line="500" w:lineRule="exact"/>
        <w:ind w:firstLine="420" w:firstLineChars="200"/>
        <w:rPr>
          <w:rFonts w:ascii="宋体" w:hAnsi="宋体" w:cs="宋体"/>
          <w:szCs w:val="21"/>
          <w:lang w:val="zh-CN"/>
        </w:rPr>
      </w:pPr>
      <w:r>
        <w:rPr>
          <w:rFonts w:hint="eastAsia" w:ascii="宋体" w:hAnsi="宋体" w:cs="宋体"/>
          <w:szCs w:val="21"/>
          <w:lang w:val="zh-CN"/>
        </w:rPr>
        <w:t>授权代理人（签字）:</w:t>
      </w:r>
    </w:p>
    <w:p>
      <w:pPr>
        <w:spacing w:line="500" w:lineRule="exact"/>
        <w:ind w:firstLine="420" w:firstLineChars="200"/>
        <w:rPr>
          <w:rFonts w:ascii="宋体" w:hAnsi="宋体" w:cs="宋体"/>
          <w:szCs w:val="21"/>
          <w:lang w:val="zh-CN"/>
        </w:rPr>
      </w:pPr>
      <w:r>
        <w:rPr>
          <w:rFonts w:hint="eastAsia" w:ascii="宋体" w:hAnsi="宋体" w:cs="宋体"/>
          <w:szCs w:val="21"/>
          <w:lang w:val="zh-CN"/>
        </w:rPr>
        <w:t>地址：</w:t>
      </w:r>
    </w:p>
    <w:p>
      <w:pPr>
        <w:spacing w:line="500" w:lineRule="exact"/>
        <w:ind w:firstLine="420" w:firstLineChars="200"/>
        <w:rPr>
          <w:rFonts w:ascii="宋体" w:hAnsi="宋体" w:cs="宋体"/>
          <w:szCs w:val="21"/>
          <w:lang w:val="zh-CN"/>
        </w:rPr>
      </w:pPr>
      <w:r>
        <w:rPr>
          <w:rFonts w:hint="eastAsia" w:ascii="宋体" w:hAnsi="宋体" w:cs="宋体"/>
          <w:szCs w:val="21"/>
          <w:lang w:val="zh-CN"/>
        </w:rPr>
        <w:t>邮编：</w:t>
      </w:r>
    </w:p>
    <w:p>
      <w:pPr>
        <w:spacing w:line="500" w:lineRule="exact"/>
        <w:ind w:firstLine="420" w:firstLineChars="200"/>
        <w:rPr>
          <w:rFonts w:ascii="宋体" w:hAnsi="宋体" w:cs="宋体"/>
          <w:szCs w:val="21"/>
          <w:lang w:val="zh-CN"/>
        </w:rPr>
      </w:pPr>
      <w:r>
        <w:rPr>
          <w:rFonts w:hint="eastAsia" w:ascii="宋体" w:hAnsi="宋体" w:cs="宋体"/>
          <w:szCs w:val="21"/>
          <w:lang w:val="zh-CN"/>
        </w:rPr>
        <w:t>联系人：</w:t>
      </w:r>
    </w:p>
    <w:p>
      <w:pPr>
        <w:spacing w:line="500" w:lineRule="exact"/>
        <w:ind w:firstLine="420" w:firstLineChars="200"/>
        <w:rPr>
          <w:rFonts w:ascii="宋体" w:hAnsi="宋体" w:cs="宋体"/>
          <w:szCs w:val="21"/>
          <w:lang w:val="zh-CN"/>
        </w:rPr>
      </w:pPr>
      <w:r>
        <w:rPr>
          <w:rFonts w:hint="eastAsia" w:ascii="宋体" w:hAnsi="宋体" w:cs="宋体"/>
          <w:szCs w:val="21"/>
          <w:lang w:val="zh-CN"/>
        </w:rPr>
        <w:t>联系电话：</w:t>
      </w:r>
    </w:p>
    <w:p>
      <w:pPr>
        <w:spacing w:line="500" w:lineRule="exact"/>
        <w:ind w:firstLine="420" w:firstLineChars="200"/>
        <w:rPr>
          <w:rFonts w:ascii="宋体" w:hAnsi="宋体" w:cs="宋体"/>
          <w:szCs w:val="21"/>
          <w:lang w:val="zh-CN"/>
        </w:rPr>
      </w:pPr>
      <w:r>
        <w:rPr>
          <w:rFonts w:hint="eastAsia" w:ascii="宋体" w:hAnsi="宋体" w:cs="宋体"/>
          <w:szCs w:val="21"/>
          <w:lang w:val="zh-CN"/>
        </w:rPr>
        <w:t>编制时间：×年×月×日</w:t>
      </w:r>
    </w:p>
    <w:p>
      <w:pPr>
        <w:spacing w:line="500" w:lineRule="exact"/>
        <w:ind w:firstLine="420" w:firstLineChars="200"/>
        <w:rPr>
          <w:rFonts w:ascii="宋体" w:hAnsi="宋体" w:cs="宋体"/>
          <w:b/>
          <w:bCs/>
          <w:sz w:val="18"/>
          <w:szCs w:val="18"/>
        </w:rPr>
      </w:pPr>
      <w:r>
        <w:rPr>
          <w:rFonts w:hint="eastAsia" w:ascii="宋体" w:hAnsi="宋体" w:cs="宋体"/>
          <w:szCs w:val="21"/>
          <w:lang w:val="zh-CN"/>
        </w:rPr>
        <w:br w:type="page"/>
      </w:r>
    </w:p>
    <w:p>
      <w:pPr>
        <w:spacing w:line="500" w:lineRule="exact"/>
        <w:ind w:firstLine="411" w:firstLineChars="196"/>
        <w:jc w:val="right"/>
        <w:rPr>
          <w:rFonts w:ascii="宋体" w:hAnsi="宋体" w:cs="宋体"/>
          <w:szCs w:val="21"/>
          <w:lang w:val="zh-CN"/>
        </w:rPr>
      </w:pPr>
    </w:p>
    <w:p>
      <w:pPr>
        <w:spacing w:line="500" w:lineRule="exact"/>
        <w:ind w:firstLine="411" w:firstLineChars="196"/>
        <w:rPr>
          <w:rFonts w:ascii="宋体" w:hAnsi="宋体" w:cs="宋体"/>
          <w:szCs w:val="21"/>
          <w:lang w:val="zh-CN"/>
        </w:rPr>
      </w:pPr>
    </w:p>
    <w:p>
      <w:pPr>
        <w:spacing w:line="500" w:lineRule="exact"/>
        <w:ind w:firstLine="560" w:firstLineChars="200"/>
        <w:jc w:val="center"/>
        <w:rPr>
          <w:rFonts w:ascii="宋体" w:hAnsi="宋体" w:cs="宋体"/>
          <w:sz w:val="28"/>
          <w:szCs w:val="28"/>
        </w:rPr>
      </w:pPr>
    </w:p>
    <w:p>
      <w:pPr>
        <w:spacing w:line="500" w:lineRule="exact"/>
        <w:ind w:firstLine="560" w:firstLineChars="200"/>
        <w:jc w:val="center"/>
        <w:rPr>
          <w:rFonts w:ascii="宋体" w:hAnsi="宋体" w:cs="宋体"/>
          <w:sz w:val="28"/>
          <w:szCs w:val="28"/>
        </w:rPr>
      </w:pPr>
    </w:p>
    <w:p>
      <w:pPr>
        <w:spacing w:line="500" w:lineRule="exact"/>
        <w:ind w:firstLine="560" w:firstLineChars="200"/>
        <w:jc w:val="center"/>
        <w:rPr>
          <w:rFonts w:ascii="宋体" w:hAnsi="宋体" w:cs="宋体"/>
          <w:sz w:val="28"/>
          <w:szCs w:val="28"/>
        </w:rPr>
      </w:pPr>
    </w:p>
    <w:p>
      <w:pPr>
        <w:pStyle w:val="2"/>
        <w:rPr>
          <w:rFonts w:ascii="宋体" w:hAnsi="宋体" w:cs="宋体"/>
          <w:sz w:val="28"/>
          <w:szCs w:val="28"/>
        </w:rPr>
      </w:pPr>
    </w:p>
    <w:p>
      <w:pPr>
        <w:rPr>
          <w:rFonts w:ascii="宋体" w:hAnsi="宋体" w:cs="宋体"/>
          <w:sz w:val="28"/>
          <w:szCs w:val="28"/>
        </w:rPr>
      </w:pPr>
    </w:p>
    <w:p>
      <w:pPr>
        <w:pStyle w:val="2"/>
      </w:pPr>
    </w:p>
    <w:p>
      <w:pPr>
        <w:spacing w:line="500" w:lineRule="exact"/>
        <w:ind w:firstLine="560" w:firstLineChars="200"/>
        <w:jc w:val="center"/>
        <w:rPr>
          <w:rFonts w:ascii="宋体" w:hAnsi="宋体" w:cs="宋体"/>
          <w:sz w:val="28"/>
          <w:szCs w:val="28"/>
          <w:lang w:val="zh-CN"/>
        </w:rPr>
      </w:pPr>
      <w:r>
        <w:rPr>
          <w:rFonts w:hint="eastAsia" w:ascii="宋体" w:hAnsi="宋体" w:cs="宋体"/>
          <w:sz w:val="28"/>
          <w:szCs w:val="28"/>
        </w:rPr>
        <w:t>磋 商 响 应 文 件</w:t>
      </w:r>
      <w:r>
        <w:rPr>
          <w:rFonts w:hint="eastAsia" w:ascii="宋体" w:hAnsi="宋体" w:cs="宋体"/>
          <w:sz w:val="28"/>
          <w:szCs w:val="28"/>
          <w:lang w:val="zh-CN"/>
        </w:rPr>
        <w:t xml:space="preserve"> </w:t>
      </w:r>
    </w:p>
    <w:p>
      <w:pPr>
        <w:spacing w:line="500" w:lineRule="exact"/>
        <w:ind w:firstLine="560" w:firstLineChars="200"/>
        <w:jc w:val="center"/>
        <w:rPr>
          <w:rFonts w:ascii="宋体" w:hAnsi="宋体" w:cs="宋体"/>
          <w:sz w:val="28"/>
          <w:szCs w:val="28"/>
          <w:lang w:val="zh-CN"/>
        </w:rPr>
      </w:pPr>
      <w:r>
        <w:rPr>
          <w:rFonts w:hint="eastAsia" w:ascii="宋体" w:hAnsi="宋体" w:cs="宋体"/>
          <w:sz w:val="28"/>
          <w:szCs w:val="28"/>
          <w:lang w:val="zh-CN"/>
        </w:rPr>
        <w:t>（</w:t>
      </w:r>
      <w:r>
        <w:rPr>
          <w:rFonts w:hint="eastAsia" w:ascii="宋体" w:hAnsi="宋体" w:cs="宋体"/>
          <w:sz w:val="28"/>
          <w:szCs w:val="28"/>
        </w:rPr>
        <w:t>商务</w:t>
      </w:r>
      <w:r>
        <w:rPr>
          <w:rFonts w:hint="eastAsia" w:ascii="宋体" w:hAnsi="宋体" w:cs="宋体"/>
          <w:sz w:val="28"/>
          <w:szCs w:val="28"/>
          <w:lang w:val="zh-CN"/>
        </w:rPr>
        <w:t>标部分）</w:t>
      </w:r>
    </w:p>
    <w:p>
      <w:pPr>
        <w:spacing w:line="500" w:lineRule="exact"/>
        <w:ind w:firstLine="411" w:firstLineChars="196"/>
        <w:jc w:val="center"/>
        <w:rPr>
          <w:rFonts w:ascii="宋体" w:hAnsi="宋体" w:cs="宋体"/>
          <w:szCs w:val="21"/>
          <w:lang w:val="zh-CN"/>
        </w:rPr>
      </w:pPr>
    </w:p>
    <w:p>
      <w:pPr>
        <w:spacing w:line="500" w:lineRule="exact"/>
        <w:ind w:firstLine="411" w:firstLineChars="196"/>
        <w:rPr>
          <w:rFonts w:ascii="宋体" w:hAnsi="宋体" w:cs="宋体"/>
          <w:szCs w:val="21"/>
          <w:lang w:val="zh-CN"/>
        </w:rPr>
      </w:pPr>
    </w:p>
    <w:p>
      <w:pPr>
        <w:spacing w:line="500" w:lineRule="exact"/>
        <w:ind w:firstLine="411" w:firstLineChars="196"/>
        <w:rPr>
          <w:rFonts w:ascii="宋体" w:hAnsi="宋体" w:cs="宋体"/>
          <w:szCs w:val="21"/>
          <w:lang w:val="zh-CN"/>
        </w:rPr>
      </w:pPr>
    </w:p>
    <w:p>
      <w:pPr>
        <w:spacing w:line="500" w:lineRule="exact"/>
        <w:ind w:firstLine="411" w:firstLineChars="196"/>
        <w:rPr>
          <w:rFonts w:ascii="宋体" w:hAnsi="宋体" w:cs="宋体"/>
          <w:szCs w:val="21"/>
          <w:lang w:val="zh-CN"/>
        </w:rPr>
      </w:pPr>
    </w:p>
    <w:p>
      <w:pPr>
        <w:spacing w:line="500" w:lineRule="exact"/>
        <w:ind w:firstLine="411" w:firstLineChars="196"/>
        <w:rPr>
          <w:rFonts w:ascii="宋体" w:hAnsi="宋体" w:cs="宋体"/>
          <w:szCs w:val="21"/>
          <w:lang w:val="zh-CN"/>
        </w:rPr>
      </w:pPr>
    </w:p>
    <w:p>
      <w:pPr>
        <w:spacing w:line="500" w:lineRule="exact"/>
        <w:ind w:firstLine="411" w:firstLineChars="196"/>
        <w:rPr>
          <w:rFonts w:ascii="宋体" w:hAnsi="宋体" w:cs="宋体"/>
          <w:szCs w:val="21"/>
          <w:lang w:val="zh-CN"/>
        </w:rPr>
      </w:pPr>
    </w:p>
    <w:p>
      <w:pPr>
        <w:spacing w:line="500" w:lineRule="exact"/>
        <w:ind w:firstLine="411" w:firstLineChars="196"/>
        <w:rPr>
          <w:rFonts w:ascii="宋体" w:hAnsi="宋体" w:cs="宋体"/>
          <w:szCs w:val="21"/>
          <w:lang w:val="zh-CN"/>
        </w:rPr>
      </w:pPr>
    </w:p>
    <w:p>
      <w:pPr>
        <w:spacing w:line="500" w:lineRule="exact"/>
        <w:ind w:firstLine="411" w:firstLineChars="196"/>
        <w:jc w:val="center"/>
        <w:rPr>
          <w:rFonts w:ascii="宋体" w:hAnsi="宋体" w:cs="宋体"/>
          <w:b/>
          <w:bCs/>
          <w:kern w:val="0"/>
          <w:szCs w:val="21"/>
        </w:rPr>
      </w:pPr>
      <w:r>
        <w:rPr>
          <w:rFonts w:hint="eastAsia" w:ascii="宋体" w:hAnsi="宋体" w:cs="宋体"/>
          <w:szCs w:val="21"/>
          <w:lang w:val="zh-CN"/>
        </w:rPr>
        <w:br w:type="page"/>
      </w:r>
      <w:r>
        <w:rPr>
          <w:rFonts w:hint="eastAsia" w:ascii="宋体" w:hAnsi="宋体" w:cs="宋体"/>
          <w:b/>
          <w:bCs/>
          <w:kern w:val="0"/>
          <w:szCs w:val="21"/>
        </w:rPr>
        <w:t>目录</w:t>
      </w:r>
    </w:p>
    <w:p>
      <w:pPr>
        <w:autoSpaceDE w:val="0"/>
        <w:autoSpaceDN w:val="0"/>
        <w:adjustRightInd w:val="0"/>
        <w:spacing w:line="440" w:lineRule="exact"/>
        <w:ind w:firstLine="422" w:firstLineChars="200"/>
        <w:jc w:val="left"/>
        <w:rPr>
          <w:rFonts w:ascii="宋体" w:hAnsi="宋体" w:cs="宋体"/>
          <w:bCs/>
          <w:kern w:val="0"/>
          <w:szCs w:val="21"/>
        </w:rPr>
      </w:pPr>
      <w:r>
        <w:rPr>
          <w:rFonts w:hint="eastAsia" w:ascii="宋体" w:hAnsi="宋体" w:cs="宋体"/>
          <w:b/>
          <w:bCs/>
          <w:kern w:val="0"/>
          <w:szCs w:val="21"/>
        </w:rPr>
        <w:t>商务标部分主要包括</w:t>
      </w:r>
      <w:r>
        <w:rPr>
          <w:rFonts w:hint="eastAsia" w:ascii="宋体" w:hAnsi="宋体" w:cs="宋体"/>
          <w:b/>
          <w:szCs w:val="21"/>
        </w:rPr>
        <w:t>但不限于以下内容：</w:t>
      </w:r>
    </w:p>
    <w:p>
      <w:pPr>
        <w:numPr>
          <w:ilvl w:val="0"/>
          <w:numId w:val="8"/>
        </w:num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概况及企业综合实力[包括不限于：合法有效的营业执照、组织机构代码证、税务登记证（若三证合一只须提供营业执照副本）；企业资质证书；项目负责人注册建造师证、安全生产考核合格证书；安全生产许可证；综合信用评价报告；2021年至今任意1个月完税证明材料；2021年至今任意1个月社会保障资金的凭据证明材料，如依法不需要缴纳社会保障资金的，应提供相关材料；提供2021年年度财务审计报告或2022年任意1个月的财务状况报告，或提供基本户银行出具的资信证明材料（成立未满一年的公司可以不提供财务审计报告，须提供财务报表（财务报表内容须包括资产、负债、现金等报表））；投标资格声明；参加政府采购活动前3年内在经营活动中没有重大违法记录的书面声明；未被“信用中国”（www.creditchina.gov.cn）、中国政府采购网（www.ccgp.gov.cn）列入失信被执行人、重大税收违法案件当事人名单、政府采购严重违法失信行为记录名单（提供加盖公章的截图打印件）。投标人符合采购文件要求的有关资格及证明资料复印件。</w:t>
      </w:r>
      <w:r>
        <w:rPr>
          <w:rFonts w:hint="eastAsia" w:ascii="宋体" w:hAnsi="宋体" w:cs="宋体"/>
          <w:b/>
          <w:kern w:val="0"/>
          <w:szCs w:val="21"/>
        </w:rPr>
        <w:t>此部分内容必须按以上内容编制。</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（2）投标承诺书（一）；</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（3）投标承诺书（二）；</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（4）法定代表人身份证明书（原件）和法定代表人身份证（复印件）或者法定代表人授权委托书（原件）及被授权人身份证明（复印件）；</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（5）投标保证金收据的复印件（以招标代理机构开具的为准)；</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（6）商务条款偏离表；</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（7）项目负责人简历；</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（8）拟投入本项目的人员表；现场服务计划表；</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（9）投标人工期、质量及服务承诺；维保计划；合理建议等（原件）；</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（10）技术偏离表；</w:t>
      </w:r>
    </w:p>
    <w:p>
      <w:pPr>
        <w:autoSpaceDE w:val="0"/>
        <w:autoSpaceDN w:val="0"/>
        <w:adjustRightInd w:val="0"/>
        <w:spacing w:line="500" w:lineRule="exact"/>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（11）投标人2019年1月至今类似业绩（复印件）；</w:t>
      </w:r>
    </w:p>
    <w:p>
      <w:pPr>
        <w:autoSpaceDE w:val="0"/>
        <w:autoSpaceDN w:val="0"/>
        <w:adjustRightInd w:val="0"/>
        <w:spacing w:line="500" w:lineRule="exact"/>
        <w:ind w:firstLine="420" w:firstLineChars="200"/>
        <w:jc w:val="left"/>
      </w:pPr>
      <w:r>
        <w:rPr>
          <w:rFonts w:hint="eastAsia" w:ascii="宋体" w:hAnsi="宋体" w:cs="宋体"/>
          <w:bCs/>
          <w:kern w:val="0"/>
          <w:szCs w:val="21"/>
        </w:rPr>
        <w:t>（12）政府采购诚信承诺书；</w:t>
      </w:r>
    </w:p>
    <w:p>
      <w:pPr>
        <w:autoSpaceDE w:val="0"/>
        <w:autoSpaceDN w:val="0"/>
        <w:adjustRightInd w:val="0"/>
        <w:spacing w:line="440" w:lineRule="exact"/>
        <w:ind w:firstLine="420" w:firstLineChars="200"/>
        <w:jc w:val="left"/>
        <w:rPr>
          <w:rFonts w:ascii="宋体" w:hAnsi="宋体" w:cs="宋体"/>
          <w:bCs/>
          <w:kern w:val="0"/>
          <w:szCs w:val="21"/>
        </w:rPr>
      </w:pPr>
      <w:r>
        <w:rPr>
          <w:rFonts w:hint="eastAsia" w:ascii="宋体" w:hAnsi="宋体" w:cs="宋体"/>
          <w:bCs/>
          <w:kern w:val="0"/>
          <w:szCs w:val="21"/>
        </w:rPr>
        <w:t>（13）投标人认为有必要提供的其它资料。</w:t>
      </w:r>
    </w:p>
    <w:p>
      <w:pPr>
        <w:spacing w:line="440" w:lineRule="exact"/>
        <w:ind w:firstLine="413" w:firstLineChars="196"/>
        <w:rPr>
          <w:rFonts w:ascii="宋体" w:hAnsi="宋体" w:cs="宋体"/>
          <w:szCs w:val="21"/>
        </w:rPr>
      </w:pPr>
      <w:r>
        <w:rPr>
          <w:rFonts w:hint="eastAsia" w:ascii="宋体" w:hAnsi="宋体" w:cs="宋体"/>
          <w:b/>
          <w:szCs w:val="21"/>
        </w:rPr>
        <w:t>（注：投标人提供的磋商响应文件应当使用招标文件所提供磋商响应文件格式（表格可按照同样格式扩展）。未提供格式的，需要时由投标人用文字或者表格、图片等其它形式提供。）</w:t>
      </w:r>
    </w:p>
    <w:p>
      <w:pPr>
        <w:autoSpaceDE w:val="0"/>
        <w:autoSpaceDN w:val="0"/>
        <w:adjustRightInd w:val="0"/>
        <w:spacing w:line="500" w:lineRule="exact"/>
        <w:ind w:firstLine="360" w:firstLineChars="200"/>
        <w:jc w:val="center"/>
        <w:rPr>
          <w:rFonts w:ascii="宋体" w:hAnsi="宋体" w:cs="宋体"/>
          <w:bCs/>
          <w:kern w:val="0"/>
          <w:szCs w:val="21"/>
        </w:rPr>
      </w:pPr>
      <w:r>
        <w:rPr>
          <w:rFonts w:hint="eastAsia" w:ascii="宋体" w:hAnsi="宋体" w:cs="宋体"/>
          <w:sz w:val="18"/>
          <w:szCs w:val="18"/>
        </w:rPr>
        <w:br w:type="page"/>
      </w:r>
      <w:r>
        <w:rPr>
          <w:rFonts w:hint="eastAsia" w:ascii="宋体" w:hAnsi="宋体" w:cs="宋体"/>
          <w:bCs/>
          <w:kern w:val="0"/>
          <w:szCs w:val="21"/>
        </w:rPr>
        <w:t>投标承诺书（一）</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招标人：</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我方收到并研究了贵方</w:t>
      </w:r>
      <w:r>
        <w:rPr>
          <w:rFonts w:hint="eastAsia" w:ascii="宋体" w:hAnsi="宋体" w:cs="宋体"/>
          <w:bCs/>
          <w:kern w:val="0"/>
          <w:szCs w:val="21"/>
          <w:u w:val="single"/>
        </w:rPr>
        <w:t xml:space="preserve">            </w:t>
      </w:r>
      <w:r>
        <w:rPr>
          <w:rFonts w:hint="eastAsia" w:ascii="宋体" w:hAnsi="宋体" w:cs="宋体"/>
          <w:bCs/>
          <w:kern w:val="0"/>
          <w:szCs w:val="21"/>
        </w:rPr>
        <w:t>项目的采购文件，愿意按照采购文件规定的内容承担该项目的投标任务，严格执行我方所承诺的责任和义务。为此，我方郑重声明以下诸点，并负法律责任。</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1、我方提交投标文件，正本壹份，副本贰份，开标一览表壹份，</w:t>
      </w:r>
      <w:r>
        <w:rPr>
          <w:rFonts w:hint="eastAsia" w:ascii="宋体" w:hAnsi="宋体" w:cs="宋体"/>
          <w:bCs/>
          <w:szCs w:val="21"/>
        </w:rPr>
        <w:t>电子版文件</w:t>
      </w:r>
      <w:r>
        <w:rPr>
          <w:rFonts w:hint="eastAsia" w:ascii="宋体" w:hAnsi="宋体" w:cs="宋体"/>
          <w:bCs/>
          <w:kern w:val="0"/>
          <w:szCs w:val="21"/>
        </w:rPr>
        <w:t>壹份；我方愿按《中华人民共和国政府采购法》及其他有关法律、法规的规定，自觉履行自己的全部责任。</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2、我方同意在投标有效期内遵守本投标文件，在此期限期满前的任何时间，本投标文件一直对我们具有约束力。</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3、如果我方投标文件被接受，我方将按照采购文件的规定，我方保证将按招标要求和投标文件中的承诺按期、按质、按量交付使用方。</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4、如果我方中标，我方将在采购文件规定的时间内签订委托合同并按招标要求提供履约担保。如果我方违约，除投标保证金不予退还外，贵方有权终止我方中标并选择其它中标人。</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5、如果我方中标，我方将在采购文件规定的时间内签订服务合同。如果我方违约，借故拒签合同或拖延签订的，则招标人将废除授标，投标保证金不予退还，给招标人造成的损失超过投保证金保数额的，还应当对超过部分予以赔偿，同时依法承担相应法律责任，招标人可另行选择中标单位。</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6、一旦我方中标，我方愿意按招标要求承担招标代理服务费。</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7、贵方的中标通知书和本投标文件将构成约束双方的合同。</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8、如果我方未中标，贵方没有必要对我方做出任何解释和说明，我方将充分尊重和理解贵方的选择。</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 xml:space="preserve"> 9、我方的投标文件自提交投标文件截止之日起有效期为</w:t>
      </w:r>
      <w:r>
        <w:rPr>
          <w:rFonts w:hint="eastAsia" w:ascii="宋体" w:hAnsi="宋体" w:cs="宋体"/>
          <w:bCs/>
          <w:kern w:val="0"/>
          <w:szCs w:val="21"/>
          <w:u w:val="single"/>
        </w:rPr>
        <w:t xml:space="preserve">       </w:t>
      </w:r>
      <w:r>
        <w:rPr>
          <w:rFonts w:hint="eastAsia" w:ascii="宋体" w:hAnsi="宋体" w:cs="宋体"/>
          <w:bCs/>
          <w:kern w:val="0"/>
          <w:szCs w:val="21"/>
        </w:rPr>
        <w:t>天。</w:t>
      </w:r>
    </w:p>
    <w:p>
      <w:pPr>
        <w:pStyle w:val="2"/>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投标承诺书（二）</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招标人：</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若我公司中标后，项目负责人为：</w:t>
      </w:r>
    </w:p>
    <w:p>
      <w:pPr>
        <w:autoSpaceDE w:val="0"/>
        <w:autoSpaceDN w:val="0"/>
        <w:adjustRightInd w:val="0"/>
        <w:spacing w:line="500" w:lineRule="exact"/>
        <w:ind w:firstLine="420" w:firstLineChars="200"/>
        <w:jc w:val="left"/>
        <w:rPr>
          <w:rFonts w:ascii="宋体" w:hAnsi="宋体" w:cs="宋体"/>
          <w:bCs/>
          <w:kern w:val="0"/>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888"/>
        <w:gridCol w:w="2093"/>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姓名</w:t>
            </w:r>
          </w:p>
        </w:tc>
        <w:tc>
          <w:tcPr>
            <w:tcW w:w="1888" w:type="dxa"/>
            <w:vAlign w:val="center"/>
          </w:tcPr>
          <w:p>
            <w:pPr>
              <w:autoSpaceDE w:val="0"/>
              <w:autoSpaceDN w:val="0"/>
              <w:adjustRightInd w:val="0"/>
              <w:spacing w:line="500" w:lineRule="exact"/>
              <w:ind w:firstLine="420" w:firstLineChars="200"/>
              <w:jc w:val="center"/>
              <w:rPr>
                <w:rFonts w:ascii="宋体" w:hAnsi="宋体" w:cs="宋体"/>
                <w:bCs/>
                <w:kern w:val="0"/>
                <w:szCs w:val="21"/>
              </w:rPr>
            </w:pPr>
          </w:p>
        </w:tc>
        <w:tc>
          <w:tcPr>
            <w:tcW w:w="2093"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职称、专业</w:t>
            </w:r>
          </w:p>
        </w:tc>
        <w:tc>
          <w:tcPr>
            <w:tcW w:w="2056" w:type="dxa"/>
            <w:vAlign w:val="center"/>
          </w:tcPr>
          <w:p>
            <w:pPr>
              <w:autoSpaceDE w:val="0"/>
              <w:autoSpaceDN w:val="0"/>
              <w:adjustRightInd w:val="0"/>
              <w:spacing w:line="500" w:lineRule="exact"/>
              <w:ind w:firstLine="420" w:firstLineChars="20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9"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建造师证书编号</w:t>
            </w:r>
          </w:p>
        </w:tc>
        <w:tc>
          <w:tcPr>
            <w:tcW w:w="1888" w:type="dxa"/>
            <w:vAlign w:val="center"/>
          </w:tcPr>
          <w:p>
            <w:pPr>
              <w:autoSpaceDE w:val="0"/>
              <w:autoSpaceDN w:val="0"/>
              <w:adjustRightInd w:val="0"/>
              <w:spacing w:line="500" w:lineRule="exact"/>
              <w:ind w:firstLine="420" w:firstLineChars="200"/>
              <w:jc w:val="center"/>
              <w:rPr>
                <w:rFonts w:ascii="宋体" w:hAnsi="宋体" w:cs="宋体"/>
                <w:bCs/>
                <w:kern w:val="0"/>
                <w:szCs w:val="21"/>
              </w:rPr>
            </w:pPr>
          </w:p>
        </w:tc>
        <w:tc>
          <w:tcPr>
            <w:tcW w:w="2093"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建造师证书种类/等级</w:t>
            </w:r>
          </w:p>
        </w:tc>
        <w:tc>
          <w:tcPr>
            <w:tcW w:w="2056" w:type="dxa"/>
            <w:vAlign w:val="center"/>
          </w:tcPr>
          <w:p>
            <w:pPr>
              <w:autoSpaceDE w:val="0"/>
              <w:autoSpaceDN w:val="0"/>
              <w:adjustRightInd w:val="0"/>
              <w:spacing w:line="500" w:lineRule="exact"/>
              <w:ind w:firstLine="420" w:firstLineChars="20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9"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身份证号码</w:t>
            </w:r>
          </w:p>
        </w:tc>
        <w:tc>
          <w:tcPr>
            <w:tcW w:w="6037" w:type="dxa"/>
            <w:gridSpan w:val="3"/>
            <w:vAlign w:val="center"/>
          </w:tcPr>
          <w:p>
            <w:pPr>
              <w:autoSpaceDE w:val="0"/>
              <w:autoSpaceDN w:val="0"/>
              <w:adjustRightInd w:val="0"/>
              <w:spacing w:line="500" w:lineRule="exact"/>
              <w:ind w:firstLine="420" w:firstLineChars="20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59"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说明</w:t>
            </w:r>
          </w:p>
        </w:tc>
        <w:tc>
          <w:tcPr>
            <w:tcW w:w="6037" w:type="dxa"/>
            <w:gridSpan w:val="3"/>
            <w:vAlign w:val="center"/>
          </w:tcPr>
          <w:p>
            <w:pPr>
              <w:autoSpaceDE w:val="0"/>
              <w:autoSpaceDN w:val="0"/>
              <w:adjustRightInd w:val="0"/>
              <w:spacing w:line="500" w:lineRule="exact"/>
              <w:ind w:firstLine="420" w:firstLineChars="200"/>
              <w:jc w:val="center"/>
              <w:rPr>
                <w:rFonts w:ascii="宋体" w:hAnsi="宋体" w:cs="宋体"/>
                <w:bCs/>
                <w:kern w:val="0"/>
                <w:szCs w:val="21"/>
              </w:rPr>
            </w:pPr>
          </w:p>
        </w:tc>
      </w:tr>
    </w:tbl>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中标后，若由于特殊原因须更换时，我方将以不低于此项目负责人的人员替换，并报业主审查。经审查通过后，方可更换。若未经业主批准，我方擅自更换，我方愿以合同价的2%作为赔偿金。</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日期：年月日</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投  标  人  企  业  简  介</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1、投标人(盖公章)：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2、投标单位地址：</w:t>
      </w:r>
      <w:r>
        <w:rPr>
          <w:rFonts w:hint="eastAsia" w:ascii="宋体" w:hAnsi="宋体" w:cs="宋体"/>
          <w:bCs/>
          <w:kern w:val="0"/>
          <w:szCs w:val="21"/>
        </w:rPr>
        <w:tab/>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3、经营范围：</w:t>
      </w:r>
      <w:r>
        <w:rPr>
          <w:rFonts w:hint="eastAsia" w:ascii="宋体" w:hAnsi="宋体" w:cs="宋体"/>
          <w:bCs/>
          <w:kern w:val="0"/>
          <w:szCs w:val="21"/>
        </w:rPr>
        <w:tab/>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4、投标人自我介绍：</w:t>
      </w:r>
      <w:r>
        <w:rPr>
          <w:rFonts w:hint="eastAsia" w:ascii="宋体" w:hAnsi="宋体" w:cs="宋体"/>
          <w:bCs/>
          <w:kern w:val="0"/>
          <w:szCs w:val="21"/>
        </w:rPr>
        <w:tab/>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法定代表人身份证明书</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单位名称：</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所属行业：</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地址：</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营业期限：</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成立时间：</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经营范围：</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u w:val="single"/>
        </w:rPr>
      </w:pPr>
      <w:r>
        <w:rPr>
          <w:rFonts w:hint="eastAsia" w:ascii="宋体" w:hAnsi="宋体" w:cs="宋体"/>
          <w:bCs/>
          <w:kern w:val="0"/>
          <w:szCs w:val="21"/>
        </w:rPr>
        <w:t>姓名：</w:t>
      </w:r>
      <w:r>
        <w:rPr>
          <w:rFonts w:hint="eastAsia" w:ascii="宋体" w:hAnsi="宋体" w:cs="宋体"/>
          <w:bCs/>
          <w:kern w:val="0"/>
          <w:szCs w:val="21"/>
          <w:u w:val="single"/>
        </w:rPr>
        <w:t xml:space="preserve">    </w:t>
      </w:r>
      <w:r>
        <w:rPr>
          <w:rFonts w:hint="eastAsia" w:ascii="宋体" w:hAnsi="宋体" w:cs="宋体"/>
          <w:bCs/>
          <w:kern w:val="0"/>
          <w:szCs w:val="21"/>
        </w:rPr>
        <w:t>性别：</w:t>
      </w:r>
      <w:r>
        <w:rPr>
          <w:rFonts w:hint="eastAsia" w:ascii="宋体" w:hAnsi="宋体" w:cs="宋体"/>
          <w:bCs/>
          <w:kern w:val="0"/>
          <w:szCs w:val="21"/>
          <w:u w:val="single"/>
        </w:rPr>
        <w:t xml:space="preserve">   </w:t>
      </w:r>
      <w:r>
        <w:rPr>
          <w:rFonts w:hint="eastAsia" w:ascii="宋体" w:hAnsi="宋体" w:cs="宋体"/>
          <w:bCs/>
          <w:kern w:val="0"/>
          <w:szCs w:val="21"/>
        </w:rPr>
        <w:t>年龄：</w:t>
      </w:r>
      <w:r>
        <w:rPr>
          <w:rFonts w:hint="eastAsia" w:ascii="宋体" w:hAnsi="宋体" w:cs="宋体"/>
          <w:bCs/>
          <w:kern w:val="0"/>
          <w:szCs w:val="21"/>
          <w:u w:val="single"/>
        </w:rPr>
        <w:t xml:space="preserve">     </w:t>
      </w:r>
      <w:r>
        <w:rPr>
          <w:rFonts w:hint="eastAsia" w:ascii="宋体" w:hAnsi="宋体" w:cs="宋体"/>
          <w:bCs/>
          <w:kern w:val="0"/>
          <w:szCs w:val="21"/>
        </w:rPr>
        <w:t>职务：</w:t>
      </w:r>
      <w:r>
        <w:rPr>
          <w:rFonts w:hint="eastAsia" w:ascii="宋体" w:hAnsi="宋体" w:cs="宋体"/>
          <w:bCs/>
          <w:kern w:val="0"/>
          <w:szCs w:val="21"/>
          <w:u w:val="single"/>
        </w:rPr>
        <w:t xml:space="preserve">     </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系</w:t>
      </w:r>
      <w:r>
        <w:rPr>
          <w:rFonts w:hint="eastAsia" w:ascii="宋体" w:hAnsi="宋体" w:cs="宋体"/>
          <w:bCs/>
          <w:kern w:val="0"/>
          <w:szCs w:val="21"/>
          <w:u w:val="single"/>
        </w:rPr>
        <w:t xml:space="preserve">                     </w:t>
      </w:r>
      <w:r>
        <w:rPr>
          <w:rFonts w:hint="eastAsia" w:ascii="宋体" w:hAnsi="宋体" w:cs="宋体"/>
          <w:bCs/>
          <w:kern w:val="0"/>
          <w:szCs w:val="21"/>
        </w:rPr>
        <w:t>（投标人名称）的法定代表人。</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5Vx4/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r>
        <w:rPr>
          <w:rFonts w:hint="eastAsia" w:ascii="宋体" w:hAnsi="宋体" w:cs="宋体"/>
          <w:bCs/>
          <w:kern w:val="0"/>
          <w:szCs w:val="21"/>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特此证明。</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法定代表人授权委托书</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本授权委托书声明：我系</w:t>
      </w:r>
      <w:r>
        <w:rPr>
          <w:rFonts w:hint="eastAsia" w:ascii="宋体" w:hAnsi="宋体" w:cs="宋体"/>
          <w:bCs/>
          <w:kern w:val="0"/>
          <w:szCs w:val="21"/>
          <w:u w:val="single"/>
        </w:rPr>
        <w:t xml:space="preserve">                             </w:t>
      </w:r>
      <w:r>
        <w:rPr>
          <w:rFonts w:hint="eastAsia" w:ascii="宋体" w:hAnsi="宋体" w:cs="宋体"/>
          <w:bCs/>
          <w:kern w:val="0"/>
          <w:szCs w:val="21"/>
        </w:rPr>
        <w:t>（投标人名称）的法定代表人，现授权委托</w:t>
      </w:r>
      <w:r>
        <w:rPr>
          <w:rFonts w:hint="eastAsia" w:ascii="宋体" w:hAnsi="宋体" w:cs="宋体"/>
          <w:bCs/>
          <w:kern w:val="0"/>
          <w:szCs w:val="21"/>
          <w:u w:val="single"/>
        </w:rPr>
        <w:t xml:space="preserve">           </w:t>
      </w:r>
      <w:r>
        <w:rPr>
          <w:rFonts w:hint="eastAsia" w:ascii="宋体" w:hAnsi="宋体" w:cs="宋体"/>
          <w:bCs/>
          <w:kern w:val="0"/>
          <w:szCs w:val="21"/>
        </w:rPr>
        <w:t>（投标人名称）的</w:t>
      </w:r>
      <w:r>
        <w:rPr>
          <w:rFonts w:hint="eastAsia" w:ascii="宋体" w:hAnsi="宋体" w:cs="宋体"/>
          <w:bCs/>
          <w:kern w:val="0"/>
          <w:szCs w:val="21"/>
          <w:u w:val="single"/>
        </w:rPr>
        <w:t xml:space="preserve">     </w:t>
      </w:r>
      <w:r>
        <w:rPr>
          <w:rFonts w:hint="eastAsia" w:ascii="宋体" w:hAnsi="宋体" w:cs="宋体"/>
          <w:bCs/>
          <w:kern w:val="0"/>
          <w:szCs w:val="21"/>
        </w:rPr>
        <w:t>为我的代理人，以（投标人名称）的名义参加招标项目的投标活动。代理人在参加整个招标投标活动所签署的一切文件和处理与之相关的一切事物，我均予承认。</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代理人：</w:t>
      </w:r>
      <w:r>
        <w:rPr>
          <w:rFonts w:hint="eastAsia" w:ascii="宋体" w:hAnsi="宋体" w:cs="宋体"/>
          <w:bCs/>
          <w:kern w:val="0"/>
          <w:szCs w:val="21"/>
          <w:u w:val="single"/>
        </w:rPr>
        <w:t xml:space="preserve">     </w:t>
      </w:r>
      <w:r>
        <w:rPr>
          <w:rFonts w:hint="eastAsia" w:ascii="宋体" w:hAnsi="宋体" w:cs="宋体"/>
          <w:bCs/>
          <w:kern w:val="0"/>
          <w:szCs w:val="21"/>
        </w:rPr>
        <w:t>性别：</w:t>
      </w:r>
      <w:r>
        <w:rPr>
          <w:rFonts w:hint="eastAsia" w:ascii="宋体" w:hAnsi="宋体" w:cs="宋体"/>
          <w:bCs/>
          <w:kern w:val="0"/>
          <w:szCs w:val="21"/>
          <w:u w:val="single"/>
        </w:rPr>
        <w:t xml:space="preserve">     </w:t>
      </w:r>
      <w:r>
        <w:rPr>
          <w:rFonts w:hint="eastAsia" w:ascii="宋体" w:hAnsi="宋体" w:cs="宋体"/>
          <w:bCs/>
          <w:kern w:val="0"/>
          <w:szCs w:val="21"/>
        </w:rPr>
        <w:t>年龄：</w:t>
      </w:r>
      <w:r>
        <w:rPr>
          <w:rFonts w:hint="eastAsia" w:ascii="宋体" w:hAnsi="宋体" w:cs="宋体"/>
          <w:bCs/>
          <w:kern w:val="0"/>
          <w:szCs w:val="21"/>
          <w:u w:val="single"/>
        </w:rPr>
        <w:t xml:space="preserve">      </w:t>
      </w:r>
    </w:p>
    <w:p>
      <w:pPr>
        <w:autoSpaceDE w:val="0"/>
        <w:autoSpaceDN w:val="0"/>
        <w:adjustRightInd w:val="0"/>
        <w:spacing w:line="500" w:lineRule="exact"/>
        <w:ind w:firstLine="420" w:firstLineChars="200"/>
        <w:jc w:val="left"/>
        <w:rPr>
          <w:rFonts w:ascii="宋体" w:hAnsi="宋体" w:cs="宋体"/>
          <w:bCs/>
          <w:kern w:val="0"/>
          <w:szCs w:val="21"/>
          <w:u w:val="single"/>
        </w:rPr>
      </w:pPr>
      <w:r>
        <w:rPr>
          <w:rFonts w:hint="eastAsia" w:ascii="宋体" w:hAnsi="宋体" w:cs="宋体"/>
          <w:bCs/>
          <w:kern w:val="0"/>
          <w:szCs w:val="21"/>
        </w:rPr>
        <w:t>部  门：</w:t>
      </w:r>
      <w:r>
        <w:rPr>
          <w:rFonts w:hint="eastAsia" w:ascii="宋体" w:hAnsi="宋体" w:cs="宋体"/>
          <w:bCs/>
          <w:kern w:val="0"/>
          <w:szCs w:val="21"/>
          <w:u w:val="single"/>
        </w:rPr>
        <w:t xml:space="preserve">     </w:t>
      </w:r>
      <w:r>
        <w:rPr>
          <w:rFonts w:hint="eastAsia" w:ascii="宋体" w:hAnsi="宋体" w:cs="宋体"/>
          <w:bCs/>
          <w:kern w:val="0"/>
          <w:szCs w:val="21"/>
        </w:rPr>
        <w:t>职务：</w:t>
      </w:r>
      <w:r>
        <w:rPr>
          <w:rFonts w:hint="eastAsia" w:ascii="宋体" w:hAnsi="宋体" w:cs="宋体"/>
          <w:bCs/>
          <w:kern w:val="0"/>
          <w:szCs w:val="21"/>
          <w:u w:val="single"/>
        </w:rPr>
        <w:t xml:space="preserve">    </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（国徽面）</w:t>
                      </w:r>
                    </w:p>
                    <w:p/>
                    <w:p/>
                    <w:p/>
                    <w:p/>
                    <w:p/>
                    <w:p/>
                    <w:p>
                      <w:pPr>
                        <w:rPr>
                          <w:sz w:val="32"/>
                          <w:szCs w:val="32"/>
                        </w:rPr>
                      </w:pPr>
                    </w:p>
                  </w:txbxContent>
                </v:textbox>
              </v:shape>
            </w:pict>
          </mc:Fallback>
        </mc:AlternateContent>
      </w:r>
      <w:r>
        <w:rPr>
          <w:rFonts w:hint="eastAsia" w:ascii="宋体" w:hAnsi="宋体" w:cs="宋体"/>
          <w:bCs/>
          <w:kern w:val="0"/>
          <w:szCs w:val="21"/>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GX316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（人像面）</w:t>
                      </w:r>
                    </w:p>
                    <w:p/>
                    <w:p/>
                    <w:p/>
                    <w:p/>
                    <w:p/>
                    <w:p/>
                    <w:p>
                      <w:pPr>
                        <w:rPr>
                          <w:sz w:val="32"/>
                          <w:szCs w:val="32"/>
                        </w:rPr>
                      </w:pPr>
                    </w:p>
                  </w:txbxContent>
                </v:textbox>
              </v:shape>
            </w:pict>
          </mc:Fallback>
        </mc:AlternateConten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商务条款偏离表</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项目名称：                                     项目编号:</w:t>
      </w:r>
    </w:p>
    <w:tbl>
      <w:tblPr>
        <w:tblStyle w:val="22"/>
        <w:tblW w:w="0" w:type="auto"/>
        <w:tblInd w:w="468" w:type="dxa"/>
        <w:tblLayout w:type="fixed"/>
        <w:tblCellMar>
          <w:top w:w="0" w:type="dxa"/>
          <w:left w:w="108" w:type="dxa"/>
          <w:bottom w:w="0" w:type="dxa"/>
          <w:right w:w="108" w:type="dxa"/>
        </w:tblCellMar>
      </w:tblPr>
      <w:tblGrid>
        <w:gridCol w:w="900"/>
        <w:gridCol w:w="1725"/>
        <w:gridCol w:w="1941"/>
        <w:gridCol w:w="2050"/>
        <w:gridCol w:w="2338"/>
      </w:tblGrid>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序号</w:t>
            </w: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条款序号</w:t>
            </w: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招标条款</w:t>
            </w: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投标条款</w:t>
            </w: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备   注</w:t>
            </w: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w:t>
            </w: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651"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628" w:hRule="exact"/>
        </w:trPr>
        <w:tc>
          <w:tcPr>
            <w:tcW w:w="9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72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05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33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bl>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技术偏离表</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项目名称：                                 项目编号：</w:t>
      </w:r>
    </w:p>
    <w:tbl>
      <w:tblPr>
        <w:tblStyle w:val="22"/>
        <w:tblW w:w="0" w:type="auto"/>
        <w:jc w:val="center"/>
        <w:tblLayout w:type="fixed"/>
        <w:tblCellMar>
          <w:top w:w="0" w:type="dxa"/>
          <w:left w:w="108" w:type="dxa"/>
          <w:bottom w:w="0" w:type="dxa"/>
          <w:right w:w="108" w:type="dxa"/>
        </w:tblCellMar>
      </w:tblPr>
      <w:tblGrid>
        <w:gridCol w:w="1180"/>
        <w:gridCol w:w="1655"/>
        <w:gridCol w:w="2127"/>
        <w:gridCol w:w="2126"/>
        <w:gridCol w:w="2126"/>
      </w:tblGrid>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序 号</w:t>
            </w:r>
          </w:p>
        </w:tc>
        <w:tc>
          <w:tcPr>
            <w:tcW w:w="16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条款</w:t>
            </w: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招标规格</w:t>
            </w: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投标规格</w:t>
            </w: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备注</w:t>
            </w: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1</w:t>
            </w:r>
          </w:p>
        </w:tc>
        <w:tc>
          <w:tcPr>
            <w:tcW w:w="16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2</w:t>
            </w:r>
          </w:p>
        </w:tc>
        <w:tc>
          <w:tcPr>
            <w:tcW w:w="16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3</w:t>
            </w:r>
          </w:p>
        </w:tc>
        <w:tc>
          <w:tcPr>
            <w:tcW w:w="16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4</w:t>
            </w:r>
          </w:p>
        </w:tc>
        <w:tc>
          <w:tcPr>
            <w:tcW w:w="16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5</w:t>
            </w:r>
          </w:p>
        </w:tc>
        <w:tc>
          <w:tcPr>
            <w:tcW w:w="165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w:t>
            </w:r>
          </w:p>
        </w:tc>
        <w:tc>
          <w:tcPr>
            <w:tcW w:w="16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6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6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r>
        <w:tblPrEx>
          <w:tblCellMar>
            <w:top w:w="0" w:type="dxa"/>
            <w:left w:w="108" w:type="dxa"/>
            <w:bottom w:w="0" w:type="dxa"/>
            <w:right w:w="108" w:type="dxa"/>
          </w:tblCellMar>
        </w:tblPrEx>
        <w:trPr>
          <w:cantSplit/>
          <w:trHeight w:val="567" w:hRule="exact"/>
          <w:jc w:val="center"/>
        </w:trPr>
        <w:tc>
          <w:tcPr>
            <w:tcW w:w="118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165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7"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c>
          <w:tcPr>
            <w:tcW w:w="212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firstLine="420" w:firstLineChars="200"/>
              <w:jc w:val="left"/>
              <w:rPr>
                <w:rFonts w:ascii="宋体" w:hAnsi="宋体" w:cs="宋体"/>
                <w:bCs/>
                <w:kern w:val="0"/>
                <w:szCs w:val="21"/>
              </w:rPr>
            </w:pPr>
          </w:p>
        </w:tc>
      </w:tr>
    </w:tbl>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无重大违法记录声明书</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（招标人） ：</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我公司参与</w:t>
      </w:r>
      <w:r>
        <w:rPr>
          <w:rFonts w:hint="eastAsia" w:ascii="宋体" w:hAnsi="宋体" w:cs="宋体"/>
          <w:bCs/>
          <w:kern w:val="0"/>
          <w:szCs w:val="21"/>
          <w:u w:val="single"/>
        </w:rPr>
        <w:t xml:space="preserve">                          </w:t>
      </w:r>
      <w:r>
        <w:rPr>
          <w:rFonts w:hint="eastAsia" w:ascii="宋体" w:hAnsi="宋体" w:cs="宋体"/>
          <w:bCs/>
          <w:kern w:val="0"/>
          <w:szCs w:val="21"/>
        </w:rPr>
        <w:t>（项目名称、项目编号）招标投标活动，本公司郑重声明，我方参加本项目政府采购活动前三年内无重大违法记录，符合《政府采购法》规定的投标人条件。若贵方在本项目招标过程中发现我方在政府采购活动前三年内有重大违法记录，我公司将无条件退出本项目的响应，并承担因此引起的一切后果。我方对此声明负全部法律责任。</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 xml:space="preserve">特此声明  </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注：[近三年：指成立三年以上的，为提交首次投标文件截止时间前三年内；成立不足三年的，为实际时间。]</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投标方的资格声明</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（招标人）：</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 xml:space="preserve">    关于贵方发出的采购文件，本投标人愿意参加投标，并证明资格文件中和所要求的说明是真实和准确无误的。</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本投标人对可能要求的进一步的资格资料表示理解和同意，并同意按贵方的要求提供任何有关资料。</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拟投入本项目的人员及设备一览表</w:t>
      </w:r>
    </w:p>
    <w:tbl>
      <w:tblPr>
        <w:tblStyle w:val="22"/>
        <w:tblpPr w:leftFromText="180" w:rightFromText="180" w:vertAnchor="text" w:horzAnchor="page" w:tblpX="2418" w:tblpY="48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trPr>
        <w:tc>
          <w:tcPr>
            <w:tcW w:w="8512" w:type="dxa"/>
            <w:gridSpan w:val="7"/>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exact"/>
        </w:trPr>
        <w:tc>
          <w:tcPr>
            <w:tcW w:w="1276"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职责分工</w:t>
            </w:r>
          </w:p>
        </w:tc>
        <w:tc>
          <w:tcPr>
            <w:tcW w:w="1183"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姓名</w:t>
            </w:r>
          </w:p>
        </w:tc>
        <w:tc>
          <w:tcPr>
            <w:tcW w:w="945"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年龄</w:t>
            </w:r>
          </w:p>
        </w:tc>
        <w:tc>
          <w:tcPr>
            <w:tcW w:w="1137"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专业</w:t>
            </w:r>
          </w:p>
        </w:tc>
        <w:tc>
          <w:tcPr>
            <w:tcW w:w="1359"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在本项目中担任的岗位</w:t>
            </w:r>
          </w:p>
        </w:tc>
        <w:tc>
          <w:tcPr>
            <w:tcW w:w="1470"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从事类似工作年限</w:t>
            </w:r>
          </w:p>
        </w:tc>
        <w:tc>
          <w:tcPr>
            <w:tcW w:w="1142"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项目负责人</w:t>
            </w:r>
          </w:p>
        </w:tc>
        <w:tc>
          <w:tcPr>
            <w:tcW w:w="1183" w:type="dxa"/>
            <w:vAlign w:val="center"/>
          </w:tcPr>
          <w:p>
            <w:pPr>
              <w:autoSpaceDE w:val="0"/>
              <w:autoSpaceDN w:val="0"/>
              <w:adjustRightInd w:val="0"/>
              <w:spacing w:line="500" w:lineRule="exact"/>
              <w:jc w:val="center"/>
              <w:rPr>
                <w:rFonts w:ascii="宋体" w:hAnsi="宋体" w:cs="宋体"/>
                <w:bCs/>
                <w:kern w:val="0"/>
                <w:szCs w:val="21"/>
              </w:rPr>
            </w:pPr>
          </w:p>
        </w:tc>
        <w:tc>
          <w:tcPr>
            <w:tcW w:w="945" w:type="dxa"/>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restart"/>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其人员</w:t>
            </w:r>
          </w:p>
        </w:tc>
        <w:tc>
          <w:tcPr>
            <w:tcW w:w="1183" w:type="dxa"/>
            <w:vAlign w:val="center"/>
          </w:tcPr>
          <w:p>
            <w:pPr>
              <w:autoSpaceDE w:val="0"/>
              <w:autoSpaceDN w:val="0"/>
              <w:adjustRightInd w:val="0"/>
              <w:spacing w:line="500" w:lineRule="exact"/>
              <w:jc w:val="center"/>
              <w:rPr>
                <w:rFonts w:ascii="宋体" w:hAnsi="宋体" w:cs="宋体"/>
                <w:bCs/>
                <w:kern w:val="0"/>
                <w:szCs w:val="21"/>
              </w:rPr>
            </w:pPr>
          </w:p>
        </w:tc>
        <w:tc>
          <w:tcPr>
            <w:tcW w:w="945" w:type="dxa"/>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vAlign w:val="center"/>
          </w:tcPr>
          <w:p>
            <w:pPr>
              <w:autoSpaceDE w:val="0"/>
              <w:autoSpaceDN w:val="0"/>
              <w:adjustRightInd w:val="0"/>
              <w:spacing w:line="500" w:lineRule="exact"/>
              <w:jc w:val="center"/>
              <w:rPr>
                <w:rFonts w:ascii="宋体" w:hAnsi="宋体" w:cs="宋体"/>
                <w:bCs/>
                <w:kern w:val="0"/>
                <w:szCs w:val="21"/>
              </w:rPr>
            </w:pPr>
          </w:p>
        </w:tc>
        <w:tc>
          <w:tcPr>
            <w:tcW w:w="1183" w:type="dxa"/>
            <w:vAlign w:val="center"/>
          </w:tcPr>
          <w:p>
            <w:pPr>
              <w:autoSpaceDE w:val="0"/>
              <w:autoSpaceDN w:val="0"/>
              <w:adjustRightInd w:val="0"/>
              <w:spacing w:line="500" w:lineRule="exact"/>
              <w:jc w:val="center"/>
              <w:rPr>
                <w:rFonts w:ascii="宋体" w:hAnsi="宋体" w:cs="宋体"/>
                <w:bCs/>
                <w:kern w:val="0"/>
                <w:szCs w:val="21"/>
              </w:rPr>
            </w:pPr>
          </w:p>
        </w:tc>
        <w:tc>
          <w:tcPr>
            <w:tcW w:w="945" w:type="dxa"/>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vMerge w:val="continue"/>
            <w:tcBorders>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1183" w:type="dxa"/>
            <w:tcBorders>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512" w:type="dxa"/>
            <w:gridSpan w:val="7"/>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序号</w:t>
            </w:r>
          </w:p>
        </w:tc>
        <w:tc>
          <w:tcPr>
            <w:tcW w:w="2128" w:type="dxa"/>
            <w:gridSpan w:val="2"/>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设备名称</w:t>
            </w:r>
          </w:p>
        </w:tc>
        <w:tc>
          <w:tcPr>
            <w:tcW w:w="1137"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规格型号</w:t>
            </w:r>
          </w:p>
        </w:tc>
        <w:tc>
          <w:tcPr>
            <w:tcW w:w="1359"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单位</w:t>
            </w:r>
          </w:p>
        </w:tc>
        <w:tc>
          <w:tcPr>
            <w:tcW w:w="1470"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数量</w:t>
            </w:r>
          </w:p>
        </w:tc>
        <w:tc>
          <w:tcPr>
            <w:tcW w:w="1142"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2128" w:type="dxa"/>
            <w:gridSpan w:val="2"/>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2128" w:type="dxa"/>
            <w:gridSpan w:val="2"/>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2128" w:type="dxa"/>
            <w:gridSpan w:val="2"/>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2128" w:type="dxa"/>
            <w:gridSpan w:val="2"/>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276" w:type="dxa"/>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2128" w:type="dxa"/>
            <w:gridSpan w:val="2"/>
            <w:tcBorders>
              <w:top w:val="single" w:color="auto" w:sz="4" w:space="0"/>
              <w:bottom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1137" w:type="dxa"/>
            <w:vAlign w:val="center"/>
          </w:tcPr>
          <w:p>
            <w:pPr>
              <w:autoSpaceDE w:val="0"/>
              <w:autoSpaceDN w:val="0"/>
              <w:adjustRightInd w:val="0"/>
              <w:spacing w:line="500" w:lineRule="exact"/>
              <w:jc w:val="center"/>
              <w:rPr>
                <w:rFonts w:ascii="宋体" w:hAnsi="宋体" w:cs="宋体"/>
                <w:bCs/>
                <w:kern w:val="0"/>
                <w:szCs w:val="21"/>
              </w:rPr>
            </w:pPr>
          </w:p>
        </w:tc>
        <w:tc>
          <w:tcPr>
            <w:tcW w:w="1359" w:type="dxa"/>
            <w:vAlign w:val="center"/>
          </w:tcPr>
          <w:p>
            <w:pPr>
              <w:autoSpaceDE w:val="0"/>
              <w:autoSpaceDN w:val="0"/>
              <w:adjustRightInd w:val="0"/>
              <w:spacing w:line="500" w:lineRule="exact"/>
              <w:jc w:val="center"/>
              <w:rPr>
                <w:rFonts w:ascii="宋体" w:hAnsi="宋体" w:cs="宋体"/>
                <w:bCs/>
                <w:kern w:val="0"/>
                <w:szCs w:val="21"/>
              </w:rPr>
            </w:pPr>
          </w:p>
        </w:tc>
        <w:tc>
          <w:tcPr>
            <w:tcW w:w="1470" w:type="dxa"/>
            <w:vAlign w:val="center"/>
          </w:tcPr>
          <w:p>
            <w:pPr>
              <w:autoSpaceDE w:val="0"/>
              <w:autoSpaceDN w:val="0"/>
              <w:adjustRightInd w:val="0"/>
              <w:spacing w:line="500" w:lineRule="exact"/>
              <w:jc w:val="center"/>
              <w:rPr>
                <w:rFonts w:ascii="宋体" w:hAnsi="宋体" w:cs="宋体"/>
                <w:bCs/>
                <w:kern w:val="0"/>
                <w:szCs w:val="21"/>
              </w:rPr>
            </w:pPr>
          </w:p>
        </w:tc>
        <w:tc>
          <w:tcPr>
            <w:tcW w:w="1142" w:type="dxa"/>
            <w:vAlign w:val="center"/>
          </w:tcPr>
          <w:p>
            <w:pPr>
              <w:autoSpaceDE w:val="0"/>
              <w:autoSpaceDN w:val="0"/>
              <w:adjustRightInd w:val="0"/>
              <w:spacing w:line="500" w:lineRule="exact"/>
              <w:jc w:val="center"/>
              <w:rPr>
                <w:rFonts w:ascii="宋体" w:hAnsi="宋体" w:cs="宋体"/>
                <w:bCs/>
                <w:kern w:val="0"/>
                <w:szCs w:val="21"/>
              </w:rPr>
            </w:pPr>
          </w:p>
        </w:tc>
      </w:tr>
    </w:tbl>
    <w:p>
      <w:pPr>
        <w:autoSpaceDE w:val="0"/>
        <w:autoSpaceDN w:val="0"/>
        <w:adjustRightInd w:val="0"/>
        <w:spacing w:line="500" w:lineRule="exact"/>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说明：包括项目实施人员、培训人员及售后服务人员。</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项目负责人简历表（根据自身情况编写）</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44"/>
        <w:gridCol w:w="1701"/>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姓  名</w:t>
            </w:r>
          </w:p>
        </w:tc>
        <w:tc>
          <w:tcPr>
            <w:tcW w:w="1485" w:type="dxa"/>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1485" w:type="dxa"/>
            <w:vAlign w:val="center"/>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性  别</w:t>
            </w:r>
          </w:p>
        </w:tc>
        <w:tc>
          <w:tcPr>
            <w:tcW w:w="1644" w:type="dxa"/>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1701" w:type="dxa"/>
            <w:vAlign w:val="center"/>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年  龄</w:t>
            </w:r>
          </w:p>
        </w:tc>
        <w:tc>
          <w:tcPr>
            <w:tcW w:w="1703" w:type="dxa"/>
            <w:vAlign w:val="center"/>
          </w:tcPr>
          <w:p>
            <w:pPr>
              <w:autoSpaceDE w:val="0"/>
              <w:autoSpaceDN w:val="0"/>
              <w:adjustRightInd w:val="0"/>
              <w:spacing w:line="500" w:lineRule="exact"/>
              <w:ind w:firstLine="420" w:firstLineChars="200"/>
              <w:jc w:val="left"/>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职  务</w:t>
            </w:r>
          </w:p>
        </w:tc>
        <w:tc>
          <w:tcPr>
            <w:tcW w:w="1485" w:type="dxa"/>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1485" w:type="dxa"/>
            <w:vAlign w:val="center"/>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职  称</w:t>
            </w:r>
          </w:p>
        </w:tc>
        <w:tc>
          <w:tcPr>
            <w:tcW w:w="1644" w:type="dxa"/>
            <w:vAlign w:val="center"/>
          </w:tcPr>
          <w:p>
            <w:pPr>
              <w:autoSpaceDE w:val="0"/>
              <w:autoSpaceDN w:val="0"/>
              <w:adjustRightInd w:val="0"/>
              <w:spacing w:line="500" w:lineRule="exact"/>
              <w:ind w:firstLine="420" w:firstLineChars="200"/>
              <w:jc w:val="left"/>
              <w:rPr>
                <w:rFonts w:ascii="宋体" w:hAnsi="宋体" w:cs="宋体"/>
                <w:bCs/>
                <w:kern w:val="0"/>
                <w:szCs w:val="21"/>
              </w:rPr>
            </w:pPr>
          </w:p>
        </w:tc>
        <w:tc>
          <w:tcPr>
            <w:tcW w:w="1701" w:type="dxa"/>
            <w:vAlign w:val="center"/>
          </w:tcPr>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学  历</w:t>
            </w:r>
          </w:p>
        </w:tc>
        <w:tc>
          <w:tcPr>
            <w:tcW w:w="1703" w:type="dxa"/>
            <w:vAlign w:val="center"/>
          </w:tcPr>
          <w:p>
            <w:pPr>
              <w:autoSpaceDE w:val="0"/>
              <w:autoSpaceDN w:val="0"/>
              <w:adjustRightInd w:val="0"/>
              <w:spacing w:line="500" w:lineRule="exact"/>
              <w:ind w:firstLine="420" w:firstLineChars="200"/>
              <w:jc w:val="left"/>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03" w:type="dxa"/>
            <w:gridSpan w:val="6"/>
            <w:vAlign w:val="center"/>
          </w:tcPr>
          <w:p>
            <w:pPr>
              <w:autoSpaceDE w:val="0"/>
              <w:autoSpaceDN w:val="0"/>
              <w:adjustRightInd w:val="0"/>
              <w:spacing w:line="500" w:lineRule="exact"/>
              <w:ind w:firstLine="33" w:firstLineChars="16"/>
              <w:jc w:val="center"/>
              <w:rPr>
                <w:rFonts w:ascii="宋体" w:hAnsi="宋体" w:cs="宋体"/>
                <w:bCs/>
                <w:kern w:val="0"/>
                <w:szCs w:val="21"/>
              </w:rPr>
            </w:pPr>
            <w:r>
              <w:rPr>
                <w:rFonts w:hint="eastAsia" w:ascii="宋体" w:hAnsi="宋体" w:cs="宋体"/>
                <w:bCs/>
                <w:kern w:val="0"/>
                <w:szCs w:val="21"/>
              </w:rPr>
              <w:t>近三年（2019年1月1日至今）类似业绩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采购单位</w:t>
            </w:r>
          </w:p>
        </w:tc>
        <w:tc>
          <w:tcPr>
            <w:tcW w:w="1485"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项目名称</w:t>
            </w:r>
          </w:p>
        </w:tc>
        <w:tc>
          <w:tcPr>
            <w:tcW w:w="1485"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采购规模</w:t>
            </w:r>
          </w:p>
        </w:tc>
        <w:tc>
          <w:tcPr>
            <w:tcW w:w="3345" w:type="dxa"/>
            <w:gridSpan w:val="2"/>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工期</w:t>
            </w:r>
          </w:p>
        </w:tc>
        <w:tc>
          <w:tcPr>
            <w:tcW w:w="1703" w:type="dxa"/>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vAlign w:val="center"/>
          </w:tcPr>
          <w:p>
            <w:pPr>
              <w:autoSpaceDE w:val="0"/>
              <w:autoSpaceDN w:val="0"/>
              <w:adjustRightInd w:val="0"/>
              <w:spacing w:line="500" w:lineRule="exact"/>
              <w:jc w:val="center"/>
              <w:rPr>
                <w:rFonts w:ascii="宋体" w:hAnsi="宋体" w:cs="宋体"/>
                <w:bCs/>
                <w:kern w:val="0"/>
                <w:szCs w:val="21"/>
              </w:rPr>
            </w:pPr>
          </w:p>
        </w:tc>
        <w:tc>
          <w:tcPr>
            <w:tcW w:w="1485" w:type="dxa"/>
            <w:vAlign w:val="center"/>
          </w:tcPr>
          <w:p>
            <w:pPr>
              <w:autoSpaceDE w:val="0"/>
              <w:autoSpaceDN w:val="0"/>
              <w:adjustRightInd w:val="0"/>
              <w:spacing w:line="500" w:lineRule="exact"/>
              <w:jc w:val="center"/>
              <w:rPr>
                <w:rFonts w:ascii="宋体" w:hAnsi="宋体" w:cs="宋体"/>
                <w:bCs/>
                <w:kern w:val="0"/>
                <w:szCs w:val="21"/>
              </w:rPr>
            </w:pPr>
          </w:p>
        </w:tc>
        <w:tc>
          <w:tcPr>
            <w:tcW w:w="1485" w:type="dxa"/>
            <w:vAlign w:val="center"/>
          </w:tcPr>
          <w:p>
            <w:pPr>
              <w:autoSpaceDE w:val="0"/>
              <w:autoSpaceDN w:val="0"/>
              <w:adjustRightInd w:val="0"/>
              <w:spacing w:line="500" w:lineRule="exact"/>
              <w:jc w:val="center"/>
              <w:rPr>
                <w:rFonts w:ascii="宋体" w:hAnsi="宋体" w:cs="宋体"/>
                <w:bCs/>
                <w:kern w:val="0"/>
                <w:szCs w:val="21"/>
              </w:rPr>
            </w:pPr>
          </w:p>
        </w:tc>
        <w:tc>
          <w:tcPr>
            <w:tcW w:w="3345" w:type="dxa"/>
            <w:gridSpan w:val="2"/>
            <w:vAlign w:val="center"/>
          </w:tcPr>
          <w:p>
            <w:pPr>
              <w:autoSpaceDE w:val="0"/>
              <w:autoSpaceDN w:val="0"/>
              <w:adjustRightInd w:val="0"/>
              <w:spacing w:line="500" w:lineRule="exact"/>
              <w:jc w:val="center"/>
              <w:rPr>
                <w:rFonts w:ascii="宋体" w:hAnsi="宋体" w:cs="宋体"/>
                <w:bCs/>
                <w:kern w:val="0"/>
                <w:szCs w:val="21"/>
              </w:rPr>
            </w:pPr>
          </w:p>
        </w:tc>
        <w:tc>
          <w:tcPr>
            <w:tcW w:w="1703" w:type="dxa"/>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0" w:hRule="atLeast"/>
        </w:trPr>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1485" w:type="dxa"/>
          </w:tcPr>
          <w:p>
            <w:pPr>
              <w:autoSpaceDE w:val="0"/>
              <w:autoSpaceDN w:val="0"/>
              <w:adjustRightInd w:val="0"/>
              <w:spacing w:line="500" w:lineRule="exact"/>
              <w:jc w:val="center"/>
              <w:rPr>
                <w:rFonts w:ascii="宋体" w:hAnsi="宋体" w:cs="宋体"/>
                <w:bCs/>
                <w:kern w:val="0"/>
                <w:szCs w:val="21"/>
              </w:rPr>
            </w:pPr>
          </w:p>
        </w:tc>
        <w:tc>
          <w:tcPr>
            <w:tcW w:w="3345" w:type="dxa"/>
            <w:gridSpan w:val="2"/>
          </w:tcPr>
          <w:p>
            <w:pPr>
              <w:autoSpaceDE w:val="0"/>
              <w:autoSpaceDN w:val="0"/>
              <w:adjustRightInd w:val="0"/>
              <w:spacing w:line="500" w:lineRule="exact"/>
              <w:jc w:val="center"/>
              <w:rPr>
                <w:rFonts w:ascii="宋体" w:hAnsi="宋体" w:cs="宋体"/>
                <w:bCs/>
                <w:kern w:val="0"/>
                <w:szCs w:val="21"/>
              </w:rPr>
            </w:pPr>
          </w:p>
        </w:tc>
        <w:tc>
          <w:tcPr>
            <w:tcW w:w="1703" w:type="dxa"/>
          </w:tcPr>
          <w:p>
            <w:pPr>
              <w:autoSpaceDE w:val="0"/>
              <w:autoSpaceDN w:val="0"/>
              <w:adjustRightInd w:val="0"/>
              <w:spacing w:line="500" w:lineRule="exact"/>
              <w:jc w:val="center"/>
              <w:rPr>
                <w:rFonts w:ascii="宋体" w:hAnsi="宋体" w:cs="宋体"/>
                <w:bCs/>
                <w:kern w:val="0"/>
                <w:szCs w:val="21"/>
              </w:rPr>
            </w:pPr>
          </w:p>
        </w:tc>
      </w:tr>
    </w:tbl>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备注：项目负责人应附相关证书、学历证书复印件。项目负责人近三年（2019年1月1日至今）完成的类似工程业绩须附证明材料【附:中标通知书、施工合同复印件,且能反应出具体项目负责人】。</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我单位承诺以上填报内容真实。如不真实，将按照有关规定接受处理。</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br w:type="page"/>
      </w:r>
      <w:r>
        <w:rPr>
          <w:rFonts w:hint="eastAsia" w:ascii="宋体" w:hAnsi="宋体" w:cs="宋体"/>
          <w:bCs/>
          <w:kern w:val="0"/>
          <w:szCs w:val="21"/>
        </w:rPr>
        <w:t>附件</w:t>
      </w: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投标人近三年（2019年1月1日至今）主要业绩表</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90"/>
        <w:gridCol w:w="3270"/>
        <w:gridCol w:w="1260"/>
        <w:gridCol w:w="945"/>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lang w:eastAsia="zh-CN"/>
              </w:rPr>
              <w:t>项目</w:t>
            </w:r>
            <w:r>
              <w:rPr>
                <w:rFonts w:hint="eastAsia" w:ascii="宋体" w:hAnsi="宋体" w:cs="宋体"/>
                <w:bCs/>
                <w:kern w:val="0"/>
                <w:szCs w:val="21"/>
              </w:rPr>
              <w:t>名称</w:t>
            </w: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项目规模</w:t>
            </w: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采购内容</w:t>
            </w: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数量</w:t>
            </w: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r>
              <w:rPr>
                <w:rFonts w:hint="eastAsia" w:ascii="宋体" w:hAnsi="宋体" w:cs="宋体"/>
                <w:bCs/>
                <w:kern w:val="0"/>
                <w:szCs w:val="21"/>
              </w:rPr>
              <w:t>完工时间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bookmarkStart w:id="605" w:name="_GoBack"/>
            <w:bookmarkEnd w:id="605"/>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327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26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500" w:lineRule="exact"/>
              <w:jc w:val="center"/>
              <w:rPr>
                <w:rFonts w:ascii="宋体" w:hAnsi="宋体" w:cs="宋体"/>
                <w:bCs/>
                <w:kern w:val="0"/>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cs="宋体"/>
                <w:bCs/>
                <w:kern w:val="0"/>
                <w:szCs w:val="21"/>
              </w:rPr>
            </w:pPr>
          </w:p>
        </w:tc>
      </w:tr>
    </w:tbl>
    <w:p>
      <w:pPr>
        <w:autoSpaceDE w:val="0"/>
        <w:autoSpaceDN w:val="0"/>
        <w:adjustRightInd w:val="0"/>
        <w:spacing w:line="500" w:lineRule="exact"/>
        <w:ind w:right="325" w:rightChars="155" w:firstLine="420" w:firstLineChars="200"/>
        <w:jc w:val="left"/>
        <w:rPr>
          <w:rFonts w:ascii="宋体" w:hAnsi="宋体" w:cs="宋体"/>
          <w:bCs/>
          <w:kern w:val="0"/>
          <w:szCs w:val="21"/>
        </w:rPr>
      </w:pPr>
      <w:r>
        <w:rPr>
          <w:rFonts w:hint="eastAsia" w:ascii="宋体" w:hAnsi="宋体" w:cs="宋体"/>
          <w:bCs/>
          <w:kern w:val="0"/>
          <w:szCs w:val="21"/>
        </w:rPr>
        <w:t>备注：投标人近三年（2019年1月1日至今）完成的类似工程业绩须附证明材料【附:中标通知书、施工合同复印件】。</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投标人（盖公章）：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法定代表人（签字或盖章）：</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授权代理人（签字）：</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日期：   年    月   日</w:t>
      </w:r>
    </w:p>
    <w:p>
      <w:pPr>
        <w:autoSpaceDE w:val="0"/>
        <w:autoSpaceDN w:val="0"/>
        <w:adjustRightInd w:val="0"/>
        <w:spacing w:line="500" w:lineRule="exact"/>
        <w:ind w:firstLine="420" w:firstLineChars="200"/>
        <w:jc w:val="left"/>
        <w:rPr>
          <w:rFonts w:ascii="宋体" w:hAnsi="宋体" w:cs="宋体"/>
          <w:bCs/>
          <w:kern w:val="0"/>
          <w:szCs w:val="21"/>
        </w:rPr>
      </w:pPr>
    </w:p>
    <w:p>
      <w:pPr>
        <w:autoSpaceDE w:val="0"/>
        <w:autoSpaceDN w:val="0"/>
        <w:adjustRightInd w:val="0"/>
        <w:spacing w:line="500" w:lineRule="exact"/>
        <w:ind w:firstLine="420" w:firstLineChars="200"/>
        <w:jc w:val="left"/>
        <w:rPr>
          <w:rFonts w:ascii="宋体" w:hAnsi="宋体" w:cs="宋体"/>
          <w:bCs/>
          <w:kern w:val="0"/>
          <w:szCs w:val="21"/>
          <w:lang w:val="zh-CN"/>
        </w:rPr>
      </w:pPr>
      <w:r>
        <w:rPr>
          <w:rFonts w:hint="eastAsia" w:ascii="宋体" w:hAnsi="宋体" w:cs="宋体"/>
          <w:bCs/>
          <w:kern w:val="0"/>
          <w:szCs w:val="21"/>
        </w:rPr>
        <w:br w:type="page"/>
      </w:r>
    </w:p>
    <w:p>
      <w:pPr>
        <w:autoSpaceDE w:val="0"/>
        <w:autoSpaceDN w:val="0"/>
        <w:adjustRightInd w:val="0"/>
        <w:spacing w:line="500" w:lineRule="exact"/>
        <w:jc w:val="left"/>
        <w:rPr>
          <w:rFonts w:ascii="宋体" w:hAnsi="宋体" w:cs="宋体"/>
          <w:bCs/>
          <w:kern w:val="0"/>
          <w:szCs w:val="21"/>
        </w:rPr>
      </w:pPr>
      <w:r>
        <w:rPr>
          <w:rFonts w:hint="eastAsia" w:ascii="宋体" w:hAnsi="宋体" w:cs="宋体"/>
          <w:bCs/>
          <w:kern w:val="0"/>
          <w:szCs w:val="21"/>
        </w:rPr>
        <w:t xml:space="preserve">附件 </w:t>
      </w:r>
    </w:p>
    <w:p>
      <w:pPr>
        <w:autoSpaceDE w:val="0"/>
        <w:autoSpaceDN w:val="0"/>
        <w:spacing w:before="120" w:after="120" w:line="300" w:lineRule="auto"/>
        <w:jc w:val="center"/>
        <w:rPr>
          <w:rFonts w:ascii="黑体" w:hAnsi="黑体" w:eastAsia="黑体"/>
          <w:b/>
          <w:color w:val="0D0D0D"/>
          <w:sz w:val="32"/>
          <w:szCs w:val="32"/>
        </w:rPr>
      </w:pPr>
      <w:r>
        <w:rPr>
          <w:rFonts w:hint="eastAsia" w:ascii="宋体" w:hAnsi="宋体" w:cs="宋体"/>
          <w:sz w:val="28"/>
          <w:szCs w:val="28"/>
          <w:lang w:val="zh-CN"/>
        </w:rPr>
        <w:t>政府采购诚信承诺书</w:t>
      </w:r>
    </w:p>
    <w:p>
      <w:pPr>
        <w:autoSpaceDE w:val="0"/>
        <w:autoSpaceDN w:val="0"/>
        <w:spacing w:line="360" w:lineRule="auto"/>
        <w:rPr>
          <w:rFonts w:ascii="宋体" w:hAnsi="宋体" w:cs="宋体"/>
          <w:szCs w:val="21"/>
          <w:lang w:val="zh-CN"/>
        </w:rPr>
      </w:pPr>
      <w:r>
        <w:rPr>
          <w:rFonts w:hint="eastAsia" w:ascii="宋体" w:hAnsi="宋体" w:cs="宋体"/>
          <w:szCs w:val="21"/>
          <w:u w:val="single"/>
          <w:lang w:val="zh-CN"/>
        </w:rPr>
        <w:t xml:space="preserve">（采购人） </w:t>
      </w:r>
      <w:r>
        <w:rPr>
          <w:rFonts w:hint="eastAsia" w:ascii="宋体" w:hAnsi="宋体" w:cs="宋体"/>
          <w:szCs w:val="21"/>
          <w:lang w:val="zh-CN"/>
        </w:rPr>
        <w:t>：</w:t>
      </w:r>
    </w:p>
    <w:p>
      <w:pPr>
        <w:autoSpaceDE w:val="0"/>
        <w:autoSpaceDN w:val="0"/>
        <w:spacing w:line="360" w:lineRule="auto"/>
        <w:ind w:firstLine="480"/>
        <w:rPr>
          <w:rFonts w:ascii="宋体" w:hAnsi="宋体" w:cs="宋体"/>
          <w:szCs w:val="21"/>
          <w:lang w:val="zh-CN"/>
        </w:rPr>
      </w:pPr>
    </w:p>
    <w:p>
      <w:pPr>
        <w:autoSpaceDE w:val="0"/>
        <w:autoSpaceDN w:val="0"/>
        <w:spacing w:line="360" w:lineRule="auto"/>
        <w:ind w:firstLine="480"/>
        <w:rPr>
          <w:rFonts w:ascii="宋体" w:hAnsi="宋体" w:cs="宋体"/>
          <w:szCs w:val="21"/>
          <w:lang w:val="zh-CN"/>
        </w:rPr>
      </w:pPr>
      <w:r>
        <w:rPr>
          <w:rFonts w:hint="eastAsia" w:ascii="宋体" w:hAnsi="宋体" w:cs="宋体"/>
          <w:szCs w:val="21"/>
          <w:lang w:val="zh-CN"/>
        </w:rPr>
        <w:t>我公司</w:t>
      </w:r>
      <w:r>
        <w:rPr>
          <w:rFonts w:hint="eastAsia" w:ascii="宋体" w:hAnsi="宋体" w:cs="宋体"/>
          <w:szCs w:val="21"/>
          <w:u w:val="single"/>
          <w:lang w:val="zh-CN"/>
        </w:rPr>
        <w:t xml:space="preserve">               </w:t>
      </w:r>
      <w:r>
        <w:rPr>
          <w:rFonts w:hint="eastAsia" w:ascii="宋体" w:hAnsi="宋体" w:cs="宋体"/>
          <w:szCs w:val="21"/>
          <w:lang w:val="zh-CN"/>
        </w:rPr>
        <w:t>（供应商名称）已详细阅读了</w:t>
      </w:r>
      <w:r>
        <w:rPr>
          <w:rFonts w:hint="eastAsia" w:ascii="宋体" w:hAnsi="宋体" w:cs="宋体"/>
          <w:szCs w:val="21"/>
          <w:u w:val="single"/>
          <w:lang w:val="zh-CN"/>
        </w:rPr>
        <w:t xml:space="preserve">             </w:t>
      </w:r>
      <w:r>
        <w:rPr>
          <w:rFonts w:hint="eastAsia" w:ascii="宋体" w:hAnsi="宋体" w:cs="宋体"/>
          <w:szCs w:val="21"/>
          <w:lang w:val="zh-CN"/>
        </w:rPr>
        <w:t>项目（项目编号：</w:t>
      </w:r>
      <w:r>
        <w:rPr>
          <w:rFonts w:hint="eastAsia" w:ascii="宋体" w:hAnsi="宋体" w:cs="宋体"/>
          <w:szCs w:val="21"/>
          <w:u w:val="single"/>
          <w:lang w:val="zh-CN"/>
        </w:rPr>
        <w:t xml:space="preserve">          </w:t>
      </w:r>
      <w:r>
        <w:rPr>
          <w:rFonts w:hint="eastAsia" w:ascii="宋体" w:hAnsi="宋体" w:cs="宋体"/>
          <w:szCs w:val="21"/>
          <w:lang w:val="zh-CN"/>
        </w:rPr>
        <w:t>）招标文件，自愿参加本次招标，现就有关事项郑重承诺如下：</w:t>
      </w:r>
    </w:p>
    <w:p>
      <w:pPr>
        <w:autoSpaceDE w:val="0"/>
        <w:autoSpaceDN w:val="0"/>
        <w:spacing w:line="360" w:lineRule="auto"/>
        <w:ind w:firstLine="482"/>
        <w:rPr>
          <w:rFonts w:ascii="宋体" w:hAnsi="宋体" w:cs="宋体"/>
          <w:szCs w:val="21"/>
          <w:lang w:val="zh-CN"/>
        </w:rPr>
      </w:pPr>
      <w:r>
        <w:rPr>
          <w:rFonts w:hint="eastAsia" w:ascii="宋体" w:hAnsi="宋体" w:cs="宋体"/>
          <w:szCs w:val="21"/>
          <w:lang w:val="zh-CN"/>
        </w:rPr>
        <w:t>一、诚信招标，材料真实。我公司保证所提供的全部材料、报价内容均真实、合法、有效，保证不出借或者借用其他企业资质，不以他人名义报价，不弄虚作假；未列入失信被执行人、重大税收违法案件当事人名单、政府采购严重违法失信行为记录名单及其他不符合《中华人民共和国政府采购法》第二十二条规定条件。</w:t>
      </w:r>
    </w:p>
    <w:p>
      <w:pPr>
        <w:spacing w:line="360" w:lineRule="auto"/>
        <w:ind w:firstLine="482"/>
        <w:rPr>
          <w:rFonts w:ascii="宋体" w:hAnsi="宋体" w:cs="宋体"/>
          <w:szCs w:val="21"/>
        </w:rPr>
      </w:pPr>
      <w:r>
        <w:rPr>
          <w:rFonts w:hint="eastAsia" w:ascii="宋体" w:hAnsi="宋体" w:cs="宋体"/>
          <w:szCs w:val="21"/>
          <w:lang w:val="zh-CN"/>
        </w:rPr>
        <w:t>二、遵纪守法，公平竞争。不与其他供应商相互串通、</w:t>
      </w:r>
      <w:r>
        <w:rPr>
          <w:rFonts w:hint="eastAsia" w:ascii="宋体" w:hAnsi="宋体" w:cs="宋体"/>
          <w:kern w:val="0"/>
          <w:szCs w:val="21"/>
        </w:rPr>
        <w:t>哄抬价格，</w:t>
      </w:r>
      <w:r>
        <w:rPr>
          <w:rFonts w:hint="eastAsia" w:ascii="宋体" w:hAnsi="宋体" w:cs="宋体"/>
          <w:szCs w:val="21"/>
          <w:lang w:val="zh-CN"/>
        </w:rPr>
        <w:t>不排挤其他供应商，不损害采购人的合法权益；不向采购人、采购代理机构、询价小组成员</w:t>
      </w:r>
      <w:r>
        <w:rPr>
          <w:rFonts w:hint="eastAsia" w:ascii="宋体" w:hAnsi="宋体" w:cs="宋体"/>
          <w:szCs w:val="21"/>
        </w:rPr>
        <w:t>等及其他参与采购活动的人员行贿或采用其他不正当手段谋取成交；</w:t>
      </w:r>
    </w:p>
    <w:p>
      <w:pPr>
        <w:spacing w:line="360" w:lineRule="auto"/>
        <w:ind w:firstLine="482"/>
        <w:rPr>
          <w:rFonts w:ascii="宋体" w:hAnsi="宋体" w:cs="宋体"/>
          <w:szCs w:val="21"/>
        </w:rPr>
      </w:pPr>
      <w:r>
        <w:rPr>
          <w:rFonts w:hint="eastAsia" w:ascii="宋体" w:hAnsi="宋体" w:cs="宋体"/>
          <w:kern w:val="0"/>
          <w:szCs w:val="21"/>
        </w:rPr>
        <w:t>三</w:t>
      </w:r>
      <w:r>
        <w:rPr>
          <w:rFonts w:hint="eastAsia" w:ascii="宋体" w:hAnsi="宋体" w:cs="宋体"/>
          <w:szCs w:val="21"/>
        </w:rPr>
        <w:t>、不捏造事实或借用他人名义进行虚假、恶意质疑和投诉，不以质疑或投诉为名排挤竞争对手，干扰政府采购秩序；</w:t>
      </w:r>
    </w:p>
    <w:p>
      <w:pPr>
        <w:autoSpaceDE w:val="0"/>
        <w:autoSpaceDN w:val="0"/>
        <w:spacing w:line="360" w:lineRule="auto"/>
        <w:ind w:firstLine="482"/>
        <w:rPr>
          <w:rFonts w:ascii="宋体" w:hAnsi="宋体" w:cs="宋体"/>
          <w:szCs w:val="21"/>
          <w:lang w:val="zh-CN"/>
        </w:rPr>
      </w:pPr>
      <w:r>
        <w:rPr>
          <w:rFonts w:hint="eastAsia" w:ascii="宋体" w:hAnsi="宋体" w:cs="宋体"/>
          <w:kern w:val="0"/>
          <w:szCs w:val="21"/>
        </w:rPr>
        <w:t>四、若中标后，将按照规定及时与采购人签订政府采购合同，不与采购人订立有悖于采购结果的合同或协议；严格履行政府采购合同，不降低合同约定的产品质量及相关服务，不擅自变更、中止、终止合同，或者拒绝履行合同义务。</w:t>
      </w:r>
    </w:p>
    <w:p>
      <w:pPr>
        <w:autoSpaceDE w:val="0"/>
        <w:autoSpaceDN w:val="0"/>
        <w:spacing w:line="360" w:lineRule="auto"/>
        <w:ind w:firstLine="482"/>
        <w:rPr>
          <w:rFonts w:ascii="宋体" w:hAnsi="宋体" w:cs="宋体"/>
          <w:szCs w:val="21"/>
          <w:lang w:val="zh-CN"/>
        </w:rPr>
      </w:pPr>
      <w:r>
        <w:rPr>
          <w:rFonts w:hint="eastAsia" w:ascii="宋体" w:hAnsi="宋体" w:cs="宋体"/>
          <w:szCs w:val="21"/>
          <w:lang w:val="zh-CN"/>
        </w:rPr>
        <w:t>若有违反以上承诺内容的行为，我公司自愿接受取消报价资格、记入信用档案、没收投标保证金、媒体通报、1～3年内禁止参与哈密市政府采购活动等处罚；</w:t>
      </w:r>
      <w:r>
        <w:rPr>
          <w:rFonts w:hint="eastAsia" w:ascii="宋体" w:hAnsi="宋体" w:cs="宋体"/>
          <w:szCs w:val="21"/>
        </w:rPr>
        <w:t>如已成交的，自动放弃成交资格，</w:t>
      </w:r>
      <w:r>
        <w:rPr>
          <w:rFonts w:hint="eastAsia" w:ascii="宋体" w:hAnsi="宋体" w:cs="宋体"/>
          <w:szCs w:val="21"/>
          <w:lang w:val="zh-CN"/>
        </w:rPr>
        <w:t>并承担全部法律责任</w:t>
      </w:r>
      <w:r>
        <w:rPr>
          <w:rFonts w:hint="eastAsia" w:ascii="宋体" w:hAnsi="宋体" w:cs="宋体"/>
          <w:szCs w:val="21"/>
        </w:rPr>
        <w:t>；给采购人造成损失的，依法承担赔偿责任</w:t>
      </w:r>
      <w:r>
        <w:rPr>
          <w:rFonts w:hint="eastAsia" w:ascii="宋体" w:hAnsi="宋体" w:cs="宋体"/>
          <w:szCs w:val="21"/>
          <w:lang w:val="zh-CN"/>
        </w:rPr>
        <w:t>。</w:t>
      </w:r>
    </w:p>
    <w:p>
      <w:pPr>
        <w:autoSpaceDE w:val="0"/>
        <w:autoSpaceDN w:val="0"/>
        <w:spacing w:line="360" w:lineRule="auto"/>
        <w:jc w:val="center"/>
        <w:rPr>
          <w:rFonts w:ascii="宋体" w:hAnsi="宋体" w:cs="宋体"/>
          <w:szCs w:val="21"/>
          <w:lang w:val="zh-CN"/>
        </w:rPr>
      </w:pPr>
      <w:r>
        <w:rPr>
          <w:rFonts w:hint="eastAsia" w:ascii="宋体" w:hAnsi="宋体" w:cs="宋体"/>
          <w:szCs w:val="21"/>
          <w:lang w:val="zh-CN"/>
        </w:rPr>
        <w:t xml:space="preserve">                       </w:t>
      </w:r>
    </w:p>
    <w:p>
      <w:pPr>
        <w:autoSpaceDE w:val="0"/>
        <w:autoSpaceDN w:val="0"/>
        <w:spacing w:line="360" w:lineRule="auto"/>
        <w:jc w:val="center"/>
        <w:rPr>
          <w:rFonts w:ascii="宋体" w:hAnsi="宋体" w:cs="宋体"/>
          <w:szCs w:val="21"/>
          <w:lang w:val="zh-CN"/>
        </w:rPr>
      </w:pPr>
      <w:r>
        <w:rPr>
          <w:rFonts w:hint="eastAsia" w:ascii="宋体" w:hAnsi="宋体" w:cs="宋体"/>
          <w:szCs w:val="21"/>
          <w:lang w:val="zh-CN"/>
        </w:rPr>
        <w:t xml:space="preserve">                                供应商名称(公章)：</w:t>
      </w:r>
    </w:p>
    <w:p>
      <w:pPr>
        <w:autoSpaceDE w:val="0"/>
        <w:autoSpaceDN w:val="0"/>
        <w:spacing w:line="360" w:lineRule="auto"/>
        <w:jc w:val="center"/>
        <w:rPr>
          <w:rFonts w:ascii="宋体" w:hAnsi="宋体" w:cs="宋体"/>
          <w:szCs w:val="21"/>
          <w:lang w:val="zh-CN"/>
        </w:rPr>
      </w:pPr>
      <w:r>
        <w:rPr>
          <w:rFonts w:hint="eastAsia" w:ascii="宋体" w:hAnsi="宋体" w:cs="宋体"/>
          <w:szCs w:val="21"/>
          <w:lang w:val="zh-CN"/>
        </w:rPr>
        <w:t xml:space="preserve">                        法定代表人（签字或盖章）：</w:t>
      </w:r>
    </w:p>
    <w:p>
      <w:pPr>
        <w:autoSpaceDE w:val="0"/>
        <w:autoSpaceDN w:val="0"/>
        <w:spacing w:line="360" w:lineRule="auto"/>
        <w:ind w:firstLine="720"/>
        <w:jc w:val="center"/>
        <w:rPr>
          <w:rFonts w:ascii="宋体" w:hAnsi="宋体" w:cs="宋体"/>
          <w:szCs w:val="21"/>
          <w:lang w:val="zh-CN"/>
        </w:rPr>
      </w:pPr>
      <w:r>
        <w:rPr>
          <w:rFonts w:hint="eastAsia" w:ascii="宋体" w:hAnsi="宋体" w:cs="宋体"/>
          <w:szCs w:val="21"/>
          <w:lang w:val="zh-CN"/>
        </w:rPr>
        <w:t xml:space="preserve">                      日期：     年   月   日</w:t>
      </w:r>
    </w:p>
    <w:p>
      <w:pPr>
        <w:autoSpaceDE w:val="0"/>
        <w:autoSpaceDN w:val="0"/>
        <w:adjustRightInd w:val="0"/>
        <w:spacing w:line="500" w:lineRule="exact"/>
        <w:ind w:firstLine="420" w:firstLineChars="200"/>
        <w:jc w:val="center"/>
        <w:rPr>
          <w:rFonts w:ascii="宋体" w:hAnsi="宋体" w:cs="宋体"/>
          <w:bCs/>
          <w:kern w:val="0"/>
          <w:szCs w:val="21"/>
          <w:lang w:val="zh-CN"/>
        </w:rPr>
      </w:pPr>
    </w:p>
    <w:p>
      <w:pPr>
        <w:autoSpaceDE w:val="0"/>
        <w:autoSpaceDN w:val="0"/>
        <w:adjustRightInd w:val="0"/>
        <w:spacing w:line="500" w:lineRule="exact"/>
        <w:ind w:firstLine="420" w:firstLineChars="200"/>
        <w:jc w:val="center"/>
        <w:rPr>
          <w:rFonts w:ascii="宋体" w:hAnsi="宋体" w:cs="宋体"/>
          <w:bCs/>
          <w:kern w:val="0"/>
          <w:szCs w:val="21"/>
          <w:lang w:val="zh-CN"/>
        </w:rPr>
      </w:pPr>
    </w:p>
    <w:p>
      <w:pPr>
        <w:autoSpaceDE w:val="0"/>
        <w:autoSpaceDN w:val="0"/>
        <w:adjustRightInd w:val="0"/>
        <w:spacing w:line="500" w:lineRule="exact"/>
        <w:ind w:firstLine="420" w:firstLineChars="200"/>
        <w:jc w:val="center"/>
        <w:rPr>
          <w:rFonts w:ascii="宋体" w:hAnsi="宋体" w:cs="宋体"/>
          <w:bCs/>
          <w:kern w:val="0"/>
          <w:szCs w:val="21"/>
          <w:lang w:val="zh-CN"/>
        </w:rPr>
      </w:pPr>
    </w:p>
    <w:p>
      <w:pPr>
        <w:pStyle w:val="2"/>
        <w:rPr>
          <w:rFonts w:ascii="宋体" w:hAnsi="宋体" w:cs="宋体"/>
          <w:bCs/>
          <w:kern w:val="0"/>
          <w:szCs w:val="21"/>
          <w:lang w:val="zh-CN"/>
        </w:rPr>
      </w:pPr>
    </w:p>
    <w:p>
      <w:pPr>
        <w:autoSpaceDE w:val="0"/>
        <w:autoSpaceDN w:val="0"/>
        <w:spacing w:before="120" w:after="120" w:line="300" w:lineRule="auto"/>
        <w:jc w:val="center"/>
        <w:rPr>
          <w:rFonts w:hint="eastAsia" w:ascii="宋体" w:hAnsi="宋体" w:eastAsia="宋体" w:cs="宋体"/>
          <w:i w:val="0"/>
          <w:iCs w:val="0"/>
          <w:sz w:val="28"/>
          <w:szCs w:val="28"/>
          <w:lang w:val="zh-CN"/>
        </w:rPr>
      </w:pPr>
      <w:r>
        <w:rPr>
          <w:rFonts w:hint="eastAsia" w:ascii="宋体" w:hAnsi="宋体" w:eastAsia="宋体" w:cs="宋体"/>
          <w:i w:val="0"/>
          <w:iCs w:val="0"/>
          <w:sz w:val="28"/>
          <w:szCs w:val="28"/>
          <w:lang w:val="zh-CN"/>
        </w:rPr>
        <w:t>中小企业声明函</w:t>
      </w:r>
    </w:p>
    <w:p>
      <w:pPr>
        <w:rPr>
          <w:rFonts w:hint="eastAsia"/>
          <w:lang w:val="zh-CN"/>
        </w:rPr>
      </w:pPr>
    </w:p>
    <w:p>
      <w:pPr>
        <w:autoSpaceDE w:val="0"/>
        <w:autoSpaceDN w:val="0"/>
        <w:spacing w:line="480" w:lineRule="auto"/>
        <w:ind w:firstLine="480"/>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本公司郑重声明，根据《政府采购促进中小企业发展管理办法》（财库[2020]46号）的规定，本公司（参加（单位名称）的（项目名称）采购活动，工程的施工单位全部为符合政策要求的中小企业。相关企业（含联合体中的中小企业、签订分包意向协议的中小企业）的具体情况如下：</w:t>
      </w:r>
    </w:p>
    <w:p>
      <w:pPr>
        <w:autoSpaceDE w:val="0"/>
        <w:autoSpaceDN w:val="0"/>
        <w:spacing w:line="480" w:lineRule="auto"/>
        <w:ind w:firstLine="480"/>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1.（标的名称），属于（采购文件中明确的所属行业）；承建企业为（企业名称），从业人员  人，营业收入为  万元，资产总额为  万元，属于（中型企业、小型企业、微型企业）；</w:t>
      </w:r>
    </w:p>
    <w:p>
      <w:pPr>
        <w:autoSpaceDE w:val="0"/>
        <w:autoSpaceDN w:val="0"/>
        <w:spacing w:line="480" w:lineRule="auto"/>
        <w:ind w:firstLine="480"/>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2. （标的名称），属于（采购文件中明确的所属行业）；承建企业为（企业名称），从业人员  人，营业收入为  万元，资产总额为  万元，属于（中型企业、小型企业、微型企业）；</w:t>
      </w:r>
    </w:p>
    <w:p>
      <w:pPr>
        <w:autoSpaceDE w:val="0"/>
        <w:autoSpaceDN w:val="0"/>
        <w:spacing w:line="480" w:lineRule="auto"/>
        <w:ind w:firstLine="480"/>
        <w:rPr>
          <w:rFonts w:hint="eastAsia" w:ascii="宋体" w:hAnsi="宋体" w:eastAsia="宋体" w:cs="宋体"/>
          <w:i w:val="0"/>
          <w:iCs w:val="0"/>
          <w:sz w:val="21"/>
          <w:szCs w:val="21"/>
          <w:lang w:val="zh-CN"/>
        </w:rPr>
      </w:pPr>
    </w:p>
    <w:p>
      <w:pPr>
        <w:autoSpaceDE w:val="0"/>
        <w:autoSpaceDN w:val="0"/>
        <w:spacing w:line="480" w:lineRule="auto"/>
        <w:ind w:firstLine="480"/>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以上企业，不属于大企业的分支机构，不存在控股股东为大企业的情形，也不存在与大企业的负责人为同一人的情形。</w:t>
      </w:r>
    </w:p>
    <w:p>
      <w:pPr>
        <w:autoSpaceDE w:val="0"/>
        <w:autoSpaceDN w:val="0"/>
        <w:spacing w:line="480" w:lineRule="auto"/>
        <w:ind w:firstLine="480"/>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本企业对上述声明内容的真实性负责。如有虚假，将依法承担相应责任。</w:t>
      </w:r>
    </w:p>
    <w:p>
      <w:pPr>
        <w:autoSpaceDE w:val="0"/>
        <w:autoSpaceDN w:val="0"/>
        <w:spacing w:line="360" w:lineRule="auto"/>
        <w:ind w:firstLine="480"/>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 xml:space="preserve">                    </w:t>
      </w:r>
    </w:p>
    <w:p>
      <w:pPr>
        <w:autoSpaceDE w:val="0"/>
        <w:autoSpaceDN w:val="0"/>
        <w:spacing w:line="360" w:lineRule="auto"/>
        <w:ind w:firstLine="480"/>
        <w:rPr>
          <w:rFonts w:hint="eastAsia" w:ascii="宋体" w:hAnsi="宋体" w:eastAsia="宋体" w:cs="宋体"/>
          <w:i w:val="0"/>
          <w:iCs w:val="0"/>
          <w:sz w:val="21"/>
          <w:szCs w:val="21"/>
          <w:lang w:val="zh-CN"/>
        </w:rPr>
      </w:pPr>
    </w:p>
    <w:p>
      <w:pPr>
        <w:autoSpaceDE w:val="0"/>
        <w:autoSpaceDN w:val="0"/>
        <w:spacing w:line="360" w:lineRule="auto"/>
        <w:ind w:firstLine="480"/>
        <w:rPr>
          <w:rFonts w:hint="eastAsia" w:ascii="宋体" w:hAnsi="宋体" w:eastAsia="宋体" w:cs="宋体"/>
          <w:i w:val="0"/>
          <w:iCs w:val="0"/>
          <w:sz w:val="21"/>
          <w:szCs w:val="21"/>
          <w:lang w:val="zh-CN"/>
        </w:rPr>
      </w:pPr>
    </w:p>
    <w:p>
      <w:pPr>
        <w:autoSpaceDE w:val="0"/>
        <w:autoSpaceDN w:val="0"/>
        <w:spacing w:line="360" w:lineRule="auto"/>
        <w:ind w:firstLine="480"/>
        <w:rPr>
          <w:rFonts w:hint="eastAsia" w:ascii="宋体" w:hAnsi="宋体" w:eastAsia="宋体" w:cs="宋体"/>
          <w:i w:val="0"/>
          <w:iCs w:val="0"/>
          <w:sz w:val="21"/>
          <w:szCs w:val="21"/>
          <w:lang w:val="zh-CN"/>
        </w:rPr>
      </w:pPr>
    </w:p>
    <w:p>
      <w:pPr>
        <w:autoSpaceDE w:val="0"/>
        <w:autoSpaceDN w:val="0"/>
        <w:spacing w:line="360" w:lineRule="auto"/>
        <w:ind w:firstLine="480"/>
        <w:rPr>
          <w:rFonts w:hint="eastAsia" w:ascii="宋体" w:hAnsi="宋体" w:eastAsia="宋体" w:cs="宋体"/>
          <w:i w:val="0"/>
          <w:iCs w:val="0"/>
          <w:sz w:val="21"/>
          <w:szCs w:val="21"/>
          <w:lang w:val="zh-CN"/>
        </w:rPr>
      </w:pPr>
    </w:p>
    <w:p>
      <w:pPr>
        <w:autoSpaceDE w:val="0"/>
        <w:autoSpaceDN w:val="0"/>
        <w:spacing w:line="360" w:lineRule="auto"/>
        <w:ind w:firstLine="5304" w:firstLineChars="2526"/>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 xml:space="preserve">  企业名称（盖章）：</w:t>
      </w:r>
    </w:p>
    <w:p>
      <w:pPr>
        <w:autoSpaceDE w:val="0"/>
        <w:autoSpaceDN w:val="0"/>
        <w:spacing w:line="360" w:lineRule="auto"/>
        <w:ind w:firstLine="480"/>
        <w:rPr>
          <w:rFonts w:hint="eastAsia" w:ascii="宋体" w:hAnsi="宋体" w:eastAsia="宋体" w:cs="宋体"/>
          <w:i w:val="0"/>
          <w:iCs w:val="0"/>
          <w:sz w:val="21"/>
          <w:szCs w:val="21"/>
          <w:lang w:val="zh-CN"/>
        </w:rPr>
      </w:pPr>
      <w:r>
        <w:rPr>
          <w:rFonts w:hint="eastAsia" w:ascii="宋体" w:hAnsi="宋体" w:eastAsia="宋体" w:cs="宋体"/>
          <w:i w:val="0"/>
          <w:iCs w:val="0"/>
          <w:sz w:val="21"/>
          <w:szCs w:val="21"/>
          <w:lang w:val="zh-CN"/>
        </w:rPr>
        <w:t xml:space="preserve">                   </w:t>
      </w:r>
      <w:r>
        <w:rPr>
          <w:rFonts w:hint="eastAsia" w:ascii="宋体" w:hAnsi="宋体" w:cs="宋体"/>
          <w:i w:val="0"/>
          <w:iCs w:val="0"/>
          <w:sz w:val="21"/>
          <w:szCs w:val="21"/>
          <w:lang w:val="en-US" w:eastAsia="zh-CN"/>
        </w:rPr>
        <w:t xml:space="preserve">                          </w:t>
      </w:r>
      <w:r>
        <w:rPr>
          <w:rFonts w:hint="eastAsia" w:ascii="宋体" w:hAnsi="宋体" w:eastAsia="宋体" w:cs="宋体"/>
          <w:i w:val="0"/>
          <w:iCs w:val="0"/>
          <w:sz w:val="21"/>
          <w:szCs w:val="21"/>
          <w:lang w:val="zh-CN"/>
        </w:rPr>
        <w:t xml:space="preserve">   日期：</w:t>
      </w:r>
    </w:p>
    <w:p>
      <w:pPr>
        <w:autoSpaceDE w:val="0"/>
        <w:autoSpaceDN w:val="0"/>
        <w:spacing w:line="360" w:lineRule="auto"/>
        <w:ind w:firstLine="480"/>
        <w:rPr>
          <w:rFonts w:hint="eastAsia" w:ascii="宋体" w:hAnsi="宋体" w:eastAsia="宋体" w:cs="宋体"/>
          <w:i w:val="0"/>
          <w:iCs w:val="0"/>
          <w:sz w:val="21"/>
          <w:szCs w:val="21"/>
          <w:lang w:val="zh-CN"/>
        </w:rPr>
      </w:pPr>
    </w:p>
    <w:p>
      <w:pPr>
        <w:autoSpaceDE w:val="0"/>
        <w:autoSpaceDN w:val="0"/>
        <w:spacing w:line="360" w:lineRule="auto"/>
        <w:ind w:firstLine="480"/>
        <w:rPr>
          <w:rFonts w:hint="eastAsia" w:ascii="宋体" w:hAnsi="宋体" w:eastAsia="宋体" w:cs="宋体"/>
          <w:i w:val="0"/>
          <w:iCs w:val="0"/>
          <w:sz w:val="21"/>
          <w:szCs w:val="21"/>
          <w:lang w:val="zh-CN"/>
        </w:rPr>
      </w:pPr>
    </w:p>
    <w:p>
      <w:pPr>
        <w:rPr>
          <w:rFonts w:hint="eastAsia"/>
          <w:lang w:val="zh-CN"/>
        </w:rPr>
      </w:pPr>
    </w:p>
    <w:p>
      <w:pPr>
        <w:pStyle w:val="2"/>
        <w:rPr>
          <w:rFonts w:hint="eastAsia"/>
          <w:lang w:val="zh-CN"/>
        </w:rPr>
      </w:pPr>
    </w:p>
    <w:p>
      <w:pPr>
        <w:rPr>
          <w:rFonts w:hint="eastAsia"/>
          <w:lang w:val="zh-CN"/>
        </w:rPr>
      </w:pPr>
    </w:p>
    <w:p>
      <w:pPr>
        <w:pStyle w:val="2"/>
        <w:rPr>
          <w:rFonts w:hint="eastAsia"/>
          <w:lang w:val="zh-CN"/>
        </w:rPr>
      </w:pPr>
    </w:p>
    <w:p>
      <w:pPr>
        <w:pStyle w:val="16"/>
      </w:pPr>
      <w:r>
        <w:t xml:space="preserve"> </w:t>
      </w:r>
      <w:r>
        <w:rPr>
          <w:rFonts w:hint="eastAsia"/>
        </w:rPr>
        <w:t>从业人员、营业收入、资产总额填报上一年度数据，无上一年度数据的新成立企业可不填报。</w:t>
      </w: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rPr>
      </w:pPr>
    </w:p>
    <w:p>
      <w:pPr>
        <w:spacing w:line="500" w:lineRule="exact"/>
        <w:ind w:firstLine="420" w:firstLineChars="200"/>
        <w:rPr>
          <w:rFonts w:ascii="宋体" w:hAnsi="宋体" w:cs="宋体"/>
          <w:szCs w:val="21"/>
          <w:lang w:val="zh-CN"/>
        </w:rPr>
      </w:pPr>
    </w:p>
    <w:p>
      <w:pPr>
        <w:spacing w:line="500" w:lineRule="exact"/>
        <w:ind w:firstLine="420" w:firstLineChars="200"/>
        <w:jc w:val="center"/>
        <w:rPr>
          <w:rFonts w:ascii="宋体" w:hAnsi="宋体" w:cs="宋体"/>
          <w:szCs w:val="21"/>
          <w:lang w:val="zh-CN"/>
        </w:rPr>
      </w:pPr>
    </w:p>
    <w:p>
      <w:pPr>
        <w:spacing w:line="500" w:lineRule="exact"/>
        <w:ind w:firstLine="420" w:firstLineChars="200"/>
        <w:jc w:val="center"/>
        <w:rPr>
          <w:rFonts w:ascii="宋体" w:hAnsi="宋体" w:cs="宋体"/>
          <w:szCs w:val="21"/>
          <w:lang w:val="zh-CN"/>
        </w:rPr>
      </w:pPr>
    </w:p>
    <w:p>
      <w:pPr>
        <w:pStyle w:val="2"/>
        <w:rPr>
          <w:lang w:val="zh-CN"/>
        </w:rPr>
      </w:pPr>
    </w:p>
    <w:p>
      <w:pPr>
        <w:spacing w:line="500" w:lineRule="exact"/>
        <w:ind w:firstLine="560" w:firstLineChars="200"/>
        <w:jc w:val="center"/>
        <w:rPr>
          <w:rFonts w:ascii="宋体" w:hAnsi="宋体" w:cs="宋体"/>
          <w:sz w:val="28"/>
          <w:szCs w:val="28"/>
        </w:rPr>
      </w:pPr>
    </w:p>
    <w:p>
      <w:pPr>
        <w:spacing w:line="500" w:lineRule="exact"/>
        <w:ind w:firstLine="560" w:firstLineChars="200"/>
        <w:jc w:val="center"/>
        <w:rPr>
          <w:rFonts w:ascii="宋体" w:hAnsi="宋体" w:cs="宋体"/>
          <w:sz w:val="28"/>
          <w:szCs w:val="28"/>
          <w:lang w:val="zh-CN"/>
        </w:rPr>
      </w:pPr>
      <w:r>
        <w:rPr>
          <w:rFonts w:hint="eastAsia" w:ascii="宋体" w:hAnsi="宋体" w:cs="宋体"/>
          <w:sz w:val="28"/>
          <w:szCs w:val="28"/>
        </w:rPr>
        <w:t>磋 商 响 应 文 件</w:t>
      </w:r>
      <w:r>
        <w:rPr>
          <w:rFonts w:hint="eastAsia" w:ascii="宋体" w:hAnsi="宋体" w:cs="宋体"/>
          <w:sz w:val="28"/>
          <w:szCs w:val="28"/>
          <w:lang w:val="zh-CN"/>
        </w:rPr>
        <w:t xml:space="preserve"> </w:t>
      </w:r>
    </w:p>
    <w:p>
      <w:pPr>
        <w:spacing w:line="500" w:lineRule="exact"/>
        <w:ind w:firstLine="560" w:firstLineChars="200"/>
        <w:jc w:val="center"/>
        <w:rPr>
          <w:rFonts w:ascii="宋体" w:hAnsi="宋体" w:cs="宋体"/>
          <w:sz w:val="28"/>
          <w:szCs w:val="28"/>
          <w:lang w:val="zh-CN"/>
        </w:rPr>
      </w:pPr>
      <w:r>
        <w:rPr>
          <w:rFonts w:hint="eastAsia" w:ascii="宋体" w:hAnsi="宋体" w:cs="宋体"/>
          <w:sz w:val="28"/>
          <w:szCs w:val="28"/>
          <w:lang w:val="zh-CN"/>
        </w:rPr>
        <w:t>（经济标部分）</w:t>
      </w: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szCs w:val="21"/>
          <w:lang w:val="zh-CN"/>
        </w:rPr>
      </w:pPr>
    </w:p>
    <w:p>
      <w:pPr>
        <w:spacing w:line="500" w:lineRule="exact"/>
        <w:ind w:firstLine="420" w:firstLineChars="200"/>
        <w:rPr>
          <w:rFonts w:ascii="宋体" w:hAnsi="宋体" w:cs="宋体"/>
          <w:b/>
          <w:bCs/>
          <w:sz w:val="18"/>
          <w:szCs w:val="18"/>
        </w:rPr>
      </w:pPr>
      <w:r>
        <w:rPr>
          <w:rFonts w:hint="eastAsia" w:ascii="宋体" w:hAnsi="宋体" w:cs="宋体"/>
          <w:szCs w:val="21"/>
          <w:lang w:val="zh-CN"/>
        </w:rPr>
        <w:br w:type="page"/>
      </w:r>
    </w:p>
    <w:p>
      <w:pPr>
        <w:autoSpaceDE w:val="0"/>
        <w:autoSpaceDN w:val="0"/>
        <w:adjustRightInd w:val="0"/>
        <w:spacing w:line="500" w:lineRule="exact"/>
        <w:ind w:firstLine="422" w:firstLineChars="200"/>
        <w:jc w:val="center"/>
        <w:rPr>
          <w:rFonts w:ascii="宋体" w:hAnsi="宋体" w:cs="宋体"/>
          <w:b/>
          <w:bCs/>
          <w:kern w:val="0"/>
          <w:szCs w:val="21"/>
        </w:rPr>
      </w:pPr>
      <w:r>
        <w:rPr>
          <w:rFonts w:hint="eastAsia" w:ascii="宋体" w:hAnsi="宋体" w:cs="宋体"/>
          <w:b/>
          <w:bCs/>
          <w:kern w:val="0"/>
          <w:szCs w:val="21"/>
        </w:rPr>
        <w:t>磋商响应文件经济标目录</w:t>
      </w:r>
    </w:p>
    <w:p>
      <w:pPr>
        <w:autoSpaceDE w:val="0"/>
        <w:autoSpaceDN w:val="0"/>
        <w:adjustRightInd w:val="0"/>
        <w:spacing w:line="500" w:lineRule="exact"/>
        <w:ind w:firstLine="422" w:firstLineChars="200"/>
        <w:jc w:val="left"/>
        <w:rPr>
          <w:rFonts w:ascii="宋体" w:hAnsi="宋体" w:cs="宋体"/>
          <w:bCs/>
          <w:kern w:val="0"/>
          <w:szCs w:val="21"/>
        </w:rPr>
      </w:pPr>
      <w:r>
        <w:rPr>
          <w:rFonts w:hint="eastAsia" w:ascii="宋体" w:hAnsi="宋体" w:cs="宋体"/>
          <w:b/>
          <w:bCs/>
          <w:kern w:val="0"/>
          <w:szCs w:val="21"/>
        </w:rPr>
        <w:t>经济标部分主要</w:t>
      </w:r>
      <w:r>
        <w:rPr>
          <w:rFonts w:hint="eastAsia" w:ascii="宋体" w:hAnsi="宋体" w:cs="宋体"/>
          <w:b/>
          <w:szCs w:val="21"/>
        </w:rPr>
        <w:t>包括但不限于以下内容：</w:t>
      </w:r>
      <w:r>
        <w:rPr>
          <w:rFonts w:hint="eastAsia" w:ascii="宋体" w:hAnsi="宋体" w:cs="宋体"/>
          <w:bCs/>
          <w:kern w:val="0"/>
          <w:szCs w:val="21"/>
        </w:rPr>
        <w:tab/>
      </w:r>
    </w:p>
    <w:p>
      <w:pPr>
        <w:spacing w:line="500" w:lineRule="exact"/>
        <w:ind w:firstLine="420" w:firstLineChars="200"/>
        <w:rPr>
          <w:rFonts w:ascii="宋体" w:hAnsi="宋体" w:cs="宋体"/>
          <w:szCs w:val="21"/>
        </w:rPr>
      </w:pPr>
      <w:r>
        <w:rPr>
          <w:rFonts w:hint="eastAsia" w:ascii="宋体" w:hAnsi="宋体" w:cs="宋体"/>
          <w:szCs w:val="21"/>
        </w:rPr>
        <w:t>（1）投标报价表；</w:t>
      </w:r>
    </w:p>
    <w:p>
      <w:pPr>
        <w:spacing w:line="500" w:lineRule="exact"/>
        <w:ind w:firstLine="420" w:firstLineChars="200"/>
        <w:rPr>
          <w:rFonts w:ascii="宋体" w:hAnsi="宋体" w:cs="宋体"/>
          <w:szCs w:val="21"/>
        </w:rPr>
      </w:pPr>
      <w:r>
        <w:rPr>
          <w:rFonts w:hint="eastAsia" w:ascii="宋体" w:hAnsi="宋体" w:cs="宋体"/>
          <w:szCs w:val="21"/>
        </w:rPr>
        <w:t>（2）工程预算书；</w:t>
      </w:r>
    </w:p>
    <w:p>
      <w:pPr>
        <w:spacing w:line="500" w:lineRule="exact"/>
        <w:ind w:firstLine="420" w:firstLineChars="200"/>
        <w:rPr>
          <w:rFonts w:ascii="宋体" w:hAnsi="宋体" w:cs="宋体"/>
          <w:szCs w:val="21"/>
        </w:rPr>
      </w:pPr>
      <w:r>
        <w:rPr>
          <w:rFonts w:hint="eastAsia" w:ascii="宋体" w:hAnsi="宋体" w:cs="宋体"/>
          <w:szCs w:val="21"/>
        </w:rPr>
        <w:t>（3）报价说明；</w:t>
      </w:r>
    </w:p>
    <w:p>
      <w:pPr>
        <w:spacing w:line="500" w:lineRule="exact"/>
        <w:ind w:firstLine="411" w:firstLineChars="196"/>
        <w:rPr>
          <w:rFonts w:ascii="宋体" w:hAnsi="宋体" w:cs="宋体"/>
          <w:szCs w:val="21"/>
        </w:rPr>
      </w:pPr>
      <w:r>
        <w:rPr>
          <w:rFonts w:hint="eastAsia" w:ascii="宋体" w:hAnsi="宋体" w:cs="宋体"/>
          <w:szCs w:val="21"/>
        </w:rPr>
        <w:t>（4）报价需要的其他资料。</w:t>
      </w:r>
    </w:p>
    <w:p>
      <w:pPr>
        <w:spacing w:line="500" w:lineRule="exact"/>
        <w:ind w:firstLine="413" w:firstLineChars="196"/>
        <w:rPr>
          <w:rFonts w:ascii="宋体" w:hAnsi="宋体" w:cs="宋体"/>
          <w:szCs w:val="21"/>
        </w:rPr>
      </w:pPr>
      <w:r>
        <w:rPr>
          <w:rFonts w:hint="eastAsia" w:ascii="宋体" w:hAnsi="宋体" w:cs="宋体"/>
          <w:b/>
          <w:szCs w:val="21"/>
        </w:rPr>
        <w:t>（注：投标人提供的投标文件应当使用采购文件所提供投标文件格式（表格可按照同样格式扩展）。未提供格式的，需要时由投标人用文字或者表格、图片等其它形式提供。）</w:t>
      </w: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r>
        <w:rPr>
          <w:rFonts w:hint="eastAsia" w:ascii="宋体" w:hAnsi="宋体" w:cs="宋体"/>
          <w:szCs w:val="21"/>
        </w:rPr>
        <w:t>附件</w:t>
      </w:r>
    </w:p>
    <w:p>
      <w:pPr>
        <w:spacing w:line="500" w:lineRule="exact"/>
        <w:ind w:firstLine="411" w:firstLineChars="196"/>
        <w:jc w:val="center"/>
        <w:rPr>
          <w:rFonts w:ascii="宋体" w:hAnsi="宋体" w:cs="宋体"/>
          <w:szCs w:val="21"/>
        </w:rPr>
      </w:pPr>
      <w:r>
        <w:rPr>
          <w:rFonts w:hint="eastAsia" w:ascii="宋体" w:hAnsi="宋体" w:cs="宋体"/>
          <w:szCs w:val="21"/>
        </w:rPr>
        <w:t>投标报价表（合计总价）</w:t>
      </w: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r>
        <w:rPr>
          <w:rFonts w:hint="eastAsia" w:ascii="宋体" w:hAnsi="宋体" w:cs="宋体"/>
          <w:szCs w:val="21"/>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93" w:type="dxa"/>
            <w:vAlign w:val="center"/>
          </w:tcPr>
          <w:p>
            <w:pPr>
              <w:spacing w:line="500" w:lineRule="exact"/>
              <w:ind w:firstLine="411" w:firstLineChars="196"/>
              <w:rPr>
                <w:rFonts w:ascii="宋体" w:hAnsi="宋体" w:cs="宋体"/>
                <w:szCs w:val="21"/>
              </w:rPr>
            </w:pPr>
            <w:r>
              <w:rPr>
                <w:rFonts w:hint="eastAsia" w:ascii="宋体" w:hAnsi="宋体" w:cs="宋体"/>
                <w:szCs w:val="21"/>
              </w:rPr>
              <w:t>项目</w:t>
            </w:r>
          </w:p>
        </w:tc>
        <w:tc>
          <w:tcPr>
            <w:tcW w:w="6117" w:type="dxa"/>
            <w:vAlign w:val="center"/>
          </w:tcPr>
          <w:p>
            <w:pPr>
              <w:spacing w:line="500" w:lineRule="exact"/>
              <w:ind w:firstLine="411" w:firstLineChars="196"/>
              <w:rPr>
                <w:rFonts w:ascii="宋体" w:hAnsi="宋体" w:cs="宋体"/>
                <w:szCs w:val="21"/>
              </w:rPr>
            </w:pPr>
            <w:r>
              <w:rPr>
                <w:rFonts w:hint="eastAsia" w:ascii="宋体" w:hAnsi="宋体" w:cs="宋体"/>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393" w:type="dxa"/>
            <w:vAlign w:val="center"/>
          </w:tcPr>
          <w:p>
            <w:pPr>
              <w:spacing w:line="500" w:lineRule="exact"/>
              <w:ind w:firstLine="411" w:firstLineChars="196"/>
              <w:rPr>
                <w:rFonts w:ascii="宋体" w:hAnsi="宋体" w:cs="宋体"/>
                <w:szCs w:val="21"/>
              </w:rPr>
            </w:pPr>
            <w:r>
              <w:rPr>
                <w:rFonts w:hint="eastAsia" w:ascii="宋体" w:hAnsi="宋体" w:cs="宋体"/>
                <w:szCs w:val="21"/>
              </w:rPr>
              <w:t>投标报价（人民币）</w:t>
            </w:r>
          </w:p>
        </w:tc>
        <w:tc>
          <w:tcPr>
            <w:tcW w:w="6117" w:type="dxa"/>
            <w:vAlign w:val="center"/>
          </w:tcPr>
          <w:p>
            <w:pPr>
              <w:spacing w:line="500" w:lineRule="exact"/>
              <w:ind w:firstLine="411" w:firstLineChars="196"/>
              <w:rPr>
                <w:rFonts w:ascii="宋体" w:hAnsi="宋体" w:cs="宋体"/>
                <w:szCs w:val="21"/>
              </w:rPr>
            </w:pPr>
            <w:r>
              <w:rPr>
                <w:rFonts w:hint="eastAsia" w:ascii="宋体" w:hAnsi="宋体" w:cs="宋体"/>
                <w:szCs w:val="21"/>
              </w:rPr>
              <w:t xml:space="preserve">小写：        </w:t>
            </w:r>
          </w:p>
          <w:p>
            <w:pPr>
              <w:spacing w:line="500" w:lineRule="exact"/>
              <w:ind w:firstLine="411" w:firstLineChars="196"/>
              <w:rPr>
                <w:rFonts w:ascii="宋体" w:hAnsi="宋体" w:cs="宋体"/>
                <w:szCs w:val="21"/>
              </w:rPr>
            </w:pPr>
            <w:r>
              <w:rPr>
                <w:rFonts w:hint="eastAsia" w:ascii="宋体" w:hAnsi="宋体" w:cs="宋体"/>
                <w:szCs w:val="21"/>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393" w:type="dxa"/>
            <w:vAlign w:val="center"/>
          </w:tcPr>
          <w:p>
            <w:pPr>
              <w:spacing w:line="500" w:lineRule="exact"/>
              <w:ind w:firstLine="411" w:firstLineChars="196"/>
              <w:rPr>
                <w:rFonts w:ascii="宋体" w:hAnsi="宋体" w:cs="宋体"/>
                <w:szCs w:val="21"/>
                <w:highlight w:val="yellow"/>
              </w:rPr>
            </w:pPr>
            <w:r>
              <w:rPr>
                <w:rFonts w:hint="eastAsia" w:ascii="宋体" w:hAnsi="宋体" w:cs="宋体"/>
                <w:szCs w:val="21"/>
              </w:rPr>
              <w:t>工期</w:t>
            </w:r>
          </w:p>
        </w:tc>
        <w:tc>
          <w:tcPr>
            <w:tcW w:w="6117" w:type="dxa"/>
            <w:vAlign w:val="center"/>
          </w:tcPr>
          <w:p>
            <w:pPr>
              <w:spacing w:line="500" w:lineRule="exact"/>
              <w:jc w:val="center"/>
              <w:rPr>
                <w:rFonts w:ascii="宋体" w:hAnsi="宋体" w:cs="宋体"/>
                <w:szCs w:val="21"/>
                <w:highlight w:val="none"/>
              </w:rPr>
            </w:pPr>
            <w:r>
              <w:rPr>
                <w:rFonts w:hint="eastAsia" w:ascii="宋体" w:hAnsi="宋体" w:cs="宋体"/>
                <w:szCs w:val="21"/>
                <w:highlight w:val="none"/>
              </w:rPr>
              <w:t>总工期：</w:t>
            </w:r>
            <w:r>
              <w:rPr>
                <w:rFonts w:hint="eastAsia" w:ascii="宋体" w:hAnsi="宋体" w:cs="宋体"/>
                <w:szCs w:val="21"/>
                <w:highlight w:val="none"/>
                <w:lang w:val="en-US" w:eastAsia="zh-CN"/>
              </w:rPr>
              <w:t>31</w:t>
            </w:r>
            <w:r>
              <w:rPr>
                <w:rFonts w:hint="eastAsia" w:ascii="宋体" w:hAnsi="宋体" w:cs="宋体"/>
                <w:szCs w:val="21"/>
                <w:highlight w:val="none"/>
              </w:rPr>
              <w:t>日历日</w:t>
            </w:r>
          </w:p>
          <w:p>
            <w:pPr>
              <w:spacing w:line="500" w:lineRule="exact"/>
              <w:rPr>
                <w:rFonts w:ascii="宋体" w:hAnsi="宋体" w:cs="宋体"/>
                <w:szCs w:val="21"/>
                <w:highlight w:val="none"/>
              </w:rPr>
            </w:pPr>
            <w:r>
              <w:rPr>
                <w:rFonts w:hint="eastAsia" w:ascii="宋体" w:hAnsi="宋体" w:cs="宋体"/>
                <w:szCs w:val="21"/>
                <w:highlight w:val="none"/>
              </w:rPr>
              <w:t>（开工日期：2022年04月30日 竣工日期：2022年0</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393" w:type="dxa"/>
            <w:vAlign w:val="center"/>
          </w:tcPr>
          <w:p>
            <w:pPr>
              <w:spacing w:line="500" w:lineRule="exact"/>
              <w:ind w:firstLine="411" w:firstLineChars="196"/>
              <w:rPr>
                <w:rFonts w:ascii="宋体" w:hAnsi="宋体" w:cs="宋体"/>
                <w:szCs w:val="21"/>
              </w:rPr>
            </w:pPr>
            <w:r>
              <w:rPr>
                <w:rFonts w:hint="eastAsia" w:ascii="宋体" w:hAnsi="宋体" w:cs="宋体"/>
                <w:szCs w:val="21"/>
              </w:rPr>
              <w:t>质量标准</w:t>
            </w:r>
          </w:p>
        </w:tc>
        <w:tc>
          <w:tcPr>
            <w:tcW w:w="6117" w:type="dxa"/>
            <w:vAlign w:val="center"/>
          </w:tcPr>
          <w:p>
            <w:pPr>
              <w:spacing w:line="500" w:lineRule="exact"/>
              <w:ind w:firstLine="411" w:firstLineChars="196"/>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393" w:type="dxa"/>
            <w:vAlign w:val="center"/>
          </w:tcPr>
          <w:p>
            <w:pPr>
              <w:spacing w:line="500" w:lineRule="exact"/>
              <w:ind w:firstLine="411" w:firstLineChars="196"/>
              <w:rPr>
                <w:rFonts w:ascii="宋体" w:hAnsi="宋体" w:cs="宋体"/>
                <w:szCs w:val="21"/>
              </w:rPr>
            </w:pPr>
            <w:r>
              <w:rPr>
                <w:rFonts w:hint="eastAsia" w:ascii="宋体" w:hAnsi="宋体" w:cs="宋体"/>
                <w:szCs w:val="21"/>
              </w:rPr>
              <w:t>项目负责人</w:t>
            </w:r>
          </w:p>
        </w:tc>
        <w:tc>
          <w:tcPr>
            <w:tcW w:w="6117" w:type="dxa"/>
            <w:vAlign w:val="center"/>
          </w:tcPr>
          <w:p>
            <w:pPr>
              <w:spacing w:line="500" w:lineRule="exact"/>
              <w:ind w:firstLine="411" w:firstLineChars="196"/>
              <w:rPr>
                <w:rFonts w:ascii="宋体" w:hAnsi="宋体" w:cs="宋体"/>
                <w:szCs w:val="21"/>
              </w:rPr>
            </w:pPr>
            <w:r>
              <w:rPr>
                <w:rFonts w:hint="eastAsia" w:ascii="宋体" w:hAnsi="宋体" w:cs="宋体"/>
                <w:szCs w:val="21"/>
              </w:rPr>
              <w:t>姓名：</w:t>
            </w:r>
          </w:p>
          <w:p>
            <w:pPr>
              <w:spacing w:line="500" w:lineRule="exact"/>
              <w:ind w:firstLine="411" w:firstLineChars="196"/>
              <w:rPr>
                <w:rFonts w:ascii="宋体" w:hAnsi="宋体" w:cs="宋体"/>
                <w:szCs w:val="21"/>
              </w:rPr>
            </w:pPr>
            <w:r>
              <w:rPr>
                <w:rFonts w:hint="eastAsia" w:ascii="宋体" w:hAnsi="宋体" w:cs="宋体"/>
                <w:szCs w:val="21"/>
              </w:rPr>
              <w:t>身份证号码：</w:t>
            </w:r>
          </w:p>
          <w:p>
            <w:pPr>
              <w:spacing w:line="500" w:lineRule="exact"/>
              <w:ind w:firstLine="411" w:firstLineChars="196"/>
              <w:rPr>
                <w:rFonts w:ascii="宋体" w:hAnsi="宋体" w:cs="宋体"/>
                <w:szCs w:val="21"/>
              </w:rPr>
            </w:pPr>
            <w:r>
              <w:rPr>
                <w:rFonts w:hint="eastAsia" w:ascii="宋体" w:hAnsi="宋体" w:cs="宋体"/>
                <w:szCs w:val="21"/>
              </w:rPr>
              <w:t>建造师证书种类/等级：</w:t>
            </w:r>
          </w:p>
          <w:p>
            <w:pPr>
              <w:spacing w:line="500" w:lineRule="exact"/>
              <w:ind w:firstLine="411" w:firstLineChars="196"/>
              <w:rPr>
                <w:rFonts w:ascii="宋体" w:hAnsi="宋体" w:cs="宋体"/>
                <w:szCs w:val="21"/>
              </w:rPr>
            </w:pPr>
            <w:r>
              <w:rPr>
                <w:rFonts w:hint="eastAsia" w:ascii="宋体" w:hAnsi="宋体" w:cs="宋体"/>
                <w:szCs w:val="21"/>
              </w:rPr>
              <w:t>建造师证书编号：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393" w:type="dxa"/>
            <w:vAlign w:val="center"/>
          </w:tcPr>
          <w:p>
            <w:pPr>
              <w:spacing w:line="500" w:lineRule="exact"/>
              <w:ind w:firstLine="411" w:firstLineChars="196"/>
              <w:rPr>
                <w:rFonts w:ascii="宋体" w:hAnsi="宋体" w:cs="宋体"/>
                <w:szCs w:val="21"/>
              </w:rPr>
            </w:pPr>
            <w:r>
              <w:rPr>
                <w:rFonts w:hint="eastAsia" w:ascii="宋体" w:hAnsi="宋体" w:cs="宋体"/>
                <w:szCs w:val="21"/>
              </w:rPr>
              <w:t>报价总说明</w:t>
            </w:r>
          </w:p>
        </w:tc>
        <w:tc>
          <w:tcPr>
            <w:tcW w:w="6117" w:type="dxa"/>
            <w:vAlign w:val="center"/>
          </w:tcPr>
          <w:p>
            <w:pPr>
              <w:spacing w:line="500" w:lineRule="exact"/>
              <w:ind w:firstLine="411" w:firstLineChars="196"/>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pacing w:line="500" w:lineRule="exact"/>
              <w:ind w:firstLine="411" w:firstLineChars="196"/>
              <w:rPr>
                <w:rFonts w:ascii="宋体" w:hAnsi="宋体" w:cs="宋体"/>
                <w:szCs w:val="21"/>
              </w:rPr>
            </w:pPr>
            <w:r>
              <w:rPr>
                <w:rFonts w:hint="eastAsia" w:ascii="宋体" w:hAnsi="宋体" w:cs="宋体"/>
                <w:szCs w:val="21"/>
              </w:rPr>
              <w:t>备注：</w:t>
            </w:r>
          </w:p>
        </w:tc>
      </w:tr>
    </w:tbl>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r>
        <w:rPr>
          <w:rFonts w:hint="eastAsia" w:ascii="宋体" w:hAnsi="宋体" w:cs="宋体"/>
          <w:szCs w:val="21"/>
        </w:rPr>
        <w:t>投标人（盖公章）：</w:t>
      </w:r>
    </w:p>
    <w:p>
      <w:pPr>
        <w:spacing w:line="500" w:lineRule="exact"/>
        <w:ind w:firstLine="411" w:firstLineChars="196"/>
        <w:rPr>
          <w:rFonts w:ascii="宋体" w:hAnsi="宋体" w:cs="宋体"/>
          <w:szCs w:val="21"/>
        </w:rPr>
      </w:pPr>
      <w:r>
        <w:rPr>
          <w:rFonts w:hint="eastAsia" w:ascii="宋体" w:hAnsi="宋体" w:cs="宋体"/>
          <w:szCs w:val="21"/>
        </w:rPr>
        <w:t>法定代表人（签字或盖章）：</w:t>
      </w:r>
    </w:p>
    <w:p>
      <w:pPr>
        <w:spacing w:line="500" w:lineRule="exact"/>
        <w:ind w:firstLine="411" w:firstLineChars="196"/>
        <w:rPr>
          <w:rFonts w:ascii="宋体" w:hAnsi="宋体" w:cs="宋体"/>
          <w:szCs w:val="21"/>
        </w:rPr>
      </w:pPr>
      <w:r>
        <w:rPr>
          <w:rFonts w:hint="eastAsia" w:ascii="宋体" w:hAnsi="宋体" w:cs="宋体"/>
          <w:szCs w:val="21"/>
        </w:rPr>
        <w:t>授权代理人（签字）：</w:t>
      </w:r>
    </w:p>
    <w:p>
      <w:pPr>
        <w:spacing w:line="500" w:lineRule="exact"/>
        <w:ind w:firstLine="411" w:firstLineChars="196"/>
        <w:rPr>
          <w:rFonts w:ascii="宋体" w:hAnsi="宋体" w:cs="宋体"/>
          <w:szCs w:val="21"/>
        </w:rPr>
      </w:pPr>
      <w:r>
        <w:rPr>
          <w:rFonts w:hint="eastAsia" w:ascii="宋体" w:hAnsi="宋体" w:cs="宋体"/>
          <w:szCs w:val="21"/>
        </w:rPr>
        <w:t>日期： 年  月  日</w:t>
      </w: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r>
        <w:rPr>
          <w:rFonts w:hint="eastAsia" w:ascii="宋体" w:hAnsi="宋体" w:cs="宋体"/>
          <w:szCs w:val="21"/>
        </w:rPr>
        <w:t>1、“工期”指合同生效之日起，多少天内完成合同规定的全部工作内容。</w:t>
      </w:r>
    </w:p>
    <w:p>
      <w:pPr>
        <w:spacing w:line="500" w:lineRule="exact"/>
        <w:ind w:firstLine="411" w:firstLineChars="196"/>
        <w:rPr>
          <w:rFonts w:ascii="宋体" w:hAnsi="宋体" w:cs="宋体"/>
          <w:szCs w:val="21"/>
        </w:rPr>
      </w:pPr>
      <w:r>
        <w:rPr>
          <w:rFonts w:hint="eastAsia" w:ascii="宋体" w:hAnsi="宋体" w:cs="宋体"/>
          <w:szCs w:val="21"/>
        </w:rPr>
        <w:t>2、投标报价保留两位小数，投标单位如果需要对投标报价或其它内容加以说明，可在报价说明中填写。</w:t>
      </w: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pPr>
    </w:p>
    <w:p>
      <w:pPr>
        <w:spacing w:line="500" w:lineRule="exact"/>
        <w:ind w:firstLine="411" w:firstLineChars="196"/>
        <w:rPr>
          <w:rFonts w:ascii="宋体" w:hAnsi="宋体" w:cs="宋体"/>
          <w:szCs w:val="21"/>
        </w:rPr>
        <w:sectPr>
          <w:footerReference r:id="rId15" w:type="first"/>
          <w:footerReference r:id="rId14" w:type="default"/>
          <w:pgSz w:w="11906" w:h="16838"/>
          <w:pgMar w:top="680" w:right="1276" w:bottom="1712" w:left="1417" w:header="703" w:footer="850" w:gutter="0"/>
          <w:pgNumType w:fmt="decimal"/>
          <w:cols w:space="720" w:num="1"/>
          <w:titlePg/>
          <w:docGrid w:type="lines" w:linePitch="314" w:charSpace="0"/>
        </w:sectPr>
      </w:pPr>
    </w:p>
    <w:p>
      <w:pPr>
        <w:pStyle w:val="2"/>
        <w:rPr>
          <w:lang w:val="zh-CN"/>
        </w:rPr>
      </w:pPr>
    </w:p>
    <w:p>
      <w:pPr>
        <w:rPr>
          <w:lang w:val="zh-CN"/>
        </w:rPr>
      </w:pPr>
    </w:p>
    <w:p>
      <w:pPr>
        <w:autoSpaceDE w:val="0"/>
        <w:autoSpaceDN w:val="0"/>
        <w:adjustRightInd w:val="0"/>
        <w:spacing w:line="500" w:lineRule="exact"/>
        <w:ind w:firstLine="420" w:firstLineChars="200"/>
        <w:jc w:val="right"/>
        <w:rPr>
          <w:rFonts w:ascii="宋体" w:hAnsi="宋体" w:cs="宋体"/>
          <w:bCs/>
          <w:kern w:val="0"/>
          <w:szCs w:val="21"/>
          <w:lang w:val="zh-CN"/>
        </w:rPr>
      </w:pPr>
    </w:p>
    <w:p>
      <w:pPr>
        <w:pStyle w:val="2"/>
        <w:rPr>
          <w:rFonts w:ascii="宋体" w:hAnsi="宋体" w:cs="宋体"/>
          <w:bCs/>
          <w:kern w:val="0"/>
          <w:szCs w:val="21"/>
          <w:lang w:val="zh-CN"/>
        </w:rPr>
      </w:pPr>
    </w:p>
    <w:p>
      <w:pPr>
        <w:rPr>
          <w:rFonts w:ascii="宋体" w:hAnsi="宋体" w:cs="宋体"/>
          <w:bCs/>
          <w:kern w:val="0"/>
          <w:szCs w:val="21"/>
          <w:lang w:val="zh-CN"/>
        </w:rPr>
      </w:pPr>
    </w:p>
    <w:p>
      <w:pPr>
        <w:pStyle w:val="2"/>
        <w:rPr>
          <w:rFonts w:ascii="宋体" w:hAnsi="宋体" w:cs="宋体"/>
          <w:bCs/>
          <w:kern w:val="0"/>
          <w:szCs w:val="21"/>
          <w:lang w:val="zh-CN"/>
        </w:rPr>
      </w:pPr>
    </w:p>
    <w:p>
      <w:pPr>
        <w:rPr>
          <w:rFonts w:ascii="宋体" w:hAnsi="宋体" w:cs="宋体"/>
          <w:bCs/>
          <w:kern w:val="0"/>
          <w:szCs w:val="21"/>
          <w:lang w:val="zh-CN"/>
        </w:rPr>
      </w:pPr>
    </w:p>
    <w:p>
      <w:pPr>
        <w:pStyle w:val="2"/>
        <w:rPr>
          <w:rFonts w:ascii="宋体" w:hAnsi="宋体" w:cs="宋体"/>
          <w:bCs/>
          <w:kern w:val="0"/>
          <w:szCs w:val="21"/>
          <w:lang w:val="zh-CN"/>
        </w:rPr>
      </w:pPr>
    </w:p>
    <w:p>
      <w:pPr>
        <w:rPr>
          <w:lang w:val="zh-CN"/>
        </w:rPr>
      </w:pPr>
    </w:p>
    <w:p>
      <w:pPr>
        <w:spacing w:line="500" w:lineRule="exact"/>
        <w:ind w:firstLine="560" w:firstLineChars="200"/>
        <w:jc w:val="center"/>
        <w:rPr>
          <w:rFonts w:ascii="宋体" w:hAnsi="宋体" w:cs="宋体"/>
          <w:sz w:val="28"/>
          <w:szCs w:val="28"/>
          <w:lang w:val="zh-CN"/>
        </w:rPr>
      </w:pPr>
      <w:r>
        <w:rPr>
          <w:rFonts w:hint="eastAsia" w:ascii="宋体" w:hAnsi="宋体" w:cs="宋体"/>
          <w:sz w:val="28"/>
          <w:szCs w:val="28"/>
        </w:rPr>
        <w:t>磋 商 响 应 文 件</w:t>
      </w:r>
    </w:p>
    <w:p>
      <w:pPr>
        <w:autoSpaceDE w:val="0"/>
        <w:autoSpaceDN w:val="0"/>
        <w:adjustRightInd w:val="0"/>
        <w:spacing w:line="500" w:lineRule="exact"/>
        <w:ind w:firstLine="4200" w:firstLineChars="1500"/>
        <w:jc w:val="left"/>
        <w:rPr>
          <w:rFonts w:ascii="宋体" w:hAnsi="宋体" w:cs="宋体"/>
          <w:bCs/>
          <w:kern w:val="0"/>
          <w:szCs w:val="21"/>
          <w:lang w:val="zh-CN"/>
        </w:rPr>
      </w:pPr>
      <w:r>
        <w:rPr>
          <w:rFonts w:hint="eastAsia" w:ascii="宋体" w:hAnsi="宋体" w:cs="宋体"/>
          <w:sz w:val="28"/>
          <w:szCs w:val="28"/>
          <w:lang w:val="zh-CN"/>
        </w:rPr>
        <w:t>（</w:t>
      </w:r>
      <w:r>
        <w:rPr>
          <w:rFonts w:hint="eastAsia" w:ascii="宋体" w:hAnsi="宋体" w:cs="宋体"/>
          <w:sz w:val="28"/>
          <w:szCs w:val="28"/>
        </w:rPr>
        <w:t>技术</w:t>
      </w:r>
      <w:r>
        <w:rPr>
          <w:rFonts w:hint="eastAsia" w:ascii="宋体" w:hAnsi="宋体" w:cs="宋体"/>
          <w:sz w:val="28"/>
          <w:szCs w:val="28"/>
          <w:lang w:val="zh-CN"/>
        </w:rPr>
        <w:t>标部分）</w:t>
      </w: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p>
    <w:p>
      <w:pPr>
        <w:autoSpaceDE w:val="0"/>
        <w:autoSpaceDN w:val="0"/>
        <w:adjustRightInd w:val="0"/>
        <w:spacing w:line="500" w:lineRule="exact"/>
        <w:ind w:firstLine="420" w:firstLineChars="200"/>
        <w:jc w:val="center"/>
        <w:rPr>
          <w:rFonts w:ascii="宋体" w:hAnsi="宋体" w:cs="宋体"/>
          <w:bCs/>
          <w:kern w:val="0"/>
          <w:szCs w:val="21"/>
        </w:rPr>
      </w:pPr>
      <w:r>
        <w:rPr>
          <w:rFonts w:hint="eastAsia" w:ascii="宋体" w:hAnsi="宋体" w:cs="宋体"/>
          <w:bCs/>
          <w:kern w:val="0"/>
          <w:szCs w:val="21"/>
        </w:rPr>
        <w:t>目录</w:t>
      </w:r>
    </w:p>
    <w:p>
      <w:pPr>
        <w:autoSpaceDE w:val="0"/>
        <w:autoSpaceDN w:val="0"/>
        <w:adjustRightInd w:val="0"/>
        <w:spacing w:line="500" w:lineRule="exact"/>
        <w:ind w:firstLine="420" w:firstLineChars="200"/>
        <w:jc w:val="left"/>
        <w:rPr>
          <w:rFonts w:ascii="宋体" w:hAnsi="宋体" w:cs="宋体"/>
          <w:bCs/>
          <w:kern w:val="0"/>
          <w:szCs w:val="21"/>
        </w:rPr>
      </w:pPr>
      <w:r>
        <w:rPr>
          <w:rFonts w:hint="eastAsia" w:ascii="宋体" w:hAnsi="宋体" w:cs="宋体"/>
          <w:bCs/>
          <w:kern w:val="0"/>
          <w:szCs w:val="21"/>
        </w:rPr>
        <w:t>技术标部分主要包括但不限于以下内容：</w:t>
      </w:r>
    </w:p>
    <w:p>
      <w:pPr>
        <w:pStyle w:val="82"/>
        <w:spacing w:line="44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（1）全面性；</w:t>
      </w:r>
    </w:p>
    <w:p>
      <w:pPr>
        <w:pStyle w:val="82"/>
        <w:spacing w:line="44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（2）可行性；</w:t>
      </w:r>
    </w:p>
    <w:p>
      <w:pPr>
        <w:pStyle w:val="82"/>
        <w:spacing w:line="44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 xml:space="preserve">（3）针对性； </w:t>
      </w:r>
    </w:p>
    <w:p>
      <w:pPr>
        <w:pStyle w:val="82"/>
        <w:spacing w:line="44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 xml:space="preserve">（4）先进性； </w:t>
      </w:r>
    </w:p>
    <w:p>
      <w:pPr>
        <w:pStyle w:val="82"/>
        <w:spacing w:line="44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（5）强制性；</w:t>
      </w:r>
    </w:p>
    <w:p>
      <w:pPr>
        <w:pStyle w:val="82"/>
        <w:spacing w:line="440" w:lineRule="exact"/>
        <w:ind w:firstLine="420" w:firstLineChars="200"/>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（6）承诺；</w:t>
      </w:r>
    </w:p>
    <w:p>
      <w:pPr>
        <w:autoSpaceDE w:val="0"/>
        <w:autoSpaceDN w:val="0"/>
        <w:adjustRightInd w:val="0"/>
        <w:spacing w:line="500" w:lineRule="exact"/>
        <w:ind w:firstLine="420" w:firstLineChars="20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 xml:space="preserve">（7）投标方认为有必要提供的其他资料。 </w:t>
      </w: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ascii="宋体" w:hAnsi="宋体" w:cs="宋体"/>
          <w:bCs/>
          <w:kern w:val="0"/>
          <w:szCs w:val="21"/>
        </w:rPr>
      </w:pPr>
    </w:p>
    <w:p>
      <w:pPr>
        <w:pStyle w:val="21"/>
        <w:rPr>
          <w:rFonts w:hint="eastAsia" w:ascii="宋体" w:hAnsi="宋体" w:cs="宋体"/>
          <w:bCs/>
          <w:kern w:val="0"/>
          <w:szCs w:val="21"/>
        </w:rPr>
      </w:pPr>
    </w:p>
    <w:p>
      <w:pPr>
        <w:numPr>
          <w:ilvl w:val="0"/>
          <w:numId w:val="9"/>
        </w:numPr>
        <w:snapToGrid w:val="0"/>
        <w:spacing w:line="360" w:lineRule="auto"/>
        <w:jc w:val="center"/>
        <w:rPr>
          <w:rFonts w:ascii="宋体" w:hAnsi="宋体" w:cs="宋体"/>
          <w:b/>
          <w:bCs/>
          <w:sz w:val="32"/>
          <w:szCs w:val="32"/>
        </w:rPr>
      </w:pPr>
      <w:r>
        <w:rPr>
          <w:rFonts w:hint="eastAsia" w:ascii="宋体" w:hAnsi="宋体" w:cs="宋体"/>
          <w:b/>
          <w:bCs/>
          <w:sz w:val="32"/>
          <w:szCs w:val="32"/>
        </w:rPr>
        <w:t>工程量清单</w:t>
      </w:r>
    </w:p>
    <w:p>
      <w:pPr>
        <w:pStyle w:val="21"/>
      </w:pPr>
    </w:p>
    <w:p>
      <w:pPr>
        <w:widowControl/>
        <w:spacing w:line="360" w:lineRule="auto"/>
        <w:jc w:val="left"/>
        <w:rPr>
          <w:rFonts w:ascii="宋体" w:hAnsi="宋体"/>
          <w:b/>
          <w:color w:val="000000"/>
          <w:sz w:val="30"/>
          <w:szCs w:val="30"/>
        </w:rPr>
      </w:pPr>
      <w:r>
        <w:rPr>
          <w:rFonts w:hint="eastAsia" w:ascii="宋体" w:hAnsi="宋体"/>
          <w:b/>
          <w:color w:val="000000"/>
          <w:sz w:val="30"/>
          <w:szCs w:val="30"/>
        </w:rPr>
        <w:t>工程量清单编制说明及具体内容详见附件。</w:t>
      </w:r>
    </w:p>
    <w:p>
      <w:pPr>
        <w:pStyle w:val="21"/>
        <w:ind w:left="840" w:leftChars="400" w:firstLine="0" w:firstLineChars="0"/>
      </w:pPr>
    </w:p>
    <w:sectPr>
      <w:headerReference r:id="rId17" w:type="first"/>
      <w:footerReference r:id="rId19" w:type="first"/>
      <w:headerReference r:id="rId16" w:type="default"/>
      <w:footerReference r:id="rId18" w:type="default"/>
      <w:pgSz w:w="11906" w:h="16838"/>
      <w:pgMar w:top="1440" w:right="566"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r>
      <mc:AlternateContent>
        <mc:Choice Requires="wps">
          <w:drawing>
            <wp:anchor distT="0" distB="0" distL="114300" distR="114300" simplePos="0" relativeHeight="251659264" behindDoc="0" locked="0" layoutInCell="1" allowOverlap="1">
              <wp:simplePos x="0" y="0"/>
              <wp:positionH relativeFrom="margin">
                <wp:posOffset>2543175</wp:posOffset>
              </wp:positionH>
              <wp:positionV relativeFrom="paragraph">
                <wp:posOffset>29845</wp:posOffset>
              </wp:positionV>
              <wp:extent cx="643255" cy="12954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43255" cy="129540"/>
                      </a:xfrm>
                      <a:prstGeom prst="rect">
                        <a:avLst/>
                      </a:prstGeom>
                      <a:noFill/>
                      <a:ln>
                        <a:noFill/>
                      </a:ln>
                      <a:effectLst/>
                    </wps:spPr>
                    <wps:txbx>
                      <w:txbxContent>
                        <w:p>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25pt;margin-top:2.35pt;height:10.2pt;width:50.65pt;mso-position-horizontal-relative:margin;z-index:251659264;mso-width-relative:page;mso-height-relative:page;" filled="f" stroked="f" coordsize="21600,21600" o:gfxdata="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w5PS1wAAAAgBAAAPAAAAAAAA&#10;AAEAIAAAACIAAABkcnMvZG93bnJldi54bWxQSwECFAAUAAAACACHTuJA3hn+YhMCAAAUBAAADgAA&#10;AAAAAAABACAAAAAmAQAAZHJzL2Uyb0RvYy54bWxQSwUGAAAAAAYABgBZAQAAqwUAAAAA&#10;">
              <v:fill on="f" focussize="0,0"/>
              <v:stroke on="f"/>
              <v:imagedata o:title=""/>
              <o:lock v:ext="edit" aspectratio="f"/>
              <v:textbox inset="0mm,0mm,0mm,0mm">
                <w:txbxContent>
                  <w:p>
                    <w:pPr>
                      <w:snapToGrid w:val="0"/>
                      <w:rPr>
                        <w:sz w:val="18"/>
                      </w:rPr>
                    </w:pPr>
                  </w:p>
                </w:txbxContent>
              </v:textbox>
            </v:shape>
          </w:pict>
        </mc:Fallback>
      </mc:AlternateContent>
    </w:r>
    <w:r>
      <w:rPr>
        <w:rFonts w:ascii="宋体"/>
        <w:kern w:val="0"/>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rPr>
        <w:sz w:val="11"/>
        <w:szCs w:val="11"/>
      </w:rPr>
    </w:pPr>
    <w:r>
      <w:rPr>
        <w:sz w:val="1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2543175</wp:posOffset>
              </wp:positionH>
              <wp:positionV relativeFrom="paragraph">
                <wp:posOffset>29845</wp:posOffset>
              </wp:positionV>
              <wp:extent cx="643255" cy="12954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43255" cy="129540"/>
                      </a:xfrm>
                      <a:prstGeom prst="rect">
                        <a:avLst/>
                      </a:prstGeom>
                      <a:noFill/>
                      <a:ln>
                        <a:noFill/>
                      </a:ln>
                      <a:effectLst/>
                    </wps:spPr>
                    <wps:txbx>
                      <w:txbxContent>
                        <w:p>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25pt;margin-top:2.35pt;height:10.2pt;width:50.65pt;mso-position-horizontal-relative:margin;z-index:251666432;mso-width-relative:page;mso-height-relative:page;" filled="f" stroked="f" coordsize="21600,21600" o:gfxdata="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vDk9LXAAAACAEAAA8AAAAAAAAA&#10;AQAgAAAAIgAAAGRycy9kb3ducmV2LnhtbFBLAQIUABQAAAAIAIdO4kChrxOLEgIAABIEAAAOAAAA&#10;AAAAAAEAIAAAACYBAABkcnMvZTJvRG9jLnhtbFBLBQYAAAAABgAGAFkBAACqBQAAAAA=&#10;">
              <v:fill on="f" focussize="0,0"/>
              <v:stroke on="f"/>
              <v:imagedata o:title=""/>
              <o:lock v:ext="edit" aspectratio="f"/>
              <v:textbox inset="0mm,0mm,0mm,0mm">
                <w:txbxContent>
                  <w:p>
                    <w:pPr>
                      <w:snapToGrid w:val="0"/>
                      <w:rPr>
                        <w:sz w:val="18"/>
                      </w:rPr>
                    </w:pPr>
                  </w:p>
                </w:txbxContent>
              </v:textbox>
            </v:shape>
          </w:pict>
        </mc:Fallback>
      </mc:AlternateContent>
    </w:r>
    <w:r>
      <w:rPr>
        <w:rFonts w:ascii="宋体"/>
        <w:kern w:val="0"/>
        <w:sz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rPr>
        <w:sz w:val="11"/>
        <w:szCs w:val="11"/>
      </w:rPr>
    </w:pPr>
    <w:r>
      <w:rPr>
        <w:sz w:val="1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62</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rPr>
        <w:sz w:val="11"/>
        <w:szCs w:val="11"/>
      </w:rP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r>
      <mc:AlternateContent>
        <mc:Choice Requires="wps">
          <w:drawing>
            <wp:anchor distT="0" distB="0" distL="114300" distR="114300" simplePos="0" relativeHeight="251669504" behindDoc="0" locked="0" layoutInCell="1" allowOverlap="1">
              <wp:simplePos x="0" y="0"/>
              <wp:positionH relativeFrom="margin">
                <wp:posOffset>2543175</wp:posOffset>
              </wp:positionH>
              <wp:positionV relativeFrom="paragraph">
                <wp:posOffset>29845</wp:posOffset>
              </wp:positionV>
              <wp:extent cx="643255" cy="12954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643255" cy="129540"/>
                      </a:xfrm>
                      <a:prstGeom prst="rect">
                        <a:avLst/>
                      </a:prstGeom>
                      <a:noFill/>
                      <a:ln>
                        <a:noFill/>
                      </a:ln>
                      <a:effectLst/>
                    </wps:spPr>
                    <wps:txbx>
                      <w:txbxContent>
                        <w:p>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25pt;margin-top:2.35pt;height:10.2pt;width:50.65pt;mso-position-horizontal-relative:margin;z-index:251669504;mso-width-relative:page;mso-height-relative:page;" filled="f" stroked="f" coordsize="21600,21600" o:gfxdata="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vDk9LXAAAACAEAAA8AAAAAAAAA&#10;AQAgAAAAIgAAAGRycy9kb3ducmV2LnhtbFBLAQIUABQAAAAIAIdO4kB4WMXBEgIAABQEAAAOAAAA&#10;AAAAAAEAIAAAACYBAABkcnMvZTJvRG9jLnhtbFBLBQYAAAAABgAGAFkBAACqBQAAAAA=&#10;">
              <v:fill on="f" focussize="0,0"/>
              <v:stroke on="f"/>
              <v:imagedata o:title=""/>
              <o:lock v:ext="edit" aspectratio="f"/>
              <v:textbox inset="0mm,0mm,0mm,0mm">
                <w:txbxContent>
                  <w:p>
                    <w:pPr>
                      <w:snapToGrid w:val="0"/>
                      <w:rPr>
                        <w:sz w:val="18"/>
                      </w:rPr>
                    </w:pPr>
                  </w:p>
                </w:txbxContent>
              </v:textbox>
            </v:shape>
          </w:pict>
        </mc:Fallback>
      </mc:AlternateContent>
    </w:r>
    <w:r>
      <w:rPr>
        <w:rFonts w:ascii="宋体"/>
        <w:kern w:val="0"/>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rPr>
        <w:sz w:val="11"/>
        <w:szCs w:val="11"/>
      </w:rPr>
    </w:pPr>
    <w:r>
      <w:rPr>
        <w:sz w:val="1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posOffset>2543175</wp:posOffset>
              </wp:positionH>
              <wp:positionV relativeFrom="paragraph">
                <wp:posOffset>29845</wp:posOffset>
              </wp:positionV>
              <wp:extent cx="643255" cy="12954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643255" cy="129540"/>
                      </a:xfrm>
                      <a:prstGeom prst="rect">
                        <a:avLst/>
                      </a:prstGeom>
                      <a:noFill/>
                      <a:ln>
                        <a:noFill/>
                      </a:ln>
                      <a:effectLst/>
                    </wps:spPr>
                    <wps:txbx>
                      <w:txbxContent>
                        <w:p>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25pt;margin-top:2.35pt;height:10.2pt;width:50.65pt;mso-position-horizontal-relative:margin;z-index:251671552;mso-width-relative:page;mso-height-relative:page;" filled="f" stroked="f" coordsize="21600,21600" o:gfxdata="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w5PS1wAAAAgBAAAPAAAAAAAA&#10;AAEAIAAAACIAAABkcnMvZG93bnJldi54bWxQSwECFAAUAAAACACHTuJAms+POhMCAAAUBAAADgAA&#10;AAAAAAABACAAAAAmAQAAZHJzL2Uyb0RvYy54bWxQSwUGAAAAAAYABgBZAQAAqwUAAAAA&#10;">
              <v:fill on="f" focussize="0,0"/>
              <v:stroke on="f"/>
              <v:imagedata o:title=""/>
              <o:lock v:ext="edit" aspectratio="f"/>
              <v:textbox inset="0mm,0mm,0mm,0mm">
                <w:txbxContent>
                  <w:p>
                    <w:pPr>
                      <w:snapToGrid w:val="0"/>
                      <w:rPr>
                        <w:sz w:val="18"/>
                      </w:rPr>
                    </w:pPr>
                  </w:p>
                </w:txbxContent>
              </v:textbox>
            </v:shape>
          </w:pict>
        </mc:Fallback>
      </mc:AlternateContent>
    </w:r>
    <w:r>
      <w:rPr>
        <w:rFonts w:ascii="宋体"/>
        <w:kern w:val="0"/>
        <w:sz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rPr>
        <w:sz w:val="11"/>
        <w:szCs w:val="11"/>
      </w:rPr>
    </w:pPr>
    <w:r>
      <w:rPr>
        <w:sz w:val="1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posOffset>2543175</wp:posOffset>
              </wp:positionH>
              <wp:positionV relativeFrom="paragraph">
                <wp:posOffset>29845</wp:posOffset>
              </wp:positionV>
              <wp:extent cx="643255" cy="1295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643255" cy="129540"/>
                      </a:xfrm>
                      <a:prstGeom prst="rect">
                        <a:avLst/>
                      </a:prstGeom>
                      <a:noFill/>
                      <a:ln>
                        <a:noFill/>
                      </a:ln>
                      <a:effectLst/>
                    </wps:spPr>
                    <wps:txbx>
                      <w:txbxContent>
                        <w:p>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25pt;margin-top:2.35pt;height:10.2pt;width:50.65pt;mso-position-horizontal-relative:margin;z-index:251674624;mso-width-relative:page;mso-height-relative:page;" filled="f" stroked="f" coordsize="21600,21600" o:gfxdata="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w5PS1wAAAAgBAAAPAAAAAAAA&#10;AAEAIAAAACIAAABkcnMvZG93bnJldi54bWxQSwECFAAUAAAACACHTuJAd4iwchMCAAAUBAAADgAA&#10;AAAAAAABACAAAAAmAQAAZHJzL2Uyb0RvYy54bWxQSwUGAAAAAAYABgBZAQAAqwUAAAAA&#10;">
              <v:fill on="f" focussize="0,0"/>
              <v:stroke on="f"/>
              <v:imagedata o:title=""/>
              <o:lock v:ext="edit" aspectratio="f"/>
              <v:textbox inset="0mm,0mm,0mm,0mm">
                <w:txbxContent>
                  <w:p>
                    <w:pPr>
                      <w:snapToGrid w:val="0"/>
                      <w:rPr>
                        <w:sz w:val="18"/>
                      </w:rPr>
                    </w:pPr>
                  </w:p>
                </w:txbxContent>
              </v:textbox>
            </v:shape>
          </w:pict>
        </mc:Fallback>
      </mc:AlternateContent>
    </w:r>
    <w:r>
      <w:rPr>
        <w:rFonts w:ascii="宋体"/>
        <w:kern w:val="0"/>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275" w:firstLineChars="250"/>
      <w:jc w:val="left"/>
      <w:rPr>
        <w:sz w:val="11"/>
        <w:szCs w:val="11"/>
      </w:rPr>
    </w:pPr>
    <w:r>
      <w:rPr>
        <w:sz w:val="1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Fonts w:ascii="宋体"/>
        <w:kern w:val="0"/>
        <w:sz w:val="20"/>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margin">
                <wp:posOffset>2543175</wp:posOffset>
              </wp:positionH>
              <wp:positionV relativeFrom="paragraph">
                <wp:posOffset>29845</wp:posOffset>
              </wp:positionV>
              <wp:extent cx="643255" cy="129540"/>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643255" cy="129540"/>
                      </a:xfrm>
                      <a:prstGeom prst="rect">
                        <a:avLst/>
                      </a:prstGeom>
                      <a:noFill/>
                      <a:ln>
                        <a:noFill/>
                      </a:ln>
                      <a:effectLst/>
                    </wps:spPr>
                    <wps:txbx>
                      <w:txbxContent>
                        <w:p>
                          <w:pPr>
                            <w:snapToGrid w:val="0"/>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0.25pt;margin-top:2.35pt;height:10.2pt;width:50.65pt;mso-position-horizontal-relative:margin;z-index:251677696;mso-width-relative:page;mso-height-relative:page;" filled="f" stroked="f" coordsize="21600,21600" o:gfxdata="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w5PS1wAAAAgBAAAPAAAAAAAA&#10;AAEAIAAAACIAAABkcnMvZG93bnJldi54bWxQSwECFAAUAAAACACHTuJAmJr9FBMCAAAUBAAADgAA&#10;AAAAAAABACAAAAAmAQAAZHJzL2Uyb0RvYy54bWxQSwUGAAAAAAYABgBZAQAAqwUAAAAA&#10;">
              <v:fill on="f" focussize="0,0"/>
              <v:stroke on="f"/>
              <v:imagedata o:title=""/>
              <o:lock v:ext="edit" aspectratio="f"/>
              <v:textbox inset="0mm,0mm,0mm,0mm">
                <w:txbxContent>
                  <w:p>
                    <w:pPr>
                      <w:snapToGrid w:val="0"/>
                      <w:rPr>
                        <w:sz w:val="18"/>
                      </w:rPr>
                    </w:pPr>
                  </w:p>
                </w:txbxContent>
              </v:textbox>
            </v:shape>
          </w:pict>
        </mc:Fallback>
      </mc:AlternateContent>
    </w:r>
    <w:r>
      <w:rPr>
        <w:rFonts w:ascii="宋体"/>
        <w:kern w:val="0"/>
        <w:sz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A9730"/>
    <w:multiLevelType w:val="singleLevel"/>
    <w:tmpl w:val="953A9730"/>
    <w:lvl w:ilvl="0" w:tentative="0">
      <w:start w:val="6"/>
      <w:numFmt w:val="chineseCounting"/>
      <w:suff w:val="space"/>
      <w:lvlText w:val="第%1部分"/>
      <w:lvlJc w:val="left"/>
      <w:rPr>
        <w:rFonts w:hint="eastAsia"/>
      </w:rPr>
    </w:lvl>
  </w:abstractNum>
  <w:abstractNum w:abstractNumId="1">
    <w:nsid w:val="9F462F54"/>
    <w:multiLevelType w:val="singleLevel"/>
    <w:tmpl w:val="9F462F54"/>
    <w:lvl w:ilvl="0" w:tentative="0">
      <w:start w:val="2"/>
      <w:numFmt w:val="decimal"/>
      <w:lvlText w:val="%1."/>
      <w:lvlJc w:val="left"/>
      <w:pPr>
        <w:tabs>
          <w:tab w:val="left" w:pos="312"/>
        </w:tabs>
      </w:pPr>
    </w:lvl>
  </w:abstractNum>
  <w:abstractNum w:abstractNumId="2">
    <w:nsid w:val="E975CEFB"/>
    <w:multiLevelType w:val="singleLevel"/>
    <w:tmpl w:val="E975CEFB"/>
    <w:lvl w:ilvl="0" w:tentative="0">
      <w:start w:val="2"/>
      <w:numFmt w:val="chineseCounting"/>
      <w:suff w:val="space"/>
      <w:lvlText w:val="第%1部分"/>
      <w:lvlJc w:val="left"/>
      <w:rPr>
        <w:rFonts w:hint="eastAsia"/>
      </w:rPr>
    </w:lvl>
  </w:abstractNum>
  <w:abstractNum w:abstractNumId="3">
    <w:nsid w:val="EA65AE1F"/>
    <w:multiLevelType w:val="singleLevel"/>
    <w:tmpl w:val="EA65AE1F"/>
    <w:lvl w:ilvl="0" w:tentative="0">
      <w:start w:val="1"/>
      <w:numFmt w:val="decimal"/>
      <w:suff w:val="nothing"/>
      <w:lvlText w:val="%1、"/>
      <w:lvlJc w:val="left"/>
    </w:lvl>
  </w:abstractNum>
  <w:abstractNum w:abstractNumId="4">
    <w:nsid w:val="0B672693"/>
    <w:multiLevelType w:val="multilevel"/>
    <w:tmpl w:val="0B672693"/>
    <w:lvl w:ilvl="0" w:tentative="0">
      <w:start w:val="1"/>
      <w:numFmt w:val="decimal"/>
      <w:lvlText w:val="%1、"/>
      <w:lvlJc w:val="left"/>
      <w:pPr>
        <w:ind w:left="1500" w:hanging="360"/>
      </w:pPr>
      <w:rPr>
        <w:rFonts w:hint="default"/>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5">
    <w:nsid w:val="0EC3EC11"/>
    <w:multiLevelType w:val="singleLevel"/>
    <w:tmpl w:val="0EC3EC11"/>
    <w:lvl w:ilvl="0" w:tentative="0">
      <w:start w:val="1"/>
      <w:numFmt w:val="decimal"/>
      <w:suff w:val="nothing"/>
      <w:lvlText w:val="（%1）"/>
      <w:lvlJc w:val="left"/>
    </w:lvl>
  </w:abstractNum>
  <w:abstractNum w:abstractNumId="6">
    <w:nsid w:val="132077C2"/>
    <w:multiLevelType w:val="multilevel"/>
    <w:tmpl w:val="132077C2"/>
    <w:lvl w:ilvl="0" w:tentative="0">
      <w:start w:val="12"/>
      <w:numFmt w:val="decimal"/>
      <w:lvlText w:val="%1"/>
      <w:lvlJc w:val="left"/>
      <w:pPr>
        <w:ind w:left="630" w:hanging="630"/>
      </w:pPr>
      <w:rPr>
        <w:rFonts w:hint="default"/>
      </w:rPr>
    </w:lvl>
    <w:lvl w:ilvl="1" w:tentative="0">
      <w:start w:val="4"/>
      <w:numFmt w:val="decimal"/>
      <w:lvlText w:val="%1.%2"/>
      <w:lvlJc w:val="left"/>
      <w:pPr>
        <w:ind w:left="840" w:hanging="630"/>
      </w:pPr>
      <w:rPr>
        <w:rFonts w:hint="default"/>
      </w:rPr>
    </w:lvl>
    <w:lvl w:ilvl="2" w:tentative="0">
      <w:start w:val="6"/>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7">
    <w:nsid w:val="21520056"/>
    <w:multiLevelType w:val="multilevel"/>
    <w:tmpl w:val="21520056"/>
    <w:lvl w:ilvl="0" w:tentative="0">
      <w:start w:val="16"/>
      <w:numFmt w:val="decimal"/>
      <w:lvlText w:val="%1"/>
      <w:lvlJc w:val="left"/>
      <w:pPr>
        <w:ind w:left="630" w:hanging="630"/>
      </w:pPr>
      <w:rPr>
        <w:rFonts w:hint="default"/>
      </w:rPr>
    </w:lvl>
    <w:lvl w:ilvl="1" w:tentative="0">
      <w:start w:val="1"/>
      <w:numFmt w:val="decimal"/>
      <w:lvlText w:val="%1.%2"/>
      <w:lvlJc w:val="left"/>
      <w:pPr>
        <w:ind w:left="840" w:hanging="630"/>
      </w:pPr>
      <w:rPr>
        <w:rFonts w:hint="default"/>
      </w:rPr>
    </w:lvl>
    <w:lvl w:ilvl="2" w:tentative="0">
      <w:start w:val="2"/>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8">
    <w:nsid w:val="734C9BC5"/>
    <w:multiLevelType w:val="singleLevel"/>
    <w:tmpl w:val="734C9BC5"/>
    <w:lvl w:ilvl="0" w:tentative="0">
      <w:start w:val="1"/>
      <w:numFmt w:val="decimal"/>
      <w:suff w:val="space"/>
      <w:lvlText w:val="（%1）"/>
      <w:lvlJc w:val="left"/>
    </w:lvl>
  </w:abstractNum>
  <w:num w:numId="1">
    <w:abstractNumId w:val="1"/>
  </w:num>
  <w:num w:numId="2">
    <w:abstractNumId w:val="3"/>
  </w:num>
  <w:num w:numId="3">
    <w:abstractNumId w:val="2"/>
  </w:num>
  <w:num w:numId="4">
    <w:abstractNumId w:val="8"/>
  </w:num>
  <w:num w:numId="5">
    <w:abstractNumId w:val="6"/>
  </w:num>
  <w:num w:numId="6">
    <w:abstractNumId w:val="4"/>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34E"/>
    <w:rsid w:val="00000D62"/>
    <w:rsid w:val="00003009"/>
    <w:rsid w:val="000035B7"/>
    <w:rsid w:val="00003D04"/>
    <w:rsid w:val="000069B3"/>
    <w:rsid w:val="0000737D"/>
    <w:rsid w:val="00007420"/>
    <w:rsid w:val="00012482"/>
    <w:rsid w:val="000140A7"/>
    <w:rsid w:val="00014BC5"/>
    <w:rsid w:val="0001627F"/>
    <w:rsid w:val="00016722"/>
    <w:rsid w:val="00016F43"/>
    <w:rsid w:val="00021971"/>
    <w:rsid w:val="000228F6"/>
    <w:rsid w:val="000231AE"/>
    <w:rsid w:val="00024546"/>
    <w:rsid w:val="00027CF0"/>
    <w:rsid w:val="0003071A"/>
    <w:rsid w:val="00031579"/>
    <w:rsid w:val="000333DF"/>
    <w:rsid w:val="00034063"/>
    <w:rsid w:val="000347F4"/>
    <w:rsid w:val="00040661"/>
    <w:rsid w:val="00041DB0"/>
    <w:rsid w:val="000433F2"/>
    <w:rsid w:val="00045EDD"/>
    <w:rsid w:val="00046AAD"/>
    <w:rsid w:val="00047338"/>
    <w:rsid w:val="0005268E"/>
    <w:rsid w:val="00052742"/>
    <w:rsid w:val="00053B33"/>
    <w:rsid w:val="00054917"/>
    <w:rsid w:val="000554DD"/>
    <w:rsid w:val="000568ED"/>
    <w:rsid w:val="0006040F"/>
    <w:rsid w:val="0006061C"/>
    <w:rsid w:val="000613CE"/>
    <w:rsid w:val="00062214"/>
    <w:rsid w:val="00062604"/>
    <w:rsid w:val="00062713"/>
    <w:rsid w:val="00062D4A"/>
    <w:rsid w:val="000651F7"/>
    <w:rsid w:val="0007052D"/>
    <w:rsid w:val="0007065C"/>
    <w:rsid w:val="00071821"/>
    <w:rsid w:val="00071EE4"/>
    <w:rsid w:val="000763DC"/>
    <w:rsid w:val="00076C3D"/>
    <w:rsid w:val="00077A10"/>
    <w:rsid w:val="000815CD"/>
    <w:rsid w:val="00083D77"/>
    <w:rsid w:val="000846A9"/>
    <w:rsid w:val="00084FFF"/>
    <w:rsid w:val="000869B2"/>
    <w:rsid w:val="00090AD9"/>
    <w:rsid w:val="00090D5A"/>
    <w:rsid w:val="0009138C"/>
    <w:rsid w:val="00091EEE"/>
    <w:rsid w:val="00092292"/>
    <w:rsid w:val="000941D7"/>
    <w:rsid w:val="00094601"/>
    <w:rsid w:val="00095231"/>
    <w:rsid w:val="000969EC"/>
    <w:rsid w:val="000971CC"/>
    <w:rsid w:val="000976F6"/>
    <w:rsid w:val="000A19F3"/>
    <w:rsid w:val="000A3BB1"/>
    <w:rsid w:val="000A6C9C"/>
    <w:rsid w:val="000B143B"/>
    <w:rsid w:val="000B401E"/>
    <w:rsid w:val="000B4A0A"/>
    <w:rsid w:val="000B5C38"/>
    <w:rsid w:val="000B7910"/>
    <w:rsid w:val="000C0CD7"/>
    <w:rsid w:val="000C11DC"/>
    <w:rsid w:val="000C44EA"/>
    <w:rsid w:val="000C474B"/>
    <w:rsid w:val="000C4BB9"/>
    <w:rsid w:val="000C5138"/>
    <w:rsid w:val="000C5572"/>
    <w:rsid w:val="000C5A15"/>
    <w:rsid w:val="000C6CE4"/>
    <w:rsid w:val="000D0937"/>
    <w:rsid w:val="000D0AF7"/>
    <w:rsid w:val="000D1CCB"/>
    <w:rsid w:val="000D1E24"/>
    <w:rsid w:val="000D267D"/>
    <w:rsid w:val="000D3E2A"/>
    <w:rsid w:val="000D45E6"/>
    <w:rsid w:val="000D5374"/>
    <w:rsid w:val="000D5712"/>
    <w:rsid w:val="000D5AF0"/>
    <w:rsid w:val="000D6577"/>
    <w:rsid w:val="000D6B87"/>
    <w:rsid w:val="000E086E"/>
    <w:rsid w:val="000E14FF"/>
    <w:rsid w:val="000E189F"/>
    <w:rsid w:val="000E1A21"/>
    <w:rsid w:val="000E1B6F"/>
    <w:rsid w:val="000E25D1"/>
    <w:rsid w:val="000E53E6"/>
    <w:rsid w:val="000E572B"/>
    <w:rsid w:val="000E57C9"/>
    <w:rsid w:val="000E5D26"/>
    <w:rsid w:val="000E5F6F"/>
    <w:rsid w:val="000E6145"/>
    <w:rsid w:val="000E6B7F"/>
    <w:rsid w:val="000F0F1E"/>
    <w:rsid w:val="000F2B60"/>
    <w:rsid w:val="000F3437"/>
    <w:rsid w:val="000F3484"/>
    <w:rsid w:val="000F3C76"/>
    <w:rsid w:val="000F42C5"/>
    <w:rsid w:val="000F44D8"/>
    <w:rsid w:val="000F4A70"/>
    <w:rsid w:val="001011F2"/>
    <w:rsid w:val="00101335"/>
    <w:rsid w:val="0010171A"/>
    <w:rsid w:val="00102496"/>
    <w:rsid w:val="00103B1C"/>
    <w:rsid w:val="00103DD4"/>
    <w:rsid w:val="00104572"/>
    <w:rsid w:val="0010504D"/>
    <w:rsid w:val="001075B7"/>
    <w:rsid w:val="00107A1D"/>
    <w:rsid w:val="00107C56"/>
    <w:rsid w:val="00110651"/>
    <w:rsid w:val="001116B8"/>
    <w:rsid w:val="00111E67"/>
    <w:rsid w:val="0011274C"/>
    <w:rsid w:val="00112BBC"/>
    <w:rsid w:val="00113113"/>
    <w:rsid w:val="001144B8"/>
    <w:rsid w:val="00122974"/>
    <w:rsid w:val="0012799C"/>
    <w:rsid w:val="00127CC2"/>
    <w:rsid w:val="001307D2"/>
    <w:rsid w:val="00130C90"/>
    <w:rsid w:val="00130D76"/>
    <w:rsid w:val="00131CF6"/>
    <w:rsid w:val="00131E74"/>
    <w:rsid w:val="00132285"/>
    <w:rsid w:val="0013440A"/>
    <w:rsid w:val="001349A1"/>
    <w:rsid w:val="00134EA7"/>
    <w:rsid w:val="00135024"/>
    <w:rsid w:val="00135199"/>
    <w:rsid w:val="0014073D"/>
    <w:rsid w:val="00141187"/>
    <w:rsid w:val="0014178E"/>
    <w:rsid w:val="00141817"/>
    <w:rsid w:val="00143328"/>
    <w:rsid w:val="00144678"/>
    <w:rsid w:val="00150271"/>
    <w:rsid w:val="00155B1A"/>
    <w:rsid w:val="00156213"/>
    <w:rsid w:val="00156ABD"/>
    <w:rsid w:val="00161284"/>
    <w:rsid w:val="00161DA3"/>
    <w:rsid w:val="00162A14"/>
    <w:rsid w:val="001639CC"/>
    <w:rsid w:val="00163AFA"/>
    <w:rsid w:val="001643F6"/>
    <w:rsid w:val="001652CB"/>
    <w:rsid w:val="0016666E"/>
    <w:rsid w:val="00166A22"/>
    <w:rsid w:val="001705BC"/>
    <w:rsid w:val="00170BB2"/>
    <w:rsid w:val="0017251E"/>
    <w:rsid w:val="001773F1"/>
    <w:rsid w:val="00177AC2"/>
    <w:rsid w:val="00177C33"/>
    <w:rsid w:val="001813BF"/>
    <w:rsid w:val="00184C58"/>
    <w:rsid w:val="001857AE"/>
    <w:rsid w:val="00187487"/>
    <w:rsid w:val="00187C65"/>
    <w:rsid w:val="00190057"/>
    <w:rsid w:val="00190291"/>
    <w:rsid w:val="001906E5"/>
    <w:rsid w:val="001914B2"/>
    <w:rsid w:val="0019206A"/>
    <w:rsid w:val="001929B8"/>
    <w:rsid w:val="0019383A"/>
    <w:rsid w:val="001A1285"/>
    <w:rsid w:val="001A3F72"/>
    <w:rsid w:val="001A4043"/>
    <w:rsid w:val="001A472E"/>
    <w:rsid w:val="001A560E"/>
    <w:rsid w:val="001A5C22"/>
    <w:rsid w:val="001A60AD"/>
    <w:rsid w:val="001A6CB2"/>
    <w:rsid w:val="001A7E0C"/>
    <w:rsid w:val="001B1800"/>
    <w:rsid w:val="001B25F2"/>
    <w:rsid w:val="001B3A1A"/>
    <w:rsid w:val="001B4820"/>
    <w:rsid w:val="001B55C4"/>
    <w:rsid w:val="001C0793"/>
    <w:rsid w:val="001C1596"/>
    <w:rsid w:val="001C1FD9"/>
    <w:rsid w:val="001C2485"/>
    <w:rsid w:val="001C532F"/>
    <w:rsid w:val="001C5E4C"/>
    <w:rsid w:val="001C6C49"/>
    <w:rsid w:val="001D1558"/>
    <w:rsid w:val="001D1978"/>
    <w:rsid w:val="001D19C2"/>
    <w:rsid w:val="001D2948"/>
    <w:rsid w:val="001D3544"/>
    <w:rsid w:val="001D3934"/>
    <w:rsid w:val="001D6810"/>
    <w:rsid w:val="001E0248"/>
    <w:rsid w:val="001E06C1"/>
    <w:rsid w:val="001E0E0E"/>
    <w:rsid w:val="001E0E75"/>
    <w:rsid w:val="001E1340"/>
    <w:rsid w:val="001E1416"/>
    <w:rsid w:val="001E2DBF"/>
    <w:rsid w:val="001E3905"/>
    <w:rsid w:val="001E6A0B"/>
    <w:rsid w:val="001E753C"/>
    <w:rsid w:val="001F0F5D"/>
    <w:rsid w:val="001F1BDD"/>
    <w:rsid w:val="001F1DC1"/>
    <w:rsid w:val="001F2D2D"/>
    <w:rsid w:val="001F351F"/>
    <w:rsid w:val="001F4835"/>
    <w:rsid w:val="001F65A0"/>
    <w:rsid w:val="00200CFF"/>
    <w:rsid w:val="002049BC"/>
    <w:rsid w:val="00206A3E"/>
    <w:rsid w:val="00207674"/>
    <w:rsid w:val="002077D2"/>
    <w:rsid w:val="00210D8E"/>
    <w:rsid w:val="00210FF4"/>
    <w:rsid w:val="002114E8"/>
    <w:rsid w:val="00212576"/>
    <w:rsid w:val="00213A51"/>
    <w:rsid w:val="002140B2"/>
    <w:rsid w:val="002147ED"/>
    <w:rsid w:val="00216E1D"/>
    <w:rsid w:val="00217597"/>
    <w:rsid w:val="0022325B"/>
    <w:rsid w:val="0022328A"/>
    <w:rsid w:val="002302AE"/>
    <w:rsid w:val="00230EC8"/>
    <w:rsid w:val="0023135B"/>
    <w:rsid w:val="00233690"/>
    <w:rsid w:val="002348E4"/>
    <w:rsid w:val="002360A0"/>
    <w:rsid w:val="0023661C"/>
    <w:rsid w:val="00241B80"/>
    <w:rsid w:val="00245153"/>
    <w:rsid w:val="00246A19"/>
    <w:rsid w:val="00247591"/>
    <w:rsid w:val="00250503"/>
    <w:rsid w:val="0025060A"/>
    <w:rsid w:val="0026034C"/>
    <w:rsid w:val="00261F54"/>
    <w:rsid w:val="00262068"/>
    <w:rsid w:val="002623BE"/>
    <w:rsid w:val="00263502"/>
    <w:rsid w:val="00263E5B"/>
    <w:rsid w:val="00264538"/>
    <w:rsid w:val="00270853"/>
    <w:rsid w:val="002708C0"/>
    <w:rsid w:val="00270C21"/>
    <w:rsid w:val="00273156"/>
    <w:rsid w:val="00273428"/>
    <w:rsid w:val="00273EB2"/>
    <w:rsid w:val="00274716"/>
    <w:rsid w:val="00276744"/>
    <w:rsid w:val="00282246"/>
    <w:rsid w:val="002840D1"/>
    <w:rsid w:val="0028792E"/>
    <w:rsid w:val="00287EFA"/>
    <w:rsid w:val="0029101F"/>
    <w:rsid w:val="002916C7"/>
    <w:rsid w:val="002916DF"/>
    <w:rsid w:val="002919A5"/>
    <w:rsid w:val="00292233"/>
    <w:rsid w:val="002934E2"/>
    <w:rsid w:val="002954D3"/>
    <w:rsid w:val="00295736"/>
    <w:rsid w:val="00296216"/>
    <w:rsid w:val="002963F9"/>
    <w:rsid w:val="002970A8"/>
    <w:rsid w:val="002A22CB"/>
    <w:rsid w:val="002A2AAF"/>
    <w:rsid w:val="002A41C7"/>
    <w:rsid w:val="002A4254"/>
    <w:rsid w:val="002A6047"/>
    <w:rsid w:val="002A6A2D"/>
    <w:rsid w:val="002A7B11"/>
    <w:rsid w:val="002A7B9E"/>
    <w:rsid w:val="002B0F1E"/>
    <w:rsid w:val="002B1619"/>
    <w:rsid w:val="002B2472"/>
    <w:rsid w:val="002B29A7"/>
    <w:rsid w:val="002B2BBB"/>
    <w:rsid w:val="002B3339"/>
    <w:rsid w:val="002B4825"/>
    <w:rsid w:val="002B4BE1"/>
    <w:rsid w:val="002B51AF"/>
    <w:rsid w:val="002B5EBA"/>
    <w:rsid w:val="002C03D3"/>
    <w:rsid w:val="002C05EA"/>
    <w:rsid w:val="002C0EF6"/>
    <w:rsid w:val="002C28A3"/>
    <w:rsid w:val="002C4E4B"/>
    <w:rsid w:val="002D306B"/>
    <w:rsid w:val="002D3AA4"/>
    <w:rsid w:val="002E19B2"/>
    <w:rsid w:val="002E31E4"/>
    <w:rsid w:val="002E6248"/>
    <w:rsid w:val="002F05EF"/>
    <w:rsid w:val="002F0CB0"/>
    <w:rsid w:val="002F1B79"/>
    <w:rsid w:val="002F1E97"/>
    <w:rsid w:val="002F1F6C"/>
    <w:rsid w:val="002F1FC8"/>
    <w:rsid w:val="002F27E9"/>
    <w:rsid w:val="002F3922"/>
    <w:rsid w:val="002F3F67"/>
    <w:rsid w:val="002F5135"/>
    <w:rsid w:val="002F6354"/>
    <w:rsid w:val="002F6D34"/>
    <w:rsid w:val="002F73BE"/>
    <w:rsid w:val="003006F6"/>
    <w:rsid w:val="00302CD9"/>
    <w:rsid w:val="00303010"/>
    <w:rsid w:val="003043FF"/>
    <w:rsid w:val="00305BB5"/>
    <w:rsid w:val="00305EEA"/>
    <w:rsid w:val="003060C9"/>
    <w:rsid w:val="003065F6"/>
    <w:rsid w:val="003071C3"/>
    <w:rsid w:val="0030772D"/>
    <w:rsid w:val="00307929"/>
    <w:rsid w:val="00311AA3"/>
    <w:rsid w:val="003133E1"/>
    <w:rsid w:val="0031730B"/>
    <w:rsid w:val="00317AC9"/>
    <w:rsid w:val="003200CE"/>
    <w:rsid w:val="00320578"/>
    <w:rsid w:val="00322F28"/>
    <w:rsid w:val="003248C3"/>
    <w:rsid w:val="00324D9F"/>
    <w:rsid w:val="003255FA"/>
    <w:rsid w:val="0032602F"/>
    <w:rsid w:val="00327C8D"/>
    <w:rsid w:val="00327E23"/>
    <w:rsid w:val="00331B6F"/>
    <w:rsid w:val="00335710"/>
    <w:rsid w:val="003367CC"/>
    <w:rsid w:val="00336F8D"/>
    <w:rsid w:val="0034194B"/>
    <w:rsid w:val="00341B23"/>
    <w:rsid w:val="00343DA6"/>
    <w:rsid w:val="003441F9"/>
    <w:rsid w:val="00345C74"/>
    <w:rsid w:val="003538F9"/>
    <w:rsid w:val="00355AC1"/>
    <w:rsid w:val="00355ACC"/>
    <w:rsid w:val="003573E1"/>
    <w:rsid w:val="0035742B"/>
    <w:rsid w:val="003614D2"/>
    <w:rsid w:val="0036469E"/>
    <w:rsid w:val="00366E3E"/>
    <w:rsid w:val="003675F4"/>
    <w:rsid w:val="00372BD2"/>
    <w:rsid w:val="00373087"/>
    <w:rsid w:val="00374742"/>
    <w:rsid w:val="00374EBA"/>
    <w:rsid w:val="00375C80"/>
    <w:rsid w:val="00376E6A"/>
    <w:rsid w:val="00381527"/>
    <w:rsid w:val="00381D48"/>
    <w:rsid w:val="003827E3"/>
    <w:rsid w:val="003843D1"/>
    <w:rsid w:val="00385459"/>
    <w:rsid w:val="003858DF"/>
    <w:rsid w:val="0038650B"/>
    <w:rsid w:val="003912C0"/>
    <w:rsid w:val="003917B7"/>
    <w:rsid w:val="003924BA"/>
    <w:rsid w:val="00393F65"/>
    <w:rsid w:val="0039401A"/>
    <w:rsid w:val="00396E95"/>
    <w:rsid w:val="0039788F"/>
    <w:rsid w:val="00397FC6"/>
    <w:rsid w:val="003A0BAE"/>
    <w:rsid w:val="003A1F35"/>
    <w:rsid w:val="003A2E1B"/>
    <w:rsid w:val="003A3AE0"/>
    <w:rsid w:val="003A65F7"/>
    <w:rsid w:val="003B36A2"/>
    <w:rsid w:val="003B4B15"/>
    <w:rsid w:val="003B4D13"/>
    <w:rsid w:val="003B583D"/>
    <w:rsid w:val="003B60E4"/>
    <w:rsid w:val="003B67B7"/>
    <w:rsid w:val="003B7017"/>
    <w:rsid w:val="003C056D"/>
    <w:rsid w:val="003C0A8B"/>
    <w:rsid w:val="003C2A2E"/>
    <w:rsid w:val="003C2B81"/>
    <w:rsid w:val="003C31D6"/>
    <w:rsid w:val="003C371E"/>
    <w:rsid w:val="003C3950"/>
    <w:rsid w:val="003C715E"/>
    <w:rsid w:val="003D1E1C"/>
    <w:rsid w:val="003D3A56"/>
    <w:rsid w:val="003D3ADB"/>
    <w:rsid w:val="003D3C0C"/>
    <w:rsid w:val="003D4466"/>
    <w:rsid w:val="003D49BB"/>
    <w:rsid w:val="003D5A32"/>
    <w:rsid w:val="003D5CE7"/>
    <w:rsid w:val="003E0493"/>
    <w:rsid w:val="003E14D2"/>
    <w:rsid w:val="003E23D5"/>
    <w:rsid w:val="003E2569"/>
    <w:rsid w:val="003E39D5"/>
    <w:rsid w:val="003E45FA"/>
    <w:rsid w:val="003E523C"/>
    <w:rsid w:val="003E596B"/>
    <w:rsid w:val="003E6A83"/>
    <w:rsid w:val="003E6EA6"/>
    <w:rsid w:val="003E7375"/>
    <w:rsid w:val="003F00EB"/>
    <w:rsid w:val="003F3167"/>
    <w:rsid w:val="003F5C00"/>
    <w:rsid w:val="003F6547"/>
    <w:rsid w:val="003F6D0D"/>
    <w:rsid w:val="003F6E5A"/>
    <w:rsid w:val="003F7584"/>
    <w:rsid w:val="003F7A25"/>
    <w:rsid w:val="004009F8"/>
    <w:rsid w:val="00400C7A"/>
    <w:rsid w:val="00401BBC"/>
    <w:rsid w:val="00402176"/>
    <w:rsid w:val="00410837"/>
    <w:rsid w:val="00410DC1"/>
    <w:rsid w:val="00412AF1"/>
    <w:rsid w:val="00412C12"/>
    <w:rsid w:val="004134C7"/>
    <w:rsid w:val="004136AC"/>
    <w:rsid w:val="00414176"/>
    <w:rsid w:val="00414AFB"/>
    <w:rsid w:val="004174AE"/>
    <w:rsid w:val="00420273"/>
    <w:rsid w:val="00420AAF"/>
    <w:rsid w:val="004219AD"/>
    <w:rsid w:val="004278A2"/>
    <w:rsid w:val="004279C4"/>
    <w:rsid w:val="00430D32"/>
    <w:rsid w:val="00431422"/>
    <w:rsid w:val="00431682"/>
    <w:rsid w:val="00431C26"/>
    <w:rsid w:val="00432705"/>
    <w:rsid w:val="00433892"/>
    <w:rsid w:val="00433D63"/>
    <w:rsid w:val="00434010"/>
    <w:rsid w:val="004344AD"/>
    <w:rsid w:val="0043484F"/>
    <w:rsid w:val="0043605A"/>
    <w:rsid w:val="00436775"/>
    <w:rsid w:val="00437DD4"/>
    <w:rsid w:val="004407E2"/>
    <w:rsid w:val="00441A92"/>
    <w:rsid w:val="00442E8D"/>
    <w:rsid w:val="00443AFA"/>
    <w:rsid w:val="00444923"/>
    <w:rsid w:val="00444CFC"/>
    <w:rsid w:val="00444F21"/>
    <w:rsid w:val="00447364"/>
    <w:rsid w:val="00451AFF"/>
    <w:rsid w:val="00452C5B"/>
    <w:rsid w:val="00453315"/>
    <w:rsid w:val="004536AD"/>
    <w:rsid w:val="00454F53"/>
    <w:rsid w:val="00456AE0"/>
    <w:rsid w:val="004576D3"/>
    <w:rsid w:val="0046225F"/>
    <w:rsid w:val="004622E1"/>
    <w:rsid w:val="00464374"/>
    <w:rsid w:val="0046439E"/>
    <w:rsid w:val="00466C60"/>
    <w:rsid w:val="00470AED"/>
    <w:rsid w:val="004772C7"/>
    <w:rsid w:val="00477D12"/>
    <w:rsid w:val="00480430"/>
    <w:rsid w:val="00484989"/>
    <w:rsid w:val="00485A64"/>
    <w:rsid w:val="00486319"/>
    <w:rsid w:val="0048632C"/>
    <w:rsid w:val="004867AE"/>
    <w:rsid w:val="00487431"/>
    <w:rsid w:val="00490D45"/>
    <w:rsid w:val="00491FA0"/>
    <w:rsid w:val="00492B7A"/>
    <w:rsid w:val="00493270"/>
    <w:rsid w:val="00493F29"/>
    <w:rsid w:val="00494F47"/>
    <w:rsid w:val="00496EDD"/>
    <w:rsid w:val="00497871"/>
    <w:rsid w:val="004A120C"/>
    <w:rsid w:val="004A1B6E"/>
    <w:rsid w:val="004A1E0C"/>
    <w:rsid w:val="004A704C"/>
    <w:rsid w:val="004A7BF9"/>
    <w:rsid w:val="004B0D95"/>
    <w:rsid w:val="004B198E"/>
    <w:rsid w:val="004B1DAA"/>
    <w:rsid w:val="004B272F"/>
    <w:rsid w:val="004B5075"/>
    <w:rsid w:val="004B50B2"/>
    <w:rsid w:val="004B5597"/>
    <w:rsid w:val="004C0B3F"/>
    <w:rsid w:val="004C134A"/>
    <w:rsid w:val="004C3E8B"/>
    <w:rsid w:val="004C4E3D"/>
    <w:rsid w:val="004C4FF6"/>
    <w:rsid w:val="004C6043"/>
    <w:rsid w:val="004C7C33"/>
    <w:rsid w:val="004D0A9D"/>
    <w:rsid w:val="004D17DC"/>
    <w:rsid w:val="004D23F7"/>
    <w:rsid w:val="004D2B29"/>
    <w:rsid w:val="004D4D93"/>
    <w:rsid w:val="004D6173"/>
    <w:rsid w:val="004D62F2"/>
    <w:rsid w:val="004D6B5E"/>
    <w:rsid w:val="004D6EF6"/>
    <w:rsid w:val="004D75D5"/>
    <w:rsid w:val="004E1787"/>
    <w:rsid w:val="004E22AD"/>
    <w:rsid w:val="004E4CE5"/>
    <w:rsid w:val="004E57AE"/>
    <w:rsid w:val="004F01BB"/>
    <w:rsid w:val="004F04C2"/>
    <w:rsid w:val="004F17B9"/>
    <w:rsid w:val="004F24DC"/>
    <w:rsid w:val="004F5E3B"/>
    <w:rsid w:val="004F6714"/>
    <w:rsid w:val="004F7EA1"/>
    <w:rsid w:val="0050110C"/>
    <w:rsid w:val="005072FD"/>
    <w:rsid w:val="005076E0"/>
    <w:rsid w:val="00507B91"/>
    <w:rsid w:val="0051041D"/>
    <w:rsid w:val="00510991"/>
    <w:rsid w:val="0051245D"/>
    <w:rsid w:val="00512609"/>
    <w:rsid w:val="00512E5A"/>
    <w:rsid w:val="0051497A"/>
    <w:rsid w:val="00515189"/>
    <w:rsid w:val="0051540B"/>
    <w:rsid w:val="0051726D"/>
    <w:rsid w:val="005176D7"/>
    <w:rsid w:val="005211F6"/>
    <w:rsid w:val="0052147B"/>
    <w:rsid w:val="0052153C"/>
    <w:rsid w:val="005222E4"/>
    <w:rsid w:val="005228E9"/>
    <w:rsid w:val="00523C58"/>
    <w:rsid w:val="00524024"/>
    <w:rsid w:val="00524275"/>
    <w:rsid w:val="0052434E"/>
    <w:rsid w:val="00525567"/>
    <w:rsid w:val="005312CB"/>
    <w:rsid w:val="00531388"/>
    <w:rsid w:val="00532E37"/>
    <w:rsid w:val="00533E80"/>
    <w:rsid w:val="00533EE8"/>
    <w:rsid w:val="00535C04"/>
    <w:rsid w:val="005367D1"/>
    <w:rsid w:val="00536936"/>
    <w:rsid w:val="00536CCC"/>
    <w:rsid w:val="00540774"/>
    <w:rsid w:val="00540BF6"/>
    <w:rsid w:val="0054215E"/>
    <w:rsid w:val="00543B0F"/>
    <w:rsid w:val="0054635B"/>
    <w:rsid w:val="00551871"/>
    <w:rsid w:val="00551C00"/>
    <w:rsid w:val="005538F9"/>
    <w:rsid w:val="005549DD"/>
    <w:rsid w:val="00555A47"/>
    <w:rsid w:val="00555B5F"/>
    <w:rsid w:val="00555C67"/>
    <w:rsid w:val="005560BE"/>
    <w:rsid w:val="00560213"/>
    <w:rsid w:val="0056064F"/>
    <w:rsid w:val="005610B7"/>
    <w:rsid w:val="00561DDF"/>
    <w:rsid w:val="00561DF3"/>
    <w:rsid w:val="00565A53"/>
    <w:rsid w:val="00565C45"/>
    <w:rsid w:val="005662D1"/>
    <w:rsid w:val="00570DD3"/>
    <w:rsid w:val="00570E92"/>
    <w:rsid w:val="00571356"/>
    <w:rsid w:val="0057157D"/>
    <w:rsid w:val="00571E50"/>
    <w:rsid w:val="00572088"/>
    <w:rsid w:val="005743B2"/>
    <w:rsid w:val="00574A72"/>
    <w:rsid w:val="0057598E"/>
    <w:rsid w:val="005759CD"/>
    <w:rsid w:val="00576727"/>
    <w:rsid w:val="00576F6C"/>
    <w:rsid w:val="005825D8"/>
    <w:rsid w:val="0058415F"/>
    <w:rsid w:val="005868AE"/>
    <w:rsid w:val="00590E51"/>
    <w:rsid w:val="005915F0"/>
    <w:rsid w:val="0059398C"/>
    <w:rsid w:val="00593C7F"/>
    <w:rsid w:val="00594CCD"/>
    <w:rsid w:val="00595DDF"/>
    <w:rsid w:val="005A0E92"/>
    <w:rsid w:val="005A1139"/>
    <w:rsid w:val="005A140C"/>
    <w:rsid w:val="005A3611"/>
    <w:rsid w:val="005A40FB"/>
    <w:rsid w:val="005A491F"/>
    <w:rsid w:val="005A5FC5"/>
    <w:rsid w:val="005A706A"/>
    <w:rsid w:val="005A7CFC"/>
    <w:rsid w:val="005B2369"/>
    <w:rsid w:val="005B2864"/>
    <w:rsid w:val="005B55E9"/>
    <w:rsid w:val="005B6A02"/>
    <w:rsid w:val="005B7E05"/>
    <w:rsid w:val="005C0719"/>
    <w:rsid w:val="005C07B7"/>
    <w:rsid w:val="005C263F"/>
    <w:rsid w:val="005C5E86"/>
    <w:rsid w:val="005C7138"/>
    <w:rsid w:val="005C78B3"/>
    <w:rsid w:val="005D004A"/>
    <w:rsid w:val="005D0AB3"/>
    <w:rsid w:val="005D151F"/>
    <w:rsid w:val="005D5CC9"/>
    <w:rsid w:val="005D6C04"/>
    <w:rsid w:val="005E05D6"/>
    <w:rsid w:val="005E0A53"/>
    <w:rsid w:val="005E701D"/>
    <w:rsid w:val="005F1340"/>
    <w:rsid w:val="005F18EA"/>
    <w:rsid w:val="006018F5"/>
    <w:rsid w:val="00601AE6"/>
    <w:rsid w:val="0060384C"/>
    <w:rsid w:val="00603C83"/>
    <w:rsid w:val="006051DF"/>
    <w:rsid w:val="006057EE"/>
    <w:rsid w:val="006072B1"/>
    <w:rsid w:val="00607B09"/>
    <w:rsid w:val="00612249"/>
    <w:rsid w:val="006124E8"/>
    <w:rsid w:val="00612CD3"/>
    <w:rsid w:val="00613808"/>
    <w:rsid w:val="00615471"/>
    <w:rsid w:val="00620AB9"/>
    <w:rsid w:val="006217DB"/>
    <w:rsid w:val="00621CCF"/>
    <w:rsid w:val="00622D73"/>
    <w:rsid w:val="00623A4C"/>
    <w:rsid w:val="006247D7"/>
    <w:rsid w:val="00627940"/>
    <w:rsid w:val="00627CD5"/>
    <w:rsid w:val="00632138"/>
    <w:rsid w:val="00632FE6"/>
    <w:rsid w:val="006335A9"/>
    <w:rsid w:val="00635F4F"/>
    <w:rsid w:val="00636BA9"/>
    <w:rsid w:val="00637088"/>
    <w:rsid w:val="00637586"/>
    <w:rsid w:val="00637C40"/>
    <w:rsid w:val="0064353B"/>
    <w:rsid w:val="006468B4"/>
    <w:rsid w:val="00647FB5"/>
    <w:rsid w:val="00650262"/>
    <w:rsid w:val="006510DB"/>
    <w:rsid w:val="006514CD"/>
    <w:rsid w:val="006526E6"/>
    <w:rsid w:val="00653B76"/>
    <w:rsid w:val="00653CEB"/>
    <w:rsid w:val="00654443"/>
    <w:rsid w:val="00655072"/>
    <w:rsid w:val="006564AB"/>
    <w:rsid w:val="00656D54"/>
    <w:rsid w:val="00657B24"/>
    <w:rsid w:val="00657F6B"/>
    <w:rsid w:val="00661999"/>
    <w:rsid w:val="00661AF6"/>
    <w:rsid w:val="006624E2"/>
    <w:rsid w:val="006638EA"/>
    <w:rsid w:val="00666807"/>
    <w:rsid w:val="00667300"/>
    <w:rsid w:val="006675C8"/>
    <w:rsid w:val="00670C86"/>
    <w:rsid w:val="00670D29"/>
    <w:rsid w:val="00671033"/>
    <w:rsid w:val="00671993"/>
    <w:rsid w:val="00672850"/>
    <w:rsid w:val="00674620"/>
    <w:rsid w:val="00675D1C"/>
    <w:rsid w:val="00676C6E"/>
    <w:rsid w:val="006779D7"/>
    <w:rsid w:val="00677C6A"/>
    <w:rsid w:val="00677C8D"/>
    <w:rsid w:val="0068018A"/>
    <w:rsid w:val="00681A19"/>
    <w:rsid w:val="006823FB"/>
    <w:rsid w:val="0068256B"/>
    <w:rsid w:val="00682B51"/>
    <w:rsid w:val="00684001"/>
    <w:rsid w:val="00684E9A"/>
    <w:rsid w:val="00685E8A"/>
    <w:rsid w:val="00685FC5"/>
    <w:rsid w:val="006868AA"/>
    <w:rsid w:val="00686CD6"/>
    <w:rsid w:val="00687CFD"/>
    <w:rsid w:val="00690DD1"/>
    <w:rsid w:val="006932AE"/>
    <w:rsid w:val="00694387"/>
    <w:rsid w:val="00695C30"/>
    <w:rsid w:val="006963B3"/>
    <w:rsid w:val="006979C6"/>
    <w:rsid w:val="006A0419"/>
    <w:rsid w:val="006A0736"/>
    <w:rsid w:val="006A2836"/>
    <w:rsid w:val="006A2E56"/>
    <w:rsid w:val="006A2EE1"/>
    <w:rsid w:val="006A3D54"/>
    <w:rsid w:val="006A5FF2"/>
    <w:rsid w:val="006A7B6C"/>
    <w:rsid w:val="006B16D9"/>
    <w:rsid w:val="006B2933"/>
    <w:rsid w:val="006B3AB7"/>
    <w:rsid w:val="006B3E1F"/>
    <w:rsid w:val="006B5B26"/>
    <w:rsid w:val="006B638D"/>
    <w:rsid w:val="006C0F9D"/>
    <w:rsid w:val="006C10B1"/>
    <w:rsid w:val="006C3B84"/>
    <w:rsid w:val="006C5A90"/>
    <w:rsid w:val="006D2EBA"/>
    <w:rsid w:val="006D31B4"/>
    <w:rsid w:val="006D38F1"/>
    <w:rsid w:val="006D54A6"/>
    <w:rsid w:val="006E084B"/>
    <w:rsid w:val="006E0E43"/>
    <w:rsid w:val="006E12C0"/>
    <w:rsid w:val="006E1E2D"/>
    <w:rsid w:val="006E226E"/>
    <w:rsid w:val="006E2A7B"/>
    <w:rsid w:val="006E6898"/>
    <w:rsid w:val="006F0AEF"/>
    <w:rsid w:val="006F4574"/>
    <w:rsid w:val="006F5CCF"/>
    <w:rsid w:val="006F6507"/>
    <w:rsid w:val="006F6994"/>
    <w:rsid w:val="0070215F"/>
    <w:rsid w:val="00702971"/>
    <w:rsid w:val="00705748"/>
    <w:rsid w:val="00706252"/>
    <w:rsid w:val="007100FD"/>
    <w:rsid w:val="007101D3"/>
    <w:rsid w:val="00711293"/>
    <w:rsid w:val="00712AA2"/>
    <w:rsid w:val="00712CC7"/>
    <w:rsid w:val="00716137"/>
    <w:rsid w:val="007173EE"/>
    <w:rsid w:val="00717D5C"/>
    <w:rsid w:val="0072056A"/>
    <w:rsid w:val="00720BD1"/>
    <w:rsid w:val="00720CE3"/>
    <w:rsid w:val="00721DD6"/>
    <w:rsid w:val="00722046"/>
    <w:rsid w:val="00723403"/>
    <w:rsid w:val="00724B1E"/>
    <w:rsid w:val="007254F8"/>
    <w:rsid w:val="007301B4"/>
    <w:rsid w:val="007335B1"/>
    <w:rsid w:val="00733EC5"/>
    <w:rsid w:val="00734108"/>
    <w:rsid w:val="00735EE9"/>
    <w:rsid w:val="007365C3"/>
    <w:rsid w:val="00737615"/>
    <w:rsid w:val="00741374"/>
    <w:rsid w:val="0074194E"/>
    <w:rsid w:val="00741ECC"/>
    <w:rsid w:val="00742E1E"/>
    <w:rsid w:val="007440E6"/>
    <w:rsid w:val="00746B9D"/>
    <w:rsid w:val="00746BDF"/>
    <w:rsid w:val="00746F56"/>
    <w:rsid w:val="00750134"/>
    <w:rsid w:val="007517CB"/>
    <w:rsid w:val="00751A3F"/>
    <w:rsid w:val="00753208"/>
    <w:rsid w:val="00753403"/>
    <w:rsid w:val="00754834"/>
    <w:rsid w:val="00755460"/>
    <w:rsid w:val="0075576E"/>
    <w:rsid w:val="00755FDD"/>
    <w:rsid w:val="00760022"/>
    <w:rsid w:val="0076006D"/>
    <w:rsid w:val="007625F9"/>
    <w:rsid w:val="00763EEF"/>
    <w:rsid w:val="00765061"/>
    <w:rsid w:val="007660A6"/>
    <w:rsid w:val="0076634E"/>
    <w:rsid w:val="00766605"/>
    <w:rsid w:val="007677A5"/>
    <w:rsid w:val="0077132F"/>
    <w:rsid w:val="0077288F"/>
    <w:rsid w:val="00772FC7"/>
    <w:rsid w:val="00773CDB"/>
    <w:rsid w:val="00773E45"/>
    <w:rsid w:val="007754DC"/>
    <w:rsid w:val="00780B11"/>
    <w:rsid w:val="00781435"/>
    <w:rsid w:val="00781DC6"/>
    <w:rsid w:val="00781F48"/>
    <w:rsid w:val="00784555"/>
    <w:rsid w:val="007874CA"/>
    <w:rsid w:val="0079164D"/>
    <w:rsid w:val="007918C5"/>
    <w:rsid w:val="00791FB9"/>
    <w:rsid w:val="00791FC5"/>
    <w:rsid w:val="00791FFF"/>
    <w:rsid w:val="0079375A"/>
    <w:rsid w:val="00793C05"/>
    <w:rsid w:val="00793D64"/>
    <w:rsid w:val="007954DC"/>
    <w:rsid w:val="00797029"/>
    <w:rsid w:val="007A011D"/>
    <w:rsid w:val="007A1B21"/>
    <w:rsid w:val="007A204C"/>
    <w:rsid w:val="007A25C2"/>
    <w:rsid w:val="007A2C25"/>
    <w:rsid w:val="007A2CDD"/>
    <w:rsid w:val="007A2F67"/>
    <w:rsid w:val="007A3F95"/>
    <w:rsid w:val="007A4501"/>
    <w:rsid w:val="007A4838"/>
    <w:rsid w:val="007A6586"/>
    <w:rsid w:val="007A7358"/>
    <w:rsid w:val="007B0607"/>
    <w:rsid w:val="007B0F8C"/>
    <w:rsid w:val="007B11DC"/>
    <w:rsid w:val="007B3B52"/>
    <w:rsid w:val="007B462E"/>
    <w:rsid w:val="007B4E82"/>
    <w:rsid w:val="007B518C"/>
    <w:rsid w:val="007B57DB"/>
    <w:rsid w:val="007B58AA"/>
    <w:rsid w:val="007B617C"/>
    <w:rsid w:val="007B62BF"/>
    <w:rsid w:val="007B6667"/>
    <w:rsid w:val="007C0C93"/>
    <w:rsid w:val="007C3FC5"/>
    <w:rsid w:val="007C5578"/>
    <w:rsid w:val="007C6DEB"/>
    <w:rsid w:val="007C7242"/>
    <w:rsid w:val="007D0061"/>
    <w:rsid w:val="007D09C7"/>
    <w:rsid w:val="007D13E5"/>
    <w:rsid w:val="007D2139"/>
    <w:rsid w:val="007D2AF8"/>
    <w:rsid w:val="007D38E1"/>
    <w:rsid w:val="007D4B59"/>
    <w:rsid w:val="007D4F5C"/>
    <w:rsid w:val="007D6A70"/>
    <w:rsid w:val="007D6F78"/>
    <w:rsid w:val="007D7196"/>
    <w:rsid w:val="007D7A77"/>
    <w:rsid w:val="007E1824"/>
    <w:rsid w:val="007E2C5B"/>
    <w:rsid w:val="007E489E"/>
    <w:rsid w:val="007E6905"/>
    <w:rsid w:val="007E6CE4"/>
    <w:rsid w:val="007F071C"/>
    <w:rsid w:val="007F16E0"/>
    <w:rsid w:val="007F66B9"/>
    <w:rsid w:val="007F6DA7"/>
    <w:rsid w:val="008003B4"/>
    <w:rsid w:val="008015F3"/>
    <w:rsid w:val="0080351C"/>
    <w:rsid w:val="0080358F"/>
    <w:rsid w:val="008042D4"/>
    <w:rsid w:val="00804638"/>
    <w:rsid w:val="00806E96"/>
    <w:rsid w:val="008077D5"/>
    <w:rsid w:val="00807B06"/>
    <w:rsid w:val="00807FF1"/>
    <w:rsid w:val="008106E9"/>
    <w:rsid w:val="00811960"/>
    <w:rsid w:val="00812E36"/>
    <w:rsid w:val="00814624"/>
    <w:rsid w:val="00814A9B"/>
    <w:rsid w:val="008172EB"/>
    <w:rsid w:val="00826898"/>
    <w:rsid w:val="0083481B"/>
    <w:rsid w:val="00835ED2"/>
    <w:rsid w:val="00836628"/>
    <w:rsid w:val="008366FC"/>
    <w:rsid w:val="00836954"/>
    <w:rsid w:val="00836CCC"/>
    <w:rsid w:val="00842148"/>
    <w:rsid w:val="0084276D"/>
    <w:rsid w:val="00844AC1"/>
    <w:rsid w:val="00845B73"/>
    <w:rsid w:val="00846B35"/>
    <w:rsid w:val="0085121D"/>
    <w:rsid w:val="00852B90"/>
    <w:rsid w:val="008537C2"/>
    <w:rsid w:val="00854228"/>
    <w:rsid w:val="008550D9"/>
    <w:rsid w:val="00856227"/>
    <w:rsid w:val="00860BBD"/>
    <w:rsid w:val="00862FE4"/>
    <w:rsid w:val="00863498"/>
    <w:rsid w:val="00864BCD"/>
    <w:rsid w:val="008652FE"/>
    <w:rsid w:val="008657B2"/>
    <w:rsid w:val="008709FB"/>
    <w:rsid w:val="00870FB8"/>
    <w:rsid w:val="00871B50"/>
    <w:rsid w:val="00876CAA"/>
    <w:rsid w:val="00877AB2"/>
    <w:rsid w:val="00880219"/>
    <w:rsid w:val="00881666"/>
    <w:rsid w:val="00882B86"/>
    <w:rsid w:val="00884463"/>
    <w:rsid w:val="00884854"/>
    <w:rsid w:val="008849B8"/>
    <w:rsid w:val="0088727B"/>
    <w:rsid w:val="008917B1"/>
    <w:rsid w:val="008922A9"/>
    <w:rsid w:val="00892C76"/>
    <w:rsid w:val="00892F2D"/>
    <w:rsid w:val="00895618"/>
    <w:rsid w:val="00896301"/>
    <w:rsid w:val="008969FE"/>
    <w:rsid w:val="008A02FB"/>
    <w:rsid w:val="008A0984"/>
    <w:rsid w:val="008A21C1"/>
    <w:rsid w:val="008A2291"/>
    <w:rsid w:val="008A3744"/>
    <w:rsid w:val="008A37BD"/>
    <w:rsid w:val="008A49FA"/>
    <w:rsid w:val="008A4C54"/>
    <w:rsid w:val="008A6CC7"/>
    <w:rsid w:val="008A7B11"/>
    <w:rsid w:val="008A7E5A"/>
    <w:rsid w:val="008B1A70"/>
    <w:rsid w:val="008B1B5C"/>
    <w:rsid w:val="008B2379"/>
    <w:rsid w:val="008B2887"/>
    <w:rsid w:val="008B3DA3"/>
    <w:rsid w:val="008B472D"/>
    <w:rsid w:val="008C0D2A"/>
    <w:rsid w:val="008C284C"/>
    <w:rsid w:val="008C3C45"/>
    <w:rsid w:val="008C3D23"/>
    <w:rsid w:val="008C4BE5"/>
    <w:rsid w:val="008C4F00"/>
    <w:rsid w:val="008C4F79"/>
    <w:rsid w:val="008C5D35"/>
    <w:rsid w:val="008C6024"/>
    <w:rsid w:val="008C6A9B"/>
    <w:rsid w:val="008D08F0"/>
    <w:rsid w:val="008D0CA9"/>
    <w:rsid w:val="008D1202"/>
    <w:rsid w:val="008D59F8"/>
    <w:rsid w:val="008E07FF"/>
    <w:rsid w:val="008E121E"/>
    <w:rsid w:val="008E160F"/>
    <w:rsid w:val="008E19A7"/>
    <w:rsid w:val="008E2314"/>
    <w:rsid w:val="008E2741"/>
    <w:rsid w:val="008E42C7"/>
    <w:rsid w:val="008E64A4"/>
    <w:rsid w:val="008E6EEB"/>
    <w:rsid w:val="008E712E"/>
    <w:rsid w:val="008F0D50"/>
    <w:rsid w:val="008F1799"/>
    <w:rsid w:val="008F4977"/>
    <w:rsid w:val="008F4CBE"/>
    <w:rsid w:val="008F52ED"/>
    <w:rsid w:val="008F6EC3"/>
    <w:rsid w:val="008F7383"/>
    <w:rsid w:val="009024EB"/>
    <w:rsid w:val="0090379B"/>
    <w:rsid w:val="009039A7"/>
    <w:rsid w:val="00905ADF"/>
    <w:rsid w:val="0090609E"/>
    <w:rsid w:val="00906B52"/>
    <w:rsid w:val="00907688"/>
    <w:rsid w:val="0090791F"/>
    <w:rsid w:val="00910647"/>
    <w:rsid w:val="009118CB"/>
    <w:rsid w:val="009130D3"/>
    <w:rsid w:val="00914952"/>
    <w:rsid w:val="0091540B"/>
    <w:rsid w:val="00916058"/>
    <w:rsid w:val="009168AF"/>
    <w:rsid w:val="00920E21"/>
    <w:rsid w:val="0092314C"/>
    <w:rsid w:val="00923968"/>
    <w:rsid w:val="0092539F"/>
    <w:rsid w:val="00926A88"/>
    <w:rsid w:val="00930F1D"/>
    <w:rsid w:val="009310F9"/>
    <w:rsid w:val="009324B4"/>
    <w:rsid w:val="00933A01"/>
    <w:rsid w:val="00933FE7"/>
    <w:rsid w:val="00935A06"/>
    <w:rsid w:val="00935F1D"/>
    <w:rsid w:val="00936151"/>
    <w:rsid w:val="00936995"/>
    <w:rsid w:val="00937184"/>
    <w:rsid w:val="0093747E"/>
    <w:rsid w:val="0093773B"/>
    <w:rsid w:val="0094048E"/>
    <w:rsid w:val="00940701"/>
    <w:rsid w:val="009444A4"/>
    <w:rsid w:val="009444DE"/>
    <w:rsid w:val="009446B3"/>
    <w:rsid w:val="00944FC3"/>
    <w:rsid w:val="009453F8"/>
    <w:rsid w:val="009454AA"/>
    <w:rsid w:val="009516AC"/>
    <w:rsid w:val="009517C4"/>
    <w:rsid w:val="009520E2"/>
    <w:rsid w:val="009527C7"/>
    <w:rsid w:val="00952BBF"/>
    <w:rsid w:val="0095417B"/>
    <w:rsid w:val="00954659"/>
    <w:rsid w:val="009546AA"/>
    <w:rsid w:val="00954F59"/>
    <w:rsid w:val="00955413"/>
    <w:rsid w:val="009568A2"/>
    <w:rsid w:val="009569DD"/>
    <w:rsid w:val="00956C50"/>
    <w:rsid w:val="00957F78"/>
    <w:rsid w:val="00960D43"/>
    <w:rsid w:val="00960DB0"/>
    <w:rsid w:val="00962571"/>
    <w:rsid w:val="00962739"/>
    <w:rsid w:val="009640D0"/>
    <w:rsid w:val="00964467"/>
    <w:rsid w:val="00964A36"/>
    <w:rsid w:val="00966031"/>
    <w:rsid w:val="00967CE7"/>
    <w:rsid w:val="009708E4"/>
    <w:rsid w:val="00970BC0"/>
    <w:rsid w:val="00972747"/>
    <w:rsid w:val="00972D7F"/>
    <w:rsid w:val="00974B7F"/>
    <w:rsid w:val="0098082A"/>
    <w:rsid w:val="00980A9B"/>
    <w:rsid w:val="009825BF"/>
    <w:rsid w:val="00982853"/>
    <w:rsid w:val="00983874"/>
    <w:rsid w:val="009857E5"/>
    <w:rsid w:val="0098649C"/>
    <w:rsid w:val="00986E19"/>
    <w:rsid w:val="00990972"/>
    <w:rsid w:val="009924B4"/>
    <w:rsid w:val="00995EB5"/>
    <w:rsid w:val="0099643E"/>
    <w:rsid w:val="009A00DF"/>
    <w:rsid w:val="009A0E9B"/>
    <w:rsid w:val="009A1CD9"/>
    <w:rsid w:val="009A21E4"/>
    <w:rsid w:val="009A646F"/>
    <w:rsid w:val="009A6791"/>
    <w:rsid w:val="009A756F"/>
    <w:rsid w:val="009B077D"/>
    <w:rsid w:val="009B4AEF"/>
    <w:rsid w:val="009B6220"/>
    <w:rsid w:val="009B7F80"/>
    <w:rsid w:val="009C1446"/>
    <w:rsid w:val="009C3085"/>
    <w:rsid w:val="009C4242"/>
    <w:rsid w:val="009C5B62"/>
    <w:rsid w:val="009C6EE8"/>
    <w:rsid w:val="009D01B8"/>
    <w:rsid w:val="009D05FA"/>
    <w:rsid w:val="009D066C"/>
    <w:rsid w:val="009D1AA1"/>
    <w:rsid w:val="009D1DF6"/>
    <w:rsid w:val="009D1F0A"/>
    <w:rsid w:val="009D2626"/>
    <w:rsid w:val="009D2BBC"/>
    <w:rsid w:val="009D2ED7"/>
    <w:rsid w:val="009D68B1"/>
    <w:rsid w:val="009E018B"/>
    <w:rsid w:val="009E28F4"/>
    <w:rsid w:val="009E2C34"/>
    <w:rsid w:val="009E2FC8"/>
    <w:rsid w:val="009E36BD"/>
    <w:rsid w:val="009E3BE5"/>
    <w:rsid w:val="009E3F58"/>
    <w:rsid w:val="009E502B"/>
    <w:rsid w:val="009E592C"/>
    <w:rsid w:val="009F09CC"/>
    <w:rsid w:val="009F0CED"/>
    <w:rsid w:val="009F4258"/>
    <w:rsid w:val="009F4B1F"/>
    <w:rsid w:val="009F4F79"/>
    <w:rsid w:val="009F7023"/>
    <w:rsid w:val="00A04E05"/>
    <w:rsid w:val="00A04FB0"/>
    <w:rsid w:val="00A06CB3"/>
    <w:rsid w:val="00A119B3"/>
    <w:rsid w:val="00A12B0B"/>
    <w:rsid w:val="00A13B73"/>
    <w:rsid w:val="00A167F8"/>
    <w:rsid w:val="00A17BCC"/>
    <w:rsid w:val="00A21E38"/>
    <w:rsid w:val="00A226DB"/>
    <w:rsid w:val="00A24F95"/>
    <w:rsid w:val="00A252A4"/>
    <w:rsid w:val="00A27747"/>
    <w:rsid w:val="00A2785B"/>
    <w:rsid w:val="00A27BE8"/>
    <w:rsid w:val="00A30F24"/>
    <w:rsid w:val="00A31CD9"/>
    <w:rsid w:val="00A33E94"/>
    <w:rsid w:val="00A34C68"/>
    <w:rsid w:val="00A35FEE"/>
    <w:rsid w:val="00A365AB"/>
    <w:rsid w:val="00A36879"/>
    <w:rsid w:val="00A36B28"/>
    <w:rsid w:val="00A4041E"/>
    <w:rsid w:val="00A41C1A"/>
    <w:rsid w:val="00A41DB2"/>
    <w:rsid w:val="00A42DAF"/>
    <w:rsid w:val="00A434BB"/>
    <w:rsid w:val="00A44401"/>
    <w:rsid w:val="00A51C6F"/>
    <w:rsid w:val="00A52884"/>
    <w:rsid w:val="00A5577F"/>
    <w:rsid w:val="00A55A26"/>
    <w:rsid w:val="00A60D4E"/>
    <w:rsid w:val="00A61C34"/>
    <w:rsid w:val="00A6456B"/>
    <w:rsid w:val="00A664E9"/>
    <w:rsid w:val="00A66F8F"/>
    <w:rsid w:val="00A671AA"/>
    <w:rsid w:val="00A7512A"/>
    <w:rsid w:val="00A815E8"/>
    <w:rsid w:val="00A8413D"/>
    <w:rsid w:val="00A851D8"/>
    <w:rsid w:val="00A90B9D"/>
    <w:rsid w:val="00A9160F"/>
    <w:rsid w:val="00A93730"/>
    <w:rsid w:val="00A93799"/>
    <w:rsid w:val="00A94174"/>
    <w:rsid w:val="00A9542F"/>
    <w:rsid w:val="00A9629E"/>
    <w:rsid w:val="00A96368"/>
    <w:rsid w:val="00A9688C"/>
    <w:rsid w:val="00A97CD9"/>
    <w:rsid w:val="00AA0C69"/>
    <w:rsid w:val="00AA11D6"/>
    <w:rsid w:val="00AA1765"/>
    <w:rsid w:val="00AA2390"/>
    <w:rsid w:val="00AA31C2"/>
    <w:rsid w:val="00AA5832"/>
    <w:rsid w:val="00AB0AF4"/>
    <w:rsid w:val="00AB2404"/>
    <w:rsid w:val="00AB2A6D"/>
    <w:rsid w:val="00AB412F"/>
    <w:rsid w:val="00AB4896"/>
    <w:rsid w:val="00AB49CA"/>
    <w:rsid w:val="00AB5614"/>
    <w:rsid w:val="00AB62C5"/>
    <w:rsid w:val="00AC00C1"/>
    <w:rsid w:val="00AC0B40"/>
    <w:rsid w:val="00AC0D31"/>
    <w:rsid w:val="00AC0DBB"/>
    <w:rsid w:val="00AC17C7"/>
    <w:rsid w:val="00AC1F4B"/>
    <w:rsid w:val="00AC5A3B"/>
    <w:rsid w:val="00AC668A"/>
    <w:rsid w:val="00AC67BD"/>
    <w:rsid w:val="00AC6C28"/>
    <w:rsid w:val="00AC7650"/>
    <w:rsid w:val="00AD3FB0"/>
    <w:rsid w:val="00AD4F51"/>
    <w:rsid w:val="00AD4FB1"/>
    <w:rsid w:val="00AD69BC"/>
    <w:rsid w:val="00AD746B"/>
    <w:rsid w:val="00AD78AC"/>
    <w:rsid w:val="00AD7CA9"/>
    <w:rsid w:val="00AE10DB"/>
    <w:rsid w:val="00AE2079"/>
    <w:rsid w:val="00AE4346"/>
    <w:rsid w:val="00AE4D04"/>
    <w:rsid w:val="00AE5700"/>
    <w:rsid w:val="00AE611E"/>
    <w:rsid w:val="00AF21D2"/>
    <w:rsid w:val="00AF4F70"/>
    <w:rsid w:val="00AF5E35"/>
    <w:rsid w:val="00AF5FB5"/>
    <w:rsid w:val="00AF621E"/>
    <w:rsid w:val="00AF7899"/>
    <w:rsid w:val="00B00FEE"/>
    <w:rsid w:val="00B03646"/>
    <w:rsid w:val="00B04336"/>
    <w:rsid w:val="00B07D34"/>
    <w:rsid w:val="00B12089"/>
    <w:rsid w:val="00B144B7"/>
    <w:rsid w:val="00B14EA0"/>
    <w:rsid w:val="00B15236"/>
    <w:rsid w:val="00B15DA3"/>
    <w:rsid w:val="00B1660E"/>
    <w:rsid w:val="00B20F02"/>
    <w:rsid w:val="00B20F53"/>
    <w:rsid w:val="00B21E08"/>
    <w:rsid w:val="00B23656"/>
    <w:rsid w:val="00B27E78"/>
    <w:rsid w:val="00B307E4"/>
    <w:rsid w:val="00B31FB8"/>
    <w:rsid w:val="00B32FB5"/>
    <w:rsid w:val="00B33ACC"/>
    <w:rsid w:val="00B34971"/>
    <w:rsid w:val="00B37CDC"/>
    <w:rsid w:val="00B37E88"/>
    <w:rsid w:val="00B410B4"/>
    <w:rsid w:val="00B428B1"/>
    <w:rsid w:val="00B42E9E"/>
    <w:rsid w:val="00B445EC"/>
    <w:rsid w:val="00B46F04"/>
    <w:rsid w:val="00B4722C"/>
    <w:rsid w:val="00B50A4A"/>
    <w:rsid w:val="00B52F6A"/>
    <w:rsid w:val="00B55F07"/>
    <w:rsid w:val="00B568D3"/>
    <w:rsid w:val="00B56CF9"/>
    <w:rsid w:val="00B61A2E"/>
    <w:rsid w:val="00B61DC2"/>
    <w:rsid w:val="00B62434"/>
    <w:rsid w:val="00B649B6"/>
    <w:rsid w:val="00B64F6D"/>
    <w:rsid w:val="00B65239"/>
    <w:rsid w:val="00B66361"/>
    <w:rsid w:val="00B67064"/>
    <w:rsid w:val="00B67332"/>
    <w:rsid w:val="00B67A66"/>
    <w:rsid w:val="00B718BD"/>
    <w:rsid w:val="00B72E70"/>
    <w:rsid w:val="00B74C6A"/>
    <w:rsid w:val="00B81B14"/>
    <w:rsid w:val="00B8583A"/>
    <w:rsid w:val="00B85A93"/>
    <w:rsid w:val="00B864B9"/>
    <w:rsid w:val="00B90911"/>
    <w:rsid w:val="00B91250"/>
    <w:rsid w:val="00B91D42"/>
    <w:rsid w:val="00B91EB3"/>
    <w:rsid w:val="00B92B01"/>
    <w:rsid w:val="00B95BA6"/>
    <w:rsid w:val="00B95DDB"/>
    <w:rsid w:val="00B967A5"/>
    <w:rsid w:val="00B9731F"/>
    <w:rsid w:val="00B97F24"/>
    <w:rsid w:val="00BA08F4"/>
    <w:rsid w:val="00BA1FE6"/>
    <w:rsid w:val="00BA35C0"/>
    <w:rsid w:val="00BA3718"/>
    <w:rsid w:val="00BA4C19"/>
    <w:rsid w:val="00BA6DAE"/>
    <w:rsid w:val="00BA7D94"/>
    <w:rsid w:val="00BB0151"/>
    <w:rsid w:val="00BB1964"/>
    <w:rsid w:val="00BB4027"/>
    <w:rsid w:val="00BB7108"/>
    <w:rsid w:val="00BB784A"/>
    <w:rsid w:val="00BC5647"/>
    <w:rsid w:val="00BC6D2C"/>
    <w:rsid w:val="00BC7031"/>
    <w:rsid w:val="00BC724B"/>
    <w:rsid w:val="00BC78B9"/>
    <w:rsid w:val="00BD14FC"/>
    <w:rsid w:val="00BD51F8"/>
    <w:rsid w:val="00BD7510"/>
    <w:rsid w:val="00BD7D3A"/>
    <w:rsid w:val="00BD7DA7"/>
    <w:rsid w:val="00BE7176"/>
    <w:rsid w:val="00BE74EC"/>
    <w:rsid w:val="00BF3054"/>
    <w:rsid w:val="00BF34A2"/>
    <w:rsid w:val="00BF6225"/>
    <w:rsid w:val="00BF69F1"/>
    <w:rsid w:val="00C02F2A"/>
    <w:rsid w:val="00C03586"/>
    <w:rsid w:val="00C03729"/>
    <w:rsid w:val="00C04856"/>
    <w:rsid w:val="00C05046"/>
    <w:rsid w:val="00C05E46"/>
    <w:rsid w:val="00C0751B"/>
    <w:rsid w:val="00C10460"/>
    <w:rsid w:val="00C115F7"/>
    <w:rsid w:val="00C11E74"/>
    <w:rsid w:val="00C121EA"/>
    <w:rsid w:val="00C12F0D"/>
    <w:rsid w:val="00C15386"/>
    <w:rsid w:val="00C174CF"/>
    <w:rsid w:val="00C20273"/>
    <w:rsid w:val="00C20772"/>
    <w:rsid w:val="00C214D0"/>
    <w:rsid w:val="00C22D3B"/>
    <w:rsid w:val="00C22DB7"/>
    <w:rsid w:val="00C24E67"/>
    <w:rsid w:val="00C258FD"/>
    <w:rsid w:val="00C27637"/>
    <w:rsid w:val="00C30832"/>
    <w:rsid w:val="00C31326"/>
    <w:rsid w:val="00C33158"/>
    <w:rsid w:val="00C41BE3"/>
    <w:rsid w:val="00C47903"/>
    <w:rsid w:val="00C47B03"/>
    <w:rsid w:val="00C50D22"/>
    <w:rsid w:val="00C537BA"/>
    <w:rsid w:val="00C55033"/>
    <w:rsid w:val="00C554CA"/>
    <w:rsid w:val="00C55AA1"/>
    <w:rsid w:val="00C57681"/>
    <w:rsid w:val="00C601BB"/>
    <w:rsid w:val="00C6234D"/>
    <w:rsid w:val="00C6278A"/>
    <w:rsid w:val="00C64D0F"/>
    <w:rsid w:val="00C66EAC"/>
    <w:rsid w:val="00C72557"/>
    <w:rsid w:val="00C73954"/>
    <w:rsid w:val="00C73AC9"/>
    <w:rsid w:val="00C75CAD"/>
    <w:rsid w:val="00C75EB5"/>
    <w:rsid w:val="00C76126"/>
    <w:rsid w:val="00C76318"/>
    <w:rsid w:val="00C76A96"/>
    <w:rsid w:val="00C77B8F"/>
    <w:rsid w:val="00C8046E"/>
    <w:rsid w:val="00C81D76"/>
    <w:rsid w:val="00C82C5D"/>
    <w:rsid w:val="00C82DC1"/>
    <w:rsid w:val="00C8351D"/>
    <w:rsid w:val="00C839EA"/>
    <w:rsid w:val="00C83DB0"/>
    <w:rsid w:val="00C90703"/>
    <w:rsid w:val="00C90EF8"/>
    <w:rsid w:val="00C92090"/>
    <w:rsid w:val="00C94496"/>
    <w:rsid w:val="00C946F5"/>
    <w:rsid w:val="00C95E75"/>
    <w:rsid w:val="00C9659D"/>
    <w:rsid w:val="00C96DA9"/>
    <w:rsid w:val="00CA185E"/>
    <w:rsid w:val="00CA234C"/>
    <w:rsid w:val="00CA24E3"/>
    <w:rsid w:val="00CA265A"/>
    <w:rsid w:val="00CA6EEB"/>
    <w:rsid w:val="00CA6F93"/>
    <w:rsid w:val="00CA7FF1"/>
    <w:rsid w:val="00CB3516"/>
    <w:rsid w:val="00CB492A"/>
    <w:rsid w:val="00CB6897"/>
    <w:rsid w:val="00CB69F2"/>
    <w:rsid w:val="00CC0247"/>
    <w:rsid w:val="00CC2024"/>
    <w:rsid w:val="00CC4014"/>
    <w:rsid w:val="00CC4393"/>
    <w:rsid w:val="00CC439C"/>
    <w:rsid w:val="00CC4EF1"/>
    <w:rsid w:val="00CC73CE"/>
    <w:rsid w:val="00CC7F93"/>
    <w:rsid w:val="00CD0350"/>
    <w:rsid w:val="00CD0A4A"/>
    <w:rsid w:val="00CD0C51"/>
    <w:rsid w:val="00CD1284"/>
    <w:rsid w:val="00CD151E"/>
    <w:rsid w:val="00CD6E93"/>
    <w:rsid w:val="00CD7808"/>
    <w:rsid w:val="00CE06C8"/>
    <w:rsid w:val="00CE09A5"/>
    <w:rsid w:val="00CE13A5"/>
    <w:rsid w:val="00CE2C9F"/>
    <w:rsid w:val="00CE48D3"/>
    <w:rsid w:val="00CE5F2D"/>
    <w:rsid w:val="00CE70C9"/>
    <w:rsid w:val="00CF00DA"/>
    <w:rsid w:val="00CF07F5"/>
    <w:rsid w:val="00CF08D7"/>
    <w:rsid w:val="00CF2BC1"/>
    <w:rsid w:val="00CF4A63"/>
    <w:rsid w:val="00CF4AE9"/>
    <w:rsid w:val="00CF5245"/>
    <w:rsid w:val="00CF5D51"/>
    <w:rsid w:val="00CF6F68"/>
    <w:rsid w:val="00D01DE9"/>
    <w:rsid w:val="00D02399"/>
    <w:rsid w:val="00D02728"/>
    <w:rsid w:val="00D0285C"/>
    <w:rsid w:val="00D03293"/>
    <w:rsid w:val="00D03B3E"/>
    <w:rsid w:val="00D03EA3"/>
    <w:rsid w:val="00D0442D"/>
    <w:rsid w:val="00D047C1"/>
    <w:rsid w:val="00D0587B"/>
    <w:rsid w:val="00D0650E"/>
    <w:rsid w:val="00D0754A"/>
    <w:rsid w:val="00D10AC5"/>
    <w:rsid w:val="00D1364D"/>
    <w:rsid w:val="00D139E8"/>
    <w:rsid w:val="00D14347"/>
    <w:rsid w:val="00D16863"/>
    <w:rsid w:val="00D16A4A"/>
    <w:rsid w:val="00D213AA"/>
    <w:rsid w:val="00D21AAA"/>
    <w:rsid w:val="00D21F86"/>
    <w:rsid w:val="00D235FF"/>
    <w:rsid w:val="00D23FCB"/>
    <w:rsid w:val="00D24426"/>
    <w:rsid w:val="00D24592"/>
    <w:rsid w:val="00D24A4E"/>
    <w:rsid w:val="00D253BF"/>
    <w:rsid w:val="00D260E3"/>
    <w:rsid w:val="00D27720"/>
    <w:rsid w:val="00D30D6E"/>
    <w:rsid w:val="00D323ED"/>
    <w:rsid w:val="00D344C1"/>
    <w:rsid w:val="00D3544C"/>
    <w:rsid w:val="00D35E3B"/>
    <w:rsid w:val="00D4014B"/>
    <w:rsid w:val="00D412E4"/>
    <w:rsid w:val="00D41702"/>
    <w:rsid w:val="00D421E7"/>
    <w:rsid w:val="00D428C5"/>
    <w:rsid w:val="00D434CF"/>
    <w:rsid w:val="00D45DED"/>
    <w:rsid w:val="00D46B38"/>
    <w:rsid w:val="00D46B89"/>
    <w:rsid w:val="00D50D8C"/>
    <w:rsid w:val="00D5220D"/>
    <w:rsid w:val="00D54931"/>
    <w:rsid w:val="00D56024"/>
    <w:rsid w:val="00D562F7"/>
    <w:rsid w:val="00D600D1"/>
    <w:rsid w:val="00D63FC8"/>
    <w:rsid w:val="00D67423"/>
    <w:rsid w:val="00D67CBC"/>
    <w:rsid w:val="00D70502"/>
    <w:rsid w:val="00D709B0"/>
    <w:rsid w:val="00D72296"/>
    <w:rsid w:val="00D72857"/>
    <w:rsid w:val="00D74205"/>
    <w:rsid w:val="00D74AB5"/>
    <w:rsid w:val="00D762F7"/>
    <w:rsid w:val="00D76D68"/>
    <w:rsid w:val="00D76DBB"/>
    <w:rsid w:val="00D77B29"/>
    <w:rsid w:val="00D803D9"/>
    <w:rsid w:val="00D809D8"/>
    <w:rsid w:val="00D8161B"/>
    <w:rsid w:val="00D819D0"/>
    <w:rsid w:val="00D836BD"/>
    <w:rsid w:val="00D8371B"/>
    <w:rsid w:val="00D87901"/>
    <w:rsid w:val="00D921EE"/>
    <w:rsid w:val="00D935C0"/>
    <w:rsid w:val="00D938B0"/>
    <w:rsid w:val="00D93F0B"/>
    <w:rsid w:val="00D94887"/>
    <w:rsid w:val="00D95090"/>
    <w:rsid w:val="00D97215"/>
    <w:rsid w:val="00DA09B2"/>
    <w:rsid w:val="00DA0D32"/>
    <w:rsid w:val="00DA24EC"/>
    <w:rsid w:val="00DA34FF"/>
    <w:rsid w:val="00DA4017"/>
    <w:rsid w:val="00DA4BBA"/>
    <w:rsid w:val="00DA5F97"/>
    <w:rsid w:val="00DA6A75"/>
    <w:rsid w:val="00DA706C"/>
    <w:rsid w:val="00DB018F"/>
    <w:rsid w:val="00DB23A1"/>
    <w:rsid w:val="00DB61EC"/>
    <w:rsid w:val="00DB6A04"/>
    <w:rsid w:val="00DB6CC3"/>
    <w:rsid w:val="00DC068E"/>
    <w:rsid w:val="00DC2C6E"/>
    <w:rsid w:val="00DC2DEF"/>
    <w:rsid w:val="00DC3EB8"/>
    <w:rsid w:val="00DC417A"/>
    <w:rsid w:val="00DC4B36"/>
    <w:rsid w:val="00DC615F"/>
    <w:rsid w:val="00DC6D08"/>
    <w:rsid w:val="00DC7870"/>
    <w:rsid w:val="00DD1E05"/>
    <w:rsid w:val="00DD2E8E"/>
    <w:rsid w:val="00DD34BC"/>
    <w:rsid w:val="00DD4032"/>
    <w:rsid w:val="00DD4495"/>
    <w:rsid w:val="00DD4D57"/>
    <w:rsid w:val="00DD5CA2"/>
    <w:rsid w:val="00DE0453"/>
    <w:rsid w:val="00DE3C12"/>
    <w:rsid w:val="00DE58C2"/>
    <w:rsid w:val="00DE637C"/>
    <w:rsid w:val="00DF0A06"/>
    <w:rsid w:val="00DF0F6B"/>
    <w:rsid w:val="00DF14D4"/>
    <w:rsid w:val="00DF39D0"/>
    <w:rsid w:val="00DF48F1"/>
    <w:rsid w:val="00DF4C90"/>
    <w:rsid w:val="00DF5403"/>
    <w:rsid w:val="00DF7993"/>
    <w:rsid w:val="00E01C83"/>
    <w:rsid w:val="00E026DE"/>
    <w:rsid w:val="00E03007"/>
    <w:rsid w:val="00E03A83"/>
    <w:rsid w:val="00E06293"/>
    <w:rsid w:val="00E11CF7"/>
    <w:rsid w:val="00E11D4C"/>
    <w:rsid w:val="00E1344D"/>
    <w:rsid w:val="00E1373F"/>
    <w:rsid w:val="00E1380A"/>
    <w:rsid w:val="00E13DD9"/>
    <w:rsid w:val="00E178A2"/>
    <w:rsid w:val="00E21C33"/>
    <w:rsid w:val="00E22825"/>
    <w:rsid w:val="00E22FEC"/>
    <w:rsid w:val="00E24304"/>
    <w:rsid w:val="00E251E1"/>
    <w:rsid w:val="00E26315"/>
    <w:rsid w:val="00E26752"/>
    <w:rsid w:val="00E26ED1"/>
    <w:rsid w:val="00E274E1"/>
    <w:rsid w:val="00E309C1"/>
    <w:rsid w:val="00E31B5B"/>
    <w:rsid w:val="00E328A2"/>
    <w:rsid w:val="00E3466C"/>
    <w:rsid w:val="00E356BC"/>
    <w:rsid w:val="00E35815"/>
    <w:rsid w:val="00E3593F"/>
    <w:rsid w:val="00E35EE6"/>
    <w:rsid w:val="00E36FF0"/>
    <w:rsid w:val="00E40148"/>
    <w:rsid w:val="00E40286"/>
    <w:rsid w:val="00E402B2"/>
    <w:rsid w:val="00E4123B"/>
    <w:rsid w:val="00E419E1"/>
    <w:rsid w:val="00E41B96"/>
    <w:rsid w:val="00E41E82"/>
    <w:rsid w:val="00E455E2"/>
    <w:rsid w:val="00E4761C"/>
    <w:rsid w:val="00E50AC6"/>
    <w:rsid w:val="00E51767"/>
    <w:rsid w:val="00E52048"/>
    <w:rsid w:val="00E5212B"/>
    <w:rsid w:val="00E53B0A"/>
    <w:rsid w:val="00E53C4D"/>
    <w:rsid w:val="00E5420D"/>
    <w:rsid w:val="00E55716"/>
    <w:rsid w:val="00E55E0D"/>
    <w:rsid w:val="00E5675B"/>
    <w:rsid w:val="00E57E3B"/>
    <w:rsid w:val="00E6000B"/>
    <w:rsid w:val="00E60D1A"/>
    <w:rsid w:val="00E60D2E"/>
    <w:rsid w:val="00E61BE4"/>
    <w:rsid w:val="00E62010"/>
    <w:rsid w:val="00E63054"/>
    <w:rsid w:val="00E635A6"/>
    <w:rsid w:val="00E651C7"/>
    <w:rsid w:val="00E66290"/>
    <w:rsid w:val="00E71280"/>
    <w:rsid w:val="00E722F6"/>
    <w:rsid w:val="00E7387D"/>
    <w:rsid w:val="00E7625A"/>
    <w:rsid w:val="00E8119C"/>
    <w:rsid w:val="00E81F71"/>
    <w:rsid w:val="00E82A1B"/>
    <w:rsid w:val="00E84E78"/>
    <w:rsid w:val="00E86150"/>
    <w:rsid w:val="00E8695A"/>
    <w:rsid w:val="00E87385"/>
    <w:rsid w:val="00E9114B"/>
    <w:rsid w:val="00E91340"/>
    <w:rsid w:val="00E91E7A"/>
    <w:rsid w:val="00E9404C"/>
    <w:rsid w:val="00E9523D"/>
    <w:rsid w:val="00E965DB"/>
    <w:rsid w:val="00E96685"/>
    <w:rsid w:val="00E97216"/>
    <w:rsid w:val="00E973BD"/>
    <w:rsid w:val="00EA07DD"/>
    <w:rsid w:val="00EA0D8A"/>
    <w:rsid w:val="00EA212D"/>
    <w:rsid w:val="00EA5171"/>
    <w:rsid w:val="00EB0140"/>
    <w:rsid w:val="00EB11D1"/>
    <w:rsid w:val="00EB152B"/>
    <w:rsid w:val="00EB1897"/>
    <w:rsid w:val="00EB1EEB"/>
    <w:rsid w:val="00EB4282"/>
    <w:rsid w:val="00EB4EEC"/>
    <w:rsid w:val="00EB651D"/>
    <w:rsid w:val="00EB6F7B"/>
    <w:rsid w:val="00EC269C"/>
    <w:rsid w:val="00EC595B"/>
    <w:rsid w:val="00EC63DB"/>
    <w:rsid w:val="00EC7076"/>
    <w:rsid w:val="00EC7F3B"/>
    <w:rsid w:val="00ED0427"/>
    <w:rsid w:val="00ED0766"/>
    <w:rsid w:val="00ED0B4F"/>
    <w:rsid w:val="00ED1407"/>
    <w:rsid w:val="00ED1BB1"/>
    <w:rsid w:val="00ED1FFC"/>
    <w:rsid w:val="00ED2140"/>
    <w:rsid w:val="00ED4A48"/>
    <w:rsid w:val="00ED69B0"/>
    <w:rsid w:val="00EE18D1"/>
    <w:rsid w:val="00EE4682"/>
    <w:rsid w:val="00EE480B"/>
    <w:rsid w:val="00EE62C0"/>
    <w:rsid w:val="00EE6936"/>
    <w:rsid w:val="00EE7204"/>
    <w:rsid w:val="00EE7965"/>
    <w:rsid w:val="00EF0377"/>
    <w:rsid w:val="00EF072D"/>
    <w:rsid w:val="00EF1531"/>
    <w:rsid w:val="00EF32E3"/>
    <w:rsid w:val="00EF382C"/>
    <w:rsid w:val="00EF405C"/>
    <w:rsid w:val="00EF4542"/>
    <w:rsid w:val="00EF582E"/>
    <w:rsid w:val="00EF6CA8"/>
    <w:rsid w:val="00EF76A7"/>
    <w:rsid w:val="00F0164C"/>
    <w:rsid w:val="00F01788"/>
    <w:rsid w:val="00F03C38"/>
    <w:rsid w:val="00F064DF"/>
    <w:rsid w:val="00F06E16"/>
    <w:rsid w:val="00F10140"/>
    <w:rsid w:val="00F1117A"/>
    <w:rsid w:val="00F15F06"/>
    <w:rsid w:val="00F166A6"/>
    <w:rsid w:val="00F16DA2"/>
    <w:rsid w:val="00F23099"/>
    <w:rsid w:val="00F23FB6"/>
    <w:rsid w:val="00F241B6"/>
    <w:rsid w:val="00F25F64"/>
    <w:rsid w:val="00F2776E"/>
    <w:rsid w:val="00F27EA0"/>
    <w:rsid w:val="00F30532"/>
    <w:rsid w:val="00F30917"/>
    <w:rsid w:val="00F311A3"/>
    <w:rsid w:val="00F3175D"/>
    <w:rsid w:val="00F31CC2"/>
    <w:rsid w:val="00F32805"/>
    <w:rsid w:val="00F32E88"/>
    <w:rsid w:val="00F34283"/>
    <w:rsid w:val="00F35F6E"/>
    <w:rsid w:val="00F37C38"/>
    <w:rsid w:val="00F41F4B"/>
    <w:rsid w:val="00F45675"/>
    <w:rsid w:val="00F47607"/>
    <w:rsid w:val="00F47E37"/>
    <w:rsid w:val="00F50D7A"/>
    <w:rsid w:val="00F51BDD"/>
    <w:rsid w:val="00F51ECC"/>
    <w:rsid w:val="00F53899"/>
    <w:rsid w:val="00F554DB"/>
    <w:rsid w:val="00F55617"/>
    <w:rsid w:val="00F57C17"/>
    <w:rsid w:val="00F57EAB"/>
    <w:rsid w:val="00F603C2"/>
    <w:rsid w:val="00F61A69"/>
    <w:rsid w:val="00F61B3C"/>
    <w:rsid w:val="00F62ACE"/>
    <w:rsid w:val="00F64157"/>
    <w:rsid w:val="00F6494A"/>
    <w:rsid w:val="00F654C8"/>
    <w:rsid w:val="00F66589"/>
    <w:rsid w:val="00F66BCB"/>
    <w:rsid w:val="00F67FD4"/>
    <w:rsid w:val="00F700E7"/>
    <w:rsid w:val="00F712B1"/>
    <w:rsid w:val="00F71461"/>
    <w:rsid w:val="00F72941"/>
    <w:rsid w:val="00F72E77"/>
    <w:rsid w:val="00F72F06"/>
    <w:rsid w:val="00F73357"/>
    <w:rsid w:val="00F743A9"/>
    <w:rsid w:val="00F746F0"/>
    <w:rsid w:val="00F76A22"/>
    <w:rsid w:val="00F77C03"/>
    <w:rsid w:val="00F830E4"/>
    <w:rsid w:val="00F866AD"/>
    <w:rsid w:val="00F86947"/>
    <w:rsid w:val="00F869B6"/>
    <w:rsid w:val="00F86AB1"/>
    <w:rsid w:val="00F86BAF"/>
    <w:rsid w:val="00F87B5C"/>
    <w:rsid w:val="00F87F97"/>
    <w:rsid w:val="00F928ED"/>
    <w:rsid w:val="00F93322"/>
    <w:rsid w:val="00F96325"/>
    <w:rsid w:val="00F96CA5"/>
    <w:rsid w:val="00F97622"/>
    <w:rsid w:val="00FA0551"/>
    <w:rsid w:val="00FB0649"/>
    <w:rsid w:val="00FB2604"/>
    <w:rsid w:val="00FB3BD5"/>
    <w:rsid w:val="00FB6BBE"/>
    <w:rsid w:val="00FB7449"/>
    <w:rsid w:val="00FC008D"/>
    <w:rsid w:val="00FC0A4D"/>
    <w:rsid w:val="00FC30C1"/>
    <w:rsid w:val="00FC3599"/>
    <w:rsid w:val="00FC374C"/>
    <w:rsid w:val="00FC6E9D"/>
    <w:rsid w:val="00FD0412"/>
    <w:rsid w:val="00FD2C19"/>
    <w:rsid w:val="00FD3E37"/>
    <w:rsid w:val="00FD6EEB"/>
    <w:rsid w:val="00FD777D"/>
    <w:rsid w:val="00FD795E"/>
    <w:rsid w:val="00FE0443"/>
    <w:rsid w:val="00FE219A"/>
    <w:rsid w:val="00FE54F0"/>
    <w:rsid w:val="00FE5A2D"/>
    <w:rsid w:val="00FF0430"/>
    <w:rsid w:val="00FF1372"/>
    <w:rsid w:val="00FF1635"/>
    <w:rsid w:val="00FF1D36"/>
    <w:rsid w:val="00FF2270"/>
    <w:rsid w:val="00FF46D7"/>
    <w:rsid w:val="00FF4CF7"/>
    <w:rsid w:val="00FF6177"/>
    <w:rsid w:val="01201A93"/>
    <w:rsid w:val="012670EA"/>
    <w:rsid w:val="019677DA"/>
    <w:rsid w:val="01CA5F17"/>
    <w:rsid w:val="01EC1460"/>
    <w:rsid w:val="021533E7"/>
    <w:rsid w:val="026800D2"/>
    <w:rsid w:val="02955955"/>
    <w:rsid w:val="02F0175E"/>
    <w:rsid w:val="03070E4F"/>
    <w:rsid w:val="03CF3A69"/>
    <w:rsid w:val="04602A89"/>
    <w:rsid w:val="04793A64"/>
    <w:rsid w:val="04A416F2"/>
    <w:rsid w:val="04D31337"/>
    <w:rsid w:val="051C3CDC"/>
    <w:rsid w:val="05212F78"/>
    <w:rsid w:val="05862E27"/>
    <w:rsid w:val="05F364C1"/>
    <w:rsid w:val="0614591D"/>
    <w:rsid w:val="0633661D"/>
    <w:rsid w:val="067508F8"/>
    <w:rsid w:val="068536E4"/>
    <w:rsid w:val="068A4EAF"/>
    <w:rsid w:val="06F061D0"/>
    <w:rsid w:val="07554285"/>
    <w:rsid w:val="0781221B"/>
    <w:rsid w:val="088968DD"/>
    <w:rsid w:val="08955281"/>
    <w:rsid w:val="08BD0361"/>
    <w:rsid w:val="08FD674C"/>
    <w:rsid w:val="092A39E0"/>
    <w:rsid w:val="09415FB2"/>
    <w:rsid w:val="095D253F"/>
    <w:rsid w:val="096670C6"/>
    <w:rsid w:val="09D319E0"/>
    <w:rsid w:val="0A407C74"/>
    <w:rsid w:val="0AC94A99"/>
    <w:rsid w:val="0ACE0652"/>
    <w:rsid w:val="0B4A25BC"/>
    <w:rsid w:val="0CA31E4D"/>
    <w:rsid w:val="0CCF16F0"/>
    <w:rsid w:val="0CEE4DF7"/>
    <w:rsid w:val="0D703BC7"/>
    <w:rsid w:val="0D963ECD"/>
    <w:rsid w:val="0D9768D9"/>
    <w:rsid w:val="0D9D2702"/>
    <w:rsid w:val="0DC71E27"/>
    <w:rsid w:val="0E194246"/>
    <w:rsid w:val="0E7B7007"/>
    <w:rsid w:val="0EB208AB"/>
    <w:rsid w:val="0FA70A13"/>
    <w:rsid w:val="0FF37E07"/>
    <w:rsid w:val="102549AC"/>
    <w:rsid w:val="102E07B4"/>
    <w:rsid w:val="1054157E"/>
    <w:rsid w:val="10671B62"/>
    <w:rsid w:val="106D2640"/>
    <w:rsid w:val="108647BE"/>
    <w:rsid w:val="10923340"/>
    <w:rsid w:val="10A06503"/>
    <w:rsid w:val="10D206F5"/>
    <w:rsid w:val="112B3E67"/>
    <w:rsid w:val="1182096D"/>
    <w:rsid w:val="11A87090"/>
    <w:rsid w:val="127F0704"/>
    <w:rsid w:val="128D50BE"/>
    <w:rsid w:val="12973ED8"/>
    <w:rsid w:val="12BB4B85"/>
    <w:rsid w:val="12CC51A7"/>
    <w:rsid w:val="13051255"/>
    <w:rsid w:val="136F4096"/>
    <w:rsid w:val="137E246F"/>
    <w:rsid w:val="1384206A"/>
    <w:rsid w:val="13FF59CA"/>
    <w:rsid w:val="14292D22"/>
    <w:rsid w:val="15121A08"/>
    <w:rsid w:val="15157F5E"/>
    <w:rsid w:val="155C7034"/>
    <w:rsid w:val="15FA73A0"/>
    <w:rsid w:val="1606676F"/>
    <w:rsid w:val="16185892"/>
    <w:rsid w:val="16380864"/>
    <w:rsid w:val="16636324"/>
    <w:rsid w:val="16925B8A"/>
    <w:rsid w:val="16B3179B"/>
    <w:rsid w:val="16E32CDB"/>
    <w:rsid w:val="16E63C52"/>
    <w:rsid w:val="16EA2C3C"/>
    <w:rsid w:val="16EC1A73"/>
    <w:rsid w:val="16FC296F"/>
    <w:rsid w:val="16FF4681"/>
    <w:rsid w:val="1708681E"/>
    <w:rsid w:val="17173305"/>
    <w:rsid w:val="1745083A"/>
    <w:rsid w:val="175409D5"/>
    <w:rsid w:val="17714B81"/>
    <w:rsid w:val="179B5D3A"/>
    <w:rsid w:val="17FA16EB"/>
    <w:rsid w:val="18495740"/>
    <w:rsid w:val="18981C24"/>
    <w:rsid w:val="18C26AAD"/>
    <w:rsid w:val="190C2852"/>
    <w:rsid w:val="19657847"/>
    <w:rsid w:val="19694B2F"/>
    <w:rsid w:val="19694CBC"/>
    <w:rsid w:val="19ED7D02"/>
    <w:rsid w:val="19EE1695"/>
    <w:rsid w:val="1A261877"/>
    <w:rsid w:val="1ABA2925"/>
    <w:rsid w:val="1AE57624"/>
    <w:rsid w:val="1B2E5D60"/>
    <w:rsid w:val="1B445AB7"/>
    <w:rsid w:val="1B6861F2"/>
    <w:rsid w:val="1B8C3825"/>
    <w:rsid w:val="1BF12377"/>
    <w:rsid w:val="1C235A90"/>
    <w:rsid w:val="1C58538F"/>
    <w:rsid w:val="1C686CE3"/>
    <w:rsid w:val="1C8D02F6"/>
    <w:rsid w:val="1CB30131"/>
    <w:rsid w:val="1D0B1216"/>
    <w:rsid w:val="1D1B5442"/>
    <w:rsid w:val="1D3A52C0"/>
    <w:rsid w:val="1D6C28D4"/>
    <w:rsid w:val="1D7442D3"/>
    <w:rsid w:val="1DCC4A38"/>
    <w:rsid w:val="1E5E1453"/>
    <w:rsid w:val="1E5E181A"/>
    <w:rsid w:val="1EB24835"/>
    <w:rsid w:val="1EC45A0A"/>
    <w:rsid w:val="1EDE3B19"/>
    <w:rsid w:val="1F335FB0"/>
    <w:rsid w:val="1F3A4035"/>
    <w:rsid w:val="1FA334EF"/>
    <w:rsid w:val="1FF92002"/>
    <w:rsid w:val="20C462AC"/>
    <w:rsid w:val="211A17BB"/>
    <w:rsid w:val="21AC2A4B"/>
    <w:rsid w:val="21F52250"/>
    <w:rsid w:val="22532431"/>
    <w:rsid w:val="22EC5B0C"/>
    <w:rsid w:val="238002CA"/>
    <w:rsid w:val="24A106B2"/>
    <w:rsid w:val="24B473C6"/>
    <w:rsid w:val="24E15D20"/>
    <w:rsid w:val="24F225E5"/>
    <w:rsid w:val="25495A04"/>
    <w:rsid w:val="25565941"/>
    <w:rsid w:val="25875AFA"/>
    <w:rsid w:val="258D7F7E"/>
    <w:rsid w:val="25A04736"/>
    <w:rsid w:val="26282E39"/>
    <w:rsid w:val="2678030C"/>
    <w:rsid w:val="268043FF"/>
    <w:rsid w:val="26B40D36"/>
    <w:rsid w:val="2733776B"/>
    <w:rsid w:val="27620B32"/>
    <w:rsid w:val="28864425"/>
    <w:rsid w:val="29097A01"/>
    <w:rsid w:val="2944405C"/>
    <w:rsid w:val="29C11017"/>
    <w:rsid w:val="29DC34A8"/>
    <w:rsid w:val="2A0C7F6A"/>
    <w:rsid w:val="2A1D495C"/>
    <w:rsid w:val="2A326BD5"/>
    <w:rsid w:val="2B572416"/>
    <w:rsid w:val="2B6A7DF9"/>
    <w:rsid w:val="2B844FB6"/>
    <w:rsid w:val="2B9E76FA"/>
    <w:rsid w:val="2C3C1F94"/>
    <w:rsid w:val="2C7C6912"/>
    <w:rsid w:val="2C7E75D4"/>
    <w:rsid w:val="2CDF4BB4"/>
    <w:rsid w:val="2D6230D5"/>
    <w:rsid w:val="2D686211"/>
    <w:rsid w:val="2D8A4CE1"/>
    <w:rsid w:val="2DA21723"/>
    <w:rsid w:val="2DCF6290"/>
    <w:rsid w:val="2DF61FD0"/>
    <w:rsid w:val="2E64436B"/>
    <w:rsid w:val="2EAA7F2A"/>
    <w:rsid w:val="2EBC2AB0"/>
    <w:rsid w:val="2F574F0E"/>
    <w:rsid w:val="2F7800F2"/>
    <w:rsid w:val="2FA311B4"/>
    <w:rsid w:val="2FD7614D"/>
    <w:rsid w:val="2FF15D31"/>
    <w:rsid w:val="3166141B"/>
    <w:rsid w:val="31A3127F"/>
    <w:rsid w:val="324C6101"/>
    <w:rsid w:val="32930B88"/>
    <w:rsid w:val="32E12180"/>
    <w:rsid w:val="332C1A8F"/>
    <w:rsid w:val="33473FB7"/>
    <w:rsid w:val="335214F5"/>
    <w:rsid w:val="33D10D9F"/>
    <w:rsid w:val="33F526BA"/>
    <w:rsid w:val="3419573F"/>
    <w:rsid w:val="347902ED"/>
    <w:rsid w:val="35C8466C"/>
    <w:rsid w:val="35FC1CE7"/>
    <w:rsid w:val="3602502C"/>
    <w:rsid w:val="3660074D"/>
    <w:rsid w:val="36F82FBB"/>
    <w:rsid w:val="36FA3427"/>
    <w:rsid w:val="371018BA"/>
    <w:rsid w:val="37257D4A"/>
    <w:rsid w:val="37335BA4"/>
    <w:rsid w:val="37353608"/>
    <w:rsid w:val="37445638"/>
    <w:rsid w:val="376F2C8B"/>
    <w:rsid w:val="38157AA4"/>
    <w:rsid w:val="38DE43E3"/>
    <w:rsid w:val="38E47BEE"/>
    <w:rsid w:val="38E6359E"/>
    <w:rsid w:val="39166B64"/>
    <w:rsid w:val="39961D49"/>
    <w:rsid w:val="39D013C6"/>
    <w:rsid w:val="3A064DE8"/>
    <w:rsid w:val="3A9F0A9E"/>
    <w:rsid w:val="3AE93BD9"/>
    <w:rsid w:val="3B0A24EB"/>
    <w:rsid w:val="3B4A17CD"/>
    <w:rsid w:val="3B4E64AB"/>
    <w:rsid w:val="3B653FF3"/>
    <w:rsid w:val="3B6B77F8"/>
    <w:rsid w:val="3BA3301A"/>
    <w:rsid w:val="3BC75621"/>
    <w:rsid w:val="3BD00FAF"/>
    <w:rsid w:val="3C0E64F6"/>
    <w:rsid w:val="3C316572"/>
    <w:rsid w:val="3C4E0575"/>
    <w:rsid w:val="3C8D2BE8"/>
    <w:rsid w:val="3CA54D8C"/>
    <w:rsid w:val="3CB75A2A"/>
    <w:rsid w:val="3CE872DC"/>
    <w:rsid w:val="3D2A3838"/>
    <w:rsid w:val="3D802FEC"/>
    <w:rsid w:val="3D947713"/>
    <w:rsid w:val="3EE16EA9"/>
    <w:rsid w:val="3EE50469"/>
    <w:rsid w:val="3EE555D9"/>
    <w:rsid w:val="3F85767D"/>
    <w:rsid w:val="3FB13A48"/>
    <w:rsid w:val="3FC70145"/>
    <w:rsid w:val="3FE73C1D"/>
    <w:rsid w:val="40081550"/>
    <w:rsid w:val="40273BD3"/>
    <w:rsid w:val="40E70C87"/>
    <w:rsid w:val="40EB2FA7"/>
    <w:rsid w:val="410E36F5"/>
    <w:rsid w:val="413169EC"/>
    <w:rsid w:val="413C6F34"/>
    <w:rsid w:val="4144132E"/>
    <w:rsid w:val="41591737"/>
    <w:rsid w:val="41F54250"/>
    <w:rsid w:val="42943384"/>
    <w:rsid w:val="429F227D"/>
    <w:rsid w:val="42D40D1E"/>
    <w:rsid w:val="433A1A73"/>
    <w:rsid w:val="433D2460"/>
    <w:rsid w:val="43421586"/>
    <w:rsid w:val="43E431AB"/>
    <w:rsid w:val="440336A2"/>
    <w:rsid w:val="44155894"/>
    <w:rsid w:val="442A39AC"/>
    <w:rsid w:val="445826E4"/>
    <w:rsid w:val="44860530"/>
    <w:rsid w:val="448F3CE8"/>
    <w:rsid w:val="44974F2C"/>
    <w:rsid w:val="44A142A6"/>
    <w:rsid w:val="44BF0352"/>
    <w:rsid w:val="44DC50C3"/>
    <w:rsid w:val="45223857"/>
    <w:rsid w:val="453D1CD5"/>
    <w:rsid w:val="455F7AA2"/>
    <w:rsid w:val="456552E9"/>
    <w:rsid w:val="45CF6F57"/>
    <w:rsid w:val="45D65FB6"/>
    <w:rsid w:val="45E13340"/>
    <w:rsid w:val="45E86919"/>
    <w:rsid w:val="45F428E0"/>
    <w:rsid w:val="4642364B"/>
    <w:rsid w:val="46A264A5"/>
    <w:rsid w:val="46CE340F"/>
    <w:rsid w:val="477143A2"/>
    <w:rsid w:val="47A125F4"/>
    <w:rsid w:val="47E3215F"/>
    <w:rsid w:val="484653A1"/>
    <w:rsid w:val="48474F49"/>
    <w:rsid w:val="48496D1D"/>
    <w:rsid w:val="4883615D"/>
    <w:rsid w:val="48AA7310"/>
    <w:rsid w:val="49200D46"/>
    <w:rsid w:val="494A7D22"/>
    <w:rsid w:val="4985549E"/>
    <w:rsid w:val="4A1469E0"/>
    <w:rsid w:val="4A427EFD"/>
    <w:rsid w:val="4A453C17"/>
    <w:rsid w:val="4A4A3559"/>
    <w:rsid w:val="4A7B35D0"/>
    <w:rsid w:val="4A9F199E"/>
    <w:rsid w:val="4ABB405D"/>
    <w:rsid w:val="4ABC3A8A"/>
    <w:rsid w:val="4AE50A49"/>
    <w:rsid w:val="4AEA2270"/>
    <w:rsid w:val="4B3A7067"/>
    <w:rsid w:val="4B87307C"/>
    <w:rsid w:val="4BFE405D"/>
    <w:rsid w:val="4C6764CD"/>
    <w:rsid w:val="4C8F3363"/>
    <w:rsid w:val="4CD174D7"/>
    <w:rsid w:val="4D9D560B"/>
    <w:rsid w:val="4DE82D2A"/>
    <w:rsid w:val="4E1A3421"/>
    <w:rsid w:val="4E717518"/>
    <w:rsid w:val="4E8834D1"/>
    <w:rsid w:val="4ECB2FEB"/>
    <w:rsid w:val="4F5A05A1"/>
    <w:rsid w:val="4F6A7FDC"/>
    <w:rsid w:val="4F701987"/>
    <w:rsid w:val="501716A5"/>
    <w:rsid w:val="50783FB9"/>
    <w:rsid w:val="50B9564C"/>
    <w:rsid w:val="50BF5EB8"/>
    <w:rsid w:val="5137334E"/>
    <w:rsid w:val="51960CEF"/>
    <w:rsid w:val="51AA0627"/>
    <w:rsid w:val="51D17E6E"/>
    <w:rsid w:val="5208399B"/>
    <w:rsid w:val="523A26D7"/>
    <w:rsid w:val="5294530C"/>
    <w:rsid w:val="52BF44D5"/>
    <w:rsid w:val="52C9104E"/>
    <w:rsid w:val="532C0CEE"/>
    <w:rsid w:val="53360094"/>
    <w:rsid w:val="536C0AA0"/>
    <w:rsid w:val="5388300E"/>
    <w:rsid w:val="540013E0"/>
    <w:rsid w:val="54A159A2"/>
    <w:rsid w:val="54AA0D3A"/>
    <w:rsid w:val="54D51B2F"/>
    <w:rsid w:val="554D2A7F"/>
    <w:rsid w:val="5559450E"/>
    <w:rsid w:val="559E63C4"/>
    <w:rsid w:val="560A28EB"/>
    <w:rsid w:val="560C332E"/>
    <w:rsid w:val="56360FFF"/>
    <w:rsid w:val="56C1236A"/>
    <w:rsid w:val="56F71203"/>
    <w:rsid w:val="57580F21"/>
    <w:rsid w:val="57A90A3C"/>
    <w:rsid w:val="57EC429F"/>
    <w:rsid w:val="58203BFD"/>
    <w:rsid w:val="58A734BF"/>
    <w:rsid w:val="58B378E8"/>
    <w:rsid w:val="58F31C0E"/>
    <w:rsid w:val="58F87F70"/>
    <w:rsid w:val="590E5872"/>
    <w:rsid w:val="59685848"/>
    <w:rsid w:val="59825D9E"/>
    <w:rsid w:val="5A166E71"/>
    <w:rsid w:val="5AC02939"/>
    <w:rsid w:val="5AC275AD"/>
    <w:rsid w:val="5B005E9D"/>
    <w:rsid w:val="5B0A7402"/>
    <w:rsid w:val="5B1F728F"/>
    <w:rsid w:val="5B661C01"/>
    <w:rsid w:val="5BA46285"/>
    <w:rsid w:val="5BF8682E"/>
    <w:rsid w:val="5C7E2EAE"/>
    <w:rsid w:val="5C950521"/>
    <w:rsid w:val="5CA149A3"/>
    <w:rsid w:val="5CC10BB9"/>
    <w:rsid w:val="5D1977B5"/>
    <w:rsid w:val="5D1B3594"/>
    <w:rsid w:val="5D9B439C"/>
    <w:rsid w:val="5DA27E58"/>
    <w:rsid w:val="5DE55FC8"/>
    <w:rsid w:val="5E1B5A4C"/>
    <w:rsid w:val="5ED84CB0"/>
    <w:rsid w:val="5F21609C"/>
    <w:rsid w:val="5F3833E6"/>
    <w:rsid w:val="5F3930BB"/>
    <w:rsid w:val="5F610B0C"/>
    <w:rsid w:val="5FA43E80"/>
    <w:rsid w:val="5FB02CFF"/>
    <w:rsid w:val="5FE64BF0"/>
    <w:rsid w:val="5FEC55DC"/>
    <w:rsid w:val="5FF11F12"/>
    <w:rsid w:val="602A71D2"/>
    <w:rsid w:val="603504CF"/>
    <w:rsid w:val="60507CF8"/>
    <w:rsid w:val="605D3104"/>
    <w:rsid w:val="607641C6"/>
    <w:rsid w:val="608E095C"/>
    <w:rsid w:val="60A2320D"/>
    <w:rsid w:val="60D93783"/>
    <w:rsid w:val="60E115FE"/>
    <w:rsid w:val="611A2A5C"/>
    <w:rsid w:val="614E6EF1"/>
    <w:rsid w:val="61730705"/>
    <w:rsid w:val="620F5832"/>
    <w:rsid w:val="6265219D"/>
    <w:rsid w:val="62DC53D8"/>
    <w:rsid w:val="62EA6988"/>
    <w:rsid w:val="64123404"/>
    <w:rsid w:val="64413542"/>
    <w:rsid w:val="644545DB"/>
    <w:rsid w:val="648D1ADE"/>
    <w:rsid w:val="64B95E83"/>
    <w:rsid w:val="654A5CBA"/>
    <w:rsid w:val="657770F3"/>
    <w:rsid w:val="65EE47FE"/>
    <w:rsid w:val="660541EF"/>
    <w:rsid w:val="660E4374"/>
    <w:rsid w:val="66642658"/>
    <w:rsid w:val="66A57E76"/>
    <w:rsid w:val="66F5508C"/>
    <w:rsid w:val="674A7A4D"/>
    <w:rsid w:val="67B023C7"/>
    <w:rsid w:val="67CC08AA"/>
    <w:rsid w:val="68366370"/>
    <w:rsid w:val="689C2C37"/>
    <w:rsid w:val="68B74F75"/>
    <w:rsid w:val="68FD600A"/>
    <w:rsid w:val="6938470E"/>
    <w:rsid w:val="69C559C4"/>
    <w:rsid w:val="69F92C36"/>
    <w:rsid w:val="6AF6662F"/>
    <w:rsid w:val="6B050A74"/>
    <w:rsid w:val="6BDA469A"/>
    <w:rsid w:val="6BE06064"/>
    <w:rsid w:val="6C8163CC"/>
    <w:rsid w:val="6C8F6D04"/>
    <w:rsid w:val="6D5C3716"/>
    <w:rsid w:val="6D791F9F"/>
    <w:rsid w:val="6DD16B30"/>
    <w:rsid w:val="6E08580C"/>
    <w:rsid w:val="6E2F5354"/>
    <w:rsid w:val="6EB84BDD"/>
    <w:rsid w:val="6EDE7B79"/>
    <w:rsid w:val="6F9570C0"/>
    <w:rsid w:val="6F985C12"/>
    <w:rsid w:val="6FEC1DAE"/>
    <w:rsid w:val="6FEE42B2"/>
    <w:rsid w:val="715F554B"/>
    <w:rsid w:val="71967069"/>
    <w:rsid w:val="720938A5"/>
    <w:rsid w:val="72340393"/>
    <w:rsid w:val="7249173A"/>
    <w:rsid w:val="72650A1E"/>
    <w:rsid w:val="726A3E2F"/>
    <w:rsid w:val="731507DF"/>
    <w:rsid w:val="73247D7D"/>
    <w:rsid w:val="733749D9"/>
    <w:rsid w:val="73B8453F"/>
    <w:rsid w:val="73CA4735"/>
    <w:rsid w:val="74316FE6"/>
    <w:rsid w:val="74A52E74"/>
    <w:rsid w:val="74CD5800"/>
    <w:rsid w:val="75C7721A"/>
    <w:rsid w:val="75D51537"/>
    <w:rsid w:val="75D82B18"/>
    <w:rsid w:val="75DA08FB"/>
    <w:rsid w:val="75FC2F67"/>
    <w:rsid w:val="76BC5184"/>
    <w:rsid w:val="76BC5C6D"/>
    <w:rsid w:val="77174732"/>
    <w:rsid w:val="77286DD2"/>
    <w:rsid w:val="776A3D45"/>
    <w:rsid w:val="77894387"/>
    <w:rsid w:val="77CB2395"/>
    <w:rsid w:val="77E4568D"/>
    <w:rsid w:val="77EE6736"/>
    <w:rsid w:val="781E5960"/>
    <w:rsid w:val="784F55D0"/>
    <w:rsid w:val="78574AFF"/>
    <w:rsid w:val="78911745"/>
    <w:rsid w:val="78C0027C"/>
    <w:rsid w:val="7A1B4E27"/>
    <w:rsid w:val="7A1C14E2"/>
    <w:rsid w:val="7A7E1322"/>
    <w:rsid w:val="7AD02C89"/>
    <w:rsid w:val="7AE246F7"/>
    <w:rsid w:val="7B000457"/>
    <w:rsid w:val="7B9E0511"/>
    <w:rsid w:val="7BA834D3"/>
    <w:rsid w:val="7C6A5186"/>
    <w:rsid w:val="7CA10467"/>
    <w:rsid w:val="7CDF27FC"/>
    <w:rsid w:val="7D4D34C2"/>
    <w:rsid w:val="7D4F6073"/>
    <w:rsid w:val="7D747887"/>
    <w:rsid w:val="7DEE13E8"/>
    <w:rsid w:val="7E6645A8"/>
    <w:rsid w:val="7E676D4B"/>
    <w:rsid w:val="7EE36A72"/>
    <w:rsid w:val="7EF667A6"/>
    <w:rsid w:val="7F016B17"/>
    <w:rsid w:val="7F0644AF"/>
    <w:rsid w:val="7F0A0E9C"/>
    <w:rsid w:val="7FC44DEA"/>
    <w:rsid w:val="7FFB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adjustRightInd w:val="0"/>
      <w:spacing w:line="460" w:lineRule="exact"/>
      <w:jc w:val="left"/>
      <w:textAlignment w:val="baseline"/>
      <w:outlineLvl w:val="0"/>
    </w:pPr>
    <w:rPr>
      <w:b/>
      <w:kern w:val="44"/>
      <w:sz w:val="32"/>
      <w:szCs w:val="20"/>
    </w:rPr>
  </w:style>
  <w:style w:type="paragraph" w:styleId="4">
    <w:name w:val="heading 2"/>
    <w:basedOn w:val="1"/>
    <w:next w:val="1"/>
    <w:link w:val="53"/>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2">
    <w:name w:val="heading 3"/>
    <w:basedOn w:val="1"/>
    <w:next w:val="1"/>
    <w:link w:val="60"/>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260" w:hanging="420"/>
    </w:pPr>
    <w:rPr>
      <w:color w:val="000000"/>
      <w:kern w:val="1"/>
      <w:sz w:val="24"/>
      <w:szCs w:val="20"/>
    </w:rPr>
  </w:style>
  <w:style w:type="paragraph" w:styleId="6">
    <w:name w:val="Normal Indent"/>
    <w:basedOn w:val="1"/>
    <w:link w:val="87"/>
    <w:qFormat/>
    <w:uiPriority w:val="0"/>
    <w:pPr>
      <w:ind w:firstLine="420"/>
    </w:pPr>
    <w:rPr>
      <w:color w:val="000000"/>
      <w:kern w:val="1"/>
      <w:szCs w:val="20"/>
    </w:rPr>
  </w:style>
  <w:style w:type="paragraph" w:styleId="7">
    <w:name w:val="annotation text"/>
    <w:basedOn w:val="1"/>
    <w:link w:val="59"/>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link w:val="88"/>
    <w:qFormat/>
    <w:uiPriority w:val="0"/>
    <w:pPr>
      <w:spacing w:after="120"/>
      <w:ind w:left="420" w:leftChars="200"/>
    </w:pPr>
  </w:style>
  <w:style w:type="paragraph" w:styleId="10">
    <w:name w:val="Plain Text"/>
    <w:basedOn w:val="1"/>
    <w:link w:val="47"/>
    <w:qFormat/>
    <w:uiPriority w:val="99"/>
    <w:rPr>
      <w:rFonts w:ascii="宋体" w:hAnsi="Courier New"/>
      <w:sz w:val="11"/>
      <w:szCs w:val="20"/>
    </w:rPr>
  </w:style>
  <w:style w:type="paragraph" w:styleId="11">
    <w:name w:val="Date"/>
    <w:basedOn w:val="1"/>
    <w:next w:val="1"/>
    <w:qFormat/>
    <w:uiPriority w:val="0"/>
    <w:pPr>
      <w:ind w:left="100" w:leftChars="2500"/>
    </w:pPr>
  </w:style>
  <w:style w:type="paragraph" w:styleId="12">
    <w:name w:val="Body Text Indent 2"/>
    <w:basedOn w:val="1"/>
    <w:link w:val="64"/>
    <w:qFormat/>
    <w:uiPriority w:val="0"/>
    <w:pPr>
      <w:spacing w:line="360" w:lineRule="auto"/>
      <w:ind w:left="179" w:leftChars="85" w:hanging="1"/>
    </w:pPr>
    <w:rPr>
      <w:rFonts w:ascii="Times New Roman" w:hAnsi="Times New Roman"/>
      <w:b/>
      <w:sz w:val="24"/>
      <w:szCs w:val="20"/>
      <w:u w:val="single"/>
    </w:rPr>
  </w:style>
  <w:style w:type="paragraph" w:styleId="13">
    <w:name w:val="Balloon Text"/>
    <w:basedOn w:val="1"/>
    <w:link w:val="56"/>
    <w:unhideWhenUsed/>
    <w:qFormat/>
    <w:uiPriority w:val="99"/>
    <w:rPr>
      <w:sz w:val="18"/>
      <w:szCs w:val="18"/>
    </w:rPr>
  </w:style>
  <w:style w:type="paragraph" w:styleId="14">
    <w:name w:val="footer"/>
    <w:basedOn w:val="1"/>
    <w:link w:val="65"/>
    <w:unhideWhenUsed/>
    <w:qFormat/>
    <w:uiPriority w:val="99"/>
    <w:pPr>
      <w:tabs>
        <w:tab w:val="center" w:pos="4153"/>
        <w:tab w:val="right" w:pos="8306"/>
      </w:tabs>
      <w:snapToGrid w:val="0"/>
      <w:jc w:val="left"/>
    </w:pPr>
    <w:rPr>
      <w:sz w:val="18"/>
      <w:szCs w:val="18"/>
    </w:rPr>
  </w:style>
  <w:style w:type="paragraph" w:styleId="15">
    <w:name w:val="header"/>
    <w:basedOn w:val="1"/>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footnote text"/>
    <w:basedOn w:val="1"/>
    <w:semiHidden/>
    <w:unhideWhenUsed/>
    <w:qFormat/>
    <w:uiPriority w:val="99"/>
    <w:pPr>
      <w:snapToGrid w:val="0"/>
      <w:jc w:val="left"/>
    </w:pPr>
    <w:rPr>
      <w:sz w:val="18"/>
      <w:szCs w:val="18"/>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qFormat/>
    <w:uiPriority w:val="0"/>
    <w:pPr>
      <w:widowControl/>
      <w:jc w:val="left"/>
    </w:pPr>
    <w:rPr>
      <w:rFonts w:ascii="宋体" w:hAnsi="宋体" w:cs="宋体"/>
      <w:kern w:val="0"/>
      <w:sz w:val="24"/>
      <w:szCs w:val="24"/>
    </w:rPr>
  </w:style>
  <w:style w:type="paragraph" w:styleId="19">
    <w:name w:val="annotation subject"/>
    <w:basedOn w:val="7"/>
    <w:next w:val="7"/>
    <w:link w:val="55"/>
    <w:unhideWhenUsed/>
    <w:qFormat/>
    <w:uiPriority w:val="99"/>
    <w:rPr>
      <w:b/>
      <w:bCs/>
    </w:rPr>
  </w:style>
  <w:style w:type="paragraph" w:styleId="20">
    <w:name w:val="Body Text First Indent"/>
    <w:basedOn w:val="8"/>
    <w:qFormat/>
    <w:uiPriority w:val="0"/>
    <w:pPr>
      <w:spacing w:line="312" w:lineRule="auto"/>
      <w:ind w:firstLine="420"/>
    </w:pPr>
    <w:rPr>
      <w:szCs w:val="24"/>
    </w:rPr>
  </w:style>
  <w:style w:type="paragraph" w:styleId="21">
    <w:name w:val="Body Text First Indent 2"/>
    <w:basedOn w:val="9"/>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unhideWhenUsed/>
    <w:qFormat/>
    <w:uiPriority w:val="99"/>
    <w:rPr>
      <w:color w:val="2D64B3"/>
      <w:u w:val="none"/>
    </w:rPr>
  </w:style>
  <w:style w:type="character" w:styleId="28">
    <w:name w:val="Emphasis"/>
    <w:qFormat/>
    <w:uiPriority w:val="0"/>
    <w:rPr>
      <w:color w:val="CC0000"/>
    </w:rPr>
  </w:style>
  <w:style w:type="character" w:styleId="29">
    <w:name w:val="HTML Definition"/>
    <w:unhideWhenUsed/>
    <w:qFormat/>
    <w:uiPriority w:val="99"/>
  </w:style>
  <w:style w:type="character" w:styleId="30">
    <w:name w:val="HTML Variable"/>
    <w:unhideWhenUsed/>
    <w:qFormat/>
    <w:uiPriority w:val="99"/>
  </w:style>
  <w:style w:type="character" w:styleId="31">
    <w:name w:val="Hyperlink"/>
    <w:qFormat/>
    <w:uiPriority w:val="99"/>
    <w:rPr>
      <w:color w:val="0000FF"/>
      <w:u w:val="single"/>
    </w:rPr>
  </w:style>
  <w:style w:type="character" w:styleId="32">
    <w:name w:val="HTML Code"/>
    <w:unhideWhenUsed/>
    <w:qFormat/>
    <w:uiPriority w:val="99"/>
    <w:rPr>
      <w:rFonts w:ascii="Arial" w:hAnsi="Arial" w:cs="Arial"/>
      <w:sz w:val="20"/>
    </w:rPr>
  </w:style>
  <w:style w:type="character" w:styleId="33">
    <w:name w:val="annotation reference"/>
    <w:unhideWhenUsed/>
    <w:qFormat/>
    <w:uiPriority w:val="0"/>
    <w:rPr>
      <w:sz w:val="21"/>
      <w:szCs w:val="21"/>
    </w:rPr>
  </w:style>
  <w:style w:type="character" w:styleId="34">
    <w:name w:val="HTML Cite"/>
    <w:unhideWhenUsed/>
    <w:qFormat/>
    <w:uiPriority w:val="99"/>
  </w:style>
  <w:style w:type="character" w:styleId="35">
    <w:name w:val="footnote reference"/>
    <w:basedOn w:val="24"/>
    <w:semiHidden/>
    <w:unhideWhenUsed/>
    <w:qFormat/>
    <w:uiPriority w:val="99"/>
    <w:rPr>
      <w:vertAlign w:val="superscript"/>
    </w:rPr>
  </w:style>
  <w:style w:type="character" w:styleId="36">
    <w:name w:val="HTML Keyboard"/>
    <w:unhideWhenUsed/>
    <w:qFormat/>
    <w:uiPriority w:val="99"/>
    <w:rPr>
      <w:rFonts w:ascii="Arial" w:hAnsi="Arial" w:cs="Arial"/>
      <w:sz w:val="20"/>
    </w:rPr>
  </w:style>
  <w:style w:type="character" w:styleId="37">
    <w:name w:val="HTML Sample"/>
    <w:unhideWhenUsed/>
    <w:qFormat/>
    <w:uiPriority w:val="99"/>
    <w:rPr>
      <w:rFonts w:hint="eastAsia" w:ascii="Arial" w:hAnsi="Arial" w:cs="Arial"/>
    </w:rPr>
  </w:style>
  <w:style w:type="paragraph" w:customStyle="1" w:styleId="38">
    <w:name w:val="NormalIndent"/>
    <w:basedOn w:val="1"/>
    <w:qFormat/>
    <w:uiPriority w:val="0"/>
    <w:pPr>
      <w:spacing w:line="360" w:lineRule="atLeast"/>
      <w:ind w:firstLine="420"/>
      <w:textAlignment w:val="baseline"/>
    </w:pPr>
    <w:rPr>
      <w:rFonts w:ascii="Calibri" w:hAnsi="Calibri"/>
      <w:szCs w:val="20"/>
    </w:rPr>
  </w:style>
  <w:style w:type="character" w:customStyle="1" w:styleId="39">
    <w:name w:val="bds_nopic"/>
    <w:basedOn w:val="24"/>
    <w:qFormat/>
    <w:uiPriority w:val="0"/>
  </w:style>
  <w:style w:type="character" w:customStyle="1" w:styleId="40">
    <w:name w:val="num"/>
    <w:qFormat/>
    <w:uiPriority w:val="0"/>
    <w:rPr>
      <w:b/>
      <w:color w:val="FF7800"/>
    </w:rPr>
  </w:style>
  <w:style w:type="character" w:customStyle="1" w:styleId="41">
    <w:name w:val="release-day"/>
    <w:qFormat/>
    <w:uiPriority w:val="0"/>
    <w:rPr>
      <w:bdr w:val="single" w:color="BDEBB0" w:sz="4" w:space="0"/>
      <w:shd w:val="clear" w:color="auto" w:fill="F5FFF1"/>
    </w:rPr>
  </w:style>
  <w:style w:type="character" w:customStyle="1" w:styleId="42">
    <w:name w:val="纯文本 Char1"/>
    <w:semiHidden/>
    <w:qFormat/>
    <w:uiPriority w:val="99"/>
    <w:rPr>
      <w:rFonts w:ascii="宋体" w:hAnsi="Courier New" w:cs="Courier New"/>
      <w:kern w:val="2"/>
      <w:sz w:val="21"/>
      <w:szCs w:val="21"/>
    </w:rPr>
  </w:style>
  <w:style w:type="character" w:customStyle="1" w:styleId="43">
    <w:name w:val="普通文字1 Char"/>
    <w:qFormat/>
    <w:uiPriority w:val="0"/>
    <w:rPr>
      <w:rFonts w:ascii="宋体" w:hAnsi="Courier New" w:eastAsia="宋体"/>
      <w:kern w:val="2"/>
      <w:sz w:val="21"/>
      <w:lang w:val="en-US" w:eastAsia="zh-CN" w:bidi="ar-SA"/>
    </w:rPr>
  </w:style>
  <w:style w:type="character" w:customStyle="1" w:styleId="44">
    <w:name w:val="bds_more1"/>
    <w:basedOn w:val="24"/>
    <w:qFormat/>
    <w:uiPriority w:val="0"/>
  </w:style>
  <w:style w:type="character" w:customStyle="1" w:styleId="45">
    <w:name w:val="Header Char"/>
    <w:qFormat/>
    <w:locked/>
    <w:uiPriority w:val="0"/>
    <w:rPr>
      <w:rFonts w:eastAsia="宋体"/>
      <w:kern w:val="2"/>
      <w:sz w:val="18"/>
      <w:szCs w:val="18"/>
      <w:lang w:val="en-US" w:eastAsia="zh-CN" w:bidi="ar-SA"/>
    </w:rPr>
  </w:style>
  <w:style w:type="character" w:customStyle="1" w:styleId="46">
    <w:name w:val="bds_more2"/>
    <w:basedOn w:val="24"/>
    <w:qFormat/>
    <w:uiPriority w:val="0"/>
  </w:style>
  <w:style w:type="character" w:customStyle="1" w:styleId="47">
    <w:name w:val="纯文本 字符"/>
    <w:link w:val="10"/>
    <w:qFormat/>
    <w:uiPriority w:val="99"/>
    <w:rPr>
      <w:rFonts w:ascii="宋体" w:hAnsi="Courier New"/>
      <w:kern w:val="2"/>
      <w:sz w:val="11"/>
    </w:rPr>
  </w:style>
  <w:style w:type="character" w:customStyle="1" w:styleId="48">
    <w:name w:val="15"/>
    <w:qFormat/>
    <w:uiPriority w:val="0"/>
    <w:rPr>
      <w:rFonts w:hint="eastAsia" w:ascii="仿宋_GB2312" w:eastAsia="仿宋_GB2312"/>
      <w:b/>
      <w:bCs/>
      <w:sz w:val="32"/>
      <w:szCs w:val="32"/>
    </w:rPr>
  </w:style>
  <w:style w:type="character" w:customStyle="1" w:styleId="49">
    <w:name w:val="正文文本 (2)"/>
    <w:qFormat/>
    <w:uiPriority w:val="0"/>
    <w:rPr>
      <w:rFonts w:ascii="宋体" w:hAnsi="宋体" w:eastAsia="宋体" w:cs="宋体"/>
      <w:color w:val="000000"/>
      <w:spacing w:val="0"/>
      <w:w w:val="100"/>
      <w:position w:val="0"/>
      <w:sz w:val="20"/>
      <w:szCs w:val="20"/>
      <w:u w:val="none"/>
      <w:lang w:val="zh-TW" w:eastAsia="zh-TW" w:bidi="zh-TW"/>
    </w:rPr>
  </w:style>
  <w:style w:type="character" w:customStyle="1" w:styleId="50">
    <w:name w:val="正文缩进2格 Char"/>
    <w:qFormat/>
    <w:uiPriority w:val="0"/>
    <w:rPr>
      <w:rFonts w:ascii="仿宋_GB2312" w:hAnsi="宋体" w:eastAsia="仿宋_GB2312"/>
      <w:sz w:val="31"/>
    </w:rPr>
  </w:style>
  <w:style w:type="character" w:customStyle="1" w:styleId="51">
    <w:name w:val="bds_nopic1"/>
    <w:basedOn w:val="24"/>
    <w:qFormat/>
    <w:uiPriority w:val="0"/>
  </w:style>
  <w:style w:type="character" w:customStyle="1" w:styleId="52">
    <w:name w:val="bds_more"/>
    <w:qFormat/>
    <w:uiPriority w:val="0"/>
    <w:rPr>
      <w:rFonts w:hint="eastAsia" w:ascii="宋体" w:hAnsi="宋体" w:eastAsia="宋体" w:cs="宋体"/>
    </w:rPr>
  </w:style>
  <w:style w:type="character" w:customStyle="1" w:styleId="53">
    <w:name w:val="标题 2 字符"/>
    <w:link w:val="4"/>
    <w:qFormat/>
    <w:uiPriority w:val="0"/>
    <w:rPr>
      <w:rFonts w:ascii="Arial" w:hAnsi="Arial"/>
      <w:b/>
      <w:kern w:val="2"/>
      <w:sz w:val="28"/>
    </w:rPr>
  </w:style>
  <w:style w:type="character" w:customStyle="1" w:styleId="54">
    <w:name w:val="txtcontent11"/>
    <w:qFormat/>
    <w:uiPriority w:val="0"/>
    <w:rPr>
      <w:rFonts w:hint="default" w:ascii="ˎ̥" w:hAnsi="ˎ̥"/>
      <w:color w:val="000000"/>
      <w:sz w:val="21"/>
      <w:szCs w:val="21"/>
    </w:rPr>
  </w:style>
  <w:style w:type="character" w:customStyle="1" w:styleId="55">
    <w:name w:val="批注主题 字符"/>
    <w:link w:val="19"/>
    <w:semiHidden/>
    <w:qFormat/>
    <w:uiPriority w:val="99"/>
    <w:rPr>
      <w:b/>
      <w:bCs/>
      <w:kern w:val="2"/>
      <w:sz w:val="21"/>
      <w:szCs w:val="22"/>
    </w:rPr>
  </w:style>
  <w:style w:type="character" w:customStyle="1" w:styleId="56">
    <w:name w:val="批注框文本 字符"/>
    <w:link w:val="13"/>
    <w:semiHidden/>
    <w:qFormat/>
    <w:uiPriority w:val="99"/>
    <w:rPr>
      <w:kern w:val="2"/>
      <w:sz w:val="18"/>
      <w:szCs w:val="18"/>
    </w:rPr>
  </w:style>
  <w:style w:type="character" w:customStyle="1" w:styleId="57">
    <w:name w:val="普通文字 Char Char2"/>
    <w:semiHidden/>
    <w:qFormat/>
    <w:uiPriority w:val="0"/>
    <w:rPr>
      <w:rFonts w:ascii="宋体" w:hAnsi="Courier New" w:eastAsia="宋体"/>
      <w:kern w:val="2"/>
      <w:sz w:val="21"/>
      <w:szCs w:val="21"/>
      <w:lang w:val="en-US" w:eastAsia="zh-CN" w:bidi="ar-SA"/>
    </w:rPr>
  </w:style>
  <w:style w:type="character" w:customStyle="1" w:styleId="58">
    <w:name w:val="legend"/>
    <w:qFormat/>
    <w:uiPriority w:val="0"/>
    <w:rPr>
      <w:rFonts w:ascii="Arial" w:hAnsi="Arial" w:cs="Arial"/>
      <w:b/>
      <w:color w:val="73B304"/>
      <w:sz w:val="16"/>
      <w:szCs w:val="16"/>
      <w:shd w:val="clear" w:color="auto" w:fill="FFFFFF"/>
    </w:rPr>
  </w:style>
  <w:style w:type="character" w:customStyle="1" w:styleId="59">
    <w:name w:val="批注文字 字符"/>
    <w:link w:val="7"/>
    <w:semiHidden/>
    <w:qFormat/>
    <w:uiPriority w:val="99"/>
    <w:rPr>
      <w:kern w:val="2"/>
      <w:sz w:val="21"/>
      <w:szCs w:val="22"/>
    </w:rPr>
  </w:style>
  <w:style w:type="character" w:customStyle="1" w:styleId="60">
    <w:name w:val="标题 3 字符"/>
    <w:link w:val="2"/>
    <w:qFormat/>
    <w:uiPriority w:val="0"/>
    <w:rPr>
      <w:rFonts w:ascii="Times New Roman" w:hAnsi="Times New Roman"/>
      <w:b/>
      <w:kern w:val="2"/>
      <w:sz w:val="24"/>
    </w:rPr>
  </w:style>
  <w:style w:type="character" w:customStyle="1" w:styleId="61">
    <w:name w:val="Char Char10"/>
    <w:qFormat/>
    <w:uiPriority w:val="0"/>
    <w:rPr>
      <w:rFonts w:ascii="宋体" w:hAnsi="Courier New" w:eastAsia="宋体"/>
      <w:kern w:val="2"/>
      <w:sz w:val="21"/>
      <w:szCs w:val="24"/>
      <w:lang w:val="en-US" w:eastAsia="zh-CN" w:bidi="ar-SA"/>
    </w:rPr>
  </w:style>
  <w:style w:type="character" w:customStyle="1" w:styleId="62">
    <w:name w:val="正文缩进2格 Char Char"/>
    <w:link w:val="63"/>
    <w:qFormat/>
    <w:uiPriority w:val="0"/>
    <w:rPr>
      <w:rFonts w:ascii="仿宋_GB2312" w:hAnsi="宋体" w:eastAsia="仿宋_GB2312"/>
      <w:kern w:val="2"/>
      <w:sz w:val="31"/>
      <w:szCs w:val="28"/>
      <w:lang w:val="en-US" w:eastAsia="zh-CN" w:bidi="ar-SA"/>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正文文本缩进 2 字符"/>
    <w:link w:val="12"/>
    <w:qFormat/>
    <w:uiPriority w:val="0"/>
    <w:rPr>
      <w:rFonts w:ascii="Times New Roman" w:hAnsi="Times New Roman"/>
      <w:b/>
      <w:kern w:val="2"/>
      <w:sz w:val="24"/>
      <w:u w:val="single"/>
    </w:rPr>
  </w:style>
  <w:style w:type="character" w:customStyle="1" w:styleId="65">
    <w:name w:val="页脚 字符"/>
    <w:link w:val="14"/>
    <w:qFormat/>
    <w:uiPriority w:val="99"/>
    <w:rPr>
      <w:kern w:val="2"/>
      <w:sz w:val="18"/>
      <w:szCs w:val="18"/>
    </w:rPr>
  </w:style>
  <w:style w:type="character" w:customStyle="1" w:styleId="66">
    <w:name w:val="bds_nopic2"/>
    <w:basedOn w:val="24"/>
    <w:qFormat/>
    <w:uiPriority w:val="0"/>
  </w:style>
  <w:style w:type="character" w:customStyle="1" w:styleId="67">
    <w:name w:val="页眉 字符"/>
    <w:link w:val="15"/>
    <w:qFormat/>
    <w:uiPriority w:val="99"/>
    <w:rPr>
      <w:kern w:val="2"/>
      <w:sz w:val="18"/>
      <w:szCs w:val="18"/>
    </w:rPr>
  </w:style>
  <w:style w:type="paragraph" w:customStyle="1" w:styleId="68">
    <w:name w:val="p0"/>
    <w:basedOn w:val="1"/>
    <w:qFormat/>
    <w:uiPriority w:val="0"/>
    <w:pPr>
      <w:widowControl/>
    </w:pPr>
    <w:rPr>
      <w:rFonts w:ascii="Times New Roman" w:hAnsi="Times New Roman"/>
      <w:kern w:val="0"/>
      <w:szCs w:val="21"/>
    </w:rPr>
  </w:style>
  <w:style w:type="paragraph" w:customStyle="1" w:styleId="69">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customStyle="1" w:styleId="70">
    <w:name w:val="p22"/>
    <w:basedOn w:val="1"/>
    <w:qFormat/>
    <w:uiPriority w:val="0"/>
    <w:pPr>
      <w:widowControl/>
    </w:pPr>
    <w:rPr>
      <w:kern w:val="0"/>
      <w:szCs w:val="21"/>
    </w:rPr>
  </w:style>
  <w:style w:type="paragraph" w:customStyle="1" w:styleId="71">
    <w:name w:val="Char Char Char"/>
    <w:basedOn w:val="1"/>
    <w:qFormat/>
    <w:uiPriority w:val="0"/>
    <w:rPr>
      <w:rFonts w:ascii="Tahoma" w:hAnsi="Tahoma"/>
      <w:sz w:val="24"/>
      <w:szCs w:val="20"/>
    </w:rPr>
  </w:style>
  <w:style w:type="paragraph" w:customStyle="1" w:styleId="72">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 w:type="paragraph" w:customStyle="1" w:styleId="73">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样式 标题 3 + (中文) 黑体 小四 非加粗 段前: 7.8 磅 段后: 0 磅 行距: 固定值 20 磅"/>
    <w:basedOn w:val="2"/>
    <w:qFormat/>
    <w:uiPriority w:val="0"/>
    <w:pPr>
      <w:keepNext/>
      <w:keepLines/>
      <w:tabs>
        <w:tab w:val="clear" w:pos="540"/>
      </w:tabs>
      <w:adjustRightInd/>
      <w:snapToGrid/>
      <w:spacing w:line="400" w:lineRule="exact"/>
      <w:jc w:val="both"/>
    </w:pPr>
    <w:rPr>
      <w:rFonts w:eastAsia="黑体" w:cs="宋体"/>
      <w:b w:val="0"/>
    </w:rPr>
  </w:style>
  <w:style w:type="paragraph" w:styleId="75">
    <w:name w:val="List Paragraph"/>
    <w:basedOn w:val="1"/>
    <w:qFormat/>
    <w:uiPriority w:val="34"/>
    <w:pPr>
      <w:ind w:firstLine="420" w:firstLineChars="200"/>
    </w:pPr>
    <w:rPr>
      <w:rFonts w:ascii="宋体" w:hAnsi="宋体" w:cs="宋体"/>
      <w:bCs/>
      <w:color w:val="000000"/>
      <w:kern w:val="0"/>
      <w:sz w:val="24"/>
      <w:szCs w:val="24"/>
      <w:u w:val="single"/>
    </w:rPr>
  </w:style>
  <w:style w:type="paragraph" w:customStyle="1" w:styleId="76">
    <w:name w:val="Default Tex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7">
    <w:name w:val="保留正文"/>
    <w:basedOn w:val="8"/>
    <w:qFormat/>
    <w:uiPriority w:val="0"/>
    <w:pPr>
      <w:keepNext/>
      <w:spacing w:after="160"/>
    </w:pPr>
    <w:rPr>
      <w:szCs w:val="24"/>
    </w:rPr>
  </w:style>
  <w:style w:type="paragraph" w:customStyle="1" w:styleId="78">
    <w:name w:val="_Style 89"/>
    <w:basedOn w:val="1"/>
    <w:qFormat/>
    <w:uiPriority w:val="0"/>
    <w:pPr>
      <w:tabs>
        <w:tab w:val="left" w:pos="360"/>
      </w:tabs>
    </w:pPr>
    <w:rPr>
      <w:rFonts w:ascii="Times New Roman" w:hAnsi="Times New Roman"/>
      <w:sz w:val="24"/>
      <w:szCs w:val="24"/>
    </w:rPr>
  </w:style>
  <w:style w:type="paragraph" w:customStyle="1" w:styleId="79">
    <w:name w:val="p21"/>
    <w:basedOn w:val="1"/>
    <w:qFormat/>
    <w:uiPriority w:val="0"/>
    <w:pPr>
      <w:widowControl/>
    </w:pPr>
    <w:rPr>
      <w:kern w:val="0"/>
      <w:szCs w:val="21"/>
    </w:rPr>
  </w:style>
  <w:style w:type="paragraph" w:customStyle="1" w:styleId="80">
    <w:name w:val="Char"/>
    <w:basedOn w:val="1"/>
    <w:qFormat/>
    <w:uiPriority w:val="0"/>
    <w:pPr>
      <w:tabs>
        <w:tab w:val="left" w:pos="360"/>
      </w:tabs>
    </w:pPr>
    <w:rPr>
      <w:sz w:val="24"/>
      <w:szCs w:val="24"/>
    </w:rPr>
  </w:style>
  <w:style w:type="paragraph" w:customStyle="1" w:styleId="8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2">
    <w:name w:val="WPS Plain"/>
    <w:qFormat/>
    <w:uiPriority w:val="0"/>
    <w:rPr>
      <w:rFonts w:ascii="Calibri" w:hAnsi="Calibri" w:eastAsia="宋体" w:cs="Times New Roman"/>
      <w:sz w:val="21"/>
      <w:szCs w:val="22"/>
      <w:lang w:val="en-US" w:eastAsia="zh-CN" w:bidi="ar-SA"/>
    </w:rPr>
  </w:style>
  <w:style w:type="paragraph" w:customStyle="1" w:styleId="83">
    <w:name w:val="Char Char Char Char"/>
    <w:basedOn w:val="1"/>
    <w:qFormat/>
    <w:uiPriority w:val="0"/>
    <w:pPr>
      <w:widowControl/>
      <w:spacing w:after="160" w:line="240" w:lineRule="exact"/>
      <w:jc w:val="left"/>
    </w:pPr>
    <w:rPr>
      <w:rFonts w:ascii="Verdana" w:hAnsi="Verdana"/>
      <w:kern w:val="0"/>
      <w:szCs w:val="20"/>
    </w:rPr>
  </w:style>
  <w:style w:type="paragraph" w:customStyle="1" w:styleId="8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5">
    <w:name w:val="正文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86">
    <w:name w:val="未处理的提及1"/>
    <w:basedOn w:val="24"/>
    <w:semiHidden/>
    <w:unhideWhenUsed/>
    <w:qFormat/>
    <w:uiPriority w:val="99"/>
    <w:rPr>
      <w:color w:val="605E5C"/>
      <w:shd w:val="clear" w:color="auto" w:fill="E1DFDD"/>
    </w:rPr>
  </w:style>
  <w:style w:type="character" w:customStyle="1" w:styleId="87">
    <w:name w:val="正文缩进 字符"/>
    <w:link w:val="6"/>
    <w:qFormat/>
    <w:uiPriority w:val="0"/>
    <w:rPr>
      <w:color w:val="000000"/>
      <w:kern w:val="1"/>
      <w:szCs w:val="20"/>
    </w:rPr>
  </w:style>
  <w:style w:type="character" w:customStyle="1" w:styleId="88">
    <w:name w:val="正文文本缩进 字符"/>
    <w:link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header" Target="header3.xml"/><Relationship Id="rId16" Type="http://schemas.openxmlformats.org/officeDocument/2006/relationships/header" Target="header2.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108</Pages>
  <Words>45213</Words>
  <Characters>47492</Characters>
  <Lines>309</Lines>
  <Paragraphs>87</Paragraphs>
  <TotalTime>63</TotalTime>
  <ScaleCrop>false</ScaleCrop>
  <LinksUpToDate>false</LinksUpToDate>
  <CharactersWithSpaces>54073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2018-09-09T15:40:00Z</dcterms:created>
  <dc:creator>陈晓东</dc:creator>
  <cp:lastModifiedBy>晴儿</cp:lastModifiedBy>
  <cp:lastPrinted>2022-04-25T10:18:40Z</cp:lastPrinted>
  <dcterms:modified xsi:type="dcterms:W3CDTF">2022-04-25T10:31:41Z</dcterms:modified>
  <dc:title>   </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BEC23EA9DCBB47BCB316B2E40A5751A5</vt:lpwstr>
  </property>
</Properties>
</file>