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auto"/>
          <w:sz w:val="72"/>
          <w:szCs w:val="72"/>
          <w:highlight w:val="red"/>
          <w:lang w:val="en-US" w:eastAsia="zh-CN"/>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8"/>
          <w:szCs w:val="28"/>
          <w:highlight w:val="none"/>
          <w:lang w:val="en-US" w:eastAsia="zh-CN"/>
        </w:rPr>
        <w:t>项目编号：RSY-2022-007-[2022]104号</w:t>
      </w:r>
    </w:p>
    <w:p>
      <w:pPr>
        <w:jc w:val="both"/>
        <w:rPr>
          <w:rFonts w:hint="eastAsia" w:ascii="宋体" w:hAnsi="宋体" w:eastAsia="宋体" w:cs="宋体"/>
          <w:b/>
          <w:bCs/>
          <w:color w:val="auto"/>
          <w:sz w:val="52"/>
          <w:szCs w:val="52"/>
          <w:lang w:val="en-US" w:eastAsia="zh-CN"/>
        </w:rPr>
      </w:pPr>
    </w:p>
    <w:p>
      <w:pPr>
        <w:jc w:val="center"/>
        <w:rPr>
          <w:rFonts w:hint="eastAsia" w:ascii="宋体" w:hAnsi="宋体" w:eastAsia="宋体" w:cs="宋体"/>
          <w:b/>
          <w:bCs/>
          <w:color w:val="auto"/>
          <w:sz w:val="52"/>
          <w:szCs w:val="52"/>
          <w:lang w:val="en-US" w:eastAsia="zh-CN"/>
        </w:rPr>
      </w:pPr>
    </w:p>
    <w:p>
      <w:pPr>
        <w:ind w:firstLine="482" w:firstLineChars="100"/>
        <w:jc w:val="both"/>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2022年水磨沟区道路公共绿地市场化养护</w:t>
      </w:r>
    </w:p>
    <w:p>
      <w:pPr>
        <w:jc w:val="center"/>
        <w:rPr>
          <w:rFonts w:hint="eastAsia" w:ascii="宋体" w:hAnsi="宋体" w:eastAsia="宋体" w:cs="宋体"/>
          <w:b/>
          <w:bCs/>
          <w:color w:val="auto"/>
          <w:sz w:val="52"/>
          <w:szCs w:val="52"/>
          <w:highlight w:val="red"/>
          <w:lang w:val="en-US" w:eastAsia="zh-CN"/>
        </w:rPr>
      </w:pPr>
      <w:r>
        <w:rPr>
          <w:rFonts w:hint="eastAsia" w:ascii="宋体" w:hAnsi="宋体" w:eastAsia="宋体" w:cs="宋体"/>
          <w:b/>
          <w:bCs/>
          <w:color w:val="auto"/>
          <w:sz w:val="52"/>
          <w:szCs w:val="52"/>
          <w:highlight w:val="none"/>
          <w:lang w:val="en-US" w:eastAsia="zh-CN"/>
        </w:rPr>
        <w:t>招标文件</w:t>
      </w:r>
    </w:p>
    <w:p>
      <w:pPr>
        <w:jc w:val="both"/>
        <w:rPr>
          <w:rFonts w:hint="eastAsia" w:ascii="宋体" w:hAnsi="宋体" w:eastAsia="宋体" w:cs="宋体"/>
          <w:b/>
          <w:bCs/>
          <w:color w:val="auto"/>
          <w:sz w:val="24"/>
          <w:szCs w:val="24"/>
          <w:lang w:val="en-US" w:eastAsia="zh-CN"/>
        </w:rPr>
      </w:pPr>
    </w:p>
    <w:p>
      <w:pPr>
        <w:rPr>
          <w:rFonts w:hint="eastAsia"/>
          <w:color w:val="auto"/>
          <w:lang w:val="en-US" w:eastAsia="zh-CN"/>
        </w:rPr>
      </w:pPr>
    </w:p>
    <w:p>
      <w:pPr>
        <w:pStyle w:val="18"/>
        <w:rPr>
          <w:rFonts w:hint="eastAsia"/>
          <w:color w:val="auto"/>
          <w:lang w:val="en-US" w:eastAsia="zh-CN"/>
        </w:rPr>
      </w:pPr>
    </w:p>
    <w:p>
      <w:pPr>
        <w:pStyle w:val="18"/>
        <w:rPr>
          <w:rFonts w:hint="eastAsia"/>
          <w:color w:val="auto"/>
          <w:lang w:val="en-US" w:eastAsia="zh-CN"/>
        </w:rPr>
      </w:pPr>
    </w:p>
    <w:p>
      <w:pPr>
        <w:jc w:val="both"/>
        <w:rPr>
          <w:rFonts w:hint="eastAsia" w:ascii="宋体" w:hAnsi="宋体" w:eastAsia="宋体" w:cs="宋体"/>
          <w:b/>
          <w:bCs/>
          <w:color w:val="auto"/>
          <w:sz w:val="24"/>
          <w:szCs w:val="24"/>
          <w:lang w:val="en-US" w:eastAsia="zh-CN"/>
        </w:rPr>
      </w:pP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采购方式：公开招标</w:t>
      </w:r>
    </w:p>
    <w:p>
      <w:pPr>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采购类别：</w:t>
      </w:r>
      <w:r>
        <w:rPr>
          <w:rFonts w:hint="eastAsia" w:ascii="宋体" w:hAnsi="宋体" w:eastAsia="宋体" w:cs="宋体"/>
          <w:b w:val="0"/>
          <w:bCs w:val="0"/>
          <w:color w:val="auto"/>
          <w:sz w:val="28"/>
          <w:szCs w:val="28"/>
          <w:highlight w:val="none"/>
          <w:lang w:val="en-US" w:eastAsia="zh-CN"/>
        </w:rPr>
        <w:t>服务类</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采购人：乌鲁木齐市水磨沟区园林管理局</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采购人地址：新疆乌鲁木齐市水磨沟区五星北路东二巷199号</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采购联系人：关胜博</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采购联系人电话：0991-4627653</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代理机构名称：新疆融盛源工程项目管理有限公司</w:t>
      </w:r>
    </w:p>
    <w:p>
      <w:pPr>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代理机构地址：乌鲁木齐市水磨沟区立井街198号丽景中央城9号楼（全季酒店）五层503室</w:t>
      </w:r>
    </w:p>
    <w:p>
      <w:pPr>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代理机构联系人：龚 钊 </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代理机构联系电话：0991-4800087</w:t>
      </w:r>
    </w:p>
    <w:p>
      <w:pPr>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二〇二二年四月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ascii="宋体" w:hAnsi="宋体" w:eastAsia="宋体" w:cstheme="minorBidi"/>
          <w:color w:val="auto"/>
          <w:kern w:val="2"/>
          <w:sz w:val="21"/>
          <w:szCs w:val="24"/>
          <w:lang w:val="en-US" w:eastAsia="zh-CN" w:bidi="ar-SA"/>
        </w:rPr>
      </w:pPr>
    </w:p>
    <w:p>
      <w:pPr>
        <w:pStyle w:val="2"/>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footerReference r:id="rId5" w:type="first"/>
          <w:headerReference r:id="rId3" w:type="default"/>
          <w:footerReference r:id="rId4" w:type="default"/>
          <w:pgSz w:w="11906" w:h="16838"/>
          <w:pgMar w:top="1440" w:right="1080" w:bottom="1440" w:left="1080" w:header="851" w:footer="992" w:gutter="0"/>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1474800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目录</w:t>
          </w:r>
        </w:p>
        <w:p>
          <w:pPr>
            <w:pStyle w:val="11"/>
            <w:tabs>
              <w:tab w:val="right" w:leader="dot" w:pos="9746"/>
            </w:tabs>
          </w:pPr>
          <w:r>
            <w:rPr>
              <w:lang w:val="en-US" w:eastAsia="zh-CN"/>
            </w:rPr>
            <w:fldChar w:fldCharType="begin"/>
          </w:r>
          <w:r>
            <w:rPr>
              <w:lang w:val="en-US" w:eastAsia="zh-CN"/>
            </w:rPr>
            <w:instrText xml:space="preserve">TOC \o "1-3" \h \u </w:instrText>
          </w:r>
          <w:r>
            <w:rPr>
              <w:lang w:val="en-US" w:eastAsia="zh-CN"/>
            </w:rPr>
            <w:fldChar w:fldCharType="separate"/>
          </w:r>
        </w:p>
        <w:p>
          <w:pPr>
            <w:pStyle w:val="11"/>
            <w:tabs>
              <w:tab w:val="right" w:leader="dot" w:pos="9746"/>
            </w:tabs>
            <w:spacing w:line="480" w:lineRule="auto"/>
          </w:pPr>
          <w:r>
            <w:rPr>
              <w:lang w:val="en-US" w:eastAsia="zh-CN"/>
            </w:rPr>
            <w:fldChar w:fldCharType="begin"/>
          </w:r>
          <w:r>
            <w:rPr>
              <w:lang w:val="en-US" w:eastAsia="zh-CN"/>
            </w:rPr>
            <w:instrText xml:space="preserve"> HYPERLINK \l _Toc10726 </w:instrText>
          </w:r>
          <w:r>
            <w:rPr>
              <w:lang w:val="en-US" w:eastAsia="zh-CN"/>
            </w:rPr>
            <w:fldChar w:fldCharType="separate"/>
          </w:r>
          <w:r>
            <w:rPr>
              <w:rFonts w:hint="eastAsia"/>
              <w:szCs w:val="36"/>
              <w:highlight w:val="none"/>
              <w:lang w:val="en-US" w:eastAsia="zh-CN"/>
            </w:rPr>
            <w:t>公开招标公告</w:t>
          </w:r>
          <w:r>
            <w:tab/>
          </w:r>
          <w:r>
            <w:rPr>
              <w:rFonts w:hint="eastAsia"/>
              <w:lang w:val="en-US" w:eastAsia="zh-CN"/>
            </w:rPr>
            <w:t>1</w:t>
          </w:r>
          <w:r>
            <w:rPr>
              <w:lang w:val="en-US" w:eastAsia="zh-CN"/>
            </w:rPr>
            <w:fldChar w:fldCharType="end"/>
          </w:r>
        </w:p>
        <w:p>
          <w:pPr>
            <w:pStyle w:val="11"/>
            <w:tabs>
              <w:tab w:val="right" w:leader="dot" w:pos="9746"/>
            </w:tabs>
            <w:spacing w:line="480" w:lineRule="auto"/>
          </w:pPr>
          <w:r>
            <w:rPr>
              <w:lang w:val="en-US" w:eastAsia="zh-CN"/>
            </w:rPr>
            <w:fldChar w:fldCharType="begin"/>
          </w:r>
          <w:r>
            <w:rPr>
              <w:lang w:val="en-US" w:eastAsia="zh-CN"/>
            </w:rPr>
            <w:instrText xml:space="preserve"> HYPERLINK \l _Toc5734 </w:instrText>
          </w:r>
          <w:r>
            <w:rPr>
              <w:lang w:val="en-US" w:eastAsia="zh-CN"/>
            </w:rPr>
            <w:fldChar w:fldCharType="separate"/>
          </w:r>
          <w:r>
            <w:rPr>
              <w:rFonts w:hint="eastAsia" w:ascii="宋体" w:hAnsi="宋体" w:eastAsia="宋体" w:cs="宋体"/>
              <w:highlight w:val="none"/>
            </w:rPr>
            <w:t>第一部分 投标须知前附表</w:t>
          </w:r>
          <w:r>
            <w:tab/>
          </w:r>
          <w:r>
            <w:rPr>
              <w:rFonts w:hint="eastAsia"/>
              <w:lang w:val="en-US" w:eastAsia="zh-CN"/>
            </w:rPr>
            <w:t>5</w:t>
          </w:r>
          <w:r>
            <w:rPr>
              <w:lang w:val="en-US" w:eastAsia="zh-CN"/>
            </w:rPr>
            <w:fldChar w:fldCharType="end"/>
          </w:r>
        </w:p>
        <w:p>
          <w:pPr>
            <w:pStyle w:val="12"/>
            <w:tabs>
              <w:tab w:val="right" w:leader="dot" w:pos="9746"/>
            </w:tabs>
            <w:spacing w:line="480" w:lineRule="auto"/>
            <w:ind w:left="0" w:leftChars="0" w:firstLine="0" w:firstLineChars="0"/>
          </w:pPr>
          <w:r>
            <w:rPr>
              <w:lang w:val="en-US" w:eastAsia="zh-CN"/>
            </w:rPr>
            <w:fldChar w:fldCharType="begin"/>
          </w:r>
          <w:r>
            <w:rPr>
              <w:lang w:val="en-US" w:eastAsia="zh-CN"/>
            </w:rPr>
            <w:instrText xml:space="preserve"> HYPERLINK \l _Toc30569 </w:instrText>
          </w:r>
          <w:r>
            <w:rPr>
              <w:lang w:val="en-US" w:eastAsia="zh-CN"/>
            </w:rPr>
            <w:fldChar w:fldCharType="separate"/>
          </w:r>
          <w:r>
            <w:rPr>
              <w:rFonts w:hint="eastAsia" w:ascii="宋体" w:hAnsi="宋体" w:eastAsia="宋体" w:cs="宋体"/>
              <w:kern w:val="2"/>
              <w:szCs w:val="20"/>
              <w:highlight w:val="none"/>
            </w:rPr>
            <w:t>第二部分招标说明</w:t>
          </w:r>
          <w:r>
            <w:tab/>
          </w:r>
          <w:r>
            <w:fldChar w:fldCharType="begin"/>
          </w:r>
          <w:r>
            <w:instrText xml:space="preserve"> PAGEREF _Toc30569 \h </w:instrText>
          </w:r>
          <w:r>
            <w:fldChar w:fldCharType="separate"/>
          </w:r>
          <w:r>
            <w:t>13</w:t>
          </w:r>
          <w:r>
            <w:fldChar w:fldCharType="end"/>
          </w:r>
          <w:r>
            <w:rPr>
              <w:lang w:val="en-US" w:eastAsia="zh-CN"/>
            </w:rPr>
            <w:fldChar w:fldCharType="end"/>
          </w:r>
        </w:p>
        <w:p>
          <w:pPr>
            <w:pStyle w:val="12"/>
            <w:tabs>
              <w:tab w:val="right" w:leader="dot" w:pos="9746"/>
            </w:tabs>
            <w:spacing w:line="480" w:lineRule="auto"/>
          </w:pPr>
          <w:r>
            <w:rPr>
              <w:lang w:val="en-US" w:eastAsia="zh-CN"/>
            </w:rPr>
            <w:fldChar w:fldCharType="begin"/>
          </w:r>
          <w:r>
            <w:rPr>
              <w:lang w:val="en-US" w:eastAsia="zh-CN"/>
            </w:rPr>
            <w:instrText xml:space="preserve"> HYPERLINK \l _Toc27528 </w:instrText>
          </w:r>
          <w:r>
            <w:rPr>
              <w:lang w:val="en-US" w:eastAsia="zh-CN"/>
            </w:rPr>
            <w:fldChar w:fldCharType="separate"/>
          </w:r>
          <w:r>
            <w:rPr>
              <w:rFonts w:hint="eastAsia" w:ascii="宋体" w:hAnsi="宋体" w:eastAsia="宋体" w:cs="宋体"/>
              <w:kern w:val="2"/>
              <w:szCs w:val="32"/>
              <w:highlight w:val="none"/>
            </w:rPr>
            <w:t>第一章总则</w:t>
          </w:r>
          <w:r>
            <w:tab/>
          </w:r>
          <w:r>
            <w:fldChar w:fldCharType="begin"/>
          </w:r>
          <w:r>
            <w:instrText xml:space="preserve"> PAGEREF _Toc27528 \h </w:instrText>
          </w:r>
          <w:r>
            <w:fldChar w:fldCharType="separate"/>
          </w:r>
          <w:r>
            <w:t>13</w:t>
          </w:r>
          <w:r>
            <w:fldChar w:fldCharType="end"/>
          </w:r>
          <w:r>
            <w:rPr>
              <w:lang w:val="en-US" w:eastAsia="zh-CN"/>
            </w:rPr>
            <w:fldChar w:fldCharType="end"/>
          </w:r>
        </w:p>
        <w:p>
          <w:pPr>
            <w:pStyle w:val="12"/>
            <w:tabs>
              <w:tab w:val="right" w:leader="dot" w:pos="9746"/>
            </w:tabs>
            <w:spacing w:line="480" w:lineRule="auto"/>
          </w:pPr>
          <w:r>
            <w:rPr>
              <w:lang w:val="en-US" w:eastAsia="zh-CN"/>
            </w:rPr>
            <w:fldChar w:fldCharType="begin"/>
          </w:r>
          <w:r>
            <w:rPr>
              <w:lang w:val="en-US" w:eastAsia="zh-CN"/>
            </w:rPr>
            <w:instrText xml:space="preserve"> HYPERLINK \l _Toc27046 </w:instrText>
          </w:r>
          <w:r>
            <w:rPr>
              <w:lang w:val="en-US" w:eastAsia="zh-CN"/>
            </w:rPr>
            <w:fldChar w:fldCharType="separate"/>
          </w:r>
          <w:r>
            <w:rPr>
              <w:rFonts w:hint="eastAsia" w:ascii="宋体" w:hAnsi="宋体" w:eastAsia="宋体" w:cs="宋体"/>
              <w:kern w:val="2"/>
              <w:szCs w:val="32"/>
              <w:highlight w:val="none"/>
            </w:rPr>
            <w:t>第二章招标文件</w:t>
          </w:r>
          <w:r>
            <w:tab/>
          </w:r>
          <w:r>
            <w:fldChar w:fldCharType="begin"/>
          </w:r>
          <w:r>
            <w:instrText xml:space="preserve"> PAGEREF _Toc27046 \h </w:instrText>
          </w:r>
          <w:r>
            <w:fldChar w:fldCharType="separate"/>
          </w:r>
          <w:r>
            <w:t>15</w:t>
          </w:r>
          <w:r>
            <w:fldChar w:fldCharType="end"/>
          </w:r>
          <w:r>
            <w:rPr>
              <w:lang w:val="en-US" w:eastAsia="zh-CN"/>
            </w:rPr>
            <w:fldChar w:fldCharType="end"/>
          </w:r>
        </w:p>
        <w:p>
          <w:pPr>
            <w:pStyle w:val="11"/>
            <w:tabs>
              <w:tab w:val="right" w:leader="dot" w:pos="9746"/>
            </w:tabs>
            <w:spacing w:line="480" w:lineRule="auto"/>
          </w:pPr>
          <w:r>
            <w:rPr>
              <w:lang w:val="en-US" w:eastAsia="zh-CN"/>
            </w:rPr>
            <w:fldChar w:fldCharType="begin"/>
          </w:r>
          <w:r>
            <w:rPr>
              <w:lang w:val="en-US" w:eastAsia="zh-CN"/>
            </w:rPr>
            <w:instrText xml:space="preserve"> HYPERLINK \l _Toc16398 </w:instrText>
          </w:r>
          <w:r>
            <w:rPr>
              <w:lang w:val="en-US" w:eastAsia="zh-CN"/>
            </w:rPr>
            <w:fldChar w:fldCharType="separate"/>
          </w:r>
          <w:r>
            <w:rPr>
              <w:rFonts w:hint="eastAsia" w:ascii="宋体" w:hAnsi="宋体" w:eastAsia="宋体" w:cs="宋体"/>
              <w:kern w:val="2"/>
              <w:szCs w:val="20"/>
              <w:highlight w:val="none"/>
            </w:rPr>
            <w:t>第三部分投标说明</w:t>
          </w:r>
          <w:r>
            <w:tab/>
          </w:r>
          <w:r>
            <w:fldChar w:fldCharType="begin"/>
          </w:r>
          <w:r>
            <w:instrText xml:space="preserve"> PAGEREF _Toc16398 \h </w:instrText>
          </w:r>
          <w:r>
            <w:fldChar w:fldCharType="separate"/>
          </w:r>
          <w:r>
            <w:t>16</w:t>
          </w:r>
          <w:r>
            <w:fldChar w:fldCharType="end"/>
          </w:r>
          <w:r>
            <w:rPr>
              <w:lang w:val="en-US" w:eastAsia="zh-CN"/>
            </w:rPr>
            <w:fldChar w:fldCharType="end"/>
          </w:r>
        </w:p>
        <w:p>
          <w:pPr>
            <w:pStyle w:val="12"/>
            <w:tabs>
              <w:tab w:val="right" w:leader="dot" w:pos="9746"/>
            </w:tabs>
            <w:spacing w:line="480" w:lineRule="auto"/>
          </w:pPr>
          <w:r>
            <w:rPr>
              <w:lang w:val="en-US" w:eastAsia="zh-CN"/>
            </w:rPr>
            <w:fldChar w:fldCharType="begin"/>
          </w:r>
          <w:r>
            <w:rPr>
              <w:lang w:val="en-US" w:eastAsia="zh-CN"/>
            </w:rPr>
            <w:instrText xml:space="preserve"> HYPERLINK \l _Toc27138 </w:instrText>
          </w:r>
          <w:r>
            <w:rPr>
              <w:lang w:val="en-US" w:eastAsia="zh-CN"/>
            </w:rPr>
            <w:fldChar w:fldCharType="separate"/>
          </w:r>
          <w:r>
            <w:rPr>
              <w:rFonts w:hint="eastAsia" w:ascii="宋体" w:hAnsi="宋体" w:eastAsia="宋体" w:cs="宋体"/>
              <w:highlight w:val="none"/>
            </w:rPr>
            <w:t>第一章投标人的资格证明</w:t>
          </w:r>
          <w:r>
            <w:tab/>
          </w:r>
          <w:r>
            <w:fldChar w:fldCharType="begin"/>
          </w:r>
          <w:r>
            <w:instrText xml:space="preserve"> PAGEREF _Toc27138 \h </w:instrText>
          </w:r>
          <w:r>
            <w:fldChar w:fldCharType="separate"/>
          </w:r>
          <w:r>
            <w:t>16</w:t>
          </w:r>
          <w:r>
            <w:fldChar w:fldCharType="end"/>
          </w:r>
          <w:r>
            <w:rPr>
              <w:lang w:val="en-US" w:eastAsia="zh-CN"/>
            </w:rPr>
            <w:fldChar w:fldCharType="end"/>
          </w:r>
        </w:p>
        <w:p>
          <w:pPr>
            <w:pStyle w:val="12"/>
            <w:tabs>
              <w:tab w:val="right" w:leader="dot" w:pos="9746"/>
            </w:tabs>
            <w:spacing w:line="480" w:lineRule="auto"/>
          </w:pPr>
          <w:r>
            <w:rPr>
              <w:lang w:val="en-US" w:eastAsia="zh-CN"/>
            </w:rPr>
            <w:fldChar w:fldCharType="begin"/>
          </w:r>
          <w:r>
            <w:rPr>
              <w:lang w:val="en-US" w:eastAsia="zh-CN"/>
            </w:rPr>
            <w:instrText xml:space="preserve"> HYPERLINK \l _Toc17999 </w:instrText>
          </w:r>
          <w:r>
            <w:rPr>
              <w:lang w:val="en-US" w:eastAsia="zh-CN"/>
            </w:rPr>
            <w:fldChar w:fldCharType="separate"/>
          </w:r>
          <w:r>
            <w:rPr>
              <w:rFonts w:hint="eastAsia" w:ascii="宋体" w:hAnsi="宋体" w:eastAsia="宋体" w:cs="宋体"/>
              <w:szCs w:val="32"/>
              <w:highlight w:val="none"/>
            </w:rPr>
            <w:t>第二章投标文件的编写</w:t>
          </w:r>
          <w:r>
            <w:tab/>
          </w:r>
          <w:r>
            <w:fldChar w:fldCharType="begin"/>
          </w:r>
          <w:r>
            <w:instrText xml:space="preserve"> PAGEREF _Toc17999 \h </w:instrText>
          </w:r>
          <w:r>
            <w:fldChar w:fldCharType="separate"/>
          </w:r>
          <w:r>
            <w:t>16</w:t>
          </w:r>
          <w:r>
            <w:fldChar w:fldCharType="end"/>
          </w:r>
          <w:r>
            <w:rPr>
              <w:lang w:val="en-US" w:eastAsia="zh-CN"/>
            </w:rPr>
            <w:fldChar w:fldCharType="end"/>
          </w:r>
        </w:p>
        <w:p>
          <w:pPr>
            <w:pStyle w:val="12"/>
            <w:tabs>
              <w:tab w:val="right" w:leader="dot" w:pos="9746"/>
            </w:tabs>
            <w:spacing w:line="480" w:lineRule="auto"/>
          </w:pPr>
          <w:r>
            <w:rPr>
              <w:lang w:val="en-US" w:eastAsia="zh-CN"/>
            </w:rPr>
            <w:fldChar w:fldCharType="begin"/>
          </w:r>
          <w:r>
            <w:rPr>
              <w:lang w:val="en-US" w:eastAsia="zh-CN"/>
            </w:rPr>
            <w:instrText xml:space="preserve"> HYPERLINK \l _Toc15833 </w:instrText>
          </w:r>
          <w:r>
            <w:rPr>
              <w:lang w:val="en-US" w:eastAsia="zh-CN"/>
            </w:rPr>
            <w:fldChar w:fldCharType="separate"/>
          </w:r>
          <w:r>
            <w:rPr>
              <w:rFonts w:hint="eastAsia" w:ascii="宋体" w:hAnsi="宋体" w:eastAsia="宋体" w:cs="宋体"/>
              <w:szCs w:val="32"/>
              <w:highlight w:val="none"/>
            </w:rPr>
            <w:t>第三章投标文件的递交</w:t>
          </w:r>
          <w:r>
            <w:tab/>
          </w:r>
          <w:r>
            <w:fldChar w:fldCharType="begin"/>
          </w:r>
          <w:r>
            <w:instrText xml:space="preserve"> PAGEREF _Toc15833 \h </w:instrText>
          </w:r>
          <w:r>
            <w:fldChar w:fldCharType="separate"/>
          </w:r>
          <w:r>
            <w:t>19</w:t>
          </w:r>
          <w:r>
            <w:fldChar w:fldCharType="end"/>
          </w:r>
          <w:r>
            <w:rPr>
              <w:lang w:val="en-US" w:eastAsia="zh-CN"/>
            </w:rPr>
            <w:fldChar w:fldCharType="end"/>
          </w:r>
        </w:p>
        <w:p>
          <w:pPr>
            <w:pStyle w:val="12"/>
            <w:tabs>
              <w:tab w:val="right" w:leader="dot" w:pos="9746"/>
            </w:tabs>
            <w:spacing w:line="480" w:lineRule="auto"/>
          </w:pPr>
          <w:r>
            <w:rPr>
              <w:lang w:val="en-US" w:eastAsia="zh-CN"/>
            </w:rPr>
            <w:fldChar w:fldCharType="begin"/>
          </w:r>
          <w:r>
            <w:rPr>
              <w:lang w:val="en-US" w:eastAsia="zh-CN"/>
            </w:rPr>
            <w:instrText xml:space="preserve"> HYPERLINK \l _Toc8470 </w:instrText>
          </w:r>
          <w:r>
            <w:rPr>
              <w:lang w:val="en-US" w:eastAsia="zh-CN"/>
            </w:rPr>
            <w:fldChar w:fldCharType="separate"/>
          </w:r>
          <w:r>
            <w:rPr>
              <w:rFonts w:hint="eastAsia" w:ascii="宋体" w:hAnsi="宋体" w:eastAsia="宋体" w:cs="宋体"/>
              <w:szCs w:val="32"/>
              <w:highlight w:val="none"/>
            </w:rPr>
            <w:t>第四章评标委员会</w:t>
          </w:r>
          <w:r>
            <w:tab/>
          </w:r>
          <w:r>
            <w:fldChar w:fldCharType="begin"/>
          </w:r>
          <w:r>
            <w:instrText xml:space="preserve"> PAGEREF _Toc8470 \h </w:instrText>
          </w:r>
          <w:r>
            <w:fldChar w:fldCharType="separate"/>
          </w:r>
          <w:r>
            <w:t>20</w:t>
          </w:r>
          <w:r>
            <w:fldChar w:fldCharType="end"/>
          </w:r>
          <w:r>
            <w:rPr>
              <w:lang w:val="en-US" w:eastAsia="zh-CN"/>
            </w:rPr>
            <w:fldChar w:fldCharType="end"/>
          </w:r>
        </w:p>
        <w:p>
          <w:pPr>
            <w:pStyle w:val="12"/>
            <w:tabs>
              <w:tab w:val="right" w:leader="dot" w:pos="9746"/>
            </w:tabs>
            <w:spacing w:line="480" w:lineRule="auto"/>
          </w:pPr>
          <w:r>
            <w:rPr>
              <w:lang w:val="en-US" w:eastAsia="zh-CN"/>
            </w:rPr>
            <w:fldChar w:fldCharType="begin"/>
          </w:r>
          <w:r>
            <w:rPr>
              <w:lang w:val="en-US" w:eastAsia="zh-CN"/>
            </w:rPr>
            <w:instrText xml:space="preserve"> HYPERLINK \l _Toc3137 </w:instrText>
          </w:r>
          <w:r>
            <w:rPr>
              <w:lang w:val="en-US" w:eastAsia="zh-CN"/>
            </w:rPr>
            <w:fldChar w:fldCharType="separate"/>
          </w:r>
          <w:r>
            <w:rPr>
              <w:rFonts w:hint="eastAsia" w:ascii="宋体" w:hAnsi="宋体" w:eastAsia="宋体" w:cs="宋体"/>
              <w:szCs w:val="32"/>
              <w:highlight w:val="none"/>
            </w:rPr>
            <w:t>第五章开　标</w:t>
          </w:r>
          <w:r>
            <w:tab/>
          </w:r>
          <w:r>
            <w:fldChar w:fldCharType="begin"/>
          </w:r>
          <w:r>
            <w:instrText xml:space="preserve"> PAGEREF _Toc3137 \h </w:instrText>
          </w:r>
          <w:r>
            <w:fldChar w:fldCharType="separate"/>
          </w:r>
          <w:r>
            <w:t>20</w:t>
          </w:r>
          <w:r>
            <w:fldChar w:fldCharType="end"/>
          </w:r>
          <w:r>
            <w:rPr>
              <w:lang w:val="en-US" w:eastAsia="zh-CN"/>
            </w:rPr>
            <w:fldChar w:fldCharType="end"/>
          </w:r>
        </w:p>
        <w:p>
          <w:pPr>
            <w:pStyle w:val="12"/>
            <w:tabs>
              <w:tab w:val="right" w:leader="dot" w:pos="9746"/>
            </w:tabs>
            <w:spacing w:line="480" w:lineRule="auto"/>
          </w:pPr>
          <w:r>
            <w:rPr>
              <w:lang w:val="en-US" w:eastAsia="zh-CN"/>
            </w:rPr>
            <w:fldChar w:fldCharType="begin"/>
          </w:r>
          <w:r>
            <w:rPr>
              <w:lang w:val="en-US" w:eastAsia="zh-CN"/>
            </w:rPr>
            <w:instrText xml:space="preserve"> HYPERLINK \l _Toc29897 </w:instrText>
          </w:r>
          <w:r>
            <w:rPr>
              <w:lang w:val="en-US" w:eastAsia="zh-CN"/>
            </w:rPr>
            <w:fldChar w:fldCharType="separate"/>
          </w:r>
          <w:r>
            <w:rPr>
              <w:rFonts w:hint="eastAsia" w:ascii="宋体" w:hAnsi="宋体" w:eastAsia="宋体" w:cs="宋体"/>
              <w:bCs/>
              <w:highlight w:val="none"/>
            </w:rPr>
            <w:t>第六章 评　标</w:t>
          </w:r>
          <w:r>
            <w:tab/>
          </w:r>
          <w:r>
            <w:fldChar w:fldCharType="begin"/>
          </w:r>
          <w:r>
            <w:instrText xml:space="preserve"> PAGEREF _Toc29897 \h </w:instrText>
          </w:r>
          <w:r>
            <w:fldChar w:fldCharType="separate"/>
          </w:r>
          <w:r>
            <w:t>22</w:t>
          </w:r>
          <w:r>
            <w:fldChar w:fldCharType="end"/>
          </w:r>
          <w:r>
            <w:rPr>
              <w:lang w:val="en-US" w:eastAsia="zh-CN"/>
            </w:rPr>
            <w:fldChar w:fldCharType="end"/>
          </w:r>
        </w:p>
        <w:p>
          <w:pPr>
            <w:pStyle w:val="12"/>
            <w:tabs>
              <w:tab w:val="right" w:leader="dot" w:pos="9746"/>
            </w:tabs>
            <w:spacing w:line="480" w:lineRule="auto"/>
          </w:pPr>
          <w:r>
            <w:rPr>
              <w:lang w:val="en-US" w:eastAsia="zh-CN"/>
            </w:rPr>
            <w:fldChar w:fldCharType="begin"/>
          </w:r>
          <w:r>
            <w:rPr>
              <w:lang w:val="en-US" w:eastAsia="zh-CN"/>
            </w:rPr>
            <w:instrText xml:space="preserve"> HYPERLINK \l _Toc17160 </w:instrText>
          </w:r>
          <w:r>
            <w:rPr>
              <w:lang w:val="en-US" w:eastAsia="zh-CN"/>
            </w:rPr>
            <w:fldChar w:fldCharType="separate"/>
          </w:r>
          <w:r>
            <w:rPr>
              <w:rFonts w:hint="eastAsia" w:ascii="宋体" w:hAnsi="宋体" w:eastAsia="宋体" w:cs="宋体"/>
              <w:szCs w:val="32"/>
              <w:highlight w:val="none"/>
            </w:rPr>
            <w:t>第七章定　标</w:t>
          </w:r>
          <w:r>
            <w:tab/>
          </w:r>
          <w:r>
            <w:fldChar w:fldCharType="begin"/>
          </w:r>
          <w:r>
            <w:instrText xml:space="preserve"> PAGEREF _Toc17160 \h </w:instrText>
          </w:r>
          <w:r>
            <w:fldChar w:fldCharType="separate"/>
          </w:r>
          <w:r>
            <w:t>26</w:t>
          </w:r>
          <w:r>
            <w:fldChar w:fldCharType="end"/>
          </w:r>
          <w:r>
            <w:rPr>
              <w:lang w:val="en-US" w:eastAsia="zh-CN"/>
            </w:rPr>
            <w:fldChar w:fldCharType="end"/>
          </w:r>
        </w:p>
        <w:p>
          <w:pPr>
            <w:pStyle w:val="12"/>
            <w:tabs>
              <w:tab w:val="right" w:leader="dot" w:pos="9746"/>
            </w:tabs>
            <w:spacing w:line="480" w:lineRule="auto"/>
          </w:pPr>
          <w:r>
            <w:rPr>
              <w:lang w:val="en-US" w:eastAsia="zh-CN"/>
            </w:rPr>
            <w:fldChar w:fldCharType="begin"/>
          </w:r>
          <w:r>
            <w:rPr>
              <w:lang w:val="en-US" w:eastAsia="zh-CN"/>
            </w:rPr>
            <w:instrText xml:space="preserve"> HYPERLINK \l _Toc28409 </w:instrText>
          </w:r>
          <w:r>
            <w:rPr>
              <w:lang w:val="en-US" w:eastAsia="zh-CN"/>
            </w:rPr>
            <w:fldChar w:fldCharType="separate"/>
          </w:r>
          <w:r>
            <w:rPr>
              <w:rFonts w:hint="eastAsia" w:ascii="宋体" w:hAnsi="宋体" w:eastAsia="宋体" w:cs="宋体"/>
              <w:szCs w:val="32"/>
              <w:highlight w:val="none"/>
            </w:rPr>
            <w:t>第八章授予合同</w:t>
          </w:r>
          <w:r>
            <w:tab/>
          </w:r>
          <w:r>
            <w:fldChar w:fldCharType="begin"/>
          </w:r>
          <w:r>
            <w:instrText xml:space="preserve"> PAGEREF _Toc28409 \h </w:instrText>
          </w:r>
          <w:r>
            <w:fldChar w:fldCharType="separate"/>
          </w:r>
          <w:r>
            <w:t>27</w:t>
          </w:r>
          <w:r>
            <w:fldChar w:fldCharType="end"/>
          </w:r>
          <w:r>
            <w:rPr>
              <w:lang w:val="en-US" w:eastAsia="zh-CN"/>
            </w:rPr>
            <w:fldChar w:fldCharType="end"/>
          </w:r>
        </w:p>
        <w:p>
          <w:pPr>
            <w:pStyle w:val="12"/>
            <w:tabs>
              <w:tab w:val="right" w:leader="dot" w:pos="9746"/>
            </w:tabs>
            <w:spacing w:line="480" w:lineRule="auto"/>
            <w:ind w:left="0" w:leftChars="0" w:firstLine="0" w:firstLineChars="0"/>
          </w:pPr>
          <w:r>
            <w:rPr>
              <w:lang w:val="en-US" w:eastAsia="zh-CN"/>
            </w:rPr>
            <w:fldChar w:fldCharType="begin"/>
          </w:r>
          <w:r>
            <w:rPr>
              <w:lang w:val="en-US" w:eastAsia="zh-CN"/>
            </w:rPr>
            <w:instrText xml:space="preserve"> HYPERLINK \l _Toc24409 </w:instrText>
          </w:r>
          <w:r>
            <w:rPr>
              <w:lang w:val="en-US" w:eastAsia="zh-CN"/>
            </w:rPr>
            <w:fldChar w:fldCharType="separate"/>
          </w:r>
          <w:r>
            <w:rPr>
              <w:rFonts w:hint="eastAsia" w:ascii="宋体" w:hAnsi="宋体" w:eastAsia="宋体" w:cs="宋体"/>
              <w:szCs w:val="30"/>
              <w:highlight w:val="none"/>
            </w:rPr>
            <w:t>第五部分   服务合同（样本）</w:t>
          </w:r>
          <w:r>
            <w:tab/>
          </w:r>
          <w:r>
            <w:fldChar w:fldCharType="begin"/>
          </w:r>
          <w:r>
            <w:instrText xml:space="preserve"> PAGEREF _Toc24409 \h </w:instrText>
          </w:r>
          <w:r>
            <w:fldChar w:fldCharType="separate"/>
          </w:r>
          <w:r>
            <w:t>42</w:t>
          </w:r>
          <w:r>
            <w:fldChar w:fldCharType="end"/>
          </w:r>
          <w:r>
            <w:rPr>
              <w:lang w:val="en-US" w:eastAsia="zh-CN"/>
            </w:rPr>
            <w:fldChar w:fldCharType="end"/>
          </w:r>
        </w:p>
        <w:p>
          <w:pPr>
            <w:pStyle w:val="11"/>
            <w:tabs>
              <w:tab w:val="right" w:leader="dot" w:pos="9746"/>
            </w:tabs>
            <w:spacing w:line="480" w:lineRule="auto"/>
          </w:pPr>
          <w:r>
            <w:rPr>
              <w:lang w:val="en-US" w:eastAsia="zh-CN"/>
            </w:rPr>
            <w:fldChar w:fldCharType="begin"/>
          </w:r>
          <w:r>
            <w:rPr>
              <w:lang w:val="en-US" w:eastAsia="zh-CN"/>
            </w:rPr>
            <w:instrText xml:space="preserve"> HYPERLINK \l _Toc4155 </w:instrText>
          </w:r>
          <w:r>
            <w:rPr>
              <w:lang w:val="en-US" w:eastAsia="zh-CN"/>
            </w:rPr>
            <w:fldChar w:fldCharType="separate"/>
          </w:r>
          <w:r>
            <w:rPr>
              <w:rFonts w:hint="eastAsia" w:ascii="宋体" w:hAnsi="宋体" w:eastAsia="宋体" w:cs="宋体"/>
              <w:highlight w:val="none"/>
            </w:rPr>
            <w:t>第六部分  投标文件格式</w:t>
          </w:r>
          <w:r>
            <w:tab/>
          </w:r>
          <w:r>
            <w:fldChar w:fldCharType="begin"/>
          </w:r>
          <w:r>
            <w:instrText xml:space="preserve"> PAGEREF _Toc4155 \h </w:instrText>
          </w:r>
          <w:r>
            <w:fldChar w:fldCharType="separate"/>
          </w:r>
          <w:r>
            <w:t>57</w:t>
          </w:r>
          <w:r>
            <w:fldChar w:fldCharType="end"/>
          </w:r>
          <w:r>
            <w:rPr>
              <w:lang w:val="en-US" w:eastAsia="zh-CN"/>
            </w:rPr>
            <w:fldChar w:fldCharType="end"/>
          </w:r>
        </w:p>
        <w:p>
          <w:pPr>
            <w:pStyle w:val="12"/>
            <w:tabs>
              <w:tab w:val="right" w:leader="dot" w:pos="9746"/>
            </w:tabs>
          </w:pPr>
        </w:p>
        <w:p>
          <w:pPr>
            <w:pStyle w:val="7"/>
            <w:tabs>
              <w:tab w:val="right" w:leader="dot" w:pos="9746"/>
            </w:tabs>
          </w:pPr>
        </w:p>
        <w:p>
          <w:pPr>
            <w:pStyle w:val="12"/>
            <w:tabs>
              <w:tab w:val="right" w:leader="dot" w:pos="9746"/>
            </w:tabs>
          </w:pPr>
        </w:p>
        <w:p>
          <w:pPr>
            <w:rPr>
              <w:lang w:val="en-US" w:eastAsia="zh-CN"/>
            </w:rPr>
            <w:sectPr>
              <w:footerReference r:id="rId6" w:type="default"/>
              <w:pgSz w:w="11906" w:h="16838"/>
              <w:pgMar w:top="1440" w:right="1080" w:bottom="1440" w:left="1080" w:header="851" w:footer="992" w:gutter="0"/>
              <w:pgNumType w:fmt="decimal" w:start="1"/>
              <w:cols w:space="425" w:num="1"/>
              <w:docGrid w:type="lines" w:linePitch="312" w:charSpace="0"/>
            </w:sectPr>
          </w:pPr>
          <w:r>
            <w:rPr>
              <w:lang w:val="en-US" w:eastAsia="zh-CN"/>
            </w:rPr>
            <w:fldChar w:fldCharType="end"/>
          </w:r>
        </w:p>
      </w:sdtContent>
    </w:sdt>
    <w:p>
      <w:pPr>
        <w:pStyle w:val="4"/>
        <w:keepNext/>
        <w:keepLines/>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highlight w:val="red"/>
          <w:lang w:val="en-US" w:eastAsia="zh-CN"/>
        </w:rPr>
      </w:pPr>
      <w:bookmarkStart w:id="0" w:name="_Toc12079"/>
      <w:r>
        <w:rPr>
          <w:rFonts w:hint="eastAsia"/>
          <w:color w:val="auto"/>
          <w:sz w:val="36"/>
          <w:szCs w:val="36"/>
          <w:highlight w:val="none"/>
          <w:lang w:val="en-US" w:eastAsia="zh-CN"/>
        </w:rPr>
        <w:t>2022年水磨沟区道路公共绿地市场化养护</w:t>
      </w:r>
      <w:bookmarkEnd w:id="0"/>
      <w:bookmarkStart w:id="1" w:name="_Toc23821"/>
    </w:p>
    <w:p>
      <w:pPr>
        <w:pStyle w:val="4"/>
        <w:keepNext/>
        <w:keepLines/>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highlight w:val="red"/>
          <w:lang w:val="en-US" w:eastAsia="zh-CN"/>
        </w:rPr>
      </w:pPr>
      <w:bookmarkStart w:id="2" w:name="_Toc10726"/>
      <w:r>
        <w:rPr>
          <w:rFonts w:hint="eastAsia"/>
          <w:color w:val="auto"/>
          <w:sz w:val="36"/>
          <w:szCs w:val="36"/>
          <w:highlight w:val="none"/>
          <w:lang w:val="en-US" w:eastAsia="zh-CN"/>
        </w:rPr>
        <w:t>公开招标公告</w:t>
      </w:r>
      <w:bookmarkEnd w:id="1"/>
      <w:bookmarkEnd w:id="2"/>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lang w:val="en-US" w:eastAsia="zh-CN"/>
        </w:rPr>
        <w:t>2022年水磨沟区道路公共绿地市场化养护</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lang w:val="en-US" w:eastAsia="zh-CN"/>
        </w:rPr>
        <w:t>概况</w:t>
      </w:r>
    </w:p>
    <w:p>
      <w:pPr>
        <w:pageBreakBefore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lang w:val="en-US" w:eastAsia="zh-CN"/>
        </w:rPr>
        <w:t>2022年水磨沟区道路公共绿地市场化养护</w:t>
      </w:r>
      <w:r>
        <w:rPr>
          <w:rFonts w:hint="eastAsia" w:ascii="宋体" w:hAnsi="宋体" w:eastAsia="宋体" w:cs="宋体"/>
          <w:color w:val="auto"/>
          <w:sz w:val="24"/>
          <w:szCs w:val="24"/>
          <w:lang w:val="en-US" w:eastAsia="zh-CN"/>
        </w:rPr>
        <w:t>的潜在投标人应在乌鲁木齐市水磨沟区立</w:t>
      </w:r>
      <w:r>
        <w:rPr>
          <w:rFonts w:hint="eastAsia" w:ascii="宋体" w:hAnsi="宋体" w:eastAsia="宋体" w:cs="宋体"/>
          <w:color w:val="auto"/>
          <w:sz w:val="24"/>
          <w:szCs w:val="24"/>
          <w:highlight w:val="none"/>
          <w:lang w:val="en-US" w:eastAsia="zh-CN"/>
        </w:rPr>
        <w:t>井街198号丽景中央城9号楼（全季酒店）五层503室获取招标文件，并于2022年4月27日上午11：00（北京时间）前递交投标文件。</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一、项目基本情况</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highlight w:val="none"/>
          <w:lang w:val="en-US" w:eastAsia="zh-CN"/>
        </w:rPr>
        <w:t>项目编号：RSY-2022-007-[2022]104号</w:t>
      </w:r>
    </w:p>
    <w:p>
      <w:pPr>
        <w:pageBreakBefore w:val="0"/>
        <w:numPr>
          <w:ilvl w:val="0"/>
          <w:numId w:val="0"/>
        </w:numPr>
        <w:kinsoku/>
        <w:wordWrap/>
        <w:overflowPunct/>
        <w:topLinePunct w:val="0"/>
        <w:autoSpaceDE/>
        <w:autoSpaceDN/>
        <w:bidi w:val="0"/>
        <w:adjustRightInd w:val="0"/>
        <w:snapToGrid w:val="0"/>
        <w:spacing w:line="400" w:lineRule="exact"/>
        <w:ind w:left="1679" w:leftChars="228" w:hanging="1200" w:hangingChars="500"/>
        <w:jc w:val="left"/>
        <w:textAlignment w:val="auto"/>
        <w:rPr>
          <w:rFonts w:hint="eastAsia" w:ascii="宋体" w:hAnsi="宋体" w:eastAsia="宋体" w:cs="宋体"/>
          <w:b w:val="0"/>
          <w:bCs w:val="0"/>
          <w:color w:val="auto"/>
          <w:sz w:val="24"/>
          <w:szCs w:val="24"/>
          <w:highlight w:val="red"/>
          <w:lang w:val="en-US" w:eastAsia="zh-CN"/>
        </w:rPr>
      </w:pPr>
      <w:r>
        <w:rPr>
          <w:rFonts w:hint="eastAsia" w:ascii="宋体" w:hAnsi="宋体" w:eastAsia="宋体" w:cs="宋体"/>
          <w:color w:val="auto"/>
          <w:sz w:val="24"/>
          <w:szCs w:val="24"/>
          <w:lang w:val="en-US" w:eastAsia="zh-CN"/>
        </w:rPr>
        <w:t>项目名称：</w:t>
      </w:r>
      <w:r>
        <w:rPr>
          <w:rFonts w:hint="eastAsia" w:ascii="宋体" w:hAnsi="宋体" w:eastAsia="宋体" w:cs="宋体"/>
          <w:b w:val="0"/>
          <w:bCs w:val="0"/>
          <w:color w:val="auto"/>
          <w:sz w:val="24"/>
          <w:szCs w:val="24"/>
          <w:highlight w:val="none"/>
          <w:lang w:val="en-US" w:eastAsia="zh-CN"/>
        </w:rPr>
        <w:t>2022年水磨沟区道路公共绿地市场化养护</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采购方式：公开招标</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highlight w:val="red"/>
          <w:lang w:val="en-US" w:eastAsia="zh-CN"/>
        </w:rPr>
      </w:pPr>
      <w:r>
        <w:rPr>
          <w:rFonts w:hint="eastAsia" w:ascii="宋体" w:hAnsi="宋体" w:eastAsia="宋体" w:cs="宋体"/>
          <w:b w:val="0"/>
          <w:i w:val="0"/>
          <w:caps w:val="0"/>
          <w:color w:val="auto"/>
          <w:spacing w:val="0"/>
          <w:w w:val="100"/>
          <w:sz w:val="24"/>
          <w:szCs w:val="24"/>
          <w:lang w:val="en-US" w:eastAsia="zh-CN"/>
        </w:rPr>
        <w:t>预算金额：</w:t>
      </w:r>
      <w:r>
        <w:rPr>
          <w:rFonts w:hint="eastAsia" w:ascii="宋体" w:hAnsi="宋体" w:eastAsia="宋体" w:cs="宋体"/>
          <w:b w:val="0"/>
          <w:i w:val="0"/>
          <w:caps w:val="0"/>
          <w:color w:val="auto"/>
          <w:spacing w:val="0"/>
          <w:w w:val="100"/>
          <w:sz w:val="24"/>
          <w:szCs w:val="24"/>
          <w:highlight w:val="none"/>
          <w:lang w:val="en-US" w:eastAsia="zh-CN"/>
        </w:rPr>
        <w:t>15328446.99元</w:t>
      </w:r>
    </w:p>
    <w:p>
      <w:pPr>
        <w:snapToGrid w:val="0"/>
        <w:spacing w:before="0" w:beforeAutospacing="0" w:after="0" w:afterAutospacing="0" w:line="400" w:lineRule="exact"/>
        <w:ind w:firstLine="480" w:firstLineChars="200"/>
        <w:jc w:val="left"/>
        <w:textAlignment w:val="baseline"/>
        <w:rPr>
          <w:rFonts w:hint="default" w:ascii="宋体" w:hAnsi="宋体" w:eastAsia="宋体" w:cs="宋体"/>
          <w:b w:val="0"/>
          <w:i w:val="0"/>
          <w:caps w:val="0"/>
          <w:color w:val="auto"/>
          <w:spacing w:val="0"/>
          <w:w w:val="100"/>
          <w:sz w:val="24"/>
          <w:szCs w:val="24"/>
          <w:highlight w:val="red"/>
          <w:lang w:val="en-US" w:eastAsia="zh-CN"/>
        </w:rPr>
      </w:pPr>
      <w:r>
        <w:rPr>
          <w:rFonts w:hint="eastAsia" w:ascii="宋体" w:hAnsi="宋体" w:eastAsia="宋体" w:cs="宋体"/>
          <w:b w:val="0"/>
          <w:i w:val="0"/>
          <w:caps w:val="0"/>
          <w:color w:val="auto"/>
          <w:spacing w:val="0"/>
          <w:w w:val="100"/>
          <w:sz w:val="24"/>
        </w:rPr>
        <w:t>最高限价（元）：</w:t>
      </w:r>
      <w:r>
        <w:rPr>
          <w:rFonts w:hint="eastAsia" w:ascii="宋体" w:hAnsi="宋体" w:eastAsia="宋体" w:cs="宋体"/>
          <w:b w:val="0"/>
          <w:i w:val="0"/>
          <w:caps w:val="0"/>
          <w:color w:val="auto"/>
          <w:spacing w:val="0"/>
          <w:w w:val="100"/>
          <w:sz w:val="24"/>
          <w:lang w:val="en-US" w:eastAsia="zh-CN"/>
        </w:rPr>
        <w:t>1635961.082元、2464419.31元、2805420.74元、3285296.08元、3342349.1元、1795000.68元；</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标项一：</w:t>
      </w:r>
    </w:p>
    <w:p>
      <w:pPr>
        <w:snapToGrid w:val="0"/>
        <w:spacing w:before="0" w:beforeAutospacing="0" w:after="0" w:afterAutospacing="0" w:line="400" w:lineRule="exact"/>
        <w:ind w:firstLine="480" w:firstLineChars="200"/>
        <w:jc w:val="left"/>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lang w:val="en-US" w:eastAsia="zh-CN"/>
        </w:rPr>
        <w:t>绿化面积：</w:t>
      </w:r>
      <w:r>
        <w:rPr>
          <w:rFonts w:hint="eastAsia" w:ascii="宋体" w:hAnsi="宋体" w:eastAsia="宋体" w:cs="宋体"/>
          <w:b w:val="0"/>
          <w:i w:val="0"/>
          <w:caps w:val="0"/>
          <w:color w:val="auto"/>
          <w:spacing w:val="0"/>
          <w:w w:val="100"/>
          <w:sz w:val="24"/>
          <w:szCs w:val="24"/>
          <w:highlight w:val="none"/>
          <w:lang w:val="en-US" w:eastAsia="zh-CN"/>
        </w:rPr>
        <w:t>209808.87㎡</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预算金额：1635961.082元</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rPr>
        <w:t>最高限价（元）：</w:t>
      </w:r>
      <w:r>
        <w:rPr>
          <w:rFonts w:hint="eastAsia" w:ascii="宋体" w:hAnsi="宋体" w:eastAsia="宋体" w:cs="宋体"/>
          <w:b w:val="0"/>
          <w:i w:val="0"/>
          <w:caps w:val="0"/>
          <w:color w:val="auto"/>
          <w:spacing w:val="0"/>
          <w:w w:val="100"/>
          <w:sz w:val="24"/>
          <w:szCs w:val="24"/>
          <w:highlight w:val="none"/>
          <w:lang w:val="en-US" w:eastAsia="zh-CN"/>
        </w:rPr>
        <w:t>1635961.082</w:t>
      </w:r>
      <w:r>
        <w:rPr>
          <w:rFonts w:hint="eastAsia" w:ascii="宋体" w:hAnsi="宋体" w:eastAsia="宋体" w:cs="宋体"/>
          <w:b w:val="0"/>
          <w:i w:val="0"/>
          <w:caps w:val="0"/>
          <w:color w:val="auto"/>
          <w:spacing w:val="0"/>
          <w:w w:val="100"/>
          <w:sz w:val="24"/>
          <w:highlight w:val="none"/>
        </w:rPr>
        <w:t>元</w:t>
      </w:r>
    </w:p>
    <w:p>
      <w:pPr>
        <w:snapToGrid w:val="0"/>
        <w:spacing w:before="0" w:beforeAutospacing="0" w:after="0" w:afterAutospacing="0" w:line="400" w:lineRule="exact"/>
        <w:ind w:left="1679" w:leftChars="228" w:hanging="1200" w:hangingChars="500"/>
        <w:jc w:val="left"/>
        <w:textAlignment w:val="baseline"/>
        <w:rPr>
          <w:rFonts w:hint="default"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标项名称:</w:t>
      </w:r>
      <w:r>
        <w:rPr>
          <w:rFonts w:hint="eastAsia" w:ascii="宋体" w:hAnsi="宋体" w:eastAsia="宋体" w:cs="宋体"/>
          <w:b w:val="0"/>
          <w:bCs w:val="0"/>
          <w:color w:val="auto"/>
          <w:sz w:val="24"/>
          <w:szCs w:val="24"/>
          <w:highlight w:val="none"/>
          <w:lang w:val="en-US" w:eastAsia="zh-CN"/>
        </w:rPr>
        <w:t>2022年水磨沟区道路公共绿地市场化养护第一标段</w:t>
      </w:r>
    </w:p>
    <w:p>
      <w:pPr>
        <w:widowControl w:val="0"/>
        <w:snapToGrid w:val="0"/>
        <w:spacing w:before="0" w:beforeAutospacing="0" w:after="0" w:afterAutospacing="0" w:line="400" w:lineRule="exact"/>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项目基本概况介绍：</w:t>
      </w:r>
      <w:r>
        <w:rPr>
          <w:rFonts w:hint="eastAsia" w:ascii="宋体" w:hAnsi="宋体" w:eastAsia="宋体" w:cs="宋体"/>
          <w:b w:val="0"/>
          <w:i w:val="0"/>
          <w:caps w:val="0"/>
          <w:color w:val="auto"/>
          <w:spacing w:val="0"/>
          <w:w w:val="100"/>
          <w:sz w:val="24"/>
          <w:szCs w:val="24"/>
          <w:highlight w:val="none"/>
          <w:lang w:val="en-US" w:eastAsia="zh-CN"/>
        </w:rPr>
        <w:t>第一标段绿地日常管理养护</w:t>
      </w:r>
      <w:r>
        <w:rPr>
          <w:rFonts w:hint="eastAsia" w:ascii="宋体" w:hAnsi="宋体" w:eastAsia="宋体" w:cs="宋体"/>
          <w:b w:val="0"/>
          <w:bCs/>
          <w:i w:val="0"/>
          <w:caps w:val="0"/>
          <w:color w:val="auto"/>
          <w:spacing w:val="0"/>
          <w:w w:val="100"/>
          <w:sz w:val="24"/>
          <w:szCs w:val="24"/>
          <w:lang w:val="en-US" w:eastAsia="zh-CN"/>
        </w:rPr>
        <w:t>，</w:t>
      </w:r>
      <w:r>
        <w:rPr>
          <w:rFonts w:hint="eastAsia" w:ascii="宋体" w:hAnsi="宋体" w:eastAsia="宋体" w:cs="宋体"/>
          <w:b w:val="0"/>
          <w:i w:val="0"/>
          <w:caps w:val="0"/>
          <w:color w:val="auto"/>
          <w:spacing w:val="0"/>
          <w:w w:val="100"/>
          <w:sz w:val="24"/>
          <w:szCs w:val="24"/>
          <w:lang w:val="en-US" w:eastAsia="zh-CN"/>
        </w:rPr>
        <w:t>具体详见招标文件；</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标项二：</w:t>
      </w:r>
    </w:p>
    <w:p>
      <w:pPr>
        <w:snapToGrid w:val="0"/>
        <w:spacing w:before="0" w:beforeAutospacing="0" w:after="0" w:afterAutospacing="0" w:line="400" w:lineRule="exact"/>
        <w:ind w:firstLine="480" w:firstLineChars="200"/>
        <w:jc w:val="left"/>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lang w:val="en-US" w:eastAsia="zh-CN"/>
        </w:rPr>
        <w:t>绿化面积：</w:t>
      </w:r>
      <w:r>
        <w:rPr>
          <w:rFonts w:hint="eastAsia" w:ascii="宋体" w:hAnsi="宋体" w:eastAsia="宋体" w:cs="宋体"/>
          <w:b w:val="0"/>
          <w:i w:val="0"/>
          <w:caps w:val="0"/>
          <w:color w:val="auto"/>
          <w:spacing w:val="0"/>
          <w:w w:val="100"/>
          <w:sz w:val="24"/>
          <w:szCs w:val="24"/>
          <w:highlight w:val="none"/>
          <w:lang w:val="en-US" w:eastAsia="zh-CN"/>
        </w:rPr>
        <w:t>297396.62㎡</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预算金额：2464419.31元</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rPr>
        <w:t>最高限价（元）：</w:t>
      </w:r>
      <w:r>
        <w:rPr>
          <w:rFonts w:hint="eastAsia" w:ascii="宋体" w:hAnsi="宋体" w:eastAsia="宋体" w:cs="宋体"/>
          <w:b w:val="0"/>
          <w:i w:val="0"/>
          <w:caps w:val="0"/>
          <w:color w:val="auto"/>
          <w:spacing w:val="0"/>
          <w:w w:val="100"/>
          <w:sz w:val="24"/>
          <w:szCs w:val="24"/>
          <w:highlight w:val="none"/>
          <w:lang w:val="en-US" w:eastAsia="zh-CN"/>
        </w:rPr>
        <w:t>2464419.31</w:t>
      </w:r>
      <w:r>
        <w:rPr>
          <w:rFonts w:hint="eastAsia" w:ascii="宋体" w:hAnsi="宋体" w:eastAsia="宋体" w:cs="宋体"/>
          <w:b w:val="0"/>
          <w:i w:val="0"/>
          <w:caps w:val="0"/>
          <w:color w:val="auto"/>
          <w:spacing w:val="0"/>
          <w:w w:val="100"/>
          <w:sz w:val="24"/>
          <w:highlight w:val="none"/>
        </w:rPr>
        <w:t>元</w:t>
      </w:r>
    </w:p>
    <w:p>
      <w:pPr>
        <w:snapToGrid w:val="0"/>
        <w:spacing w:before="0" w:beforeAutospacing="0" w:after="0" w:afterAutospacing="0" w:line="400" w:lineRule="exact"/>
        <w:ind w:left="1679" w:leftChars="228" w:hanging="1200" w:hangingChars="500"/>
        <w:jc w:val="left"/>
        <w:textAlignment w:val="baseline"/>
        <w:rPr>
          <w:rFonts w:hint="default"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标项名称:</w:t>
      </w:r>
      <w:r>
        <w:rPr>
          <w:rFonts w:hint="eastAsia" w:ascii="宋体" w:hAnsi="宋体" w:eastAsia="宋体" w:cs="宋体"/>
          <w:b w:val="0"/>
          <w:bCs w:val="0"/>
          <w:color w:val="auto"/>
          <w:sz w:val="24"/>
          <w:szCs w:val="24"/>
          <w:highlight w:val="none"/>
          <w:lang w:val="en-US" w:eastAsia="zh-CN"/>
        </w:rPr>
        <w:t>2022年水磨沟区道路公共绿地市场化养护第二标段</w:t>
      </w:r>
    </w:p>
    <w:p>
      <w:pPr>
        <w:widowControl w:val="0"/>
        <w:snapToGrid w:val="0"/>
        <w:spacing w:before="0" w:beforeAutospacing="0" w:after="0" w:afterAutospacing="0" w:line="400" w:lineRule="exact"/>
        <w:ind w:firstLine="480" w:firstLineChars="20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b w:val="0"/>
          <w:i w:val="0"/>
          <w:caps w:val="0"/>
          <w:color w:val="auto"/>
          <w:spacing w:val="0"/>
          <w:w w:val="100"/>
          <w:sz w:val="24"/>
          <w:szCs w:val="24"/>
          <w:lang w:val="en-US" w:eastAsia="zh-CN"/>
        </w:rPr>
        <w:t>项目基本概况介绍：</w:t>
      </w:r>
      <w:r>
        <w:rPr>
          <w:rFonts w:hint="eastAsia" w:ascii="宋体" w:hAnsi="宋体" w:eastAsia="宋体" w:cs="宋体"/>
          <w:b w:val="0"/>
          <w:i w:val="0"/>
          <w:caps w:val="0"/>
          <w:color w:val="auto"/>
          <w:spacing w:val="0"/>
          <w:w w:val="100"/>
          <w:sz w:val="24"/>
          <w:szCs w:val="24"/>
          <w:highlight w:val="none"/>
          <w:lang w:val="en-US" w:eastAsia="zh-CN"/>
        </w:rPr>
        <w:t>第二标段绿地日常管理养护</w:t>
      </w:r>
      <w:r>
        <w:rPr>
          <w:rFonts w:hint="eastAsia" w:ascii="宋体" w:hAnsi="宋体" w:eastAsia="宋体" w:cs="宋体"/>
          <w:b w:val="0"/>
          <w:bCs/>
          <w:i w:val="0"/>
          <w:caps w:val="0"/>
          <w:color w:val="auto"/>
          <w:spacing w:val="0"/>
          <w:w w:val="100"/>
          <w:sz w:val="24"/>
          <w:szCs w:val="24"/>
          <w:lang w:val="en-US" w:eastAsia="zh-CN"/>
        </w:rPr>
        <w:t>，</w:t>
      </w:r>
      <w:r>
        <w:rPr>
          <w:rFonts w:hint="eastAsia" w:ascii="宋体" w:hAnsi="宋体" w:eastAsia="宋体" w:cs="宋体"/>
          <w:b w:val="0"/>
          <w:i w:val="0"/>
          <w:caps w:val="0"/>
          <w:color w:val="auto"/>
          <w:spacing w:val="0"/>
          <w:w w:val="100"/>
          <w:sz w:val="24"/>
          <w:szCs w:val="24"/>
          <w:lang w:val="en-US" w:eastAsia="zh-CN"/>
        </w:rPr>
        <w:t>具体详见招标文件；</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标项三：</w:t>
      </w:r>
    </w:p>
    <w:p>
      <w:pPr>
        <w:snapToGrid w:val="0"/>
        <w:spacing w:before="0" w:beforeAutospacing="0" w:after="0" w:afterAutospacing="0" w:line="400" w:lineRule="exact"/>
        <w:ind w:firstLine="480" w:firstLineChars="200"/>
        <w:jc w:val="left"/>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lang w:val="en-US" w:eastAsia="zh-CN"/>
        </w:rPr>
        <w:t>绿化面积：</w:t>
      </w:r>
      <w:r>
        <w:rPr>
          <w:rFonts w:hint="eastAsia" w:ascii="宋体" w:hAnsi="宋体" w:eastAsia="宋体" w:cs="宋体"/>
          <w:b w:val="0"/>
          <w:i w:val="0"/>
          <w:caps w:val="0"/>
          <w:color w:val="auto"/>
          <w:spacing w:val="0"/>
          <w:w w:val="100"/>
          <w:sz w:val="24"/>
          <w:szCs w:val="24"/>
          <w:highlight w:val="none"/>
          <w:lang w:val="en-US" w:eastAsia="zh-CN"/>
        </w:rPr>
        <w:t>327367.68㎡</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预算金额：</w:t>
      </w:r>
      <w:r>
        <w:rPr>
          <w:rFonts w:hint="eastAsia" w:ascii="宋体" w:hAnsi="宋体" w:eastAsia="宋体" w:cs="宋体"/>
          <w:b w:val="0"/>
          <w:i w:val="0"/>
          <w:caps w:val="0"/>
          <w:color w:val="auto"/>
          <w:spacing w:val="0"/>
          <w:w w:val="100"/>
          <w:sz w:val="24"/>
          <w:szCs w:val="24"/>
          <w:highlight w:val="none"/>
          <w:lang w:val="en-US" w:eastAsia="zh-CN"/>
        </w:rPr>
        <w:t>2805420.74元</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rPr>
        <w:t>最高限价（元）：</w:t>
      </w:r>
      <w:r>
        <w:rPr>
          <w:rFonts w:hint="eastAsia" w:ascii="宋体" w:hAnsi="宋体" w:eastAsia="宋体" w:cs="宋体"/>
          <w:b w:val="0"/>
          <w:i w:val="0"/>
          <w:caps w:val="0"/>
          <w:color w:val="auto"/>
          <w:spacing w:val="0"/>
          <w:w w:val="100"/>
          <w:sz w:val="24"/>
          <w:szCs w:val="24"/>
          <w:highlight w:val="none"/>
          <w:lang w:val="en-US" w:eastAsia="zh-CN"/>
        </w:rPr>
        <w:t>2805420.74</w:t>
      </w:r>
      <w:r>
        <w:rPr>
          <w:rFonts w:hint="eastAsia" w:ascii="宋体" w:hAnsi="宋体" w:eastAsia="宋体" w:cs="宋体"/>
          <w:b w:val="0"/>
          <w:i w:val="0"/>
          <w:caps w:val="0"/>
          <w:color w:val="auto"/>
          <w:spacing w:val="0"/>
          <w:w w:val="100"/>
          <w:sz w:val="24"/>
          <w:highlight w:val="none"/>
        </w:rPr>
        <w:t>元</w:t>
      </w:r>
    </w:p>
    <w:p>
      <w:pPr>
        <w:snapToGrid w:val="0"/>
        <w:spacing w:before="0" w:beforeAutospacing="0" w:after="0" w:afterAutospacing="0" w:line="400" w:lineRule="exact"/>
        <w:ind w:left="1679" w:leftChars="228" w:hanging="1200" w:hangingChars="500"/>
        <w:jc w:val="left"/>
        <w:textAlignment w:val="baseline"/>
        <w:rPr>
          <w:rFonts w:hint="default"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标项名称:</w:t>
      </w:r>
      <w:r>
        <w:rPr>
          <w:rFonts w:hint="eastAsia" w:ascii="宋体" w:hAnsi="宋体" w:eastAsia="宋体" w:cs="宋体"/>
          <w:b w:val="0"/>
          <w:bCs w:val="0"/>
          <w:color w:val="auto"/>
          <w:sz w:val="24"/>
          <w:szCs w:val="24"/>
          <w:highlight w:val="none"/>
          <w:lang w:val="en-US" w:eastAsia="zh-CN"/>
        </w:rPr>
        <w:t>2022年水磨沟区道路公共绿地市场化养护第三标段</w:t>
      </w:r>
    </w:p>
    <w:p>
      <w:pPr>
        <w:widowControl w:val="0"/>
        <w:snapToGrid w:val="0"/>
        <w:spacing w:before="0" w:beforeAutospacing="0" w:after="0" w:afterAutospacing="0" w:line="400" w:lineRule="exact"/>
        <w:ind w:firstLine="480" w:firstLineChars="20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b w:val="0"/>
          <w:i w:val="0"/>
          <w:caps w:val="0"/>
          <w:color w:val="auto"/>
          <w:spacing w:val="0"/>
          <w:w w:val="100"/>
          <w:sz w:val="24"/>
          <w:szCs w:val="24"/>
          <w:lang w:val="en-US" w:eastAsia="zh-CN"/>
        </w:rPr>
        <w:t>项目基本概况介绍：</w:t>
      </w:r>
      <w:r>
        <w:rPr>
          <w:rFonts w:hint="eastAsia" w:ascii="宋体" w:hAnsi="宋体" w:eastAsia="宋体" w:cs="宋体"/>
          <w:b w:val="0"/>
          <w:i w:val="0"/>
          <w:caps w:val="0"/>
          <w:color w:val="auto"/>
          <w:spacing w:val="0"/>
          <w:w w:val="100"/>
          <w:sz w:val="24"/>
          <w:szCs w:val="24"/>
          <w:highlight w:val="none"/>
          <w:lang w:val="en-US" w:eastAsia="zh-CN"/>
        </w:rPr>
        <w:t>第三标段绿地日常管理养护</w:t>
      </w:r>
      <w:r>
        <w:rPr>
          <w:rFonts w:hint="eastAsia" w:ascii="宋体" w:hAnsi="宋体" w:eastAsia="宋体" w:cs="宋体"/>
          <w:b w:val="0"/>
          <w:bCs/>
          <w:i w:val="0"/>
          <w:caps w:val="0"/>
          <w:color w:val="auto"/>
          <w:spacing w:val="0"/>
          <w:w w:val="100"/>
          <w:sz w:val="24"/>
          <w:szCs w:val="24"/>
          <w:lang w:val="en-US" w:eastAsia="zh-CN"/>
        </w:rPr>
        <w:t>，</w:t>
      </w:r>
      <w:r>
        <w:rPr>
          <w:rFonts w:hint="eastAsia" w:ascii="宋体" w:hAnsi="宋体" w:eastAsia="宋体" w:cs="宋体"/>
          <w:b w:val="0"/>
          <w:i w:val="0"/>
          <w:caps w:val="0"/>
          <w:color w:val="auto"/>
          <w:spacing w:val="0"/>
          <w:w w:val="100"/>
          <w:sz w:val="24"/>
          <w:szCs w:val="24"/>
          <w:lang w:val="en-US" w:eastAsia="zh-CN"/>
        </w:rPr>
        <w:t>具体详见招标文件；</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标项四：</w:t>
      </w:r>
    </w:p>
    <w:p>
      <w:pPr>
        <w:snapToGrid w:val="0"/>
        <w:spacing w:before="0" w:beforeAutospacing="0" w:after="0" w:afterAutospacing="0" w:line="400" w:lineRule="exact"/>
        <w:ind w:firstLine="480" w:firstLineChars="200"/>
        <w:jc w:val="left"/>
        <w:textAlignment w:val="baseline"/>
        <w:rPr>
          <w:rFonts w:hint="default" w:ascii="宋体" w:hAnsi="宋体" w:eastAsia="宋体" w:cs="宋体"/>
          <w:b w:val="0"/>
          <w:i w:val="0"/>
          <w:caps w:val="0"/>
          <w:color w:val="auto"/>
          <w:spacing w:val="0"/>
          <w:w w:val="100"/>
          <w:sz w:val="24"/>
          <w:szCs w:val="24"/>
          <w:highlight w:val="red"/>
          <w:lang w:val="en-US" w:eastAsia="zh-CN"/>
        </w:rPr>
      </w:pPr>
      <w:r>
        <w:rPr>
          <w:rFonts w:hint="eastAsia" w:ascii="宋体" w:hAnsi="宋体" w:eastAsia="宋体" w:cs="宋体"/>
          <w:b w:val="0"/>
          <w:i w:val="0"/>
          <w:caps w:val="0"/>
          <w:color w:val="auto"/>
          <w:spacing w:val="0"/>
          <w:w w:val="100"/>
          <w:sz w:val="24"/>
          <w:szCs w:val="24"/>
          <w:lang w:val="en-US" w:eastAsia="zh-CN"/>
        </w:rPr>
        <w:t>绿化面积：</w:t>
      </w:r>
      <w:r>
        <w:rPr>
          <w:rFonts w:hint="eastAsia" w:ascii="宋体" w:hAnsi="宋体" w:eastAsia="宋体" w:cs="宋体"/>
          <w:b w:val="0"/>
          <w:i w:val="0"/>
          <w:caps w:val="0"/>
          <w:color w:val="auto"/>
          <w:spacing w:val="0"/>
          <w:w w:val="100"/>
          <w:sz w:val="24"/>
          <w:szCs w:val="24"/>
          <w:highlight w:val="none"/>
          <w:lang w:val="en-US" w:eastAsia="zh-CN"/>
        </w:rPr>
        <w:t>392978㎡</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预算金额：</w:t>
      </w:r>
      <w:r>
        <w:rPr>
          <w:rFonts w:hint="eastAsia" w:ascii="宋体" w:hAnsi="宋体" w:eastAsia="宋体" w:cs="宋体"/>
          <w:b w:val="0"/>
          <w:i w:val="0"/>
          <w:caps w:val="0"/>
          <w:color w:val="auto"/>
          <w:spacing w:val="0"/>
          <w:w w:val="100"/>
          <w:sz w:val="24"/>
          <w:szCs w:val="24"/>
          <w:highlight w:val="none"/>
          <w:lang w:val="en-US" w:eastAsia="zh-CN"/>
        </w:rPr>
        <w:t>3285296.08元</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rPr>
        <w:t>最高限价（元）：</w:t>
      </w:r>
      <w:r>
        <w:rPr>
          <w:rFonts w:hint="eastAsia" w:ascii="宋体" w:hAnsi="宋体" w:eastAsia="宋体" w:cs="宋体"/>
          <w:b w:val="0"/>
          <w:i w:val="0"/>
          <w:caps w:val="0"/>
          <w:color w:val="auto"/>
          <w:spacing w:val="0"/>
          <w:w w:val="100"/>
          <w:sz w:val="24"/>
          <w:szCs w:val="24"/>
          <w:highlight w:val="none"/>
          <w:lang w:val="en-US" w:eastAsia="zh-CN"/>
        </w:rPr>
        <w:t>3285296.08</w:t>
      </w:r>
      <w:r>
        <w:rPr>
          <w:rFonts w:hint="eastAsia" w:ascii="宋体" w:hAnsi="宋体" w:eastAsia="宋体" w:cs="宋体"/>
          <w:b w:val="0"/>
          <w:i w:val="0"/>
          <w:caps w:val="0"/>
          <w:color w:val="auto"/>
          <w:spacing w:val="0"/>
          <w:w w:val="100"/>
          <w:sz w:val="24"/>
          <w:highlight w:val="none"/>
        </w:rPr>
        <w:t>元</w:t>
      </w:r>
    </w:p>
    <w:p>
      <w:pPr>
        <w:snapToGrid w:val="0"/>
        <w:spacing w:before="0" w:beforeAutospacing="0" w:after="0" w:afterAutospacing="0" w:line="400" w:lineRule="exact"/>
        <w:ind w:left="1679" w:leftChars="228" w:hanging="1200" w:hangingChars="500"/>
        <w:jc w:val="left"/>
        <w:textAlignment w:val="baseline"/>
        <w:rPr>
          <w:rFonts w:hint="default"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标项名称</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2022年水磨沟区道路公共绿地市场化养护第四标段</w:t>
      </w:r>
    </w:p>
    <w:p>
      <w:pPr>
        <w:widowControl w:val="0"/>
        <w:snapToGrid w:val="0"/>
        <w:spacing w:before="0" w:beforeAutospacing="0" w:after="0" w:afterAutospacing="0" w:line="400" w:lineRule="exact"/>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项目基本概况介绍：</w:t>
      </w:r>
      <w:r>
        <w:rPr>
          <w:rFonts w:hint="eastAsia" w:ascii="宋体" w:hAnsi="宋体" w:eastAsia="宋体" w:cs="宋体"/>
          <w:b w:val="0"/>
          <w:i w:val="0"/>
          <w:caps w:val="0"/>
          <w:color w:val="auto"/>
          <w:spacing w:val="0"/>
          <w:w w:val="100"/>
          <w:sz w:val="24"/>
          <w:szCs w:val="24"/>
          <w:highlight w:val="none"/>
          <w:lang w:val="en-US" w:eastAsia="zh-CN"/>
        </w:rPr>
        <w:t>第四标段绿地日常管理养护</w:t>
      </w:r>
      <w:r>
        <w:rPr>
          <w:rFonts w:hint="eastAsia" w:ascii="宋体" w:hAnsi="宋体" w:eastAsia="宋体" w:cs="宋体"/>
          <w:b w:val="0"/>
          <w:bCs/>
          <w:i w:val="0"/>
          <w:caps w:val="0"/>
          <w:color w:val="auto"/>
          <w:spacing w:val="0"/>
          <w:w w:val="100"/>
          <w:sz w:val="24"/>
          <w:szCs w:val="24"/>
          <w:lang w:val="en-US" w:eastAsia="zh-CN"/>
        </w:rPr>
        <w:t>，</w:t>
      </w:r>
      <w:r>
        <w:rPr>
          <w:rFonts w:hint="eastAsia" w:ascii="宋体" w:hAnsi="宋体" w:eastAsia="宋体" w:cs="宋体"/>
          <w:b w:val="0"/>
          <w:i w:val="0"/>
          <w:caps w:val="0"/>
          <w:color w:val="auto"/>
          <w:spacing w:val="0"/>
          <w:w w:val="100"/>
          <w:sz w:val="24"/>
          <w:szCs w:val="24"/>
          <w:lang w:val="en-US" w:eastAsia="zh-CN"/>
        </w:rPr>
        <w:t>具体详见招标文件；</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标项五：</w:t>
      </w:r>
    </w:p>
    <w:p>
      <w:pPr>
        <w:snapToGrid w:val="0"/>
        <w:spacing w:before="0" w:beforeAutospacing="0" w:after="0" w:afterAutospacing="0" w:line="400" w:lineRule="exact"/>
        <w:ind w:firstLine="480" w:firstLineChars="200"/>
        <w:jc w:val="left"/>
        <w:textAlignment w:val="baseline"/>
        <w:rPr>
          <w:rFonts w:hint="default" w:ascii="宋体" w:hAnsi="宋体" w:eastAsia="宋体" w:cs="宋体"/>
          <w:b w:val="0"/>
          <w:i w:val="0"/>
          <w:caps w:val="0"/>
          <w:color w:val="auto"/>
          <w:spacing w:val="0"/>
          <w:w w:val="100"/>
          <w:sz w:val="24"/>
          <w:szCs w:val="24"/>
          <w:highlight w:val="red"/>
          <w:lang w:val="en-US" w:eastAsia="zh-CN"/>
        </w:rPr>
      </w:pPr>
      <w:r>
        <w:rPr>
          <w:rFonts w:hint="eastAsia" w:ascii="宋体" w:hAnsi="宋体" w:eastAsia="宋体" w:cs="宋体"/>
          <w:b w:val="0"/>
          <w:i w:val="0"/>
          <w:caps w:val="0"/>
          <w:color w:val="auto"/>
          <w:spacing w:val="0"/>
          <w:w w:val="100"/>
          <w:sz w:val="24"/>
          <w:szCs w:val="24"/>
          <w:lang w:val="en-US" w:eastAsia="zh-CN"/>
        </w:rPr>
        <w:t>绿化面积：</w:t>
      </w:r>
      <w:r>
        <w:rPr>
          <w:rFonts w:hint="eastAsia" w:ascii="宋体" w:hAnsi="宋体" w:eastAsia="宋体" w:cs="宋体"/>
          <w:b w:val="0"/>
          <w:i w:val="0"/>
          <w:caps w:val="0"/>
          <w:color w:val="auto"/>
          <w:spacing w:val="0"/>
          <w:w w:val="100"/>
          <w:sz w:val="24"/>
          <w:szCs w:val="24"/>
          <w:highlight w:val="none"/>
          <w:lang w:val="en-US" w:eastAsia="zh-CN"/>
        </w:rPr>
        <w:t>422206.1㎡</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lang w:val="en-US" w:eastAsia="zh-CN"/>
        </w:rPr>
        <w:t>预算金额：</w:t>
      </w:r>
      <w:r>
        <w:rPr>
          <w:rFonts w:hint="eastAsia" w:ascii="宋体" w:hAnsi="宋体" w:eastAsia="宋体" w:cs="宋体"/>
          <w:b w:val="0"/>
          <w:i w:val="0"/>
          <w:caps w:val="0"/>
          <w:color w:val="auto"/>
          <w:spacing w:val="0"/>
          <w:w w:val="100"/>
          <w:sz w:val="24"/>
          <w:szCs w:val="24"/>
          <w:highlight w:val="none"/>
          <w:lang w:val="en-US" w:eastAsia="zh-CN"/>
        </w:rPr>
        <w:t>3342349.1元</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rPr>
        <w:t>最高限价（元）：</w:t>
      </w:r>
      <w:r>
        <w:rPr>
          <w:rFonts w:hint="eastAsia" w:ascii="宋体" w:hAnsi="宋体" w:eastAsia="宋体" w:cs="宋体"/>
          <w:b w:val="0"/>
          <w:i w:val="0"/>
          <w:caps w:val="0"/>
          <w:color w:val="auto"/>
          <w:spacing w:val="0"/>
          <w:w w:val="100"/>
          <w:sz w:val="24"/>
          <w:szCs w:val="24"/>
          <w:highlight w:val="none"/>
          <w:lang w:val="en-US" w:eastAsia="zh-CN"/>
        </w:rPr>
        <w:t>3342349.1</w:t>
      </w:r>
      <w:r>
        <w:rPr>
          <w:rFonts w:hint="eastAsia" w:ascii="宋体" w:hAnsi="宋体" w:eastAsia="宋体" w:cs="宋体"/>
          <w:b w:val="0"/>
          <w:i w:val="0"/>
          <w:caps w:val="0"/>
          <w:color w:val="auto"/>
          <w:spacing w:val="0"/>
          <w:w w:val="100"/>
          <w:sz w:val="24"/>
          <w:highlight w:val="none"/>
        </w:rPr>
        <w:t>元</w:t>
      </w:r>
    </w:p>
    <w:p>
      <w:pPr>
        <w:snapToGrid w:val="0"/>
        <w:spacing w:before="0" w:beforeAutospacing="0" w:after="0" w:afterAutospacing="0" w:line="400" w:lineRule="exact"/>
        <w:ind w:left="1679" w:leftChars="228" w:hanging="1200" w:hangingChars="500"/>
        <w:jc w:val="left"/>
        <w:textAlignment w:val="baseline"/>
        <w:rPr>
          <w:rFonts w:hint="default"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标项名称:</w:t>
      </w:r>
      <w:r>
        <w:rPr>
          <w:rFonts w:hint="eastAsia" w:ascii="宋体" w:hAnsi="宋体" w:eastAsia="宋体" w:cs="宋体"/>
          <w:b w:val="0"/>
          <w:bCs w:val="0"/>
          <w:color w:val="auto"/>
          <w:sz w:val="24"/>
          <w:szCs w:val="24"/>
          <w:highlight w:val="none"/>
          <w:lang w:val="en-US" w:eastAsia="zh-CN"/>
        </w:rPr>
        <w:t>2022年水磨沟区道路公共绿地市场化养护第五标段</w:t>
      </w:r>
    </w:p>
    <w:p>
      <w:pPr>
        <w:widowControl w:val="0"/>
        <w:snapToGrid w:val="0"/>
        <w:spacing w:before="0" w:beforeAutospacing="0" w:after="0" w:afterAutospacing="0" w:line="400" w:lineRule="exact"/>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项目基本概况介绍：</w:t>
      </w:r>
      <w:r>
        <w:rPr>
          <w:rFonts w:hint="eastAsia" w:ascii="宋体" w:hAnsi="宋体" w:eastAsia="宋体" w:cs="宋体"/>
          <w:b w:val="0"/>
          <w:i w:val="0"/>
          <w:caps w:val="0"/>
          <w:color w:val="auto"/>
          <w:spacing w:val="0"/>
          <w:w w:val="100"/>
          <w:sz w:val="24"/>
          <w:szCs w:val="24"/>
          <w:highlight w:val="none"/>
          <w:lang w:val="en-US" w:eastAsia="zh-CN"/>
        </w:rPr>
        <w:t>第五标段绿地日常管理养护</w:t>
      </w:r>
      <w:r>
        <w:rPr>
          <w:rFonts w:hint="eastAsia" w:ascii="宋体" w:hAnsi="宋体" w:eastAsia="宋体" w:cs="宋体"/>
          <w:b w:val="0"/>
          <w:bCs/>
          <w:i w:val="0"/>
          <w:caps w:val="0"/>
          <w:color w:val="auto"/>
          <w:spacing w:val="0"/>
          <w:w w:val="100"/>
          <w:sz w:val="24"/>
          <w:szCs w:val="24"/>
          <w:lang w:val="en-US" w:eastAsia="zh-CN"/>
        </w:rPr>
        <w:t>，</w:t>
      </w:r>
      <w:r>
        <w:rPr>
          <w:rFonts w:hint="eastAsia" w:ascii="宋体" w:hAnsi="宋体" w:eastAsia="宋体" w:cs="宋体"/>
          <w:b w:val="0"/>
          <w:i w:val="0"/>
          <w:caps w:val="0"/>
          <w:color w:val="auto"/>
          <w:spacing w:val="0"/>
          <w:w w:val="100"/>
          <w:sz w:val="24"/>
          <w:szCs w:val="24"/>
          <w:lang w:val="en-US" w:eastAsia="zh-CN"/>
        </w:rPr>
        <w:t>具体详见招标文件；</w:t>
      </w:r>
    </w:p>
    <w:p>
      <w:pPr>
        <w:pStyle w:val="11"/>
        <w:ind w:firstLine="480"/>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标项六：</w:t>
      </w:r>
    </w:p>
    <w:p>
      <w:pPr>
        <w:snapToGrid w:val="0"/>
        <w:spacing w:before="0" w:beforeAutospacing="0" w:after="0" w:afterAutospacing="0" w:line="400" w:lineRule="exact"/>
        <w:ind w:firstLine="480" w:firstLineChars="200"/>
        <w:jc w:val="left"/>
        <w:textAlignment w:val="baseline"/>
        <w:rPr>
          <w:rFonts w:hint="default" w:ascii="宋体" w:hAnsi="宋体" w:eastAsia="宋体" w:cs="宋体"/>
          <w:b w:val="0"/>
          <w:i w:val="0"/>
          <w:caps w:val="0"/>
          <w:color w:val="auto"/>
          <w:spacing w:val="0"/>
          <w:w w:val="100"/>
          <w:sz w:val="24"/>
          <w:szCs w:val="24"/>
          <w:highlight w:val="red"/>
          <w:lang w:val="en-US" w:eastAsia="zh-CN"/>
        </w:rPr>
      </w:pPr>
      <w:r>
        <w:rPr>
          <w:rFonts w:hint="eastAsia" w:ascii="宋体" w:hAnsi="宋体" w:eastAsia="宋体" w:cs="宋体"/>
          <w:b w:val="0"/>
          <w:i w:val="0"/>
          <w:caps w:val="0"/>
          <w:color w:val="auto"/>
          <w:spacing w:val="0"/>
          <w:w w:val="100"/>
          <w:sz w:val="24"/>
          <w:szCs w:val="24"/>
          <w:highlight w:val="none"/>
          <w:lang w:val="en-US" w:eastAsia="zh-CN"/>
        </w:rPr>
        <w:t>绿化面积：214713㎡</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预算金额：1795000.68元</w:t>
      </w:r>
    </w:p>
    <w:p>
      <w:pP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szCs w:val="24"/>
          <w:highlight w:val="red"/>
          <w:lang w:val="en-US" w:eastAsia="zh-CN"/>
        </w:rPr>
      </w:pPr>
      <w:r>
        <w:rPr>
          <w:rFonts w:hint="eastAsia" w:ascii="宋体" w:hAnsi="宋体" w:eastAsia="宋体" w:cs="宋体"/>
          <w:b w:val="0"/>
          <w:i w:val="0"/>
          <w:caps w:val="0"/>
          <w:color w:val="auto"/>
          <w:spacing w:val="0"/>
          <w:w w:val="100"/>
          <w:sz w:val="24"/>
          <w:highlight w:val="none"/>
        </w:rPr>
        <w:t>最高限价（元）：</w:t>
      </w:r>
      <w:r>
        <w:rPr>
          <w:rFonts w:hint="eastAsia" w:ascii="宋体" w:hAnsi="宋体" w:eastAsia="宋体" w:cs="宋体"/>
          <w:b w:val="0"/>
          <w:i w:val="0"/>
          <w:caps w:val="0"/>
          <w:color w:val="auto"/>
          <w:spacing w:val="0"/>
          <w:w w:val="100"/>
          <w:sz w:val="24"/>
          <w:szCs w:val="24"/>
          <w:highlight w:val="none"/>
          <w:lang w:val="en-US" w:eastAsia="zh-CN"/>
        </w:rPr>
        <w:t>1795000.68</w:t>
      </w:r>
      <w:r>
        <w:rPr>
          <w:rFonts w:hint="eastAsia" w:ascii="宋体" w:hAnsi="宋体" w:eastAsia="宋体" w:cs="宋体"/>
          <w:b w:val="0"/>
          <w:i w:val="0"/>
          <w:caps w:val="0"/>
          <w:color w:val="auto"/>
          <w:spacing w:val="0"/>
          <w:w w:val="100"/>
          <w:sz w:val="24"/>
          <w:highlight w:val="none"/>
        </w:rPr>
        <w:t>元</w:t>
      </w:r>
    </w:p>
    <w:p>
      <w:pPr>
        <w:snapToGrid w:val="0"/>
        <w:spacing w:before="0" w:beforeAutospacing="0" w:after="0" w:afterAutospacing="0" w:line="400" w:lineRule="exact"/>
        <w:ind w:left="1679" w:leftChars="228" w:hanging="1200" w:hangingChars="500"/>
        <w:jc w:val="left"/>
        <w:textAlignment w:val="baseline"/>
        <w:rPr>
          <w:rFonts w:hint="default"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lang w:val="en-US" w:eastAsia="zh-CN"/>
        </w:rPr>
        <w:t>标项名称:</w:t>
      </w:r>
      <w:r>
        <w:rPr>
          <w:rFonts w:hint="eastAsia" w:ascii="宋体" w:hAnsi="宋体" w:eastAsia="宋体" w:cs="宋体"/>
          <w:b w:val="0"/>
          <w:bCs w:val="0"/>
          <w:color w:val="auto"/>
          <w:sz w:val="24"/>
          <w:szCs w:val="24"/>
          <w:highlight w:val="none"/>
          <w:lang w:val="en-US" w:eastAsia="zh-CN"/>
        </w:rPr>
        <w:t>2022年水磨沟区道路公共绿地市场化养护第六标段</w:t>
      </w:r>
    </w:p>
    <w:p>
      <w:pPr>
        <w:widowControl w:val="0"/>
        <w:snapToGrid w:val="0"/>
        <w:spacing w:before="0" w:beforeAutospacing="0" w:after="0" w:afterAutospacing="0" w:line="400" w:lineRule="exact"/>
        <w:ind w:firstLine="480" w:firstLineChars="200"/>
        <w:jc w:val="both"/>
        <w:textAlignment w:val="baseline"/>
        <w:rPr>
          <w:rFonts w:hint="default"/>
          <w:lang w:val="en-US" w:eastAsia="zh-CN"/>
        </w:rPr>
      </w:pPr>
      <w:r>
        <w:rPr>
          <w:rFonts w:hint="eastAsia" w:ascii="宋体" w:hAnsi="宋体" w:eastAsia="宋体" w:cs="宋体"/>
          <w:b w:val="0"/>
          <w:i w:val="0"/>
          <w:caps w:val="0"/>
          <w:color w:val="auto"/>
          <w:spacing w:val="0"/>
          <w:w w:val="100"/>
          <w:sz w:val="24"/>
          <w:szCs w:val="24"/>
          <w:lang w:val="en-US" w:eastAsia="zh-CN"/>
        </w:rPr>
        <w:t>项目基本概况介绍：</w:t>
      </w:r>
      <w:r>
        <w:rPr>
          <w:rFonts w:hint="eastAsia" w:ascii="宋体" w:hAnsi="宋体" w:eastAsia="宋体" w:cs="宋体"/>
          <w:b w:val="0"/>
          <w:i w:val="0"/>
          <w:caps w:val="0"/>
          <w:color w:val="auto"/>
          <w:spacing w:val="0"/>
          <w:w w:val="100"/>
          <w:sz w:val="24"/>
          <w:szCs w:val="24"/>
          <w:highlight w:val="none"/>
          <w:lang w:val="en-US" w:eastAsia="zh-CN"/>
        </w:rPr>
        <w:t>第六标段绿地日常管理养护</w:t>
      </w:r>
      <w:r>
        <w:rPr>
          <w:rFonts w:hint="eastAsia" w:ascii="宋体" w:hAnsi="宋体" w:eastAsia="宋体" w:cs="宋体"/>
          <w:b w:val="0"/>
          <w:bCs/>
          <w:i w:val="0"/>
          <w:caps w:val="0"/>
          <w:color w:val="auto"/>
          <w:spacing w:val="0"/>
          <w:w w:val="100"/>
          <w:sz w:val="24"/>
          <w:szCs w:val="24"/>
          <w:lang w:val="en-US" w:eastAsia="zh-CN"/>
        </w:rPr>
        <w:t>，</w:t>
      </w:r>
      <w:r>
        <w:rPr>
          <w:rFonts w:hint="eastAsia" w:ascii="宋体" w:hAnsi="宋体" w:eastAsia="宋体" w:cs="宋体"/>
          <w:b w:val="0"/>
          <w:i w:val="0"/>
          <w:caps w:val="0"/>
          <w:color w:val="auto"/>
          <w:spacing w:val="0"/>
          <w:w w:val="100"/>
          <w:sz w:val="24"/>
          <w:szCs w:val="24"/>
          <w:lang w:val="en-US" w:eastAsia="zh-CN"/>
        </w:rPr>
        <w:t>具体详见招标文件；</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合同履约期限：合同签订之日起1年；</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本项目（否）接受联合体投标。</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p>
    <w:p>
      <w:pPr>
        <w:pageBreakBefore w:val="0"/>
        <w:numPr>
          <w:ilvl w:val="0"/>
          <w:numId w:val="0"/>
        </w:numPr>
        <w:kinsoku/>
        <w:wordWrap/>
        <w:overflowPunct/>
        <w:topLinePunct w:val="0"/>
        <w:autoSpaceDE/>
        <w:autoSpaceDN/>
        <w:bidi w:val="0"/>
        <w:adjustRightInd w:val="0"/>
        <w:snapToGrid w:val="0"/>
        <w:spacing w:line="400" w:lineRule="exact"/>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二、申请人的资格要求：</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outlineLvl w:val="1"/>
        <w:rPr>
          <w:rStyle w:val="16"/>
          <w:rFonts w:hint="eastAsia" w:ascii="宋体" w:hAnsi="宋体" w:eastAsia="宋体" w:cs="宋体"/>
          <w:b w:val="0"/>
          <w:bCs w:val="0"/>
          <w:color w:val="auto"/>
          <w:kern w:val="0"/>
          <w:sz w:val="24"/>
          <w:szCs w:val="24"/>
          <w:lang w:val="en-US" w:eastAsia="zh-CN" w:bidi="ar-SA"/>
        </w:rPr>
      </w:pPr>
      <w:r>
        <w:rPr>
          <w:rStyle w:val="16"/>
          <w:rFonts w:hint="eastAsia" w:ascii="宋体" w:hAnsi="宋体" w:eastAsia="宋体" w:cs="宋体"/>
          <w:b w:val="0"/>
          <w:bCs w:val="0"/>
          <w:color w:val="auto"/>
          <w:kern w:val="0"/>
          <w:sz w:val="24"/>
          <w:szCs w:val="24"/>
          <w:lang w:val="en-US" w:eastAsia="zh-CN" w:bidi="ar-SA"/>
        </w:rPr>
        <w:t>1.满足《中华人民共和国政府采购法》第二十二条规定；</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outlineLvl w:val="1"/>
        <w:rPr>
          <w:rStyle w:val="16"/>
          <w:rFonts w:hint="eastAsia" w:ascii="宋体" w:hAnsi="宋体" w:eastAsia="宋体" w:cs="宋体"/>
          <w:b w:val="0"/>
          <w:bCs w:val="0"/>
          <w:color w:val="auto"/>
          <w:kern w:val="0"/>
          <w:sz w:val="24"/>
          <w:szCs w:val="24"/>
          <w:lang w:val="en-US" w:eastAsia="zh-CN" w:bidi="ar-SA"/>
        </w:rPr>
      </w:pPr>
      <w:r>
        <w:rPr>
          <w:rStyle w:val="16"/>
          <w:rFonts w:hint="eastAsia" w:ascii="宋体" w:hAnsi="宋体" w:eastAsia="宋体" w:cs="宋体"/>
          <w:b w:val="0"/>
          <w:bCs w:val="0"/>
          <w:color w:val="auto"/>
          <w:kern w:val="0"/>
          <w:sz w:val="24"/>
          <w:szCs w:val="24"/>
          <w:lang w:val="en-US" w:eastAsia="zh-CN" w:bidi="ar-SA"/>
        </w:rPr>
        <w:t>2.落实政府采购政策需满足的资格要求：</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6"/>
          <w:rFonts w:hint="eastAsia" w:ascii="宋体" w:hAnsi="宋体" w:eastAsia="宋体" w:cs="宋体"/>
          <w:b w:val="0"/>
          <w:bCs w:val="0"/>
          <w:color w:val="auto"/>
          <w:kern w:val="0"/>
          <w:sz w:val="24"/>
          <w:szCs w:val="24"/>
          <w:highlight w:val="red"/>
          <w:lang w:val="en-US" w:eastAsia="zh-CN" w:bidi="ar-SA"/>
        </w:rPr>
      </w:pPr>
      <w:r>
        <w:rPr>
          <w:rStyle w:val="16"/>
          <w:rFonts w:hint="eastAsia" w:ascii="宋体" w:hAnsi="宋体" w:eastAsia="宋体" w:cs="宋体"/>
          <w:b w:val="0"/>
          <w:bCs w:val="0"/>
          <w:color w:val="auto"/>
          <w:kern w:val="0"/>
          <w:sz w:val="24"/>
          <w:szCs w:val="24"/>
          <w:highlight w:val="none"/>
          <w:lang w:val="en-US" w:eastAsia="zh-CN" w:bidi="ar-SA"/>
        </w:rPr>
        <w:t>（1）关于印发《政府采购促进中小企业发展管理办法》（财库〔2020〕46号）；</w:t>
      </w:r>
      <w:r>
        <w:rPr>
          <w:rStyle w:val="16"/>
          <w:rFonts w:hint="eastAsia" w:ascii="宋体" w:hAnsi="宋体" w:eastAsia="宋体" w:cs="宋体"/>
          <w:b w:val="0"/>
          <w:bCs w:val="0"/>
          <w:color w:val="auto"/>
          <w:kern w:val="0"/>
          <w:sz w:val="24"/>
          <w:szCs w:val="24"/>
          <w:highlight w:val="none"/>
          <w:lang w:val="en-US" w:eastAsia="zh-CN" w:bidi="ar-SA"/>
        </w:rPr>
        <w:br w:type="textWrapping"/>
      </w:r>
      <w:r>
        <w:rPr>
          <w:rStyle w:val="16"/>
          <w:rFonts w:hint="eastAsia" w:ascii="宋体" w:hAnsi="宋体" w:eastAsia="宋体" w:cs="宋体"/>
          <w:b w:val="0"/>
          <w:bCs w:val="0"/>
          <w:color w:val="auto"/>
          <w:kern w:val="0"/>
          <w:sz w:val="24"/>
          <w:szCs w:val="24"/>
          <w:highlight w:val="none"/>
          <w:lang w:val="en-US" w:eastAsia="zh-CN" w:bidi="ar-SA"/>
        </w:rPr>
        <w:t>（2）《财政部、司法部关于政府采购支持监狱企业发展有关问题的通知》（财库〔2014〕68号）；</w:t>
      </w:r>
      <w:r>
        <w:rPr>
          <w:rStyle w:val="16"/>
          <w:rFonts w:hint="eastAsia" w:ascii="宋体" w:hAnsi="宋体" w:eastAsia="宋体" w:cs="宋体"/>
          <w:b w:val="0"/>
          <w:bCs w:val="0"/>
          <w:color w:val="auto"/>
          <w:kern w:val="0"/>
          <w:sz w:val="24"/>
          <w:szCs w:val="24"/>
          <w:highlight w:val="none"/>
          <w:lang w:val="en-US" w:eastAsia="zh-CN" w:bidi="ar-SA"/>
        </w:rPr>
        <w:br w:type="textWrapping"/>
      </w:r>
      <w:r>
        <w:rPr>
          <w:rStyle w:val="16"/>
          <w:rFonts w:hint="eastAsia" w:ascii="宋体" w:hAnsi="宋体" w:eastAsia="宋体" w:cs="宋体"/>
          <w:b w:val="0"/>
          <w:bCs w:val="0"/>
          <w:color w:val="auto"/>
          <w:kern w:val="0"/>
          <w:sz w:val="24"/>
          <w:szCs w:val="24"/>
          <w:highlight w:val="none"/>
          <w:lang w:val="en-US" w:eastAsia="zh-CN" w:bidi="ar-SA"/>
        </w:rPr>
        <w:t>（3）《财政部民政部中国残疾人联合会关于促进残疾人就业政府采购政策的通知》财库〔2017〕141号。</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outlineLvl w:val="1"/>
        <w:rPr>
          <w:rStyle w:val="16"/>
          <w:rFonts w:hint="eastAsia" w:ascii="宋体" w:hAnsi="宋体" w:eastAsia="宋体" w:cs="宋体"/>
          <w:b w:val="0"/>
          <w:bCs w:val="0"/>
          <w:color w:val="auto"/>
          <w:kern w:val="0"/>
          <w:sz w:val="24"/>
          <w:szCs w:val="24"/>
          <w:lang w:val="en-US" w:eastAsia="zh-CN" w:bidi="ar-SA"/>
        </w:rPr>
      </w:pPr>
      <w:r>
        <w:rPr>
          <w:rStyle w:val="16"/>
          <w:rFonts w:hint="eastAsia" w:ascii="宋体" w:hAnsi="宋体" w:eastAsia="宋体" w:cs="宋体"/>
          <w:b w:val="0"/>
          <w:bCs w:val="0"/>
          <w:color w:val="auto"/>
          <w:kern w:val="0"/>
          <w:sz w:val="24"/>
          <w:szCs w:val="24"/>
          <w:lang w:val="en-US" w:eastAsia="zh-CN" w:bidi="ar-SA"/>
        </w:rPr>
        <w:t>3.本项目的特定资格要求：</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具有独立法人资格并依法取得企业营业执照且营业执照在有效期内</w:t>
      </w:r>
      <w:r>
        <w:rPr>
          <w:rFonts w:hint="eastAsia" w:ascii="宋体" w:hAnsi="宋体" w:cs="宋体"/>
          <w:color w:val="auto"/>
          <w:highlight w:val="none"/>
          <w:lang w:val="en-US" w:eastAsia="zh-CN"/>
        </w:rPr>
        <w:t>（</w:t>
      </w:r>
      <w:r>
        <w:rPr>
          <w:rFonts w:hint="eastAsia" w:ascii="宋体" w:hAnsi="宋体" w:cs="宋体"/>
          <w:color w:val="auto"/>
          <w:lang w:eastAsia="zh-CN"/>
        </w:rPr>
        <w:t>经营范围必须包含园林绿化或园林绿化施工或绿化养护等相关内容）</w:t>
      </w:r>
      <w:r>
        <w:rPr>
          <w:rFonts w:hint="eastAsia" w:ascii="宋体" w:hAnsi="宋体" w:eastAsia="宋体" w:cs="宋体"/>
          <w:color w:val="auto"/>
          <w:highlight w:val="none"/>
          <w:lang w:eastAsia="zh-CN"/>
        </w:rPr>
        <w:t>；</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主体信用记录符合政府采购活动要求供应商参加政府采购活动前三年内未被列入“信用中国”网站(www.creditchina.gov.cn)、重大税收违法案件当事人、“中国执行信息公开网”（http://zxgk.court.gov.cn/）未被列入失信被执行人和“中国政府采购”网站（www.ccgp.gov.cn）政府采购严重违法失信行为记录名单；</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3</w:t>
      </w:r>
      <w:r>
        <w:rPr>
          <w:rFonts w:hint="eastAsia" w:ascii="宋体" w:hAnsi="宋体" w:eastAsia="宋体" w:cs="宋体"/>
          <w:color w:val="auto"/>
          <w:lang w:eastAsia="zh-CN"/>
        </w:rPr>
        <w:t>）其他说明: (1) 与招标人存在利害关系可能影响招标公正性的法人、其他组织或者个人，不得参加投标: (2) 单位负责人为同一人或者存在控股、管理关系的不同单位，不得参加同一</w:t>
      </w:r>
      <w:r>
        <w:rPr>
          <w:rFonts w:hint="eastAsia" w:ascii="宋体" w:hAnsi="宋体" w:cs="宋体"/>
          <w:color w:val="auto"/>
          <w:lang w:val="en-US" w:eastAsia="zh-CN"/>
        </w:rPr>
        <w:t>合同项下的</w:t>
      </w:r>
      <w:r>
        <w:rPr>
          <w:rFonts w:hint="eastAsia" w:ascii="宋体" w:hAnsi="宋体" w:eastAsia="宋体" w:cs="宋体"/>
          <w:color w:val="auto"/>
          <w:lang w:eastAsia="zh-CN"/>
        </w:rPr>
        <w:t>项目投标。违反上述两款规定的，相关投标均无效；</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outlineLvl w:val="0"/>
        <w:rPr>
          <w:rFonts w:hint="eastAsia" w:ascii="宋体" w:hAnsi="宋体" w:eastAsia="宋体" w:cs="宋体"/>
          <w:b w:val="0"/>
          <w:bCs w:val="0"/>
          <w:i w:val="0"/>
          <w:caps w:val="0"/>
          <w:color w:val="auto"/>
          <w:spacing w:val="0"/>
          <w:sz w:val="24"/>
          <w:szCs w:val="24"/>
        </w:rPr>
      </w:pPr>
      <w:r>
        <w:rPr>
          <w:rStyle w:val="16"/>
          <w:rFonts w:hint="eastAsia" w:ascii="宋体" w:hAnsi="宋体" w:eastAsia="宋体" w:cs="宋体"/>
          <w:b w:val="0"/>
          <w:bCs w:val="0"/>
          <w:i w:val="0"/>
          <w:caps w:val="0"/>
          <w:color w:val="auto"/>
          <w:spacing w:val="0"/>
          <w:sz w:val="24"/>
          <w:szCs w:val="24"/>
        </w:rPr>
        <w:t>三、获取招标文件</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highlight w:val="red"/>
        </w:rPr>
      </w:pPr>
      <w:r>
        <w:rPr>
          <w:rFonts w:hint="eastAsia" w:ascii="宋体" w:hAnsi="宋体" w:eastAsia="宋体" w:cs="宋体"/>
          <w:i w:val="0"/>
          <w:caps w:val="0"/>
          <w:color w:val="auto"/>
          <w:spacing w:val="0"/>
          <w:sz w:val="24"/>
          <w:szCs w:val="24"/>
          <w:highlight w:val="none"/>
        </w:rPr>
        <w:t>时间：</w:t>
      </w:r>
      <w:r>
        <w:rPr>
          <w:rFonts w:hint="eastAsia" w:ascii="宋体" w:hAnsi="宋体" w:eastAsia="宋体" w:cs="宋体"/>
          <w:i w:val="0"/>
          <w:caps w:val="0"/>
          <w:color w:val="auto"/>
          <w:spacing w:val="0"/>
          <w:sz w:val="24"/>
          <w:szCs w:val="24"/>
          <w:highlight w:val="none"/>
          <w:lang w:eastAsia="zh-CN"/>
        </w:rPr>
        <w:t>202</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年</w:t>
      </w:r>
      <w:r>
        <w:rPr>
          <w:rFonts w:hint="eastAsia" w:ascii="宋体" w:hAnsi="宋体" w:eastAsia="宋体" w:cs="宋体"/>
          <w:i w:val="0"/>
          <w:caps w:val="0"/>
          <w:color w:val="auto"/>
          <w:spacing w:val="0"/>
          <w:sz w:val="24"/>
          <w:szCs w:val="24"/>
          <w:highlight w:val="none"/>
          <w:lang w:val="en-US" w:eastAsia="zh-CN"/>
        </w:rPr>
        <w:t>4</w:t>
      </w:r>
      <w:r>
        <w:rPr>
          <w:rFonts w:hint="eastAsia" w:ascii="宋体" w:hAnsi="宋体" w:eastAsia="宋体" w:cs="宋体"/>
          <w:i w:val="0"/>
          <w:caps w:val="0"/>
          <w:color w:val="auto"/>
          <w:spacing w:val="0"/>
          <w:sz w:val="24"/>
          <w:szCs w:val="24"/>
          <w:highlight w:val="none"/>
          <w:lang w:eastAsia="zh-CN"/>
        </w:rPr>
        <w:t>月</w:t>
      </w:r>
      <w:r>
        <w:rPr>
          <w:rFonts w:hint="eastAsia" w:ascii="宋体" w:hAnsi="宋体" w:eastAsia="宋体" w:cs="宋体"/>
          <w:i w:val="0"/>
          <w:caps w:val="0"/>
          <w:color w:val="auto"/>
          <w:spacing w:val="0"/>
          <w:sz w:val="24"/>
          <w:szCs w:val="24"/>
          <w:highlight w:val="none"/>
          <w:lang w:val="en-US" w:eastAsia="zh-CN"/>
        </w:rPr>
        <w:t>7</w:t>
      </w:r>
      <w:r>
        <w:rPr>
          <w:rFonts w:hint="eastAsia" w:ascii="宋体" w:hAnsi="宋体" w:eastAsia="宋体" w:cs="宋体"/>
          <w:i w:val="0"/>
          <w:caps w:val="0"/>
          <w:color w:val="auto"/>
          <w:spacing w:val="0"/>
          <w:sz w:val="24"/>
          <w:szCs w:val="24"/>
          <w:highlight w:val="none"/>
          <w:lang w:eastAsia="zh-CN"/>
        </w:rPr>
        <w:t>日至202</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年</w:t>
      </w:r>
      <w:r>
        <w:rPr>
          <w:rFonts w:hint="eastAsia" w:ascii="宋体" w:hAnsi="宋体" w:eastAsia="宋体" w:cs="宋体"/>
          <w:i w:val="0"/>
          <w:caps w:val="0"/>
          <w:color w:val="auto"/>
          <w:spacing w:val="0"/>
          <w:sz w:val="24"/>
          <w:szCs w:val="24"/>
          <w:highlight w:val="none"/>
          <w:lang w:val="en-US" w:eastAsia="zh-CN"/>
        </w:rPr>
        <w:t>4</w:t>
      </w:r>
      <w:r>
        <w:rPr>
          <w:rFonts w:hint="eastAsia" w:ascii="宋体" w:hAnsi="宋体" w:eastAsia="宋体" w:cs="宋体"/>
          <w:i w:val="0"/>
          <w:caps w:val="0"/>
          <w:color w:val="auto"/>
          <w:spacing w:val="0"/>
          <w:sz w:val="24"/>
          <w:szCs w:val="24"/>
          <w:highlight w:val="none"/>
          <w:lang w:eastAsia="zh-CN"/>
        </w:rPr>
        <w:t>月</w:t>
      </w:r>
      <w:r>
        <w:rPr>
          <w:rFonts w:hint="eastAsia" w:ascii="宋体" w:hAnsi="宋体" w:eastAsia="宋体" w:cs="宋体"/>
          <w:i w:val="0"/>
          <w:caps w:val="0"/>
          <w:color w:val="auto"/>
          <w:spacing w:val="0"/>
          <w:sz w:val="24"/>
          <w:szCs w:val="24"/>
          <w:highlight w:val="none"/>
          <w:lang w:val="en-US" w:eastAsia="zh-CN"/>
        </w:rPr>
        <w:t>14</w:t>
      </w:r>
      <w:r>
        <w:rPr>
          <w:rFonts w:hint="eastAsia" w:ascii="宋体" w:hAnsi="宋体" w:eastAsia="宋体" w:cs="宋体"/>
          <w:i w:val="0"/>
          <w:caps w:val="0"/>
          <w:color w:val="auto"/>
          <w:spacing w:val="0"/>
          <w:sz w:val="24"/>
          <w:szCs w:val="24"/>
          <w:highlight w:val="none"/>
          <w:lang w:eastAsia="zh-CN"/>
        </w:rPr>
        <w:t>日</w:t>
      </w:r>
      <w:r>
        <w:rPr>
          <w:rFonts w:hint="eastAsia" w:ascii="宋体" w:hAnsi="宋体" w:eastAsia="宋体" w:cs="宋体"/>
          <w:i w:val="0"/>
          <w:caps w:val="0"/>
          <w:color w:val="auto"/>
          <w:spacing w:val="0"/>
          <w:sz w:val="24"/>
          <w:szCs w:val="24"/>
          <w:highlight w:val="none"/>
        </w:rPr>
        <w:t>，每天上午10:</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rPr>
        <w:t>0至1</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rPr>
        <w:t>:00，下午</w:t>
      </w:r>
      <w:r>
        <w:rPr>
          <w:rFonts w:hint="eastAsia" w:ascii="宋体" w:hAnsi="宋体" w:eastAsia="宋体" w:cs="宋体"/>
          <w:i w:val="0"/>
          <w:caps w:val="0"/>
          <w:color w:val="auto"/>
          <w:spacing w:val="0"/>
          <w:sz w:val="24"/>
          <w:szCs w:val="24"/>
          <w:highlight w:val="none"/>
          <w:lang w:val="en-US" w:eastAsia="zh-CN"/>
        </w:rPr>
        <w:t>15</w:t>
      </w:r>
      <w:r>
        <w:rPr>
          <w:rFonts w:hint="eastAsia" w:ascii="宋体" w:hAnsi="宋体" w:eastAsia="宋体" w:cs="宋体"/>
          <w:i w:val="0"/>
          <w:caps w:val="0"/>
          <w:color w:val="auto"/>
          <w:spacing w:val="0"/>
          <w:sz w:val="24"/>
          <w:szCs w:val="24"/>
          <w:highlight w:val="none"/>
        </w:rPr>
        <w:t>:</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rPr>
        <w:t>0至1</w:t>
      </w:r>
      <w:r>
        <w:rPr>
          <w:rFonts w:hint="eastAsia" w:ascii="宋体" w:hAnsi="宋体" w:eastAsia="宋体" w:cs="宋体"/>
          <w:i w:val="0"/>
          <w:caps w:val="0"/>
          <w:color w:val="auto"/>
          <w:spacing w:val="0"/>
          <w:sz w:val="24"/>
          <w:szCs w:val="24"/>
          <w:highlight w:val="none"/>
          <w:lang w:val="en-US" w:eastAsia="zh-CN"/>
        </w:rPr>
        <w:t>8</w:t>
      </w:r>
      <w:r>
        <w:rPr>
          <w:rFonts w:hint="eastAsia" w:ascii="宋体" w:hAnsi="宋体" w:eastAsia="宋体" w:cs="宋体"/>
          <w:i w:val="0"/>
          <w:caps w:val="0"/>
          <w:color w:val="auto"/>
          <w:spacing w:val="0"/>
          <w:sz w:val="24"/>
          <w:szCs w:val="24"/>
          <w:highlight w:val="none"/>
        </w:rPr>
        <w:t>:</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rPr>
        <w:t>0（北京时间，法定节假日除外）</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default" w:ascii="宋体" w:hAnsi="宋体" w:eastAsia="宋体" w:cs="宋体"/>
          <w:color w:val="auto"/>
          <w:sz w:val="24"/>
          <w:szCs w:val="24"/>
          <w:lang w:val="en-US"/>
        </w:rPr>
      </w:pPr>
      <w:r>
        <w:rPr>
          <w:rFonts w:hint="eastAsia" w:ascii="宋体" w:hAnsi="宋体" w:eastAsia="宋体" w:cs="宋体"/>
          <w:i w:val="0"/>
          <w:caps w:val="0"/>
          <w:color w:val="auto"/>
          <w:spacing w:val="0"/>
          <w:sz w:val="24"/>
          <w:szCs w:val="24"/>
        </w:rPr>
        <w:t>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乌鲁木齐市水磨沟区立井街198号丽景中央城9号楼（全季酒店）五层503室</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方式：现场购买</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售价（元）：</w:t>
      </w:r>
      <w:r>
        <w:rPr>
          <w:rFonts w:hint="eastAsia" w:ascii="宋体" w:hAnsi="宋体" w:eastAsia="宋体" w:cs="宋体"/>
          <w:i w:val="0"/>
          <w:caps w:val="0"/>
          <w:color w:val="auto"/>
          <w:spacing w:val="0"/>
          <w:sz w:val="24"/>
          <w:szCs w:val="24"/>
          <w:lang w:val="en-US" w:eastAsia="zh-CN"/>
        </w:rPr>
        <w:t>3</w:t>
      </w:r>
      <w:r>
        <w:rPr>
          <w:rFonts w:hint="eastAsia" w:ascii="宋体" w:hAnsi="宋体" w:eastAsia="宋体" w:cs="宋体"/>
          <w:i w:val="0"/>
          <w:caps w:val="0"/>
          <w:color w:val="auto"/>
          <w:spacing w:val="0"/>
          <w:sz w:val="24"/>
          <w:szCs w:val="24"/>
        </w:rPr>
        <w:t>00</w:t>
      </w:r>
      <w:r>
        <w:rPr>
          <w:rFonts w:hint="eastAsia" w:ascii="宋体" w:hAnsi="宋体" w:eastAsia="宋体" w:cs="宋体"/>
          <w:i w:val="0"/>
          <w:caps w:val="0"/>
          <w:color w:val="auto"/>
          <w:spacing w:val="0"/>
          <w:sz w:val="24"/>
          <w:szCs w:val="24"/>
          <w:lang w:eastAsia="zh-CN"/>
        </w:rPr>
        <w:t>，</w:t>
      </w:r>
      <w:r>
        <w:rPr>
          <w:rFonts w:hint="eastAsia" w:eastAsia="宋体" w:cs="宋体"/>
          <w:i w:val="0"/>
          <w:caps w:val="0"/>
          <w:color w:val="auto"/>
          <w:spacing w:val="0"/>
          <w:sz w:val="24"/>
          <w:szCs w:val="24"/>
          <w:lang w:val="en-US" w:eastAsia="zh-CN"/>
        </w:rPr>
        <w:t>标书售后，一概不退</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outlineLvl w:val="0"/>
        <w:rPr>
          <w:rFonts w:hint="eastAsia" w:ascii="宋体" w:hAnsi="宋体" w:eastAsia="宋体" w:cs="宋体"/>
          <w:i w:val="0"/>
          <w:caps w:val="0"/>
          <w:color w:val="auto"/>
          <w:spacing w:val="0"/>
          <w:sz w:val="24"/>
          <w:szCs w:val="24"/>
        </w:rPr>
      </w:pPr>
      <w:r>
        <w:rPr>
          <w:rStyle w:val="16"/>
          <w:rFonts w:hint="eastAsia" w:ascii="宋体" w:hAnsi="宋体" w:eastAsia="宋体" w:cs="宋体"/>
          <w:i w:val="0"/>
          <w:caps w:val="0"/>
          <w:color w:val="auto"/>
          <w:spacing w:val="0"/>
          <w:sz w:val="24"/>
          <w:szCs w:val="24"/>
        </w:rPr>
        <w:t>四、提交投标文件截止时间、开标时间和地点</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rPr>
        <w:t>提交投标文件截止时间：</w:t>
      </w:r>
      <w:r>
        <w:rPr>
          <w:rFonts w:hint="eastAsia" w:ascii="宋体" w:hAnsi="宋体" w:eastAsia="宋体" w:cs="宋体"/>
          <w:i w:val="0"/>
          <w:caps w:val="0"/>
          <w:color w:val="auto"/>
          <w:spacing w:val="0"/>
          <w:sz w:val="24"/>
          <w:szCs w:val="24"/>
          <w:highlight w:val="none"/>
        </w:rPr>
        <w:t>20</w:t>
      </w:r>
      <w:r>
        <w:rPr>
          <w:rFonts w:hint="eastAsia" w:ascii="宋体" w:hAnsi="宋体" w:eastAsia="宋体" w:cs="宋体"/>
          <w:i w:val="0"/>
          <w:caps w:val="0"/>
          <w:color w:val="auto"/>
          <w:spacing w:val="0"/>
          <w:sz w:val="24"/>
          <w:szCs w:val="24"/>
          <w:highlight w:val="none"/>
          <w:lang w:val="en-US" w:eastAsia="zh-CN"/>
        </w:rPr>
        <w:t>22</w:t>
      </w:r>
      <w:r>
        <w:rPr>
          <w:rFonts w:hint="eastAsia" w:ascii="宋体" w:hAnsi="宋体" w:eastAsia="宋体" w:cs="宋体"/>
          <w:i w:val="0"/>
          <w:caps w:val="0"/>
          <w:color w:val="auto"/>
          <w:spacing w:val="0"/>
          <w:sz w:val="24"/>
          <w:szCs w:val="24"/>
          <w:highlight w:val="none"/>
        </w:rPr>
        <w:t>年</w:t>
      </w:r>
      <w:r>
        <w:rPr>
          <w:rFonts w:hint="eastAsia" w:ascii="宋体" w:hAnsi="宋体" w:eastAsia="宋体" w:cs="宋体"/>
          <w:i w:val="0"/>
          <w:caps w:val="0"/>
          <w:color w:val="auto"/>
          <w:spacing w:val="0"/>
          <w:sz w:val="24"/>
          <w:szCs w:val="24"/>
          <w:highlight w:val="none"/>
          <w:lang w:val="en-US" w:eastAsia="zh-CN"/>
        </w:rPr>
        <w:t>4</w:t>
      </w:r>
      <w:r>
        <w:rPr>
          <w:rFonts w:hint="eastAsia" w:ascii="宋体" w:hAnsi="宋体" w:eastAsia="宋体" w:cs="宋体"/>
          <w:i w:val="0"/>
          <w:caps w:val="0"/>
          <w:color w:val="auto"/>
          <w:spacing w:val="0"/>
          <w:sz w:val="24"/>
          <w:szCs w:val="24"/>
          <w:highlight w:val="none"/>
        </w:rPr>
        <w:t>月</w:t>
      </w:r>
      <w:r>
        <w:rPr>
          <w:rFonts w:hint="eastAsia" w:ascii="宋体" w:hAnsi="宋体" w:eastAsia="宋体" w:cs="宋体"/>
          <w:i w:val="0"/>
          <w:caps w:val="0"/>
          <w:color w:val="auto"/>
          <w:spacing w:val="0"/>
          <w:sz w:val="24"/>
          <w:szCs w:val="24"/>
          <w:highlight w:val="none"/>
          <w:lang w:val="en-US" w:eastAsia="zh-CN"/>
        </w:rPr>
        <w:t>27</w:t>
      </w:r>
      <w:r>
        <w:rPr>
          <w:rFonts w:hint="eastAsia" w:ascii="宋体" w:hAnsi="宋体" w:eastAsia="宋体" w:cs="宋体"/>
          <w:i w:val="0"/>
          <w:caps w:val="0"/>
          <w:color w:val="auto"/>
          <w:spacing w:val="0"/>
          <w:sz w:val="24"/>
          <w:szCs w:val="24"/>
          <w:highlight w:val="none"/>
        </w:rPr>
        <w:t>日</w:t>
      </w:r>
      <w:r>
        <w:rPr>
          <w:rFonts w:hint="eastAsia" w:ascii="宋体" w:hAnsi="宋体" w:eastAsia="宋体" w:cs="宋体"/>
          <w:i w:val="0"/>
          <w:caps w:val="0"/>
          <w:color w:val="auto"/>
          <w:spacing w:val="0"/>
          <w:sz w:val="24"/>
          <w:szCs w:val="24"/>
          <w:highlight w:val="none"/>
          <w:lang w:val="en-US" w:eastAsia="zh-CN"/>
        </w:rPr>
        <w:t>11</w:t>
      </w:r>
      <w:r>
        <w:rPr>
          <w:rFonts w:hint="eastAsia" w:ascii="宋体" w:hAnsi="宋体" w:eastAsia="宋体" w:cs="宋体"/>
          <w:i w:val="0"/>
          <w:caps w:val="0"/>
          <w:color w:val="auto"/>
          <w:spacing w:val="0"/>
          <w:sz w:val="24"/>
          <w:szCs w:val="24"/>
          <w:highlight w:val="none"/>
        </w:rPr>
        <w:t>:00（北京时间）</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投标地点：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开标时间：</w:t>
      </w:r>
      <w:r>
        <w:rPr>
          <w:rFonts w:hint="eastAsia" w:ascii="宋体" w:hAnsi="宋体" w:eastAsia="宋体" w:cs="宋体"/>
          <w:i w:val="0"/>
          <w:caps w:val="0"/>
          <w:color w:val="auto"/>
          <w:spacing w:val="0"/>
          <w:sz w:val="24"/>
          <w:szCs w:val="24"/>
          <w:highlight w:val="none"/>
        </w:rPr>
        <w:t>202</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rPr>
        <w:t>年</w:t>
      </w:r>
      <w:r>
        <w:rPr>
          <w:rFonts w:hint="eastAsia" w:ascii="宋体" w:hAnsi="宋体" w:eastAsia="宋体" w:cs="宋体"/>
          <w:i w:val="0"/>
          <w:caps w:val="0"/>
          <w:color w:val="auto"/>
          <w:spacing w:val="0"/>
          <w:sz w:val="24"/>
          <w:szCs w:val="24"/>
          <w:highlight w:val="none"/>
          <w:lang w:val="en-US" w:eastAsia="zh-CN"/>
        </w:rPr>
        <w:t>4</w:t>
      </w:r>
      <w:r>
        <w:rPr>
          <w:rFonts w:hint="eastAsia" w:ascii="宋体" w:hAnsi="宋体" w:eastAsia="宋体" w:cs="宋体"/>
          <w:i w:val="0"/>
          <w:caps w:val="0"/>
          <w:color w:val="auto"/>
          <w:spacing w:val="0"/>
          <w:sz w:val="24"/>
          <w:szCs w:val="24"/>
          <w:highlight w:val="none"/>
        </w:rPr>
        <w:t>月</w:t>
      </w:r>
      <w:r>
        <w:rPr>
          <w:rFonts w:hint="eastAsia" w:ascii="宋体" w:hAnsi="宋体" w:eastAsia="宋体" w:cs="宋体"/>
          <w:i w:val="0"/>
          <w:caps w:val="0"/>
          <w:color w:val="auto"/>
          <w:spacing w:val="0"/>
          <w:sz w:val="24"/>
          <w:szCs w:val="24"/>
          <w:highlight w:val="none"/>
          <w:lang w:val="en-US" w:eastAsia="zh-CN"/>
        </w:rPr>
        <w:t>27</w:t>
      </w:r>
      <w:r>
        <w:rPr>
          <w:rFonts w:hint="eastAsia" w:ascii="宋体" w:hAnsi="宋体" w:eastAsia="宋体" w:cs="宋体"/>
          <w:i w:val="0"/>
          <w:caps w:val="0"/>
          <w:color w:val="auto"/>
          <w:spacing w:val="0"/>
          <w:sz w:val="24"/>
          <w:szCs w:val="24"/>
          <w:highlight w:val="none"/>
        </w:rPr>
        <w:t>日1</w:t>
      </w:r>
      <w:r>
        <w:rPr>
          <w:rFonts w:hint="eastAsia" w:ascii="宋体" w:hAnsi="宋体" w:eastAsia="宋体" w:cs="宋体"/>
          <w:i w:val="0"/>
          <w:caps w:val="0"/>
          <w:color w:val="auto"/>
          <w:spacing w:val="0"/>
          <w:sz w:val="24"/>
          <w:szCs w:val="24"/>
          <w:highlight w:val="none"/>
          <w:lang w:val="en-US" w:eastAsia="zh-CN"/>
        </w:rPr>
        <w:t>1</w:t>
      </w:r>
      <w:r>
        <w:rPr>
          <w:rFonts w:hint="eastAsia" w:ascii="宋体" w:hAnsi="宋体" w:eastAsia="宋体" w:cs="宋体"/>
          <w:i w:val="0"/>
          <w:caps w:val="0"/>
          <w:color w:val="auto"/>
          <w:spacing w:val="0"/>
          <w:sz w:val="24"/>
          <w:szCs w:val="24"/>
          <w:highlight w:val="none"/>
        </w:rPr>
        <w:t>:00（北京时间）</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w:t>
      </w:r>
      <w:r>
        <w:rPr>
          <w:rFonts w:hint="eastAsia" w:ascii="宋体" w:hAnsi="宋体" w:eastAsia="宋体" w:cs="宋体"/>
          <w:i w:val="0"/>
          <w:caps w:val="0"/>
          <w:color w:val="auto"/>
          <w:spacing w:val="0"/>
          <w:sz w:val="24"/>
          <w:szCs w:val="24"/>
        </w:rPr>
        <w:t>　</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outlineLvl w:val="0"/>
        <w:rPr>
          <w:rFonts w:hint="eastAsia" w:ascii="宋体" w:hAnsi="宋体" w:eastAsia="宋体" w:cs="宋体"/>
          <w:i w:val="0"/>
          <w:caps w:val="0"/>
          <w:color w:val="auto"/>
          <w:spacing w:val="0"/>
          <w:sz w:val="24"/>
          <w:szCs w:val="24"/>
        </w:rPr>
      </w:pPr>
      <w:r>
        <w:rPr>
          <w:rStyle w:val="16"/>
          <w:rFonts w:hint="eastAsia" w:ascii="宋体" w:hAnsi="宋体" w:eastAsia="宋体" w:cs="宋体"/>
          <w:i w:val="0"/>
          <w:caps w:val="0"/>
          <w:color w:val="auto"/>
          <w:spacing w:val="0"/>
          <w:sz w:val="24"/>
          <w:szCs w:val="24"/>
        </w:rPr>
        <w:t>五、公告期限</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自本公告发布之日起5个工作日。</w:t>
      </w:r>
    </w:p>
    <w:p>
      <w:pPr>
        <w:pStyle w:val="13"/>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outlineLvl w:val="0"/>
        <w:rPr>
          <w:rStyle w:val="16"/>
          <w:rFonts w:hint="eastAsia" w:ascii="宋体" w:hAnsi="宋体" w:eastAsia="宋体" w:cs="宋体"/>
          <w:i w:val="0"/>
          <w:caps w:val="0"/>
          <w:color w:val="auto"/>
          <w:spacing w:val="0"/>
          <w:sz w:val="24"/>
          <w:szCs w:val="24"/>
        </w:rPr>
      </w:pPr>
      <w:r>
        <w:rPr>
          <w:rStyle w:val="16"/>
          <w:rFonts w:hint="eastAsia" w:ascii="宋体" w:hAnsi="宋体" w:eastAsia="宋体" w:cs="宋体"/>
          <w:i w:val="0"/>
          <w:caps w:val="0"/>
          <w:color w:val="auto"/>
          <w:spacing w:val="0"/>
          <w:sz w:val="24"/>
          <w:szCs w:val="24"/>
        </w:rPr>
        <w:t>其他补充事宜</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1、报名时提供：</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具有独立法人资格并依法取得企业营业执照且营业执照在有效期内</w:t>
      </w:r>
      <w:r>
        <w:rPr>
          <w:rFonts w:hint="eastAsia" w:ascii="宋体" w:hAnsi="宋体" w:cs="宋体"/>
          <w:color w:val="auto"/>
          <w:highlight w:val="none"/>
          <w:lang w:val="en-US" w:eastAsia="zh-CN"/>
        </w:rPr>
        <w:t>（经营范围必须包含园林绿化或园林绿化施工或绿化养护等相关内容）</w:t>
      </w:r>
      <w:r>
        <w:rPr>
          <w:rFonts w:hint="eastAsia" w:ascii="宋体" w:hAnsi="宋体" w:eastAsia="宋体" w:cs="宋体"/>
          <w:color w:val="auto"/>
          <w:highlight w:val="none"/>
          <w:lang w:eastAsia="zh-CN"/>
        </w:rPr>
        <w:t>；</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主体信用记录符合政府采购活动要求供应商参加政府采购活动前三年内未被列入“信用中国”网站(www.creditchina.gov.cn)失信被执行人、重大税收违法案件当事人、政府采购严重违法失信行为记录名单和“中国政府采购”网站（www.ccgp.gov.cn）政府采购严重违法失信行为记录名单；</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3</w:t>
      </w:r>
      <w:r>
        <w:rPr>
          <w:rFonts w:hint="eastAsia" w:ascii="宋体" w:hAnsi="宋体" w:eastAsia="宋体" w:cs="宋体"/>
          <w:color w:val="auto"/>
          <w:lang w:eastAsia="zh-CN"/>
        </w:rPr>
        <w:t>）法人代表或其委托代理人应携带本人身份证原件及复印件，委托代理人还应携带《法人代表授权委托书》</w:t>
      </w:r>
      <w:r>
        <w:rPr>
          <w:rFonts w:hint="eastAsia" w:ascii="宋体" w:hAnsi="宋体" w:cs="宋体"/>
          <w:color w:val="auto"/>
          <w:lang w:val="en-US" w:eastAsia="zh-CN"/>
        </w:rPr>
        <w:t>及法人身份证复印件加盖公章</w:t>
      </w:r>
      <w:r>
        <w:rPr>
          <w:rFonts w:hint="eastAsia" w:ascii="宋体" w:hAnsi="宋体" w:cs="宋体"/>
          <w:color w:val="auto"/>
          <w:lang w:eastAsia="zh-CN"/>
        </w:rPr>
        <w:t>；</w:t>
      </w:r>
      <w:r>
        <w:rPr>
          <w:rFonts w:hint="eastAsia" w:ascii="宋体" w:hAnsi="宋体" w:eastAsia="宋体" w:cs="宋体"/>
          <w:i w:val="0"/>
          <w:caps w:val="0"/>
          <w:color w:val="auto"/>
          <w:spacing w:val="0"/>
          <w:sz w:val="24"/>
          <w:szCs w:val="24"/>
          <w:highlight w:val="red"/>
        </w:rPr>
        <w:br w:type="textWrapping"/>
      </w:r>
      <w:r>
        <w:rPr>
          <w:rFonts w:hint="eastAsia" w:ascii="宋体" w:hAnsi="宋体" w:cs="宋体"/>
          <w:color w:val="auto"/>
          <w:lang w:eastAsia="zh-CN"/>
        </w:rPr>
        <w:t>（</w:t>
      </w:r>
      <w:r>
        <w:rPr>
          <w:rFonts w:hint="eastAsia" w:ascii="宋体" w:hAnsi="宋体" w:cs="宋体"/>
          <w:color w:val="auto"/>
          <w:lang w:val="en-US" w:eastAsia="zh-CN"/>
        </w:rPr>
        <w:t>4</w:t>
      </w:r>
      <w:r>
        <w:rPr>
          <w:rFonts w:hint="eastAsia" w:ascii="宋体" w:hAnsi="宋体" w:cs="宋体"/>
          <w:color w:val="auto"/>
          <w:lang w:eastAsia="zh-CN"/>
        </w:rPr>
        <w:t>）供应商需自行下载附件投标人报名表填写并加盖公章。</w:t>
      </w:r>
    </w:p>
    <w:p>
      <w:pPr>
        <w:pStyle w:val="19"/>
        <w:keepNext w:val="0"/>
        <w:keepLines w:val="0"/>
        <w:pageBreakBefore w:val="0"/>
        <w:widowControl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lang w:val="en-US" w:eastAsia="zh-CN"/>
        </w:rPr>
        <w:t>（以上资料</w:t>
      </w:r>
      <w:r>
        <w:rPr>
          <w:rFonts w:hint="eastAsia" w:ascii="宋体" w:hAnsi="宋体" w:eastAsia="宋体" w:cs="宋体"/>
          <w:i w:val="0"/>
          <w:caps w:val="0"/>
          <w:color w:val="auto"/>
          <w:spacing w:val="0"/>
          <w:sz w:val="24"/>
          <w:szCs w:val="24"/>
          <w:highlight w:val="none"/>
          <w:lang w:eastAsia="zh-CN"/>
        </w:rPr>
        <w:t>投标人</w:t>
      </w:r>
      <w:r>
        <w:rPr>
          <w:rFonts w:hint="eastAsia" w:ascii="宋体" w:hAnsi="宋体" w:eastAsia="宋体" w:cs="宋体"/>
          <w:i w:val="0"/>
          <w:caps w:val="0"/>
          <w:color w:val="auto"/>
          <w:spacing w:val="0"/>
          <w:sz w:val="24"/>
          <w:szCs w:val="24"/>
          <w:highlight w:val="none"/>
          <w:lang w:val="en-US" w:eastAsia="zh-CN"/>
        </w:rPr>
        <w:t>需提供</w:t>
      </w:r>
      <w:r>
        <w:rPr>
          <w:rFonts w:hint="eastAsia" w:ascii="宋体" w:hAnsi="宋体" w:eastAsia="宋体" w:cs="宋体"/>
          <w:i w:val="0"/>
          <w:caps w:val="0"/>
          <w:color w:val="auto"/>
          <w:spacing w:val="0"/>
          <w:sz w:val="24"/>
          <w:szCs w:val="24"/>
          <w:highlight w:val="none"/>
          <w:lang w:eastAsia="zh-CN"/>
        </w:rPr>
        <w:t>原件及复印件加盖公章</w:t>
      </w:r>
      <w:r>
        <w:rPr>
          <w:rFonts w:hint="eastAsia" w:ascii="宋体" w:hAnsi="宋体" w:eastAsia="宋体" w:cs="宋体"/>
          <w:i w:val="0"/>
          <w:caps w:val="0"/>
          <w:color w:val="auto"/>
          <w:spacing w:val="0"/>
          <w:sz w:val="24"/>
          <w:szCs w:val="24"/>
          <w:highlight w:val="none"/>
          <w:lang w:val="en-US" w:eastAsia="zh-CN"/>
        </w:rPr>
        <w:t>一套）</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highlight w:val="none"/>
          <w:lang w:val="en-US" w:eastAsia="zh-CN"/>
        </w:rPr>
        <w:t>2、参加现场交易活动的所有人员须自行全程佩戴口罩，配合进行体温检测和身份登记，符合疫情防控要求方可参加现场交易活动。</w:t>
      </w:r>
      <w:r>
        <w:rPr>
          <w:rFonts w:hint="eastAsia" w:ascii="宋体" w:hAnsi="宋体" w:eastAsia="宋体" w:cs="宋体"/>
          <w:b w:val="0"/>
          <w:bCs w:val="0"/>
          <w:color w:val="auto"/>
          <w:kern w:val="2"/>
          <w:sz w:val="24"/>
          <w:szCs w:val="24"/>
          <w:highlight w:val="none"/>
          <w:lang w:val="en-US" w:eastAsia="zh-CN" w:bidi="ar-SA"/>
        </w:rPr>
        <w:t> </w:t>
      </w: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outlineLvl w:val="0"/>
        <w:rPr>
          <w:rStyle w:val="16"/>
          <w:rFonts w:hint="eastAsia" w:ascii="宋体" w:hAnsi="宋体" w:eastAsia="宋体" w:cs="宋体"/>
          <w:i w:val="0"/>
          <w:caps w:val="0"/>
          <w:color w:val="auto"/>
          <w:spacing w:val="0"/>
          <w:sz w:val="24"/>
          <w:szCs w:val="24"/>
        </w:rPr>
      </w:pPr>
    </w:p>
    <w:p>
      <w:pPr>
        <w:pStyle w:val="13"/>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outlineLvl w:val="0"/>
        <w:rPr>
          <w:rFonts w:hint="eastAsia" w:ascii="宋体" w:hAnsi="宋体" w:eastAsia="宋体" w:cs="宋体"/>
          <w:i w:val="0"/>
          <w:caps w:val="0"/>
          <w:color w:val="auto"/>
          <w:spacing w:val="0"/>
          <w:sz w:val="24"/>
          <w:szCs w:val="24"/>
        </w:rPr>
      </w:pPr>
      <w:r>
        <w:rPr>
          <w:rStyle w:val="16"/>
          <w:rFonts w:hint="eastAsia" w:ascii="宋体" w:hAnsi="宋体" w:eastAsia="宋体" w:cs="宋体"/>
          <w:i w:val="0"/>
          <w:caps w:val="0"/>
          <w:color w:val="auto"/>
          <w:spacing w:val="0"/>
          <w:sz w:val="24"/>
          <w:szCs w:val="24"/>
        </w:rPr>
        <w:t>七、对本次采购提出询问，请按以下方式联系</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1.采购人信息</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名 称：</w:t>
      </w:r>
      <w:r>
        <w:rPr>
          <w:rFonts w:hint="eastAsia" w:ascii="宋体" w:hAnsi="宋体" w:eastAsia="宋体" w:cs="宋体"/>
          <w:i w:val="0"/>
          <w:caps w:val="0"/>
          <w:color w:val="auto"/>
          <w:spacing w:val="0"/>
          <w:sz w:val="24"/>
          <w:szCs w:val="24"/>
          <w:lang w:eastAsia="zh-CN"/>
        </w:rPr>
        <w:t>乌鲁木齐市水磨沟区园林管理局</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地 址：</w:t>
      </w:r>
      <w:r>
        <w:rPr>
          <w:rFonts w:hint="eastAsia" w:ascii="宋体" w:hAnsi="宋体" w:eastAsia="宋体" w:cs="宋体"/>
          <w:i w:val="0"/>
          <w:caps w:val="0"/>
          <w:color w:val="auto"/>
          <w:spacing w:val="0"/>
          <w:sz w:val="24"/>
          <w:szCs w:val="24"/>
          <w:lang w:eastAsia="zh-CN"/>
        </w:rPr>
        <w:t>新疆乌鲁木齐市水磨沟区五星北路东二巷199号</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联系人：关胜博</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联系方式：</w:t>
      </w:r>
      <w:r>
        <w:rPr>
          <w:rFonts w:hint="eastAsia" w:ascii="宋体" w:hAnsi="宋体" w:eastAsia="宋体" w:cs="宋体"/>
          <w:i w:val="0"/>
          <w:caps w:val="0"/>
          <w:color w:val="auto"/>
          <w:spacing w:val="0"/>
          <w:sz w:val="24"/>
          <w:szCs w:val="24"/>
          <w:lang w:eastAsia="zh-CN"/>
        </w:rPr>
        <w:t>0991-4627653</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2.采购代理机构信息</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名 称：</w:t>
      </w:r>
      <w:r>
        <w:rPr>
          <w:rFonts w:hint="eastAsia" w:ascii="宋体" w:hAnsi="宋体" w:eastAsia="宋体" w:cs="宋体"/>
          <w:i w:val="0"/>
          <w:caps w:val="0"/>
          <w:color w:val="auto"/>
          <w:spacing w:val="0"/>
          <w:sz w:val="24"/>
          <w:szCs w:val="24"/>
          <w:lang w:val="en-US" w:eastAsia="zh-CN"/>
        </w:rPr>
        <w:t>新疆融盛源工程项目管理有限公司</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地 址：</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　</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联系方式：0991-</w:t>
      </w:r>
      <w:r>
        <w:rPr>
          <w:rFonts w:hint="eastAsia" w:ascii="宋体" w:hAnsi="宋体" w:eastAsia="宋体" w:cs="宋体"/>
          <w:i w:val="0"/>
          <w:caps w:val="0"/>
          <w:color w:val="auto"/>
          <w:spacing w:val="0"/>
          <w:sz w:val="24"/>
          <w:szCs w:val="24"/>
          <w:lang w:val="en-US" w:eastAsia="zh-CN"/>
        </w:rPr>
        <w:t xml:space="preserve">4800087 </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3.项目联系方式</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项目联系人：</w:t>
      </w:r>
      <w:r>
        <w:rPr>
          <w:rFonts w:hint="eastAsia" w:ascii="宋体" w:hAnsi="宋体" w:eastAsia="宋体" w:cs="宋体"/>
          <w:i w:val="0"/>
          <w:caps w:val="0"/>
          <w:color w:val="auto"/>
          <w:spacing w:val="0"/>
          <w:sz w:val="24"/>
          <w:szCs w:val="24"/>
          <w:lang w:val="en-US" w:eastAsia="zh-CN"/>
        </w:rPr>
        <w:t>龚 钊</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17"/>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电 话：</w:t>
      </w:r>
      <w:r>
        <w:rPr>
          <w:rStyle w:val="17"/>
          <w:rFonts w:hint="eastAsia" w:ascii="宋体" w:hAnsi="宋体" w:eastAsia="宋体" w:cs="宋体"/>
          <w:i w:val="0"/>
          <w:caps w:val="0"/>
          <w:color w:val="auto"/>
          <w:spacing w:val="0"/>
          <w:sz w:val="24"/>
          <w:szCs w:val="24"/>
        </w:rPr>
        <w:t>0991-</w:t>
      </w:r>
      <w:r>
        <w:rPr>
          <w:rStyle w:val="17"/>
          <w:rFonts w:hint="eastAsia" w:ascii="宋体" w:hAnsi="宋体" w:eastAsia="宋体" w:cs="宋体"/>
          <w:i w:val="0"/>
          <w:caps w:val="0"/>
          <w:color w:val="auto"/>
          <w:spacing w:val="0"/>
          <w:sz w:val="24"/>
          <w:szCs w:val="24"/>
          <w:lang w:val="en-US" w:eastAsia="zh-CN"/>
        </w:rPr>
        <w:t xml:space="preserve">4800087 </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17"/>
          <w:rFonts w:hint="default" w:ascii="宋体" w:hAnsi="宋体" w:eastAsia="宋体" w:cs="宋体"/>
          <w:i w:val="0"/>
          <w:caps w:val="0"/>
          <w:color w:val="auto"/>
          <w:spacing w:val="0"/>
          <w:sz w:val="24"/>
          <w:szCs w:val="24"/>
          <w:lang w:val="en-US" w:eastAsia="zh-CN"/>
        </w:rPr>
      </w:pPr>
      <w:r>
        <w:rPr>
          <w:rStyle w:val="17"/>
          <w:rFonts w:hint="default" w:ascii="宋体" w:hAnsi="宋体" w:eastAsia="宋体" w:cs="宋体"/>
          <w:i w:val="0"/>
          <w:caps w:val="0"/>
          <w:color w:val="auto"/>
          <w:spacing w:val="0"/>
          <w:sz w:val="24"/>
          <w:szCs w:val="24"/>
          <w:lang w:val="en-US" w:eastAsia="zh-CN"/>
        </w:rPr>
        <w:t>4.财政监督部门</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17"/>
          <w:rFonts w:hint="default" w:ascii="宋体" w:hAnsi="宋体" w:eastAsia="宋体" w:cs="宋体"/>
          <w:i w:val="0"/>
          <w:caps w:val="0"/>
          <w:color w:val="auto"/>
          <w:spacing w:val="0"/>
          <w:sz w:val="24"/>
          <w:szCs w:val="24"/>
          <w:lang w:val="en-US" w:eastAsia="zh-CN"/>
        </w:rPr>
      </w:pPr>
      <w:r>
        <w:rPr>
          <w:rStyle w:val="17"/>
          <w:rFonts w:hint="default" w:ascii="宋体" w:hAnsi="宋体" w:eastAsia="宋体" w:cs="宋体"/>
          <w:i w:val="0"/>
          <w:caps w:val="0"/>
          <w:color w:val="auto"/>
          <w:spacing w:val="0"/>
          <w:sz w:val="24"/>
          <w:szCs w:val="24"/>
          <w:lang w:val="en-US" w:eastAsia="zh-CN"/>
        </w:rPr>
        <w:t>电 话：0991-4684212</w:t>
      </w:r>
    </w:p>
    <w:p/>
    <w:p>
      <w:pPr>
        <w:pStyle w:val="2"/>
      </w:pPr>
    </w:p>
    <w:p/>
    <w:p>
      <w:pPr>
        <w:pStyle w:val="2"/>
      </w:pPr>
    </w:p>
    <w:p/>
    <w:p>
      <w:pPr>
        <w:pStyle w:val="2"/>
      </w:pPr>
    </w:p>
    <w:p/>
    <w:p>
      <w:pPr>
        <w:pStyle w:val="2"/>
      </w:pPr>
    </w:p>
    <w:p/>
    <w:p>
      <w:pPr>
        <w:pStyle w:val="2"/>
      </w:pPr>
    </w:p>
    <w:p/>
    <w:p>
      <w:pPr>
        <w:pStyle w:val="2"/>
      </w:pPr>
    </w:p>
    <w:p>
      <w:pPr>
        <w:pStyle w:val="3"/>
      </w:pPr>
    </w:p>
    <w:p/>
    <w:p/>
    <w:p>
      <w:pPr>
        <w:pStyle w:val="2"/>
      </w:pPr>
    </w:p>
    <w:p>
      <w:pPr>
        <w:pStyle w:val="3"/>
      </w:pPr>
    </w:p>
    <w:p/>
    <w:p>
      <w:pPr>
        <w:pStyle w:val="2"/>
      </w:pPr>
    </w:p>
    <w:p>
      <w:pPr>
        <w:pStyle w:val="2"/>
      </w:pPr>
    </w:p>
    <w:p/>
    <w:p>
      <w:pPr>
        <w:jc w:val="center"/>
        <w:outlineLvl w:val="0"/>
        <w:rPr>
          <w:rFonts w:hint="eastAsia" w:ascii="宋体" w:hAnsi="宋体" w:eastAsia="宋体" w:cs="宋体"/>
          <w:b/>
          <w:color w:val="auto"/>
          <w:sz w:val="36"/>
          <w:highlight w:val="none"/>
        </w:rPr>
      </w:pPr>
      <w:bookmarkStart w:id="3" w:name="_Toc5734"/>
      <w:r>
        <w:rPr>
          <w:rFonts w:hint="eastAsia" w:ascii="宋体" w:hAnsi="宋体" w:eastAsia="宋体" w:cs="宋体"/>
          <w:b/>
          <w:color w:val="auto"/>
          <w:sz w:val="36"/>
          <w:highlight w:val="none"/>
        </w:rPr>
        <w:t>第一部分 投标须知前附表</w:t>
      </w:r>
      <w:bookmarkEnd w:id="3"/>
    </w:p>
    <w:tbl>
      <w:tblPr>
        <w:tblStyle w:val="14"/>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6837"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837" w:type="dxa"/>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rPr>
              <w:t>RSY-2022-00</w:t>
            </w:r>
            <w:r>
              <w:rPr>
                <w:rFonts w:hint="eastAsia" w:ascii="宋体" w:hAnsi="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val="en-US" w:eastAsia="zh-CN"/>
              </w:rPr>
              <w:t>-[2022]</w:t>
            </w:r>
            <w:r>
              <w:rPr>
                <w:rFonts w:hint="eastAsia" w:ascii="宋体" w:hAnsi="宋体" w:cs="宋体"/>
                <w:color w:val="auto"/>
                <w:kern w:val="2"/>
                <w:sz w:val="24"/>
                <w:szCs w:val="24"/>
                <w:highlight w:val="none"/>
                <w:lang w:val="en-US" w:eastAsia="zh-CN"/>
              </w:rPr>
              <w:t>104</w:t>
            </w:r>
            <w:r>
              <w:rPr>
                <w:rFonts w:hint="eastAsia" w:ascii="宋体" w:hAnsi="宋体" w:eastAsia="宋体" w:cs="宋体"/>
                <w:color w:val="auto"/>
                <w:kern w:val="2"/>
                <w:sz w:val="24"/>
                <w:szCs w:val="24"/>
                <w:highlight w:val="none"/>
                <w:lang w:val="en-US" w:eastAsia="zh-CN"/>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37" w:type="dxa"/>
            <w:noWrap w:val="0"/>
            <w:vAlign w:val="top"/>
          </w:tcPr>
          <w:p>
            <w:pPr>
              <w:keepNext w:val="0"/>
              <w:keepLines w:val="0"/>
              <w:pageBreakBefore w:val="0"/>
              <w:kinsoku/>
              <w:wordWrap/>
              <w:topLinePunct w:val="0"/>
              <w:bidi w:val="0"/>
              <w:spacing w:line="44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2022年水磨沟区道路公共绿地市场化养护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6837" w:type="dxa"/>
            <w:noWrap w:val="0"/>
            <w:vAlign w:val="center"/>
          </w:tcPr>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1.采购人信息</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采购人名称：</w:t>
            </w:r>
            <w:r>
              <w:rPr>
                <w:rFonts w:hint="eastAsia" w:ascii="宋体" w:hAnsi="宋体" w:cs="宋体"/>
                <w:color w:val="auto"/>
                <w:kern w:val="2"/>
                <w:highlight w:val="none"/>
                <w:lang w:eastAsia="zh-CN"/>
              </w:rPr>
              <w:t>乌鲁木齐市水磨沟区园林管理局</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sz w:val="24"/>
                <w:szCs w:val="24"/>
                <w:highlight w:val="none"/>
                <w:lang w:eastAsia="zh-CN"/>
              </w:rPr>
            </w:pPr>
            <w:r>
              <w:rPr>
                <w:rFonts w:hint="eastAsia" w:ascii="宋体" w:hAnsi="宋体" w:eastAsia="宋体" w:cs="宋体"/>
                <w:color w:val="auto"/>
                <w:kern w:val="2"/>
                <w:highlight w:val="none"/>
              </w:rPr>
              <w:t>地      址：</w:t>
            </w:r>
            <w:r>
              <w:rPr>
                <w:rFonts w:hint="eastAsia" w:ascii="宋体" w:hAnsi="宋体" w:cs="宋体"/>
                <w:color w:val="auto"/>
                <w:sz w:val="24"/>
                <w:szCs w:val="24"/>
                <w:highlight w:val="none"/>
                <w:lang w:eastAsia="zh-CN"/>
              </w:rPr>
              <w:t>新疆乌鲁木齐市水磨沟区五星北路东二巷199号</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highlight w:val="none"/>
                <w:lang w:val="en-US" w:eastAsia="zh-CN"/>
              </w:rPr>
            </w:pPr>
            <w:r>
              <w:rPr>
                <w:rFonts w:hint="eastAsia" w:ascii="宋体" w:hAnsi="宋体" w:eastAsia="宋体" w:cs="宋体"/>
                <w:color w:val="auto"/>
                <w:kern w:val="2"/>
                <w:highlight w:val="none"/>
              </w:rPr>
              <w:t>联  系  人：</w:t>
            </w:r>
            <w:r>
              <w:rPr>
                <w:rFonts w:hint="eastAsia" w:ascii="宋体" w:hAnsi="宋体" w:cs="宋体"/>
                <w:color w:val="auto"/>
                <w:kern w:val="2"/>
                <w:highlight w:val="none"/>
                <w:lang w:val="en-US" w:eastAsia="zh-CN"/>
              </w:rPr>
              <w:t>关胜博</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highlight w:val="none"/>
                <w:lang w:eastAsia="zh-CN"/>
              </w:rPr>
            </w:pPr>
            <w:r>
              <w:rPr>
                <w:rFonts w:hint="eastAsia" w:ascii="宋体" w:hAnsi="宋体" w:eastAsia="宋体" w:cs="宋体"/>
                <w:color w:val="auto"/>
                <w:kern w:val="2"/>
                <w:highlight w:val="none"/>
              </w:rPr>
              <w:t>联系电话/传真：</w:t>
            </w:r>
            <w:r>
              <w:rPr>
                <w:rFonts w:hint="eastAsia" w:ascii="宋体" w:hAnsi="宋体" w:cs="宋体"/>
                <w:color w:val="auto"/>
                <w:kern w:val="2"/>
                <w:highlight w:val="none"/>
                <w:lang w:eastAsia="zh-CN"/>
              </w:rPr>
              <w:t>0991-4627653</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2.采购代理机构信息</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highlight w:val="none"/>
                <w:lang w:val="en-US" w:eastAsia="zh-CN"/>
              </w:rPr>
            </w:pPr>
            <w:r>
              <w:rPr>
                <w:rFonts w:hint="eastAsia" w:ascii="宋体" w:hAnsi="宋体" w:eastAsia="宋体" w:cs="宋体"/>
                <w:color w:val="auto"/>
                <w:kern w:val="2"/>
                <w:highlight w:val="none"/>
              </w:rPr>
              <w:t>名    称：</w:t>
            </w:r>
            <w:r>
              <w:rPr>
                <w:rFonts w:hint="eastAsia" w:ascii="宋体" w:hAnsi="宋体" w:cs="宋体"/>
                <w:color w:val="auto"/>
                <w:kern w:val="2"/>
                <w:highlight w:val="none"/>
                <w:lang w:val="en-US" w:eastAsia="zh-CN"/>
              </w:rPr>
              <w:t>新疆融盛源工程项目管理有限公司</w:t>
            </w:r>
          </w:p>
          <w:p>
            <w:pPr>
              <w:pStyle w:val="13"/>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right="0"/>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地　　址：</w:t>
            </w:r>
            <w:r>
              <w:rPr>
                <w:rFonts w:hint="eastAsia" w:ascii="宋体" w:hAnsi="宋体" w:eastAsia="宋体" w:cs="宋体"/>
                <w:color w:val="auto"/>
                <w:kern w:val="2"/>
                <w:highlight w:val="none"/>
                <w:lang w:val="en-US" w:eastAsia="zh-CN"/>
              </w:rPr>
              <w:t>乌鲁木齐市水磨沟区立井街198号丽景中央城9号楼（全季酒店）五层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highlight w:val="none"/>
                <w:lang w:val="en-US" w:eastAsia="zh-CN"/>
              </w:rPr>
            </w:pPr>
            <w:r>
              <w:rPr>
                <w:rFonts w:hint="eastAsia" w:ascii="宋体" w:hAnsi="宋体" w:eastAsia="宋体" w:cs="宋体"/>
                <w:color w:val="auto"/>
                <w:kern w:val="2"/>
                <w:highlight w:val="none"/>
              </w:rPr>
              <w:t>项目联系人：</w:t>
            </w:r>
            <w:r>
              <w:rPr>
                <w:rFonts w:hint="eastAsia" w:ascii="宋体" w:hAnsi="宋体" w:cs="宋体"/>
                <w:color w:val="auto"/>
                <w:kern w:val="2"/>
                <w:highlight w:val="none"/>
                <w:lang w:val="en-US" w:eastAsia="zh-CN"/>
              </w:rPr>
              <w:t xml:space="preserve">龚 钊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highlight w:val="none"/>
                <w:lang w:val="en-US" w:eastAsia="zh-CN"/>
              </w:rPr>
            </w:pPr>
            <w:r>
              <w:rPr>
                <w:rFonts w:hint="eastAsia" w:ascii="宋体" w:hAnsi="宋体" w:eastAsia="宋体" w:cs="宋体"/>
                <w:color w:val="auto"/>
                <w:kern w:val="2"/>
                <w:highlight w:val="none"/>
              </w:rPr>
              <w:t>联系方式：0991-</w:t>
            </w:r>
            <w:r>
              <w:rPr>
                <w:rFonts w:hint="eastAsia" w:ascii="宋体" w:hAnsi="宋体" w:cs="宋体"/>
                <w:color w:val="auto"/>
                <w:kern w:val="2"/>
                <w:highlight w:val="none"/>
                <w:lang w:val="en-US" w:eastAsia="zh-CN"/>
              </w:rPr>
              <w:t xml:space="preserve">4800087 </w:t>
            </w:r>
          </w:p>
          <w:p>
            <w:pPr>
              <w:pStyle w:val="1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highlight w:val="none"/>
              </w:rPr>
              <w:t>邮箱号：</w:t>
            </w:r>
            <w:r>
              <w:rPr>
                <w:rFonts w:hint="eastAsia" w:ascii="宋体" w:hAnsi="宋体" w:cs="宋体"/>
                <w:color w:val="auto"/>
                <w:kern w:val="2"/>
                <w:highlight w:val="none"/>
                <w:lang w:val="en-US" w:eastAsia="zh-CN"/>
              </w:rPr>
              <w:t>304896852</w:t>
            </w:r>
            <w:r>
              <w:rPr>
                <w:rFonts w:hint="eastAsia" w:ascii="宋体" w:hAnsi="宋体" w:eastAsia="宋体" w:cs="宋体"/>
                <w:color w:val="auto"/>
                <w:kern w:val="2"/>
                <w:highlight w:val="none"/>
              </w:rPr>
              <w:t>@qq.com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09" w:type="dxa"/>
            <w:noWrap w:val="0"/>
            <w:vAlign w:val="center"/>
          </w:tcPr>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标项名称和预算</w:t>
            </w:r>
          </w:p>
        </w:tc>
        <w:tc>
          <w:tcPr>
            <w:tcW w:w="6837" w:type="dxa"/>
            <w:noWrap w:val="0"/>
            <w:vAlign w:val="center"/>
          </w:tcPr>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标项一：</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绿化面积：209808.87㎡</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预算金额：1635961.082元</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1635961.082</w:t>
            </w:r>
            <w:r>
              <w:rPr>
                <w:rFonts w:hint="eastAsia" w:ascii="宋体" w:hAnsi="宋体" w:eastAsia="宋体" w:cs="宋体"/>
                <w:color w:val="auto"/>
                <w:sz w:val="24"/>
                <w:szCs w:val="24"/>
                <w:highlight w:val="none"/>
              </w:rPr>
              <w:t>元</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标项名称:2022年水磨沟区道路公共绿地市场化养护第一标段；</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项目基本概况介绍：第一标段绿地日常管理养护，具体详见招标文件；</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标项二：</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绿化面积：297396.62㎡</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预算金额：2464419.31元</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2464419.31</w:t>
            </w:r>
            <w:r>
              <w:rPr>
                <w:rFonts w:hint="eastAsia" w:ascii="宋体" w:hAnsi="宋体" w:eastAsia="宋体" w:cs="宋体"/>
                <w:color w:val="auto"/>
                <w:sz w:val="24"/>
                <w:szCs w:val="24"/>
                <w:highlight w:val="none"/>
              </w:rPr>
              <w:t>元</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标项名称:2022年水磨沟区道路公共绿地市场化养护第二标段；</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项目基本概况介绍：第二标段绿地日常管理养护，具体详见招标文件；</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标项三：</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绿化面积：327367.68㎡</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预算金额：2805420.74元</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2805420.74</w:t>
            </w:r>
            <w:r>
              <w:rPr>
                <w:rFonts w:hint="eastAsia" w:ascii="宋体" w:hAnsi="宋体" w:eastAsia="宋体" w:cs="宋体"/>
                <w:color w:val="auto"/>
                <w:sz w:val="24"/>
                <w:szCs w:val="24"/>
                <w:highlight w:val="none"/>
              </w:rPr>
              <w:t>元</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标项名称:2022年水磨沟区道路公共绿地市场化养护第三标段；</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项目基本概况介绍：第三标段绿地日常管理养护，具体详见招标文件；</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标项四：</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绿化面积：392978㎡</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预算金额：3285296.08元</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3285296.08</w:t>
            </w:r>
            <w:r>
              <w:rPr>
                <w:rFonts w:hint="eastAsia" w:ascii="宋体" w:hAnsi="宋体" w:eastAsia="宋体" w:cs="宋体"/>
                <w:color w:val="auto"/>
                <w:sz w:val="24"/>
                <w:szCs w:val="24"/>
                <w:highlight w:val="none"/>
              </w:rPr>
              <w:t>元</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标项名称:2022年水磨沟区道路公共绿地市场化养护第四标段；</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项目基本概况介绍：第四标段绿地日常管理养护，具体详见招标文件；</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标项五：</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绿化面积：422206.1㎡</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预算金额：3342349.1元</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3342349.1</w:t>
            </w:r>
            <w:r>
              <w:rPr>
                <w:rFonts w:hint="eastAsia" w:ascii="宋体" w:hAnsi="宋体" w:eastAsia="宋体" w:cs="宋体"/>
                <w:color w:val="auto"/>
                <w:sz w:val="24"/>
                <w:szCs w:val="24"/>
                <w:highlight w:val="none"/>
              </w:rPr>
              <w:t>元</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标项名称:2022年水磨沟区道路公共绿地市场化养护第五标段；</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项目基本概况介绍：第五标段绿地日常管理养护，具体详见招标文件；</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标项六：</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绿化面积：214713㎡</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预算金额：1795000.68元</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1795000.68</w:t>
            </w:r>
            <w:r>
              <w:rPr>
                <w:rFonts w:hint="eastAsia" w:ascii="宋体" w:hAnsi="宋体" w:eastAsia="宋体" w:cs="宋体"/>
                <w:color w:val="auto"/>
                <w:sz w:val="24"/>
                <w:szCs w:val="24"/>
                <w:highlight w:val="none"/>
              </w:rPr>
              <w:t>元</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标项名称:2022年水磨沟区道路公共绿地市场化养护第六标段；</w:t>
            </w:r>
          </w:p>
          <w:p>
            <w:pPr>
              <w:keepNext w:val="0"/>
              <w:keepLines w:val="0"/>
              <w:pageBreakBefore w:val="0"/>
              <w:kinsoku/>
              <w:wordWrap/>
              <w:topLinePunct w:val="0"/>
              <w:bidi w:val="0"/>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项目基本概况介绍：第六标段绿地日常管理养护，具体详见招标文件；</w:t>
            </w:r>
          </w:p>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w:t>
            </w:r>
          </w:p>
        </w:tc>
        <w:tc>
          <w:tcPr>
            <w:tcW w:w="6837" w:type="dxa"/>
            <w:noWrap w:val="0"/>
            <w:vAlign w:val="center"/>
          </w:tcPr>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公开招标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509" w:type="dxa"/>
            <w:tcBorders>
              <w:bottom w:val="single" w:color="auto" w:sz="4" w:space="0"/>
              <w:right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投标资格</w:t>
            </w:r>
          </w:p>
        </w:tc>
        <w:tc>
          <w:tcPr>
            <w:tcW w:w="6837" w:type="dxa"/>
            <w:tcBorders>
              <w:left w:val="single" w:color="auto" w:sz="4" w:space="0"/>
              <w:bottom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6"/>
                <w:rFonts w:hint="eastAsia" w:ascii="宋体" w:hAnsi="宋体" w:eastAsia="宋体" w:cs="宋体"/>
                <w:b w:val="0"/>
                <w:bCs w:val="0"/>
                <w:color w:val="auto"/>
                <w:kern w:val="0"/>
                <w:sz w:val="24"/>
                <w:szCs w:val="24"/>
                <w:lang w:val="en-US" w:eastAsia="zh-CN" w:bidi="ar-SA"/>
              </w:rPr>
            </w:pPr>
            <w:r>
              <w:rPr>
                <w:rStyle w:val="16"/>
                <w:rFonts w:hint="eastAsia" w:ascii="宋体" w:hAnsi="宋体" w:eastAsia="宋体" w:cs="宋体"/>
                <w:b w:val="0"/>
                <w:bCs w:val="0"/>
                <w:color w:val="auto"/>
                <w:kern w:val="0"/>
                <w:sz w:val="24"/>
                <w:szCs w:val="24"/>
                <w:lang w:val="en-US" w:eastAsia="zh-CN" w:bidi="ar-SA"/>
              </w:rPr>
              <w:t>1.满足《中华人民共和国政府采购法》第二十二条规定；</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6"/>
                <w:rFonts w:hint="eastAsia" w:ascii="宋体" w:hAnsi="宋体" w:eastAsia="宋体" w:cs="宋体"/>
                <w:b w:val="0"/>
                <w:bCs w:val="0"/>
                <w:color w:val="auto"/>
                <w:kern w:val="0"/>
                <w:sz w:val="24"/>
                <w:szCs w:val="24"/>
                <w:lang w:val="en-US" w:eastAsia="zh-CN" w:bidi="ar-SA"/>
              </w:rPr>
            </w:pPr>
            <w:r>
              <w:rPr>
                <w:rStyle w:val="16"/>
                <w:rFonts w:hint="eastAsia" w:ascii="宋体" w:hAnsi="宋体" w:eastAsia="宋体" w:cs="宋体"/>
                <w:b w:val="0"/>
                <w:bCs w:val="0"/>
                <w:color w:val="auto"/>
                <w:kern w:val="0"/>
                <w:sz w:val="24"/>
                <w:szCs w:val="24"/>
                <w:lang w:val="en-US" w:eastAsia="zh-CN" w:bidi="ar-SA"/>
              </w:rPr>
              <w:t>2.落实政府采购政策需满足的资格要求：</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6"/>
                <w:rFonts w:hint="eastAsia" w:ascii="宋体" w:hAnsi="宋体" w:eastAsia="宋体" w:cs="宋体"/>
                <w:b w:val="0"/>
                <w:bCs w:val="0"/>
                <w:color w:val="auto"/>
                <w:kern w:val="0"/>
                <w:sz w:val="24"/>
                <w:szCs w:val="24"/>
                <w:highlight w:val="none"/>
                <w:lang w:val="en-US" w:eastAsia="zh-CN" w:bidi="ar-SA"/>
              </w:rPr>
            </w:pPr>
            <w:r>
              <w:rPr>
                <w:rStyle w:val="16"/>
                <w:rFonts w:hint="eastAsia" w:ascii="宋体" w:hAnsi="宋体" w:eastAsia="宋体" w:cs="宋体"/>
                <w:b w:val="0"/>
                <w:bCs w:val="0"/>
                <w:color w:val="auto"/>
                <w:kern w:val="0"/>
                <w:sz w:val="24"/>
                <w:szCs w:val="24"/>
                <w:highlight w:val="none"/>
                <w:lang w:val="en-US" w:eastAsia="zh-CN" w:bidi="ar-SA"/>
              </w:rPr>
              <w:t>（1）关于印发《政府采购促进中小企业发展管理办法》（财库〔2020〕46号）；</w:t>
            </w:r>
            <w:r>
              <w:rPr>
                <w:rStyle w:val="16"/>
                <w:rFonts w:hint="eastAsia" w:ascii="宋体" w:hAnsi="宋体" w:eastAsia="宋体" w:cs="宋体"/>
                <w:b w:val="0"/>
                <w:bCs w:val="0"/>
                <w:color w:val="auto"/>
                <w:kern w:val="0"/>
                <w:sz w:val="24"/>
                <w:szCs w:val="24"/>
                <w:highlight w:val="none"/>
                <w:lang w:val="en-US" w:eastAsia="zh-CN" w:bidi="ar-SA"/>
              </w:rPr>
              <w:br w:type="textWrapping"/>
            </w:r>
            <w:r>
              <w:rPr>
                <w:rStyle w:val="16"/>
                <w:rFonts w:hint="eastAsia" w:ascii="宋体" w:hAnsi="宋体" w:eastAsia="宋体" w:cs="宋体"/>
                <w:b w:val="0"/>
                <w:bCs w:val="0"/>
                <w:color w:val="auto"/>
                <w:kern w:val="0"/>
                <w:sz w:val="24"/>
                <w:szCs w:val="24"/>
                <w:highlight w:val="none"/>
                <w:lang w:val="en-US" w:eastAsia="zh-CN" w:bidi="ar-SA"/>
              </w:rPr>
              <w:t>（2）《财政部、司法部关于政府采购支持监狱企业发展有关问题的通知》（财库〔2014〕68号）；</w:t>
            </w:r>
            <w:r>
              <w:rPr>
                <w:rStyle w:val="16"/>
                <w:rFonts w:hint="eastAsia" w:ascii="宋体" w:hAnsi="宋体" w:eastAsia="宋体" w:cs="宋体"/>
                <w:b w:val="0"/>
                <w:bCs w:val="0"/>
                <w:color w:val="auto"/>
                <w:kern w:val="0"/>
                <w:sz w:val="24"/>
                <w:szCs w:val="24"/>
                <w:highlight w:val="none"/>
                <w:lang w:val="en-US" w:eastAsia="zh-CN" w:bidi="ar-SA"/>
              </w:rPr>
              <w:br w:type="textWrapping"/>
            </w:r>
            <w:r>
              <w:rPr>
                <w:rStyle w:val="16"/>
                <w:rFonts w:hint="eastAsia" w:ascii="宋体" w:hAnsi="宋体" w:eastAsia="宋体" w:cs="宋体"/>
                <w:b w:val="0"/>
                <w:bCs w:val="0"/>
                <w:color w:val="auto"/>
                <w:kern w:val="0"/>
                <w:sz w:val="24"/>
                <w:szCs w:val="24"/>
                <w:highlight w:val="none"/>
                <w:lang w:val="en-US" w:eastAsia="zh-CN" w:bidi="ar-SA"/>
              </w:rPr>
              <w:t>（3）《财政部民政部中国残疾人联合会关于促进残疾人就业政府采购政策的通知》财库〔2017〕141号。</w:t>
            </w:r>
          </w:p>
          <w:p>
            <w:pPr>
              <w:pStyle w:val="19"/>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16"/>
                <w:rFonts w:hint="eastAsia" w:ascii="宋体" w:hAnsi="宋体" w:eastAsia="宋体" w:cs="宋体"/>
                <w:b w:val="0"/>
                <w:bCs w:val="0"/>
                <w:color w:val="auto"/>
                <w:kern w:val="0"/>
                <w:sz w:val="24"/>
                <w:szCs w:val="24"/>
                <w:lang w:val="en-US" w:eastAsia="zh-CN" w:bidi="ar-SA"/>
              </w:rPr>
            </w:pPr>
            <w:r>
              <w:rPr>
                <w:rStyle w:val="16"/>
                <w:rFonts w:hint="eastAsia" w:ascii="宋体" w:hAnsi="宋体" w:eastAsia="宋体" w:cs="宋体"/>
                <w:b w:val="0"/>
                <w:bCs w:val="0"/>
                <w:color w:val="auto"/>
                <w:kern w:val="0"/>
                <w:sz w:val="24"/>
                <w:szCs w:val="24"/>
                <w:lang w:val="en-US" w:eastAsia="zh-CN" w:bidi="ar-SA"/>
              </w:rPr>
              <w:t>3.本项目的特定资格要求：</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具有独立法人资格并依法取得企业营业执照且营业执照在有效期内</w:t>
            </w:r>
            <w:r>
              <w:rPr>
                <w:rFonts w:hint="eastAsia" w:ascii="宋体" w:hAnsi="宋体" w:cs="宋体"/>
                <w:color w:val="auto"/>
                <w:highlight w:val="none"/>
                <w:lang w:val="en-US" w:eastAsia="zh-CN"/>
              </w:rPr>
              <w:t>（经营范围必须包含园林绿化或园林绿化施工或绿化养护等相关内容）</w:t>
            </w:r>
            <w:r>
              <w:rPr>
                <w:rFonts w:hint="eastAsia" w:ascii="宋体" w:hAnsi="宋体" w:eastAsia="宋体" w:cs="宋体"/>
                <w:color w:val="auto"/>
                <w:highlight w:val="none"/>
                <w:lang w:eastAsia="zh-CN"/>
              </w:rPr>
              <w:t>；</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主体信用记录符合政府采购活动要求供应商参加政府采购活动前三年内未被列入“信用中国”网站(www.creditchina.gov.cn)、重大税收违法案件当事人、“中国执行信息公开网”（http://zxgk.court.gov.cn/）未被列入失信被执行人和“中国政府采购”网站（www.ccgp.gov.cn）政府采购严重违法失信行为记录名单；</w:t>
            </w:r>
          </w:p>
          <w:p>
            <w:pPr>
              <w:pStyle w:val="19"/>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3</w:t>
            </w:r>
            <w:r>
              <w:rPr>
                <w:rFonts w:hint="eastAsia" w:ascii="宋体" w:hAnsi="宋体" w:eastAsia="宋体" w:cs="宋体"/>
                <w:color w:val="auto"/>
                <w:lang w:eastAsia="zh-CN"/>
              </w:rPr>
              <w:t>）其他说明: (1) 与招标人存在利害关系可能影响招标公正性的法人、其他组织或者个人，不得参加投标: (2) 单位负责人为同一人或者存在控股、管理关系的不同单位，不得参加同一</w:t>
            </w:r>
            <w:r>
              <w:rPr>
                <w:rFonts w:hint="eastAsia" w:ascii="宋体" w:hAnsi="宋体" w:cs="宋体"/>
                <w:color w:val="auto"/>
                <w:lang w:val="en-US" w:eastAsia="zh-CN"/>
              </w:rPr>
              <w:t>合同项下的</w:t>
            </w:r>
            <w:r>
              <w:rPr>
                <w:rFonts w:hint="eastAsia" w:ascii="宋体" w:hAnsi="宋体" w:eastAsia="宋体" w:cs="宋体"/>
                <w:color w:val="auto"/>
                <w:lang w:eastAsia="zh-CN"/>
              </w:rPr>
              <w:t>项目投标。违反上述两款规定的，相关投标均无效；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509" w:type="dxa"/>
            <w:tcBorders>
              <w:bottom w:val="single" w:color="auto" w:sz="4" w:space="0"/>
              <w:right w:val="single" w:color="auto" w:sz="4" w:space="0"/>
            </w:tcBorders>
            <w:noWrap w:val="0"/>
            <w:vAlign w:val="center"/>
          </w:tcPr>
          <w:p>
            <w:pPr>
              <w:pStyle w:val="20"/>
              <w:keepNext w:val="0"/>
              <w:keepLines w:val="0"/>
              <w:pageBreakBefore w:val="0"/>
              <w:kinsoku/>
              <w:wordWrap/>
              <w:topLinePunct w:val="0"/>
              <w:bidi w:val="0"/>
              <w:spacing w:line="440" w:lineRule="exact"/>
              <w:ind w:left="3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信用情况</w:t>
            </w:r>
          </w:p>
        </w:tc>
        <w:tc>
          <w:tcPr>
            <w:tcW w:w="6837" w:type="dxa"/>
            <w:tcBorders>
              <w:left w:val="single" w:color="auto" w:sz="4" w:space="0"/>
              <w:bottom w:val="single" w:color="auto" w:sz="4" w:space="0"/>
            </w:tcBorders>
            <w:noWrap w:val="0"/>
            <w:vAlign w:val="center"/>
          </w:tcPr>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信用记录审查：</w:t>
            </w:r>
          </w:p>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规定，投标截止时间后，采购人或采购代理机构将通过“信用中国”网站(www.creditchina.gov.cn)、“中国执行信息公开网”</w:t>
            </w:r>
            <w:r>
              <w:rPr>
                <w:rFonts w:hint="eastAsia" w:ascii="宋体" w:hAnsi="宋体" w:eastAsia="宋体" w:cs="宋体"/>
                <w:color w:val="auto"/>
                <w:kern w:val="0"/>
                <w:sz w:val="24"/>
                <w:szCs w:val="24"/>
                <w:highlight w:val="none"/>
              </w:rPr>
              <w:t>（http://z</w:t>
            </w:r>
            <w:r>
              <w:rPr>
                <w:rFonts w:hint="eastAsia" w:ascii="宋体" w:hAnsi="宋体" w:eastAsia="宋体" w:cs="宋体"/>
                <w:color w:val="auto"/>
                <w:sz w:val="24"/>
                <w:szCs w:val="24"/>
                <w:highlight w:val="none"/>
              </w:rPr>
              <w:t>xgk.court.gov.cn/）未被列入失信被执行人、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79" w:type="dxa"/>
            <w:tcBorders>
              <w:top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509" w:type="dxa"/>
            <w:tcBorders>
              <w:top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招标有效期</w:t>
            </w:r>
          </w:p>
        </w:tc>
        <w:tc>
          <w:tcPr>
            <w:tcW w:w="6837" w:type="dxa"/>
            <w:tcBorders>
              <w:top w:val="single" w:color="auto" w:sz="4" w:space="0"/>
            </w:tcBorders>
            <w:noWrap w:val="0"/>
            <w:vAlign w:val="center"/>
          </w:tcPr>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2509" w:type="dxa"/>
            <w:tcBorders>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6837" w:type="dxa"/>
            <w:tcBorders>
              <w:bottom w:val="single" w:color="auto" w:sz="4" w:space="0"/>
            </w:tcBorders>
            <w:noWrap w:val="0"/>
            <w:vAlign w:val="center"/>
          </w:tcPr>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509" w:type="dxa"/>
            <w:tcBorders>
              <w:top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是否接受联合体投标</w:t>
            </w:r>
          </w:p>
        </w:tc>
        <w:tc>
          <w:tcPr>
            <w:tcW w:w="6837" w:type="dxa"/>
            <w:tcBorders>
              <w:top w:val="single" w:color="auto" w:sz="4" w:space="0"/>
            </w:tcBorders>
            <w:noWrap w:val="0"/>
            <w:vAlign w:val="center"/>
          </w:tcPr>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投标文件发放日期</w:t>
            </w:r>
          </w:p>
        </w:tc>
        <w:tc>
          <w:tcPr>
            <w:tcW w:w="6837" w:type="dxa"/>
            <w:noWrap w:val="0"/>
            <w:vAlign w:val="center"/>
          </w:tcPr>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日至202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14</w:t>
            </w:r>
            <w:bookmarkStart w:id="46" w:name="_GoBack"/>
            <w:bookmarkEnd w:id="46"/>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，每天上午10: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0至1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:00，下午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0至1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0（北京时间，法定节假日除外）</w:t>
            </w:r>
          </w:p>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highlight w:val="none"/>
                <w:lang w:val="en-US" w:eastAsia="zh-CN"/>
              </w:rPr>
              <w:t>乌鲁木齐市水磨沟区立井街198号丽景中央城9号楼（全季酒店）五层503室。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标书售价</w:t>
            </w:r>
          </w:p>
        </w:tc>
        <w:tc>
          <w:tcPr>
            <w:tcW w:w="6837" w:type="dxa"/>
            <w:noWrap w:val="0"/>
            <w:vAlign w:val="center"/>
          </w:tcPr>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00元</w:t>
            </w:r>
          </w:p>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837" w:type="dxa"/>
            <w:noWrap w:val="0"/>
            <w:vAlign w:val="center"/>
          </w:tcPr>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账户信息：新疆融盛源工程项目管理有限公司</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开户行：交通银行股份有限公司乌鲁木齐友好路支行</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开户行行号：301881000075</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第一标段：</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sz w:val="24"/>
                <w:szCs w:val="24"/>
                <w:lang w:val="en-US" w:eastAsia="zh-CN"/>
              </w:rPr>
              <w:t>86516510020130001000117</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投标保证金为人民币：</w:t>
            </w:r>
            <w:r>
              <w:rPr>
                <w:rFonts w:hint="eastAsia" w:asciiTheme="minorEastAsia" w:hAnsiTheme="minorEastAsia" w:eastAsiaTheme="minorEastAsia" w:cstheme="minorEastAsia"/>
                <w:sz w:val="24"/>
                <w:szCs w:val="24"/>
                <w:lang w:val="en-US" w:eastAsia="zh-CN"/>
              </w:rPr>
              <w:t>30000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lang w:eastAsia="zh-CN"/>
              </w:rPr>
              <w:t>叁</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元整）；</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第二标段：</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sz w:val="24"/>
                <w:szCs w:val="24"/>
                <w:lang w:val="en-US" w:eastAsia="zh-CN"/>
              </w:rPr>
              <w:t>86516510020130001000118</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投标保证金为人民币：</w:t>
            </w:r>
            <w:r>
              <w:rPr>
                <w:rFonts w:hint="eastAsia" w:asciiTheme="minorEastAsia" w:hAnsiTheme="minorEastAsia" w:eastAsiaTheme="minorEastAsia" w:cstheme="minorEastAsia"/>
                <w:sz w:val="24"/>
                <w:szCs w:val="24"/>
                <w:lang w:val="en-US" w:eastAsia="zh-CN"/>
              </w:rPr>
              <w:t>40000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lang w:eastAsia="zh-CN"/>
              </w:rPr>
              <w:t>肆</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元整）；</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第三标段：</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sz w:val="24"/>
                <w:szCs w:val="24"/>
                <w:lang w:val="en-US" w:eastAsia="zh-CN"/>
              </w:rPr>
              <w:t>86516510020130001000119</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投标保证金为人民币：</w:t>
            </w:r>
            <w:r>
              <w:rPr>
                <w:rFonts w:hint="eastAsia" w:asciiTheme="minorEastAsia" w:hAnsiTheme="minorEastAsia" w:eastAsiaTheme="minorEastAsia" w:cstheme="minorEastAsia"/>
                <w:sz w:val="24"/>
                <w:szCs w:val="24"/>
                <w:lang w:val="en-US" w:eastAsia="zh-CN"/>
              </w:rPr>
              <w:t>50000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lang w:eastAsia="zh-CN"/>
              </w:rPr>
              <w:t>伍</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元整）；</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第四标段：</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sz w:val="24"/>
                <w:szCs w:val="24"/>
                <w:lang w:val="en-US" w:eastAsia="zh-CN"/>
              </w:rPr>
              <w:t>86516510020130001000120</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投标保证金为人民币：</w:t>
            </w:r>
            <w:r>
              <w:rPr>
                <w:rFonts w:hint="eastAsia" w:asciiTheme="minorEastAsia" w:hAnsiTheme="minorEastAsia" w:eastAsiaTheme="minorEastAsia" w:cstheme="minorEastAsia"/>
                <w:sz w:val="24"/>
                <w:szCs w:val="24"/>
                <w:lang w:val="en-US" w:eastAsia="zh-CN"/>
              </w:rPr>
              <w:t>60000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lang w:eastAsia="zh-CN"/>
              </w:rPr>
              <w:t>陆</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元整）；</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第五标段：</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sz w:val="24"/>
                <w:szCs w:val="24"/>
                <w:lang w:val="en-US" w:eastAsia="zh-CN"/>
              </w:rPr>
              <w:t>86516510020130001000121</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投标保证金为人民币：</w:t>
            </w:r>
            <w:r>
              <w:rPr>
                <w:rFonts w:hint="eastAsia" w:asciiTheme="minorEastAsia" w:hAnsiTheme="minorEastAsia" w:eastAsiaTheme="minorEastAsia" w:cstheme="minorEastAsia"/>
                <w:sz w:val="24"/>
                <w:szCs w:val="24"/>
                <w:lang w:val="en-US" w:eastAsia="zh-CN"/>
              </w:rPr>
              <w:t>60000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lang w:eastAsia="zh-CN"/>
              </w:rPr>
              <w:t>陆</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元整）；</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第六标段：</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sz w:val="24"/>
                <w:szCs w:val="24"/>
                <w:lang w:val="en-US" w:eastAsia="zh-CN"/>
              </w:rPr>
              <w:t>86516510020130001000122</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投标保证金为人民币：</w:t>
            </w:r>
            <w:r>
              <w:rPr>
                <w:rFonts w:hint="eastAsia" w:asciiTheme="minorEastAsia" w:hAnsiTheme="minorEastAsia" w:eastAsiaTheme="minorEastAsia" w:cstheme="minorEastAsia"/>
                <w:sz w:val="24"/>
                <w:szCs w:val="24"/>
                <w:lang w:val="en-US" w:eastAsia="zh-CN"/>
              </w:rPr>
              <w:t>30000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lang w:eastAsia="zh-CN"/>
              </w:rPr>
              <w:t>叁</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元整）；</w:t>
            </w:r>
          </w:p>
          <w:p>
            <w:pPr>
              <w:pStyle w:val="8"/>
              <w:snapToGrid w:val="0"/>
              <w:spacing w:before="0" w:beforeAutospacing="0" w:after="0" w:afterAutospacing="0" w:line="400" w:lineRule="exact"/>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本单位财务联系方式：0991-</w:t>
            </w:r>
            <w:r>
              <w:rPr>
                <w:rFonts w:hint="eastAsia" w:asciiTheme="minorEastAsia" w:hAnsiTheme="minorEastAsia" w:eastAsiaTheme="minorEastAsia" w:cstheme="minorEastAsia"/>
                <w:sz w:val="24"/>
                <w:szCs w:val="24"/>
                <w:lang w:val="en-US" w:eastAsia="zh-CN"/>
              </w:rPr>
              <w:t>4800087</w:t>
            </w:r>
          </w:p>
          <w:p>
            <w:pPr>
              <w:keepNext w:val="0"/>
              <w:keepLines w:val="0"/>
              <w:pageBreakBefore w:val="0"/>
              <w:kinsoku/>
              <w:wordWrap/>
              <w:overflowPunct w:val="0"/>
              <w:topLinePunct w:val="0"/>
              <w:bidi w:val="0"/>
              <w:spacing w:line="440" w:lineRule="exact"/>
              <w:textAlignment w:val="auto"/>
              <w:rPr>
                <w:rFonts w:hint="eastAsia"/>
                <w:lang w:val="en-US" w:eastAsia="zh-CN"/>
              </w:rPr>
            </w:pPr>
            <w:r>
              <w:rPr>
                <w:rFonts w:hint="eastAsia" w:ascii="宋体" w:hAnsi="宋体" w:eastAsia="宋体" w:cs="宋体"/>
                <w:b/>
                <w:bCs/>
                <w:i w:val="0"/>
                <w:caps w:val="0"/>
                <w:color w:val="auto"/>
                <w:spacing w:val="0"/>
                <w:w w:val="100"/>
                <w:sz w:val="24"/>
                <w:szCs w:val="24"/>
                <w:highlight w:val="none"/>
              </w:rPr>
              <w:t>提交方式为</w:t>
            </w:r>
            <w:r>
              <w:rPr>
                <w:rFonts w:hint="eastAsia" w:ascii="宋体" w:hAnsi="宋体" w:eastAsia="宋体" w:cs="宋体"/>
                <w:b/>
                <w:bCs/>
                <w:i w:val="0"/>
                <w:caps w:val="0"/>
                <w:color w:val="auto"/>
                <w:spacing w:val="0"/>
                <w:w w:val="100"/>
                <w:sz w:val="24"/>
                <w:szCs w:val="24"/>
                <w:highlight w:val="none"/>
                <w:u w:val="single" w:color="000000"/>
              </w:rPr>
              <w:t>投标人基本账户以网银或银行电汇形式</w:t>
            </w:r>
            <w:r>
              <w:rPr>
                <w:rFonts w:hint="eastAsia" w:ascii="宋体" w:hAnsi="宋体" w:eastAsia="宋体" w:cs="宋体"/>
                <w:b/>
                <w:bCs/>
                <w:i w:val="0"/>
                <w:caps w:val="0"/>
                <w:color w:val="auto"/>
                <w:spacing w:val="0"/>
                <w:w w:val="100"/>
                <w:sz w:val="24"/>
                <w:szCs w:val="24"/>
                <w:highlight w:val="none"/>
              </w:rPr>
              <w:t>，在投标截止时间之前汇至本公司账户，否则其响应文件将被拒绝评审，投标人提交投标保证金应充分考虑资金在途时间。以电汇方式</w:t>
            </w:r>
            <w:r>
              <w:rPr>
                <w:rFonts w:hint="eastAsia" w:ascii="宋体" w:hAnsi="宋体" w:eastAsia="宋体" w:cs="宋体"/>
                <w:b/>
                <w:bCs/>
                <w:i w:val="0"/>
                <w:caps w:val="0"/>
                <w:color w:val="auto"/>
                <w:spacing w:val="0"/>
                <w:w w:val="100"/>
                <w:sz w:val="24"/>
                <w:szCs w:val="24"/>
                <w:highlight w:val="none"/>
                <w:u w:val="single"/>
              </w:rPr>
              <w:t>递交投标保证金须在电汇凭据</w:t>
            </w:r>
            <w:r>
              <w:rPr>
                <w:rFonts w:hint="eastAsia" w:ascii="宋体" w:hAnsi="宋体" w:eastAsia="宋体" w:cs="宋体"/>
                <w:b/>
                <w:bCs/>
                <w:i w:val="0"/>
                <w:caps w:val="0"/>
                <w:color w:val="auto"/>
                <w:spacing w:val="0"/>
                <w:w w:val="100"/>
                <w:sz w:val="24"/>
                <w:szCs w:val="24"/>
                <w:highlight w:val="none"/>
                <w:u w:val="single"/>
                <w:lang w:eastAsia="zh-CN"/>
              </w:rPr>
              <w:t>摘要</w:t>
            </w:r>
            <w:r>
              <w:rPr>
                <w:rFonts w:hint="eastAsia" w:ascii="宋体" w:hAnsi="宋体" w:eastAsia="宋体" w:cs="宋体"/>
                <w:b/>
                <w:bCs/>
                <w:i w:val="0"/>
                <w:caps w:val="0"/>
                <w:color w:val="auto"/>
                <w:spacing w:val="0"/>
                <w:w w:val="100"/>
                <w:sz w:val="24"/>
                <w:szCs w:val="24"/>
                <w:highlight w:val="none"/>
                <w:u w:val="single"/>
              </w:rPr>
              <w:t>中</w:t>
            </w:r>
            <w:r>
              <w:rPr>
                <w:rFonts w:hint="eastAsia" w:ascii="宋体" w:hAnsi="宋体" w:eastAsia="宋体" w:cs="宋体"/>
                <w:b/>
                <w:bCs/>
                <w:i w:val="0"/>
                <w:caps w:val="0"/>
                <w:color w:val="auto"/>
                <w:spacing w:val="0"/>
                <w:w w:val="100"/>
                <w:sz w:val="24"/>
                <w:szCs w:val="24"/>
                <w:highlight w:val="none"/>
              </w:rPr>
              <w:t>写明项目名称简称</w:t>
            </w:r>
            <w:r>
              <w:rPr>
                <w:rFonts w:hint="eastAsia" w:ascii="宋体" w:hAnsi="宋体" w:eastAsia="宋体" w:cs="宋体"/>
                <w:b/>
                <w:bCs/>
                <w:i w:val="0"/>
                <w:caps w:val="0"/>
                <w:color w:val="auto"/>
                <w:spacing w:val="0"/>
                <w:w w:val="100"/>
                <w:sz w:val="24"/>
                <w:szCs w:val="24"/>
                <w:highlight w:val="none"/>
                <w:lang w:eastAsia="zh-CN"/>
              </w:rPr>
              <w:t>、</w:t>
            </w:r>
            <w:r>
              <w:rPr>
                <w:rFonts w:hint="eastAsia" w:ascii="宋体" w:hAnsi="宋体" w:eastAsia="宋体" w:cs="宋体"/>
                <w:b/>
                <w:bCs/>
                <w:i w:val="0"/>
                <w:caps w:val="0"/>
                <w:color w:val="auto"/>
                <w:spacing w:val="0"/>
                <w:w w:val="100"/>
                <w:sz w:val="24"/>
                <w:szCs w:val="24"/>
                <w:highlight w:val="none"/>
                <w:lang w:val="en-US" w:eastAsia="zh-CN"/>
              </w:rPr>
              <w:t>项目标段号</w:t>
            </w:r>
            <w:r>
              <w:rPr>
                <w:rFonts w:hint="eastAsia" w:ascii="宋体" w:hAnsi="宋体" w:eastAsia="宋体" w:cs="宋体"/>
                <w:b/>
                <w:bCs/>
                <w:i w:val="0"/>
                <w:caps w:val="0"/>
                <w:color w:val="auto"/>
                <w:spacing w:val="0"/>
                <w:w w:val="100"/>
                <w:sz w:val="24"/>
                <w:szCs w:val="24"/>
                <w:highlight w:val="none"/>
              </w:rPr>
              <w:t>及用途(保证金)，由于未按要求注明信息而导致的一切后果由投标人承担。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投标文件组成、份数及开标一览表</w:t>
            </w:r>
          </w:p>
        </w:tc>
        <w:tc>
          <w:tcPr>
            <w:tcW w:w="6837" w:type="dxa"/>
            <w:noWrap w:val="0"/>
            <w:vAlign w:val="center"/>
          </w:tcPr>
          <w:p>
            <w:pPr>
              <w:keepNext w:val="0"/>
              <w:keepLines w:val="0"/>
              <w:pageBreakBefore w:val="0"/>
              <w:widowControl/>
              <w:numPr>
                <w:ilvl w:val="0"/>
                <w:numId w:val="3"/>
              </w:numPr>
              <w:kinsoku/>
              <w:wordWrap/>
              <w:overflowPunct w:val="0"/>
              <w:topLinePunct w:val="0"/>
              <w:bidi w:val="0"/>
              <w:spacing w:line="44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pPr>
              <w:keepNext w:val="0"/>
              <w:keepLines w:val="0"/>
              <w:pageBreakBefore w:val="0"/>
              <w:kinsoku/>
              <w:wordWrap/>
              <w:overflowPunct w:val="0"/>
              <w:topLinePunct w:val="0"/>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1.1资格文件：正本一份、副本</w:t>
            </w:r>
            <w:r>
              <w:rPr>
                <w:rFonts w:hint="eastAsia" w:ascii="宋体" w:hAnsi="宋体" w:eastAsia="宋体" w:cs="宋体"/>
                <w:b/>
                <w:color w:val="auto"/>
                <w:sz w:val="24"/>
                <w:szCs w:val="24"/>
                <w:highlight w:val="none"/>
                <w:lang w:eastAsia="zh-CN"/>
              </w:rPr>
              <w:t>肆</w:t>
            </w:r>
            <w:r>
              <w:rPr>
                <w:rFonts w:hint="eastAsia" w:ascii="宋体" w:hAnsi="宋体" w:eastAsia="宋体" w:cs="宋体"/>
                <w:b/>
                <w:color w:val="auto"/>
                <w:sz w:val="24"/>
                <w:szCs w:val="24"/>
                <w:highlight w:val="none"/>
              </w:rPr>
              <w:t>份</w:t>
            </w:r>
          </w:p>
          <w:p>
            <w:pPr>
              <w:pStyle w:val="11"/>
              <w:keepNext w:val="0"/>
              <w:keepLines w:val="0"/>
              <w:pageBreakBefore w:val="0"/>
              <w:tabs>
                <w:tab w:val="right" w:leader="dot" w:pos="9628"/>
              </w:tabs>
              <w:kinsoku/>
              <w:wordWrap/>
              <w:topLinePunct w:val="0"/>
              <w:bidi w:val="0"/>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注：参与本项目多个</w:t>
            </w:r>
            <w:r>
              <w:rPr>
                <w:rFonts w:hint="eastAsia" w:ascii="宋体" w:hAnsi="宋体" w:eastAsia="宋体" w:cs="宋体"/>
                <w:color w:val="auto"/>
                <w:kern w:val="0"/>
                <w:sz w:val="24"/>
                <w:szCs w:val="24"/>
                <w:highlight w:val="none"/>
                <w:lang w:val="en-US" w:eastAsia="zh-CN"/>
              </w:rPr>
              <w:t>标项的</w:t>
            </w:r>
            <w:r>
              <w:rPr>
                <w:rFonts w:hint="eastAsia" w:ascii="宋体" w:hAnsi="宋体" w:eastAsia="宋体" w:cs="宋体"/>
                <w:color w:val="auto"/>
                <w:kern w:val="0"/>
                <w:sz w:val="24"/>
                <w:szCs w:val="24"/>
                <w:highlight w:val="none"/>
              </w:rPr>
              <w:t>仅需提供一套资格文件，无须按</w:t>
            </w:r>
            <w:r>
              <w:rPr>
                <w:rFonts w:hint="eastAsia" w:ascii="宋体" w:hAnsi="宋体" w:eastAsia="宋体" w:cs="宋体"/>
                <w:color w:val="auto"/>
                <w:kern w:val="0"/>
                <w:sz w:val="24"/>
                <w:szCs w:val="24"/>
                <w:highlight w:val="none"/>
                <w:lang w:val="en-US" w:eastAsia="zh-CN"/>
              </w:rPr>
              <w:t>所投标项分开</w:t>
            </w:r>
            <w:r>
              <w:rPr>
                <w:rFonts w:hint="eastAsia" w:ascii="宋体" w:hAnsi="宋体" w:eastAsia="宋体" w:cs="宋体"/>
                <w:color w:val="auto"/>
                <w:kern w:val="0"/>
                <w:sz w:val="24"/>
                <w:szCs w:val="24"/>
                <w:highlight w:val="none"/>
              </w:rPr>
              <w:t>制作资格文件</w:t>
            </w:r>
          </w:p>
          <w:p>
            <w:pPr>
              <w:keepNext w:val="0"/>
              <w:keepLines w:val="0"/>
              <w:pageBreakBefore w:val="0"/>
              <w:kinsoku/>
              <w:wordWrap/>
              <w:overflowPunct w:val="0"/>
              <w:topLinePunct w:val="0"/>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1.2商务技术文件：正本一份、副本</w:t>
            </w:r>
            <w:r>
              <w:rPr>
                <w:rFonts w:hint="eastAsia" w:ascii="宋体" w:hAnsi="宋体" w:eastAsia="宋体" w:cs="宋体"/>
                <w:b/>
                <w:color w:val="auto"/>
                <w:sz w:val="24"/>
                <w:szCs w:val="24"/>
                <w:highlight w:val="none"/>
                <w:lang w:eastAsia="zh-CN"/>
              </w:rPr>
              <w:t>肆</w:t>
            </w:r>
            <w:r>
              <w:rPr>
                <w:rFonts w:hint="eastAsia" w:ascii="宋体" w:hAnsi="宋体" w:eastAsia="宋体" w:cs="宋体"/>
                <w:b/>
                <w:color w:val="auto"/>
                <w:sz w:val="24"/>
                <w:szCs w:val="24"/>
                <w:highlight w:val="none"/>
              </w:rPr>
              <w:t>份</w:t>
            </w:r>
          </w:p>
          <w:p>
            <w:pPr>
              <w:keepNext w:val="0"/>
              <w:keepLines w:val="0"/>
              <w:pageBreakBefore w:val="0"/>
              <w:kinsoku/>
              <w:wordWrap/>
              <w:overflowPunct w:val="0"/>
              <w:topLinePunct w:val="0"/>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2.开标一览表一份（单独密封）</w:t>
            </w:r>
          </w:p>
          <w:p>
            <w:pPr>
              <w:keepNext w:val="0"/>
              <w:keepLines w:val="0"/>
              <w:pageBreakBefore w:val="0"/>
              <w:kinsoku/>
              <w:wordWrap/>
              <w:overflowPunct w:val="0"/>
              <w:topLinePunct w:val="0"/>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3.投标保证金缴纳凭证一份</w:t>
            </w:r>
          </w:p>
          <w:p>
            <w:pPr>
              <w:keepNext w:val="0"/>
              <w:keepLines w:val="0"/>
              <w:pageBreakBefore w:val="0"/>
              <w:kinsoku/>
              <w:wordWrap/>
              <w:overflowPunct w:val="0"/>
              <w:topLinePunct w:val="0"/>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4.光碟、u盘各一份（概不退还）</w:t>
            </w:r>
          </w:p>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注：本次项目需递交两份电子版投标文件（同时提供一份光盘、一份U盘），投标文件及开标一览表电子版可拷贝在同一光盘或u盘，电子版投标文件不退。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509" w:type="dxa"/>
            <w:noWrap w:val="0"/>
            <w:vAlign w:val="center"/>
          </w:tcPr>
          <w:p>
            <w:pPr>
              <w:keepNext w:val="0"/>
              <w:keepLines w:val="0"/>
              <w:pageBreakBefore w:val="0"/>
              <w:kinsoku/>
              <w:wordWrap/>
              <w:overflowPunct w:val="0"/>
              <w:topLinePunct w:val="0"/>
              <w:bidi w:val="0"/>
              <w:spacing w:line="440" w:lineRule="exact"/>
              <w:ind w:left="240" w:hanging="240" w:hanging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开标时间及招标文件递交截止时间</w:t>
            </w:r>
          </w:p>
        </w:tc>
        <w:tc>
          <w:tcPr>
            <w:tcW w:w="6837" w:type="dxa"/>
            <w:noWrap w:val="0"/>
            <w:vAlign w:val="center"/>
          </w:tcPr>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:00（北京时间）  （如有变动另行通知）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招标文件递交及开标地点</w:t>
            </w:r>
          </w:p>
        </w:tc>
        <w:tc>
          <w:tcPr>
            <w:tcW w:w="6837" w:type="dxa"/>
            <w:noWrap w:val="0"/>
            <w:vAlign w:val="center"/>
          </w:tcPr>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乌鲁木齐市水磨沟区立井街198号丽景中央城9号楼（全季酒店）五层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509" w:type="dxa"/>
            <w:tcBorders>
              <w:top w:val="single" w:color="auto" w:sz="4" w:space="0"/>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投标文件密封</w:t>
            </w:r>
          </w:p>
        </w:tc>
        <w:tc>
          <w:tcPr>
            <w:tcW w:w="6837" w:type="dxa"/>
            <w:tcBorders>
              <w:top w:val="single" w:color="auto" w:sz="4" w:space="0"/>
              <w:bottom w:val="single" w:color="auto" w:sz="4" w:space="0"/>
            </w:tcBorders>
            <w:noWrap w:val="0"/>
            <w:vAlign w:val="center"/>
          </w:tcPr>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投标文件分为开标一览表信封、投标文件电子版信封和投标文件袋，密封内容必须包括下列内容：</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1.1开标一览表信封(</w:t>
            </w:r>
            <w:r>
              <w:rPr>
                <w:rFonts w:hint="eastAsia" w:ascii="宋体" w:hAnsi="宋体" w:eastAsia="宋体" w:cs="宋体"/>
                <w:b/>
                <w:bCs/>
                <w:color w:val="auto"/>
                <w:sz w:val="24"/>
                <w:szCs w:val="24"/>
                <w:highlight w:val="none"/>
              </w:rPr>
              <w:t>以</w:t>
            </w:r>
            <w:r>
              <w:rPr>
                <w:rFonts w:hint="eastAsia" w:ascii="宋体" w:hAnsi="宋体" w:eastAsia="宋体" w:cs="宋体"/>
                <w:b/>
                <w:bCs/>
                <w:color w:val="auto"/>
                <w:sz w:val="24"/>
                <w:szCs w:val="24"/>
                <w:highlight w:val="none"/>
                <w:lang w:val="en-US" w:eastAsia="zh-CN"/>
              </w:rPr>
              <w:t>标项</w:t>
            </w:r>
            <w:r>
              <w:rPr>
                <w:rFonts w:hint="eastAsia" w:ascii="宋体" w:hAnsi="宋体" w:eastAsia="宋体" w:cs="宋体"/>
                <w:b/>
                <w:bCs/>
                <w:color w:val="auto"/>
                <w:sz w:val="24"/>
                <w:szCs w:val="24"/>
                <w:highlight w:val="none"/>
              </w:rPr>
              <w:t>为单位分开制作</w:t>
            </w:r>
            <w:r>
              <w:rPr>
                <w:rFonts w:hint="eastAsia" w:ascii="宋体" w:hAnsi="宋体" w:eastAsia="宋体" w:cs="宋体"/>
                <w:color w:val="auto"/>
                <w:sz w:val="24"/>
                <w:szCs w:val="24"/>
                <w:highlight w:val="none"/>
              </w:rPr>
              <w:t>)</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开标一览表；</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投标保证金支付的凭证(网上银行汇款凭证)；</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投标文件电子版信封（U盘、光盘各一份）</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（1）开标一览表电子版、明细报价表（Excel）</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（2）投标文件电子版（正本加盖公章后的扫描件PDF）</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1.3投标文件袋（资格文件、商务技术文件分别密封，正、副本可密封在一个密封袋中）</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投标文件编制详见第六部分 投标文件格式</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2.投标文件及“开标一览表”按招标文件要求制作并密封提交。否则其投标被拒绝。 </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3.封面格式：投标文件袋、投标文件电子版和《开标一览表》密封袋上应写明：</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招标单位：</w:t>
            </w:r>
            <w:r>
              <w:rPr>
                <w:rFonts w:hint="eastAsia" w:ascii="宋体" w:hAnsi="宋体" w:eastAsia="宋体" w:cs="宋体"/>
                <w:color w:val="auto"/>
                <w:sz w:val="24"/>
                <w:szCs w:val="24"/>
                <w:highlight w:val="none"/>
                <w:lang w:val="en-US" w:eastAsia="zh-CN"/>
              </w:rPr>
              <w:t>新疆融盛源工程项目管理有限公司</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2022年水磨沟区道路公共绿地市场化养护</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RSY-2022-007-[2022]104号</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（“正本”/“副本”）</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（资格文件/商务技术文件/开标一览表/投标文件电子版）</w:t>
            </w:r>
          </w:p>
          <w:p>
            <w:pPr>
              <w:keepNext w:val="0"/>
              <w:keepLines w:val="0"/>
              <w:pageBreakBefore w:val="0"/>
              <w:kinsoku/>
              <w:wordWrap/>
              <w:topLinePunct w:val="0"/>
              <w:bidi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招标代理服务费</w:t>
            </w:r>
          </w:p>
        </w:tc>
        <w:tc>
          <w:tcPr>
            <w:tcW w:w="6837" w:type="dxa"/>
            <w:noWrap w:val="0"/>
            <w:vAlign w:val="center"/>
          </w:tcPr>
          <w:p>
            <w:pPr>
              <w:numPr>
                <w:ilvl w:val="0"/>
                <w:numId w:val="4"/>
              </w:numPr>
              <w:adjustRightInd w:val="0"/>
              <w:snapToGrid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代理报酬的计算方法：国家计委关于《招标代理服务收费管理暂行办法》（计价格[2002]1980号）和国家发改价格【2011】534号文件“规定取费</w:t>
            </w:r>
          </w:p>
          <w:p>
            <w:pPr>
              <w:numPr>
                <w:ilvl w:val="0"/>
                <w:numId w:val="0"/>
              </w:numPr>
              <w:adjustRightInd w:val="0"/>
              <w:snapToGrid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2、代理报酬支付方式：</w:t>
            </w:r>
            <w:r>
              <w:rPr>
                <w:rFonts w:hint="eastAsia" w:ascii="宋体" w:hAnsi="宋体" w:eastAsia="宋体" w:cs="宋体"/>
                <w:color w:val="auto"/>
                <w:sz w:val="24"/>
                <w:szCs w:val="24"/>
                <w:highlight w:val="none"/>
                <w:u w:val="single"/>
              </w:rPr>
              <w:t>由中标人支付。</w:t>
            </w:r>
          </w:p>
          <w:p>
            <w:pPr>
              <w:keepNext w:val="0"/>
              <w:keepLines w:val="0"/>
              <w:pageBreakBefore w:val="0"/>
              <w:kinsoku/>
              <w:wordWrap/>
              <w:topLinePunct w:val="0"/>
              <w:bidi w:val="0"/>
              <w:adjustRightInd w:val="0"/>
              <w:snapToGrid w:val="0"/>
              <w:spacing w:line="44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3、代理报酬的支付时间：</w:t>
            </w:r>
            <w:r>
              <w:rPr>
                <w:rFonts w:hint="eastAsia" w:ascii="宋体" w:hAnsi="宋体" w:eastAsia="宋体" w:cs="宋体"/>
                <w:color w:val="auto"/>
                <w:sz w:val="24"/>
                <w:szCs w:val="24"/>
                <w:highlight w:val="none"/>
                <w:u w:val="single"/>
              </w:rPr>
              <w:t>由中标人领取中标通知书前支付。</w:t>
            </w:r>
            <w:r>
              <w:rPr>
                <w:rFonts w:hint="eastAsia" w:ascii="宋体" w:hAnsi="宋体" w:eastAsia="宋体" w:cs="宋体"/>
                <w:color w:val="auto"/>
                <w:kern w:val="0"/>
                <w:sz w:val="24"/>
                <w:szCs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投标文件的签署规定</w:t>
            </w:r>
          </w:p>
        </w:tc>
        <w:tc>
          <w:tcPr>
            <w:tcW w:w="6837" w:type="dxa"/>
            <w:noWrap w:val="0"/>
            <w:vAlign w:val="center"/>
          </w:tcPr>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投标文件应用不褪色的材料打印或书写，并按招标文件要求在签字盖章处加盖公章和由法定代表人或其授权代表签字。</w:t>
            </w:r>
          </w:p>
          <w:p>
            <w:pPr>
              <w:keepNext w:val="0"/>
              <w:keepLines w:val="0"/>
              <w:pageBreakBefore w:val="0"/>
              <w:kinsoku/>
              <w:wordWrap/>
              <w:topLinePunct w:val="0"/>
              <w:bidi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2.投标文件中的任何行间插字、涂改和增删，应加盖公章或由投标人的法定代表人或其授权的代理人签字确认。否则，在评标时将其视为无效投标。</w:t>
            </w:r>
          </w:p>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 xml:space="preserve"> 副本可为正本加盖公章后的复印件。</w:t>
            </w:r>
            <w:r>
              <w:rPr>
                <w:rFonts w:hint="eastAsia" w:ascii="宋体" w:hAnsi="宋体" w:eastAsia="宋体" w:cs="宋体"/>
                <w:color w:val="auto"/>
                <w:sz w:val="24"/>
                <w:szCs w:val="24"/>
                <w:highlight w:val="none"/>
              </w:rPr>
              <w:t xml:space="preserve">投标文件的正本与副本应当完全一致。当正本和副本、电子版之间出现差异时，以正本为准。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6837" w:type="dxa"/>
            <w:noWrap w:val="0"/>
            <w:vAlign w:val="center"/>
          </w:tcPr>
          <w:p>
            <w:pPr>
              <w:keepNext w:val="0"/>
              <w:keepLines w:val="0"/>
              <w:pageBreakBefore w:val="0"/>
              <w:numPr>
                <w:ilvl w:val="0"/>
                <w:numId w:val="5"/>
              </w:numPr>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投标人应按招标文件中提供的投标文件格式填写。</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2.如招标文件没有提供格式的，投标人可自行设置。</w:t>
            </w:r>
          </w:p>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3.投标人应将投标文件按规定的顺序编排、并应编制目录、逐页标注连续页码，</w:t>
            </w:r>
            <w:r>
              <w:rPr>
                <w:rFonts w:hint="eastAsia" w:ascii="宋体" w:hAnsi="宋体" w:eastAsia="宋体" w:cs="宋体"/>
                <w:b/>
                <w:color w:val="auto"/>
                <w:sz w:val="24"/>
                <w:szCs w:val="24"/>
                <w:highlight w:val="none"/>
              </w:rPr>
              <w:t>不得采用活页装订，否则视为无效投标文件。</w:t>
            </w:r>
          </w:p>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509" w:type="dxa"/>
            <w:tcBorders>
              <w:top w:val="single" w:color="auto" w:sz="4" w:space="0"/>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付款方式及币种</w:t>
            </w:r>
          </w:p>
        </w:tc>
        <w:tc>
          <w:tcPr>
            <w:tcW w:w="6837" w:type="dxa"/>
            <w:tcBorders>
              <w:top w:val="single" w:color="auto" w:sz="4" w:space="0"/>
            </w:tcBorders>
            <w:noWrap w:val="0"/>
            <w:vAlign w:val="center"/>
          </w:tcPr>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1、付款币种</w:t>
            </w:r>
          </w:p>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本次招标所述的项目资金均以人民币支付。</w:t>
            </w:r>
          </w:p>
          <w:p>
            <w:pPr>
              <w:keepNext w:val="0"/>
              <w:keepLines w:val="0"/>
              <w:pageBreakBefore w:val="0"/>
              <w:kinsoku/>
              <w:wordWrap/>
              <w:topLinePunct w:val="0"/>
              <w:bidi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w:t>
            </w:r>
          </w:p>
          <w:p>
            <w:pPr>
              <w:keepNext w:val="0"/>
              <w:keepLines w:val="0"/>
              <w:pageBreakBefore w:val="0"/>
              <w:kinsoku/>
              <w:wordWrap/>
              <w:topLinePunct w:val="0"/>
              <w:bidi w:val="0"/>
              <w:spacing w:line="440" w:lineRule="exact"/>
              <w:ind w:firstLine="361" w:firstLineChars="15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备注：最终付款方式以和甲方单位签订合同为主</w:t>
            </w:r>
            <w:r>
              <w:rPr>
                <w:rFonts w:hint="eastAsia" w:ascii="宋体" w:hAnsi="宋体" w:eastAsia="宋体" w:cs="宋体"/>
                <w:b/>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2509" w:type="dxa"/>
            <w:noWrap w:val="0"/>
            <w:vAlign w:val="center"/>
          </w:tcPr>
          <w:p>
            <w:pPr>
              <w:overflowPunct w:val="0"/>
              <w:spacing w:line="4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服务期限</w:t>
            </w:r>
          </w:p>
        </w:tc>
        <w:tc>
          <w:tcPr>
            <w:tcW w:w="6837" w:type="dxa"/>
            <w:noWrap w:val="0"/>
            <w:vAlign w:val="center"/>
          </w:tcPr>
          <w:p>
            <w:pPr>
              <w:overflowPunct w:val="0"/>
              <w:spacing w:line="440" w:lineRule="exact"/>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每个标段合同签订之日起1年</w:t>
            </w:r>
            <w:r>
              <w:rPr>
                <w:rFonts w:hint="eastAsia" w:ascii="宋体" w:hAnsi="宋体" w:eastAsia="宋体" w:cs="宋体"/>
                <w:b w:val="0"/>
                <w:bCs/>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中标原则</w:t>
            </w:r>
          </w:p>
        </w:tc>
        <w:tc>
          <w:tcPr>
            <w:tcW w:w="6837" w:type="dxa"/>
            <w:noWrap w:val="0"/>
            <w:vAlign w:val="center"/>
          </w:tcPr>
          <w:p>
            <w:pPr>
              <w:keepNext w:val="0"/>
              <w:keepLines w:val="0"/>
              <w:pageBreakBefore w:val="0"/>
              <w:kinsoku/>
              <w:wordWrap/>
              <w:overflowPunct w:val="0"/>
              <w:topLinePunct w:val="0"/>
              <w:bidi w:val="0"/>
              <w:spacing w:line="44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sz w:val="24"/>
                <w:szCs w:val="24"/>
                <w:highlight w:val="none"/>
              </w:rPr>
              <w:t>1.为保证各个标项服务的质量，本项目同一投标人中标标项不得超过一个。</w:t>
            </w:r>
            <w:r>
              <w:rPr>
                <w:rFonts w:hint="eastAsia" w:ascii="宋体" w:hAnsi="宋体" w:eastAsia="宋体" w:cs="宋体"/>
                <w:b/>
                <w:bCs/>
                <w:color w:val="auto"/>
                <w:sz w:val="24"/>
                <w:szCs w:val="24"/>
                <w:highlight w:val="none"/>
              </w:rPr>
              <w:br w:type="textWrapping"/>
            </w:r>
            <w:r>
              <w:rPr>
                <w:rFonts w:hint="eastAsia" w:ascii="宋体" w:hAnsi="宋体" w:eastAsia="宋体" w:cs="宋体"/>
                <w:b/>
                <w:bCs/>
                <w:color w:val="auto"/>
                <w:sz w:val="24"/>
                <w:szCs w:val="24"/>
                <w:highlight w:val="none"/>
              </w:rPr>
              <w:t>2.项目评审时按标项顺序依次开展评审，先中先得。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250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低于成本价不正当</w:t>
            </w:r>
          </w:p>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竞争预防措施</w:t>
            </w:r>
          </w:p>
        </w:tc>
        <w:tc>
          <w:tcPr>
            <w:tcW w:w="6837" w:type="dxa"/>
            <w:noWrap w:val="0"/>
            <w:vAlign w:val="center"/>
          </w:tcPr>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2509" w:type="dxa"/>
            <w:noWrap w:val="0"/>
            <w:vAlign w:val="center"/>
          </w:tcPr>
          <w:p>
            <w:pPr>
              <w:keepNext w:val="0"/>
              <w:keepLines w:val="0"/>
              <w:pageBreakBefore w:val="0"/>
              <w:kinsoku/>
              <w:wordWrap/>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政府采购政策支持</w:t>
            </w:r>
          </w:p>
        </w:tc>
        <w:tc>
          <w:tcPr>
            <w:tcW w:w="6837" w:type="dxa"/>
            <w:noWrap w:val="0"/>
            <w:vAlign w:val="top"/>
          </w:tcPr>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节约能源、保护环境、扶持不发达地区和少数民族地区、促进中小企业发展等政府采购政策。</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本项目采购标的对应的中小企业划分标准所属行业为其他未列明行业。</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2、政府采购强制采购：标记★符号的节能产品：</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符合《节能产品政府采购品目清单》内并获得认证的强制采购节能产品。</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3、政府采购优先采购：(1)非标记★符号的节能产品；(2)环境标志产品；</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采购产品为《节能产品政府采购品目清单》内并获得认证非标记★符号的节能产品及《环境标志产品政府采购品目清单》内并获得认证的产品：</w:t>
            </w:r>
          </w:p>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2509" w:type="dxa"/>
            <w:noWrap w:val="0"/>
            <w:vAlign w:val="center"/>
          </w:tcPr>
          <w:p>
            <w:pPr>
              <w:pStyle w:val="20"/>
              <w:keepNext w:val="0"/>
              <w:keepLines w:val="0"/>
              <w:pageBreakBefore w:val="0"/>
              <w:kinsoku/>
              <w:wordWrap/>
              <w:topLinePunct w:val="0"/>
              <w:bidi w:val="0"/>
              <w:spacing w:line="44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质疑须知</w:t>
            </w:r>
          </w:p>
        </w:tc>
        <w:tc>
          <w:tcPr>
            <w:tcW w:w="6837" w:type="dxa"/>
            <w:noWrap w:val="0"/>
            <w:vAlign w:val="center"/>
          </w:tcPr>
          <w:p>
            <w:pPr>
              <w:pStyle w:val="20"/>
              <w:keepNext w:val="0"/>
              <w:keepLines w:val="0"/>
              <w:pageBreakBefore w:val="0"/>
              <w:kinsoku/>
              <w:wordWrap/>
              <w:topLinePunct w:val="0"/>
              <w:bidi w:val="0"/>
              <w:spacing w:line="440" w:lineRule="exact"/>
              <w:ind w:left="494" w:hanging="494" w:hangingChars="206"/>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接收质疑函的方式：现场递交纸质版及Word格式电子版质疑文件</w:t>
            </w:r>
          </w:p>
          <w:p>
            <w:pPr>
              <w:pStyle w:val="20"/>
              <w:keepNext w:val="0"/>
              <w:keepLines w:val="0"/>
              <w:pageBreakBefore w:val="0"/>
              <w:kinsoku/>
              <w:wordWrap/>
              <w:topLinePunct w:val="0"/>
              <w:bidi w:val="0"/>
              <w:spacing w:line="440" w:lineRule="exact"/>
              <w:ind w:left="494" w:hanging="494" w:hangingChars="206"/>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至接受单位</w:t>
            </w:r>
          </w:p>
          <w:p>
            <w:pPr>
              <w:pStyle w:val="20"/>
              <w:keepNext w:val="0"/>
              <w:keepLines w:val="0"/>
              <w:pageBreakBefore w:val="0"/>
              <w:kinsoku/>
              <w:wordWrap/>
              <w:topLinePunct w:val="0"/>
              <w:bidi w:val="0"/>
              <w:spacing w:line="440" w:lineRule="exact"/>
              <w:jc w:val="both"/>
              <w:textAlignment w:val="auto"/>
              <w:rPr>
                <w:rFonts w:hint="eastAsia" w:ascii="宋体" w:hAnsi="宋体" w:eastAsia="宋体" w:cs="宋体"/>
                <w:color w:val="auto"/>
                <w:kern w:val="2"/>
                <w:sz w:val="24"/>
                <w:szCs w:val="24"/>
                <w:highlight w:val="red"/>
                <w:lang w:eastAsia="zh-CN"/>
              </w:rPr>
            </w:pPr>
            <w:r>
              <w:rPr>
                <w:rFonts w:hint="eastAsia" w:ascii="宋体" w:hAnsi="宋体" w:eastAsia="宋体" w:cs="宋体"/>
                <w:color w:val="auto"/>
                <w:kern w:val="2"/>
                <w:sz w:val="24"/>
                <w:szCs w:val="24"/>
                <w:highlight w:val="none"/>
              </w:rPr>
              <w:t>接受质疑的单位：</w:t>
            </w:r>
            <w:r>
              <w:rPr>
                <w:rFonts w:hint="eastAsia" w:cs="宋体"/>
                <w:color w:val="auto"/>
                <w:kern w:val="2"/>
                <w:sz w:val="24"/>
                <w:szCs w:val="24"/>
                <w:highlight w:val="none"/>
                <w:lang w:eastAsia="zh-CN"/>
              </w:rPr>
              <w:t>新疆融盛源工程项目管理有限公司</w:t>
            </w:r>
          </w:p>
          <w:p>
            <w:pPr>
              <w:pStyle w:val="20"/>
              <w:keepNext w:val="0"/>
              <w:keepLines w:val="0"/>
              <w:pageBreakBefore w:val="0"/>
              <w:kinsoku/>
              <w:wordWrap/>
              <w:topLinePunct w:val="0"/>
              <w:bidi w:val="0"/>
              <w:spacing w:line="440" w:lineRule="exact"/>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联系电话：</w:t>
            </w:r>
            <w:r>
              <w:rPr>
                <w:rFonts w:hint="eastAsia" w:cs="宋体"/>
                <w:color w:val="auto"/>
                <w:sz w:val="24"/>
                <w:szCs w:val="24"/>
                <w:highlight w:val="none"/>
                <w:lang w:eastAsia="zh-CN"/>
              </w:rPr>
              <w:t>0991-4800087</w:t>
            </w:r>
          </w:p>
          <w:p>
            <w:pPr>
              <w:pStyle w:val="20"/>
              <w:keepNext w:val="0"/>
              <w:keepLines w:val="0"/>
              <w:pageBreakBefore w:val="0"/>
              <w:kinsoku/>
              <w:wordWrap/>
              <w:topLinePunct w:val="0"/>
              <w:bidi w:val="0"/>
              <w:spacing w:line="440" w:lineRule="exact"/>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地 址乌鲁木齐市水磨沟区立井街198号丽景中央城9号楼（全季酒店）五层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c>
          <w:tcPr>
            <w:tcW w:w="9346" w:type="dxa"/>
            <w:gridSpan w:val="2"/>
            <w:noWrap w:val="0"/>
            <w:vAlign w:val="center"/>
          </w:tcPr>
          <w:p>
            <w:pPr>
              <w:keepNext w:val="0"/>
              <w:keepLines w:val="0"/>
              <w:pageBreakBefore w:val="0"/>
              <w:kinsoku/>
              <w:wordWrap/>
              <w:topLinePunct w:val="0"/>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1、招标文件中部分加“*”、“</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topLinePunct w:val="0"/>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noWrap w:val="0"/>
            <w:vAlign w:val="center"/>
          </w:tcPr>
          <w:p>
            <w:pPr>
              <w:keepNext w:val="0"/>
              <w:keepLines w:val="0"/>
              <w:pageBreakBefore w:val="0"/>
              <w:kinsoku/>
              <w:wordWrap/>
              <w:topLinePunct w:val="0"/>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outlineLvl w:val="9"/>
        <w:rPr>
          <w:rFonts w:hint="eastAsia" w:ascii="宋体" w:hAnsi="宋体" w:eastAsia="宋体" w:cs="宋体"/>
          <w:b/>
          <w:color w:val="auto"/>
          <w:sz w:val="36"/>
          <w:highlight w:val="none"/>
        </w:rPr>
      </w:pPr>
    </w:p>
    <w:p>
      <w:pPr>
        <w:pStyle w:val="21"/>
        <w:spacing w:line="440" w:lineRule="exact"/>
        <w:outlineLvl w:val="9"/>
        <w:rPr>
          <w:rFonts w:hint="eastAsia" w:ascii="宋体" w:hAnsi="宋体" w:eastAsia="宋体" w:cs="宋体"/>
          <w:b/>
          <w:color w:val="auto"/>
          <w:kern w:val="2"/>
          <w:sz w:val="36"/>
          <w:szCs w:val="20"/>
          <w:highlight w:val="none"/>
        </w:rPr>
      </w:pPr>
    </w:p>
    <w:p>
      <w:pPr>
        <w:pStyle w:val="21"/>
        <w:spacing w:line="440" w:lineRule="exact"/>
        <w:outlineLvl w:val="9"/>
        <w:rPr>
          <w:rFonts w:hint="eastAsia" w:ascii="宋体" w:hAnsi="宋体" w:eastAsia="宋体" w:cs="宋体"/>
          <w:b/>
          <w:color w:val="auto"/>
          <w:kern w:val="2"/>
          <w:sz w:val="36"/>
          <w:szCs w:val="20"/>
          <w:highlight w:val="none"/>
        </w:rPr>
      </w:pPr>
    </w:p>
    <w:p>
      <w:pPr>
        <w:pStyle w:val="21"/>
        <w:spacing w:line="440" w:lineRule="exact"/>
        <w:outlineLvl w:val="9"/>
        <w:rPr>
          <w:rFonts w:hint="eastAsia" w:ascii="宋体" w:hAnsi="宋体" w:eastAsia="宋体" w:cs="宋体"/>
          <w:b/>
          <w:color w:val="auto"/>
          <w:kern w:val="2"/>
          <w:sz w:val="36"/>
          <w:szCs w:val="20"/>
          <w:highlight w:val="none"/>
        </w:rPr>
      </w:pPr>
    </w:p>
    <w:p>
      <w:pPr>
        <w:pStyle w:val="21"/>
        <w:spacing w:line="440" w:lineRule="exact"/>
        <w:outlineLvl w:val="9"/>
        <w:rPr>
          <w:rFonts w:hint="eastAsia" w:ascii="宋体" w:hAnsi="宋体" w:eastAsia="宋体" w:cs="宋体"/>
          <w:b/>
          <w:color w:val="auto"/>
          <w:kern w:val="2"/>
          <w:sz w:val="36"/>
          <w:szCs w:val="20"/>
          <w:highlight w:val="none"/>
        </w:rPr>
      </w:pPr>
    </w:p>
    <w:p>
      <w:pPr>
        <w:pStyle w:val="21"/>
        <w:spacing w:line="440" w:lineRule="exact"/>
        <w:outlineLvl w:val="9"/>
        <w:rPr>
          <w:rFonts w:hint="eastAsia" w:ascii="宋体" w:hAnsi="宋体" w:eastAsia="宋体" w:cs="宋体"/>
          <w:b/>
          <w:color w:val="auto"/>
          <w:kern w:val="2"/>
          <w:sz w:val="36"/>
          <w:szCs w:val="20"/>
          <w:highlight w:val="none"/>
        </w:rPr>
      </w:pPr>
    </w:p>
    <w:p>
      <w:pPr>
        <w:pStyle w:val="21"/>
        <w:spacing w:line="440" w:lineRule="exact"/>
        <w:jc w:val="center"/>
        <w:outlineLvl w:val="1"/>
        <w:rPr>
          <w:rFonts w:hint="eastAsia" w:ascii="宋体" w:hAnsi="宋体" w:eastAsia="宋体" w:cs="宋体"/>
          <w:b/>
          <w:color w:val="auto"/>
          <w:kern w:val="2"/>
          <w:sz w:val="36"/>
          <w:szCs w:val="20"/>
          <w:highlight w:val="none"/>
        </w:rPr>
      </w:pPr>
      <w:bookmarkStart w:id="4" w:name="_Toc497239283"/>
      <w:bookmarkStart w:id="5" w:name="_Toc30569"/>
      <w:r>
        <w:rPr>
          <w:rFonts w:hint="eastAsia" w:ascii="宋体" w:hAnsi="宋体" w:eastAsia="宋体" w:cs="宋体"/>
          <w:b/>
          <w:color w:val="auto"/>
          <w:kern w:val="2"/>
          <w:sz w:val="36"/>
          <w:szCs w:val="20"/>
          <w:highlight w:val="none"/>
        </w:rPr>
        <w:t>第二部分招标说明</w:t>
      </w:r>
      <w:bookmarkEnd w:id="4"/>
      <w:bookmarkEnd w:id="5"/>
    </w:p>
    <w:p>
      <w:pPr>
        <w:pStyle w:val="21"/>
        <w:spacing w:line="440" w:lineRule="exact"/>
        <w:jc w:val="center"/>
        <w:rPr>
          <w:rFonts w:hint="eastAsia" w:ascii="宋体" w:hAnsi="宋体" w:eastAsia="宋体" w:cs="宋体"/>
          <w:b/>
          <w:color w:val="auto"/>
          <w:kern w:val="2"/>
          <w:sz w:val="36"/>
          <w:szCs w:val="20"/>
          <w:highlight w:val="none"/>
        </w:rPr>
      </w:pPr>
    </w:p>
    <w:p>
      <w:pPr>
        <w:pStyle w:val="21"/>
        <w:spacing w:line="440" w:lineRule="exact"/>
        <w:jc w:val="center"/>
        <w:outlineLvl w:val="1"/>
        <w:rPr>
          <w:rFonts w:hint="eastAsia" w:ascii="宋体" w:hAnsi="宋体" w:eastAsia="宋体" w:cs="宋体"/>
          <w:b/>
          <w:color w:val="auto"/>
          <w:kern w:val="2"/>
          <w:sz w:val="32"/>
          <w:szCs w:val="32"/>
          <w:highlight w:val="none"/>
        </w:rPr>
      </w:pPr>
      <w:bookmarkStart w:id="6" w:name="_Toc27528"/>
      <w:bookmarkStart w:id="7" w:name="_Toc497239284"/>
      <w:r>
        <w:rPr>
          <w:rFonts w:hint="eastAsia" w:ascii="宋体" w:hAnsi="宋体" w:eastAsia="宋体" w:cs="宋体"/>
          <w:b/>
          <w:color w:val="auto"/>
          <w:kern w:val="2"/>
          <w:sz w:val="32"/>
          <w:szCs w:val="32"/>
          <w:highlight w:val="none"/>
        </w:rPr>
        <w:t>第一章总则</w:t>
      </w:r>
      <w:bookmarkEnd w:id="6"/>
      <w:bookmarkEnd w:id="7"/>
    </w:p>
    <w:p>
      <w:pPr>
        <w:spacing w:line="440" w:lineRule="exact"/>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本招标文件仅适用于</w:t>
      </w:r>
      <w:r>
        <w:rPr>
          <w:rFonts w:hint="eastAsia" w:ascii="宋体" w:hAnsi="宋体" w:eastAsia="宋体" w:cs="宋体"/>
          <w:color w:val="auto"/>
          <w:sz w:val="24"/>
          <w:highlight w:val="none"/>
          <w:lang w:eastAsia="zh-CN"/>
        </w:rPr>
        <w:t>新疆融盛源工程项目管理有限公司</w:t>
      </w:r>
      <w:r>
        <w:rPr>
          <w:rFonts w:hint="eastAsia" w:ascii="宋体" w:hAnsi="宋体" w:eastAsia="宋体" w:cs="宋体"/>
          <w:color w:val="auto"/>
          <w:sz w:val="24"/>
          <w:highlight w:val="none"/>
        </w:rPr>
        <w:t>的本次招标活动。</w:t>
      </w:r>
    </w:p>
    <w:p>
      <w:pPr>
        <w:tabs>
          <w:tab w:val="left" w:pos="1185"/>
        </w:tabs>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投标资格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2.1.满足《中华人民共和国政府采购法》第二十二条规定；</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2.2.落实政府采购政策需满足的资格要求：见投标须知前附表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2.3.本项目的特定资格要求：见投标须知前附表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投标人存在下列情形之一的，拒绝其参加本次投标（已投标的按无效标处理）：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（1）为招标人不具有独立法人资格的附属机构（单位）；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（2）为本标段前期准备提供设计或咨询服务的；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（3）为本标段提供招标代理服务的；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（4）法定代表人为同一人的两个及两个以上法人，母公司、全资子公司及其控股公司，在同一货物采购招标中同时投标的；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（5）被责令停业的；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（6）被暂停或取消投标资格的；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（7）财产被接管或冻结的；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（8）在最近三年内有骗取中标或严重违约或重大质量问题的，受到行政处罚的。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有下列情形之一的，视为投标人串通投标，其投标无效：</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（3）不同投标人的投标文件载明的项目管理成员或者联系人员为同一人。</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（6）不同投标人的投标保证金从同一单位或者个人的账户转出。</w:t>
      </w:r>
    </w:p>
    <w:p>
      <w:pPr>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（7）投标文件技术规格中的响应与事实不符或虚假投标的；</w:t>
      </w:r>
    </w:p>
    <w:p>
      <w:pPr>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（8）投标文件符合招标文件中规定废标的其它技术条款；</w:t>
      </w:r>
    </w:p>
    <w:p>
      <w:pPr>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（9）投标人拒绝修正错误的；</w:t>
      </w:r>
    </w:p>
    <w:p>
      <w:pPr>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（10）其他违反相关法律法规规定的行为的；</w:t>
      </w:r>
    </w:p>
    <w:p>
      <w:pPr>
        <w:spacing w:line="44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（11）评标委员会认为是其他应当否决的投标。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szCs w:val="24"/>
          <w:highlight w:val="none"/>
        </w:rPr>
        <w:t>投标人在本次招标活动中，必须遵守《中华人民共和国政府采购法》及相关法律法规的规定。</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 定义</w:t>
      </w:r>
    </w:p>
    <w:p>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下列术语和缩写的定义为：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“采购人”是指依法进行政府采购的国家机关、事业单位、团体组织。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“招标代理机构”系指</w:t>
      </w:r>
      <w:r>
        <w:rPr>
          <w:rFonts w:hint="eastAsia" w:ascii="宋体" w:hAnsi="宋体" w:eastAsia="宋体" w:cs="宋体"/>
          <w:color w:val="auto"/>
          <w:sz w:val="24"/>
          <w:highlight w:val="none"/>
          <w:lang w:eastAsia="zh-CN"/>
        </w:rPr>
        <w:t>新疆融盛源工程项目管理有限公司</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“招标方”系指采购人和招标代理机构的统称。</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“投标人”是响应招标文件并且符合招标文件规定资格条件和参加投标竞争的法人、其他组织或者自然人。</w:t>
      </w:r>
    </w:p>
    <w:p>
      <w:pPr>
        <w:pStyle w:val="8"/>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　“供应商”是指向采购人提供货物、工程或者服务的法人、其他组织或者自然人。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6.6  “投标人代表”是指投标人法定代表人，或法定代表人指定的某一代表自己参与和处理与投标项目有关事宜的自然人。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6.7 “中标人”系指经评标委员会评定后由评标委员会推荐并由采购人确定的投标人。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6.8  “服务”指本招标文件中第四部分《采购需求》及《政府采购品目分类目录》(财库[2013]189号)所述所有货物及相关服务及技术协助、培训及其他类似的责任。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6.9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6.10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6.11 “进口产品”是指通过中国海关报关验放进入中国境内且产自关境外的产品，详见《关于政府采购进口产品管理有关问题的通知》(财库[2007]119号)。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6.12 “响应”系指投标人根据招标代理机构发布的招标文件，编制投标文件并按规定投标的行为。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6.13  “标段（包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标项</w:t>
      </w:r>
      <w:r>
        <w:rPr>
          <w:rFonts w:hint="eastAsia" w:ascii="宋体" w:hAnsi="宋体" w:eastAsia="宋体" w:cs="宋体"/>
          <w:color w:val="auto"/>
          <w:sz w:val="24"/>
          <w:highlight w:val="none"/>
        </w:rPr>
        <w:t>）”系指一个完整独立的投标项目。</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 投标费用</w:t>
      </w:r>
    </w:p>
    <w:p>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7.1  无论投标结果如何，凡参与招标、投标活动有关的所有费用将由投标人自行承担。</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投标人被视为熟悉本招标项目的各种情况以及与履行合同有关的一切情况。</w:t>
      </w:r>
    </w:p>
    <w:p>
      <w:pPr>
        <w:tabs>
          <w:tab w:val="left" w:pos="1185"/>
        </w:tabs>
        <w:spacing w:line="440" w:lineRule="exact"/>
        <w:ind w:firstLine="480" w:firstLineChars="200"/>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3"/>
        <w:rPr>
          <w:rFonts w:hint="eastAsia"/>
        </w:rPr>
      </w:pPr>
    </w:p>
    <w:p>
      <w:pPr>
        <w:pStyle w:val="3"/>
        <w:ind w:left="0" w:leftChars="0" w:firstLine="0" w:firstLineChars="0"/>
        <w:rPr>
          <w:rFonts w:hint="eastAsia"/>
        </w:rPr>
      </w:pPr>
    </w:p>
    <w:p>
      <w:pPr>
        <w:pStyle w:val="21"/>
        <w:spacing w:line="440" w:lineRule="exact"/>
        <w:jc w:val="center"/>
        <w:outlineLvl w:val="1"/>
        <w:rPr>
          <w:rFonts w:hint="eastAsia" w:ascii="宋体" w:hAnsi="宋体" w:eastAsia="宋体" w:cs="宋体"/>
          <w:b/>
          <w:color w:val="auto"/>
          <w:kern w:val="2"/>
          <w:sz w:val="32"/>
          <w:szCs w:val="32"/>
          <w:highlight w:val="none"/>
        </w:rPr>
      </w:pPr>
      <w:bookmarkStart w:id="8" w:name="_Toc27046"/>
      <w:bookmarkStart w:id="9" w:name="_Toc497239285"/>
      <w:r>
        <w:rPr>
          <w:rFonts w:hint="eastAsia" w:ascii="宋体" w:hAnsi="宋体" w:eastAsia="宋体" w:cs="宋体"/>
          <w:b/>
          <w:color w:val="auto"/>
          <w:kern w:val="2"/>
          <w:sz w:val="32"/>
          <w:szCs w:val="32"/>
          <w:highlight w:val="none"/>
        </w:rPr>
        <w:t>第二章招标文件</w:t>
      </w:r>
      <w:bookmarkEnd w:id="8"/>
      <w:bookmarkEnd w:id="9"/>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招标文件说明</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招标文件组成如下：</w:t>
      </w:r>
    </w:p>
    <w:p>
      <w:pPr>
        <w:spacing w:line="440" w:lineRule="exact"/>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招标公告</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第一部分投标须知</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第二部分招标说明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第三部分投标说明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第四部分采购需求</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第五部分合同部分</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第六部分投标文件格式（范本格式）</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投标人应详细阅读招标文件的全部内容。如果投标人未按照招标文件要求提交全部资料或者投标文件没有对招标文件在各方面的要求做出实质性响应，将导致其投标被拒绝。</w:t>
      </w:r>
    </w:p>
    <w:p>
      <w:pPr>
        <w:spacing w:line="440" w:lineRule="exact"/>
        <w:ind w:left="479" w:leftChars="228"/>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9. 招标文件的修改或补充</w:t>
      </w:r>
    </w:p>
    <w:p>
      <w:pPr>
        <w:spacing w:line="440" w:lineRule="exact"/>
        <w:ind w:left="479" w:leftChars="228"/>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9.1　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left="479" w:leftChars="228"/>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9.2　为使投标人在准备投标时有适当的时间考虑投标文件的修改，招标方有权决定推迟投标截止时间和开标时间，并将此变更通知所有的投标人。</w:t>
      </w:r>
    </w:p>
    <w:p>
      <w:pPr>
        <w:spacing w:line="440" w:lineRule="exact"/>
        <w:ind w:left="479"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9.3　招标文件的修改和补充文件将构成招标文件的一部分，并且对投标人具有优先约束力。</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10.质疑须知</w:t>
      </w:r>
    </w:p>
    <w:p>
      <w:pPr>
        <w:spacing w:line="440" w:lineRule="exact"/>
        <w:ind w:firstLine="480" w:firstLineChars="200"/>
        <w:rPr>
          <w:rFonts w:hint="eastAsia" w:ascii="宋体" w:hAnsi="宋体" w:eastAsia="宋体" w:cs="宋体"/>
          <w:b/>
          <w:color w:val="auto"/>
          <w:sz w:val="36"/>
          <w:highlight w:val="none"/>
        </w:rPr>
      </w:pPr>
      <w:r>
        <w:rPr>
          <w:rFonts w:hint="eastAsia" w:ascii="宋体" w:hAnsi="宋体" w:eastAsia="宋体" w:cs="宋体"/>
          <w:color w:val="auto"/>
          <w:sz w:val="24"/>
          <w:highlight w:val="none"/>
        </w:rPr>
        <w:t>投标人如需提出质疑的，应在法定质疑期内一次性提出针对同一采购程序环节的质疑。</w:t>
      </w:r>
    </w:p>
    <w:p>
      <w:pPr>
        <w:widowControl/>
        <w:ind w:firstLine="360" w:firstLineChars="150"/>
        <w:jc w:val="left"/>
        <w:rPr>
          <w:rFonts w:hint="eastAsia" w:ascii="宋体" w:hAnsi="宋体" w:eastAsia="宋体" w:cs="宋体"/>
          <w:color w:val="auto"/>
          <w:kern w:val="0"/>
          <w:sz w:val="24"/>
          <w:szCs w:val="24"/>
          <w:highlight w:val="none"/>
        </w:rPr>
      </w:pPr>
    </w:p>
    <w:p>
      <w:pPr>
        <w:pStyle w:val="21"/>
        <w:spacing w:line="440" w:lineRule="exact"/>
        <w:jc w:val="center"/>
        <w:outlineLvl w:val="9"/>
        <w:rPr>
          <w:rFonts w:hint="eastAsia" w:ascii="宋体" w:hAnsi="宋体" w:eastAsia="宋体" w:cs="宋体"/>
          <w:b/>
          <w:color w:val="auto"/>
          <w:kern w:val="2"/>
          <w:sz w:val="36"/>
          <w:szCs w:val="20"/>
          <w:highlight w:val="none"/>
        </w:rPr>
      </w:pPr>
    </w:p>
    <w:p>
      <w:pPr>
        <w:pStyle w:val="21"/>
        <w:spacing w:line="440" w:lineRule="exact"/>
        <w:jc w:val="center"/>
        <w:outlineLvl w:val="9"/>
        <w:rPr>
          <w:rFonts w:hint="eastAsia" w:ascii="宋体" w:hAnsi="宋体" w:eastAsia="宋体" w:cs="宋体"/>
          <w:b/>
          <w:color w:val="auto"/>
          <w:kern w:val="2"/>
          <w:sz w:val="36"/>
          <w:szCs w:val="20"/>
          <w:highlight w:val="none"/>
        </w:rPr>
      </w:pPr>
      <w:bookmarkStart w:id="10" w:name="_Toc497239286"/>
    </w:p>
    <w:p>
      <w:pPr>
        <w:pStyle w:val="21"/>
        <w:spacing w:line="440" w:lineRule="exact"/>
        <w:jc w:val="center"/>
        <w:outlineLvl w:val="9"/>
        <w:rPr>
          <w:rFonts w:hint="eastAsia" w:ascii="宋体" w:hAnsi="宋体" w:eastAsia="宋体" w:cs="宋体"/>
          <w:b/>
          <w:color w:val="auto"/>
          <w:kern w:val="2"/>
          <w:sz w:val="36"/>
          <w:szCs w:val="20"/>
          <w:highlight w:val="none"/>
        </w:rPr>
      </w:pPr>
    </w:p>
    <w:p>
      <w:pPr>
        <w:pStyle w:val="21"/>
        <w:spacing w:line="440" w:lineRule="exact"/>
        <w:jc w:val="center"/>
        <w:outlineLvl w:val="9"/>
        <w:rPr>
          <w:rFonts w:hint="eastAsia" w:ascii="宋体" w:hAnsi="宋体" w:eastAsia="宋体" w:cs="宋体"/>
          <w:b/>
          <w:color w:val="auto"/>
          <w:kern w:val="2"/>
          <w:sz w:val="36"/>
          <w:szCs w:val="20"/>
          <w:highlight w:val="none"/>
        </w:rPr>
      </w:pPr>
    </w:p>
    <w:p>
      <w:pPr>
        <w:pStyle w:val="21"/>
        <w:spacing w:line="440" w:lineRule="exact"/>
        <w:jc w:val="center"/>
        <w:outlineLvl w:val="9"/>
        <w:rPr>
          <w:rFonts w:hint="eastAsia" w:ascii="宋体" w:hAnsi="宋体" w:eastAsia="宋体" w:cs="宋体"/>
          <w:b/>
          <w:color w:val="auto"/>
          <w:kern w:val="2"/>
          <w:sz w:val="36"/>
          <w:szCs w:val="20"/>
          <w:highlight w:val="none"/>
        </w:rPr>
      </w:pPr>
    </w:p>
    <w:p>
      <w:pPr>
        <w:pStyle w:val="21"/>
        <w:spacing w:line="440" w:lineRule="exact"/>
        <w:jc w:val="center"/>
        <w:outlineLvl w:val="9"/>
        <w:rPr>
          <w:rFonts w:hint="eastAsia" w:ascii="宋体" w:hAnsi="宋体" w:eastAsia="宋体" w:cs="宋体"/>
          <w:b/>
          <w:color w:val="auto"/>
          <w:kern w:val="2"/>
          <w:sz w:val="36"/>
          <w:szCs w:val="20"/>
          <w:highlight w:val="none"/>
        </w:rPr>
      </w:pPr>
    </w:p>
    <w:p>
      <w:pPr>
        <w:pStyle w:val="21"/>
        <w:spacing w:line="440" w:lineRule="exact"/>
        <w:jc w:val="both"/>
        <w:outlineLvl w:val="9"/>
        <w:rPr>
          <w:rFonts w:hint="eastAsia" w:ascii="宋体" w:hAnsi="宋体" w:eastAsia="宋体" w:cs="宋体"/>
          <w:b/>
          <w:color w:val="auto"/>
          <w:kern w:val="2"/>
          <w:sz w:val="36"/>
          <w:szCs w:val="20"/>
          <w:highlight w:val="none"/>
        </w:rPr>
      </w:pPr>
    </w:p>
    <w:p>
      <w:pPr>
        <w:pStyle w:val="21"/>
        <w:spacing w:line="440" w:lineRule="exact"/>
        <w:jc w:val="center"/>
        <w:outlineLvl w:val="0"/>
        <w:rPr>
          <w:rFonts w:hint="eastAsia" w:ascii="宋体" w:hAnsi="宋体" w:eastAsia="宋体" w:cs="宋体"/>
          <w:b/>
          <w:color w:val="auto"/>
          <w:kern w:val="2"/>
          <w:sz w:val="36"/>
          <w:szCs w:val="20"/>
          <w:highlight w:val="none"/>
        </w:rPr>
      </w:pPr>
      <w:bookmarkStart w:id="11" w:name="_Toc16398"/>
      <w:r>
        <w:rPr>
          <w:rFonts w:hint="eastAsia" w:ascii="宋体" w:hAnsi="宋体" w:eastAsia="宋体" w:cs="宋体"/>
          <w:b/>
          <w:color w:val="auto"/>
          <w:kern w:val="2"/>
          <w:sz w:val="36"/>
          <w:szCs w:val="20"/>
          <w:highlight w:val="none"/>
        </w:rPr>
        <w:t>第三部分投标说明</w:t>
      </w:r>
      <w:bookmarkEnd w:id="10"/>
      <w:bookmarkEnd w:id="11"/>
    </w:p>
    <w:p>
      <w:pPr>
        <w:pStyle w:val="21"/>
        <w:spacing w:line="440" w:lineRule="exact"/>
        <w:jc w:val="center"/>
        <w:outlineLvl w:val="9"/>
        <w:rPr>
          <w:rFonts w:hint="eastAsia" w:ascii="宋体" w:hAnsi="宋体" w:eastAsia="宋体" w:cs="宋体"/>
          <w:b/>
          <w:color w:val="auto"/>
          <w:kern w:val="2"/>
          <w:sz w:val="36"/>
          <w:szCs w:val="20"/>
          <w:highlight w:val="none"/>
        </w:rPr>
      </w:pPr>
    </w:p>
    <w:p>
      <w:pPr>
        <w:spacing w:line="440" w:lineRule="exact"/>
        <w:ind w:firstLine="3213" w:firstLineChars="1000"/>
        <w:outlineLvl w:val="1"/>
        <w:rPr>
          <w:rFonts w:hint="eastAsia" w:ascii="宋体" w:hAnsi="宋体" w:eastAsia="宋体" w:cs="宋体"/>
          <w:b/>
          <w:color w:val="auto"/>
          <w:sz w:val="32"/>
          <w:highlight w:val="none"/>
        </w:rPr>
      </w:pPr>
      <w:bookmarkStart w:id="12" w:name="_Toc497239287"/>
      <w:bookmarkStart w:id="13" w:name="_Toc27138"/>
      <w:r>
        <w:rPr>
          <w:rFonts w:hint="eastAsia" w:ascii="宋体" w:hAnsi="宋体" w:eastAsia="宋体" w:cs="宋体"/>
          <w:b/>
          <w:color w:val="auto"/>
          <w:sz w:val="32"/>
          <w:highlight w:val="none"/>
        </w:rPr>
        <w:t>第一章</w:t>
      </w:r>
      <w:bookmarkEnd w:id="12"/>
      <w:r>
        <w:rPr>
          <w:rFonts w:hint="eastAsia" w:ascii="宋体" w:hAnsi="宋体" w:eastAsia="宋体" w:cs="宋体"/>
          <w:b/>
          <w:color w:val="auto"/>
          <w:sz w:val="32"/>
          <w:highlight w:val="none"/>
        </w:rPr>
        <w:t>投标人的资格证明</w:t>
      </w:r>
      <w:bookmarkEnd w:id="13"/>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highlight w:val="none"/>
        </w:rPr>
        <w:t xml:space="preserve"> </w:t>
      </w:r>
      <w:r>
        <w:rPr>
          <w:rFonts w:hint="eastAsia" w:ascii="宋体" w:hAnsi="宋体" w:eastAsia="宋体" w:cs="宋体"/>
          <w:b/>
          <w:color w:val="auto"/>
          <w:sz w:val="24"/>
          <w:szCs w:val="24"/>
          <w:highlight w:val="none"/>
        </w:rPr>
        <w:t>投标人的资格证明</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1.1投标人的资格条件见投标人须知前附表。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正本</w:t>
      </w:r>
      <w:r>
        <w:rPr>
          <w:rFonts w:hint="eastAsia" w:ascii="宋体" w:hAnsi="宋体" w:eastAsia="宋体" w:cs="宋体"/>
          <w:color w:val="auto"/>
          <w:sz w:val="24"/>
          <w:szCs w:val="24"/>
          <w:highlight w:val="none"/>
        </w:rPr>
        <w:t>中必须按招标文件要求提供资格证明文件，作为投标文件的一部分。</w:t>
      </w:r>
      <w:r>
        <w:rPr>
          <w:rFonts w:hint="eastAsia" w:ascii="宋体" w:hAnsi="宋体" w:eastAsia="宋体" w:cs="宋体"/>
          <w:color w:val="auto"/>
          <w:sz w:val="24"/>
          <w:highlight w:val="none"/>
        </w:rPr>
        <w:t xml:space="preserve"> </w:t>
      </w:r>
    </w:p>
    <w:p>
      <w:pPr>
        <w:spacing w:line="440" w:lineRule="exact"/>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1.3  所有资格证明文件，</w:t>
      </w:r>
      <w:r>
        <w:rPr>
          <w:rFonts w:hint="eastAsia" w:ascii="宋体" w:hAnsi="宋体" w:eastAsia="宋体" w:cs="宋体"/>
          <w:b/>
          <w:bCs/>
          <w:color w:val="auto"/>
          <w:sz w:val="24"/>
          <w:szCs w:val="24"/>
          <w:highlight w:val="none"/>
          <w:em w:val="dot"/>
        </w:rPr>
        <w:t>在资格文件正本中资格证明文件的复印件须加盖公章。</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　所有资格证明文件必须满足招标文件的要求，否则将导致投标无效。</w:t>
      </w:r>
    </w:p>
    <w:p>
      <w:pPr>
        <w:spacing w:line="440" w:lineRule="exact"/>
        <w:ind w:firstLine="240" w:firstLineChars="100"/>
        <w:rPr>
          <w:rFonts w:hint="eastAsia" w:ascii="宋体" w:hAnsi="宋体" w:eastAsia="宋体" w:cs="宋体"/>
          <w:bCs/>
          <w:color w:val="auto"/>
          <w:sz w:val="24"/>
          <w:szCs w:val="24"/>
          <w:highlight w:val="none"/>
        </w:rPr>
      </w:pPr>
    </w:p>
    <w:p>
      <w:pPr>
        <w:spacing w:line="440" w:lineRule="exact"/>
        <w:ind w:firstLine="480"/>
        <w:rPr>
          <w:rFonts w:hint="eastAsia" w:ascii="宋体" w:hAnsi="宋体" w:eastAsia="宋体" w:cs="宋体"/>
          <w:bCs/>
          <w:color w:val="auto"/>
          <w:sz w:val="24"/>
          <w:highlight w:val="none"/>
        </w:rPr>
      </w:pPr>
    </w:p>
    <w:p>
      <w:pPr>
        <w:spacing w:line="440" w:lineRule="exact"/>
        <w:ind w:firstLine="3213" w:firstLineChars="1000"/>
        <w:outlineLvl w:val="1"/>
        <w:rPr>
          <w:rFonts w:hint="eastAsia" w:ascii="宋体" w:hAnsi="宋体" w:eastAsia="宋体" w:cs="宋体"/>
          <w:b/>
          <w:color w:val="auto"/>
          <w:sz w:val="32"/>
          <w:szCs w:val="32"/>
          <w:highlight w:val="none"/>
        </w:rPr>
      </w:pPr>
      <w:bookmarkStart w:id="14" w:name="_Toc17999"/>
      <w:bookmarkStart w:id="15" w:name="_Toc497239288"/>
      <w:r>
        <w:rPr>
          <w:rFonts w:hint="eastAsia" w:ascii="宋体" w:hAnsi="宋体" w:eastAsia="宋体" w:cs="宋体"/>
          <w:b/>
          <w:color w:val="auto"/>
          <w:sz w:val="32"/>
          <w:szCs w:val="32"/>
          <w:highlight w:val="none"/>
        </w:rPr>
        <w:t>第二章投标文件的编写</w:t>
      </w:r>
      <w:bookmarkEnd w:id="14"/>
      <w:bookmarkEnd w:id="15"/>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要求</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允许投标人对本招标文件中的所有</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rPr>
        <w:t>投标，也可根据本企业生产或代理产品的情况对部分</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rPr>
        <w:t>进行投标，但不允许投标人对某一</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rPr>
        <w:t>中的一项或部分项进行投标。</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投标文件语言和度量单位</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投标文件及投标人和招标方就招标、投标交换的文件和往来信件，须以中文书写。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除在招标文件的技术规格中另有规定外，计量单位应使用中华人民共和国法定计量单位。</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投标人编写的投标文件应包括但不限于下列内容：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资格文件：</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★(1)供应商符合投标人资格条件的证明文件</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价格及商务部分：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★(1)投标函(含法定代表人身份证明或授权委托书)</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(3)商务条款偏离表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★(4)供应商符合投标人资格条件的证明文件</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(5)符合政府采购政策的证明材料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(6)投标人须知前附表要求投标人提交的其他资料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(7)供应商认为需提供的其他资料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技术部分</w:t>
      </w:r>
    </w:p>
    <w:p>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(1)服务方案、应急处理方案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包含</w:t>
      </w:r>
      <w:r>
        <w:rPr>
          <w:rFonts w:hint="eastAsia" w:ascii="宋体" w:hAnsi="宋体" w:eastAsia="宋体" w:cs="宋体"/>
          <w:b/>
          <w:bCs/>
          <w:color w:val="auto"/>
          <w:sz w:val="24"/>
          <w:highlight w:val="none"/>
        </w:rPr>
        <w:t>绿化养护实施方案</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拟投入绿化养护设施</w:t>
      </w:r>
      <w:r>
        <w:rPr>
          <w:rFonts w:hint="eastAsia" w:ascii="宋体" w:hAnsi="宋体" w:eastAsia="宋体" w:cs="宋体"/>
          <w:b/>
          <w:bCs/>
          <w:color w:val="auto"/>
          <w:sz w:val="24"/>
          <w:highlight w:val="none"/>
          <w:lang w:val="en-US" w:eastAsia="zh-CN"/>
        </w:rPr>
        <w:t>等</w:t>
      </w:r>
      <w:r>
        <w:rPr>
          <w:rFonts w:hint="eastAsia" w:ascii="宋体" w:hAnsi="宋体" w:eastAsia="宋体" w:cs="宋体"/>
          <w:color w:val="auto"/>
          <w:sz w:val="24"/>
          <w:highlight w:val="none"/>
          <w:lang w:val="en-US" w:eastAsia="zh-CN"/>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(2)技术条款偏离表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(3)投标人服务承诺</w:t>
      </w:r>
    </w:p>
    <w:p>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拟投入绿化养护</w:t>
      </w:r>
      <w:r>
        <w:rPr>
          <w:rFonts w:hint="eastAsia" w:ascii="宋体" w:hAnsi="宋体" w:eastAsia="宋体" w:cs="宋体"/>
          <w:color w:val="auto"/>
          <w:sz w:val="24"/>
          <w:szCs w:val="24"/>
          <w:highlight w:val="none"/>
        </w:rPr>
        <w:t>人员名单</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Cs/>
          <w:color w:val="auto"/>
          <w:sz w:val="24"/>
          <w:szCs w:val="24"/>
          <w:highlight w:val="none"/>
        </w:rPr>
        <w:t xml:space="preserve"> 招标文件中要求提交的和投标人认为需要提供的其它说明和资料。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在投标过程中，投标人根据评标委员会书面形式要求提供的澄清文件是投标文件的有效组成部分。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供应商无论中标与否，其投标文件不予退还。</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投标文件格式</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见投标须知前附表。</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投标报价</w:t>
      </w:r>
    </w:p>
    <w:p>
      <w:pPr>
        <w:pStyle w:val="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投标人应按招标文件规定的采购要求、责任范围和合同条件以人民币形式进行报价。投标报价应为</w:t>
      </w:r>
      <w:r>
        <w:rPr>
          <w:rFonts w:hint="eastAsia" w:ascii="宋体" w:hAnsi="宋体" w:eastAsia="宋体" w:cs="宋体"/>
          <w:b/>
          <w:bCs/>
          <w:color w:val="auto"/>
          <w:sz w:val="24"/>
          <w:szCs w:val="24"/>
          <w:highlight w:val="none"/>
        </w:rPr>
        <w:t>完税价</w:t>
      </w:r>
      <w:r>
        <w:rPr>
          <w:rFonts w:hint="eastAsia" w:ascii="宋体" w:hAnsi="宋体" w:eastAsia="宋体" w:cs="宋体"/>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开标一览表</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提交开标一览表是为了便于开标时唱标，投标人必须按本招标文件所附的格式填写，</w:t>
      </w:r>
      <w:r>
        <w:rPr>
          <w:rFonts w:hint="eastAsia" w:ascii="宋体" w:hAnsi="宋体" w:eastAsia="宋体" w:cs="宋体"/>
          <w:b/>
          <w:bCs/>
          <w:color w:val="auto"/>
          <w:sz w:val="24"/>
          <w:szCs w:val="24"/>
          <w:highlight w:val="none"/>
        </w:rPr>
        <w:t>签字并加盖公章</w:t>
      </w:r>
      <w:r>
        <w:rPr>
          <w:rFonts w:hint="eastAsia" w:ascii="宋体" w:hAnsi="宋体" w:eastAsia="宋体" w:cs="宋体"/>
          <w:color w:val="auto"/>
          <w:sz w:val="24"/>
          <w:szCs w:val="24"/>
          <w:highlight w:val="none"/>
        </w:rPr>
        <w:t xml:space="preserve">。 </w:t>
      </w:r>
    </w:p>
    <w:p>
      <w:pPr>
        <w:pStyle w:val="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投标人必须按开标一览表和明细报价表的内容和格式要求填写各项部分的分项价格和总价。投标人在投标人须知前附表规定的投标文件截止之日前修改开标一览表中的报价的，应同时修改其明细报价表中的报价。</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6.4 投标人应在明细报价表上标明</w:t>
      </w:r>
      <w:r>
        <w:rPr>
          <w:rFonts w:hint="eastAsia" w:ascii="宋体" w:hAnsi="宋体" w:eastAsia="宋体" w:cs="宋体"/>
          <w:b/>
          <w:bCs w:val="0"/>
          <w:color w:val="auto"/>
          <w:sz w:val="24"/>
          <w:szCs w:val="24"/>
          <w:highlight w:val="none"/>
        </w:rPr>
        <w:t>综合单价和总价</w:t>
      </w:r>
      <w:r>
        <w:rPr>
          <w:rFonts w:hint="eastAsia" w:ascii="宋体" w:hAnsi="宋体" w:eastAsia="宋体" w:cs="宋体"/>
          <w:bCs/>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pPr>
        <w:pStyle w:val="8"/>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同时出现两种以上不一致的，按照前款规定的顺序修正。修正后的报价经投标人确认后产生约束力，投标人不确认的，其投标无效。</w:t>
      </w:r>
    </w:p>
    <w:p>
      <w:pPr>
        <w:pStyle w:val="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投标人对每种服务只允许有一个报价，不接受可变动性报价、赠送，否则，在评标时将其视为无效投标。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  投标报价不符合招标文件对投标报价要求的，为无效投标。</w:t>
      </w:r>
    </w:p>
    <w:p>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6.7投标报价超预算金额（最高限价）的，为无效投标。</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6.8 投标报价是</w:t>
      </w:r>
      <w:r>
        <w:rPr>
          <w:rFonts w:hint="eastAsia" w:ascii="宋体" w:hAnsi="宋体" w:eastAsia="宋体" w:cs="宋体"/>
          <w:b/>
          <w:bCs w:val="0"/>
          <w:color w:val="auto"/>
          <w:sz w:val="24"/>
          <w:szCs w:val="24"/>
          <w:highlight w:val="none"/>
        </w:rPr>
        <w:t>履行合同的最终价格</w:t>
      </w:r>
      <w:r>
        <w:rPr>
          <w:rFonts w:hint="eastAsia" w:ascii="宋体" w:hAnsi="宋体" w:eastAsia="宋体" w:cs="宋体"/>
          <w:bCs/>
          <w:color w:val="auto"/>
          <w:sz w:val="24"/>
          <w:szCs w:val="24"/>
          <w:highlight w:val="none"/>
        </w:rPr>
        <w:t>。</w:t>
      </w:r>
    </w:p>
    <w:p>
      <w:pPr>
        <w:spacing w:line="440" w:lineRule="exact"/>
        <w:ind w:left="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投标报价的货币单位</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投标报价单位为人民币。各项价格必须清楚、准确、详细。</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投标有效期</w:t>
      </w:r>
    </w:p>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 投标文件的签署和规定</w:t>
      </w:r>
      <w:r>
        <w:rPr>
          <w:rFonts w:hint="eastAsia" w:ascii="宋体" w:hAnsi="宋体" w:eastAsia="宋体" w:cs="宋体"/>
          <w:b/>
          <w:bCs/>
          <w:color w:val="auto"/>
          <w:sz w:val="24"/>
          <w:szCs w:val="24"/>
          <w:highlight w:val="none"/>
        </w:rPr>
        <w:t>见前投标须知前附表</w:t>
      </w:r>
    </w:p>
    <w:p>
      <w:pPr>
        <w:pStyle w:val="8"/>
        <w:tabs>
          <w:tab w:val="left" w:pos="397"/>
        </w:tabs>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10.投标文件的密封和标记见前投标须知前附表。</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投标保证金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招标方因投标人的违规行为而受到损害时将不予退还投标人的投标保证金，将其作为所受损害的补偿。</w:t>
      </w:r>
    </w:p>
    <w:p>
      <w:pPr>
        <w:pStyle w:val="8"/>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投标保证金应当以支票、汇票、本票等非现金形式提交，必须从投标人基本账户转出，其有效期应不低于投标有效期。投标人未按照招标文件要求提交投标保证金的，投标无效。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11.3  投标人应提交投标保证金，并于投标截止之日前到达</w:t>
      </w:r>
      <w:r>
        <w:rPr>
          <w:rFonts w:hint="eastAsia" w:hAnsi="宋体" w:eastAsia="宋体" w:cs="宋体"/>
          <w:color w:val="auto"/>
          <w:sz w:val="24"/>
          <w:highlight w:val="none"/>
          <w:lang w:eastAsia="zh-CN"/>
        </w:rPr>
        <w:t>新疆融盛源工程项目管理有限公司</w:t>
      </w:r>
      <w:r>
        <w:rPr>
          <w:rFonts w:hint="eastAsia" w:ascii="宋体" w:hAnsi="宋体" w:eastAsia="宋体" w:cs="宋体"/>
          <w:color w:val="auto"/>
          <w:sz w:val="24"/>
          <w:highlight w:val="none"/>
        </w:rPr>
        <w:t>指定账户（人民币）。如是本地转账支票需于投标截止期7个工作日前向</w:t>
      </w:r>
      <w:r>
        <w:rPr>
          <w:rFonts w:hint="eastAsia" w:hAnsi="宋体" w:eastAsia="宋体" w:cs="宋体"/>
          <w:color w:val="auto"/>
          <w:sz w:val="24"/>
          <w:highlight w:val="none"/>
          <w:lang w:eastAsia="zh-CN"/>
        </w:rPr>
        <w:t>新疆融盛源工程项目管理有限公司</w:t>
      </w:r>
      <w:r>
        <w:rPr>
          <w:rFonts w:hint="eastAsia" w:ascii="宋体" w:hAnsi="宋体" w:eastAsia="宋体" w:cs="宋体"/>
          <w:color w:val="auto"/>
          <w:sz w:val="24"/>
          <w:highlight w:val="none"/>
        </w:rPr>
        <w:t>送达，如投标保证金为汇款形式的，（</w:t>
      </w:r>
      <w:r>
        <w:rPr>
          <w:rFonts w:hint="eastAsia" w:ascii="宋体" w:hAnsi="宋体" w:eastAsia="宋体" w:cs="宋体"/>
          <w:b/>
          <w:bCs/>
          <w:color w:val="auto"/>
          <w:sz w:val="24"/>
          <w:highlight w:val="none"/>
        </w:rPr>
        <w:t>汇款时汇款单填写内容须备注投标企业名称、项目名称及项目编号</w:t>
      </w:r>
      <w:r>
        <w:rPr>
          <w:rFonts w:hint="eastAsia" w:ascii="宋体" w:hAnsi="宋体" w:eastAsia="宋体" w:cs="宋体"/>
          <w:b/>
          <w:bCs/>
          <w:color w:val="auto"/>
          <w:sz w:val="24"/>
          <w:highlight w:val="none"/>
          <w:lang w:eastAsia="zh-CN"/>
        </w:rPr>
        <w:t>和标段</w:t>
      </w:r>
      <w:r>
        <w:rPr>
          <w:rFonts w:hint="eastAsia" w:ascii="宋体" w:hAnsi="宋体" w:eastAsia="宋体" w:cs="宋体"/>
          <w:color w:val="auto"/>
          <w:sz w:val="24"/>
          <w:highlight w:val="none"/>
        </w:rPr>
        <w:t>）。</w:t>
      </w:r>
      <w:bookmarkStart w:id="16" w:name="_Toc497239289"/>
    </w:p>
    <w:p>
      <w:pPr>
        <w:spacing w:line="46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中标人的投标保证金，将在领取中标通知书，缴纳履约保证金并签订合同后5个工作日内无息退还，中标企业退还保证金时，还需提供</w:t>
      </w:r>
      <w:r>
        <w:rPr>
          <w:rFonts w:hint="eastAsia" w:ascii="宋体" w:hAnsi="宋体" w:eastAsia="宋体" w:cs="宋体"/>
          <w:b/>
          <w:bCs/>
          <w:color w:val="auto"/>
          <w:sz w:val="24"/>
          <w:szCs w:val="24"/>
          <w:highlight w:val="none"/>
        </w:rPr>
        <w:t>采购合同复印件</w:t>
      </w:r>
      <w:r>
        <w:rPr>
          <w:rFonts w:hint="eastAsia" w:ascii="宋体" w:hAnsi="宋体" w:eastAsia="宋体" w:cs="宋体"/>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下列任何情况发生时，投标保证金将不予退还，转为违约金：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投标人在投标截止期后，投标有效期内撤回投标；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投标人在规定期限内未按规定向采购人</w:t>
      </w:r>
      <w:r>
        <w:rPr>
          <w:rFonts w:hint="eastAsia" w:ascii="宋体" w:hAnsi="宋体" w:eastAsia="宋体" w:cs="宋体"/>
          <w:b/>
          <w:bCs/>
          <w:color w:val="auto"/>
          <w:sz w:val="24"/>
          <w:szCs w:val="24"/>
          <w:highlight w:val="none"/>
        </w:rPr>
        <w:t>缴纳履约保证金</w:t>
      </w:r>
      <w:r>
        <w:rPr>
          <w:rFonts w:hint="eastAsia" w:ascii="宋体" w:hAnsi="宋体" w:eastAsia="宋体" w:cs="宋体"/>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中标人未按投标人须知规定</w:t>
      </w:r>
      <w:r>
        <w:rPr>
          <w:rFonts w:hint="eastAsia" w:ascii="宋体" w:hAnsi="宋体" w:eastAsia="宋体" w:cs="宋体"/>
          <w:b/>
          <w:bCs/>
          <w:color w:val="auto"/>
          <w:sz w:val="24"/>
          <w:szCs w:val="24"/>
          <w:highlight w:val="none"/>
        </w:rPr>
        <w:t>缴纳招标代理费</w:t>
      </w:r>
      <w:r>
        <w:rPr>
          <w:rFonts w:hint="eastAsia" w:ascii="宋体" w:hAnsi="宋体" w:eastAsia="宋体" w:cs="宋体"/>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以他人名义投标或者以其他方式弄虚作假，骗取中标；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打架斗殴，扰乱标场秩序；</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中标人拒绝在规定期限内与采购人签订合同。</w:t>
      </w:r>
    </w:p>
    <w:p>
      <w:pPr>
        <w:spacing w:line="440" w:lineRule="exact"/>
        <w:ind w:firstLine="840" w:firstLineChars="3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上述不予退还投标保证金的情况并给招标代理机构造成损失的，还要</w:t>
      </w:r>
      <w:r>
        <w:rPr>
          <w:rFonts w:hint="eastAsia" w:ascii="宋体" w:hAnsi="宋体" w:eastAsia="宋体" w:cs="宋体"/>
          <w:b/>
          <w:bCs/>
          <w:color w:val="auto"/>
          <w:sz w:val="24"/>
          <w:szCs w:val="24"/>
          <w:highlight w:val="none"/>
        </w:rPr>
        <w:t>承担赔偿责任。</w:t>
      </w:r>
    </w:p>
    <w:p>
      <w:pPr>
        <w:spacing w:line="440" w:lineRule="exact"/>
        <w:ind w:firstLine="480"/>
        <w:jc w:val="center"/>
        <w:outlineLvl w:val="9"/>
        <w:rPr>
          <w:rFonts w:hint="eastAsia" w:ascii="宋体" w:hAnsi="宋体" w:eastAsia="宋体" w:cs="宋体"/>
          <w:b/>
          <w:color w:val="auto"/>
          <w:sz w:val="32"/>
          <w:szCs w:val="32"/>
          <w:highlight w:val="none"/>
        </w:rPr>
      </w:pPr>
    </w:p>
    <w:p>
      <w:pPr>
        <w:spacing w:line="440" w:lineRule="exact"/>
        <w:ind w:firstLine="480"/>
        <w:jc w:val="center"/>
        <w:outlineLvl w:val="1"/>
        <w:rPr>
          <w:rFonts w:hint="eastAsia" w:ascii="宋体" w:hAnsi="宋体" w:eastAsia="宋体" w:cs="宋体"/>
          <w:b/>
          <w:color w:val="auto"/>
          <w:sz w:val="32"/>
          <w:szCs w:val="32"/>
          <w:highlight w:val="none"/>
        </w:rPr>
      </w:pPr>
      <w:bookmarkStart w:id="17" w:name="_Toc15833"/>
      <w:r>
        <w:rPr>
          <w:rFonts w:hint="eastAsia" w:ascii="宋体" w:hAnsi="宋体" w:eastAsia="宋体" w:cs="宋体"/>
          <w:b/>
          <w:color w:val="auto"/>
          <w:sz w:val="32"/>
          <w:szCs w:val="32"/>
          <w:highlight w:val="none"/>
        </w:rPr>
        <w:t>第三章投标文件的递交</w:t>
      </w:r>
      <w:bookmarkEnd w:id="16"/>
      <w:bookmarkEnd w:id="17"/>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投标文件的标记</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任何不完整或不满足招标文件要求的投标文件将被拒绝。</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由于不可抗拒原因或无法控制的事件而导致的丢失或损坏投标包装体内的投标文件时，招标方将不负责任。</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投标截止时间</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投标文件应在投标人须知前附表规定的投标截止时间之前密封送到投标人须知前附表指定的地点。</w:t>
      </w:r>
    </w:p>
    <w:p>
      <w:pPr>
        <w:pStyle w:val="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所有投标文件不接受邮寄的方式递交，投标文件必须在招标方规定的投标截止时间之前送达招标文件指定地点，在此之后送达的投标文件，为无效投标，投标文件将一律被拒绝。任何单位和个人不得在开标前开启投标文件。</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出现因招标文件的修改而推迟投标截止时间的情况时，投标人则需按招标方的书面修改通知重新规定的投标时间递交。</w:t>
      </w:r>
    </w:p>
    <w:p>
      <w:pPr>
        <w:spacing w:line="440" w:lineRule="exact"/>
        <w:ind w:firstLine="482" w:firstLineChars="200"/>
        <w:rPr>
          <w:rFonts w:hint="eastAsia" w:ascii="宋体" w:hAnsi="宋体" w:eastAsia="宋体" w:cs="宋体"/>
          <w:b/>
          <w:color w:val="auto"/>
          <w:sz w:val="22"/>
          <w:szCs w:val="24"/>
          <w:highlight w:val="none"/>
        </w:rPr>
      </w:pPr>
      <w:r>
        <w:rPr>
          <w:rFonts w:hint="eastAsia" w:ascii="宋体" w:hAnsi="宋体" w:eastAsia="宋体" w:cs="宋体"/>
          <w:b/>
          <w:color w:val="auto"/>
          <w:sz w:val="24"/>
          <w:szCs w:val="24"/>
          <w:highlight w:val="none"/>
        </w:rPr>
        <w:t>14. 投标文件的修改和撤销</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对投标文件修改的书面材料应于投标截止日前送达招标方，投标截止时间以后不得修改投标文件。</w:t>
      </w:r>
    </w:p>
    <w:p>
      <w:pPr>
        <w:spacing w:line="440" w:lineRule="exact"/>
        <w:ind w:firstLine="482" w:firstLineChars="150"/>
        <w:jc w:val="center"/>
        <w:outlineLvl w:val="9"/>
        <w:rPr>
          <w:rFonts w:hint="eastAsia" w:ascii="宋体" w:hAnsi="宋体" w:eastAsia="宋体" w:cs="宋体"/>
          <w:b/>
          <w:color w:val="auto"/>
          <w:sz w:val="32"/>
          <w:szCs w:val="32"/>
          <w:highlight w:val="none"/>
        </w:rPr>
      </w:pPr>
    </w:p>
    <w:p>
      <w:pPr>
        <w:pStyle w:val="2"/>
        <w:rPr>
          <w:rFonts w:hint="eastAsia"/>
        </w:rPr>
      </w:pPr>
    </w:p>
    <w:p>
      <w:pPr>
        <w:spacing w:line="440" w:lineRule="exact"/>
        <w:ind w:firstLine="482" w:firstLineChars="150"/>
        <w:jc w:val="center"/>
        <w:outlineLvl w:val="1"/>
        <w:rPr>
          <w:rFonts w:hint="eastAsia" w:ascii="宋体" w:hAnsi="宋体" w:eastAsia="宋体" w:cs="宋体"/>
          <w:color w:val="auto"/>
          <w:sz w:val="24"/>
          <w:highlight w:val="none"/>
        </w:rPr>
      </w:pPr>
      <w:bookmarkStart w:id="18" w:name="_Toc8470"/>
      <w:bookmarkStart w:id="19" w:name="_Toc497239290"/>
      <w:r>
        <w:rPr>
          <w:rFonts w:hint="eastAsia" w:ascii="宋体" w:hAnsi="宋体" w:eastAsia="宋体" w:cs="宋体"/>
          <w:b/>
          <w:color w:val="auto"/>
          <w:sz w:val="32"/>
          <w:szCs w:val="32"/>
          <w:highlight w:val="none"/>
        </w:rPr>
        <w:t>第四章评标委员会</w:t>
      </w:r>
      <w:bookmarkEnd w:id="18"/>
      <w:bookmarkEnd w:id="19"/>
    </w:p>
    <w:p>
      <w:pPr>
        <w:spacing w:line="440" w:lineRule="exact"/>
        <w:ind w:left="481" w:leftChars="22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 评标委员会</w:t>
      </w:r>
      <w:permStart w:id="0" w:edGrp="everyone"/>
      <w:permEnd w:id="0"/>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15.1  招标方将根据《中华人民共和国政府采购法》和</w:t>
      </w:r>
      <w:r>
        <w:rPr>
          <w:rFonts w:hint="eastAsia" w:ascii="宋体" w:hAnsi="宋体" w:eastAsia="宋体" w:cs="宋体"/>
          <w:color w:val="auto"/>
          <w:sz w:val="24"/>
          <w:szCs w:val="24"/>
          <w:highlight w:val="none"/>
        </w:rPr>
        <w:t>相关法律法规</w:t>
      </w:r>
      <w:r>
        <w:rPr>
          <w:rFonts w:hint="eastAsia" w:ascii="宋体" w:hAnsi="宋体" w:eastAsia="宋体" w:cs="宋体"/>
          <w:color w:val="auto"/>
          <w:spacing w:val="-2"/>
          <w:sz w:val="24"/>
          <w:szCs w:val="24"/>
          <w:highlight w:val="none"/>
        </w:rPr>
        <w:t>，依法组建本次招标的评标委员会，负责本次招标的评标活动。评标委员会负责按招标文件规定的评标标准向招标方推荐中标候选人，并标明排列顺序。</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15.2　评标委员会人选于开标前确定。评标委员会成员名单在中标结果确定前保密。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15.3  评标委员会由有关技术、经济等方面的五名以上专家组成。</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15.4  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bCs/>
          <w:color w:val="auto"/>
          <w:sz w:val="24"/>
          <w:highlight w:val="none"/>
        </w:rPr>
        <w:t>15.5</w:t>
      </w:r>
      <w:r>
        <w:rPr>
          <w:rFonts w:hint="eastAsia" w:ascii="宋体" w:hAnsi="宋体" w:eastAsia="宋体" w:cs="宋体"/>
          <w:color w:val="auto"/>
          <w:spacing w:val="-2"/>
          <w:sz w:val="24"/>
          <w:szCs w:val="24"/>
          <w:highlight w:val="none"/>
        </w:rPr>
        <w:t>评标委员会成员应当熟悉并认真研究招标文件，至少应了解和熟悉以下内容：</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2"/>
          <w:sz w:val="24"/>
          <w:szCs w:val="24"/>
          <w:highlight w:val="none"/>
        </w:rPr>
        <w:t>招标目的；</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2"/>
          <w:sz w:val="24"/>
          <w:szCs w:val="24"/>
          <w:highlight w:val="none"/>
        </w:rPr>
        <w:t>招标项目的范围、性质；</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2"/>
          <w:sz w:val="24"/>
          <w:szCs w:val="24"/>
          <w:highlight w:val="none"/>
        </w:rPr>
        <w:t>招标文件中规定的主要技术要求、标准和商务条款；</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2"/>
          <w:sz w:val="24"/>
          <w:szCs w:val="24"/>
          <w:highlight w:val="none"/>
        </w:rPr>
        <w:t>招标文件规定的评标标准、评标方法和在评标过程中应考虑的相关因素。</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15.6  评标委员会应当根据招标文件规定的评标标准和方法，对投标文件进行系统地评审。招标文件中没有规定的标准和方法不得作为评标的依据。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15.7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15.8  评标委员会成员和与本次评标活动有关的工作人员，不得透露对投标文件的评审和中标候选人的推荐情况以及与评标有关的其他情况。</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15.9　与评标活动有关的工作人员，是指评标委员会成员以外的、因参与评标监督工作或者事务性工作而知悉有关评标情况的所有人员。</w:t>
      </w:r>
    </w:p>
    <w:p>
      <w:pPr>
        <w:spacing w:line="440" w:lineRule="exact"/>
        <w:jc w:val="center"/>
        <w:rPr>
          <w:rFonts w:hint="eastAsia" w:ascii="宋体" w:hAnsi="宋体" w:eastAsia="宋体" w:cs="宋体"/>
          <w:b/>
          <w:color w:val="auto"/>
          <w:sz w:val="32"/>
          <w:szCs w:val="32"/>
          <w:highlight w:val="none"/>
        </w:rPr>
      </w:pPr>
    </w:p>
    <w:p>
      <w:pPr>
        <w:spacing w:line="440" w:lineRule="exact"/>
        <w:jc w:val="center"/>
        <w:outlineLvl w:val="1"/>
        <w:rPr>
          <w:rFonts w:hint="eastAsia" w:ascii="宋体" w:hAnsi="宋体" w:eastAsia="宋体" w:cs="宋体"/>
          <w:b/>
          <w:color w:val="auto"/>
          <w:sz w:val="32"/>
          <w:szCs w:val="32"/>
          <w:highlight w:val="none"/>
        </w:rPr>
      </w:pPr>
      <w:bookmarkStart w:id="20" w:name="_Toc3137"/>
      <w:bookmarkStart w:id="21" w:name="_Toc497239291"/>
      <w:r>
        <w:rPr>
          <w:rFonts w:hint="eastAsia" w:ascii="宋体" w:hAnsi="宋体" w:eastAsia="宋体" w:cs="宋体"/>
          <w:b/>
          <w:color w:val="auto"/>
          <w:sz w:val="32"/>
          <w:szCs w:val="32"/>
          <w:highlight w:val="none"/>
        </w:rPr>
        <w:t>第五章开　标</w:t>
      </w:r>
      <w:bookmarkEnd w:id="20"/>
      <w:bookmarkEnd w:id="21"/>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 开标</w:t>
      </w:r>
    </w:p>
    <w:p>
      <w:pPr>
        <w:ind w:firstLine="472" w:firstLineChars="200"/>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16.1　</w:t>
      </w:r>
      <w:r>
        <w:rPr>
          <w:rFonts w:hint="eastAsia" w:ascii="宋体" w:hAnsi="宋体" w:eastAsia="宋体" w:cs="宋体"/>
          <w:color w:val="auto"/>
          <w:sz w:val="24"/>
          <w:szCs w:val="24"/>
          <w:highlight w:val="none"/>
        </w:rPr>
        <w:t>本项目开标的时间、地点见投标人须知前附表。</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16.2　采购人或采购代理机构在投标人须知前附表规定的开标时间和开标地点组织公开开标，邀请投标人参加。评标委员会成员不得参加开标活动。投标人不足的，不得开标。</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16.3　开标时，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16.4　投标人代表及有关人员在开标记录上签字确认。</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★17. 资格审查</w:t>
      </w:r>
    </w:p>
    <w:p>
      <w:pPr>
        <w:pStyle w:val="8"/>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17.1　公开招标采购项目开标结束后，采购人或者采购代理机构应当依法对投标人的资格进行审查。合格投标人不足的，不得评标。</w:t>
      </w:r>
    </w:p>
    <w:p>
      <w:pPr>
        <w:pStyle w:val="8"/>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资格审查内容如下：</w:t>
      </w:r>
    </w:p>
    <w:p>
      <w:pPr>
        <w:pStyle w:val="8"/>
        <w:spacing w:line="440" w:lineRule="exact"/>
        <w:ind w:firstLine="3776" w:firstLineChars="16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资格审查一览表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252"/>
        <w:gridCol w:w="5349"/>
        <w:gridCol w:w="817"/>
        <w:gridCol w:w="81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dxa"/>
            <w:gridSpan w:val="2"/>
            <w:vMerge w:val="restart"/>
            <w:noWrap w:val="0"/>
            <w:vAlign w:val="center"/>
          </w:tcPr>
          <w:p>
            <w:pPr>
              <w:pStyle w:val="8"/>
              <w:spacing w:line="440" w:lineRule="exact"/>
              <w:ind w:firstLine="472"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审查内容</w:t>
            </w:r>
          </w:p>
        </w:tc>
        <w:tc>
          <w:tcPr>
            <w:tcW w:w="5349" w:type="dxa"/>
            <w:vMerge w:val="restart"/>
            <w:noWrap w:val="0"/>
            <w:vAlign w:val="center"/>
          </w:tcPr>
          <w:p>
            <w:pPr>
              <w:pStyle w:val="8"/>
              <w:spacing w:line="440" w:lineRule="exact"/>
              <w:ind w:firstLine="472"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审查标准</w:t>
            </w:r>
          </w:p>
        </w:tc>
        <w:tc>
          <w:tcPr>
            <w:tcW w:w="2513" w:type="dxa"/>
            <w:gridSpan w:val="3"/>
            <w:noWrap w:val="0"/>
            <w:vAlign w:val="center"/>
          </w:tcPr>
          <w:p>
            <w:pPr>
              <w:pStyle w:val="8"/>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dxa"/>
            <w:gridSpan w:val="2"/>
            <w:vMerge w:val="continue"/>
            <w:noWrap w:val="0"/>
            <w:vAlign w:val="center"/>
          </w:tcPr>
          <w:p>
            <w:pPr>
              <w:pStyle w:val="8"/>
              <w:spacing w:line="440" w:lineRule="exact"/>
              <w:ind w:firstLine="472" w:firstLineChars="200"/>
              <w:rPr>
                <w:rFonts w:hint="eastAsia" w:ascii="宋体" w:hAnsi="宋体" w:eastAsia="宋体" w:cs="宋体"/>
                <w:color w:val="auto"/>
                <w:spacing w:val="-2"/>
                <w:kern w:val="0"/>
                <w:sz w:val="24"/>
                <w:szCs w:val="24"/>
                <w:highlight w:val="none"/>
              </w:rPr>
            </w:pPr>
          </w:p>
        </w:tc>
        <w:tc>
          <w:tcPr>
            <w:tcW w:w="5349" w:type="dxa"/>
            <w:vMerge w:val="continue"/>
            <w:noWrap w:val="0"/>
            <w:vAlign w:val="center"/>
          </w:tcPr>
          <w:p>
            <w:pPr>
              <w:pStyle w:val="8"/>
              <w:spacing w:line="440" w:lineRule="exact"/>
              <w:ind w:firstLine="472" w:firstLineChars="200"/>
              <w:rPr>
                <w:rFonts w:hint="eastAsia" w:ascii="宋体" w:hAnsi="宋体" w:eastAsia="宋体" w:cs="宋体"/>
                <w:color w:val="auto"/>
                <w:spacing w:val="-2"/>
                <w:kern w:val="0"/>
                <w:sz w:val="24"/>
                <w:szCs w:val="24"/>
                <w:highlight w:val="none"/>
              </w:rPr>
            </w:pPr>
          </w:p>
        </w:tc>
        <w:tc>
          <w:tcPr>
            <w:tcW w:w="817" w:type="dxa"/>
            <w:noWrap w:val="0"/>
            <w:vAlign w:val="center"/>
          </w:tcPr>
          <w:p>
            <w:pPr>
              <w:pStyle w:val="8"/>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18" w:type="dxa"/>
            <w:noWrap w:val="0"/>
            <w:vAlign w:val="center"/>
          </w:tcPr>
          <w:p>
            <w:pPr>
              <w:pStyle w:val="8"/>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78" w:type="dxa"/>
            <w:noWrap w:val="0"/>
            <w:vAlign w:val="center"/>
          </w:tcPr>
          <w:p>
            <w:pPr>
              <w:pStyle w:val="8"/>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2" w:type="dxa"/>
            <w:noWrap w:val="0"/>
            <w:vAlign w:val="center"/>
          </w:tcPr>
          <w:p>
            <w:pPr>
              <w:pStyle w:val="8"/>
              <w:spacing w:line="440" w:lineRule="exac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具有独立承担民事责任的能力</w:t>
            </w:r>
          </w:p>
        </w:tc>
        <w:tc>
          <w:tcPr>
            <w:tcW w:w="5349" w:type="dxa"/>
            <w:noWrap w:val="0"/>
            <w:vAlign w:val="center"/>
          </w:tcPr>
          <w:p>
            <w:pPr>
              <w:pStyle w:val="8"/>
              <w:spacing w:line="440" w:lineRule="exac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lang w:val="en-US" w:eastAsia="zh-CN"/>
              </w:rPr>
              <w:t>具有独立法人资格并依法取得企业营业执照且营业执照在有效期内</w:t>
            </w:r>
            <w:r>
              <w:rPr>
                <w:rFonts w:hint="eastAsia" w:hAnsi="宋体" w:eastAsia="宋体" w:cs="宋体"/>
                <w:color w:val="auto"/>
                <w:spacing w:val="-2"/>
                <w:kern w:val="0"/>
                <w:sz w:val="24"/>
                <w:szCs w:val="24"/>
                <w:highlight w:val="none"/>
                <w:lang w:val="en-US" w:eastAsia="zh-CN"/>
              </w:rPr>
              <w:t>（经营范围必须包含园林绿化或园林绿化施工或绿化养护等相关内容）</w:t>
            </w:r>
          </w:p>
        </w:tc>
        <w:tc>
          <w:tcPr>
            <w:tcW w:w="817" w:type="dxa"/>
            <w:noWrap w:val="0"/>
            <w:vAlign w:val="center"/>
          </w:tcPr>
          <w:p>
            <w:pPr>
              <w:pStyle w:val="8"/>
              <w:spacing w:line="440" w:lineRule="exact"/>
              <w:ind w:firstLine="480" w:firstLineChars="200"/>
              <w:rPr>
                <w:rFonts w:hint="eastAsia" w:ascii="宋体" w:hAnsi="宋体" w:eastAsia="宋体" w:cs="宋体"/>
                <w:color w:val="auto"/>
                <w:kern w:val="0"/>
                <w:sz w:val="24"/>
                <w:szCs w:val="24"/>
                <w:highlight w:val="none"/>
              </w:rPr>
            </w:pPr>
          </w:p>
        </w:tc>
        <w:tc>
          <w:tcPr>
            <w:tcW w:w="818" w:type="dxa"/>
            <w:noWrap w:val="0"/>
            <w:vAlign w:val="top"/>
          </w:tcPr>
          <w:p>
            <w:pPr>
              <w:pStyle w:val="8"/>
              <w:spacing w:line="440" w:lineRule="exact"/>
              <w:ind w:firstLine="480" w:firstLineChars="200"/>
              <w:rPr>
                <w:rFonts w:hint="eastAsia" w:ascii="宋体" w:hAnsi="宋体" w:eastAsia="宋体" w:cs="宋体"/>
                <w:color w:val="auto"/>
                <w:kern w:val="0"/>
                <w:sz w:val="24"/>
                <w:szCs w:val="24"/>
                <w:highlight w:val="none"/>
              </w:rPr>
            </w:pPr>
          </w:p>
        </w:tc>
        <w:tc>
          <w:tcPr>
            <w:tcW w:w="878" w:type="dxa"/>
            <w:noWrap w:val="0"/>
            <w:vAlign w:val="top"/>
          </w:tcPr>
          <w:p>
            <w:pPr>
              <w:pStyle w:val="8"/>
              <w:spacing w:line="440" w:lineRule="exact"/>
              <w:ind w:firstLine="480" w:firstLineChars="20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52" w:type="dxa"/>
            <w:noWrap w:val="0"/>
            <w:vAlign w:val="center"/>
          </w:tcPr>
          <w:p>
            <w:pPr>
              <w:pStyle w:val="8"/>
              <w:spacing w:line="440" w:lineRule="exac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健全的财务会计制度</w:t>
            </w:r>
          </w:p>
        </w:tc>
        <w:tc>
          <w:tcPr>
            <w:tcW w:w="5349" w:type="dxa"/>
            <w:noWrap w:val="0"/>
            <w:vAlign w:val="center"/>
          </w:tcPr>
          <w:p>
            <w:pPr>
              <w:spacing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提供上年度经审计财务会计报告或半年内任意一个月财务报表（财务报表应至少包括资产负债表、损益表、现金流量表或财务状况变动表，当月新成立公司不需提供）</w:t>
            </w:r>
          </w:p>
        </w:tc>
        <w:tc>
          <w:tcPr>
            <w:tcW w:w="817" w:type="dxa"/>
            <w:noWrap w:val="0"/>
            <w:vAlign w:val="center"/>
          </w:tcPr>
          <w:p>
            <w:pPr>
              <w:pStyle w:val="8"/>
              <w:spacing w:line="440" w:lineRule="exact"/>
              <w:ind w:firstLine="480" w:firstLineChars="200"/>
              <w:rPr>
                <w:rFonts w:hint="eastAsia" w:ascii="宋体" w:hAnsi="宋体" w:eastAsia="宋体" w:cs="宋体"/>
                <w:color w:val="auto"/>
                <w:kern w:val="0"/>
                <w:sz w:val="24"/>
                <w:szCs w:val="24"/>
                <w:highlight w:val="none"/>
              </w:rPr>
            </w:pPr>
          </w:p>
        </w:tc>
        <w:tc>
          <w:tcPr>
            <w:tcW w:w="818" w:type="dxa"/>
            <w:noWrap w:val="0"/>
            <w:vAlign w:val="top"/>
          </w:tcPr>
          <w:p>
            <w:pPr>
              <w:pStyle w:val="8"/>
              <w:spacing w:line="440" w:lineRule="exact"/>
              <w:ind w:firstLine="480" w:firstLineChars="200"/>
              <w:rPr>
                <w:rFonts w:hint="eastAsia" w:ascii="宋体" w:hAnsi="宋体" w:eastAsia="宋体" w:cs="宋体"/>
                <w:color w:val="auto"/>
                <w:kern w:val="0"/>
                <w:sz w:val="24"/>
                <w:szCs w:val="24"/>
                <w:highlight w:val="none"/>
              </w:rPr>
            </w:pPr>
          </w:p>
        </w:tc>
        <w:tc>
          <w:tcPr>
            <w:tcW w:w="878" w:type="dxa"/>
            <w:noWrap w:val="0"/>
            <w:vAlign w:val="top"/>
          </w:tcPr>
          <w:p>
            <w:pPr>
              <w:pStyle w:val="8"/>
              <w:spacing w:line="440" w:lineRule="exact"/>
              <w:ind w:firstLine="480" w:firstLineChars="20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52" w:type="dxa"/>
            <w:noWrap w:val="0"/>
            <w:vAlign w:val="center"/>
          </w:tcPr>
          <w:p>
            <w:pPr>
              <w:spacing w:after="100" w:afterAutospacing="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缴纳税收</w:t>
            </w:r>
          </w:p>
        </w:tc>
        <w:tc>
          <w:tcPr>
            <w:tcW w:w="5349" w:type="dxa"/>
            <w:noWrap w:val="0"/>
            <w:vAlign w:val="center"/>
          </w:tcPr>
          <w:p>
            <w:pPr>
              <w:spacing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提供的近半年内任意一月依法缴纳税收证明，当月新成立公司不需提供；无需纳税或免税的也需提供相应证明材料。</w:t>
            </w:r>
          </w:p>
        </w:tc>
        <w:tc>
          <w:tcPr>
            <w:tcW w:w="817" w:type="dxa"/>
            <w:noWrap w:val="0"/>
            <w:vAlign w:val="center"/>
          </w:tcPr>
          <w:p>
            <w:pPr>
              <w:pStyle w:val="8"/>
              <w:spacing w:line="440" w:lineRule="exact"/>
              <w:ind w:firstLine="480" w:firstLineChars="200"/>
              <w:rPr>
                <w:rFonts w:hint="eastAsia" w:ascii="宋体" w:hAnsi="宋体" w:eastAsia="宋体" w:cs="宋体"/>
                <w:color w:val="auto"/>
                <w:kern w:val="0"/>
                <w:sz w:val="24"/>
                <w:szCs w:val="24"/>
                <w:highlight w:val="none"/>
              </w:rPr>
            </w:pPr>
          </w:p>
        </w:tc>
        <w:tc>
          <w:tcPr>
            <w:tcW w:w="818" w:type="dxa"/>
            <w:noWrap w:val="0"/>
            <w:vAlign w:val="top"/>
          </w:tcPr>
          <w:p>
            <w:pPr>
              <w:pStyle w:val="8"/>
              <w:spacing w:line="440" w:lineRule="exact"/>
              <w:ind w:firstLine="480" w:firstLineChars="200"/>
              <w:rPr>
                <w:rFonts w:hint="eastAsia" w:ascii="宋体" w:hAnsi="宋体" w:eastAsia="宋体" w:cs="宋体"/>
                <w:color w:val="auto"/>
                <w:kern w:val="0"/>
                <w:sz w:val="24"/>
                <w:szCs w:val="24"/>
                <w:highlight w:val="none"/>
              </w:rPr>
            </w:pPr>
          </w:p>
        </w:tc>
        <w:tc>
          <w:tcPr>
            <w:tcW w:w="878" w:type="dxa"/>
            <w:noWrap w:val="0"/>
            <w:vAlign w:val="top"/>
          </w:tcPr>
          <w:p>
            <w:pPr>
              <w:pStyle w:val="8"/>
              <w:spacing w:line="440" w:lineRule="exact"/>
              <w:ind w:firstLine="480" w:firstLineChars="20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52" w:type="dxa"/>
            <w:noWrap w:val="0"/>
            <w:vAlign w:val="center"/>
          </w:tcPr>
          <w:p>
            <w:pPr>
              <w:spacing w:after="100" w:afterAutospacing="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缴纳社会保障资金</w:t>
            </w:r>
          </w:p>
        </w:tc>
        <w:tc>
          <w:tcPr>
            <w:tcW w:w="5349" w:type="dxa"/>
            <w:noWrap w:val="0"/>
            <w:vAlign w:val="center"/>
          </w:tcPr>
          <w:p>
            <w:pPr>
              <w:spacing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提供社会保险登记证或社保缴纳证明（近半年内任意一月社保缴纳证明，当月新成立公司不需提供）</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52" w:type="dxa"/>
            <w:noWrap w:val="0"/>
            <w:vAlign w:val="center"/>
          </w:tcPr>
          <w:p>
            <w:pPr>
              <w:spacing w:after="100" w:afterAutospacing="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履行合同所必需的设备和能力</w:t>
            </w:r>
          </w:p>
        </w:tc>
        <w:tc>
          <w:tcPr>
            <w:tcW w:w="5349" w:type="dxa"/>
            <w:noWrap w:val="0"/>
            <w:vAlign w:val="center"/>
          </w:tcPr>
          <w:p>
            <w:pPr>
              <w:spacing w:after="100" w:afterAutospacing="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提供具有履行合同所必需的设备和专业技术能力相关证明材料或声明；</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52" w:type="dxa"/>
            <w:noWrap w:val="0"/>
            <w:vAlign w:val="center"/>
          </w:tcPr>
          <w:p>
            <w:pPr>
              <w:spacing w:after="100" w:afterAutospacing="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提供无重大违法记录声明书</w:t>
            </w:r>
          </w:p>
        </w:tc>
        <w:tc>
          <w:tcPr>
            <w:tcW w:w="5349" w:type="dxa"/>
            <w:noWrap w:val="0"/>
            <w:vAlign w:val="center"/>
          </w:tcPr>
          <w:p>
            <w:pPr>
              <w:spacing w:after="100" w:afterAutospacing="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提供无重大违法记录声明书 </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52" w:type="dxa"/>
            <w:noWrap w:val="0"/>
            <w:vAlign w:val="center"/>
          </w:tcPr>
          <w:p>
            <w:pPr>
              <w:pStyle w:val="8"/>
              <w:spacing w:line="440" w:lineRule="exac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信用查询结果</w:t>
            </w:r>
          </w:p>
        </w:tc>
        <w:tc>
          <w:tcPr>
            <w:tcW w:w="5349" w:type="dxa"/>
            <w:noWrap w:val="0"/>
            <w:vAlign w:val="center"/>
          </w:tcPr>
          <w:p>
            <w:pPr>
              <w:pStyle w:val="8"/>
              <w:spacing w:line="440" w:lineRule="exac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52" w:type="dxa"/>
            <w:noWrap w:val="0"/>
            <w:vAlign w:val="center"/>
          </w:tcPr>
          <w:p>
            <w:pPr>
              <w:pStyle w:val="8"/>
              <w:spacing w:line="440" w:lineRule="exac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投标人代表身份证明</w:t>
            </w:r>
          </w:p>
        </w:tc>
        <w:tc>
          <w:tcPr>
            <w:tcW w:w="5349" w:type="dxa"/>
            <w:noWrap w:val="0"/>
            <w:vAlign w:val="center"/>
          </w:tcPr>
          <w:p>
            <w:pPr>
              <w:pStyle w:val="8"/>
              <w:spacing w:line="440" w:lineRule="exac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《法定代表人资格证明书》或《法定代表人授权委托书》</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252" w:type="dxa"/>
            <w:noWrap w:val="0"/>
            <w:vAlign w:val="center"/>
          </w:tcPr>
          <w:p>
            <w:pPr>
              <w:spacing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不参与围标串标承诺书</w:t>
            </w:r>
          </w:p>
        </w:tc>
        <w:tc>
          <w:tcPr>
            <w:tcW w:w="5349" w:type="dxa"/>
            <w:noWrap w:val="0"/>
            <w:vAlign w:val="center"/>
          </w:tcPr>
          <w:p>
            <w:pPr>
              <w:spacing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提供不参与围标串标承诺书；</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252" w:type="dxa"/>
            <w:noWrap w:val="0"/>
            <w:vAlign w:val="center"/>
          </w:tcPr>
          <w:p>
            <w:pPr>
              <w:spacing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349" w:type="dxa"/>
            <w:noWrap w:val="0"/>
            <w:vAlign w:val="center"/>
          </w:tcPr>
          <w:p>
            <w:pPr>
              <w:spacing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是否按照投标须知要求金额递交了投标保证金，并提供了投标保证金缴纳凭证。</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8" w:type="dxa"/>
            <w:gridSpan w:val="3"/>
            <w:noWrap w:val="0"/>
            <w:vAlign w:val="center"/>
          </w:tcPr>
          <w:p>
            <w:pPr>
              <w:spacing w:after="100" w:afterAutospacing="1"/>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资格审查结果</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8" w:type="dxa"/>
            <w:gridSpan w:val="3"/>
            <w:noWrap w:val="0"/>
            <w:vAlign w:val="center"/>
          </w:tcPr>
          <w:p>
            <w:pPr>
              <w:spacing w:after="100" w:afterAutospacing="1"/>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不通过理由说明</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bl>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1.资格审查合格的打“√”，不合格的打“×”。</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2.资格审查结果，通过打“√”，不通过的打“×”。</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3.请填写不通过资格审查的供应商的原因。</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已经进行资格预审的，可以不再对供应商资格进行审查，资格预审合格的供应商在评审阶段资格发生变化的，应当通知采购人和采购代理机构。</w:t>
      </w:r>
    </w:p>
    <w:p>
      <w:pPr>
        <w:spacing w:line="440" w:lineRule="exact"/>
        <w:rPr>
          <w:rFonts w:hint="eastAsia" w:ascii="宋体" w:hAnsi="宋体" w:eastAsia="宋体" w:cs="宋体"/>
          <w:b/>
          <w:color w:val="auto"/>
          <w:sz w:val="24"/>
          <w:highlight w:val="none"/>
        </w:rPr>
      </w:pPr>
    </w:p>
    <w:p>
      <w:pPr>
        <w:spacing w:line="440" w:lineRule="exact"/>
        <w:ind w:firstLine="472" w:firstLineChars="200"/>
        <w:rPr>
          <w:rFonts w:hint="eastAsia" w:ascii="宋体" w:hAnsi="宋体" w:eastAsia="宋体" w:cs="宋体"/>
          <w:color w:val="auto"/>
          <w:spacing w:val="-2"/>
          <w:sz w:val="24"/>
          <w:szCs w:val="24"/>
          <w:highlight w:val="none"/>
        </w:rPr>
      </w:pPr>
    </w:p>
    <w:p>
      <w:pPr>
        <w:spacing w:line="440" w:lineRule="exact"/>
        <w:ind w:firstLine="482" w:firstLineChars="200"/>
        <w:rPr>
          <w:rFonts w:hint="eastAsia" w:ascii="宋体" w:hAnsi="宋体" w:eastAsia="宋体" w:cs="宋体"/>
          <w:b/>
          <w:color w:val="auto"/>
          <w:sz w:val="24"/>
          <w:highlight w:val="none"/>
        </w:rPr>
      </w:pPr>
    </w:p>
    <w:p>
      <w:pPr>
        <w:spacing w:line="440" w:lineRule="exact"/>
        <w:ind w:firstLine="643" w:firstLineChars="200"/>
        <w:jc w:val="center"/>
        <w:outlineLvl w:val="1"/>
        <w:rPr>
          <w:rFonts w:hint="eastAsia" w:ascii="宋体" w:hAnsi="宋体" w:eastAsia="宋体" w:cs="宋体"/>
          <w:b/>
          <w:bCs/>
          <w:color w:val="auto"/>
          <w:sz w:val="32"/>
          <w:highlight w:val="none"/>
        </w:rPr>
      </w:pPr>
      <w:bookmarkStart w:id="22" w:name="_Toc29897"/>
      <w:bookmarkStart w:id="23" w:name="_Toc497239292"/>
      <w:r>
        <w:rPr>
          <w:rFonts w:hint="eastAsia" w:ascii="宋体" w:hAnsi="宋体" w:eastAsia="宋体" w:cs="宋体"/>
          <w:b/>
          <w:bCs/>
          <w:color w:val="auto"/>
          <w:sz w:val="32"/>
          <w:highlight w:val="none"/>
        </w:rPr>
        <w:t>第六章 评　标</w:t>
      </w:r>
      <w:bookmarkEnd w:id="22"/>
      <w:bookmarkEnd w:id="23"/>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 评标依据</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评标的依据为招标文件。</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 投标文件的澄清</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19.1　为有助于对投标文件进行审查、评估，评标委员会将对认为需要（</w:t>
      </w:r>
      <w:r>
        <w:rPr>
          <w:rFonts w:hint="eastAsia" w:ascii="宋体" w:hAnsi="宋体" w:eastAsia="宋体" w:cs="宋体"/>
          <w:b/>
          <w:bCs/>
          <w:color w:val="auto"/>
          <w:spacing w:val="-2"/>
          <w:sz w:val="24"/>
          <w:szCs w:val="24"/>
          <w:highlight w:val="none"/>
        </w:rPr>
        <w:t>不是每一个</w:t>
      </w:r>
      <w:r>
        <w:rPr>
          <w:rFonts w:hint="eastAsia" w:ascii="宋体" w:hAnsi="宋体" w:eastAsia="宋体" w:cs="宋体"/>
          <w:color w:val="auto"/>
          <w:spacing w:val="-2"/>
          <w:sz w:val="24"/>
          <w:szCs w:val="24"/>
          <w:highlight w:val="none"/>
        </w:rPr>
        <w:t>）的投标人进行询标，请投标人澄清其投标内容。投标人有责任按照招标方通知的时间、地点指派专人进行答疑和澄清。询标时投标人代表根据评标委员会要求作书面记录，并对答疑和澄清的内容做出书面答复。</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19.2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评标过程的保密</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pacing w:val="-2"/>
          <w:sz w:val="24"/>
          <w:szCs w:val="24"/>
          <w:highlight w:val="none"/>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 xml:space="preserve">20.2 </w:t>
      </w:r>
      <w:r>
        <w:rPr>
          <w:rFonts w:hint="eastAsia" w:ascii="宋体" w:hAnsi="宋体" w:eastAsia="宋体" w:cs="宋体"/>
          <w:color w:val="auto"/>
          <w:spacing w:val="-2"/>
          <w:sz w:val="24"/>
          <w:szCs w:val="24"/>
          <w:highlight w:val="none"/>
        </w:rPr>
        <w:t>投标人在评标过程中，所进行的试图影响评标结果的不符合《中华人民共和国政府采购法》</w:t>
      </w:r>
      <w:r>
        <w:rPr>
          <w:rFonts w:hint="eastAsia" w:ascii="宋体" w:hAnsi="宋体" w:eastAsia="宋体" w:cs="宋体"/>
          <w:color w:val="auto"/>
          <w:sz w:val="24"/>
          <w:szCs w:val="24"/>
          <w:highlight w:val="none"/>
        </w:rPr>
        <w:t>和相关法律法规</w:t>
      </w:r>
      <w:r>
        <w:rPr>
          <w:rFonts w:hint="eastAsia" w:ascii="宋体" w:hAnsi="宋体" w:eastAsia="宋体" w:cs="宋体"/>
          <w:color w:val="auto"/>
          <w:spacing w:val="-2"/>
          <w:sz w:val="24"/>
          <w:szCs w:val="24"/>
          <w:highlight w:val="none"/>
        </w:rPr>
        <w:t>及本次招标有关规定的活动，将被取消中标资格。</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初步评审</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21.2　招标方不接受不符合国家有关部门相关规定的投标报价或优惠方案。</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21.3　在评标过程中，评标委员会发现投标人以他人名义投标、串通投标、以行贿手段谋取中标或者以其他弄虚作假方式投标的，该投标人的投标应作无效标处理。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21.4  投标人拒不按照要求对投标文件进行澄清、说明或补正的，评标委员会可以否决其投标。</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21.5  评标委员会应当审查每一投标文件是否对招标文件提出的所有实质性要求和条件做出满足。未能在实质上满足的投标，应作无效标处理。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21.6　投标人不得误导、干扰招标方的评标活动，否则将废除其投标。</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21.7  对投标文件满足招标文件条款的审查：</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（1）开标后，评标委员会将组织对投标文件进行审查，检查投标文件是否完整，是否出现计算性错误，投标文件正本是否满足招标文件的格式要求；</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（3）评标委员会判断投标文件的满足性仅基于投标文件本身而不靠外部证据；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（4）评标委员会将拒绝被确定为非实质性满足的投标。投标人不能通过修正或撤消不符合之处而使其投标成为实质性满足的投标。</w:t>
      </w:r>
    </w:p>
    <w:p>
      <w:pPr>
        <w:pStyle w:val="2"/>
        <w:rPr>
          <w:rFonts w:hint="eastAsia" w:ascii="宋体" w:hAnsi="宋体" w:eastAsia="宋体" w:cs="宋体"/>
          <w:color w:val="auto"/>
          <w:spacing w:val="-2"/>
          <w:sz w:val="24"/>
          <w:szCs w:val="24"/>
          <w:highlight w:val="none"/>
        </w:rPr>
      </w:pPr>
    </w:p>
    <w:p>
      <w:pPr>
        <w:pStyle w:val="3"/>
        <w:ind w:left="0" w:leftChars="0" w:firstLine="0" w:firstLineChars="0"/>
        <w:rPr>
          <w:rFonts w:hint="eastAsia"/>
        </w:rPr>
      </w:pPr>
    </w:p>
    <w:p>
      <w:pPr>
        <w:rPr>
          <w:rFonts w:hint="eastAsia"/>
        </w:rPr>
      </w:pPr>
    </w:p>
    <w:p>
      <w:pPr>
        <w:pStyle w:val="2"/>
        <w:rPr>
          <w:rFonts w:hint="eastAsia"/>
        </w:rPr>
      </w:pPr>
    </w:p>
    <w:p>
      <w:pPr>
        <w:pStyle w:val="3"/>
        <w:rPr>
          <w:rFonts w:hint="eastAsia"/>
        </w:rPr>
      </w:pPr>
    </w:p>
    <w:p>
      <w:pPr>
        <w:spacing w:line="440" w:lineRule="exact"/>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符合性审查</w:t>
      </w:r>
    </w:p>
    <w:tbl>
      <w:tblPr>
        <w:tblStyle w:val="14"/>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46" w:type="dxa"/>
            <w:tcBorders>
              <w:top w:val="single" w:color="auto" w:sz="4" w:space="0"/>
              <w:left w:val="single" w:color="auto" w:sz="4" w:space="0"/>
            </w:tcBorders>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46"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597"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投标有效期是否满足招标文件要求的；</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是否满足招标文件规定的服务期限</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是否按规定提交投标文件份数；</w:t>
            </w:r>
          </w:p>
        </w:tc>
        <w:tc>
          <w:tcPr>
            <w:tcW w:w="646"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6674" w:type="dxa"/>
            <w:tcBorders>
              <w:right w:val="single" w:color="auto" w:sz="4" w:space="0"/>
            </w:tcBorders>
            <w:noWrap w:val="0"/>
            <w:vAlign w:val="center"/>
          </w:tcPr>
          <w:p>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投标文件是否按照要求签署、盖章</w:t>
            </w:r>
            <w:r>
              <w:rPr>
                <w:rFonts w:hint="eastAsia" w:ascii="宋体" w:hAnsi="宋体" w:eastAsia="宋体" w:cs="宋体"/>
                <w:color w:val="auto"/>
                <w:sz w:val="24"/>
                <w:szCs w:val="24"/>
                <w:highlight w:val="none"/>
              </w:rPr>
              <w:t>；</w:t>
            </w:r>
          </w:p>
        </w:tc>
        <w:tc>
          <w:tcPr>
            <w:tcW w:w="646"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w:t>
            </w:r>
            <w:r>
              <w:rPr>
                <w:rFonts w:hint="eastAsia" w:ascii="宋体" w:hAnsi="宋体" w:eastAsia="宋体" w:cs="宋体"/>
                <w:color w:val="auto"/>
                <w:sz w:val="24"/>
                <w:szCs w:val="24"/>
                <w:highlight w:val="none"/>
                <w:lang w:val="en-US" w:eastAsia="zh-CN"/>
              </w:rPr>
              <w:t>符合招标文件要求</w:t>
            </w:r>
            <w:r>
              <w:rPr>
                <w:rFonts w:hint="eastAsia" w:ascii="宋体" w:hAnsi="宋体" w:eastAsia="宋体" w:cs="宋体"/>
                <w:color w:val="auto"/>
                <w:sz w:val="24"/>
                <w:szCs w:val="24"/>
                <w:highlight w:val="none"/>
              </w:rPr>
              <w:t>；</w:t>
            </w:r>
          </w:p>
        </w:tc>
        <w:tc>
          <w:tcPr>
            <w:tcW w:w="646"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c>
          <w:tcPr>
            <w:tcW w:w="6674" w:type="dxa"/>
            <w:tcBorders>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46"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widowControl/>
              <w:shd w:val="clear" w:color="auto" w:fill="FAFAFA"/>
              <w:spacing w:line="360" w:lineRule="auto"/>
              <w:jc w:val="center"/>
              <w:rPr>
                <w:rFonts w:hint="eastAsia" w:ascii="宋体" w:hAnsi="宋体" w:eastAsia="宋体" w:cs="宋体"/>
                <w:color w:val="auto"/>
                <w:sz w:val="24"/>
                <w:szCs w:val="24"/>
                <w:highlight w:val="none"/>
              </w:rPr>
            </w:pPr>
          </w:p>
        </w:tc>
        <w:tc>
          <w:tcPr>
            <w:tcW w:w="64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c>
          <w:tcPr>
            <w:tcW w:w="646"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noWrap w:val="0"/>
            <w:vAlign w:val="center"/>
          </w:tcPr>
          <w:p>
            <w:pPr>
              <w:jc w:val="center"/>
              <w:rPr>
                <w:rFonts w:hint="eastAsia" w:ascii="宋体" w:hAnsi="宋体" w:eastAsia="宋体" w:cs="宋体"/>
                <w:color w:val="auto"/>
                <w:sz w:val="24"/>
                <w:szCs w:val="24"/>
                <w:highlight w:val="none"/>
              </w:rPr>
            </w:pPr>
          </w:p>
        </w:tc>
        <w:tc>
          <w:tcPr>
            <w:tcW w:w="597"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left w:val="single" w:color="auto" w:sz="4" w:space="0"/>
              <w:bottom w:val="single" w:color="auto" w:sz="12" w:space="0"/>
            </w:tcBorders>
            <w:noWrap w:val="0"/>
            <w:vAlign w:val="center"/>
          </w:tcPr>
          <w:p>
            <w:pPr>
              <w:jc w:val="center"/>
              <w:rPr>
                <w:rFonts w:hint="eastAsia" w:ascii="宋体" w:hAnsi="宋体" w:eastAsia="宋体" w:cs="宋体"/>
                <w:color w:val="auto"/>
                <w:sz w:val="24"/>
                <w:szCs w:val="24"/>
                <w:highlight w:val="none"/>
              </w:rPr>
            </w:pPr>
          </w:p>
        </w:tc>
        <w:tc>
          <w:tcPr>
            <w:tcW w:w="646"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p>
        </w:tc>
        <w:tc>
          <w:tcPr>
            <w:tcW w:w="597" w:type="dxa"/>
            <w:tcBorders>
              <w:bottom w:val="single" w:color="auto" w:sz="12" w:space="0"/>
            </w:tcBorders>
            <w:noWrap w:val="0"/>
            <w:vAlign w:val="center"/>
          </w:tcPr>
          <w:p>
            <w:pPr>
              <w:jc w:val="center"/>
              <w:rPr>
                <w:rFonts w:hint="eastAsia" w:ascii="宋体" w:hAnsi="宋体" w:eastAsia="宋体" w:cs="宋体"/>
                <w:color w:val="auto"/>
                <w:sz w:val="24"/>
                <w:szCs w:val="24"/>
                <w:highlight w:val="none"/>
              </w:rPr>
            </w:pPr>
          </w:p>
        </w:tc>
      </w:tr>
    </w:tbl>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符合性审查审查合格的打“√”，不合格的打“×”。</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符合性审查审查结果，通过打“√”，不通过的打“×”。</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3.请填写不通过符合性审查审查的供应商的原因。</w:t>
      </w:r>
    </w:p>
    <w:p>
      <w:pPr>
        <w:tabs>
          <w:tab w:val="left" w:pos="0"/>
        </w:tabs>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21.8评标委员会将根据政府采购政策支持中小企业政策对最后报价进行价格折扣，折扣的价格将作为</w:t>
      </w:r>
      <w:r>
        <w:rPr>
          <w:rFonts w:hint="eastAsia" w:ascii="宋体" w:hAnsi="宋体" w:eastAsia="宋体" w:cs="宋体"/>
          <w:b/>
          <w:bCs/>
          <w:color w:val="auto"/>
          <w:kern w:val="0"/>
          <w:sz w:val="24"/>
          <w:szCs w:val="24"/>
          <w:highlight w:val="none"/>
        </w:rPr>
        <w:t>评审价格</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供应商的评审</w:t>
      </w:r>
      <w:r>
        <w:rPr>
          <w:rFonts w:hint="eastAsia" w:ascii="宋体" w:hAnsi="宋体" w:eastAsia="宋体" w:cs="宋体"/>
          <w:bCs/>
          <w:color w:val="auto"/>
          <w:sz w:val="24"/>
          <w:szCs w:val="24"/>
          <w:highlight w:val="none"/>
        </w:rPr>
        <w:t>价格由</w:t>
      </w:r>
      <w:r>
        <w:rPr>
          <w:rFonts w:hint="eastAsia" w:ascii="宋体" w:hAnsi="宋体" w:eastAsia="宋体" w:cs="宋体"/>
          <w:b/>
          <w:bCs w:val="0"/>
          <w:color w:val="auto"/>
          <w:sz w:val="24"/>
          <w:szCs w:val="24"/>
          <w:highlight w:val="none"/>
        </w:rPr>
        <w:t>供应商代表签字确认</w:t>
      </w:r>
      <w:r>
        <w:rPr>
          <w:rFonts w:hint="eastAsia" w:ascii="宋体" w:hAnsi="宋体" w:eastAsia="宋体" w:cs="宋体"/>
          <w:bCs/>
          <w:color w:val="auto"/>
          <w:sz w:val="24"/>
          <w:szCs w:val="24"/>
          <w:highlight w:val="none"/>
        </w:rPr>
        <w:t>。</w:t>
      </w:r>
    </w:p>
    <w:p>
      <w:pPr>
        <w:tabs>
          <w:tab w:val="left" w:pos="0"/>
        </w:tabs>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（1）节能产品及环保产品</w:t>
      </w:r>
      <w:r>
        <w:rPr>
          <w:rFonts w:hint="eastAsia" w:ascii="宋体" w:hAnsi="宋体" w:eastAsia="宋体" w:cs="宋体"/>
          <w:color w:val="auto"/>
          <w:sz w:val="24"/>
          <w:szCs w:val="24"/>
          <w:highlight w:val="none"/>
        </w:rPr>
        <w:t>价格折扣比例及方法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noWrap w:val="0"/>
            <w:vAlign w:val="center"/>
          </w:tcPr>
          <w:p>
            <w:pPr>
              <w:adjustRightInd w:val="0"/>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07" w:type="dxa"/>
            <w:tcBorders>
              <w:top w:val="single" w:color="auto" w:sz="4" w:space="0"/>
            </w:tcBorders>
            <w:noWrap w:val="0"/>
            <w:vAlign w:val="center"/>
          </w:tcPr>
          <w:p>
            <w:pPr>
              <w:adjustRightInd w:val="0"/>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203" w:type="dxa"/>
            <w:tcBorders>
              <w:top w:val="single" w:color="auto" w:sz="4" w:space="0"/>
            </w:tcBorders>
            <w:noWrap w:val="0"/>
            <w:vAlign w:val="center"/>
          </w:tcPr>
          <w:p>
            <w:pPr>
              <w:adjustRightInd w:val="0"/>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07" w:type="dxa"/>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w:t>
            </w:r>
          </w:p>
        </w:tc>
        <w:tc>
          <w:tcPr>
            <w:tcW w:w="7203"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07" w:type="dxa"/>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环保产品</w:t>
            </w:r>
          </w:p>
        </w:tc>
        <w:tc>
          <w:tcPr>
            <w:tcW w:w="7203"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07" w:type="dxa"/>
            <w:tcBorders>
              <w:bottom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证明材料说明</w:t>
            </w:r>
          </w:p>
        </w:tc>
        <w:tc>
          <w:tcPr>
            <w:tcW w:w="7203" w:type="dxa"/>
            <w:tcBorders>
              <w:bottom w:val="single" w:color="auto" w:sz="4" w:space="0"/>
            </w:tcBorders>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1、须提供中国政府采购网节能环保查询结果</w:t>
            </w:r>
          </w:p>
        </w:tc>
      </w:tr>
    </w:tbl>
    <w:p>
      <w:pPr>
        <w:tabs>
          <w:tab w:val="left" w:pos="0"/>
        </w:tabs>
        <w:adjustRightInd w:val="0"/>
        <w:snapToGrid w:val="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说明：1.如有多种产品符合此项政策时，折扣价格为每种产品的折扣金额汇总。</w:t>
      </w:r>
    </w:p>
    <w:p>
      <w:pPr>
        <w:tabs>
          <w:tab w:val="left" w:pos="0"/>
        </w:tabs>
        <w:adjustRightInd w:val="0"/>
        <w:snapToGrid w:val="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2.若所投产品同时属于节能产品及环保产品，只进行一次价格折扣认定。</w:t>
      </w:r>
    </w:p>
    <w:p>
      <w:pPr>
        <w:tabs>
          <w:tab w:val="left" w:pos="0"/>
        </w:tabs>
        <w:adjustRightInd w:val="0"/>
        <w:snapToGrid w:val="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（2）中小企业价格折扣比例及方法</w:t>
      </w: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noWrap w:val="0"/>
            <w:vAlign w:val="center"/>
          </w:tcPr>
          <w:p>
            <w:pPr>
              <w:snapToGrid w:val="0"/>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根据中华人民共和国财政部、中华人民共和国工业和信息化部《政府采购促进中小企业发展管理办法》（财库〔2020〕46号）文件的规定，</w:t>
            </w:r>
            <w:r>
              <w:rPr>
                <w:rFonts w:hint="eastAsia" w:ascii="宋体" w:hAnsi="宋体" w:eastAsia="宋体" w:cs="宋体"/>
                <w:bCs/>
                <w:color w:val="auto"/>
                <w:sz w:val="24"/>
                <w:szCs w:val="24"/>
                <w:highlight w:val="none"/>
              </w:rPr>
              <w:t>属于中小企业</w:t>
            </w:r>
            <w:r>
              <w:rPr>
                <w:rFonts w:hint="eastAsia" w:ascii="宋体" w:hAnsi="宋体" w:eastAsia="宋体" w:cs="宋体"/>
                <w:color w:val="auto"/>
                <w:sz w:val="24"/>
                <w:szCs w:val="24"/>
                <w:highlight w:val="none"/>
              </w:rPr>
              <w:t>评审优惠内容及幅度如下：</w:t>
            </w:r>
          </w:p>
          <w:p>
            <w:pPr>
              <w:snapToGrid w:val="0"/>
              <w:spacing w:line="440" w:lineRule="exact"/>
              <w:ind w:firstLine="241" w:firstLineChars="1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color w:val="auto"/>
                <w:sz w:val="24"/>
                <w:szCs w:val="24"/>
                <w:highlight w:val="none"/>
              </w:rPr>
              <w:t>中小企业（含中型、小型、微型企业）应当</w:t>
            </w:r>
            <w:r>
              <w:rPr>
                <w:rFonts w:hint="eastAsia" w:ascii="宋体" w:hAnsi="宋体" w:eastAsia="宋体" w:cs="宋体"/>
                <w:b/>
                <w:color w:val="auto"/>
                <w:sz w:val="24"/>
                <w:szCs w:val="24"/>
                <w:highlight w:val="none"/>
              </w:rPr>
              <w:t>同时符合</w:t>
            </w:r>
            <w:r>
              <w:rPr>
                <w:rFonts w:hint="eastAsia" w:ascii="宋体" w:hAnsi="宋体" w:eastAsia="宋体" w:cs="宋体"/>
                <w:color w:val="auto"/>
                <w:sz w:val="24"/>
                <w:szCs w:val="24"/>
                <w:highlight w:val="none"/>
              </w:rPr>
              <w:t>以下条件：</w:t>
            </w:r>
          </w:p>
          <w:p>
            <w:pPr>
              <w:pStyle w:val="22"/>
              <w:spacing w:line="440" w:lineRule="exact"/>
              <w:ind w:left="846" w:leftChars="403"/>
              <w:rPr>
                <w:rFonts w:hint="eastAsia" w:ascii="宋体" w:hAnsi="宋体" w:eastAsia="宋体" w:cs="宋体"/>
                <w:color w:val="auto"/>
                <w:sz w:val="24"/>
                <w:highlight w:val="none"/>
              </w:rPr>
            </w:pPr>
            <w:r>
              <w:rPr>
                <w:rFonts w:hint="eastAsia" w:ascii="宋体" w:hAnsi="宋体" w:eastAsia="宋体" w:cs="宋体"/>
                <w:color w:val="auto"/>
                <w:sz w:val="24"/>
                <w:highlight w:val="none"/>
              </w:rPr>
              <w:t>①符合中小企业划分标准（按《关于印发中小企业划型标准规定的通知》（工信部联企业〔2011〕300号）执行）；</w:t>
            </w:r>
          </w:p>
          <w:p>
            <w:pPr>
              <w:pStyle w:val="22"/>
              <w:spacing w:line="440" w:lineRule="exact"/>
              <w:ind w:left="846" w:leftChars="403"/>
              <w:rPr>
                <w:rFonts w:hint="eastAsia" w:ascii="宋体" w:hAnsi="宋体" w:eastAsia="宋体" w:cs="宋体"/>
                <w:color w:val="auto"/>
                <w:sz w:val="24"/>
                <w:highlight w:val="none"/>
              </w:rPr>
            </w:pPr>
            <w:r>
              <w:rPr>
                <w:rFonts w:hint="eastAsia" w:ascii="宋体" w:hAnsi="宋体" w:eastAsia="宋体" w:cs="宋体"/>
                <w:color w:val="auto"/>
                <w:sz w:val="24"/>
                <w:highlight w:val="none"/>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价格扣除办法：</w:t>
            </w:r>
          </w:p>
          <w:p>
            <w:pPr>
              <w:pStyle w:val="22"/>
              <w:spacing w:line="440" w:lineRule="exact"/>
              <w:ind w:left="657" w:leftChars="313"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对于非专门面向中小企业的项目，对小型和微型企业（或联合体各方均为小型、</w:t>
            </w:r>
          </w:p>
          <w:p>
            <w:pPr>
              <w:pStyle w:val="22"/>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微型企业的，残疾人福利性单位、监狱企业视为小微企业）产品的价格给予6%的扣除，用扣除后的价格参与价格的评审。</w:t>
            </w:r>
          </w:p>
          <w:p>
            <w:pPr>
              <w:pStyle w:val="22"/>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在货物采购项目中，供应商提供的货物既有中小企业制造货物，也有大型企业制造货物的，不享受本办法规定的中小企业扶持政策。</w:t>
            </w:r>
          </w:p>
          <w:p>
            <w:pPr>
              <w:snapToGrid w:val="0"/>
              <w:spacing w:line="440" w:lineRule="exact"/>
              <w:ind w:firstLine="361" w:firstLineChars="1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color w:val="auto"/>
                <w:sz w:val="24"/>
                <w:szCs w:val="24"/>
                <w:highlight w:val="none"/>
              </w:rPr>
              <w:t>小型和微型企业适用价格扣除办法时应提供的相关资料：</w:t>
            </w:r>
          </w:p>
          <w:p>
            <w:pPr>
              <w:pStyle w:val="22"/>
              <w:spacing w:line="44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、供应商《中小企业声明函》或残疾人福利性单位声明函或监狱企业声明函；</w:t>
            </w:r>
          </w:p>
          <w:p>
            <w:pPr>
              <w:pStyle w:val="22"/>
              <w:spacing w:line="44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详细评审</w:t>
      </w: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pacing w:val="-2"/>
          <w:sz w:val="24"/>
          <w:szCs w:val="24"/>
          <w:highlight w:val="none"/>
        </w:rPr>
        <w:t>22.1  经初步评审合格的投标文件，评标委员会应当根据招标文件确定的评标标准和方法，对</w:t>
      </w:r>
      <w:r>
        <w:rPr>
          <w:rFonts w:hint="eastAsia" w:ascii="宋体" w:hAnsi="宋体" w:eastAsia="宋体" w:cs="宋体"/>
          <w:color w:val="auto"/>
          <w:sz w:val="24"/>
          <w:highlight w:val="none"/>
        </w:rPr>
        <w:t>投标人所有投标产品的</w:t>
      </w:r>
      <w:r>
        <w:rPr>
          <w:rFonts w:hint="eastAsia" w:ascii="宋体" w:hAnsi="宋体" w:eastAsia="宋体" w:cs="宋体"/>
          <w:color w:val="auto"/>
          <w:spacing w:val="-2"/>
          <w:sz w:val="24"/>
          <w:szCs w:val="24"/>
          <w:highlight w:val="none"/>
        </w:rPr>
        <w:t>技术和商务部分进行详细评审</w:t>
      </w:r>
      <w:r>
        <w:rPr>
          <w:rFonts w:hint="eastAsia" w:ascii="宋体" w:hAnsi="宋体" w:eastAsia="宋体" w:cs="宋体"/>
          <w:color w:val="auto"/>
          <w:sz w:val="24"/>
          <w:highlight w:val="none"/>
        </w:rPr>
        <w:t>。</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22.2  在评审过程中，为了有助于对投标文件进行审查、评估，投标人有责任按照招标方通知的时间、地点指派专人进行答疑和澄清。评标委员会可能要求投标人就投标文件中的内容进行答辩，投标人应按要求进行答辩。</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22.3采用综合评分法衡量投标文件在是否最大限度地满足招标文件实质性要求前提下，按照招标文件中规定的各项因素进行综合评审后，依据得分高低，依次确定为中标候选人。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22.3.1当投标人总得分相同时，以投标价格低者排位在前。</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22.4根据综合评分法完成评标后，评标委员会应当拟定一份书面评标报告提交招标方。</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pPr>
        <w:spacing w:line="440" w:lineRule="exact"/>
        <w:rPr>
          <w:rFonts w:hint="eastAsia" w:ascii="宋体" w:hAnsi="宋体" w:eastAsia="宋体" w:cs="宋体"/>
          <w:b/>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jc w:val="center"/>
        <w:outlineLvl w:val="1"/>
        <w:rPr>
          <w:rFonts w:hint="eastAsia" w:ascii="宋体" w:hAnsi="宋体" w:eastAsia="宋体" w:cs="宋体"/>
          <w:b/>
          <w:color w:val="auto"/>
          <w:sz w:val="32"/>
          <w:szCs w:val="32"/>
          <w:highlight w:val="none"/>
        </w:rPr>
      </w:pPr>
      <w:bookmarkStart w:id="24" w:name="_Toc17160"/>
      <w:bookmarkStart w:id="25" w:name="_Toc497239293"/>
      <w:r>
        <w:rPr>
          <w:rFonts w:hint="eastAsia" w:ascii="宋体" w:hAnsi="宋体" w:eastAsia="宋体" w:cs="宋体"/>
          <w:b/>
          <w:color w:val="auto"/>
          <w:sz w:val="32"/>
          <w:szCs w:val="32"/>
          <w:highlight w:val="none"/>
        </w:rPr>
        <w:t>第七章定　标</w:t>
      </w:r>
      <w:bookmarkEnd w:id="24"/>
      <w:bookmarkEnd w:id="25"/>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定标标准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23.1　合同将授予被确定为实质性响应招标文件要求，经评定认为具备履行合同能力、报价合理、技术和商务条件都符合招标文件要求、最终得分第一名的投标人。</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23.2　</w:t>
      </w:r>
      <w:r>
        <w:rPr>
          <w:rFonts w:hint="eastAsia" w:ascii="宋体" w:hAnsi="宋体" w:eastAsia="宋体" w:cs="宋体"/>
          <w:color w:val="auto"/>
          <w:spacing w:val="-2"/>
          <w:sz w:val="24"/>
          <w:highlight w:val="none"/>
        </w:rPr>
        <w:t>最低投标价不一定是被授予合同的保证。</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23.3　如果确定该投标人没有条件圆满履行合同，招标方将按照投标人的得分高低把合同授予下一个中标候选人。</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接受和拒绝任何或所有投标的权力</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24.1　为维护国家利益，招标方在授予合同之前仍有选择或拒绝任何全部投标的权力。</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 中标通知书</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25.1 中标结果确定后，招标方将以书面形式发出《中标通知书》，但发出时间不超过投标有效期，《中标通知书》一经发出即发生法律效力。</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25.2  《中标通知书》将作为签订合同的依据。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25.3  中标方在领取《中标通知书》时，必须按招标文件规定向招标代理机构缴纳招标代理服务费。</w:t>
      </w:r>
    </w:p>
    <w:p>
      <w:pPr>
        <w:spacing w:line="440" w:lineRule="exact"/>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3"/>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3"/>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3"/>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3"/>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3"/>
        <w:rPr>
          <w:rFonts w:hint="eastAsia" w:ascii="宋体" w:hAnsi="宋体" w:eastAsia="宋体" w:cs="宋体"/>
          <w:b/>
          <w:color w:val="auto"/>
          <w:sz w:val="32"/>
          <w:szCs w:val="32"/>
          <w:highlight w:val="none"/>
        </w:rPr>
      </w:pPr>
    </w:p>
    <w:p>
      <w:pPr>
        <w:rPr>
          <w:rFonts w:hint="eastAsia"/>
        </w:rPr>
      </w:pPr>
    </w:p>
    <w:p>
      <w:pPr>
        <w:spacing w:line="440" w:lineRule="exact"/>
        <w:ind w:firstLine="643" w:firstLineChars="200"/>
        <w:jc w:val="center"/>
        <w:outlineLvl w:val="1"/>
        <w:rPr>
          <w:rFonts w:hint="eastAsia" w:ascii="宋体" w:hAnsi="宋体" w:eastAsia="宋体" w:cs="宋体"/>
          <w:b/>
          <w:color w:val="auto"/>
          <w:sz w:val="32"/>
          <w:szCs w:val="32"/>
          <w:highlight w:val="none"/>
        </w:rPr>
      </w:pPr>
      <w:bookmarkStart w:id="26" w:name="_Toc497239294"/>
      <w:bookmarkStart w:id="27" w:name="_Toc28409"/>
      <w:r>
        <w:rPr>
          <w:rFonts w:hint="eastAsia" w:ascii="宋体" w:hAnsi="宋体" w:eastAsia="宋体" w:cs="宋体"/>
          <w:b/>
          <w:color w:val="auto"/>
          <w:sz w:val="32"/>
          <w:szCs w:val="32"/>
          <w:highlight w:val="none"/>
        </w:rPr>
        <w:t>第八章授予合同</w:t>
      </w:r>
      <w:bookmarkEnd w:id="26"/>
      <w:bookmarkEnd w:id="27"/>
    </w:p>
    <w:p>
      <w:pPr>
        <w:spacing w:line="440" w:lineRule="exact"/>
        <w:ind w:firstLine="474" w:firstLineChars="200"/>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26. 签订合同</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26.1  中标人收到招标方的《中标通知书》后三十日内，按照招标文件和中标人投标文件中的约定与采购人签订书面合同，所签订的合同不得对招标文件和中标人的投标文件作实质性修改。</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26.2  招标方在授予合同时，有权对招标文件中规定的货物和服务的数量在10%的幅度内予以增加。</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26.3  如中标人拒签合同，则按违约处理。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26.4  招标文件、中标人的投标文件及其澄清文件等，均为签订合同的依据。</w:t>
      </w:r>
    </w:p>
    <w:p>
      <w:pPr>
        <w:spacing w:line="440" w:lineRule="exact"/>
        <w:ind w:firstLine="472" w:firstLineChars="200"/>
        <w:rPr>
          <w:rFonts w:hint="eastAsia" w:ascii="宋体" w:hAnsi="宋体" w:eastAsia="宋体" w:cs="宋体"/>
          <w:b/>
          <w:color w:val="auto"/>
          <w:sz w:val="36"/>
          <w:highlight w:val="none"/>
        </w:rPr>
      </w:pPr>
      <w:r>
        <w:rPr>
          <w:rFonts w:hint="eastAsia" w:ascii="宋体" w:hAnsi="宋体" w:eastAsia="宋体" w:cs="宋体"/>
          <w:color w:val="auto"/>
          <w:spacing w:val="-2"/>
          <w:sz w:val="24"/>
          <w:szCs w:val="24"/>
          <w:highlight w:val="none"/>
        </w:rPr>
        <w:t>26.5  不允许中标人将中标项目分包或转交他人承担。</w:t>
      </w:r>
    </w:p>
    <w:p>
      <w:pPr>
        <w:keepNext w:val="0"/>
        <w:keepLines w:val="0"/>
        <w:pageBreakBefore w:val="0"/>
        <w:kinsoku/>
        <w:wordWrap/>
        <w:overflowPunct w:val="0"/>
        <w:topLinePunct w:val="0"/>
        <w:bidi w:val="0"/>
        <w:spacing w:line="440" w:lineRule="exact"/>
        <w:jc w:val="center"/>
        <w:textAlignment w:val="auto"/>
        <w:outlineLvl w:val="0"/>
        <w:rPr>
          <w:rFonts w:hint="eastAsia" w:ascii="宋体" w:hAnsi="宋体" w:eastAsia="宋体" w:cs="宋体"/>
          <w:b/>
          <w:color w:val="auto"/>
          <w:sz w:val="36"/>
          <w:szCs w:val="36"/>
          <w:highlight w:val="none"/>
        </w:rPr>
      </w:pPr>
      <w:bookmarkStart w:id="28" w:name="_Toc497239297"/>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第四部分  服务要求</w:t>
      </w:r>
    </w:p>
    <w:p>
      <w:pPr>
        <w:spacing w:line="360" w:lineRule="auto"/>
        <w:jc w:val="center"/>
        <w:outlineLvl w:val="1"/>
        <w:rPr>
          <w:rFonts w:ascii="宋体" w:hAnsi="宋体" w:eastAsia="宋体"/>
          <w:color w:val="auto"/>
          <w:sz w:val="24"/>
        </w:rPr>
      </w:pPr>
      <w:r>
        <w:rPr>
          <w:rFonts w:hint="eastAsia" w:ascii="宋体" w:hAnsi="宋体" w:eastAsia="宋体"/>
          <w:color w:val="auto"/>
          <w:sz w:val="24"/>
        </w:rPr>
        <w:t>养护标准</w:t>
      </w:r>
    </w:p>
    <w:tbl>
      <w:tblPr>
        <w:tblStyle w:val="14"/>
        <w:tblW w:w="9045" w:type="dxa"/>
        <w:jc w:val="center"/>
        <w:tblLayout w:type="fixed"/>
        <w:tblCellMar>
          <w:top w:w="0" w:type="dxa"/>
          <w:left w:w="108" w:type="dxa"/>
          <w:bottom w:w="0" w:type="dxa"/>
          <w:right w:w="108" w:type="dxa"/>
        </w:tblCellMar>
      </w:tblPr>
      <w:tblGrid>
        <w:gridCol w:w="732"/>
        <w:gridCol w:w="1618"/>
        <w:gridCol w:w="1632"/>
        <w:gridCol w:w="5063"/>
      </w:tblGrid>
      <w:tr>
        <w:tblPrEx>
          <w:tblCellMar>
            <w:top w:w="0" w:type="dxa"/>
            <w:left w:w="108" w:type="dxa"/>
            <w:bottom w:w="0" w:type="dxa"/>
            <w:right w:w="108" w:type="dxa"/>
          </w:tblCellMar>
        </w:tblPrEx>
        <w:trPr>
          <w:trHeight w:val="360"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序号</w:t>
            </w:r>
          </w:p>
        </w:tc>
        <w:tc>
          <w:tcPr>
            <w:tcW w:w="32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养护管理项目</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养护管理标准</w:t>
            </w:r>
          </w:p>
        </w:tc>
      </w:tr>
      <w:tr>
        <w:tblPrEx>
          <w:tblCellMar>
            <w:top w:w="0" w:type="dxa"/>
            <w:left w:w="108" w:type="dxa"/>
            <w:bottom w:w="0" w:type="dxa"/>
            <w:right w:w="108" w:type="dxa"/>
          </w:tblCellMar>
        </w:tblPrEx>
        <w:trPr>
          <w:trHeight w:val="63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1</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乔木管理</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生长势</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树冠完整，生长势强，枝条粗壮，高矮一致，叶色政策有光泽；无死树、缺株、枯死枝、无黄叶、焦叶、卷叶；</w:t>
            </w:r>
          </w:p>
        </w:tc>
      </w:tr>
      <w:tr>
        <w:tblPrEx>
          <w:tblCellMar>
            <w:top w:w="0" w:type="dxa"/>
            <w:left w:w="108" w:type="dxa"/>
            <w:bottom w:w="0" w:type="dxa"/>
            <w:right w:w="108" w:type="dxa"/>
          </w:tblCellMar>
        </w:tblPrEx>
        <w:trPr>
          <w:trHeight w:val="603"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修剪</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适树适时修剪，修剪时应尽量减少伤口面，剪口较平</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涂敷得当</w:t>
            </w:r>
            <w:r>
              <w:rPr>
                <w:rFonts w:hint="eastAsia" w:ascii="宋体" w:hAnsi="宋体" w:eastAsia="宋体"/>
                <w:color w:val="auto"/>
                <w:kern w:val="0"/>
                <w:szCs w:val="21"/>
              </w:rPr>
              <w:t>；枯、死、病虫等枝要及时剪除。</w:t>
            </w:r>
          </w:p>
        </w:tc>
      </w:tr>
      <w:tr>
        <w:tblPrEx>
          <w:tblCellMar>
            <w:top w:w="0" w:type="dxa"/>
            <w:left w:w="108" w:type="dxa"/>
            <w:bottom w:w="0" w:type="dxa"/>
            <w:right w:w="108" w:type="dxa"/>
          </w:tblCellMar>
        </w:tblPrEx>
        <w:trPr>
          <w:trHeight w:val="85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补植</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olor w:val="auto"/>
                <w:kern w:val="0"/>
                <w:szCs w:val="21"/>
                <w:lang w:val="en-US" w:eastAsia="zh-CN"/>
              </w:rPr>
            </w:pPr>
            <w:r>
              <w:rPr>
                <w:rFonts w:hint="eastAsia" w:ascii="宋体" w:hAnsi="宋体" w:eastAsia="宋体"/>
                <w:color w:val="auto"/>
                <w:kern w:val="0"/>
                <w:szCs w:val="21"/>
              </w:rPr>
              <w:t>及时清理死树，应在当年植树季节内采用带土球苗木按原种类，并做到规格与原来植株接近，以保证较好的景观效果，补植成活率应达</w:t>
            </w:r>
            <w:r>
              <w:rPr>
                <w:rFonts w:hint="eastAsia" w:ascii="宋体" w:hAnsi="宋体" w:eastAsia="宋体"/>
                <w:color w:val="auto"/>
                <w:kern w:val="0"/>
                <w:szCs w:val="21"/>
                <w:lang w:val="en-US" w:eastAsia="zh-CN"/>
              </w:rPr>
              <w:t>100</w:t>
            </w:r>
            <w:r>
              <w:rPr>
                <w:rFonts w:hint="eastAsia" w:ascii="宋体" w:hAnsi="宋体" w:eastAsia="宋体"/>
                <w:color w:val="auto"/>
                <w:kern w:val="0"/>
                <w:szCs w:val="21"/>
              </w:rPr>
              <w:t>%以上</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保存率应达到98%以上。</w:t>
            </w:r>
          </w:p>
        </w:tc>
      </w:tr>
      <w:tr>
        <w:tblPrEx>
          <w:tblCellMar>
            <w:top w:w="0" w:type="dxa"/>
            <w:left w:w="108" w:type="dxa"/>
            <w:bottom w:w="0" w:type="dxa"/>
            <w:right w:w="108" w:type="dxa"/>
          </w:tblCellMar>
        </w:tblPrEx>
        <w:trPr>
          <w:trHeight w:val="63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灌溉浇水</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满足植物生长期水量的需要，无跑水和外溢现象，树木无旱情。</w:t>
            </w:r>
          </w:p>
        </w:tc>
      </w:tr>
      <w:tr>
        <w:tblPrEx>
          <w:tblCellMar>
            <w:top w:w="0" w:type="dxa"/>
            <w:left w:w="108" w:type="dxa"/>
            <w:bottom w:w="0" w:type="dxa"/>
            <w:right w:w="108" w:type="dxa"/>
          </w:tblCellMar>
        </w:tblPrEx>
        <w:trPr>
          <w:trHeight w:val="47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施肥标准</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olor w:val="auto"/>
                <w:kern w:val="0"/>
                <w:szCs w:val="21"/>
                <w:lang w:val="en-US" w:eastAsia="zh-CN"/>
              </w:rPr>
            </w:pPr>
            <w:r>
              <w:rPr>
                <w:rFonts w:hint="eastAsia" w:ascii="宋体" w:hAnsi="宋体" w:eastAsia="宋体"/>
                <w:color w:val="auto"/>
                <w:kern w:val="0"/>
                <w:szCs w:val="21"/>
              </w:rPr>
              <w:t>每年施肥</w:t>
            </w:r>
            <w:r>
              <w:rPr>
                <w:rFonts w:hint="eastAsia" w:ascii="宋体" w:hAnsi="宋体" w:eastAsia="宋体"/>
                <w:color w:val="auto"/>
                <w:kern w:val="0"/>
                <w:szCs w:val="21"/>
                <w:lang w:val="en-US" w:eastAsia="zh-CN"/>
              </w:rPr>
              <w:t>2</w:t>
            </w:r>
            <w:r>
              <w:rPr>
                <w:rFonts w:hint="eastAsia" w:ascii="宋体" w:hAnsi="宋体" w:eastAsia="宋体"/>
                <w:color w:val="auto"/>
                <w:kern w:val="0"/>
                <w:szCs w:val="21"/>
              </w:rPr>
              <w:t>次，严禁裸施，肥料要埋施；施后及时灌水、找平</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树穴边线清晰，穴内无杂物。</w:t>
            </w:r>
          </w:p>
        </w:tc>
      </w:tr>
      <w:tr>
        <w:tblPrEx>
          <w:tblCellMar>
            <w:top w:w="0" w:type="dxa"/>
            <w:left w:w="108" w:type="dxa"/>
            <w:bottom w:w="0" w:type="dxa"/>
            <w:right w:w="108" w:type="dxa"/>
          </w:tblCellMar>
        </w:tblPrEx>
        <w:trPr>
          <w:trHeight w:val="48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2</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灌木管理</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生长势</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lang w:val="en-US" w:eastAsia="zh-CN"/>
              </w:rPr>
              <w:t>生长势强</w:t>
            </w:r>
            <w:r>
              <w:rPr>
                <w:rFonts w:hint="eastAsia" w:ascii="宋体" w:hAnsi="宋体" w:eastAsia="宋体"/>
                <w:color w:val="auto"/>
                <w:kern w:val="0"/>
                <w:szCs w:val="21"/>
              </w:rPr>
              <w:t>，</w:t>
            </w:r>
            <w:r>
              <w:rPr>
                <w:rFonts w:hint="eastAsia" w:ascii="宋体" w:hAnsi="宋体" w:eastAsia="宋体"/>
                <w:color w:val="auto"/>
                <w:kern w:val="0"/>
                <w:szCs w:val="21"/>
                <w:lang w:val="en-US" w:eastAsia="zh-CN"/>
              </w:rPr>
              <w:t>枝壮叶茂，开花及时，叶色正常有光泽；无缺株、死株、无黄叶、焦叶、卷叶、枯萎叶，生长季节不落叶；</w:t>
            </w:r>
            <w:r>
              <w:rPr>
                <w:rFonts w:hint="eastAsia" w:ascii="宋体" w:hAnsi="宋体" w:eastAsia="宋体"/>
                <w:color w:val="auto"/>
                <w:kern w:val="0"/>
                <w:szCs w:val="21"/>
              </w:rPr>
              <w:t>绿篱修剪及时，无明显断垄现象。</w:t>
            </w:r>
          </w:p>
        </w:tc>
      </w:tr>
      <w:tr>
        <w:tblPrEx>
          <w:tblCellMar>
            <w:top w:w="0" w:type="dxa"/>
            <w:left w:w="108" w:type="dxa"/>
            <w:bottom w:w="0" w:type="dxa"/>
            <w:right w:w="108" w:type="dxa"/>
          </w:tblCellMar>
        </w:tblPrEx>
        <w:trPr>
          <w:trHeight w:val="79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修剪</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应根据各类（观叶、观花、观果、造型）灌木的不同生长发育习性和特点，采用适地适树的修剪方法，合理的进行修剪。</w:t>
            </w:r>
          </w:p>
        </w:tc>
      </w:tr>
      <w:tr>
        <w:tblPrEx>
          <w:tblCellMar>
            <w:top w:w="0" w:type="dxa"/>
            <w:left w:w="108" w:type="dxa"/>
            <w:bottom w:w="0" w:type="dxa"/>
            <w:right w:w="108" w:type="dxa"/>
          </w:tblCellMar>
        </w:tblPrEx>
        <w:trPr>
          <w:trHeight w:val="84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补植</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olor w:val="auto"/>
                <w:kern w:val="0"/>
                <w:szCs w:val="21"/>
                <w:lang w:val="en-US" w:eastAsia="zh-CN"/>
              </w:rPr>
            </w:pPr>
            <w:r>
              <w:rPr>
                <w:rFonts w:hint="eastAsia" w:ascii="宋体" w:hAnsi="宋体" w:eastAsia="宋体"/>
                <w:color w:val="auto"/>
                <w:kern w:val="0"/>
                <w:szCs w:val="21"/>
              </w:rPr>
              <w:t>及时清理死树，应在当年植树季节内采用带土球苗木按原种类，并做到规格与原来植株接近，以保证较好的景观效果，补植成活率应达</w:t>
            </w:r>
            <w:r>
              <w:rPr>
                <w:rFonts w:hint="eastAsia" w:ascii="宋体" w:hAnsi="宋体" w:eastAsia="宋体"/>
                <w:color w:val="auto"/>
                <w:kern w:val="0"/>
                <w:szCs w:val="21"/>
                <w:lang w:val="en-US" w:eastAsia="zh-CN"/>
              </w:rPr>
              <w:t>100</w:t>
            </w:r>
            <w:r>
              <w:rPr>
                <w:rFonts w:hint="eastAsia" w:ascii="宋体" w:hAnsi="宋体" w:eastAsia="宋体"/>
                <w:color w:val="auto"/>
                <w:kern w:val="0"/>
                <w:szCs w:val="21"/>
              </w:rPr>
              <w:t>%以上</w:t>
            </w:r>
            <w:r>
              <w:rPr>
                <w:rFonts w:hint="eastAsia" w:ascii="宋体" w:hAnsi="宋体" w:eastAsia="宋体"/>
                <w:color w:val="auto"/>
                <w:kern w:val="0"/>
                <w:szCs w:val="21"/>
                <w:lang w:eastAsia="zh-CN"/>
              </w:rPr>
              <w:t>，</w:t>
            </w:r>
            <w:r>
              <w:rPr>
                <w:rFonts w:hint="eastAsia" w:ascii="宋体" w:hAnsi="宋体" w:eastAsia="宋体"/>
                <w:color w:val="auto"/>
                <w:kern w:val="0"/>
                <w:szCs w:val="21"/>
                <w:lang w:val="en-US" w:eastAsia="zh-CN"/>
              </w:rPr>
              <w:t>保存率应达到98%以上。</w:t>
            </w:r>
          </w:p>
        </w:tc>
      </w:tr>
      <w:tr>
        <w:tblPrEx>
          <w:tblCellMar>
            <w:top w:w="0" w:type="dxa"/>
            <w:left w:w="108" w:type="dxa"/>
            <w:bottom w:w="0" w:type="dxa"/>
            <w:right w:w="108" w:type="dxa"/>
          </w:tblCellMar>
        </w:tblPrEx>
        <w:trPr>
          <w:trHeight w:val="63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灌溉浇水</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根据土壤质地进行适时灌溉，充分满足生长期水量的需要，灌溉时，无明显跑水和外溢现象。</w:t>
            </w:r>
          </w:p>
        </w:tc>
      </w:tr>
      <w:tr>
        <w:tblPrEx>
          <w:tblCellMar>
            <w:top w:w="0" w:type="dxa"/>
            <w:left w:w="108" w:type="dxa"/>
            <w:bottom w:w="0" w:type="dxa"/>
            <w:right w:w="108" w:type="dxa"/>
          </w:tblCellMar>
        </w:tblPrEx>
        <w:trPr>
          <w:trHeight w:val="45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施肥标准</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每年施一次有机肥。</w:t>
            </w:r>
          </w:p>
        </w:tc>
      </w:tr>
      <w:tr>
        <w:tblPrEx>
          <w:tblCellMar>
            <w:top w:w="0" w:type="dxa"/>
            <w:left w:w="108" w:type="dxa"/>
            <w:bottom w:w="0" w:type="dxa"/>
            <w:right w:w="108" w:type="dxa"/>
          </w:tblCellMar>
        </w:tblPrEx>
        <w:trPr>
          <w:trHeight w:val="419"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3</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草坪管理</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生长势</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olor w:val="auto"/>
                <w:kern w:val="0"/>
                <w:szCs w:val="21"/>
                <w:lang w:val="en-US" w:eastAsia="zh-CN"/>
              </w:rPr>
            </w:pPr>
            <w:r>
              <w:rPr>
                <w:rFonts w:hint="eastAsia" w:ascii="宋体" w:hAnsi="宋体" w:eastAsia="宋体"/>
                <w:color w:val="auto"/>
                <w:kern w:val="0"/>
                <w:szCs w:val="21"/>
              </w:rPr>
              <w:t>草种生长旺盛，叶色正常，</w:t>
            </w:r>
            <w:r>
              <w:rPr>
                <w:rFonts w:hint="eastAsia" w:ascii="宋体" w:hAnsi="宋体" w:eastAsia="宋体"/>
                <w:color w:val="auto"/>
                <w:kern w:val="0"/>
                <w:szCs w:val="21"/>
                <w:lang w:val="en-US" w:eastAsia="zh-CN"/>
              </w:rPr>
              <w:t>生长季节</w:t>
            </w:r>
            <w:r>
              <w:rPr>
                <w:rFonts w:hint="eastAsia" w:ascii="宋体" w:hAnsi="宋体" w:eastAsia="宋体"/>
                <w:color w:val="auto"/>
                <w:kern w:val="0"/>
                <w:szCs w:val="21"/>
              </w:rPr>
              <w:t>无枯黄叶。</w:t>
            </w:r>
            <w:r>
              <w:rPr>
                <w:rFonts w:hint="eastAsia" w:ascii="宋体" w:hAnsi="宋体" w:eastAsia="宋体"/>
                <w:color w:val="auto"/>
                <w:kern w:val="0"/>
                <w:szCs w:val="21"/>
                <w:lang w:val="en-US" w:eastAsia="zh-CN"/>
              </w:rPr>
              <w:t>目测无杂草，无斑秃。</w:t>
            </w:r>
          </w:p>
        </w:tc>
      </w:tr>
      <w:tr>
        <w:tblPrEx>
          <w:tblCellMar>
            <w:top w:w="0" w:type="dxa"/>
            <w:left w:w="108" w:type="dxa"/>
            <w:bottom w:w="0" w:type="dxa"/>
            <w:right w:w="108" w:type="dxa"/>
          </w:tblCellMar>
        </w:tblPrEx>
        <w:trPr>
          <w:trHeight w:val="56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灌溉浇水</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根据不同季节和土壤质地进行适时灌溉，充分满足生长期水量的需要。灌溉时，无跑水和外溢现象。</w:t>
            </w:r>
          </w:p>
        </w:tc>
      </w:tr>
      <w:tr>
        <w:tblPrEx>
          <w:tblCellMar>
            <w:top w:w="0" w:type="dxa"/>
            <w:left w:w="108" w:type="dxa"/>
            <w:bottom w:w="0" w:type="dxa"/>
            <w:right w:w="108" w:type="dxa"/>
          </w:tblCellMar>
        </w:tblPrEx>
        <w:trPr>
          <w:trHeight w:val="48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施肥标准</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在春或秋季进行施化肥，严禁裸施，肥料要埋施；施后及时灌水、找平。</w:t>
            </w:r>
          </w:p>
        </w:tc>
      </w:tr>
      <w:tr>
        <w:tblPrEx>
          <w:tblCellMar>
            <w:top w:w="0" w:type="dxa"/>
            <w:left w:w="108" w:type="dxa"/>
            <w:bottom w:w="0" w:type="dxa"/>
            <w:right w:w="108" w:type="dxa"/>
          </w:tblCellMar>
        </w:tblPrEx>
        <w:trPr>
          <w:trHeight w:val="63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4</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攀缘植物管理</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生长势</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生长正常、整齐美观、生长期的垂直面覆盖率85%以上。枝叶健壮，叶色绿，无枯枝残叶。</w:t>
            </w:r>
          </w:p>
        </w:tc>
      </w:tr>
      <w:tr>
        <w:tblPrEx>
          <w:tblCellMar>
            <w:top w:w="0" w:type="dxa"/>
            <w:left w:w="108" w:type="dxa"/>
            <w:bottom w:w="0" w:type="dxa"/>
            <w:right w:w="108" w:type="dxa"/>
          </w:tblCellMar>
        </w:tblPrEx>
        <w:trPr>
          <w:trHeight w:val="34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修剪</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做好牵引，及时剪除枯枝，过密枝。</w:t>
            </w:r>
          </w:p>
        </w:tc>
      </w:tr>
      <w:tr>
        <w:tblPrEx>
          <w:tblCellMar>
            <w:top w:w="0" w:type="dxa"/>
            <w:left w:w="108" w:type="dxa"/>
            <w:bottom w:w="0" w:type="dxa"/>
            <w:right w:w="108" w:type="dxa"/>
          </w:tblCellMar>
        </w:tblPrEx>
        <w:trPr>
          <w:trHeight w:val="42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补植</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及时清理死株，应在当年植树季节进行补植，成活率达到</w:t>
            </w:r>
            <w:r>
              <w:rPr>
                <w:rFonts w:hint="eastAsia" w:ascii="宋体" w:hAnsi="宋体" w:eastAsia="宋体"/>
                <w:color w:val="auto"/>
                <w:kern w:val="0"/>
                <w:szCs w:val="21"/>
                <w:lang w:val="en-US" w:eastAsia="zh-CN"/>
              </w:rPr>
              <w:t>90</w:t>
            </w:r>
            <w:r>
              <w:rPr>
                <w:rFonts w:hint="eastAsia" w:ascii="宋体" w:hAnsi="宋体" w:eastAsia="宋体"/>
                <w:color w:val="auto"/>
                <w:kern w:val="0"/>
                <w:szCs w:val="21"/>
              </w:rPr>
              <w:t>%</w:t>
            </w:r>
            <w:r>
              <w:rPr>
                <w:rFonts w:hint="eastAsia" w:ascii="宋体" w:hAnsi="宋体" w:eastAsia="宋体"/>
                <w:color w:val="auto"/>
                <w:kern w:val="0"/>
                <w:szCs w:val="21"/>
                <w:lang w:eastAsia="zh-CN"/>
              </w:rPr>
              <w:t>以上</w:t>
            </w:r>
            <w:r>
              <w:rPr>
                <w:rFonts w:hint="eastAsia" w:ascii="宋体" w:hAnsi="宋体" w:eastAsia="宋体"/>
                <w:color w:val="auto"/>
                <w:kern w:val="0"/>
                <w:szCs w:val="21"/>
              </w:rPr>
              <w:t>。</w:t>
            </w:r>
          </w:p>
        </w:tc>
      </w:tr>
      <w:tr>
        <w:tblPrEx>
          <w:tblCellMar>
            <w:top w:w="0" w:type="dxa"/>
            <w:left w:w="108" w:type="dxa"/>
            <w:bottom w:w="0" w:type="dxa"/>
            <w:right w:w="108" w:type="dxa"/>
          </w:tblCellMar>
        </w:tblPrEx>
        <w:trPr>
          <w:trHeight w:val="63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灌溉浇水</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根据土壤质地进行适时灌溉，充分满足生长期水量的需要。</w:t>
            </w:r>
          </w:p>
        </w:tc>
      </w:tr>
      <w:tr>
        <w:tblPrEx>
          <w:tblCellMar>
            <w:top w:w="0" w:type="dxa"/>
            <w:left w:w="108" w:type="dxa"/>
            <w:bottom w:w="0" w:type="dxa"/>
            <w:right w:w="108" w:type="dxa"/>
          </w:tblCellMar>
        </w:tblPrEx>
        <w:trPr>
          <w:trHeight w:val="63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施肥标准</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在春或秋季进行施肥1次，严禁裸施，肥料要埋施；施后及时灌水、找平。</w:t>
            </w:r>
          </w:p>
        </w:tc>
      </w:tr>
      <w:tr>
        <w:tblPrEx>
          <w:tblCellMar>
            <w:top w:w="0" w:type="dxa"/>
            <w:left w:w="108" w:type="dxa"/>
            <w:bottom w:w="0" w:type="dxa"/>
            <w:right w:w="108" w:type="dxa"/>
          </w:tblCellMar>
        </w:tblPrEx>
        <w:trPr>
          <w:trHeight w:val="1470"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5</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olor w:val="auto"/>
                <w:kern w:val="0"/>
                <w:szCs w:val="21"/>
              </w:rPr>
            </w:pPr>
            <w:r>
              <w:rPr>
                <w:rFonts w:hint="eastAsia" w:ascii="宋体" w:hAnsi="宋体" w:eastAsia="宋体"/>
                <w:color w:val="auto"/>
                <w:kern w:val="0"/>
                <w:szCs w:val="21"/>
              </w:rPr>
              <w:t>病虫害防治管理</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r>
              <w:rPr>
                <w:rFonts w:hint="eastAsia" w:ascii="宋体" w:hAnsi="宋体" w:eastAsia="宋体"/>
                <w:color w:val="auto"/>
                <w:kern w:val="0"/>
                <w:szCs w:val="21"/>
              </w:rPr>
              <w:t>新植、补植苗木必须经植物检疫机构检验合格后方可种植。对病虫害经常检查、早发现、早除治、应尽量采用生物、物理如对树干涂白，涂毒环，黑光灯诱杀等防止措施防治，最大限度的减少对环境的污染。病虫害的发生率应控制在</w:t>
            </w:r>
            <w:r>
              <w:rPr>
                <w:rFonts w:hint="eastAsia" w:ascii="宋体" w:hAnsi="宋体" w:eastAsia="宋体"/>
                <w:color w:val="auto"/>
                <w:kern w:val="0"/>
                <w:szCs w:val="21"/>
                <w:lang w:val="en-US" w:eastAsia="zh-CN"/>
              </w:rPr>
              <w:t>5</w:t>
            </w:r>
            <w:r>
              <w:rPr>
                <w:rFonts w:hint="eastAsia" w:ascii="宋体" w:hAnsi="宋体" w:eastAsia="宋体"/>
                <w:color w:val="auto"/>
                <w:kern w:val="0"/>
                <w:szCs w:val="21"/>
              </w:rPr>
              <w:t>%以下。</w:t>
            </w:r>
          </w:p>
        </w:tc>
      </w:tr>
      <w:tr>
        <w:tblPrEx>
          <w:tblCellMar>
            <w:top w:w="0" w:type="dxa"/>
            <w:left w:w="108" w:type="dxa"/>
            <w:bottom w:w="0" w:type="dxa"/>
            <w:right w:w="108" w:type="dxa"/>
          </w:tblCellMar>
        </w:tblPrEx>
        <w:trPr>
          <w:trHeight w:val="1470"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olor w:val="auto"/>
                <w:kern w:val="0"/>
                <w:szCs w:val="21"/>
                <w:lang w:val="en-US" w:eastAsia="zh-CN"/>
              </w:rPr>
            </w:pPr>
            <w:r>
              <w:rPr>
                <w:rFonts w:hint="eastAsia" w:ascii="宋体" w:hAnsi="宋体" w:eastAsia="宋体"/>
                <w:color w:val="auto"/>
                <w:kern w:val="0"/>
                <w:szCs w:val="21"/>
                <w:lang w:val="en-US" w:eastAsia="zh-CN"/>
              </w:rPr>
              <w:t>6</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环境卫生</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保持绿地内无垃圾杂物；及时保洁，清除树挂等污染物。</w:t>
            </w:r>
          </w:p>
        </w:tc>
      </w:tr>
      <w:tr>
        <w:tblPrEx>
          <w:tblCellMar>
            <w:top w:w="0" w:type="dxa"/>
            <w:left w:w="108" w:type="dxa"/>
            <w:bottom w:w="0" w:type="dxa"/>
            <w:right w:w="108" w:type="dxa"/>
          </w:tblCellMar>
        </w:tblPrEx>
        <w:trPr>
          <w:trHeight w:val="1470"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olor w:val="auto"/>
                <w:kern w:val="0"/>
                <w:szCs w:val="21"/>
                <w:lang w:val="en-US" w:eastAsia="zh-CN"/>
              </w:rPr>
            </w:pP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olor w:val="auto"/>
                <w:kern w:val="0"/>
                <w:szCs w:val="21"/>
                <w:lang w:val="en-US" w:eastAsia="zh-CN"/>
              </w:rPr>
            </w:pP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olor w:val="auto"/>
                <w:kern w:val="0"/>
                <w:szCs w:val="21"/>
              </w:rPr>
            </w:pP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olor w:val="auto"/>
                <w:kern w:val="0"/>
                <w:szCs w:val="21"/>
                <w:lang w:val="en-US" w:eastAsia="zh-CN"/>
              </w:rPr>
            </w:pPr>
          </w:p>
        </w:tc>
      </w:tr>
    </w:tbl>
    <w:p>
      <w:pPr>
        <w:spacing w:line="440" w:lineRule="exact"/>
        <w:jc w:val="center"/>
        <w:outlineLvl w:val="9"/>
        <w:rPr>
          <w:rFonts w:ascii="宋体" w:hAnsi="宋体" w:eastAsia="宋体"/>
          <w:b/>
          <w:color w:val="auto"/>
          <w:sz w:val="24"/>
          <w:szCs w:val="24"/>
        </w:rPr>
      </w:pPr>
    </w:p>
    <w:p>
      <w:pPr>
        <w:widowControl/>
        <w:jc w:val="left"/>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荒山绿化养护：</w:t>
      </w:r>
    </w:p>
    <w:p>
      <w:pPr>
        <w:widowControl/>
        <w:jc w:val="left"/>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乔木：生长基本正常；死树、缺株应低于2%，及时清除死树；每年适度修剪1次；每年应对树干涂白一次；每两年施肥一次；补植成活率达到95%以上，保存率达到90%以上。</w:t>
      </w:r>
    </w:p>
    <w:p>
      <w:pPr>
        <w:widowControl/>
        <w:jc w:val="left"/>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灌木：生长基本正常，无明显旱象，死株、缺株低于2%，生长季节基本不落叶。及时清除死株、枯枝；补植成活率95%，保存率90%以上。</w:t>
      </w:r>
    </w:p>
    <w:p>
      <w:pPr>
        <w:widowControl/>
        <w:jc w:val="left"/>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花卉：花卉生长正常，定期更换、补植及时。</w:t>
      </w:r>
    </w:p>
    <w:p>
      <w:pPr>
        <w:widowControl/>
        <w:jc w:val="left"/>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灌溉：水量适当，</w:t>
      </w:r>
      <w:r>
        <w:rPr>
          <w:rFonts w:hint="eastAsia" w:ascii="宋体" w:hAnsi="宋体" w:eastAsia="宋体"/>
          <w:b w:val="0"/>
          <w:bCs w:val="0"/>
          <w:color w:val="auto"/>
          <w:kern w:val="0"/>
          <w:sz w:val="24"/>
          <w:szCs w:val="24"/>
        </w:rPr>
        <w:t>无跑水和外溢现象，树木无旱情</w:t>
      </w:r>
      <w:r>
        <w:rPr>
          <w:rFonts w:hint="eastAsia" w:ascii="宋体" w:hAnsi="宋体" w:eastAsia="宋体"/>
          <w:b w:val="0"/>
          <w:bCs w:val="0"/>
          <w:color w:val="auto"/>
          <w:kern w:val="0"/>
          <w:sz w:val="24"/>
          <w:szCs w:val="24"/>
          <w:lang w:eastAsia="zh-CN"/>
        </w:rPr>
        <w:t>。</w:t>
      </w:r>
      <w:r>
        <w:rPr>
          <w:rFonts w:hint="eastAsia" w:ascii="宋体" w:hAnsi="宋体" w:eastAsia="宋体"/>
          <w:b w:val="0"/>
          <w:bCs w:val="0"/>
          <w:color w:val="auto"/>
          <w:kern w:val="0"/>
          <w:sz w:val="24"/>
          <w:szCs w:val="24"/>
          <w:lang w:val="en-US" w:eastAsia="zh-CN"/>
        </w:rPr>
        <w:t>定期检查维修灌溉水网，入冬前，灌溉管网及时排水。</w:t>
      </w:r>
    </w:p>
    <w:p>
      <w:pPr>
        <w:widowControl/>
        <w:jc w:val="left"/>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林业有害生物防治：无大面积明显林业有害生物灾害发生；有管控措施。</w:t>
      </w:r>
    </w:p>
    <w:p>
      <w:pPr>
        <w:widowControl/>
        <w:jc w:val="left"/>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环境卫生：定期清理垃圾等杂物。</w:t>
      </w: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pStyle w:val="26"/>
        <w:numPr>
          <w:ilvl w:val="0"/>
          <w:numId w:val="0"/>
        </w:numPr>
        <w:jc w:val="both"/>
        <w:rPr>
          <w:rFonts w:hint="eastAsia" w:ascii="宋体" w:hAnsi="宋体" w:eastAsia="宋体"/>
          <w:color w:val="auto"/>
          <w:kern w:val="0"/>
          <w:szCs w:val="21"/>
          <w:lang w:val="en-US" w:eastAsia="zh-CN"/>
        </w:rPr>
      </w:pPr>
    </w:p>
    <w:p>
      <w:pPr>
        <w:spacing w:line="440" w:lineRule="exact"/>
        <w:jc w:val="center"/>
        <w:outlineLvl w:val="1"/>
        <w:rPr>
          <w:rFonts w:ascii="微软雅黑" w:hAnsi="微软雅黑" w:eastAsia="微软雅黑" w:cs="微软雅黑"/>
          <w:b/>
          <w:bCs/>
          <w:sz w:val="44"/>
          <w:szCs w:val="44"/>
        </w:rPr>
      </w:pPr>
      <w:r>
        <w:rPr>
          <w:rFonts w:hint="eastAsia" w:ascii="微软雅黑" w:hAnsi="微软雅黑" w:eastAsia="微软雅黑" w:cs="微软雅黑"/>
          <w:b/>
          <w:bCs/>
          <w:sz w:val="28"/>
          <w:szCs w:val="28"/>
        </w:rPr>
        <w:t>水磨沟区园林绿化市场化养护标准</w:t>
      </w:r>
    </w:p>
    <w:p>
      <w:pPr>
        <w:spacing w:line="440" w:lineRule="exact"/>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（参照乌鲁木齐市道路绿地养护管理标准）</w:t>
      </w:r>
    </w:p>
    <w:tbl>
      <w:tblPr>
        <w:tblStyle w:val="14"/>
        <w:tblW w:w="8522" w:type="dxa"/>
        <w:jc w:val="center"/>
        <w:tblLayout w:type="fixed"/>
        <w:tblCellMar>
          <w:top w:w="0" w:type="dxa"/>
          <w:left w:w="108" w:type="dxa"/>
          <w:bottom w:w="0" w:type="dxa"/>
          <w:right w:w="108" w:type="dxa"/>
        </w:tblCellMar>
      </w:tblPr>
      <w:tblGrid>
        <w:gridCol w:w="471"/>
        <w:gridCol w:w="670"/>
        <w:gridCol w:w="2653"/>
        <w:gridCol w:w="2268"/>
        <w:gridCol w:w="2460"/>
      </w:tblGrid>
      <w:tr>
        <w:tblPrEx>
          <w:tblCellMar>
            <w:top w:w="0" w:type="dxa"/>
            <w:left w:w="108" w:type="dxa"/>
            <w:bottom w:w="0" w:type="dxa"/>
            <w:right w:w="108" w:type="dxa"/>
          </w:tblCellMar>
        </w:tblPrEx>
        <w:trPr>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ascii="宋体" w:hAnsi="宋体" w:cs="宋体"/>
                <w:color w:val="000000"/>
                <w:sz w:val="28"/>
                <w:szCs w:val="28"/>
              </w:rPr>
            </w:pPr>
            <w:r>
              <w:rPr>
                <w:rFonts w:hint="eastAsia" w:ascii="宋体" w:hAnsi="宋体" w:cs="宋体"/>
                <w:color w:val="000000"/>
                <w:sz w:val="28"/>
                <w:szCs w:val="28"/>
              </w:rPr>
              <w:t>序号</w:t>
            </w:r>
          </w:p>
        </w:tc>
        <w:tc>
          <w:tcPr>
            <w:tcW w:w="6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ascii="宋体" w:hAnsi="宋体" w:cs="宋体"/>
                <w:color w:val="000000"/>
                <w:sz w:val="28"/>
                <w:szCs w:val="28"/>
              </w:rPr>
            </w:pPr>
          </w:p>
        </w:tc>
        <w:tc>
          <w:tcPr>
            <w:tcW w:w="2653"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b/>
                <w:bCs/>
                <w:color w:val="000000"/>
                <w:sz w:val="28"/>
                <w:szCs w:val="28"/>
              </w:rPr>
            </w:pPr>
            <w:r>
              <w:rPr>
                <w:rFonts w:hint="eastAsia" w:ascii="宋体" w:hAnsi="宋体" w:cs="宋体"/>
                <w:b/>
                <w:bCs/>
                <w:color w:val="000000"/>
                <w:sz w:val="28"/>
                <w:szCs w:val="28"/>
              </w:rPr>
              <w:t>一级</w:t>
            </w:r>
          </w:p>
        </w:tc>
        <w:tc>
          <w:tcPr>
            <w:tcW w:w="226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b/>
                <w:bCs/>
                <w:color w:val="000000"/>
                <w:sz w:val="28"/>
                <w:szCs w:val="28"/>
              </w:rPr>
            </w:pPr>
            <w:r>
              <w:rPr>
                <w:rFonts w:hint="eastAsia" w:ascii="宋体" w:hAnsi="宋体" w:cs="宋体"/>
                <w:b/>
                <w:bCs/>
                <w:color w:val="000000"/>
                <w:sz w:val="28"/>
                <w:szCs w:val="28"/>
              </w:rPr>
              <w:t>二级</w:t>
            </w:r>
          </w:p>
        </w:tc>
        <w:tc>
          <w:tcPr>
            <w:tcW w:w="246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b/>
                <w:bCs/>
                <w:color w:val="000000"/>
                <w:sz w:val="28"/>
                <w:szCs w:val="28"/>
              </w:rPr>
            </w:pPr>
            <w:r>
              <w:rPr>
                <w:rFonts w:hint="eastAsia" w:ascii="宋体" w:hAnsi="宋体" w:cs="宋体"/>
                <w:b/>
                <w:bCs/>
                <w:color w:val="000000"/>
                <w:sz w:val="28"/>
                <w:szCs w:val="28"/>
              </w:rPr>
              <w:t>三级</w:t>
            </w:r>
          </w:p>
        </w:tc>
      </w:tr>
      <w:tr>
        <w:tblPrEx>
          <w:tblCellMar>
            <w:top w:w="0" w:type="dxa"/>
            <w:left w:w="108" w:type="dxa"/>
            <w:bottom w:w="0" w:type="dxa"/>
            <w:right w:w="108" w:type="dxa"/>
          </w:tblCellMar>
        </w:tblPrEx>
        <w:trPr>
          <w:trHeight w:val="6279"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ascii="宋体" w:hAnsi="宋体" w:cs="宋体"/>
                <w:color w:val="000000"/>
                <w:sz w:val="24"/>
              </w:rPr>
            </w:pPr>
          </w:p>
          <w:p>
            <w:pPr>
              <w:spacing w:line="440" w:lineRule="exact"/>
              <w:jc w:val="center"/>
              <w:rPr>
                <w:rFonts w:ascii="宋体" w:hAnsi="宋体" w:cs="宋体"/>
                <w:color w:val="000000"/>
                <w:sz w:val="24"/>
              </w:rPr>
            </w:pPr>
          </w:p>
          <w:p>
            <w:pPr>
              <w:spacing w:line="440" w:lineRule="exact"/>
              <w:jc w:val="center"/>
              <w:rPr>
                <w:rFonts w:ascii="宋体" w:hAnsi="宋体" w:cs="宋体"/>
                <w:color w:val="000000"/>
                <w:sz w:val="24"/>
              </w:rPr>
            </w:pPr>
          </w:p>
          <w:p>
            <w:pPr>
              <w:spacing w:line="440" w:lineRule="exact"/>
              <w:jc w:val="center"/>
              <w:rPr>
                <w:rFonts w:ascii="宋体" w:hAnsi="宋体" w:cs="宋体"/>
                <w:color w:val="000000"/>
                <w:sz w:val="24"/>
              </w:rPr>
            </w:pPr>
          </w:p>
          <w:p>
            <w:pPr>
              <w:spacing w:line="440" w:lineRule="exact"/>
              <w:jc w:val="center"/>
              <w:rPr>
                <w:rFonts w:ascii="宋体" w:hAnsi="宋体" w:cs="宋体"/>
                <w:color w:val="000000"/>
                <w:sz w:val="24"/>
              </w:rPr>
            </w:pPr>
          </w:p>
          <w:p>
            <w:pPr>
              <w:spacing w:line="440" w:lineRule="exact"/>
              <w:rPr>
                <w:rFonts w:ascii="宋体" w:hAnsi="宋体" w:cs="宋体"/>
                <w:color w:val="000000"/>
                <w:sz w:val="24"/>
              </w:rPr>
            </w:pPr>
            <w:r>
              <w:rPr>
                <w:rFonts w:hint="eastAsia" w:ascii="宋体" w:hAnsi="宋体" w:cs="宋体"/>
                <w:b/>
                <w:bCs/>
                <w:color w:val="000000"/>
                <w:sz w:val="24"/>
              </w:rPr>
              <w:t>1</w:t>
            </w:r>
          </w:p>
        </w:tc>
        <w:tc>
          <w:tcPr>
            <w:tcW w:w="67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ascii="宋体" w:hAnsi="宋体" w:cs="宋体"/>
                <w:color w:val="000000"/>
                <w:sz w:val="24"/>
              </w:rPr>
            </w:pPr>
          </w:p>
          <w:p>
            <w:pPr>
              <w:spacing w:line="440" w:lineRule="exact"/>
              <w:jc w:val="center"/>
              <w:rPr>
                <w:rFonts w:ascii="宋体" w:hAnsi="宋体" w:cs="宋体"/>
                <w:color w:val="000000"/>
                <w:sz w:val="24"/>
              </w:rPr>
            </w:pPr>
          </w:p>
          <w:p>
            <w:pPr>
              <w:spacing w:line="440" w:lineRule="exact"/>
              <w:jc w:val="center"/>
              <w:rPr>
                <w:rFonts w:ascii="宋体" w:hAnsi="宋体" w:cs="宋体"/>
                <w:color w:val="000000"/>
                <w:sz w:val="24"/>
              </w:rPr>
            </w:pPr>
          </w:p>
          <w:p>
            <w:pPr>
              <w:spacing w:line="440" w:lineRule="exact"/>
              <w:jc w:val="center"/>
              <w:rPr>
                <w:rFonts w:ascii="宋体" w:hAnsi="宋体" w:cs="宋体"/>
                <w:color w:val="000000"/>
                <w:sz w:val="24"/>
              </w:rPr>
            </w:pPr>
          </w:p>
          <w:p>
            <w:pPr>
              <w:spacing w:line="440" w:lineRule="exact"/>
              <w:jc w:val="center"/>
              <w:rPr>
                <w:rFonts w:ascii="宋体" w:hAnsi="宋体" w:cs="宋体"/>
                <w:color w:val="000000"/>
                <w:sz w:val="24"/>
              </w:rPr>
            </w:pPr>
          </w:p>
          <w:p>
            <w:pPr>
              <w:spacing w:line="440" w:lineRule="exact"/>
              <w:rPr>
                <w:rFonts w:ascii="宋体" w:hAnsi="宋体" w:cs="宋体"/>
                <w:color w:val="000000"/>
                <w:sz w:val="24"/>
              </w:rPr>
            </w:pPr>
            <w:r>
              <w:rPr>
                <w:rFonts w:hint="eastAsia" w:ascii="宋体" w:hAnsi="宋体" w:cs="宋体"/>
                <w:b/>
                <w:bCs/>
                <w:color w:val="000000"/>
                <w:sz w:val="24"/>
              </w:rPr>
              <w:t>乔木</w:t>
            </w:r>
          </w:p>
        </w:tc>
        <w:tc>
          <w:tcPr>
            <w:tcW w:w="2653" w:type="dxa"/>
            <w:tcBorders>
              <w:top w:val="single" w:color="auto" w:sz="6" w:space="0"/>
              <w:left w:val="single" w:color="auto" w:sz="6" w:space="0"/>
              <w:bottom w:val="single" w:color="auto" w:sz="6" w:space="0"/>
              <w:right w:val="single" w:color="auto" w:sz="6" w:space="0"/>
            </w:tcBorders>
            <w:noWrap w:val="0"/>
            <w:vAlign w:val="top"/>
          </w:tcPr>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栽（补）植：成活率100％，保存率应达到98％以上；</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树形符合生物形态和景观设计要求；</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树冠完整，生长势强，枝条粗壮，高矮一致，叶色正常，有光泽；</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4、</w:t>
            </w:r>
            <w:r>
              <w:rPr>
                <w:rFonts w:hint="eastAsia" w:asciiTheme="minorEastAsia" w:hAnsiTheme="minorEastAsia" w:eastAsiaTheme="minorEastAsia" w:cstheme="minorEastAsia"/>
                <w:color w:val="000000"/>
                <w:sz w:val="21"/>
                <w:szCs w:val="21"/>
              </w:rPr>
              <w:t>新植阔叶行道树枝下高必须大于2.0米，人行道侧树木以遮荫主，行车道侧树木应不影响行车安全；</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5、</w:t>
            </w:r>
            <w:r>
              <w:rPr>
                <w:rFonts w:hint="eastAsia" w:asciiTheme="minorEastAsia" w:hAnsiTheme="minorEastAsia" w:eastAsiaTheme="minorEastAsia" w:cstheme="minorEastAsia"/>
                <w:color w:val="000000"/>
                <w:sz w:val="21"/>
                <w:szCs w:val="21"/>
              </w:rPr>
              <w:t>无死树缺株、枯死枝、荫蘖枝、无黄叶、焦叶、卷叶；</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6、</w:t>
            </w:r>
            <w:r>
              <w:rPr>
                <w:rFonts w:hint="eastAsia" w:asciiTheme="minorEastAsia" w:hAnsiTheme="minorEastAsia" w:eastAsiaTheme="minorEastAsia" w:cstheme="minorEastAsia"/>
                <w:color w:val="000000"/>
                <w:sz w:val="21"/>
                <w:szCs w:val="21"/>
              </w:rPr>
              <w:t>每年适时适度修剪2次以上，通风透光，剪口，锯口平滑，涂敷得当；</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7、</w:t>
            </w:r>
            <w:r>
              <w:rPr>
                <w:rFonts w:hint="eastAsia" w:asciiTheme="minorEastAsia" w:hAnsiTheme="minorEastAsia" w:eastAsiaTheme="minorEastAsia" w:cstheme="minorEastAsia"/>
                <w:color w:val="000000"/>
                <w:sz w:val="21"/>
                <w:szCs w:val="21"/>
              </w:rPr>
              <w:t>每年春，秋必须对树干各涂白1次，涂白从树干根际线向上1.2m-1.5m，涂白高度应保持一致；</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8</w:t>
            </w:r>
            <w:r>
              <w:rPr>
                <w:rFonts w:hint="eastAsia" w:asciiTheme="minorEastAsia" w:hAnsiTheme="minorEastAsia" w:eastAsiaTheme="minorEastAsia" w:cstheme="minorEastAsia"/>
                <w:color w:val="000000"/>
                <w:sz w:val="21"/>
                <w:szCs w:val="21"/>
              </w:rPr>
              <w:t>、每年施肥2次以上，树穴边线清晰，穴内无杂物。</w:t>
            </w:r>
          </w:p>
        </w:tc>
        <w:tc>
          <w:tcPr>
            <w:tcW w:w="2268" w:type="dxa"/>
            <w:tcBorders>
              <w:top w:val="single" w:color="auto" w:sz="6" w:space="0"/>
              <w:left w:val="single" w:color="auto" w:sz="6" w:space="0"/>
              <w:bottom w:val="single" w:color="auto" w:sz="6" w:space="0"/>
              <w:right w:val="single" w:color="auto" w:sz="6" w:space="0"/>
            </w:tcBorders>
            <w:noWrap w:val="0"/>
            <w:vAlign w:val="top"/>
          </w:tcPr>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、树冠基本完整，高矮基本一致，叶色正常；</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新植阔叶行道树枝下高必须大2.0米，人行道侧树木以遮荫为主，行车道侧树木应不影响行车全；</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、基本无死树、缺株现象，及时清除死树、枯枝；</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4</w:t>
            </w:r>
            <w:r>
              <w:rPr>
                <w:rFonts w:hint="eastAsia" w:asciiTheme="minorEastAsia" w:hAnsiTheme="minorEastAsia" w:eastAsiaTheme="minorEastAsia" w:cstheme="minorEastAsia"/>
                <w:color w:val="000000"/>
                <w:sz w:val="21"/>
                <w:szCs w:val="21"/>
              </w:rPr>
              <w:t>、每年适时度修                   剪1次以上；</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5</w:t>
            </w:r>
            <w:r>
              <w:rPr>
                <w:rFonts w:hint="eastAsia" w:asciiTheme="minorEastAsia" w:hAnsiTheme="minorEastAsia" w:eastAsiaTheme="minorEastAsia" w:cstheme="minorEastAsia"/>
                <w:color w:val="000000"/>
                <w:sz w:val="21"/>
                <w:szCs w:val="21"/>
              </w:rPr>
              <w:t xml:space="preserve">、每年春、秋必须对树干各涂白一次，高度一致；                  </w:t>
            </w:r>
            <w:r>
              <w:rPr>
                <w:rFonts w:hint="eastAsia" w:asciiTheme="minorEastAsia" w:hAnsiTheme="minorEastAsia" w:eastAsiaTheme="minorEastAsia" w:cstheme="minorEastAsia"/>
                <w:b/>
                <w:bCs/>
                <w:color w:val="000000"/>
                <w:sz w:val="21"/>
                <w:szCs w:val="21"/>
              </w:rPr>
              <w:t>6</w:t>
            </w:r>
            <w:r>
              <w:rPr>
                <w:rFonts w:hint="eastAsia" w:asciiTheme="minorEastAsia" w:hAnsiTheme="minorEastAsia" w:eastAsiaTheme="minorEastAsia" w:cstheme="minorEastAsia"/>
                <w:color w:val="000000"/>
                <w:sz w:val="21"/>
                <w:szCs w:val="21"/>
              </w:rPr>
              <w:t xml:space="preserve">、每年施肥1次以上，树穴无杂物；             </w:t>
            </w:r>
            <w:r>
              <w:rPr>
                <w:rFonts w:hint="eastAsia" w:asciiTheme="minorEastAsia" w:hAnsiTheme="minorEastAsia" w:eastAsiaTheme="minorEastAsia" w:cstheme="minorEastAsia"/>
                <w:b/>
                <w:bCs/>
                <w:color w:val="000000"/>
                <w:sz w:val="21"/>
                <w:szCs w:val="21"/>
              </w:rPr>
              <w:t>7</w:t>
            </w:r>
            <w:r>
              <w:rPr>
                <w:rFonts w:hint="eastAsia" w:asciiTheme="minorEastAsia" w:hAnsiTheme="minorEastAsia" w:eastAsiaTheme="minorEastAsia" w:cstheme="minorEastAsia"/>
                <w:color w:val="000000"/>
                <w:sz w:val="21"/>
                <w:szCs w:val="21"/>
              </w:rPr>
              <w:t>、栽（补）植成活率98％以上，保存率应达到95％以上。</w:t>
            </w:r>
          </w:p>
        </w:tc>
        <w:tc>
          <w:tcPr>
            <w:tcW w:w="2460" w:type="dxa"/>
            <w:tcBorders>
              <w:top w:val="single" w:color="auto" w:sz="6" w:space="0"/>
              <w:left w:val="single" w:color="auto" w:sz="6" w:space="0"/>
              <w:bottom w:val="single" w:color="auto" w:sz="6" w:space="0"/>
              <w:right w:val="single" w:color="auto" w:sz="6" w:space="0"/>
            </w:tcBorders>
            <w:noWrap w:val="0"/>
            <w:vAlign w:val="top"/>
          </w:tcPr>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 xml:space="preserve">生长基本正常；         </w:t>
            </w: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 xml:space="preserve">新植阔叶行道树不影响车辆正常行驶；           </w:t>
            </w: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死树、缺株率应低于2％，及时清除死树；</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4、</w:t>
            </w:r>
            <w:r>
              <w:rPr>
                <w:rFonts w:hint="eastAsia" w:asciiTheme="minorEastAsia" w:hAnsiTheme="minorEastAsia" w:eastAsiaTheme="minorEastAsia" w:cstheme="minorEastAsia"/>
                <w:color w:val="000000"/>
                <w:sz w:val="21"/>
                <w:szCs w:val="21"/>
              </w:rPr>
              <w:t xml:space="preserve">每2年适时适度修剪1次以上；                  </w:t>
            </w:r>
            <w:r>
              <w:rPr>
                <w:rFonts w:hint="eastAsia" w:asciiTheme="minorEastAsia" w:hAnsiTheme="minorEastAsia" w:eastAsiaTheme="minorEastAsia" w:cstheme="minorEastAsia"/>
                <w:b/>
                <w:bCs/>
                <w:color w:val="000000"/>
                <w:sz w:val="21"/>
                <w:szCs w:val="21"/>
              </w:rPr>
              <w:t>5</w:t>
            </w:r>
            <w:r>
              <w:rPr>
                <w:rFonts w:hint="eastAsia" w:asciiTheme="minorEastAsia" w:hAnsiTheme="minorEastAsia" w:eastAsiaTheme="minorEastAsia" w:cstheme="minorEastAsia"/>
                <w:color w:val="000000"/>
                <w:sz w:val="21"/>
                <w:szCs w:val="21"/>
              </w:rPr>
              <w:t xml:space="preserve">、每年应对树干涂白1次；                 </w:t>
            </w:r>
            <w:r>
              <w:rPr>
                <w:rFonts w:hint="eastAsia" w:asciiTheme="minorEastAsia" w:hAnsiTheme="minorEastAsia" w:eastAsiaTheme="minorEastAsia" w:cstheme="minorEastAsia"/>
                <w:b/>
                <w:bCs/>
                <w:color w:val="000000"/>
                <w:sz w:val="21"/>
                <w:szCs w:val="21"/>
              </w:rPr>
              <w:t>6</w:t>
            </w:r>
            <w:r>
              <w:rPr>
                <w:rFonts w:hint="eastAsia" w:asciiTheme="minorEastAsia" w:hAnsiTheme="minorEastAsia" w:eastAsiaTheme="minorEastAsia" w:cstheme="minorEastAsia"/>
                <w:color w:val="000000"/>
                <w:sz w:val="21"/>
                <w:szCs w:val="21"/>
              </w:rPr>
              <w:t>、每2年施肥1次以上；</w:t>
            </w:r>
          </w:p>
          <w:p>
            <w:pPr>
              <w:spacing w:line="2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7、</w:t>
            </w:r>
            <w:r>
              <w:rPr>
                <w:rFonts w:hint="eastAsia" w:asciiTheme="minorEastAsia" w:hAnsiTheme="minorEastAsia" w:eastAsiaTheme="minorEastAsia" w:cstheme="minorEastAsia"/>
                <w:color w:val="000000"/>
                <w:sz w:val="21"/>
                <w:szCs w:val="21"/>
              </w:rPr>
              <w:t>栽（补)植：成活率 95％以上，保存率应达到 90％以上。</w:t>
            </w:r>
          </w:p>
        </w:tc>
      </w:tr>
      <w:tr>
        <w:tblPrEx>
          <w:tblCellMar>
            <w:top w:w="0" w:type="dxa"/>
            <w:left w:w="108" w:type="dxa"/>
            <w:bottom w:w="0" w:type="dxa"/>
            <w:right w:w="108" w:type="dxa"/>
          </w:tblCellMar>
        </w:tblPrEx>
        <w:trPr>
          <w:trHeight w:val="3903"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color w:val="000000"/>
                <w:sz w:val="24"/>
              </w:rPr>
            </w:pPr>
            <w:r>
              <w:rPr>
                <w:rFonts w:hint="eastAsia" w:ascii="宋体" w:hAnsi="宋体" w:cs="宋体"/>
                <w:b/>
                <w:bCs/>
                <w:color w:val="000000"/>
                <w:sz w:val="24"/>
              </w:rPr>
              <w:t>2</w:t>
            </w:r>
          </w:p>
        </w:tc>
        <w:tc>
          <w:tcPr>
            <w:tcW w:w="67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color w:val="000000"/>
                <w:sz w:val="24"/>
              </w:rPr>
            </w:pPr>
            <w:r>
              <w:rPr>
                <w:rFonts w:hint="eastAsia" w:ascii="宋体" w:hAnsi="宋体" w:cs="宋体"/>
                <w:b/>
                <w:bCs/>
                <w:color w:val="000000"/>
                <w:sz w:val="24"/>
              </w:rPr>
              <w:t>灌木</w:t>
            </w:r>
          </w:p>
        </w:tc>
        <w:tc>
          <w:tcPr>
            <w:tcW w:w="2653"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 xml:space="preserve">生长势强，枝壮叶茂，开花及时，叶色正常有光泽； </w:t>
            </w:r>
            <w:r>
              <w:rPr>
                <w:rFonts w:hint="eastAsia" w:asciiTheme="minorEastAsia" w:hAnsiTheme="minorEastAsia" w:eastAsiaTheme="minorEastAsia" w:cstheme="minorEastAsia"/>
                <w:b/>
                <w:bCs/>
                <w:color w:val="000000"/>
                <w:sz w:val="21"/>
                <w:szCs w:val="21"/>
              </w:rPr>
              <w:t xml:space="preserve"> 2、</w:t>
            </w:r>
            <w:r>
              <w:rPr>
                <w:rFonts w:hint="eastAsia" w:asciiTheme="minorEastAsia" w:hAnsiTheme="minorEastAsia" w:eastAsiaTheme="minorEastAsia" w:cstheme="minorEastAsia"/>
                <w:color w:val="000000"/>
                <w:sz w:val="21"/>
                <w:szCs w:val="21"/>
              </w:rPr>
              <w:t>无缺株、死株，无黄叶、焦叶、卷叶、枯萎叶，生长季节不落叶；</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每年适时适度修剪不少于7-9次，影响树势、树形的枝条修剪率98％以上；</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 xml:space="preserve"> 4、</w:t>
            </w:r>
            <w:r>
              <w:rPr>
                <w:rFonts w:hint="eastAsia" w:asciiTheme="minorEastAsia" w:hAnsiTheme="minorEastAsia" w:eastAsiaTheme="minorEastAsia" w:cstheme="minorEastAsia"/>
                <w:color w:val="000000"/>
                <w:sz w:val="21"/>
                <w:szCs w:val="21"/>
              </w:rPr>
              <w:t>每年施肥2次以上，树穴边线清晰，穴内无杂物；</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5、</w:t>
            </w:r>
            <w:r>
              <w:rPr>
                <w:rFonts w:hint="eastAsia" w:asciiTheme="minorEastAsia" w:hAnsiTheme="minorEastAsia" w:eastAsiaTheme="minorEastAsia" w:cstheme="minorEastAsia"/>
                <w:color w:val="000000"/>
                <w:sz w:val="21"/>
                <w:szCs w:val="21"/>
              </w:rPr>
              <w:t xml:space="preserve">栽（补）植：成活率100％，保存率应达到98％以上。  </w:t>
            </w:r>
          </w:p>
        </w:tc>
        <w:tc>
          <w:tcPr>
            <w:tcW w:w="2268"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生长势正常，叶色正常；</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 xml:space="preserve">生长季节不落叶，基本无缺株、死株现象； </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、每年适时适度修剪4-6次；</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4</w:t>
            </w:r>
            <w:r>
              <w:rPr>
                <w:rFonts w:hint="eastAsia" w:asciiTheme="minorEastAsia" w:hAnsiTheme="minorEastAsia" w:eastAsiaTheme="minorEastAsia" w:cstheme="minorEastAsia"/>
                <w:color w:val="000000"/>
                <w:sz w:val="21"/>
                <w:szCs w:val="21"/>
              </w:rPr>
              <w:t xml:space="preserve">、每年施肥1次以上，树穴无杂物 </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 xml:space="preserve"> 5</w:t>
            </w:r>
            <w:r>
              <w:rPr>
                <w:rFonts w:hint="eastAsia" w:asciiTheme="minorEastAsia" w:hAnsiTheme="minorEastAsia" w:eastAsiaTheme="minorEastAsia" w:cstheme="minorEastAsia"/>
                <w:color w:val="000000"/>
                <w:sz w:val="21"/>
                <w:szCs w:val="21"/>
              </w:rPr>
              <w:t>、栽（补）植：成活率98％，保存率应达到95％以上。</w:t>
            </w:r>
          </w:p>
        </w:tc>
        <w:tc>
          <w:tcPr>
            <w:tcW w:w="2460"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 xml:space="preserve">生长基本正常；        </w:t>
            </w: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 xml:space="preserve">无明显旱象，死株、缺株率应低于2％，生长季节基本不落叶，及时清除死株枯枝；                    </w:t>
            </w: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 xml:space="preserve">每2年施肥1次以上；     </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 xml:space="preserve"> 4、</w:t>
            </w:r>
            <w:r>
              <w:rPr>
                <w:rFonts w:hint="eastAsia" w:asciiTheme="minorEastAsia" w:hAnsiTheme="minorEastAsia" w:eastAsiaTheme="minorEastAsia" w:cstheme="minorEastAsia"/>
                <w:color w:val="000000"/>
                <w:sz w:val="21"/>
                <w:szCs w:val="21"/>
              </w:rPr>
              <w:t xml:space="preserve">栽（补）植：成活率95％，保存率应达到90％。           </w:t>
            </w:r>
          </w:p>
        </w:tc>
      </w:tr>
      <w:tr>
        <w:tblPrEx>
          <w:tblCellMar>
            <w:top w:w="0" w:type="dxa"/>
            <w:left w:w="108" w:type="dxa"/>
            <w:bottom w:w="0" w:type="dxa"/>
            <w:right w:w="108" w:type="dxa"/>
          </w:tblCellMar>
        </w:tblPrEx>
        <w:trPr>
          <w:trHeight w:val="3321"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color w:val="000000"/>
                <w:sz w:val="24"/>
              </w:rPr>
            </w:pPr>
            <w:r>
              <w:rPr>
                <w:rFonts w:hint="eastAsia" w:ascii="宋体" w:hAnsi="宋体" w:cs="宋体"/>
                <w:b/>
                <w:bCs/>
                <w:color w:val="000000"/>
                <w:sz w:val="24"/>
              </w:rPr>
              <w:t>3</w:t>
            </w:r>
          </w:p>
        </w:tc>
        <w:tc>
          <w:tcPr>
            <w:tcW w:w="67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color w:val="000000"/>
                <w:sz w:val="24"/>
              </w:rPr>
            </w:pPr>
            <w:r>
              <w:rPr>
                <w:rFonts w:hint="eastAsia" w:ascii="宋体" w:hAnsi="宋体" w:cs="宋体"/>
                <w:b/>
                <w:bCs/>
                <w:color w:val="000000"/>
                <w:sz w:val="24"/>
              </w:rPr>
              <w:t>花卉</w:t>
            </w:r>
          </w:p>
        </w:tc>
        <w:tc>
          <w:tcPr>
            <w:tcW w:w="2653"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花卉种植轮廓清晰，整齐美观，高矮、花色搭配合理，疏密均匀；</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植株健壮，同品种花卉高低一致，叶色正常有光泽；</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更换及时，无残缺；</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4、</w:t>
            </w:r>
            <w:r>
              <w:rPr>
                <w:rFonts w:hint="eastAsia" w:asciiTheme="minorEastAsia" w:hAnsiTheme="minorEastAsia" w:eastAsiaTheme="minorEastAsia" w:cstheme="minorEastAsia"/>
                <w:color w:val="000000"/>
                <w:sz w:val="21"/>
                <w:szCs w:val="21"/>
              </w:rPr>
              <w:t>每次栽植前施底肥，季节性施肥2次以上；</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5、</w:t>
            </w:r>
            <w:r>
              <w:rPr>
                <w:rFonts w:hint="eastAsia" w:asciiTheme="minorEastAsia" w:hAnsiTheme="minorEastAsia" w:eastAsiaTheme="minorEastAsia" w:cstheme="minorEastAsia"/>
                <w:color w:val="000000"/>
                <w:sz w:val="21"/>
                <w:szCs w:val="21"/>
              </w:rPr>
              <w:t>多年生花卉冬季保护措施完善。</w:t>
            </w:r>
          </w:p>
        </w:tc>
        <w:tc>
          <w:tcPr>
            <w:tcW w:w="2268"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花卉种植轮廓清晰，整齐美观，高矮、花色搭配合理；</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残缺病株不超过10％，及时补植；</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栽植前施底肥 ，季节性施肥1次以上；</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b/>
                <w:bCs/>
                <w:color w:val="000000"/>
                <w:sz w:val="21"/>
                <w:szCs w:val="21"/>
              </w:rPr>
              <w:t>4、</w:t>
            </w:r>
            <w:r>
              <w:rPr>
                <w:rFonts w:hint="eastAsia" w:asciiTheme="minorEastAsia" w:hAnsiTheme="minorEastAsia" w:eastAsiaTheme="minorEastAsia" w:cstheme="minorEastAsia"/>
                <w:color w:val="000000"/>
                <w:sz w:val="21"/>
                <w:szCs w:val="21"/>
              </w:rPr>
              <w:t>多年生花卉有冬季保护措施。</w:t>
            </w:r>
          </w:p>
        </w:tc>
        <w:tc>
          <w:tcPr>
            <w:tcW w:w="2460"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花卉生长正常，定期更换、补植及时；</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栽植前施底肥。</w:t>
            </w:r>
          </w:p>
        </w:tc>
      </w:tr>
      <w:tr>
        <w:tblPrEx>
          <w:tblCellMar>
            <w:top w:w="0" w:type="dxa"/>
            <w:left w:w="108" w:type="dxa"/>
            <w:bottom w:w="0" w:type="dxa"/>
            <w:right w:w="108" w:type="dxa"/>
          </w:tblCellMar>
        </w:tblPrEx>
        <w:trPr>
          <w:jc w:val="center"/>
        </w:trPr>
        <w:tc>
          <w:tcPr>
            <w:tcW w:w="47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cs="宋体"/>
                <w:color w:val="000000"/>
                <w:sz w:val="24"/>
              </w:rPr>
            </w:pPr>
            <w:r>
              <w:rPr>
                <w:rFonts w:hint="eastAsia" w:ascii="宋体" w:hAnsi="宋体" w:cs="宋体"/>
                <w:b/>
                <w:bCs/>
                <w:color w:val="000000"/>
                <w:sz w:val="24"/>
              </w:rPr>
              <w:t>4</w:t>
            </w:r>
          </w:p>
        </w:tc>
        <w:tc>
          <w:tcPr>
            <w:tcW w:w="67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cs="宋体"/>
                <w:color w:val="000000"/>
                <w:sz w:val="24"/>
              </w:rPr>
            </w:pPr>
            <w:r>
              <w:rPr>
                <w:rFonts w:hint="eastAsia" w:ascii="宋体" w:hAnsi="宋体" w:cs="宋体"/>
                <w:b/>
                <w:bCs/>
                <w:color w:val="000000"/>
                <w:sz w:val="24"/>
              </w:rPr>
              <w:t>草坪</w:t>
            </w:r>
          </w:p>
        </w:tc>
        <w:tc>
          <w:tcPr>
            <w:tcW w:w="2653"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种植面积应小于绿地面积的30％；</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目测无杂草，无斑秃，覆盖度达到草坪种植区域的100％；</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、草坪生长旺盛，生长季节不枯黄；</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4</w:t>
            </w:r>
            <w:r>
              <w:rPr>
                <w:rFonts w:hint="eastAsia" w:asciiTheme="minorEastAsia" w:hAnsiTheme="minorEastAsia" w:eastAsiaTheme="minorEastAsia" w:cstheme="minorEastAsia"/>
                <w:color w:val="000000"/>
                <w:sz w:val="21"/>
                <w:szCs w:val="21"/>
              </w:rPr>
              <w:t xml:space="preserve">、修剪整齐，高度一致，禾本科草坪高度在5-8cm，非禾本科草坪修剪根据植物特性确定；  </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5</w:t>
            </w:r>
            <w:r>
              <w:rPr>
                <w:rFonts w:hint="eastAsia" w:asciiTheme="minorEastAsia" w:hAnsiTheme="minorEastAsia" w:eastAsiaTheme="minorEastAsia" w:cstheme="minorEastAsia"/>
                <w:color w:val="000000"/>
                <w:sz w:val="21"/>
                <w:szCs w:val="21"/>
              </w:rPr>
              <w:t>、每年施肥2次以上；</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6、</w:t>
            </w:r>
            <w:r>
              <w:rPr>
                <w:rFonts w:hint="eastAsia" w:asciiTheme="minorEastAsia" w:hAnsiTheme="minorEastAsia" w:eastAsiaTheme="minorEastAsia" w:cstheme="minorEastAsia"/>
                <w:color w:val="000000"/>
                <w:sz w:val="21"/>
                <w:szCs w:val="21"/>
              </w:rPr>
              <w:t>5-8年内酌情进行复壮或更新一次；</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7</w:t>
            </w:r>
            <w:r>
              <w:rPr>
                <w:rFonts w:hint="eastAsia" w:asciiTheme="minorEastAsia" w:hAnsiTheme="minorEastAsia" w:eastAsiaTheme="minorEastAsia" w:cstheme="minorEastAsia"/>
                <w:color w:val="000000"/>
                <w:sz w:val="21"/>
                <w:szCs w:val="21"/>
              </w:rPr>
              <w:t>、3年以上草坪必须每年打孔疏草2次以上。</w:t>
            </w:r>
          </w:p>
        </w:tc>
        <w:tc>
          <w:tcPr>
            <w:tcW w:w="2268"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 xml:space="preserve">生长正常，覆盖度90％以上；                 </w:t>
            </w: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 xml:space="preserve">草坪生长基本正常；             </w:t>
            </w: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 xml:space="preserve">草坪修剪高度控制在10cm以内；            </w:t>
            </w:r>
            <w:r>
              <w:rPr>
                <w:rFonts w:hint="eastAsia" w:asciiTheme="minorEastAsia" w:hAnsiTheme="minorEastAsia" w:eastAsiaTheme="minorEastAsia" w:cstheme="minorEastAsia"/>
                <w:b/>
                <w:bCs/>
                <w:color w:val="000000"/>
                <w:sz w:val="21"/>
                <w:szCs w:val="21"/>
              </w:rPr>
              <w:t>4、</w:t>
            </w:r>
            <w:r>
              <w:rPr>
                <w:rFonts w:hint="eastAsia" w:asciiTheme="minorEastAsia" w:hAnsiTheme="minorEastAsia" w:eastAsiaTheme="minorEastAsia" w:cstheme="minorEastAsia"/>
                <w:color w:val="000000"/>
                <w:sz w:val="21"/>
                <w:szCs w:val="21"/>
              </w:rPr>
              <w:t>每年施肥1次以上；5、3年以上草坪必须每年打孔疏草1次以上。</w:t>
            </w:r>
          </w:p>
        </w:tc>
        <w:tc>
          <w:tcPr>
            <w:tcW w:w="2460"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right"/>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881"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color w:val="000000"/>
                <w:sz w:val="24"/>
              </w:rPr>
            </w:pPr>
            <w:r>
              <w:rPr>
                <w:rFonts w:hint="eastAsia" w:ascii="宋体" w:hAnsi="宋体" w:cs="宋体"/>
                <w:b/>
                <w:bCs/>
                <w:color w:val="000000"/>
                <w:sz w:val="24"/>
              </w:rPr>
              <w:t>5</w:t>
            </w:r>
          </w:p>
        </w:tc>
        <w:tc>
          <w:tcPr>
            <w:tcW w:w="67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color w:val="000000"/>
                <w:sz w:val="24"/>
              </w:rPr>
            </w:pPr>
            <w:r>
              <w:rPr>
                <w:rFonts w:hint="eastAsia" w:ascii="宋体" w:hAnsi="宋体" w:cs="宋体"/>
                <w:b/>
                <w:bCs/>
                <w:color w:val="000000"/>
                <w:sz w:val="24"/>
              </w:rPr>
              <w:t>绿篱</w:t>
            </w:r>
          </w:p>
        </w:tc>
        <w:tc>
          <w:tcPr>
            <w:tcW w:w="2653"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有明显的层次感，生长势强，枝壮叶茂，叶色正常，有光泽，无断垄；</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 xml:space="preserve">每年修剪不少于10-15次，修剪整齐； </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每年施肥2次以上。</w:t>
            </w:r>
          </w:p>
        </w:tc>
        <w:tc>
          <w:tcPr>
            <w:tcW w:w="2268"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有层次感，叶色正常，基本无断垄死株现象；</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每年修剪4-9次，              外形基本整齐；</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、每年施肥1次以上。</w:t>
            </w:r>
          </w:p>
        </w:tc>
        <w:tc>
          <w:tcPr>
            <w:tcW w:w="2460"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right"/>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2892"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color w:val="000000"/>
                <w:sz w:val="24"/>
              </w:rPr>
            </w:pPr>
            <w:r>
              <w:rPr>
                <w:rFonts w:hint="eastAsia" w:ascii="宋体" w:hAnsi="宋体" w:cs="宋体"/>
                <w:b/>
                <w:bCs/>
                <w:color w:val="000000"/>
                <w:sz w:val="24"/>
              </w:rPr>
              <w:t>6</w:t>
            </w:r>
          </w:p>
        </w:tc>
        <w:tc>
          <w:tcPr>
            <w:tcW w:w="67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b/>
                <w:bCs/>
                <w:color w:val="000000"/>
                <w:sz w:val="24"/>
              </w:rPr>
            </w:pPr>
            <w:r>
              <w:rPr>
                <w:rFonts w:hint="eastAsia" w:ascii="宋体" w:hAnsi="宋体" w:cs="宋体"/>
                <w:b/>
                <w:bCs/>
                <w:color w:val="000000"/>
                <w:sz w:val="24"/>
              </w:rPr>
              <w:t>小品雕塑</w:t>
            </w:r>
          </w:p>
        </w:tc>
        <w:tc>
          <w:tcPr>
            <w:tcW w:w="26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每年按原设计定时清洁和维护</w:t>
            </w:r>
          </w:p>
        </w:tc>
        <w:tc>
          <w:tcPr>
            <w:tcW w:w="2268" w:type="dxa"/>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参照上一级公园绿地执行</w:t>
            </w:r>
          </w:p>
        </w:tc>
        <w:tc>
          <w:tcPr>
            <w:tcW w:w="246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1060"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b/>
                <w:bCs/>
                <w:color w:val="000000"/>
                <w:sz w:val="24"/>
              </w:rPr>
            </w:pPr>
          </w:p>
          <w:p>
            <w:pPr>
              <w:spacing w:line="440" w:lineRule="exact"/>
              <w:rPr>
                <w:rFonts w:ascii="宋体" w:hAnsi="宋体" w:cs="宋体"/>
                <w:b/>
                <w:bCs/>
                <w:color w:val="000000"/>
                <w:sz w:val="24"/>
              </w:rPr>
            </w:pPr>
            <w:r>
              <w:rPr>
                <w:rFonts w:hint="eastAsia" w:ascii="宋体" w:hAnsi="宋体" w:cs="宋体"/>
                <w:b/>
                <w:bCs/>
                <w:color w:val="000000"/>
                <w:sz w:val="24"/>
              </w:rPr>
              <w:t>7</w:t>
            </w:r>
          </w:p>
          <w:p>
            <w:pPr>
              <w:spacing w:line="440" w:lineRule="exact"/>
              <w:rPr>
                <w:rFonts w:ascii="宋体" w:hAnsi="宋体" w:cs="宋体"/>
                <w:b/>
                <w:bCs/>
                <w:color w:val="000000"/>
                <w:sz w:val="24"/>
              </w:rPr>
            </w:pPr>
          </w:p>
        </w:tc>
        <w:tc>
          <w:tcPr>
            <w:tcW w:w="67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b/>
                <w:bCs/>
                <w:color w:val="000000"/>
                <w:sz w:val="24"/>
              </w:rPr>
            </w:pPr>
          </w:p>
          <w:p>
            <w:pPr>
              <w:spacing w:line="440" w:lineRule="exact"/>
              <w:rPr>
                <w:rFonts w:ascii="宋体" w:hAnsi="宋体" w:cs="宋体"/>
                <w:b/>
                <w:bCs/>
                <w:color w:val="000000"/>
                <w:sz w:val="24"/>
              </w:rPr>
            </w:pPr>
            <w:r>
              <w:rPr>
                <w:rFonts w:hint="eastAsia" w:ascii="宋体" w:hAnsi="宋体" w:cs="宋体"/>
                <w:b/>
                <w:bCs/>
                <w:color w:val="000000"/>
                <w:sz w:val="24"/>
              </w:rPr>
              <w:t>灌溉</w:t>
            </w:r>
          </w:p>
          <w:p>
            <w:pPr>
              <w:spacing w:line="440" w:lineRule="exact"/>
              <w:rPr>
                <w:rFonts w:ascii="宋体" w:hAnsi="宋体" w:cs="宋体"/>
                <w:b/>
                <w:bCs/>
                <w:color w:val="000000"/>
                <w:sz w:val="24"/>
              </w:rPr>
            </w:pPr>
          </w:p>
        </w:tc>
        <w:tc>
          <w:tcPr>
            <w:tcW w:w="2653"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Theme="minorEastAsia" w:hAnsiTheme="minorEastAsia" w:eastAsiaTheme="minorEastAsia" w:cstheme="minorEastAsia"/>
                <w:color w:val="000000"/>
                <w:sz w:val="21"/>
                <w:szCs w:val="21"/>
              </w:rPr>
            </w:pP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推广中水进行绿化灌溉，原则每月灌溉不少于4次；</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、灌溉设施布局合理，设施完善，水量适当，喷洒均匀，无旱涝、外</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溢、漏浇现象；</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、灌溉设施维修及时；及时进行冬灌和返青水灌溉</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4</w:t>
            </w:r>
            <w:r>
              <w:rPr>
                <w:rFonts w:hint="eastAsia" w:asciiTheme="minorEastAsia" w:hAnsiTheme="minorEastAsia" w:eastAsiaTheme="minorEastAsia" w:cstheme="minorEastAsia"/>
                <w:color w:val="000000"/>
                <w:sz w:val="21"/>
                <w:szCs w:val="21"/>
              </w:rPr>
              <w:t>、入冬前，灌溉管网及时排水，无冻胀、冻裂现象。</w:t>
            </w:r>
          </w:p>
          <w:p>
            <w:pPr>
              <w:spacing w:line="300" w:lineRule="exact"/>
              <w:rPr>
                <w:rFonts w:hint="eastAsia" w:asciiTheme="minorEastAsia" w:hAnsiTheme="minorEastAsia" w:eastAsiaTheme="minorEastAsia" w:cstheme="minorEastAsia"/>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Theme="minorEastAsia" w:hAnsiTheme="minorEastAsia" w:eastAsiaTheme="minorEastAsia" w:cstheme="minorEastAsia"/>
                <w:color w:val="000000"/>
                <w:sz w:val="21"/>
                <w:szCs w:val="21"/>
              </w:rPr>
            </w:pP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 xml:space="preserve">、推广中水进行绿化灌溉，原则每月灌溉不少于3次；             </w:t>
            </w: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 xml:space="preserve">、有灌溉设施，无旱涝现象；                   </w:t>
            </w: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 xml:space="preserve">、灌溉设施定期检查维修；                   </w:t>
            </w:r>
            <w:r>
              <w:rPr>
                <w:rFonts w:hint="eastAsia" w:asciiTheme="minorEastAsia" w:hAnsiTheme="minorEastAsia" w:eastAsiaTheme="minorEastAsia" w:cstheme="minorEastAsia"/>
                <w:b/>
                <w:bCs/>
                <w:color w:val="000000"/>
                <w:sz w:val="21"/>
                <w:szCs w:val="21"/>
              </w:rPr>
              <w:t>4</w:t>
            </w:r>
            <w:r>
              <w:rPr>
                <w:rFonts w:hint="eastAsia" w:asciiTheme="minorEastAsia" w:hAnsiTheme="minorEastAsia" w:eastAsiaTheme="minorEastAsia" w:cstheme="minorEastAsia"/>
                <w:color w:val="000000"/>
                <w:sz w:val="21"/>
                <w:szCs w:val="21"/>
              </w:rPr>
              <w:t>、入冬前，灌溉管网及时排水。</w:t>
            </w:r>
          </w:p>
        </w:tc>
        <w:tc>
          <w:tcPr>
            <w:tcW w:w="2460"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right"/>
              <w:rPr>
                <w:rFonts w:hint="eastAsia"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jc w:val="center"/>
        </w:trPr>
        <w:tc>
          <w:tcPr>
            <w:tcW w:w="47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color w:val="000000"/>
                <w:sz w:val="24"/>
              </w:rPr>
            </w:pPr>
            <w:r>
              <w:rPr>
                <w:rFonts w:hint="eastAsia" w:ascii="宋体" w:hAnsi="宋体" w:cs="宋体"/>
                <w:b/>
                <w:bCs/>
                <w:color w:val="000000"/>
                <w:sz w:val="24"/>
              </w:rPr>
              <w:t>8</w:t>
            </w:r>
          </w:p>
        </w:tc>
        <w:tc>
          <w:tcPr>
            <w:tcW w:w="67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ascii="宋体" w:hAnsi="宋体" w:cs="宋体"/>
                <w:b/>
                <w:bCs/>
                <w:color w:val="000000"/>
                <w:sz w:val="24"/>
              </w:rPr>
            </w:pPr>
            <w:r>
              <w:rPr>
                <w:rFonts w:hint="eastAsia" w:ascii="宋体" w:hAnsi="宋体" w:cs="宋体"/>
                <w:b/>
                <w:bCs/>
                <w:color w:val="000000"/>
                <w:sz w:val="24"/>
              </w:rPr>
              <w:t>林业有害生物防治</w:t>
            </w:r>
          </w:p>
        </w:tc>
        <w:tc>
          <w:tcPr>
            <w:tcW w:w="2653"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、林业有害生物防控措施到位，效果显著；</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、园林树木无害虫的活卵、活虫，整条道路平均被害株数不得超过5％，园林植物叶片上无虫粪、虫网、被虫咬的叶片每株不得超过2％；</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3</w:t>
            </w:r>
            <w:r>
              <w:rPr>
                <w:rFonts w:hint="eastAsia" w:asciiTheme="minorEastAsia" w:hAnsiTheme="minorEastAsia" w:eastAsiaTheme="minorEastAsia" w:cstheme="minorEastAsia"/>
                <w:color w:val="000000"/>
                <w:sz w:val="21"/>
                <w:szCs w:val="21"/>
              </w:rPr>
              <w:t>、草坪叶色正常，单块病斑面积不得超过100c㎡,且颜色变化不明显，未造成斑秃，病斑面积不得超过草坪面积的1％。</w:t>
            </w:r>
          </w:p>
          <w:p>
            <w:pPr>
              <w:spacing w:line="300" w:lineRule="exact"/>
              <w:jc w:val="left"/>
              <w:rPr>
                <w:rFonts w:hint="eastAsia" w:asciiTheme="minorEastAsia" w:hAnsiTheme="minorEastAsia" w:eastAsiaTheme="minorEastAsia" w:cstheme="minorEastAsia"/>
                <w:color w:val="000000"/>
                <w:sz w:val="21"/>
                <w:szCs w:val="21"/>
              </w:rPr>
            </w:pPr>
          </w:p>
        </w:tc>
        <w:tc>
          <w:tcPr>
            <w:tcW w:w="2268"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 xml:space="preserve">、无明显林业有害生物；                  </w:t>
            </w: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、有管控措施，不影响植物正常生长。</w:t>
            </w:r>
          </w:p>
        </w:tc>
        <w:tc>
          <w:tcPr>
            <w:tcW w:w="2460"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 xml:space="preserve">、无大面积明显林业有害生物灾害发生； </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 xml:space="preserve">、有管控措施。 </w:t>
            </w:r>
          </w:p>
        </w:tc>
      </w:tr>
      <w:tr>
        <w:tblPrEx>
          <w:tblCellMar>
            <w:top w:w="0" w:type="dxa"/>
            <w:left w:w="108" w:type="dxa"/>
            <w:bottom w:w="0" w:type="dxa"/>
            <w:right w:w="108" w:type="dxa"/>
          </w:tblCellMar>
        </w:tblPrEx>
        <w:trPr>
          <w:jc w:val="center"/>
        </w:trPr>
        <w:tc>
          <w:tcPr>
            <w:tcW w:w="47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eastAsia="方正仿宋_GBK"/>
                <w:color w:val="000000"/>
                <w:sz w:val="24"/>
              </w:rPr>
            </w:pPr>
            <w:r>
              <w:rPr>
                <w:rFonts w:eastAsia="方正仿宋_GBK"/>
                <w:b/>
                <w:bCs/>
                <w:color w:val="000000"/>
                <w:sz w:val="24"/>
              </w:rPr>
              <w:t>9</w:t>
            </w:r>
          </w:p>
        </w:tc>
        <w:tc>
          <w:tcPr>
            <w:tcW w:w="670" w:type="dxa"/>
            <w:tcBorders>
              <w:top w:val="single" w:color="auto" w:sz="6" w:space="0"/>
              <w:left w:val="single" w:color="auto" w:sz="6" w:space="0"/>
              <w:bottom w:val="single" w:color="auto" w:sz="6" w:space="0"/>
              <w:right w:val="single" w:color="auto" w:sz="6" w:space="0"/>
            </w:tcBorders>
            <w:noWrap w:val="0"/>
            <w:vAlign w:val="top"/>
          </w:tcPr>
          <w:p>
            <w:pPr>
              <w:spacing w:line="440" w:lineRule="exact"/>
              <w:ind w:left="120" w:leftChars="57"/>
              <w:rPr>
                <w:rFonts w:ascii="宋体" w:hAnsi="宋体" w:cs="宋体"/>
                <w:b/>
                <w:bCs/>
                <w:color w:val="000000"/>
                <w:sz w:val="24"/>
              </w:rPr>
            </w:pPr>
            <w:r>
              <w:rPr>
                <w:rFonts w:hint="eastAsia" w:ascii="宋体" w:hAnsi="宋体" w:cs="宋体"/>
                <w:b/>
                <w:bCs/>
                <w:color w:val="000000"/>
                <w:sz w:val="24"/>
              </w:rPr>
              <w:t>环境卫</w:t>
            </w:r>
          </w:p>
          <w:p>
            <w:pPr>
              <w:spacing w:line="440" w:lineRule="exact"/>
              <w:ind w:firstLine="120" w:firstLineChars="50"/>
              <w:rPr>
                <w:rFonts w:eastAsia="方正仿宋_GBK"/>
                <w:b/>
                <w:bCs/>
                <w:color w:val="000000"/>
                <w:sz w:val="24"/>
              </w:rPr>
            </w:pPr>
            <w:r>
              <w:rPr>
                <w:rFonts w:hint="eastAsia" w:ascii="宋体" w:hAnsi="宋体" w:cs="宋体"/>
                <w:b/>
                <w:bCs/>
                <w:color w:val="000000"/>
                <w:sz w:val="24"/>
              </w:rPr>
              <w:t>生</w:t>
            </w:r>
          </w:p>
        </w:tc>
        <w:tc>
          <w:tcPr>
            <w:tcW w:w="2653" w:type="dxa"/>
            <w:tcBorders>
              <w:top w:val="single" w:color="auto" w:sz="6" w:space="0"/>
              <w:left w:val="single" w:color="auto" w:sz="6" w:space="0"/>
              <w:bottom w:val="single" w:color="auto" w:sz="6" w:space="0"/>
              <w:right w:val="single" w:color="auto" w:sz="6" w:space="0"/>
            </w:tcBorders>
            <w:noWrap w:val="0"/>
            <w:vAlign w:val="top"/>
          </w:tcPr>
          <w:p>
            <w:pPr>
              <w:spacing w:line="300" w:lineRule="exact"/>
              <w:ind w:firstLine="105" w:firstLineChars="5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、保持绿地内无垃圾杂物；</w:t>
            </w:r>
          </w:p>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b/>
                <w:bCs/>
                <w:color w:val="000000"/>
                <w:sz w:val="21"/>
                <w:szCs w:val="21"/>
              </w:rPr>
              <w:t>2</w:t>
            </w:r>
            <w:r>
              <w:rPr>
                <w:rFonts w:hint="eastAsia" w:asciiTheme="minorEastAsia" w:hAnsiTheme="minorEastAsia" w:eastAsiaTheme="minorEastAsia" w:cstheme="minorEastAsia"/>
                <w:color w:val="000000"/>
                <w:sz w:val="21"/>
                <w:szCs w:val="21"/>
              </w:rPr>
              <w:t>、及时清除绿地内杂草，保持绿地整洁干净，优美。</w:t>
            </w:r>
          </w:p>
        </w:tc>
        <w:tc>
          <w:tcPr>
            <w:tcW w:w="2268"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、保持绿地内无明显垃圾“树挂”等污染物</w:t>
            </w:r>
          </w:p>
        </w:tc>
        <w:tc>
          <w:tcPr>
            <w:tcW w:w="2460" w:type="dxa"/>
            <w:tcBorders>
              <w:top w:val="single" w:color="auto" w:sz="6" w:space="0"/>
              <w:left w:val="single" w:color="auto" w:sz="6" w:space="0"/>
              <w:bottom w:val="single" w:color="auto" w:sz="6" w:space="0"/>
              <w:right w:val="single" w:color="auto" w:sz="6" w:space="0"/>
            </w:tcBorders>
            <w:noWrap w:val="0"/>
            <w:vAlign w:val="top"/>
          </w:tcPr>
          <w:p>
            <w:pPr>
              <w:spacing w:line="3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eastAsiaTheme="minorEastAsia" w:cstheme="minorEastAsia"/>
                <w:color w:val="000000"/>
                <w:sz w:val="21"/>
                <w:szCs w:val="21"/>
              </w:rPr>
              <w:t>、定期清理垃圾等杂物</w:t>
            </w:r>
          </w:p>
        </w:tc>
      </w:tr>
    </w:tbl>
    <w:p>
      <w:pPr>
        <w:pStyle w:val="26"/>
        <w:numPr>
          <w:ilvl w:val="0"/>
          <w:numId w:val="0"/>
        </w:numPr>
        <w:jc w:val="both"/>
        <w:rPr>
          <w:rFonts w:hint="default" w:ascii="宋体" w:hAnsi="宋体" w:eastAsia="宋体"/>
          <w:color w:val="auto"/>
          <w:kern w:val="0"/>
          <w:szCs w:val="21"/>
          <w:lang w:val="en-US" w:eastAsia="zh-CN"/>
        </w:rPr>
      </w:pPr>
    </w:p>
    <w:p>
      <w:pP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pStyle w:val="3"/>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6"/>
        <w:widowControl w:val="0"/>
        <w:numPr>
          <w:ilvl w:val="0"/>
          <w:numId w:val="0"/>
        </w:numPr>
        <w:jc w:val="center"/>
        <w:rPr>
          <w:rFonts w:hint="eastAsia" w:ascii="宋体" w:hAnsi="宋体" w:eastAsia="宋体" w:cs="宋体"/>
          <w:b/>
          <w:bCs/>
          <w:color w:val="auto"/>
          <w:sz w:val="24"/>
          <w:szCs w:val="24"/>
          <w:highlight w:val="none"/>
        </w:rPr>
      </w:pPr>
    </w:p>
    <w:p>
      <w:pPr>
        <w:pStyle w:val="26"/>
        <w:widowControl w:val="0"/>
        <w:numPr>
          <w:ilvl w:val="0"/>
          <w:numId w:val="0"/>
        </w:numPr>
        <w:jc w:val="center"/>
        <w:rPr>
          <w:rFonts w:hint="eastAsia" w:ascii="宋体" w:hAnsi="宋体" w:eastAsia="宋体" w:cs="宋体"/>
          <w:b/>
          <w:bCs/>
          <w:color w:val="auto"/>
          <w:sz w:val="24"/>
          <w:szCs w:val="24"/>
          <w:highlight w:val="none"/>
        </w:rPr>
      </w:pPr>
    </w:p>
    <w:p>
      <w:pPr>
        <w:pStyle w:val="26"/>
        <w:widowControl w:val="0"/>
        <w:numPr>
          <w:ilvl w:val="0"/>
          <w:numId w:val="0"/>
        </w:numPr>
        <w:jc w:val="center"/>
        <w:rPr>
          <w:rFonts w:hint="eastAsia" w:ascii="宋体" w:hAnsi="宋体" w:eastAsia="宋体" w:cs="宋体"/>
          <w:b/>
          <w:bCs/>
          <w:color w:val="auto"/>
          <w:sz w:val="24"/>
          <w:szCs w:val="24"/>
          <w:highlight w:val="none"/>
        </w:rPr>
      </w:pPr>
    </w:p>
    <w:p>
      <w:pPr>
        <w:pStyle w:val="26"/>
        <w:widowControl w:val="0"/>
        <w:numPr>
          <w:ilvl w:val="0"/>
          <w:numId w:val="0"/>
        </w:numPr>
        <w:jc w:val="center"/>
        <w:rPr>
          <w:rFonts w:hint="eastAsia" w:ascii="宋体" w:hAnsi="宋体" w:eastAsia="宋体" w:cs="宋体"/>
          <w:b/>
          <w:bCs/>
          <w:color w:val="auto"/>
          <w:sz w:val="24"/>
          <w:szCs w:val="24"/>
          <w:highlight w:val="none"/>
        </w:rPr>
      </w:pPr>
    </w:p>
    <w:p>
      <w:pPr>
        <w:pStyle w:val="26"/>
        <w:widowControl w:val="0"/>
        <w:numPr>
          <w:ilvl w:val="0"/>
          <w:numId w:val="0"/>
        </w:numPr>
        <w:jc w:val="center"/>
        <w:rPr>
          <w:rFonts w:hint="eastAsia" w:ascii="宋体" w:hAnsi="宋体" w:eastAsia="宋体" w:cs="宋体"/>
          <w:b/>
          <w:bCs/>
          <w:color w:val="auto"/>
          <w:sz w:val="24"/>
          <w:szCs w:val="24"/>
          <w:highlight w:val="none"/>
        </w:rPr>
      </w:pPr>
    </w:p>
    <w:p>
      <w:pPr>
        <w:pStyle w:val="26"/>
        <w:widowControl w:val="0"/>
        <w:numPr>
          <w:ilvl w:val="0"/>
          <w:numId w:val="0"/>
        </w:numPr>
        <w:jc w:val="center"/>
        <w:rPr>
          <w:rFonts w:hint="eastAsia" w:ascii="宋体" w:hAnsi="宋体" w:eastAsia="宋体" w:cs="宋体"/>
          <w:b/>
          <w:bCs/>
          <w:color w:val="auto"/>
          <w:sz w:val="24"/>
          <w:szCs w:val="24"/>
          <w:highlight w:val="none"/>
        </w:rPr>
      </w:pPr>
    </w:p>
    <w:p>
      <w:pPr>
        <w:pStyle w:val="26"/>
        <w:widowControl w:val="0"/>
        <w:numPr>
          <w:ilvl w:val="0"/>
          <w:numId w:val="0"/>
        </w:numPr>
        <w:jc w:val="center"/>
        <w:rPr>
          <w:rFonts w:hint="eastAsia" w:ascii="宋体" w:hAnsi="宋体" w:eastAsia="宋体" w:cs="宋体"/>
          <w:b/>
          <w:bCs/>
          <w:color w:val="auto"/>
          <w:sz w:val="24"/>
          <w:szCs w:val="24"/>
          <w:highlight w:val="none"/>
        </w:rPr>
      </w:pPr>
    </w:p>
    <w:p>
      <w:pPr>
        <w:pStyle w:val="26"/>
        <w:widowControl w:val="0"/>
        <w:numPr>
          <w:ilvl w:val="0"/>
          <w:numId w:val="0"/>
        </w:numPr>
        <w:jc w:val="center"/>
        <w:rPr>
          <w:rFonts w:hint="eastAsia" w:ascii="宋体" w:hAnsi="宋体" w:eastAsia="宋体" w:cs="宋体"/>
          <w:b/>
          <w:bCs/>
          <w:color w:val="auto"/>
          <w:sz w:val="24"/>
          <w:szCs w:val="24"/>
          <w:highlight w:val="none"/>
        </w:rPr>
      </w:pPr>
    </w:p>
    <w:p>
      <w:pPr>
        <w:pStyle w:val="26"/>
        <w:widowControl w:val="0"/>
        <w:numPr>
          <w:ilvl w:val="0"/>
          <w:numId w:val="0"/>
        </w:numPr>
        <w:jc w:val="center"/>
        <w:rPr>
          <w:rFonts w:hint="eastAsia" w:ascii="宋体" w:hAnsi="宋体" w:eastAsia="宋体" w:cs="宋体"/>
          <w:b/>
          <w:bCs/>
          <w:color w:val="auto"/>
          <w:sz w:val="24"/>
          <w:szCs w:val="24"/>
          <w:highlight w:val="none"/>
        </w:rPr>
      </w:pPr>
    </w:p>
    <w:p>
      <w:pPr>
        <w:pStyle w:val="26"/>
        <w:widowControl w:val="0"/>
        <w:numPr>
          <w:ilvl w:val="0"/>
          <w:numId w:val="0"/>
        </w:numPr>
        <w:jc w:val="center"/>
        <w:rPr>
          <w:rFonts w:hint="eastAsia" w:ascii="宋体" w:hAnsi="宋体" w:eastAsia="宋体" w:cs="宋体"/>
          <w:b/>
          <w:bCs/>
          <w:color w:val="auto"/>
          <w:sz w:val="24"/>
          <w:szCs w:val="24"/>
          <w:highlight w:val="none"/>
        </w:rPr>
      </w:pPr>
    </w:p>
    <w:p>
      <w:pPr>
        <w:pStyle w:val="26"/>
        <w:widowControl w:val="0"/>
        <w:numPr>
          <w:ilvl w:val="0"/>
          <w:numId w:val="0"/>
        </w:numPr>
        <w:jc w:val="both"/>
        <w:rPr>
          <w:rFonts w:hint="eastAsia" w:ascii="宋体" w:hAnsi="宋体" w:eastAsia="宋体" w:cs="宋体"/>
          <w:b/>
          <w:bCs/>
          <w:color w:val="auto"/>
          <w:sz w:val="24"/>
          <w:szCs w:val="24"/>
          <w:highlight w:val="none"/>
        </w:rPr>
      </w:pPr>
    </w:p>
    <w:p>
      <w:pPr>
        <w:pStyle w:val="26"/>
        <w:widowControl w:val="0"/>
        <w:numPr>
          <w:ilvl w:val="0"/>
          <w:numId w:val="0"/>
        </w:numPr>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养护标段明细</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
        <w:gridCol w:w="8"/>
        <w:gridCol w:w="369"/>
        <w:gridCol w:w="33"/>
        <w:gridCol w:w="25"/>
        <w:gridCol w:w="61"/>
        <w:gridCol w:w="503"/>
        <w:gridCol w:w="201"/>
        <w:gridCol w:w="149"/>
        <w:gridCol w:w="98"/>
        <w:gridCol w:w="159"/>
        <w:gridCol w:w="157"/>
        <w:gridCol w:w="346"/>
        <w:gridCol w:w="770"/>
        <w:gridCol w:w="264"/>
        <w:gridCol w:w="138"/>
        <w:gridCol w:w="584"/>
        <w:gridCol w:w="473"/>
        <w:gridCol w:w="112"/>
        <w:gridCol w:w="550"/>
        <w:gridCol w:w="157"/>
        <w:gridCol w:w="182"/>
        <w:gridCol w:w="80"/>
        <w:gridCol w:w="671"/>
        <w:gridCol w:w="240"/>
        <w:gridCol w:w="121"/>
        <w:gridCol w:w="636"/>
        <w:gridCol w:w="212"/>
        <w:gridCol w:w="1344"/>
        <w:gridCol w:w="88"/>
        <w:gridCol w:w="760"/>
        <w:gridCol w:w="7"/>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660" w:hRule="atLeast"/>
        </w:trPr>
        <w:tc>
          <w:tcPr>
            <w:tcW w:w="4989" w:type="pct"/>
            <w:gridSpan w:val="31"/>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2022年水磨沟区道路公共绿地市场化管护最高限价表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139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57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标段</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公司名称</w:t>
            </w: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绿地名称</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Style w:val="27"/>
                <w:rFonts w:hint="eastAsia" w:asciiTheme="minorEastAsia" w:hAnsiTheme="minorEastAsia" w:eastAsiaTheme="minorEastAsia" w:cstheme="minorEastAsia"/>
                <w:sz w:val="21"/>
                <w:szCs w:val="21"/>
                <w:lang w:val="en-US" w:eastAsia="zh-CN" w:bidi="ar"/>
              </w:rPr>
              <w:t>绿化面积</w:t>
            </w:r>
            <w:r>
              <w:rPr>
                <w:rStyle w:val="28"/>
                <w:rFonts w:hint="eastAsia" w:asciiTheme="minorEastAsia" w:hAnsiTheme="minorEastAsia" w:eastAsiaTheme="minorEastAsia" w:cstheme="minorEastAsia"/>
                <w:sz w:val="21"/>
                <w:szCs w:val="21"/>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说明</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养护等级</w:t>
            </w:r>
          </w:p>
        </w:tc>
        <w:tc>
          <w:tcPr>
            <w:tcW w:w="33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每平方米限价（元）</w:t>
            </w:r>
          </w:p>
        </w:tc>
        <w:tc>
          <w:tcPr>
            <w:tcW w:w="12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标段限价（元）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4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79" w:type="pct"/>
            <w:gridSpan w:val="5"/>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w:t>
            </w:r>
          </w:p>
          <w:p>
            <w:pPr>
              <w:pStyle w:val="26"/>
              <w:numPr>
                <w:ilvl w:val="0"/>
                <w:numId w:val="0"/>
              </w:numPr>
              <w:ind w:left="900" w:leftChars="0"/>
              <w:jc w:val="both"/>
              <w:rPr>
                <w:rFonts w:hint="eastAsia" w:asciiTheme="minorEastAsia" w:hAnsiTheme="minorEastAsia" w:eastAsiaTheme="minorEastAsia" w:cstheme="minorEastAsia"/>
                <w:sz w:val="21"/>
                <w:szCs w:val="21"/>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w:t>
            </w:r>
          </w:p>
          <w:p>
            <w:pPr>
              <w:pStyle w:val="26"/>
              <w:numPr>
                <w:ilvl w:val="0"/>
                <w:numId w:val="0"/>
              </w:numPr>
              <w:ind w:left="900" w:leftChars="0"/>
              <w:jc w:val="both"/>
              <w:rPr>
                <w:rFonts w:hint="eastAsia" w:asciiTheme="minorEastAsia" w:hAnsiTheme="minorEastAsia" w:eastAsiaTheme="minorEastAsia" w:cstheme="minorEastAsia"/>
                <w:sz w:val="21"/>
                <w:szCs w:val="21"/>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段</w:t>
            </w:r>
          </w:p>
        </w:tc>
        <w:tc>
          <w:tcPr>
            <w:tcW w:w="262" w:type="pct"/>
            <w:gridSpan w:val="2"/>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南湖北路</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31091.14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9.78</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304071.35 </w:t>
            </w:r>
          </w:p>
        </w:tc>
        <w:tc>
          <w:tcPr>
            <w:tcW w:w="397" w:type="pct"/>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南湖北路北延</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13495.70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112824.05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北郊客运站</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3771.20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26021.28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南湖北路东四巷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598.40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4128.96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南湖北路东五巷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1755.80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12115.02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南湖北路东二巷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1378.00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9508.20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南湖北路东三巷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1250.20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8626.38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7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安居北路</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9143.80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63092.22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安居北路西五巷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2341.00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16152.90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4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南湖派出所</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626.20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4320.78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64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南湖北路西三、四巷、惠民巷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5120.70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35332.83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昆仑路北二巷、一巷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4050.00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27945.00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4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立井街南侧</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3564.20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24592.98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0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吉兴巷及游园</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1645.00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水车浇灌</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11350.50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72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南湖北路与东八家户街相交地块</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2588.78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17862.58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4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环卫基地</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341.00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水车浇灌</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2352.90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东八家户北一巷</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855.00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水车浇灌</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5899.50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8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康明园</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651.00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水车浇灌</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4491.90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2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康兴巷</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1196.60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水车浇灌</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8256.54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南湖北路西一巷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2427.30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16748.37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昆仑路（新医路）</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3565.50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24601.95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9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东八家户水库绿地建设项目</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32000.00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220800.00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5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一号立井与南湖北路交叉路口</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9950.00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公园三级</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90545.00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南湖西路北一巷</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184.50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水车浇灌</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1273.05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7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南湖西路北二巷</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682.00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4705.80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4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红光山路南一巷</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223.50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水车浇灌</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1542.15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4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华祥五巷</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4556.00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31436.40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6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华祥六巷安居南南东一巷</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1934.50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13348.05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7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南湾居小区</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140.00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966.00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2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七十五小潘龙居小区</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644.00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4443.60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7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青玉十三巷</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817.80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5642.82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4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规划一路</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11500.00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9.78</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112470.00 </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轨道1号线移交绿地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6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南湖竖井</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657.10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9.78</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6426.43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王家梁站</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1050.00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9.78</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10269.00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80" w:hRule="atLeast"/>
        </w:trPr>
        <w:tc>
          <w:tcPr>
            <w:tcW w:w="289" w:type="pct"/>
            <w:gridSpan w:val="6"/>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579" w:type="pct"/>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nil"/>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南湖北路站</w:t>
            </w:r>
          </w:p>
        </w:tc>
        <w:tc>
          <w:tcPr>
            <w:tcW w:w="811" w:type="pct"/>
            <w:gridSpan w:val="6"/>
            <w:tcBorders>
              <w:top w:val="single" w:color="000000" w:sz="4" w:space="0"/>
              <w:left w:val="single" w:color="000000" w:sz="4" w:space="0"/>
              <w:bottom w:val="nil"/>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2740</w:t>
            </w:r>
          </w:p>
        </w:tc>
        <w:tc>
          <w:tcPr>
            <w:tcW w:w="350"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9.78</w:t>
            </w:r>
          </w:p>
        </w:tc>
        <w:tc>
          <w:tcPr>
            <w:tcW w:w="858" w:type="pct"/>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26797.20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36</w:t>
            </w:r>
          </w:p>
        </w:tc>
        <w:tc>
          <w:tcPr>
            <w:tcW w:w="579" w:type="pct"/>
            <w:gridSpan w:val="5"/>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w:t>
            </w:r>
          </w:p>
          <w:p>
            <w:pPr>
              <w:pStyle w:val="26"/>
              <w:numPr>
                <w:ilvl w:val="0"/>
                <w:numId w:val="0"/>
              </w:numPr>
              <w:ind w:left="900" w:leftChars="0"/>
              <w:jc w:val="both"/>
              <w:rPr>
                <w:rFonts w:hint="eastAsia" w:asciiTheme="minorEastAsia" w:hAnsiTheme="minorEastAsia" w:eastAsiaTheme="minorEastAsia" w:cstheme="minorEastAsia"/>
                <w:sz w:val="21"/>
                <w:szCs w:val="21"/>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w:t>
            </w:r>
          </w:p>
          <w:p>
            <w:pPr>
              <w:pStyle w:val="26"/>
              <w:numPr>
                <w:ilvl w:val="0"/>
                <w:numId w:val="0"/>
              </w:numPr>
              <w:ind w:left="900" w:leftChars="0"/>
              <w:jc w:val="both"/>
              <w:rPr>
                <w:rFonts w:hint="eastAsia" w:asciiTheme="minorEastAsia" w:hAnsiTheme="minorEastAsia" w:eastAsiaTheme="minorEastAsia" w:cstheme="minorEastAsia"/>
                <w:sz w:val="21"/>
                <w:szCs w:val="21"/>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段</w:t>
            </w:r>
          </w:p>
        </w:tc>
        <w:tc>
          <w:tcPr>
            <w:tcW w:w="262"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红山东路、中路、西路、</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11463.00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95830.68 </w:t>
            </w:r>
          </w:p>
        </w:tc>
        <w:tc>
          <w:tcPr>
            <w:tcW w:w="397" w:type="pct"/>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37</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外环三角地</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800.00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38</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红山公园后门、三和小区</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1596.00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11012.40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39</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新民西街社区门前</w:t>
            </w:r>
          </w:p>
        </w:tc>
        <w:tc>
          <w:tcPr>
            <w:tcW w:w="811" w:type="pct"/>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320.00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2208.00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6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40</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新兴街东一巷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300.00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2070.00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41</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南湖东路北二巷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2961.37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20433.45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42</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南湖东路北三巷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1250.01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8625.07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8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43</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南湖东路南二巷</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681.16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4700.00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4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44</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西虹东路北十三巷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1130.00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7797.00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4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45</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五星北路东二巷</w:t>
            </w:r>
          </w:p>
        </w:tc>
        <w:tc>
          <w:tcPr>
            <w:tcW w:w="811" w:type="pct"/>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2380.00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16422.00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10" w:type="pct"/>
          <w:trHeight w:val="42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46</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新大地纺校</w:t>
            </w:r>
          </w:p>
        </w:tc>
        <w:tc>
          <w:tcPr>
            <w:tcW w:w="811" w:type="pct"/>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1380.00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水车浇灌</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9522.00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47</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三路车站上彩门路口</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911.06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6286.31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48</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西虹东路北十四巷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315.00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2173.50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49</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检查站市刑侦队</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253.00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1745.70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50</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北山坡</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6330.00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43677.00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6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51</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水清木华</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630.00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4347.00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52</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南湖东路北四巷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935.22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6453.02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0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53</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南湖东路</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36.00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248.40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4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54</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六中分校</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214.00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1476.60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0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55</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恒翠巷</w:t>
            </w:r>
          </w:p>
        </w:tc>
        <w:tc>
          <w:tcPr>
            <w:tcW w:w="811" w:type="pct"/>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1907.02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13158.44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56</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天平巷</w:t>
            </w:r>
          </w:p>
        </w:tc>
        <w:tc>
          <w:tcPr>
            <w:tcW w:w="811" w:type="pct"/>
            <w:gridSpan w:val="6"/>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1372.50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9470.25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4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57</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五星北路西一巷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1652.00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11398.80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0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58</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五星北路西二巷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1773.00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12233.70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6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59</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南湖东路北六巷</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557.00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3843.30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0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60</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新民东街</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4979.23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34356.69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24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61</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同心路</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4346.38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29990.02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64</w:t>
            </w:r>
          </w:p>
        </w:tc>
        <w:tc>
          <w:tcPr>
            <w:tcW w:w="579" w:type="pct"/>
            <w:gridSpan w:val="5"/>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东外环桥三角地</w:t>
            </w:r>
          </w:p>
        </w:tc>
        <w:tc>
          <w:tcPr>
            <w:tcW w:w="811" w:type="pct"/>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800.00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5520.00 </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75" w:hRule="atLeast"/>
        </w:trPr>
        <w:tc>
          <w:tcPr>
            <w:tcW w:w="2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合计：</w:t>
            </w:r>
          </w:p>
        </w:tc>
        <w:tc>
          <w:tcPr>
            <w:tcW w:w="8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209808.87</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1635961.028</w:t>
            </w:r>
          </w:p>
        </w:tc>
        <w:tc>
          <w:tcPr>
            <w:tcW w:w="39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1220" w:hRule="atLeast"/>
        </w:trPr>
        <w:tc>
          <w:tcPr>
            <w:tcW w:w="4989" w:type="pct"/>
            <w:gridSpan w:val="31"/>
            <w:tcBorders>
              <w:top w:val="nil"/>
              <w:left w:val="nil"/>
              <w:bottom w:val="single" w:color="000000" w:sz="4" w:space="0"/>
              <w:right w:val="nil"/>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2022年水磨沟区道路公共绿地市场化管护最高限价表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168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50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标段</w:t>
            </w:r>
          </w:p>
        </w:tc>
        <w:tc>
          <w:tcPr>
            <w:tcW w:w="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公司名称</w:t>
            </w: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绿地名称</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绿化面积</w:t>
            </w:r>
            <w:r>
              <w:rPr>
                <w:rStyle w:val="29"/>
                <w:rFonts w:hint="eastAsia" w:asciiTheme="minorEastAsia" w:hAnsiTheme="minorEastAsia" w:eastAsiaTheme="minorEastAsia" w:cstheme="minorEastAsia"/>
                <w:sz w:val="21"/>
                <w:szCs w:val="21"/>
                <w:lang w:val="en-US" w:eastAsia="zh-CN" w:bidi="ar"/>
              </w:rPr>
              <w:t>（㎡）</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说明</w:t>
            </w: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养护等级</w:t>
            </w:r>
          </w:p>
        </w:tc>
        <w:tc>
          <w:tcPr>
            <w:tcW w:w="33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每平方米限价（元）</w:t>
            </w:r>
          </w:p>
        </w:tc>
        <w:tc>
          <w:tcPr>
            <w:tcW w:w="12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标段限价（元）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07"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w:t>
            </w:r>
          </w:p>
          <w:p>
            <w:pPr>
              <w:pStyle w:val="26"/>
              <w:numPr>
                <w:ilvl w:val="0"/>
                <w:numId w:val="0"/>
              </w:numPr>
              <w:ind w:left="900" w:leftChars="0"/>
              <w:jc w:val="both"/>
              <w:rPr>
                <w:rFonts w:hint="eastAsia" w:asciiTheme="minorEastAsia" w:hAnsiTheme="minorEastAsia" w:eastAsiaTheme="minorEastAsia" w:cstheme="minorEastAsia"/>
                <w:sz w:val="21"/>
                <w:szCs w:val="21"/>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段</w:t>
            </w:r>
          </w:p>
        </w:tc>
        <w:tc>
          <w:tcPr>
            <w:tcW w:w="2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七道湾南路</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25788</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215587.68 </w:t>
            </w:r>
          </w:p>
        </w:tc>
        <w:tc>
          <w:tcPr>
            <w:tcW w:w="443" w:type="pct"/>
            <w:gridSpan w:val="2"/>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4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七道湾南路西一巷</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1934.5</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13348.05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4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七道湾南路西二巷</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828.00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4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七道湾南路西三巷</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340</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2346.00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30"/>
                <w:rFonts w:hint="eastAsia" w:asciiTheme="minorEastAsia" w:hAnsiTheme="minorEastAsia" w:eastAsiaTheme="minorEastAsia" w:cstheme="minorEastAsia"/>
                <w:sz w:val="21"/>
                <w:szCs w:val="21"/>
                <w:lang w:val="en-US" w:eastAsia="zh-CN" w:bidi="ar"/>
              </w:rPr>
              <w:t>七道湾游园（</w:t>
            </w:r>
            <w:r>
              <w:rPr>
                <w:rStyle w:val="31"/>
                <w:rFonts w:hint="eastAsia" w:asciiTheme="minorEastAsia" w:hAnsiTheme="minorEastAsia" w:eastAsiaTheme="minorEastAsia" w:cstheme="minorEastAsia"/>
                <w:sz w:val="21"/>
                <w:szCs w:val="21"/>
                <w:lang w:val="en-US" w:eastAsia="zh-CN" w:bidi="ar"/>
              </w:rPr>
              <w:t>公园三级）</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3970</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公园三级</w:t>
            </w: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36127.00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测绘队北侧</w:t>
            </w:r>
          </w:p>
        </w:tc>
        <w:tc>
          <w:tcPr>
            <w:tcW w:w="610"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248.40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八道湾叉路口巷道</w:t>
            </w:r>
          </w:p>
        </w:tc>
        <w:tc>
          <w:tcPr>
            <w:tcW w:w="610"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1254.5</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8656.05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华光街</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59245.07 </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9.78</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579416.78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4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七道湾南路西测</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24423.28 </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168520.63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测绘队三角地</w:t>
            </w:r>
          </w:p>
        </w:tc>
        <w:tc>
          <w:tcPr>
            <w:tcW w:w="610"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297.00 </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2049.30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8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测绘队安居房外围</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1144.00 </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7893.60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0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八道湾叉路口三角地</w:t>
            </w:r>
          </w:p>
        </w:tc>
        <w:tc>
          <w:tcPr>
            <w:tcW w:w="610"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231.00 </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1593.90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帕米尔街</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8613.91</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59435.98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帕米尔游园</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26412.6</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9.78</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258315.23 </w:t>
            </w:r>
          </w:p>
        </w:tc>
        <w:tc>
          <w:tcPr>
            <w:tcW w:w="4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4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昆仑东街北三巷</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862.03</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5948.01 </w:t>
            </w:r>
          </w:p>
        </w:tc>
        <w:tc>
          <w:tcPr>
            <w:tcW w:w="397"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4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昆仑东街北四巷</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1177.46</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8124.47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和谐园</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16000</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133760.00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0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焦煤集团两侧</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3684</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25419.60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六道湾路</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323.2</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2230.08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0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和谐园三角地</w:t>
            </w:r>
          </w:p>
        </w:tc>
        <w:tc>
          <w:tcPr>
            <w:tcW w:w="610"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573</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无水系</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3953.70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昆仑路</w:t>
            </w:r>
          </w:p>
        </w:tc>
        <w:tc>
          <w:tcPr>
            <w:tcW w:w="610"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19083</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159533.88 </w:t>
            </w:r>
          </w:p>
        </w:tc>
        <w:tc>
          <w:tcPr>
            <w:tcW w:w="397"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0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507"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w:t>
            </w:r>
          </w:p>
          <w:p>
            <w:pPr>
              <w:pStyle w:val="26"/>
              <w:rPr>
                <w:rFonts w:hint="eastAsia" w:asciiTheme="minorEastAsia" w:hAnsiTheme="minorEastAsia" w:eastAsiaTheme="minorEastAsia" w:cstheme="minorEastAsia"/>
                <w:sz w:val="21"/>
                <w:szCs w:val="21"/>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w:t>
            </w:r>
          </w:p>
          <w:p>
            <w:pPr>
              <w:pStyle w:val="26"/>
              <w:rPr>
                <w:rFonts w:hint="eastAsia" w:asciiTheme="minorEastAsia" w:hAnsiTheme="minorEastAsia" w:eastAsiaTheme="minorEastAsia" w:cstheme="minorEastAsia"/>
                <w:sz w:val="21"/>
                <w:szCs w:val="21"/>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段</w:t>
            </w:r>
          </w:p>
        </w:tc>
        <w:tc>
          <w:tcPr>
            <w:tcW w:w="2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七道湾北路</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17509.25</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120813.83 </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七道湾东街</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10360.6</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71488.14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95"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八道湾路</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1003.4</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6923.46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60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Style w:val="32"/>
                <w:rFonts w:hint="eastAsia" w:asciiTheme="minorEastAsia" w:hAnsiTheme="minorEastAsia" w:eastAsiaTheme="minorEastAsia" w:cstheme="minorEastAsia"/>
                <w:sz w:val="21"/>
                <w:szCs w:val="21"/>
                <w:lang w:val="en-US" w:eastAsia="zh-CN" w:bidi="ar"/>
              </w:rPr>
              <w:t>77</w:t>
            </w:r>
            <w:r>
              <w:rPr>
                <w:rStyle w:val="33"/>
                <w:rFonts w:hint="eastAsia" w:asciiTheme="minorEastAsia" w:hAnsiTheme="minorEastAsia" w:eastAsiaTheme="minorEastAsia" w:cstheme="minorEastAsia"/>
                <w:sz w:val="21"/>
                <w:szCs w:val="21"/>
                <w:lang w:val="en-US" w:eastAsia="zh-CN" w:bidi="ar"/>
              </w:rPr>
              <w:t>小学大门两侧</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937.7</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6470.13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龙盛街</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46632.12</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5"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389844.52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60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八道湾管委会旁</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1141.7</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7877.73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八道湾老路</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1611</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无水源</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11115.90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10" w:type="pct"/>
          <w:trHeight w:val="51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鸿园南路</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5644.8</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无水源</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38949.12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525"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龙腾路</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2900</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无水源</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20010.00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60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一号立井东外环两侧延长</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721.50 </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无水源</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4978.35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615"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一号立井东外环西侧</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5668.00 </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无水源</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39109.20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60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一号立井东外环东侧</w:t>
            </w:r>
          </w:p>
        </w:tc>
        <w:tc>
          <w:tcPr>
            <w:tcW w:w="610"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2746.00 </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18947.40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44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众泰社区</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5008.00 </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34555.20 </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0"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68"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合计：</w:t>
            </w: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297396.62</w:t>
            </w: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2464419.31</w:t>
            </w: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 w:type="pct"/>
          <w:trHeight w:val="315" w:hRule="atLeast"/>
        </w:trPr>
        <w:tc>
          <w:tcPr>
            <w:tcW w:w="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0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6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1220" w:hRule="atLeast"/>
        </w:trPr>
        <w:tc>
          <w:tcPr>
            <w:tcW w:w="4961" w:type="pct"/>
            <w:gridSpan w:val="31"/>
            <w:tcBorders>
              <w:top w:val="nil"/>
              <w:left w:val="nil"/>
              <w:bottom w:val="single" w:color="000000" w:sz="4" w:space="0"/>
              <w:right w:val="nil"/>
            </w:tcBorders>
            <w:shd w:val="clear" w:color="auto" w:fill="auto"/>
            <w:noWrap/>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2022年水磨沟区道路公共绿地市场化管护最高限价表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1640"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9" w:type="pct"/>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标段</w:t>
            </w:r>
          </w:p>
        </w:tc>
        <w:tc>
          <w:tcPr>
            <w:tcW w:w="212"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公司名称</w:t>
            </w: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绿地名称</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绿化面积（㎡）</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说明</w:t>
            </w:r>
          </w:p>
        </w:tc>
        <w:tc>
          <w:tcPr>
            <w:tcW w:w="6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养护等级</w:t>
            </w:r>
          </w:p>
        </w:tc>
        <w:tc>
          <w:tcPr>
            <w:tcW w:w="443"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每平方米限价（元）</w:t>
            </w:r>
          </w:p>
        </w:tc>
        <w:tc>
          <w:tcPr>
            <w:tcW w:w="11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标段限价（元）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31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三 </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 </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w:t>
            </w:r>
          </w:p>
          <w:p>
            <w:pPr>
              <w:pStyle w:val="26"/>
              <w:rPr>
                <w:rFonts w:hint="eastAsia" w:asciiTheme="minorEastAsia" w:hAnsiTheme="minorEastAsia" w:eastAsiaTheme="minorEastAsia" w:cstheme="minorEastAsia"/>
                <w:sz w:val="21"/>
                <w:szCs w:val="21"/>
                <w:lang w:val="en-US" w:eastAsia="zh-CN"/>
              </w:rPr>
            </w:pPr>
          </w:p>
          <w:p>
            <w:pPr>
              <w:pStyle w:val="26"/>
              <w:rPr>
                <w:rFonts w:hint="eastAsia" w:asciiTheme="minorEastAsia" w:hAnsiTheme="minorEastAsia" w:eastAsiaTheme="minorEastAsia" w:cstheme="minorEastAsia"/>
                <w:sz w:val="21"/>
                <w:szCs w:val="21"/>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段</w:t>
            </w:r>
          </w:p>
        </w:tc>
        <w:tc>
          <w:tcPr>
            <w:tcW w:w="21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沿河路</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2404.89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16593.74 </w:t>
            </w: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31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山景巷</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804.00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5547.60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480"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温泉西路南四巷</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401.50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2770.35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480"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温泉西路南五巷</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617.50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4260.75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540"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温泉西路北一、二巷</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121.50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无水系</w:t>
            </w: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838.35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55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温泉东路北一、二、三巷</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1088.50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7510.65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31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安平路</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4205.35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29016.92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31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北山大桥</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410.00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2829.00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31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七纺锦绣园</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11600.00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公园三级</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105560.00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540"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温泉东路三角地游园</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22117.00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184898.12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52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硫磺河游园世界公园段</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15330.44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公园三级</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139507.00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40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温泉西路北五巷</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1116.65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无水系</w:t>
            </w: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7704.89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31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高尔夫路</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864.00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5961.60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31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沿河路西一巷</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1664.05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无水系</w:t>
            </w: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11481.95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31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水区政府</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2987.67 </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24976.92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40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温泉东路北四巷</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153</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1055.70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70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水磨沟路（包括虹桥门、三角地）</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7680.34</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64207.64 </w:t>
            </w:r>
          </w:p>
        </w:tc>
        <w:tc>
          <w:tcPr>
            <w:tcW w:w="400" w:type="pct"/>
            <w:gridSpan w:val="2"/>
            <w:vMerge w:val="restart"/>
            <w:tcBorders>
              <w:top w:val="single" w:color="000000" w:sz="4" w:space="0"/>
              <w:left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660"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克南高架桥下世界公元段绿地</w:t>
            </w:r>
          </w:p>
        </w:tc>
        <w:tc>
          <w:tcPr>
            <w:tcW w:w="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11019.85</w:t>
            </w:r>
          </w:p>
        </w:tc>
        <w:tc>
          <w:tcPr>
            <w:tcW w:w="3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无水系</w:t>
            </w: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76036.97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31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水磨河三期</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29111.00 </w:t>
            </w:r>
          </w:p>
        </w:tc>
        <w:tc>
          <w:tcPr>
            <w:tcW w:w="4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公园二级</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11.38</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331283.18</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315"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七纺四路</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906.00 </w:t>
            </w:r>
          </w:p>
        </w:tc>
        <w:tc>
          <w:tcPr>
            <w:tcW w:w="4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6251.40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390"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温泉西路南二巷</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8589.00 </w:t>
            </w:r>
          </w:p>
        </w:tc>
        <w:tc>
          <w:tcPr>
            <w:tcW w:w="4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71804.04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440"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观园路</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116588.4</w:t>
            </w:r>
          </w:p>
        </w:tc>
        <w:tc>
          <w:tcPr>
            <w:tcW w:w="4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974679.02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600"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温泉东路三角地人行道</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590.04</w:t>
            </w:r>
          </w:p>
        </w:tc>
        <w:tc>
          <w:tcPr>
            <w:tcW w:w="4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4071.28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600" w:hRule="atLeast"/>
        </w:trPr>
        <w:tc>
          <w:tcPr>
            <w:tcW w:w="2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温泉西路南五巷31中</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494</w:t>
            </w:r>
          </w:p>
        </w:tc>
        <w:tc>
          <w:tcPr>
            <w:tcW w:w="4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6.9</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3408.60 </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520" w:hRule="atLeast"/>
        </w:trPr>
        <w:tc>
          <w:tcPr>
            <w:tcW w:w="22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区统建房规划一路</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78099</w:t>
            </w:r>
          </w:p>
        </w:tc>
        <w:tc>
          <w:tcPr>
            <w:tcW w:w="4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652907.64</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645" w:hRule="atLeast"/>
        </w:trPr>
        <w:tc>
          <w:tcPr>
            <w:tcW w:w="22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景辉路</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8404</w:t>
            </w:r>
          </w:p>
        </w:tc>
        <w:tc>
          <w:tcPr>
            <w:tcW w:w="4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70257.44</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0" w:type="pct"/>
          <w:wAfter w:w="7" w:type="pct"/>
          <w:trHeight w:val="780" w:hRule="atLeast"/>
        </w:trPr>
        <w:tc>
          <w:tcPr>
            <w:tcW w:w="22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39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327367.68</w:t>
            </w:r>
          </w:p>
        </w:tc>
        <w:tc>
          <w:tcPr>
            <w:tcW w:w="4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2805420.743</w:t>
            </w: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35" w:type="pct"/>
          <w:trHeight w:val="1095" w:hRule="atLeast"/>
        </w:trPr>
        <w:tc>
          <w:tcPr>
            <w:tcW w:w="4964" w:type="pct"/>
            <w:gridSpan w:val="31"/>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p>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2022年水磨沟区道路公共绿地市场化管护最高限价表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35" w:type="pct"/>
          <w:trHeight w:val="1500"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07" w:type="pct"/>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标段</w:t>
            </w:r>
          </w:p>
        </w:tc>
        <w:tc>
          <w:tcPr>
            <w:tcW w:w="234"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公司名称</w:t>
            </w:r>
          </w:p>
        </w:tc>
        <w:tc>
          <w:tcPr>
            <w:tcW w:w="748" w:type="pct"/>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绿地名称</w:t>
            </w:r>
          </w:p>
        </w:tc>
        <w:tc>
          <w:tcPr>
            <w:tcW w:w="762"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Style w:val="34"/>
                <w:rFonts w:hint="eastAsia" w:asciiTheme="minorEastAsia" w:hAnsiTheme="minorEastAsia" w:eastAsiaTheme="minorEastAsia" w:cstheme="minorEastAsia"/>
                <w:sz w:val="21"/>
                <w:szCs w:val="21"/>
                <w:lang w:val="en-US" w:eastAsia="zh-CN" w:bidi="ar"/>
              </w:rPr>
              <w:t>绿化面积</w:t>
            </w:r>
            <w:r>
              <w:rPr>
                <w:rStyle w:val="35"/>
                <w:rFonts w:hint="eastAsia" w:asciiTheme="minorEastAsia" w:hAnsiTheme="minorEastAsia" w:eastAsiaTheme="minorEastAsia" w:cstheme="minorEastAsia"/>
                <w:sz w:val="21"/>
                <w:szCs w:val="21"/>
                <w:lang w:val="en-US" w:eastAsia="zh-CN" w:bidi="ar"/>
              </w:rPr>
              <w:t>（㎡）</w:t>
            </w:r>
          </w:p>
        </w:tc>
        <w:tc>
          <w:tcPr>
            <w:tcW w:w="345"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说明</w:t>
            </w:r>
          </w:p>
        </w:tc>
        <w:tc>
          <w:tcPr>
            <w:tcW w:w="758" w:type="pct"/>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养护等级</w:t>
            </w:r>
          </w:p>
        </w:tc>
        <w:tc>
          <w:tcPr>
            <w:tcW w:w="332"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每平方米限价（元）</w:t>
            </w:r>
          </w:p>
        </w:tc>
        <w:tc>
          <w:tcPr>
            <w:tcW w:w="1266" w:type="pct"/>
            <w:gridSpan w:val="6"/>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标段限价（元）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5" w:type="pct"/>
          <w:trHeight w:val="660"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0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四标段</w:t>
            </w:r>
          </w:p>
        </w:tc>
        <w:tc>
          <w:tcPr>
            <w:tcW w:w="23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Theme="minorEastAsia" w:hAnsiTheme="minorEastAsia" w:eastAsiaTheme="minorEastAsia" w:cstheme="minorEastAsia"/>
                <w:i w:val="0"/>
                <w:iCs w:val="0"/>
                <w:color w:val="000000"/>
                <w:sz w:val="21"/>
                <w:szCs w:val="21"/>
                <w:u w:val="none"/>
              </w:rPr>
            </w:pP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40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35" w:type="pct"/>
          <w:trHeight w:val="540"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规划二路</w:t>
            </w: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268612</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2245596.32 </w:t>
            </w: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5" w:type="pct"/>
          <w:trHeight w:val="720"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规划六路</w:t>
            </w: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124366</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8.36</w:t>
            </w: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1039699.76 </w:t>
            </w: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35" w:type="pct"/>
          <w:trHeight w:val="73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35" w:type="pct"/>
          <w:trHeight w:val="55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21"/>
                <w:szCs w:val="21"/>
                <w:u w:val="none"/>
              </w:rPr>
            </w:pP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758"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Theme="minorEastAsia" w:hAnsiTheme="minorEastAsia" w:eastAsiaTheme="minorEastAsia" w:cstheme="minorEastAsia"/>
                <w:b/>
                <w:bCs/>
                <w:i w:val="0"/>
                <w:iCs w:val="0"/>
                <w:color w:val="000000"/>
                <w:sz w:val="21"/>
                <w:szCs w:val="21"/>
                <w:u w:val="none"/>
              </w:rPr>
            </w:pP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2"/>
          <w:wBefore w:w="35" w:type="pct"/>
          <w:trHeight w:val="630"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5" w:type="pct"/>
          <w:trHeight w:val="439"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3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758"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35" w:type="pct"/>
          <w:trHeight w:val="439"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3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w:t>
            </w: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392978</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758"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3285296.08</w:t>
            </w: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35" w:type="pct"/>
          <w:trHeight w:val="439"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3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eastAsia" w:asciiTheme="minorEastAsia" w:hAnsiTheme="minorEastAsia" w:eastAsiaTheme="minorEastAsia" w:cstheme="minorEastAsia"/>
                <w:b/>
                <w:bCs/>
                <w:i w:val="0"/>
                <w:iCs w:val="0"/>
                <w:color w:val="000000"/>
                <w:sz w:val="21"/>
                <w:szCs w:val="21"/>
                <w:u w:val="none"/>
              </w:rPr>
            </w:pP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758"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408" w:type="pct"/>
            <w:gridSpan w:val="3"/>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35" w:type="pct"/>
          <w:trHeight w:val="439"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3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758"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2"/>
          <w:wBefore w:w="35" w:type="pct"/>
          <w:trHeight w:val="439"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3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23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758"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8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21"/>
                <w:szCs w:val="21"/>
                <w:u w:val="none"/>
              </w:rPr>
            </w:pPr>
          </w:p>
        </w:tc>
        <w:tc>
          <w:tcPr>
            <w:tcW w:w="40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r>
    </w:tbl>
    <w:p>
      <w:pPr>
        <w:spacing w:line="440" w:lineRule="exact"/>
        <w:outlineLvl w:val="9"/>
        <w:rPr>
          <w:rFonts w:hint="eastAsia" w:ascii="宋体" w:hAnsi="宋体" w:eastAsia="宋体" w:cs="宋体"/>
          <w:b/>
          <w:color w:val="auto"/>
          <w:sz w:val="24"/>
          <w:szCs w:val="24"/>
          <w:highlight w:val="none"/>
        </w:rPr>
      </w:pPr>
    </w:p>
    <w:tbl>
      <w:tblPr>
        <w:tblStyle w:val="14"/>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779"/>
        <w:gridCol w:w="457"/>
        <w:gridCol w:w="1662"/>
        <w:gridCol w:w="1377"/>
        <w:gridCol w:w="819"/>
        <w:gridCol w:w="588"/>
        <w:gridCol w:w="1070"/>
        <w:gridCol w:w="1686"/>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855" w:type="dxa"/>
            <w:gridSpan w:val="10"/>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2022年水磨沟区道路公共绿地市场化管护最高限价表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标段</w:t>
            </w:r>
          </w:p>
        </w:tc>
        <w:tc>
          <w:tcPr>
            <w:tcW w:w="45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公司名称</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绿地名称</w:t>
            </w:r>
          </w:p>
        </w:tc>
        <w:tc>
          <w:tcPr>
            <w:tcW w:w="13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绿化面积</w:t>
            </w:r>
            <w:r>
              <w:rPr>
                <w:rStyle w:val="36"/>
                <w:lang w:val="en-US" w:eastAsia="zh-CN" w:bidi="ar"/>
              </w:rPr>
              <w:t>（㎡）</w:t>
            </w:r>
          </w:p>
        </w:tc>
        <w:tc>
          <w:tcPr>
            <w:tcW w:w="8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说明</w:t>
            </w:r>
          </w:p>
        </w:tc>
        <w:tc>
          <w:tcPr>
            <w:tcW w:w="5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养护等级</w:t>
            </w:r>
          </w:p>
        </w:tc>
        <w:tc>
          <w:tcPr>
            <w:tcW w:w="107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每平方米限价（元）</w:t>
            </w:r>
          </w:p>
        </w:tc>
        <w:tc>
          <w:tcPr>
            <w:tcW w:w="260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标段限价（元）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五</w:t>
            </w:r>
          </w:p>
          <w:p>
            <w:pPr>
              <w:pStyle w:val="26"/>
              <w:rPr>
                <w:rFonts w:hint="eastAsia"/>
                <w:lang w:val="en-US" w:eastAsia="zh-CN"/>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标</w:t>
            </w:r>
          </w:p>
          <w:p>
            <w:pPr>
              <w:pStyle w:val="26"/>
              <w:rPr>
                <w:rFonts w:hint="eastAsia"/>
                <w:lang w:val="en-US" w:eastAsia="zh-CN"/>
              </w:rPr>
            </w:pP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段</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东绕城绿化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Tahoma" w:cs="Times New Roman"/>
                <w:b/>
                <w:bCs/>
                <w:i w:val="0"/>
                <w:iCs w:val="0"/>
                <w:color w:val="000000"/>
                <w:sz w:val="24"/>
                <w:szCs w:val="24"/>
                <w:u w:val="none"/>
              </w:rPr>
            </w:pPr>
            <w:r>
              <w:rPr>
                <w:rFonts w:hint="default" w:ascii="Times New Roman" w:hAnsi="Times New Roman" w:eastAsia="Tahoma" w:cs="Times New Roman"/>
                <w:b/>
                <w:bCs/>
                <w:i w:val="0"/>
                <w:iCs w:val="0"/>
                <w:color w:val="000000"/>
                <w:kern w:val="0"/>
                <w:sz w:val="24"/>
                <w:szCs w:val="24"/>
                <w:u w:val="none"/>
                <w:lang w:val="en-US" w:eastAsia="zh-CN" w:bidi="ar"/>
              </w:rPr>
              <w:t xml:space="preserve">119988.00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无水系</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荒山绿化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b/>
                <w:bCs/>
                <w:i w:val="0"/>
                <w:iCs w:val="0"/>
                <w:color w:val="000000"/>
                <w:sz w:val="24"/>
                <w:szCs w:val="24"/>
                <w:u w:val="none"/>
              </w:rPr>
            </w:pPr>
            <w:r>
              <w:rPr>
                <w:rFonts w:hint="default" w:ascii="Times New Roman" w:hAnsi="Times New Roman" w:eastAsia="Tahoma" w:cs="Times New Roman"/>
                <w:b/>
                <w:bCs/>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563943.60 </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w:t>
            </w: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石人沟中路</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Tahoma" w:cs="Times New Roman"/>
                <w:b/>
                <w:bCs/>
                <w:i w:val="0"/>
                <w:iCs w:val="0"/>
                <w:color w:val="000000"/>
                <w:sz w:val="24"/>
                <w:szCs w:val="24"/>
                <w:u w:val="none"/>
              </w:rPr>
            </w:pPr>
            <w:r>
              <w:rPr>
                <w:rFonts w:hint="default" w:ascii="Times New Roman" w:hAnsi="Times New Roman" w:eastAsia="Tahoma" w:cs="Times New Roman"/>
                <w:b/>
                <w:bCs/>
                <w:i w:val="0"/>
                <w:iCs w:val="0"/>
                <w:color w:val="000000"/>
                <w:kern w:val="0"/>
                <w:sz w:val="24"/>
                <w:szCs w:val="24"/>
                <w:u w:val="none"/>
                <w:lang w:val="en-US" w:eastAsia="zh-CN" w:bidi="ar"/>
              </w:rPr>
              <w:t xml:space="preserve">13000.00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b/>
                <w:bCs/>
                <w:i w:val="0"/>
                <w:iCs w:val="0"/>
                <w:color w:val="000000"/>
                <w:sz w:val="24"/>
                <w:szCs w:val="24"/>
                <w:u w:val="none"/>
              </w:rPr>
            </w:pPr>
            <w:r>
              <w:rPr>
                <w:rFonts w:hint="default" w:ascii="Times New Roman" w:hAnsi="Times New Roman" w:eastAsia="Tahoma" w:cs="Times New Roman"/>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b/>
                <w:bCs/>
                <w:i w:val="0"/>
                <w:iCs w:val="0"/>
                <w:color w:val="000000"/>
                <w:sz w:val="24"/>
                <w:szCs w:val="24"/>
                <w:u w:val="none"/>
              </w:rPr>
            </w:pPr>
            <w:r>
              <w:rPr>
                <w:rFonts w:hint="default" w:ascii="Times New Roman" w:hAnsi="Times New Roman" w:eastAsia="Tahoma" w:cs="Times New Roman"/>
                <w:b/>
                <w:bCs/>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89700.00 </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大学路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161828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b/>
                <w:bCs/>
                <w:i w:val="0"/>
                <w:iCs w:val="0"/>
                <w:color w:val="000000"/>
                <w:sz w:val="24"/>
                <w:szCs w:val="24"/>
                <w:u w:val="none"/>
              </w:rPr>
            </w:pPr>
            <w:r>
              <w:rPr>
                <w:rFonts w:hint="default" w:ascii="Times New Roman" w:hAnsi="Times New Roman" w:eastAsia="Tahoma" w:cs="Times New Roman"/>
                <w:b/>
                <w:bCs/>
                <w:i w:val="0"/>
                <w:iCs w:val="0"/>
                <w:color w:val="000000"/>
                <w:kern w:val="0"/>
                <w:sz w:val="24"/>
                <w:szCs w:val="24"/>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1352882.08 </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水苑路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76287.8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未移交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b/>
                <w:bCs/>
                <w:i w:val="0"/>
                <w:iCs w:val="0"/>
                <w:color w:val="000000"/>
                <w:sz w:val="24"/>
                <w:szCs w:val="24"/>
                <w:u w:val="none"/>
              </w:rPr>
            </w:pPr>
            <w:r>
              <w:rPr>
                <w:rFonts w:hint="default" w:ascii="Times New Roman" w:hAnsi="Times New Roman" w:eastAsia="Tahoma" w:cs="Times New Roman"/>
                <w:b/>
                <w:bCs/>
                <w:i w:val="0"/>
                <w:iCs w:val="0"/>
                <w:color w:val="000000"/>
                <w:kern w:val="0"/>
                <w:sz w:val="24"/>
                <w:szCs w:val="24"/>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637766</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榆树沟小游园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51102.3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公园一级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Tahoma" w:cs="Times New Roman"/>
                <w:b/>
                <w:bCs/>
                <w:i w:val="0"/>
                <w:iCs w:val="0"/>
                <w:color w:val="000000"/>
                <w:sz w:val="24"/>
                <w:szCs w:val="24"/>
                <w:u w:val="none"/>
              </w:rPr>
            </w:pPr>
            <w:r>
              <w:rPr>
                <w:rFonts w:hint="default" w:ascii="Times New Roman" w:hAnsi="Times New Roman" w:eastAsia="Tahoma" w:cs="Times New Roman"/>
                <w:b/>
                <w:bCs/>
                <w:i w:val="0"/>
                <w:iCs w:val="0"/>
                <w:color w:val="000000"/>
                <w:kern w:val="0"/>
                <w:sz w:val="24"/>
                <w:szCs w:val="24"/>
                <w:u w:val="none"/>
                <w:lang w:val="en-US" w:eastAsia="zh-CN" w:bidi="ar"/>
              </w:rPr>
              <w:t>13.66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698057.42 </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b/>
                <w:bCs/>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Tahoma" w:cs="Times New Roman"/>
                <w:b/>
                <w:bCs/>
                <w:i w:val="0"/>
                <w:iCs w:val="0"/>
                <w:color w:val="000000"/>
                <w:sz w:val="28"/>
                <w:szCs w:val="28"/>
                <w:u w:val="none"/>
              </w:rPr>
            </w:pPr>
            <w:r>
              <w:rPr>
                <w:rFonts w:hint="default" w:ascii="Times New Roman" w:hAnsi="Times New Roman" w:eastAsia="Tahoma" w:cs="Times New Roman"/>
                <w:b/>
                <w:bCs/>
                <w:i w:val="0"/>
                <w:iCs w:val="0"/>
                <w:color w:val="000000"/>
                <w:kern w:val="0"/>
                <w:sz w:val="28"/>
                <w:szCs w:val="28"/>
                <w:u w:val="none"/>
                <w:lang w:val="en-US" w:eastAsia="zh-CN" w:bidi="ar"/>
              </w:rPr>
              <w:t>422206.1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Tahoma" w:cs="Times New Roman"/>
                <w:b/>
                <w:bCs/>
                <w:i w:val="0"/>
                <w:iCs w:val="0"/>
                <w:color w:val="000000"/>
                <w:sz w:val="28"/>
                <w:szCs w:val="28"/>
                <w:u w:val="none"/>
              </w:rPr>
            </w:pPr>
            <w:r>
              <w:rPr>
                <w:rFonts w:hint="default" w:ascii="Times New Roman" w:hAnsi="Times New Roman" w:eastAsia="Tahoma" w:cs="Times New Roman"/>
                <w:b/>
                <w:bCs/>
                <w:i w:val="0"/>
                <w:iCs w:val="0"/>
                <w:color w:val="000000"/>
                <w:kern w:val="0"/>
                <w:sz w:val="28"/>
                <w:szCs w:val="28"/>
                <w:u w:val="none"/>
                <w:lang w:val="en-US" w:eastAsia="zh-CN" w:bidi="ar"/>
              </w:rPr>
              <w:t>3342349.098</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ahoma" w:hAnsi="Tahoma" w:eastAsia="Tahoma" w:cs="Tahoma"/>
                <w:i w:val="0"/>
                <w:iCs w:val="0"/>
                <w:color w:val="000000"/>
                <w:sz w:val="22"/>
                <w:szCs w:val="22"/>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Tahoma" w:cs="Times New Roman"/>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Tahoma" w:cs="Times New Roman"/>
                <w:b/>
                <w:bCs/>
                <w:i w:val="0"/>
                <w:iCs w:val="0"/>
                <w:color w:val="000000"/>
                <w:sz w:val="24"/>
                <w:szCs w:val="24"/>
                <w:u w:val="none"/>
              </w:rPr>
            </w:pPr>
          </w:p>
        </w:tc>
      </w:tr>
    </w:tbl>
    <w:p>
      <w:pPr>
        <w:spacing w:line="440" w:lineRule="exact"/>
        <w:outlineLvl w:val="9"/>
        <w:rPr>
          <w:rFonts w:hint="eastAsia" w:ascii="宋体" w:hAnsi="宋体" w:eastAsia="宋体" w:cs="宋体"/>
          <w:b/>
          <w:color w:val="auto"/>
          <w:sz w:val="24"/>
          <w:szCs w:val="24"/>
          <w:highlight w:val="none"/>
        </w:rPr>
      </w:pPr>
    </w:p>
    <w:p>
      <w:pPr>
        <w:pStyle w:val="2"/>
        <w:rPr>
          <w:rFonts w:hint="eastAsia"/>
        </w:rPr>
      </w:pPr>
    </w:p>
    <w:tbl>
      <w:tblPr>
        <w:tblStyle w:val="14"/>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578"/>
        <w:gridCol w:w="495"/>
        <w:gridCol w:w="1380"/>
        <w:gridCol w:w="1484"/>
        <w:gridCol w:w="600"/>
        <w:gridCol w:w="675"/>
        <w:gridCol w:w="1080"/>
        <w:gridCol w:w="156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65" w:type="dxa"/>
            <w:gridSpan w:val="10"/>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2022年水磨沟区道路公共绿地市场化管护最高限价表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标段</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绿地名称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绿化面积</w:t>
            </w:r>
            <w:r>
              <w:rPr>
                <w:rStyle w:val="37"/>
                <w:rFonts w:hint="eastAsia" w:asciiTheme="minorEastAsia" w:hAnsiTheme="minorEastAsia" w:eastAsiaTheme="minorEastAsia" w:cstheme="minorEastAsia"/>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说明</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养护等级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每平方米限价（元）</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标段限价（元）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六</w:t>
            </w:r>
          </w:p>
          <w:p>
            <w:pPr>
              <w:pStyle w:val="26"/>
              <w:rPr>
                <w:rFonts w:hint="eastAsia" w:asciiTheme="minorEastAsia" w:hAnsiTheme="minorEastAsia" w:eastAsiaTheme="minorEastAsia" w:cstheme="minorEastAsia"/>
                <w:sz w:val="18"/>
                <w:szCs w:val="18"/>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标</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水磨沟工业园道路绿化工程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249897.12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1795000.68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水磨沟区食品产业园经五路绿化提升工程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13623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113888.28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水磨沟区食品产业园纬三路道路绿地建设工程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183660.84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水磨沟区食品产业园周边绿化景观工程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115702.4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水磨沟区食品产业园周边绿化景观工程 第一标段：义务植树土方平整工程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82722.2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水磨沟区食品产业园周边绿化景观工程 第二标段：经五路游园工程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92352.92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水磨沟区食品产业园周边绿化景观工程 第三标段：经五路新增绿化工程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93481.52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水磨沟区食品产业园周边绿化景观工程 第四标段：停车场南侧游园绿化工程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235609.88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馕文化产业园行道树绿化（纬五路，创业路、八道湾管委会-工业园）</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15048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馕文化产业园行道树绿化（纬五路30米绿化，蔬菜公园)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107359.12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水磨沟工业园经五路智谷园至喀什路东延绿化建设工程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68552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会展纬五路道路绿化工程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33548.68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会展纬六路道路绿化工程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46147.2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会展经二路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51146.48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会展经四路南北路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48396.04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会展六路-主北侧平台绿化工程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257488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214713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1795000.68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b/>
                <w:bCs/>
                <w:i w:val="0"/>
                <w:iCs w:val="0"/>
                <w:color w:val="000000"/>
                <w:sz w:val="18"/>
                <w:szCs w:val="18"/>
                <w:u w:val="none"/>
              </w:rPr>
            </w:pPr>
          </w:p>
        </w:tc>
      </w:tr>
    </w:tbl>
    <w:p>
      <w:pPr>
        <w:spacing w:line="440" w:lineRule="exact"/>
        <w:outlineLvl w:val="9"/>
        <w:rPr>
          <w:rFonts w:hint="eastAsia" w:ascii="宋体" w:hAnsi="宋体" w:eastAsia="宋体" w:cs="宋体"/>
          <w:b/>
          <w:color w:val="auto"/>
          <w:sz w:val="24"/>
          <w:szCs w:val="24"/>
          <w:highlight w:val="none"/>
        </w:rPr>
      </w:pPr>
    </w:p>
    <w:p>
      <w:pPr>
        <w:spacing w:line="440" w:lineRule="exact"/>
        <w:outlineLvl w:val="9"/>
        <w:rPr>
          <w:rFonts w:hint="eastAsia"/>
          <w:highlight w:val="none"/>
        </w:rPr>
      </w:pPr>
      <w:bookmarkStart w:id="29" w:name="_Toc23691"/>
      <w:r>
        <w:rPr>
          <w:rFonts w:hint="eastAsia" w:ascii="宋体" w:hAnsi="宋体" w:eastAsia="宋体" w:cs="宋体"/>
          <w:b/>
          <w:color w:val="auto"/>
          <w:sz w:val="24"/>
          <w:szCs w:val="24"/>
          <w:highlight w:val="none"/>
        </w:rPr>
        <w:t>备注：</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bCs/>
          <w:color w:val="auto"/>
          <w:kern w:val="0"/>
          <w:sz w:val="24"/>
          <w:szCs w:val="24"/>
          <w:highlight w:val="none"/>
        </w:rPr>
        <w:t>公共绿地养护金额限价均为一年</w:t>
      </w:r>
      <w:r>
        <w:rPr>
          <w:rFonts w:hint="eastAsia" w:ascii="宋体" w:hAnsi="宋体" w:eastAsia="宋体" w:cs="宋体"/>
          <w:b/>
          <w:color w:val="auto"/>
          <w:sz w:val="24"/>
          <w:szCs w:val="24"/>
          <w:highlight w:val="none"/>
        </w:rPr>
        <w:t>；</w:t>
      </w:r>
      <w:bookmarkEnd w:id="29"/>
    </w:p>
    <w:p>
      <w:pPr>
        <w:spacing w:line="440" w:lineRule="exact"/>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30" w:name="_Toc24409"/>
      <w:r>
        <w:rPr>
          <w:rFonts w:hint="eastAsia" w:ascii="宋体" w:hAnsi="宋体" w:eastAsia="宋体" w:cs="宋体"/>
          <w:b/>
          <w:color w:val="auto"/>
          <w:sz w:val="30"/>
          <w:szCs w:val="30"/>
          <w:highlight w:val="none"/>
        </w:rPr>
        <w:t>第五部分   服务合同（样本）</w:t>
      </w:r>
      <w:bookmarkEnd w:id="30"/>
    </w:p>
    <w:bookmarkEnd w:id="28"/>
    <w:p>
      <w:pPr>
        <w:spacing w:line="440" w:lineRule="exact"/>
        <w:jc w:val="center"/>
        <w:outlineLvl w:val="1"/>
        <w:rPr>
          <w:rFonts w:hint="eastAsia" w:ascii="宋体" w:hAnsi="宋体" w:eastAsia="宋体" w:cs="宋体"/>
          <w:b/>
          <w:color w:val="auto"/>
          <w:sz w:val="24"/>
          <w:szCs w:val="24"/>
          <w:highlight w:val="none"/>
        </w:rPr>
      </w:pPr>
      <w:bookmarkStart w:id="31" w:name="_Toc80724672"/>
      <w:r>
        <w:rPr>
          <w:rFonts w:hint="eastAsia" w:ascii="宋体" w:hAnsi="宋体" w:eastAsia="宋体" w:cs="宋体"/>
          <w:b/>
          <w:color w:val="auto"/>
          <w:sz w:val="24"/>
          <w:szCs w:val="24"/>
          <w:highlight w:val="none"/>
        </w:rPr>
        <w:t>绿 地 养 护 承 包 合 同</w:t>
      </w:r>
    </w:p>
    <w:p>
      <w:pPr>
        <w:spacing w:line="440" w:lineRule="exact"/>
        <w:jc w:val="center"/>
        <w:rPr>
          <w:rFonts w:hint="eastAsia" w:ascii="宋体" w:hAnsi="宋体" w:eastAsia="宋体" w:cs="宋体"/>
          <w:b/>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协议方:</w:t>
      </w:r>
      <w:r>
        <w:rPr>
          <w:rFonts w:hint="eastAsia" w:ascii="宋体" w:hAnsi="宋体" w:eastAsia="宋体" w:cs="宋体"/>
          <w:color w:val="auto"/>
          <w:sz w:val="24"/>
          <w:szCs w:val="24"/>
          <w:highlight w:val="none"/>
          <w:lang w:eastAsia="zh-CN"/>
        </w:rPr>
        <w:t>乌鲁木齐市水磨沟区园林管理局</w:t>
      </w:r>
      <w:r>
        <w:rPr>
          <w:rFonts w:hint="eastAsia" w:ascii="宋体" w:hAnsi="宋体" w:eastAsia="宋体" w:cs="宋体"/>
          <w:color w:val="auto"/>
          <w:sz w:val="24"/>
          <w:szCs w:val="24"/>
          <w:highlight w:val="none"/>
        </w:rPr>
        <w:t xml:space="preserve">      (以下简称甲方)</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协议方:(以下简称乙方)</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了强化城区绿地长效管理，引入社会力量参与绿地管护工作，进一步提升绿地精细化管养水平。依照《中华人民共和合同法》《城市绿化条例》及其他有关法律、法规的规定，遵循平等、自愿、公平和诚实信用的原则，经甲、乙双方共同协商，特签订本合同。</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第一条 ；绿化养护项目概况</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1.养护项目名称: </w:t>
      </w:r>
      <w:r>
        <w:rPr>
          <w:rFonts w:hint="eastAsia" w:ascii="宋体" w:hAnsi="宋体" w:eastAsia="宋体" w:cs="宋体"/>
          <w:color w:val="auto"/>
          <w:sz w:val="24"/>
          <w:szCs w:val="24"/>
          <w:highlight w:val="none"/>
          <w:lang w:val="en-US" w:eastAsia="zh-CN"/>
        </w:rPr>
        <w:t>2022年水磨沟区道路公共绿地市场化养护（</w:t>
      </w:r>
      <w:r>
        <w:rPr>
          <w:rFonts w:hint="eastAsia" w:ascii="宋体" w:hAnsi="宋体" w:eastAsia="宋体" w:cs="宋体"/>
          <w:color w:val="auto"/>
          <w:sz w:val="24"/>
          <w:szCs w:val="24"/>
          <w:highlight w:val="none"/>
        </w:rPr>
        <w:t>标段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2.管护路段及核定标准见附件1（中标项目为准）。</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合同约定管护总面积为:           平方米(以最终实际管养面积为准)，每年养护金额:                 元(大写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合同期限为</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年：自20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日至20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日止。                        </w:t>
      </w:r>
    </w:p>
    <w:p>
      <w:pPr>
        <w:spacing w:line="360" w:lineRule="auto"/>
        <w:jc w:val="left"/>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none"/>
        </w:rPr>
        <w:t>4.合同内容:实行</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考核制度。</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考核合格，继续履行合同。</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考核不合格，甲方有权在考核完毕之日起三十日内向乙方书面提出在解除合同，并有权要求乙方赔偿损失和承担违约金。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；绿化养护内容及工作职责</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养护内容:乔灌木、绿篱、草本植物等的修剪、浇灌、施肥、清除杂草、去除枯死断株，植物补植、 树木扶正、病虫害防治和监测、植物防护、垃圾清运(防严寒、</w:t>
      </w:r>
      <w:r>
        <w:rPr>
          <w:rFonts w:hint="eastAsia" w:ascii="宋体" w:hAnsi="宋体" w:eastAsia="宋体" w:cs="宋体"/>
          <w:color w:val="auto"/>
          <w:sz w:val="24"/>
          <w:szCs w:val="24"/>
          <w:highlight w:val="none"/>
          <w:lang w:val="en-US" w:eastAsia="zh-CN"/>
        </w:rPr>
        <w:t>干旱</w:t>
      </w:r>
      <w:r>
        <w:rPr>
          <w:rFonts w:hint="eastAsia" w:ascii="宋体" w:hAnsi="宋体" w:eastAsia="宋体" w:cs="宋体"/>
          <w:color w:val="auto"/>
          <w:sz w:val="24"/>
          <w:szCs w:val="24"/>
          <w:highlight w:val="none"/>
        </w:rPr>
        <w:t>)等工作。含本标段范围内乔灌木移植工作。</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2.乙方责任: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(1)管护区域内的防火工作。重点做好</w:t>
      </w:r>
      <w:r>
        <w:rPr>
          <w:rFonts w:hint="eastAsia" w:ascii="宋体" w:hAnsi="宋体" w:eastAsia="宋体" w:cs="宋体"/>
          <w:color w:val="auto"/>
          <w:sz w:val="24"/>
          <w:szCs w:val="24"/>
          <w:highlight w:val="none"/>
          <w:lang w:eastAsia="zh-CN"/>
        </w:rPr>
        <w:t>道路公共绿地</w:t>
      </w:r>
      <w:r>
        <w:rPr>
          <w:rFonts w:hint="eastAsia" w:ascii="宋体" w:hAnsi="宋体" w:eastAsia="宋体" w:cs="宋体"/>
          <w:color w:val="auto"/>
          <w:sz w:val="24"/>
          <w:szCs w:val="24"/>
          <w:highlight w:val="none"/>
        </w:rPr>
        <w:t>火源监控和火险隐患排查工作，尤其是在夏秋季</w:t>
      </w:r>
      <w:r>
        <w:rPr>
          <w:rFonts w:hint="eastAsia" w:ascii="宋体" w:hAnsi="宋体" w:eastAsia="宋体" w:cs="宋体"/>
          <w:color w:val="auto"/>
          <w:sz w:val="24"/>
          <w:szCs w:val="24"/>
          <w:highlight w:val="none"/>
          <w:lang w:eastAsia="zh-CN"/>
        </w:rPr>
        <w:t>道路公共绿地</w:t>
      </w:r>
      <w:r>
        <w:rPr>
          <w:rFonts w:hint="eastAsia" w:ascii="宋体" w:hAnsi="宋体" w:eastAsia="宋体" w:cs="宋体"/>
          <w:color w:val="auto"/>
          <w:sz w:val="24"/>
          <w:szCs w:val="24"/>
          <w:highlight w:val="none"/>
        </w:rPr>
        <w:t>火险高发时期，每日安排人员对</w:t>
      </w:r>
      <w:r>
        <w:rPr>
          <w:rFonts w:hint="eastAsia" w:ascii="宋体" w:hAnsi="宋体" w:eastAsia="宋体" w:cs="宋体"/>
          <w:color w:val="auto"/>
          <w:sz w:val="24"/>
          <w:szCs w:val="24"/>
          <w:highlight w:val="none"/>
          <w:lang w:eastAsia="zh-CN"/>
        </w:rPr>
        <w:t>道路公共绿地</w:t>
      </w:r>
      <w:r>
        <w:rPr>
          <w:rFonts w:hint="eastAsia" w:ascii="宋体" w:hAnsi="宋体" w:eastAsia="宋体" w:cs="宋体"/>
          <w:color w:val="auto"/>
          <w:sz w:val="24"/>
          <w:szCs w:val="24"/>
          <w:highlight w:val="none"/>
        </w:rPr>
        <w:t>进行二十四小时巡查。要及时对变压器、高压线周边的树木进行修剪，避免造成树木损毁或设备受损。严禁外单位车辆及无关人员进入</w:t>
      </w:r>
      <w:r>
        <w:rPr>
          <w:rFonts w:hint="eastAsia" w:ascii="宋体" w:hAnsi="宋体" w:eastAsia="宋体" w:cs="宋体"/>
          <w:color w:val="auto"/>
          <w:sz w:val="24"/>
          <w:szCs w:val="24"/>
          <w:highlight w:val="none"/>
          <w:lang w:eastAsia="zh-CN"/>
        </w:rPr>
        <w:t>道路公共绿地</w:t>
      </w:r>
      <w:r>
        <w:rPr>
          <w:rFonts w:hint="eastAsia" w:ascii="宋体" w:hAnsi="宋体" w:eastAsia="宋体" w:cs="宋体"/>
          <w:color w:val="auto"/>
          <w:sz w:val="24"/>
          <w:szCs w:val="24"/>
          <w:highlight w:val="none"/>
        </w:rPr>
        <w:t>。</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(2)管护区域内的泵房值班工作。针对管护区域内含有泵房的单位，要安排专人24小时进行值班，确保抽水设备、电力设备、地面管线等相应设施正常使用。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(3)管护区</w:t>
      </w:r>
      <w:r>
        <w:rPr>
          <w:rFonts w:hint="eastAsia" w:ascii="宋体" w:hAnsi="宋体" w:eastAsia="宋体" w:cs="宋体"/>
          <w:color w:val="auto"/>
          <w:sz w:val="24"/>
          <w:szCs w:val="24"/>
          <w:highlight w:val="none"/>
          <w:lang w:eastAsia="zh-CN"/>
        </w:rPr>
        <w:t>域</w:t>
      </w:r>
      <w:r>
        <w:rPr>
          <w:rFonts w:hint="eastAsia" w:ascii="宋体" w:hAnsi="宋体" w:eastAsia="宋体" w:cs="宋体"/>
          <w:color w:val="auto"/>
          <w:sz w:val="24"/>
          <w:szCs w:val="24"/>
          <w:highlight w:val="none"/>
        </w:rPr>
        <w:t>内的护林工作。乙方要安排巡查人员，定期对管护区域进行巡查，及时制止牛、马、羊等牲畜啃食树木、破坏草坪。严禁在</w:t>
      </w:r>
      <w:r>
        <w:rPr>
          <w:rFonts w:hint="eastAsia" w:ascii="宋体" w:hAnsi="宋体" w:eastAsia="宋体" w:cs="宋体"/>
          <w:color w:val="auto"/>
          <w:sz w:val="24"/>
          <w:szCs w:val="24"/>
          <w:highlight w:val="none"/>
          <w:lang w:eastAsia="zh-CN"/>
        </w:rPr>
        <w:t>道路公共绿地</w:t>
      </w:r>
      <w:r>
        <w:rPr>
          <w:rFonts w:hint="eastAsia" w:ascii="宋体" w:hAnsi="宋体" w:eastAsia="宋体" w:cs="宋体"/>
          <w:color w:val="auto"/>
          <w:sz w:val="24"/>
          <w:szCs w:val="24"/>
          <w:highlight w:val="none"/>
        </w:rPr>
        <w:t>倾倒垃圾和一切破坏</w:t>
      </w:r>
      <w:r>
        <w:rPr>
          <w:rFonts w:hint="eastAsia" w:ascii="宋体" w:hAnsi="宋体" w:eastAsia="宋体" w:cs="宋体"/>
          <w:color w:val="auto"/>
          <w:sz w:val="24"/>
          <w:szCs w:val="24"/>
          <w:highlight w:val="none"/>
          <w:lang w:eastAsia="zh-CN"/>
        </w:rPr>
        <w:t>道路公共绿地</w:t>
      </w:r>
      <w:r>
        <w:rPr>
          <w:rFonts w:hint="eastAsia" w:ascii="宋体" w:hAnsi="宋体" w:eastAsia="宋体" w:cs="宋体"/>
          <w:color w:val="auto"/>
          <w:sz w:val="24"/>
          <w:szCs w:val="24"/>
          <w:highlight w:val="none"/>
        </w:rPr>
        <w:t>的事件发生。</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（4）管护区域内发生毁林或</w:t>
      </w:r>
      <w:r>
        <w:rPr>
          <w:rFonts w:hint="eastAsia" w:ascii="宋体" w:hAnsi="宋体" w:eastAsia="宋体" w:cs="宋体"/>
          <w:color w:val="auto"/>
          <w:sz w:val="24"/>
          <w:szCs w:val="24"/>
          <w:highlight w:val="none"/>
          <w:lang w:val="en-US" w:eastAsia="zh-CN"/>
        </w:rPr>
        <w:t>不法</w:t>
      </w:r>
      <w:r>
        <w:rPr>
          <w:rFonts w:hint="eastAsia" w:ascii="宋体" w:hAnsi="宋体" w:eastAsia="宋体" w:cs="宋体"/>
          <w:color w:val="auto"/>
          <w:sz w:val="24"/>
          <w:szCs w:val="24"/>
          <w:highlight w:val="none"/>
        </w:rPr>
        <w:t>行为等，乙方当场制止并取证，进行紧急处理，避免损失扩大，因乙方失职造成损失责任全部由乙方承担。</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第三条养护质量和考核</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1.按照《水磨沟区园林绿化市场化养护标准》、招投标文件规定和本合同约定的条款执行，确保养护质量。质量必须达到合格标准。</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2.养护考核</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(1)乙方应认真按照《水磨沟区园林绿化市场化养护标准》、 招投标文件规定、本合同约定的条款以及甲方、监理单位发出的合理指令进行养护，随时接受甲方的不定期检查和考核，为检查、考核提供便利条件。不得以任何条件为借口，影响甲方的检查和考核。如因乙方原因，导致甲方不能进行不定期检查和考核，所造成的一切损失全部由乙方承担，并承担违约责任，支付养护总价10%违约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(2)甲方可按照《水磨沟区园林绿化市场化养护标准</w:t>
      </w:r>
      <w:r>
        <w:rPr>
          <w:rFonts w:hint="eastAsia" w:ascii="宋体" w:hAnsi="宋体" w:eastAsia="宋体" w:cs="宋体"/>
          <w:color w:val="auto"/>
          <w:sz w:val="24"/>
          <w:szCs w:val="24"/>
          <w:highlight w:val="none"/>
          <w:lang w:eastAsia="zh-CN"/>
        </w:rPr>
        <w:t>考</w:t>
      </w:r>
      <w:r>
        <w:rPr>
          <w:rFonts w:hint="eastAsia" w:ascii="宋体" w:hAnsi="宋体" w:eastAsia="宋体" w:cs="宋体"/>
          <w:color w:val="auto"/>
          <w:sz w:val="24"/>
          <w:szCs w:val="24"/>
          <w:highlight w:val="none"/>
        </w:rPr>
        <w:t>核管理办法》及考核结果进行处罚，核减养护费用。具体要求参照《水磨沟区园林绿化市场化养护标准</w:t>
      </w:r>
      <w:r>
        <w:rPr>
          <w:rFonts w:hint="eastAsia" w:ascii="宋体" w:hAnsi="宋体" w:eastAsia="宋体" w:cs="宋体"/>
          <w:color w:val="auto"/>
          <w:sz w:val="24"/>
          <w:szCs w:val="24"/>
          <w:highlight w:val="none"/>
          <w:lang w:eastAsia="zh-CN"/>
        </w:rPr>
        <w:t>考</w:t>
      </w:r>
      <w:r>
        <w:rPr>
          <w:rFonts w:hint="eastAsia" w:ascii="宋体" w:hAnsi="宋体" w:eastAsia="宋体" w:cs="宋体"/>
          <w:color w:val="auto"/>
          <w:sz w:val="24"/>
          <w:szCs w:val="24"/>
          <w:highlight w:val="none"/>
        </w:rPr>
        <w:t>核管理办法》实施。乙方对此无异议。</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甲乙双方一般权利和义务</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1.甲方权利和义务</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（1)乙方在养护中出现重大问题(遭遇特殊的不可抗拒的因素除外)，并造成恶劣影响，甲方有权在三日内以书面形式通知乙方解除本承包合同，并有权要求乙方赔偿一切经济损失。</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(2)将养护区域内的树木、草坪、花卉、绿篱、园林设施及其它需要养护的设施，列明范围或清单，双方进行现场书面签字确认。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(3)因苗木自然老化、因不可抗拒的自然因素(如大风、雷电等)造成苗木损坏，由甲方提供苗木，乙方无偿补种。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水磨沟区园林绿化市场化养护标准核管理办法》及招标文件相关规定，检查、考核乙方的工作。</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(5)按合同约定期限向乙方支付养护费用。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2.乙方权利和义务</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(I)乙方确定一名负责人及法人书面委托的项目经理， 与甲方、监理单位联系。同时，聘请2-3名专业技术人员及自备相关的专业工具和机械设备，负责日常养护工作。</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与所雇佣人员签订劳动合同及缴纳社保，按照合同规定支付工资报酬。如未与所雇佣人员签订合同及缴纳社保或支付工资报酬被当事人举报相关部门，应视同乙方违约，并由乙方承担违约后的一切责任。甲方除监督乙方核发所欠的工资报酬外，乙方还应按每人次2000元向甲方支付违约金，甲方有权从管护费用中直接予以扣除。情节严重的，甲方有权解除本合同。在合同期限内，乙方所雇佣人员与甲方不存在劳动关系，发生安全及工伤等一切事故全部由乙方承担，与甲方无关。</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(3)合同期限内，如其他人需要占用绿地、毁绿等现象，乙方必须第一时间对占用绿地、 毁绿等现象予以制止并及时以书面或电话告如甲方，由甲方负责依法处理。后期恢复工作，视其情况由甲、乙双方协商解决。若乙方未发现或未制止毁绿行为，所造成的一切损失除由乙方自行承担外，并赔偿给甲方造成的全部经济损失。</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乙方聘用的绿化管护工作人员，应当遵守国家法律法规，禁止聘用涉暴涉恐人员、非法宗教人员。要建立聘用人员台账，随时掌握聘用人员动态。如违反规定，造成的一切后果均由乙方负责。甲方可以立即解除合同，并要求乙方赔偿损失的权利。</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(5)乙方每月1日-5日以书面形式向甲方上报当月管护计划和上月工作小结。</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乙方应当自觉履行本合同约定的各项条款，并做好日常检查工作。针对甲方、监理单位提出的限期整改要求，应在收到限期整改通知书之日起三日内整改完毕，并通知甲方进行书面验收。如整改过程中存在问题，应当以书面形式告知甲方和相关单位。乙方如不按期进行整改，甲方有权安排其它人员进行整改，所花费用全部由乙方承担，甲方有权直接从应支付乙方的养护费中直接扣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(7)因乙方管理不到位，造成乔、灌、花、草等缺损，由乙方负责承担所产生的相关费用，并组织人员按照甲方规定的时间实施恢复原状。</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(8)若遇应急工作，市区两级下达的硬性任务（合同以外的项目），由甲、乙双方共同协商组织人员完成。</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(9)乙方养护使用的生产工具、维修工具、维修材料等均由乙方自行购买配备。除水表井以外，所有灌溉设施由乙方自行负责维护维修，并自行承担维护维修费用。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乙方要合理安排，科学浇水(遵守夏季用水高峰期错峰浇水相关要求)，禁止出现跑水、漏水现象。如因乙方管理问题，出现跑水、漏水现象，违反高峰期用水相关要求的，乙方承担一切责任，并承担一切赔偿费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(11)林业有害生物防治工作，按照统防治和个例防治的方法实施。乙方做好责任范围内的病虫害预报、防治工作，及时掌握并上报信息。</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(12)参照招标文件，乙方在养护期间产生的电费、水费、苗木补植、病虫害防治、灌溉系统维修、垃圾清运、冬季灌木保护等相关费用，均由乙方承担。</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(13)乙方必须按时参加甲方、监理单位组织的相关会议。</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第五条 ； 安全防护及事故处理</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1.一般要求</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在养护期间，应当严格遵守安全管理制度，并随时接受安全检查人员依法实施的监督检查，采取必要的安全防护措施，消除事故隐患。由于乙方安全措施不力造成事故的责任和因此发生的费用，由乙方承担。</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(2)乙方应对养护工作人员进行安全教育，并对他们的安全负责，因乙方原因造成任何人身伤亡事件成任何财产损坏、损失，乙方须负完全律责任，并赔偿给甲方遗受的一切经济及其它损失: 若乙方不付上述费用时，甲方有权从应支付给乙方的管护费用中直接扣除上述费用，不足之数由乙方另行支付。</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安全防范</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(1)乙方在从事控制有害生物、修理设施等工作时应自行采取相应的安全防护措施。除双方另有约定外，安全防护费用由乙方自行承担。</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(2)乙方应保证养护范围内的各项设施能够安全使用，对于存在安全隐患的设施、物品，应及时修理或更换。所发生费用由乙方自行承担。</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乙方必须使用及自费购买符合国家相关部门规定、环保的病虫害防治药剂。喷酒药物时，必须悬挂相关警示标识牌。残留药剂和容器，乙方应按规定妥善收集和处理。乙方未按规定使用药剂，造成的责任及一切损失均由乙方自行承担。</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第六条；养护费用支付方式</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1.养护费依照中标单价，按照承包周期内实际养护面积核算。如遇市政建设，绿地面积减少或增加的，养护承包总价随之核减或核增。养护面积变更时，必须以甲乙双方代表、监理单位签证为依据。</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2.支付方式:</w:t>
      </w:r>
      <w:r>
        <w:rPr>
          <w:rFonts w:hint="eastAsia" w:ascii="宋体" w:hAnsi="宋体" w:eastAsia="宋体" w:cs="宋体"/>
          <w:color w:val="auto"/>
          <w:sz w:val="24"/>
          <w:szCs w:val="24"/>
          <w:highlight w:val="none"/>
          <w:lang w:val="en-US" w:eastAsia="zh-CN"/>
        </w:rPr>
        <w:t>最终的付款方式以和甲方签订的合同为准。</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违约责任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期限内，任何一方不得无故违约，除符合法律规定，需要解除合同的。解除方须提前30天以书面方式通知对方。征得对方同意才可解除本合同，若不提前通知无故解除本合同，违约方应支付2个月的养护管理费作为赔偿。</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2.在解除合同办理相关事宜期间。甲乙双方需履行合同的相关事宜和责任，乙方必须保障树木及绿地的正常养护，如发生损失由乙方承担相关责任。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3.如遇政策性变动及不可抗力因素，以政府相关政策要求为主。导致本合同不能履行，合同自通知发出之日起子以解除，并自动生效。互不承担违约责任。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4.针对同一问题，甲方或监理单位连续3次下达限期整改通知书。乙方在限期内拒不整改，甲方有权解除本合同，并有权要求乙方赔偿相关损失及要求乙方按养护总价10%向甲方支付违约金。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5.乙方未能按照《水磨沟区园林绿化市场化养护标准》、招投标文件规定和本合同约定的条款履行，致使养护质量不能达到标准，并在甲方整改策期内仍不能达到要求的，应按全年养护总价10%向甲方支付违约金。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期限内，任何一方无故违约或不履行合同义务，导致对方解除合同，违约方除赔偿给对方造成的一切经济损失（包括但不限于诉讼费、公告费、送达费、律师费）外。并按全年养护总价10%向对方支付违约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第八条乙方代表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本项目乙方代表为: (单位)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委托监管负责人为: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(手机)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第九条   其他约定事项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1.本合同未尽事宜，经甲乙双方协商，签订补充协议，补充协议与本合同具有同等法律效力。双方因履行本合同发生争议，协商解决，未能协商一致的， 双方均同意由甲方所在地即</w:t>
      </w:r>
      <w:r>
        <w:rPr>
          <w:rFonts w:hint="eastAsia" w:ascii="宋体" w:hAnsi="宋体" w:eastAsia="宋体" w:cs="宋体"/>
          <w:color w:val="auto"/>
          <w:sz w:val="24"/>
          <w:szCs w:val="24"/>
          <w:highlight w:val="none"/>
          <w:lang w:eastAsia="zh-CN"/>
        </w:rPr>
        <w:t>水磨沟区</w:t>
      </w:r>
      <w:r>
        <w:rPr>
          <w:rFonts w:hint="eastAsia" w:ascii="宋体" w:hAnsi="宋体" w:eastAsia="宋体" w:cs="宋体"/>
          <w:color w:val="auto"/>
          <w:sz w:val="24"/>
          <w:szCs w:val="24"/>
          <w:highlight w:val="none"/>
        </w:rPr>
        <w:t>人民法院管辖。</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2.本合同附件与本合同具有同等法律效力，内容上相互补充。</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3.合同期满，乙方如需续约，需提前壹个月，以书面形式告知甲方，在同等条件下，乙方有优先权利，双方协商另行签订合同。</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4.本合同一式伍份，甲方执肆份，乙方执壹份。自双方签字盖章之日起生效。</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pStyle w:val="26"/>
        <w:widowControl w:val="0"/>
        <w:numPr>
          <w:ilvl w:val="0"/>
          <w:numId w:val="0"/>
        </w:numPr>
        <w:jc w:val="center"/>
        <w:rPr>
          <w:rFonts w:hint="eastAsia" w:ascii="宋体" w:hAnsi="宋体" w:eastAsia="宋体" w:cs="宋体"/>
          <w:color w:val="auto"/>
          <w:sz w:val="24"/>
          <w:szCs w:val="24"/>
          <w:highlight w:val="none"/>
        </w:rPr>
      </w:pPr>
    </w:p>
    <w:p>
      <w:pPr>
        <w:pStyle w:val="26"/>
        <w:widowControl w:val="0"/>
        <w:numPr>
          <w:ilvl w:val="0"/>
          <w:numId w:val="0"/>
        </w:numPr>
        <w:jc w:val="center"/>
        <w:rPr>
          <w:rFonts w:hint="eastAsia" w:ascii="宋体" w:hAnsi="宋体" w:eastAsia="宋体" w:cs="宋体"/>
          <w:color w:val="auto"/>
          <w:sz w:val="24"/>
          <w:szCs w:val="24"/>
          <w:highlight w:val="none"/>
        </w:rPr>
      </w:pPr>
    </w:p>
    <w:p>
      <w:pPr>
        <w:pStyle w:val="26"/>
        <w:widowControl w:val="0"/>
        <w:numPr>
          <w:ilvl w:val="0"/>
          <w:numId w:val="0"/>
        </w:numPr>
        <w:jc w:val="center"/>
        <w:rPr>
          <w:rFonts w:hint="eastAsia" w:ascii="宋体" w:hAnsi="宋体" w:eastAsia="宋体" w:cs="宋体"/>
          <w:color w:val="auto"/>
          <w:sz w:val="24"/>
          <w:szCs w:val="24"/>
          <w:highlight w:val="none"/>
        </w:rPr>
      </w:pPr>
    </w:p>
    <w:p>
      <w:pPr>
        <w:pStyle w:val="26"/>
        <w:widowControl w:val="0"/>
        <w:numPr>
          <w:ilvl w:val="0"/>
          <w:numId w:val="0"/>
        </w:numPr>
        <w:jc w:val="center"/>
        <w:rPr>
          <w:rFonts w:hint="eastAsia" w:ascii="宋体" w:hAnsi="宋体" w:eastAsia="宋体" w:cs="宋体"/>
          <w:color w:val="auto"/>
          <w:sz w:val="24"/>
          <w:szCs w:val="24"/>
          <w:highlight w:val="none"/>
        </w:rPr>
      </w:pPr>
    </w:p>
    <w:p>
      <w:pPr>
        <w:pStyle w:val="26"/>
        <w:widowControl w:val="0"/>
        <w:numPr>
          <w:ilvl w:val="0"/>
          <w:numId w:val="0"/>
        </w:numPr>
        <w:jc w:val="center"/>
        <w:rPr>
          <w:rFonts w:hint="eastAsia" w:ascii="宋体" w:hAnsi="宋体" w:eastAsia="宋体" w:cs="宋体"/>
          <w:color w:val="auto"/>
          <w:sz w:val="24"/>
          <w:szCs w:val="24"/>
          <w:highlight w:val="none"/>
        </w:rPr>
      </w:pPr>
    </w:p>
    <w:p>
      <w:pPr>
        <w:pStyle w:val="26"/>
        <w:widowControl w:val="0"/>
        <w:numPr>
          <w:ilvl w:val="0"/>
          <w:numId w:val="0"/>
        </w:numPr>
        <w:jc w:val="center"/>
        <w:rPr>
          <w:rFonts w:hint="eastAsia" w:ascii="宋体" w:hAnsi="宋体" w:eastAsia="宋体" w:cs="宋体"/>
          <w:color w:val="auto"/>
          <w:sz w:val="24"/>
          <w:szCs w:val="24"/>
          <w:highlight w:val="none"/>
        </w:rPr>
      </w:pPr>
    </w:p>
    <w:p>
      <w:pPr>
        <w:pStyle w:val="26"/>
        <w:widowControl w:val="0"/>
        <w:numPr>
          <w:ilvl w:val="0"/>
          <w:numId w:val="0"/>
        </w:numPr>
        <w:jc w:val="both"/>
        <w:rPr>
          <w:rFonts w:hint="eastAsia" w:ascii="宋体" w:hAnsi="宋体" w:eastAsia="宋体" w:cs="宋体"/>
          <w:color w:val="auto"/>
          <w:sz w:val="24"/>
          <w:szCs w:val="24"/>
          <w:highlight w:val="none"/>
        </w:rPr>
      </w:pPr>
    </w:p>
    <w:p>
      <w:pPr>
        <w:pStyle w:val="26"/>
        <w:widowControl w:val="0"/>
        <w:numPr>
          <w:ilvl w:val="0"/>
          <w:numId w:val="0"/>
        </w:numPr>
        <w:jc w:val="center"/>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责任人(签章)：              责任人(签章)：</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组织机构代码：           ; 组织机构代码：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 地址：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；法定代表人：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；电话:                </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sectPr>
          <w:footerReference r:id="rId8" w:type="first"/>
          <w:footerReference r:id="rId7" w:type="default"/>
          <w:pgSz w:w="11907" w:h="16840"/>
          <w:pgMar w:top="1134" w:right="1134" w:bottom="1134" w:left="1418" w:header="851" w:footer="992" w:gutter="0"/>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24"/>
          <w:szCs w:val="24"/>
          <w:highlight w:val="none"/>
        </w:rPr>
        <w:t>年  月   日                        年  月  日</w:t>
      </w:r>
    </w:p>
    <w:p>
      <w:pPr>
        <w:spacing w:line="440" w:lineRule="exact"/>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合同通用条款</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1、甲方代表</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甲方指派_____为派驻现场代表，全面负责日常养护作业的管理工作。</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2、乙方代表</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2.1乙方指派_____为绿地养护项目负责人，具体负责本养护标段的作业工作，并用书面材料报甲方备案。</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2.2乙方若更换项目负责人，应提前5天以书面形式通知甲方，并征得甲方同意。</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3、甲方工作</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3.1负责向乙方提供中标绿地的有关资料。</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3.2组织召开养护作业技术交底会。</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3.3负责乙方的日常养护作业的管理和检查。</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3.4甲方有权要求乙方更换其认为不称职的项目负责人。</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3.5甲方应做的其它工作，双方在补充条款内约定。</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4、乙方工作</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4.1应根据规定的养护标准和作业规范，落实具体措施，做好绿地养护管理，保证符合标准和规范要求。</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4.2做好统计报表，并按时做好月、季、年度上报养护工作完成情况。</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4.3建立巡视报告制，每天有专人对绿化、设施巡视，并做好每日巡视记录。发现养护范围内公用设施缺损，应及时与甲方联系，否则乙方将承担相应责任。</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4.3.1如发现绿化设施损坏，应及时向甲方报告，并按甲方要求进行恢复。</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4.3.2巡视中发现绿地内有违章搭建及其它破坏绿化等现象，必须当场予以制止并及时报告甲方。</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4.4超出常规养护范围的工作，需提前报甲方审批。</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4.5按时按量完成甲方交办的其它突击性任务和指令性任务。</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4.6如有移伐树木、占用绿地事项，乙方应及时无偿负责移伐树木、占用绿地后的绿地修复工作。</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4.7因不可抗力造成的抢修保养工作。</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4.8乙方应做的其它工作，双方在补充条款内约定。</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养护组织设计</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5、进度计划</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5.1乙方在本合同生效后5天内上报全年养护作业维修计划，并结合季节特点和绿化状况，制定季度、月度养护计划、材料计划送交甲方。甲方在7天内予以确认。</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乙方必须按经甲方确认的进度计划组织养护作业，接受甲方对进度的检查、监督。养护作业实际进度与经确认的进度计划不一致时，乙方应按甲方的要求提出整改措施，经甲方代表确认后执行。因乙方的原因导致实际进度与计划进度不符，乙方无权就改进措施提出追加合同价款。</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质量与考核</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6、质量标准</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养护质量标准按照条款约定的质量标准。因乙方原因造成养护质量达不到约定的质量标准，乙方承担违约责任。尤其是苗木补植，要做到随缺随补，否则，缺一罚十。</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6、检查和考核</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6.1乙方应认真按照条款中约定的质量标准进行养护，随时接受甲方的检查和考核，为检查和考核提供便利条件。</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6.2对于养护质量不符合要求的，甲方先通知整改，乙方在规定日期内未整改或不符合整改要求的，由甲方派其它队伍整改，费用在乙方养护费或履约金中扣除。</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甲方按照条款中约定的考核奖惩办法进行考核。乙方连续两个月或一年内累计有二个月考核分低于标准分80分的，或级次考核连续两次倒数第一或半年内累计三次被黄牌警告的，或经考核确实不具备承担养护工程能力的，甲方有权单方终止合同。乙方接甲方通知后24小时内必须无条件清退出场，由此造成的经济损失由乙方承担，原已完成的本月工作量按50%结算，并没收履约保证金。</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安全文明施工</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7、安全文明施工与检查</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7.1乙方应做好养护作业管理区内的安全管理工作,并随时接受甲方或行业安全检查人员依法实施的监督检查，采取必要的安全防护措施，消除事故隐患。</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7.2由于乙方管理不善，引起政府职能部门处罚和停工整改，或因安全措施不力造成事故的责任和因此发生的费用，由乙方承担。</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8、安全防护</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养护作业人员应做好各项安全防范措施，必须按照甲方规定的款式、颜色统一着装上岗。</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9、事故处理</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执行《合同通用条款》</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合同价款与支付</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10、合同价款</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10.1合同价款依据投标书的中标单价及绿地交接中的实际数量在协议书内约定，并按月拨付。</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10.2如实际养护作业量与招标报价数量有出入时，乙方按照补充条款约定的时间上报计划变更单，经甲方审核并报有关部门审定后方可在下季养护计划中调整。</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10.3乙方应向甲方提交月度养护作业统计报表。甲方在接到报表的7天内进行计量与考核，考核结果作为合同价款支付的依据。</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10.4对乙方超出养护范围和因乙方原因造成返工的工作量，甲方不予计量。</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11、合同价款支付</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11.1甲方按计量与考核结果，依据合同约定的时间和比例出具证明，由甲方支付养护费用。</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违约和争议</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12.1甲方代表不能及时给出必要指令、确认、批准，不能按合同约定履行自己的各项义务、以及发生其它使合同无法履行的行为，应承担违约责任。</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12.2乙方不能达到所承诺的养护质量和有关技术规范标准，乙方按协议条款支付违约金，赔偿因违约给甲方造成的损失。</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12.3因一方违约使合同不能履行，另一方欲终止或解除全部合同，应提前10天通知违约方后，方可终止或解除合同，由违约方承担违约责任。</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13、争议</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13.1甲乙双方因合同发生争议，由甲、乙双方协调解决。仍有争议的，可向人民法院起诉解决或向仲裁机关申请仲裁。</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13.2发生争议后，除出现以下情况，双方都应继续履行合同，保持养护管理连续性：</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13.2.1合同确已无法履行；</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13.2.2双方协议停止养护作业；</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13.2.3仲裁机关要求停止养护作业；</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13.2.4法院要求停止养护作业。</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14、合同解除</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14.1承包范围内的养护管理项目，乙方不得采取任何形式实施分包和转包，凡违反此规定的，甲方将立即取消乙方的承包资格，解除养护承包合同，由此产生的一切法律责任和经济损失由乙方承担。</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甲方按照条款中约定的考核奖惩办法进行考核。乙方连续两个月或一年内累计有二个月考核分低于标准分80分的，或级次考核连续两次倒数第一或半年内累计三次被黄牌警告的，或经考核确实不具备承担养护工程能力的，甲方有权单方终止合同。乙方接甲方通知后24小时内必须无条件清退出场，由此造成的经济损失由乙方承担，原已完成的本月工作量按50%结算，并没收履约保证金。</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15、其它</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15.1在本合同执行过程中如遇和法律、国家政策、地方法规不符时，按有关政策法规执行。</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15.2本合同如有未尽事宜，双方可通过协商补充协议解决。</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16、合同生效与终止</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双方在合同协议书中约定合同生效方式。双方履行合同全部义务，合同价款支付完毕后，本合同即告终止。</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17、合同份数</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本合同正本二份，副本四份，具有同等效力。由甲方、乙方分别保存一份。</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18、补充条款</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承包人须与所用劳务工人和材料、机械等供应单位签订劳务和供货合同。因承包人原因造成的拖欠工程款问题，由承包人自行解决。对于因此而造成的影响和责任由承包人承担，必要时发包人有权从工程款中扣除。</w:t>
      </w:r>
    </w:p>
    <w:p>
      <w:pPr>
        <w:spacing w:line="360" w:lineRule="auto"/>
        <w:ind w:right="14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18.2本工程营业税金需在工程所在地缴纳。</w:t>
      </w:r>
    </w:p>
    <w:p>
      <w:pPr>
        <w:spacing w:line="440" w:lineRule="exact"/>
        <w:outlineLvl w:val="9"/>
        <w:rPr>
          <w:rFonts w:hint="eastAsia" w:ascii="宋体" w:hAnsi="宋体" w:eastAsia="宋体" w:cs="宋体"/>
          <w:color w:val="auto"/>
          <w:sz w:val="24"/>
          <w:szCs w:val="24"/>
          <w:highlight w:val="none"/>
        </w:rPr>
      </w:pPr>
      <w:bookmarkStart w:id="32" w:name="_Toc21843"/>
      <w:r>
        <w:rPr>
          <w:rFonts w:hint="eastAsia" w:ascii="宋体" w:hAnsi="宋体" w:eastAsia="宋体" w:cs="宋体"/>
          <w:color w:val="auto"/>
          <w:sz w:val="24"/>
          <w:szCs w:val="24"/>
          <w:highlight w:val="none"/>
        </w:rPr>
        <w:t>18.3缺乏水源标段由承包人提出申请，经发包人确认后，由发包人负责打井或提供水源</w:t>
      </w:r>
      <w:bookmarkEnd w:id="32"/>
    </w:p>
    <w:p>
      <w:pPr>
        <w:spacing w:line="440" w:lineRule="exact"/>
        <w:outlineLvl w:val="9"/>
        <w:rPr>
          <w:rFonts w:hint="eastAsia" w:ascii="宋体" w:hAnsi="宋体" w:eastAsia="宋体" w:cs="宋体"/>
          <w:b/>
          <w:bCs/>
          <w:color w:val="auto"/>
          <w:sz w:val="24"/>
          <w:szCs w:val="24"/>
          <w:highlight w:val="none"/>
        </w:rPr>
      </w:pPr>
      <w:bookmarkStart w:id="33" w:name="_Toc5476"/>
      <w:r>
        <w:rPr>
          <w:rFonts w:hint="eastAsia" w:ascii="宋体" w:hAnsi="宋体" w:eastAsia="宋体" w:cs="宋体"/>
          <w:b/>
          <w:color w:val="auto"/>
          <w:sz w:val="24"/>
          <w:highlight w:val="none"/>
        </w:rPr>
        <w:t>注：最终合同以实际签订为准</w:t>
      </w:r>
      <w:bookmarkEnd w:id="33"/>
      <w:r>
        <w:rPr>
          <w:rFonts w:hint="eastAsia" w:ascii="宋体" w:hAnsi="宋体" w:eastAsia="宋体" w:cs="宋体"/>
          <w:b/>
          <w:bCs/>
          <w:color w:val="auto"/>
          <w:sz w:val="24"/>
          <w:szCs w:val="24"/>
          <w:highlight w:val="none"/>
        </w:rPr>
        <w:t xml:space="preserve"> </w:t>
      </w:r>
    </w:p>
    <w:p>
      <w:pPr>
        <w:spacing w:line="440" w:lineRule="exact"/>
        <w:outlineLvl w:val="9"/>
        <w:rPr>
          <w:rFonts w:hint="eastAsia" w:ascii="宋体" w:hAnsi="宋体" w:eastAsia="宋体" w:cs="宋体"/>
          <w:b/>
          <w:bCs/>
          <w:color w:val="auto"/>
          <w:sz w:val="24"/>
          <w:szCs w:val="24"/>
          <w:highlight w:val="none"/>
        </w:rPr>
      </w:pPr>
    </w:p>
    <w:p>
      <w:pPr>
        <w:spacing w:line="44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Start w:id="34" w:name="_Toc22437"/>
      <w:r>
        <w:rPr>
          <w:rFonts w:hint="eastAsia" w:ascii="宋体" w:hAnsi="宋体" w:eastAsia="宋体" w:cs="宋体"/>
          <w:b/>
          <w:bCs/>
          <w:color w:val="auto"/>
          <w:sz w:val="24"/>
          <w:szCs w:val="24"/>
          <w:highlight w:val="none"/>
        </w:rPr>
        <w:t>第三章  技术规范</w:t>
      </w:r>
      <w:bookmarkEnd w:id="34"/>
    </w:p>
    <w:p>
      <w:pPr>
        <w:spacing w:line="440" w:lineRule="exact"/>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p>
    <w:p>
      <w:pPr>
        <w:spacing w:line="440" w:lineRule="exact"/>
        <w:rPr>
          <w:rFonts w:hint="eastAsia" w:ascii="宋体" w:hAnsi="宋体" w:eastAsia="宋体" w:cs="宋体"/>
          <w:b/>
          <w:color w:val="auto"/>
          <w:sz w:val="24"/>
          <w:szCs w:val="24"/>
          <w:highlight w:val="none"/>
        </w:rPr>
      </w:pPr>
    </w:p>
    <w:p>
      <w:pPr>
        <w:spacing w:line="640" w:lineRule="exact"/>
        <w:jc w:val="center"/>
        <w:outlineLvl w:val="2"/>
        <w:rPr>
          <w:rFonts w:hint="eastAsia" w:ascii="宋体" w:hAnsi="宋体" w:eastAsia="宋体" w:cs="宋体"/>
          <w:color w:val="auto"/>
          <w:sz w:val="24"/>
          <w:szCs w:val="24"/>
          <w:highlight w:val="red"/>
        </w:rPr>
      </w:pPr>
      <w:r>
        <w:rPr>
          <w:rFonts w:hint="eastAsia" w:ascii="宋体" w:hAnsi="宋体" w:eastAsia="宋体" w:cs="宋体"/>
          <w:b/>
          <w:bCs/>
          <w:color w:val="auto"/>
          <w:sz w:val="24"/>
          <w:szCs w:val="24"/>
          <w:highlight w:val="none"/>
        </w:rPr>
        <w:t>水磨沟区园林绿化市场化养护标准考核管理办法</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为进一步加强我区园林绿地养护管理工作，建立长效的养护管理考核机制，提升精细化管理水平，结合我区绿地养护管理实际，制定本考核办法。</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考核的主要内容</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考核内容主要对城区行道树、绿地、林地的乔木、灌木、造型树、草坪、花卉的养护管理，日常养护、安全生产及完成任务情况。</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考核形式及时间</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考核采取定期考核与日常检查相结合的形式。</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定期考核实行百分制，考核每月一次，考核时间为每月中旬15日至18日，如遇恶劣天气，可以适当顺延。考核结束5日内上报、公示。</w:t>
      </w:r>
    </w:p>
    <w:p>
      <w:pPr>
        <w:tabs>
          <w:tab w:val="left" w:pos="2900"/>
        </w:tabs>
        <w:spacing w:line="6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考核实行100分制，其中50分是基础分，每项考核内容都有相应的分值，根据考核内容规定进行打分，打分区域是在相应分值正的最高分至负的最低分之间。</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组织实施</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每月考核工作由技术科负责组织实施。打分人员构成：技术科、监理及管护单位主要负责人。</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对于检查中存在的问题，监管单位现场填写限期整改通知书，管护单位现场签收，并在期限内进行整改，监管单位做好后期复查工作。</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监管单位要严格履行监管责任，若监理方未按照合同约定实施各项监管工作，甲方提出警告一次扣除监理费2000元，第二次警告扣除监理费5000元，第三次还未进行改正，以书面形式给局里汇报，由局里做出处理决定。技术科负责对监管单位履职情况进行月评比。评比内容主要包括日常检查情况、上级部门通报情况、限期整改问题复查情况等。</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考核结果运用</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当月考核排名倒数一、二、三名的管护单位进行经济处罚（分值相同的视为一个名次，应分别进行处罚），其余的管护单位不进行经济处罚；</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当月考核排名倒数第一名的管护单位，扣除管护单位当月管护费5%；</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当月考核排名倒数第二名的管护单位，扣除管护单位当月管护费3%；</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当月考核排名倒数第三名的管护单位，扣除管护单位当月管护费1%；</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管护单位连续3个月考核都进行经济处罚的，将以书面形式汇报给局里，由局里做出处理决定；</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管护单位的管护道路被市、区相关部门通报的，在日常检查中扣减相应分值之外，还要追加相应的经济处罚，处罚款项均从管护费中扣减。</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（1）受到市级相关部门通报的，每次扣10000元；</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（2）受到区级相关部门通报的，每次扣6000元；</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乌鲁木齐市水磨沟区园林队</w:t>
      </w:r>
      <w:r>
        <w:rPr>
          <w:rFonts w:hint="eastAsia" w:ascii="宋体" w:hAnsi="宋体" w:eastAsia="宋体" w:cs="宋体"/>
          <w:color w:val="auto"/>
          <w:sz w:val="24"/>
          <w:szCs w:val="24"/>
          <w:highlight w:val="none"/>
        </w:rPr>
        <w:t>通报的，每次扣3000元；</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（4）未在相关单位下发的限期整改通知书规定时间内整改的，每次扣减管护费1000元；</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（5）针对同一问题，相关单位连续3次下发的期限内整改书，管护单位未进行整改，也未出具相关书面说明的，扣减管护费5000元；</w:t>
      </w:r>
    </w:p>
    <w:p>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（6）出现情节严重或重大问题罚款5000-10000元或终止养护合同并追究相应责任（视情节严重程度而定）。</w:t>
      </w:r>
    </w:p>
    <w:p>
      <w:pPr>
        <w:spacing w:line="640" w:lineRule="exact"/>
        <w:ind w:firstLine="480" w:firstLineChars="200"/>
        <w:rPr>
          <w:rFonts w:hint="eastAsia" w:ascii="宋体" w:hAnsi="宋体" w:eastAsia="宋体" w:cs="宋体"/>
          <w:color w:val="auto"/>
          <w:sz w:val="24"/>
          <w:szCs w:val="24"/>
          <w:highlight w:val="none"/>
        </w:rPr>
      </w:pPr>
    </w:p>
    <w:p>
      <w:pPr>
        <w:pStyle w:val="2"/>
        <w:rPr>
          <w:rFonts w:hint="eastAsia"/>
          <w:lang w:val="en-US" w:eastAsia="zh-CN"/>
        </w:rPr>
        <w:sectPr>
          <w:pgSz w:w="11907" w:h="16840"/>
          <w:pgMar w:top="1134" w:right="1134" w:bottom="1134"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spacing w:line="6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 《</w:t>
      </w:r>
      <w:r>
        <w:rPr>
          <w:rFonts w:hint="eastAsia" w:ascii="宋体" w:hAnsi="宋体" w:eastAsia="宋体" w:cs="宋体"/>
          <w:color w:val="auto"/>
          <w:sz w:val="24"/>
          <w:szCs w:val="24"/>
          <w:highlight w:val="none"/>
          <w:lang w:eastAsia="zh-CN"/>
        </w:rPr>
        <w:t>水磨沟区</w:t>
      </w:r>
      <w:r>
        <w:rPr>
          <w:rFonts w:hint="eastAsia" w:ascii="宋体" w:hAnsi="宋体" w:eastAsia="宋体" w:cs="宋体"/>
          <w:color w:val="auto"/>
          <w:sz w:val="24"/>
          <w:szCs w:val="24"/>
          <w:highlight w:val="none"/>
        </w:rPr>
        <w:t>绿化养护考核打分表》</w:t>
      </w:r>
    </w:p>
    <w:p>
      <w:pPr>
        <w:spacing w:line="440" w:lineRule="exact"/>
        <w:rPr>
          <w:rFonts w:hint="eastAsia" w:ascii="宋体" w:hAnsi="宋体" w:eastAsia="宋体" w:cs="宋体"/>
          <w:b/>
          <w:color w:val="auto"/>
          <w:sz w:val="24"/>
          <w:szCs w:val="24"/>
          <w:highlight w:val="red"/>
        </w:rPr>
      </w:pPr>
    </w:p>
    <w:tbl>
      <w:tblPr>
        <w:tblStyle w:val="14"/>
        <w:tblpPr w:leftFromText="180" w:rightFromText="180" w:vertAnchor="text" w:horzAnchor="page" w:tblpX="935" w:tblpY="110"/>
        <w:tblOverlap w:val="never"/>
        <w:tblW w:w="14740" w:type="dxa"/>
        <w:tblInd w:w="0" w:type="dxa"/>
        <w:tblLayout w:type="fixed"/>
        <w:tblCellMar>
          <w:top w:w="15" w:type="dxa"/>
          <w:left w:w="15" w:type="dxa"/>
          <w:bottom w:w="15" w:type="dxa"/>
          <w:right w:w="15" w:type="dxa"/>
        </w:tblCellMar>
      </w:tblPr>
      <w:tblGrid>
        <w:gridCol w:w="529"/>
        <w:gridCol w:w="1162"/>
        <w:gridCol w:w="2684"/>
        <w:gridCol w:w="4211"/>
        <w:gridCol w:w="868"/>
        <w:gridCol w:w="2632"/>
        <w:gridCol w:w="763"/>
        <w:gridCol w:w="1891"/>
      </w:tblGrid>
      <w:tr>
        <w:tblPrEx>
          <w:tblCellMar>
            <w:top w:w="15" w:type="dxa"/>
            <w:left w:w="15" w:type="dxa"/>
            <w:bottom w:w="15" w:type="dxa"/>
            <w:right w:w="15" w:type="dxa"/>
          </w:tblCellMar>
        </w:tblPrEx>
        <w:trPr>
          <w:trHeight w:val="630" w:hRule="atLeast"/>
        </w:trPr>
        <w:tc>
          <w:tcPr>
            <w:tcW w:w="14740" w:type="dxa"/>
            <w:gridSpan w:val="8"/>
            <w:noWrap w:val="0"/>
            <w:vAlign w:val="center"/>
          </w:tcPr>
          <w:p>
            <w:pPr>
              <w:jc w:val="center"/>
              <w:rPr>
                <w:rFonts w:hint="eastAsia" w:ascii="宋体" w:hAnsi="宋体" w:eastAsia="宋体" w:cs="宋体"/>
                <w:color w:val="000000"/>
                <w:sz w:val="24"/>
                <w:szCs w:val="24"/>
                <w:highlight w:val="red"/>
              </w:rPr>
            </w:pPr>
            <w:r>
              <w:rPr>
                <w:rFonts w:hint="eastAsia" w:ascii="宋体" w:hAnsi="宋体" w:eastAsia="宋体" w:cs="宋体"/>
                <w:b/>
                <w:bCs/>
                <w:color w:val="000000"/>
                <w:sz w:val="24"/>
                <w:szCs w:val="24"/>
                <w:highlight w:val="none"/>
                <w:lang w:eastAsia="zh-CN"/>
              </w:rPr>
              <w:t>水磨沟区</w:t>
            </w:r>
            <w:r>
              <w:rPr>
                <w:rFonts w:hint="eastAsia" w:ascii="宋体" w:hAnsi="宋体" w:eastAsia="宋体" w:cs="宋体"/>
                <w:b/>
                <w:bCs/>
                <w:color w:val="000000"/>
                <w:sz w:val="24"/>
                <w:szCs w:val="24"/>
                <w:highlight w:val="none"/>
              </w:rPr>
              <w:t>绿化养护考核打分表</w:t>
            </w:r>
          </w:p>
        </w:tc>
      </w:tr>
      <w:tr>
        <w:trPr>
          <w:trHeight w:val="647" w:hRule="atLeast"/>
        </w:trPr>
        <w:tc>
          <w:tcPr>
            <w:tcW w:w="529" w:type="dxa"/>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检查项目</w:t>
            </w:r>
          </w:p>
        </w:tc>
        <w:tc>
          <w:tcPr>
            <w:tcW w:w="2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所达标准</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检查内容</w:t>
            </w:r>
          </w:p>
        </w:tc>
        <w:tc>
          <w:tcPr>
            <w:tcW w:w="868" w:type="dxa"/>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分值</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扣分标准</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所得  分数</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CellMar>
            <w:top w:w="15" w:type="dxa"/>
            <w:left w:w="15" w:type="dxa"/>
            <w:bottom w:w="15" w:type="dxa"/>
            <w:right w:w="15" w:type="dxa"/>
          </w:tblCellMar>
        </w:tblPrEx>
        <w:trPr>
          <w:trHeight w:val="1224"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工作执行情况</w:t>
            </w:r>
          </w:p>
        </w:tc>
        <w:tc>
          <w:tcPr>
            <w:tcW w:w="2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每周周工作的完成情况及检查过程中发现的问题及整改情况,工作安排执行力度</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周工作落实情况及问题整改情况</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每项问题未按时限完成，扣2分，如下一整改期仍未完成，每项累计4分，依次类推，扣完为止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90"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人员出勤</w:t>
            </w:r>
          </w:p>
        </w:tc>
        <w:tc>
          <w:tcPr>
            <w:tcW w:w="2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招标需求中规定的人数</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人员数量是否实际达到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少于10人每天扣1分，扣完为止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647"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三</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安全管理制度</w:t>
            </w:r>
          </w:p>
        </w:tc>
        <w:tc>
          <w:tcPr>
            <w:tcW w:w="2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无安全事故，有各项应急预案及各项安全作业制度</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有无安全防护物品，培训记录表是否齐全</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一项未完成扣1分，扣完为止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954"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四</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卫生</w:t>
            </w:r>
          </w:p>
        </w:tc>
        <w:tc>
          <w:tcPr>
            <w:tcW w:w="2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产生绿化垃圾日产日清，硬化地面砖缝无杂草，责任区域内保持卫生干净整洁。</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草坪、花坛、灌木丛、树穴内无垃圾、无落叶，乔灌木无白色垃圾。修剪草屑当日清理，对硬化面杂草定期进行打药清除。</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一项未完成扣1分，扣完为止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256" w:hRule="atLeast"/>
        </w:trPr>
        <w:tc>
          <w:tcPr>
            <w:tcW w:w="5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五</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浇灌</w:t>
            </w:r>
          </w:p>
        </w:tc>
        <w:tc>
          <w:tcPr>
            <w:tcW w:w="26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草坪、花卉、树木按时浇灌，保证浇水到位均匀，无跑、冒、漏水，绿地管线、喷头设施齐全，排空井按时开启、关闭。</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未按规定时间段浇水</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每次扣1分，扣完为止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423"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花、草、树木未浇灌到位，影响植物生长</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每次扣0.5分，扣完为止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285"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有跑水现象</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每次扣1分，扣完为止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1次扣500元</w:t>
            </w:r>
          </w:p>
        </w:tc>
      </w:tr>
      <w:tr>
        <w:tblPrEx>
          <w:tblCellMar>
            <w:top w:w="15" w:type="dxa"/>
            <w:left w:w="15" w:type="dxa"/>
            <w:bottom w:w="15" w:type="dxa"/>
            <w:right w:w="15" w:type="dxa"/>
          </w:tblCellMar>
        </w:tblPrEx>
        <w:trPr>
          <w:trHeight w:val="647"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每次浇灌后盲道及草坪内牵引水管线未回收，摆放不整齐</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每根/次扣0.5分，扣完为止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1次扣200元</w:t>
            </w:r>
          </w:p>
        </w:tc>
      </w:tr>
      <w:tr>
        <w:tblPrEx>
          <w:tblCellMar>
            <w:top w:w="15" w:type="dxa"/>
            <w:left w:w="15" w:type="dxa"/>
            <w:bottom w:w="15" w:type="dxa"/>
            <w:right w:w="15" w:type="dxa"/>
          </w:tblCellMar>
        </w:tblPrEx>
        <w:trPr>
          <w:trHeight w:val="1224"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排空井未按时开启、关闭，绿化井盖未上盖现象</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每次扣1分，扣完为止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阀门未按时开关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1次扣1000元，井盖未及时关闭1次100元</w:t>
            </w:r>
          </w:p>
        </w:tc>
      </w:tr>
      <w:tr>
        <w:tblPrEx>
          <w:tblCellMar>
            <w:top w:w="15" w:type="dxa"/>
            <w:left w:w="15" w:type="dxa"/>
            <w:bottom w:w="15" w:type="dxa"/>
            <w:right w:w="15" w:type="dxa"/>
          </w:tblCellMar>
        </w:tblPrEx>
        <w:trPr>
          <w:trHeight w:val="379" w:hRule="atLeast"/>
        </w:trPr>
        <w:tc>
          <w:tcPr>
            <w:tcW w:w="5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六</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草坪养护管理</w:t>
            </w:r>
          </w:p>
        </w:tc>
        <w:tc>
          <w:tcPr>
            <w:tcW w:w="26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草坪生长旺盛，草坪草高度控制在10公分以内，无斑秃、无枯黄、杂草控制2%</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草坪斑秃未在规定时间补植到位</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每处扣1分，扣完为止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77"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草坪内杂草较多，未在规定时间内整改</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每块地扣1分，扣完为止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647"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草坪未在规定时间修剪，草高度超过10公分以上</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每块地扣1分，扣完为止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79" w:hRule="atLeast"/>
        </w:trPr>
        <w:tc>
          <w:tcPr>
            <w:tcW w:w="5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七</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时令花卉、宿根花卉、仿真花</w:t>
            </w:r>
          </w:p>
        </w:tc>
        <w:tc>
          <w:tcPr>
            <w:tcW w:w="26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五一节前草花种植完毕，花箱内绢花更新摆放到位，绢花摆放稳固，造型到美观，颜色鲜艳。</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未在规定时间段种植草花、摆放绢花</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超1天扣1分，扣完为止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77"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花卉长势不好，未按时施肥、松土除杂草</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每块地扣0.5分，扣完为止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34"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缺株、斑秃花卉，种植季节未补植整改</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每处扣1分，扣完为止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98" w:hRule="atLeast"/>
        </w:trPr>
        <w:tc>
          <w:tcPr>
            <w:tcW w:w="5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八</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乔灌木、绿篱</w:t>
            </w:r>
          </w:p>
        </w:tc>
        <w:tc>
          <w:tcPr>
            <w:tcW w:w="26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生长良好，无断层、缺株，上面平整、边、直线、棱角分明，无杂草，无垃圾和枯、绿叶堆积</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在规定时间内未松土、除杂草或修剪</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每块地扣1分，扣完为止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98"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修剪不及时或垃圾未当日清运</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每处地扣1分，扣完为止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516"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缺株、斑秃，种植季节未补植</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每处扣1分，扣完为止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77" w:hRule="atLeast"/>
        </w:trPr>
        <w:tc>
          <w:tcPr>
            <w:tcW w:w="5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九</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行道树</w:t>
            </w:r>
          </w:p>
        </w:tc>
        <w:tc>
          <w:tcPr>
            <w:tcW w:w="26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生长旺盛，枝繁叶茂，造型美观，无枯枝残叶，枝杆、叶面无病虫害</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未按时施肥浇水</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超1天扣1分，扣完为止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647"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秋季未涂白、未进行病虫害防治、缺株种植季节未补植</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每株扣1分，扣完为止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77"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多余枝、干枝未修剪，树形歪斜</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每株扣0.5分，扣完为止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647"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十</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病虫害防治</w:t>
            </w:r>
          </w:p>
        </w:tc>
        <w:tc>
          <w:tcPr>
            <w:tcW w:w="26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有专业的防治病虫害的设施，并能做到树木无病虫害</w:t>
            </w: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草坪、花卉、树木无病虫害，</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632" w:type="dxa"/>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未在规定时间完成，超1天扣1分，扣完为止</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77"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26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26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1891"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377" w:hRule="atLeast"/>
        </w:trPr>
        <w:tc>
          <w:tcPr>
            <w:tcW w:w="14740" w:type="dxa"/>
            <w:gridSpan w:val="8"/>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备注：1、考核分值共100分。 2、考核分值在95分以上，则付给全额养护款。</w:t>
            </w:r>
          </w:p>
        </w:tc>
      </w:tr>
    </w:tbl>
    <w:p>
      <w:pPr>
        <w:pStyle w:val="26"/>
        <w:numPr>
          <w:ilvl w:val="0"/>
          <w:numId w:val="0"/>
        </w:numPr>
        <w:jc w:val="both"/>
        <w:rPr>
          <w:rFonts w:hint="eastAsia"/>
        </w:rPr>
        <w:sectPr>
          <w:pgSz w:w="16840" w:h="11907" w:orient="landscape"/>
          <w:pgMar w:top="1418" w:right="1134" w:bottom="1134" w:left="1134"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pStyle w:val="26"/>
        <w:numPr>
          <w:ilvl w:val="0"/>
          <w:numId w:val="0"/>
        </w:numPr>
        <w:jc w:val="both"/>
        <w:rPr>
          <w:rFonts w:hint="eastAsia"/>
        </w:rPr>
        <w:sectPr>
          <w:pgSz w:w="11907" w:h="16840"/>
          <w:pgMar w:top="1134" w:right="1134" w:bottom="1134"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31"/>
    <w:p>
      <w:pPr>
        <w:spacing w:line="440" w:lineRule="exact"/>
        <w:ind w:firstLine="1807" w:firstLineChars="500"/>
        <w:jc w:val="both"/>
        <w:outlineLvl w:val="0"/>
        <w:rPr>
          <w:rFonts w:hint="eastAsia" w:ascii="宋体" w:hAnsi="宋体" w:eastAsia="宋体" w:cs="宋体"/>
          <w:b/>
          <w:color w:val="auto"/>
          <w:sz w:val="36"/>
          <w:highlight w:val="none"/>
        </w:rPr>
      </w:pPr>
      <w:bookmarkStart w:id="35" w:name="_Toc4155"/>
      <w:r>
        <w:rPr>
          <w:rFonts w:hint="eastAsia" w:ascii="宋体" w:hAnsi="宋体" w:eastAsia="宋体" w:cs="宋体"/>
          <w:b/>
          <w:color w:val="auto"/>
          <w:sz w:val="36"/>
          <w:highlight w:val="none"/>
        </w:rPr>
        <w:t>第六部分  投标文件格式</w:t>
      </w:r>
      <w:bookmarkEnd w:id="35"/>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（一）资格文件</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1、资格文件封面</w:t>
      </w: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2022年水磨沟区道路公共绿地市场化养护</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资格文件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（正本/副本）</w:t>
      </w: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rPr>
      </w:pP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二〇  年  月</w:t>
      </w:r>
    </w:p>
    <w:p>
      <w:pPr>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2、资格文件组成</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一、供应商的资格证明材料</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（一）参加政府采购活动的供应商应当具备《政府采购法》第二十二条第一款规定的条件，提供下列材料：</w:t>
      </w:r>
    </w:p>
    <w:p>
      <w:pPr>
        <w:widowControl/>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营业执照副本复印件</w:t>
      </w:r>
    </w:p>
    <w:p>
      <w:pPr>
        <w:widowControl/>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提供上年度经审计财务会计报告或半年内任意一个月财务报表</w:t>
      </w:r>
    </w:p>
    <w:p>
      <w:pPr>
        <w:widowControl/>
        <w:spacing w:line="4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（财务报表应至少包括资产负债表、损益表、现金流量表或财务状况变动表，当月新成立公司不需提供）</w:t>
      </w:r>
    </w:p>
    <w:p>
      <w:pPr>
        <w:widowControl/>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提供的近半年内任意一月依法缴纳税收证明</w:t>
      </w:r>
    </w:p>
    <w:p>
      <w:pPr>
        <w:widowControl/>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（提供的近半年内任意一月依法缴纳税收证明，当月新成立公司不需提供；无需纳税或免税的也需提供相应证明材料。）</w:t>
      </w:r>
    </w:p>
    <w:p>
      <w:pPr>
        <w:widowControl/>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提供社会保险登记证或社保缴纳证明</w:t>
      </w:r>
    </w:p>
    <w:p>
      <w:pPr>
        <w:widowControl/>
        <w:spacing w:line="4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（近半年内任意一月社保缴纳证明，当月新成立公司不需提供）</w:t>
      </w:r>
    </w:p>
    <w:p>
      <w:pPr>
        <w:widowControl/>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具有履行合同所必需的设备和专业技术能力的证明材料或声明(由供应商根据项目需求提供说明材料)</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 参加政府采购活动前三年内在经营活动中没有重大违法记录的书面声明</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二、投标人代表身份证明</w:t>
      </w:r>
    </w:p>
    <w:p>
      <w:pPr>
        <w:widowControl/>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法定代表人身份证明复印件(法定代表人参加投标)（附件1-1）</w:t>
      </w:r>
    </w:p>
    <w:p>
      <w:pPr>
        <w:widowControl/>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法定代表人授权委托书(授权代表参加投标) （附件1-2）</w:t>
      </w:r>
    </w:p>
    <w:p>
      <w:pPr>
        <w:widowControl/>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授权委托书 (适用于自然人委托投标) （附件1-3）</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三、其他资料</w:t>
      </w:r>
    </w:p>
    <w:p>
      <w:pPr>
        <w:widowControl/>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1不参与围标串标承诺书； </w:t>
      </w:r>
    </w:p>
    <w:p>
      <w:pPr>
        <w:widowControl/>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投标保证金缴纳凭证（电汇凭证）复印件</w:t>
      </w:r>
    </w:p>
    <w:p>
      <w:pPr>
        <w:widowControl/>
        <w:spacing w:line="460" w:lineRule="exact"/>
        <w:ind w:firstLine="241" w:firstLineChars="1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注：1.投标人制作投标文件，应按照投标文件组成顺序制作，编好始末页码且在投标文件目录中一一列明并对应。</w:t>
      </w:r>
    </w:p>
    <w:p>
      <w:pPr>
        <w:widowControl/>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2.招标文件没有提供格式的，投标人可自行设置。</w:t>
      </w:r>
    </w:p>
    <w:p>
      <w:pPr>
        <w:pStyle w:val="11"/>
        <w:tabs>
          <w:tab w:val="right" w:leader="dot" w:pos="9628"/>
        </w:tabs>
        <w:rPr>
          <w:rFonts w:hint="eastAsia" w:ascii="宋体" w:hAnsi="宋体" w:eastAsia="宋体" w:cs="宋体"/>
          <w:color w:val="auto"/>
          <w:highlight w:val="none"/>
        </w:rPr>
      </w:pPr>
    </w:p>
    <w:p>
      <w:pPr>
        <w:spacing w:line="360" w:lineRule="auto"/>
        <w:outlineLvl w:val="1"/>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3、资格文件格式</w:t>
      </w:r>
    </w:p>
    <w:p>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附件1-1  法定代表人资格证明书</w:t>
      </w:r>
    </w:p>
    <w:p>
      <w:pPr>
        <w:spacing w:before="166" w:beforeLines="50" w:after="166" w:afterLines="50" w:line="360" w:lineRule="auto"/>
        <w:ind w:left="546"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pPr>
        <w:spacing w:before="166" w:beforeLines="50" w:after="166" w:afterLines="50" w:line="360" w:lineRule="auto"/>
        <w:ind w:left="546"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before="166" w:beforeLines="50" w:after="166" w:afterLines="50" w:line="360" w:lineRule="auto"/>
        <w:ind w:left="546"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姓名：性别：年龄：职务：</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（投标人）</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rPr>
        <w:cr/>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投标人公章：[投标人盖章]</w:t>
      </w:r>
    </w:p>
    <w:p>
      <w:pPr>
        <w:spacing w:before="166" w:beforeLines="50" w:after="166" w:afterLines="50" w:line="36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z w:val="24"/>
          <w:szCs w:val="24"/>
          <w:highlight w:val="none"/>
        </w:rPr>
        <w:t>年月日</w:t>
      </w: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 xml:space="preserve">附件1-2  </w:t>
      </w:r>
      <w:r>
        <w:rPr>
          <w:rFonts w:hint="eastAsia" w:ascii="宋体" w:hAnsi="宋体" w:eastAsia="宋体" w:cs="宋体"/>
          <w:b/>
          <w:color w:val="auto"/>
          <w:sz w:val="32"/>
          <w:szCs w:val="32"/>
          <w:highlight w:val="none"/>
        </w:rPr>
        <w:t>法定代表人授权委托书</w:t>
      </w:r>
    </w:p>
    <w:p>
      <w:pPr>
        <w:spacing w:line="440" w:lineRule="exact"/>
        <w:jc w:val="center"/>
        <w:rPr>
          <w:rFonts w:hint="eastAsia" w:ascii="宋体" w:hAnsi="宋体" w:eastAsia="宋体" w:cs="宋体"/>
          <w:b/>
          <w:color w:val="auto"/>
          <w:sz w:val="32"/>
          <w:szCs w:val="32"/>
          <w:highlight w:val="none"/>
        </w:rPr>
      </w:pPr>
    </w:p>
    <w:p>
      <w:pPr>
        <w:autoSpaceDE w:val="0"/>
        <w:autoSpaceDN w:val="0"/>
        <w:adjustRightInd w:val="0"/>
        <w:spacing w:line="440" w:lineRule="exact"/>
        <w:ind w:firstLine="4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本授权声明：注册于中华人民共和国的</w:t>
      </w:r>
      <w:r>
        <w:rPr>
          <w:rFonts w:hint="eastAsia" w:ascii="宋体" w:hAnsi="宋体" w:eastAsia="宋体" w:cs="宋体"/>
          <w:color w:val="auto"/>
          <w:sz w:val="24"/>
          <w:szCs w:val="24"/>
          <w:highlight w:val="none"/>
          <w:u w:val="single"/>
        </w:rPr>
        <w:t>（投标人名称、住址）</w:t>
      </w:r>
      <w:r>
        <w:rPr>
          <w:rFonts w:hint="eastAsia" w:ascii="宋体" w:hAnsi="宋体" w:eastAsia="宋体" w:cs="宋体"/>
          <w:color w:val="auto"/>
          <w:sz w:val="24"/>
          <w:szCs w:val="24"/>
          <w:highlight w:val="none"/>
        </w:rPr>
        <w:t>的法人代表</w:t>
      </w:r>
      <w:r>
        <w:rPr>
          <w:rFonts w:hint="eastAsia" w:ascii="宋体" w:hAnsi="宋体" w:eastAsia="宋体" w:cs="宋体"/>
          <w:color w:val="auto"/>
          <w:sz w:val="24"/>
          <w:szCs w:val="24"/>
          <w:highlight w:val="none"/>
          <w:u w:val="single"/>
        </w:rPr>
        <w:t>（法定代表人姓名）</w:t>
      </w:r>
      <w:r>
        <w:rPr>
          <w:rFonts w:hint="eastAsia" w:ascii="宋体" w:hAnsi="宋体" w:eastAsia="宋体" w:cs="宋体"/>
          <w:color w:val="auto"/>
          <w:sz w:val="24"/>
          <w:szCs w:val="24"/>
          <w:highlight w:val="none"/>
        </w:rPr>
        <w:t>代表本公司授权在下面签字的</w:t>
      </w:r>
      <w:r>
        <w:rPr>
          <w:rFonts w:hint="eastAsia" w:ascii="宋体" w:hAnsi="宋体" w:eastAsia="宋体" w:cs="宋体"/>
          <w:color w:val="auto"/>
          <w:sz w:val="24"/>
          <w:szCs w:val="24"/>
          <w:highlight w:val="none"/>
          <w:u w:val="single"/>
        </w:rPr>
        <w:t>（授权代表姓名）</w:t>
      </w:r>
      <w:r>
        <w:rPr>
          <w:rFonts w:hint="eastAsia" w:ascii="宋体" w:hAnsi="宋体" w:eastAsia="宋体" w:cs="宋体"/>
          <w:color w:val="auto"/>
          <w:sz w:val="24"/>
          <w:szCs w:val="24"/>
          <w:highlight w:val="none"/>
        </w:rPr>
        <w:t>为本公司的合法代理人，就此次</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项目，项目编号为（</w:t>
      </w:r>
      <w:r>
        <w:rPr>
          <w:rFonts w:hint="eastAsia" w:ascii="宋体" w:hAnsi="宋体" w:eastAsia="宋体" w:cs="宋体"/>
          <w:color w:val="auto"/>
          <w:sz w:val="24"/>
          <w:szCs w:val="24"/>
          <w:highlight w:val="none"/>
          <w:lang w:val="en-US" w:eastAsia="zh-CN"/>
        </w:rPr>
        <w:t>RSY-2022-007-[2022]104号</w:t>
      </w:r>
      <w:r>
        <w:rPr>
          <w:rFonts w:hint="eastAsia" w:ascii="宋体" w:hAnsi="宋体" w:eastAsia="宋体" w:cs="宋体"/>
          <w:color w:val="auto"/>
          <w:sz w:val="24"/>
          <w:szCs w:val="24"/>
          <w:highlight w:val="none"/>
        </w:rPr>
        <w:t>）的投标及相关事务代表本公司处理与之有关的一切事务。</w:t>
      </w:r>
    </w:p>
    <w:p>
      <w:pPr>
        <w:autoSpaceDE w:val="0"/>
        <w:autoSpaceDN w:val="0"/>
        <w:adjustRightInd w:val="0"/>
        <w:spacing w:line="44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签字生效，特此声明。</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授权代表签字或盖章：</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授权日期：20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spacing w:line="440" w:lineRule="exact"/>
        <w:ind w:firstLine="480"/>
        <w:rPr>
          <w:rFonts w:hint="eastAsia" w:ascii="宋体" w:hAnsi="宋体" w:eastAsia="宋体" w:cs="宋体"/>
          <w:color w:val="auto"/>
          <w:sz w:val="24"/>
          <w:szCs w:val="24"/>
          <w:highlight w:val="none"/>
        </w:rPr>
      </w:pPr>
    </w:p>
    <w:p>
      <w:pPr>
        <w:spacing w:line="440" w:lineRule="exact"/>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p>
      <w:pPr>
        <w:spacing w:line="440" w:lineRule="exact"/>
        <w:ind w:firstLine="6360" w:firstLineChars="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    月   日</w:t>
      </w:r>
    </w:p>
    <w:p>
      <w:pPr>
        <w:spacing w:line="440" w:lineRule="exact"/>
        <w:ind w:firstLine="482" w:firstLineChars="200"/>
        <w:rPr>
          <w:rFonts w:hint="eastAsia" w:ascii="宋体" w:hAnsi="宋体" w:eastAsia="宋体" w:cs="宋体"/>
          <w:b/>
          <w:color w:val="auto"/>
          <w:sz w:val="24"/>
          <w:szCs w:val="24"/>
          <w:highlight w:val="none"/>
          <w:em w:val="dot"/>
        </w:rPr>
      </w:pPr>
    </w:p>
    <w:p>
      <w:pPr>
        <w:spacing w:line="440" w:lineRule="exact"/>
        <w:rPr>
          <w:rFonts w:hint="eastAsia" w:ascii="宋体" w:hAnsi="宋体" w:eastAsia="宋体" w:cs="宋体"/>
          <w:b/>
          <w:color w:val="auto"/>
          <w:sz w:val="24"/>
          <w:szCs w:val="24"/>
          <w:highlight w:val="none"/>
          <w:em w:val="dot"/>
        </w:rPr>
      </w:pPr>
    </w:p>
    <w:p>
      <w:pPr>
        <w:spacing w:line="440" w:lineRule="exact"/>
        <w:rPr>
          <w:rFonts w:hint="eastAsia" w:ascii="宋体" w:hAnsi="宋体" w:eastAsia="宋体" w:cs="宋体"/>
          <w:b/>
          <w:color w:val="auto"/>
          <w:sz w:val="24"/>
          <w:szCs w:val="24"/>
          <w:highlight w:val="none"/>
          <w:em w:val="dot"/>
        </w:rPr>
      </w:pPr>
      <w:permStart w:id="1" w:edGrp="everyone"/>
      <w:permEnd w:id="1"/>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23495" b="10795"/>
                <wp:wrapNone/>
                <wp:docPr id="1" name="文本框 1"/>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pPr>
                          </w:p>
                        </w:txbxContent>
                      </wps:txbx>
                      <wps:bodyPr upright="1"/>
                    </wps:wsp>
                  </a:graphicData>
                </a:graphic>
              </wp:anchor>
            </w:drawing>
          </mc:Choice>
          <mc:Fallback>
            <w:pict>
              <v:shape id="_x0000_s1026"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1d5j1wAAAAgBAAAPAAAAAAAAAAEAIAAA&#10;ACIAAABkcnMvZG93bnJldi54bWxQSwECFAAUAAAACACHTuJAkp2OAA0CAAA4BAAADgAAAAAAAAAB&#10;ACAAAAAmAQAAZHJzL2Uyb0RvYy54bWxQSwUGAAAAAAYABgBZAQAApQUAAAAA&#10;">
                <v:fill on="t" focussize="0,0"/>
                <v:stroke color="#000000" joinstyle="miter" dashstyle="1 1"/>
                <v:imagedata o:title=""/>
                <o:lock v:ext="edit" aspectratio="f"/>
                <v:textbox>
                  <w:txbxContent>
                    <w:p>
                      <w:pPr>
                        <w:jc w:val="center"/>
                      </w:pPr>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pPr>
                    </w:p>
                  </w:txbxContent>
                </v:textbox>
              </v:shape>
            </w:pict>
          </mc:Fallback>
        </mc:AlternateContent>
      </w:r>
    </w:p>
    <w:p>
      <w:pPr>
        <w:spacing w:line="440" w:lineRule="exact"/>
        <w:rPr>
          <w:rFonts w:hint="eastAsia" w:ascii="宋体" w:hAnsi="宋体" w:eastAsia="宋体" w:cs="宋体"/>
          <w:b/>
          <w:color w:val="auto"/>
          <w:sz w:val="24"/>
          <w:szCs w:val="24"/>
          <w:highlight w:val="none"/>
          <w:em w:val="dot"/>
        </w:rPr>
      </w:pPr>
    </w:p>
    <w:p>
      <w:pPr>
        <w:spacing w:line="440" w:lineRule="exact"/>
        <w:rPr>
          <w:rFonts w:hint="eastAsia" w:ascii="宋体" w:hAnsi="宋体" w:eastAsia="宋体" w:cs="宋体"/>
          <w:b/>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23495" b="10795"/>
                <wp:wrapNone/>
                <wp:docPr id="2" name="文本框 2"/>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2" w:edGrp="everyone"/>
                            <w:permEnd w:id="2"/>
                          </w:p>
                          <w:p>
                            <w:pPr>
                              <w:rPr>
                                <w:b/>
                              </w:rPr>
                            </w:pPr>
                          </w:p>
                          <w:p>
                            <w:pPr>
                              <w:pStyle w:val="5"/>
                              <w:jc w:val="center"/>
                            </w:pPr>
                            <w:r>
                              <w:rPr>
                                <w:rFonts w:hint="eastAsia" w:ascii="宋体" w:hAnsi="宋体"/>
                                <w:sz w:val="24"/>
                              </w:rPr>
                              <w:t>此处附被授权人身份证复印件正反面</w:t>
                            </w:r>
                          </w:p>
                          <w:p/>
                        </w:txbxContent>
                      </wps:txbx>
                      <wps:bodyPr upright="1"/>
                    </wps:wsp>
                  </a:graphicData>
                </a:graphic>
              </wp:anchor>
            </w:drawing>
          </mc:Choice>
          <mc:Fallback>
            <w:pict>
              <v:shape id="_x0000_s102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PIe79cAAAAJAQAADwAAAAAAAAABACAA&#10;AAAiAAAAZHJzL2Rvd25yZXYueG1sUEsBAhQAFAAAAAgAh07iQL86YnUOAgAAOAQAAA4AAAAAAAAA&#10;AQAgAAAAJgEAAGRycy9lMm9Eb2MueG1sUEsFBgAAAAAGAAYAWQEAAKYFAAAAAA==&#10;">
                <v:fill on="t" focussize="0,0"/>
                <v:stroke color="#000000" joinstyle="miter" dashstyle="1 1"/>
                <v:imagedata o:title=""/>
                <o:lock v:ext="edit" aspectratio="f"/>
                <v:textbox>
                  <w:txbxContent>
                    <w:p>
                      <w:pPr>
                        <w:jc w:val="center"/>
                      </w:pPr>
                      <w:permStart w:id="2" w:edGrp="everyone"/>
                      <w:permEnd w:id="2"/>
                    </w:p>
                    <w:p>
                      <w:pPr>
                        <w:rPr>
                          <w:b/>
                        </w:rPr>
                      </w:pPr>
                    </w:p>
                    <w:p>
                      <w:pPr>
                        <w:pStyle w:val="5"/>
                        <w:jc w:val="center"/>
                      </w:pPr>
                      <w:r>
                        <w:rPr>
                          <w:rFonts w:hint="eastAsia" w:ascii="宋体" w:hAnsi="宋体"/>
                          <w:sz w:val="24"/>
                        </w:rPr>
                        <w:t>此处附被授权人身份证复印件正反面</w:t>
                      </w:r>
                    </w:p>
                    <w:p/>
                  </w:txbxContent>
                </v:textbox>
              </v:shape>
            </w:pict>
          </mc:Fallback>
        </mc:AlternateContent>
      </w:r>
      <w:r>
        <w:rPr>
          <w:rFonts w:hint="eastAsia" w:ascii="宋体" w:hAnsi="宋体" w:eastAsia="宋体" w:cs="宋体"/>
          <w:b/>
          <w:color w:val="auto"/>
          <w:sz w:val="24"/>
          <w:szCs w:val="24"/>
          <w:highlight w:val="none"/>
        </w:rPr>
        <w:br w:type="page"/>
      </w:r>
      <w:r>
        <w:rPr>
          <w:rFonts w:hint="eastAsia" w:ascii="宋体" w:hAnsi="宋体" w:eastAsia="宋体" w:cs="宋体"/>
          <w:bCs/>
          <w:color w:val="auto"/>
          <w:sz w:val="30"/>
          <w:szCs w:val="30"/>
          <w:highlight w:val="none"/>
        </w:rPr>
        <w:t>附件1-3授权委托书 (适用于自然人委托投标)</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我________(姓名)系自然人，现授权委托____________(姓名)以本人名义参加____________(项目名称) ，项目编号为（</w:t>
      </w:r>
      <w:r>
        <w:rPr>
          <w:rFonts w:hint="eastAsia" w:ascii="宋体" w:hAnsi="宋体" w:eastAsia="宋体" w:cs="宋体"/>
          <w:color w:val="auto"/>
          <w:sz w:val="24"/>
          <w:szCs w:val="24"/>
          <w:highlight w:val="none"/>
          <w:lang w:val="en-US" w:eastAsia="zh-CN"/>
        </w:rPr>
        <w:t>RSY-2022-007-[2022]104号</w:t>
      </w:r>
      <w:r>
        <w:rPr>
          <w:rFonts w:hint="eastAsia" w:ascii="宋体" w:hAnsi="宋体" w:eastAsia="宋体" w:cs="宋体"/>
          <w:color w:val="auto"/>
          <w:sz w:val="24"/>
          <w:szCs w:val="24"/>
          <w:highlight w:val="none"/>
        </w:rPr>
        <w:t>）的投标活动，并代表本人全权办理针对上述项目的投标、签约等具体事务和签署相关文件。</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本人对授权代表的签字事项负全部责任。</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spacing w:before="166" w:beforeLines="50" w:after="166" w:afterLines="50" w:line="360" w:lineRule="auto"/>
        <w:ind w:left="546" w:leftChars="260"/>
        <w:rPr>
          <w:rFonts w:hint="eastAsia" w:ascii="宋体" w:hAnsi="宋体" w:eastAsia="宋体" w:cs="宋体"/>
          <w:color w:val="auto"/>
          <w:sz w:val="24"/>
          <w:szCs w:val="24"/>
          <w:highlight w:val="none"/>
        </w:rPr>
      </w:pP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spacing w:before="166" w:beforeLines="50" w:after="166" w:afterLines="50" w:line="360" w:lineRule="auto"/>
        <w:ind w:left="546" w:leftChars="260"/>
        <w:rPr>
          <w:rFonts w:hint="eastAsia" w:ascii="宋体" w:hAnsi="宋体" w:eastAsia="宋体" w:cs="宋体"/>
          <w:color w:val="auto"/>
          <w:sz w:val="24"/>
          <w:szCs w:val="24"/>
          <w:highlight w:val="none"/>
        </w:rPr>
      </w:pP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spacing w:before="166" w:beforeLines="50" w:after="166" w:afterLines="50" w:line="360" w:lineRule="auto"/>
        <w:ind w:left="546" w:leftChars="260"/>
        <w:rPr>
          <w:rFonts w:hint="eastAsia" w:ascii="宋体" w:hAnsi="宋体" w:eastAsia="宋体" w:cs="宋体"/>
          <w:color w:val="auto"/>
          <w:sz w:val="24"/>
          <w:szCs w:val="24"/>
          <w:highlight w:val="none"/>
        </w:rPr>
      </w:pP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pPr>
        <w:spacing w:before="166" w:beforeLines="50" w:after="166" w:afterLines="50" w:line="360" w:lineRule="auto"/>
        <w:ind w:left="546" w:leftChars="260"/>
        <w:rPr>
          <w:rFonts w:hint="eastAsia" w:ascii="宋体" w:hAnsi="宋体" w:eastAsia="宋体" w:cs="宋体"/>
          <w:color w:val="auto"/>
          <w:highlight w:val="none"/>
        </w:rPr>
      </w:pPr>
    </w:p>
    <w:p>
      <w:pPr>
        <w:spacing w:before="166" w:beforeLines="50" w:after="166" w:afterLines="50" w:line="360" w:lineRule="auto"/>
        <w:ind w:left="546" w:leftChars="260"/>
        <w:rPr>
          <w:rFonts w:hint="eastAsia" w:ascii="宋体" w:hAnsi="宋体" w:eastAsia="宋体" w:cs="宋体"/>
          <w:color w:val="auto"/>
          <w:highlight w:val="none"/>
        </w:rPr>
      </w:pPr>
    </w:p>
    <w:p>
      <w:pPr>
        <w:pStyle w:val="11"/>
        <w:tabs>
          <w:tab w:val="right" w:leader="dot" w:pos="9628"/>
        </w:tabs>
        <w:rPr>
          <w:rFonts w:hint="eastAsia" w:ascii="宋体" w:hAnsi="宋体" w:eastAsia="宋体" w:cs="宋体"/>
          <w:color w:val="auto"/>
          <w:highlight w:val="none"/>
        </w:rPr>
      </w:pPr>
      <w:r>
        <w:rPr>
          <w:rFonts w:hint="eastAsia" w:ascii="宋体" w:hAnsi="宋体" w:eastAsia="宋体" w:cs="宋体"/>
          <w:color w:val="auto"/>
          <w:highlight w:val="none"/>
        </w:rPr>
        <w:br w:type="page"/>
      </w:r>
    </w:p>
    <w:p>
      <w:pP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（二）商务技术文件</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1、商务技术文件封面</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2022年水磨沟区道路公共绿地市场化养护</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商务技术文件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（正本/副本）</w:t>
      </w: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二〇  年  月</w:t>
      </w:r>
    </w:p>
    <w:p>
      <w:pPr>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2、商务技术文件组成</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一、投标函（附件2-1）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二、反商业贿赂承诺书；（附件2-2）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三、投标报价</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开标一览表（附件2-3-1）</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明细报价表（附件2-3-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四、商务条款偏离表（附件2-4）</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五、提供符合政府采购政策的证明材料（如有提供，不享受相关政策的投标人无需提供。）</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节能、环境标志产品优惠明细表（附件2-5）</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2节能、环境标志产品证明材料（附件2-6）</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3中小企业声明函（附件2-7）</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4监狱企业声明函（附件2-8）</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5残疾人福利性单位声明函（附件2-9）</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拟投入绿化养护</w:t>
      </w:r>
      <w:r>
        <w:rPr>
          <w:rFonts w:hint="eastAsia" w:ascii="宋体" w:hAnsi="宋体" w:eastAsia="宋体" w:cs="宋体"/>
          <w:color w:val="auto"/>
          <w:sz w:val="24"/>
          <w:szCs w:val="24"/>
          <w:highlight w:val="none"/>
        </w:rPr>
        <w:t>人员名单（附件2-10）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、拟投入绿化养护设备一览表（附件2-1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、近三年经营业绩表（附件2-1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、售后服务承诺书（附件2-1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、服务方案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包含但不限于</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方案及应急处理方案、</w:t>
      </w:r>
      <w:r>
        <w:rPr>
          <w:rFonts w:hint="eastAsia" w:ascii="宋体" w:hAnsi="宋体" w:eastAsia="宋体" w:cs="宋体"/>
          <w:color w:val="auto"/>
          <w:sz w:val="24"/>
          <w:highlight w:val="none"/>
        </w:rPr>
        <w:t>绿化养护实施方案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拟投入绿化养护设施</w:t>
      </w:r>
      <w:r>
        <w:rPr>
          <w:rFonts w:hint="eastAsia" w:ascii="宋体" w:hAnsi="宋体" w:eastAsia="宋体" w:cs="宋体"/>
          <w:color w:val="auto"/>
          <w:sz w:val="24"/>
          <w:szCs w:val="24"/>
          <w:highlight w:val="none"/>
        </w:rPr>
        <w:t>，服务明确响应时间、出现问题解决时间、服务响应的联系人及联系方式等相关信息及证明材料。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、服务机构及联系方式：（后附相关房产证明等证明材料）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、质量保证承诺书</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、招标文件中要求提交的和投标人认为需要提供的其它说明和资料。</w:t>
      </w:r>
    </w:p>
    <w:p>
      <w:pPr>
        <w:spacing w:line="440" w:lineRule="exac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注：1.投标人制作投标文件，应按照投标文件组成顺序制作，编好始末页码且在投标文件目录中一一列明并对应。</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2.招标文件没有提供格式的，投标人可自行设置。</w:t>
      </w:r>
    </w:p>
    <w:p>
      <w:pPr>
        <w:spacing w:line="440" w:lineRule="exact"/>
        <w:outlineLvl w:val="1"/>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3、商务技术文件格式</w:t>
      </w: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附件2-1  投标函</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新疆融盛源工程项目管理有限公司</w:t>
      </w:r>
      <w:r>
        <w:rPr>
          <w:rFonts w:hint="eastAsia" w:ascii="宋体" w:hAnsi="宋体" w:eastAsia="宋体" w:cs="宋体"/>
          <w:color w:val="auto"/>
          <w:sz w:val="24"/>
          <w:szCs w:val="24"/>
          <w:highlight w:val="none"/>
        </w:rPr>
        <w:t>:</w:t>
      </w:r>
    </w:p>
    <w:p>
      <w:pPr>
        <w:spacing w:line="44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根据贵方为项目招标的投标邀请</w:t>
      </w:r>
      <w:r>
        <w:rPr>
          <w:rFonts w:hint="eastAsia" w:ascii="宋体" w:hAnsi="宋体" w:eastAsia="宋体" w:cs="宋体"/>
          <w:color w:val="auto"/>
          <w:sz w:val="24"/>
          <w:szCs w:val="24"/>
          <w:highlight w:val="none"/>
          <w:u w:val="single"/>
        </w:rPr>
        <w:t xml:space="preserve"> 项目编号 </w:t>
      </w:r>
      <w:r>
        <w:rPr>
          <w:rFonts w:hint="eastAsia" w:ascii="宋体" w:hAnsi="宋体" w:eastAsia="宋体" w:cs="宋体"/>
          <w:color w:val="auto"/>
          <w:sz w:val="24"/>
          <w:szCs w:val="24"/>
          <w:highlight w:val="none"/>
        </w:rPr>
        <w:t>，签字代表</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（投标人名称、地址）</w:t>
      </w:r>
      <w:r>
        <w:rPr>
          <w:rFonts w:hint="eastAsia" w:ascii="宋体" w:hAnsi="宋体" w:eastAsia="宋体" w:cs="宋体"/>
          <w:color w:val="auto"/>
          <w:sz w:val="24"/>
          <w:szCs w:val="24"/>
          <w:highlight w:val="none"/>
        </w:rPr>
        <w:t>对此项目进行投标。据此函，签字代表宣布并同意如下：</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1.我方同意在本项目招标文件中规定的开标日起</w:t>
      </w:r>
      <w:r>
        <w:rPr>
          <w:rFonts w:hint="eastAsia" w:ascii="宋体" w:hAnsi="宋体" w:eastAsia="宋体" w:cs="宋体"/>
          <w:color w:val="auto"/>
          <w:sz w:val="24"/>
          <w:szCs w:val="24"/>
          <w:highlight w:val="none"/>
          <w:u w:val="single"/>
        </w:rPr>
        <w:t>九十日内</w:t>
      </w:r>
      <w:r>
        <w:rPr>
          <w:rFonts w:hint="eastAsia" w:ascii="宋体" w:hAnsi="宋体" w:eastAsia="宋体" w:cs="宋体"/>
          <w:color w:val="auto"/>
          <w:sz w:val="24"/>
          <w:szCs w:val="24"/>
          <w:highlight w:val="none"/>
        </w:rPr>
        <w:t>遵守本投标文件中的承诺且在此期限期满之前均具</w:t>
      </w:r>
      <w:r>
        <w:rPr>
          <w:rFonts w:hint="eastAsia" w:ascii="宋体" w:hAnsi="宋体" w:eastAsia="宋体" w:cs="宋体"/>
          <w:color w:val="auto"/>
          <w:spacing w:val="-2"/>
          <w:sz w:val="24"/>
          <w:szCs w:val="24"/>
          <w:highlight w:val="none"/>
        </w:rPr>
        <w:t>有约束力。</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2.若我方中标，我方承诺按</w:t>
      </w:r>
      <w:r>
        <w:rPr>
          <w:rFonts w:hint="eastAsia" w:ascii="宋体" w:hAnsi="宋体" w:eastAsia="宋体" w:cs="宋体"/>
          <w:color w:val="auto"/>
          <w:spacing w:val="-2"/>
          <w:sz w:val="24"/>
          <w:szCs w:val="24"/>
          <w:highlight w:val="none"/>
          <w:lang w:val="en-US" w:eastAsia="zh-CN"/>
        </w:rPr>
        <w:t>甲方要求提供</w:t>
      </w:r>
      <w:r>
        <w:rPr>
          <w:rFonts w:hint="eastAsia" w:ascii="宋体" w:hAnsi="宋体" w:eastAsia="宋体" w:cs="宋体"/>
          <w:color w:val="auto"/>
          <w:spacing w:val="-2"/>
          <w:sz w:val="24"/>
          <w:szCs w:val="24"/>
          <w:highlight w:val="none"/>
        </w:rPr>
        <w:t>服务。</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3.已详细审阅全部招标文件(包括招标文件澄清函)，理解投标人须知的所有条款。</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4.完全理解贵方“最低报价不能作为中标的保证”的规定。</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5.接受招标文件中全部合同条款，且无任何异议；保证忠实地执行双方所签订的合同，并承担合同规定的责任和义务。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6.完全满足和响应招标文件中的各项商务和技术要求，若有偏差，已在投标文件中明确说明。</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7.愿意提供任何与投标有关的数据、情况和技术资料等。</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8.我方已详细审核全部投标文件、参考资料及有关附件，确认无误。</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9.对本次招标内容及与本项目有关的知识产权、技术资料、商业秘密及相关信息保密。</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10.与采购人和采购代理机构无任何的隶属关系或者其他利害关系。</w:t>
      </w:r>
    </w:p>
    <w:p>
      <w:pPr>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11.我方承诺，中标后按招标文件规定的收费标准向招标代理机构缴纳中标服务费。</w:t>
      </w:r>
    </w:p>
    <w:p>
      <w:pPr>
        <w:spacing w:line="440" w:lineRule="exact"/>
        <w:ind w:firstLine="240" w:firstLineChars="100"/>
        <w:rPr>
          <w:rFonts w:hint="eastAsia" w:ascii="宋体" w:hAnsi="宋体" w:eastAsia="宋体" w:cs="宋体"/>
          <w:color w:val="auto"/>
          <w:sz w:val="24"/>
          <w:szCs w:val="24"/>
          <w:highlight w:val="none"/>
        </w:rPr>
      </w:pPr>
    </w:p>
    <w:p>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与本投标有关的一切正式往来信函请寄：</w:t>
      </w:r>
    </w:p>
    <w:p>
      <w:pPr>
        <w:spacing w:line="44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投标人代表签字：</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投标人名称：</w:t>
      </w:r>
      <w:r>
        <w:rPr>
          <w:rFonts w:hint="eastAsia" w:ascii="宋体" w:hAnsi="宋体" w:eastAsia="宋体" w:cs="宋体"/>
          <w:color w:val="auto"/>
          <w:sz w:val="24"/>
          <w:szCs w:val="24"/>
          <w:highlight w:val="none"/>
          <w:u w:val="single"/>
        </w:rPr>
        <w:t>　　　　　　　　　　</w:t>
      </w:r>
    </w:p>
    <w:p>
      <w:pPr>
        <w:spacing w:line="440" w:lineRule="exact"/>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p>
      <w:pPr>
        <w:spacing w:line="440" w:lineRule="exact"/>
        <w:ind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  月  日</w:t>
      </w:r>
    </w:p>
    <w:p>
      <w:pPr>
        <w:adjustRightInd w:val="0"/>
        <w:snapToGrid w:val="0"/>
        <w:spacing w:line="440" w:lineRule="exact"/>
        <w:ind w:firstLine="482" w:firstLineChars="200"/>
        <w:rPr>
          <w:rFonts w:hint="eastAsia" w:ascii="宋体" w:hAnsi="宋体" w:eastAsia="宋体" w:cs="宋体"/>
          <w:b/>
          <w:color w:val="auto"/>
          <w:sz w:val="24"/>
          <w:szCs w:val="24"/>
          <w:highlight w:val="none"/>
          <w:em w:val="dot"/>
        </w:rPr>
      </w:pPr>
      <w:r>
        <w:rPr>
          <w:rFonts w:hint="eastAsia" w:ascii="宋体" w:hAnsi="宋体" w:eastAsia="宋体" w:cs="宋体"/>
          <w:b/>
          <w:color w:val="auto"/>
          <w:sz w:val="24"/>
          <w:szCs w:val="24"/>
          <w:highlight w:val="none"/>
          <w:em w:val="dot"/>
        </w:rPr>
        <w:t>注：除可填报项目外，对本投标函的任何修改将被视为非实质性响应投标，从而导致该投标被拒绝。</w:t>
      </w:r>
    </w:p>
    <w:p>
      <w:pPr>
        <w:spacing w:before="166" w:beforeLines="50" w:after="166" w:afterLines="50"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附件2-2  反商业贿赂承诺书</w:t>
      </w:r>
    </w:p>
    <w:p>
      <w:pPr>
        <w:pStyle w:val="3"/>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我公司承诺在</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3"/>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公司法定代表：</w:t>
      </w:r>
    </w:p>
    <w:p>
      <w:pPr>
        <w:pStyle w:val="3"/>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法人授权代表：</w:t>
      </w:r>
    </w:p>
    <w:p>
      <w:pPr>
        <w:pStyle w:val="3"/>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autoSpaceDE w:val="0"/>
        <w:autoSpaceDN w:val="0"/>
        <w:adjustRightIn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autoSpaceDE w:val="0"/>
        <w:autoSpaceDN w:val="0"/>
        <w:adjustRightInd w:val="0"/>
        <w:spacing w:line="440" w:lineRule="exact"/>
        <w:jc w:val="center"/>
        <w:outlineLvl w:val="0"/>
        <w:rPr>
          <w:rFonts w:hint="eastAsia" w:ascii="宋体" w:hAnsi="宋体" w:eastAsia="宋体" w:cs="宋体"/>
          <w:color w:val="auto"/>
          <w:highlight w:val="none"/>
          <w:lang w:val="en-US" w:eastAsia="zh-CN"/>
        </w:rPr>
      </w:pPr>
      <w:r>
        <w:rPr>
          <w:rFonts w:hint="eastAsia" w:ascii="宋体" w:hAnsi="宋体" w:eastAsia="宋体" w:cs="宋体"/>
          <w:b/>
          <w:color w:val="auto"/>
          <w:sz w:val="30"/>
          <w:szCs w:val="30"/>
          <w:highlight w:val="none"/>
        </w:rPr>
        <w:t xml:space="preserve">附件2-3-1  </w:t>
      </w:r>
      <w:r>
        <w:rPr>
          <w:rFonts w:hint="eastAsia" w:ascii="宋体" w:hAnsi="宋体" w:eastAsia="宋体" w:cs="宋体"/>
          <w:b/>
          <w:bCs/>
          <w:color w:val="auto"/>
          <w:sz w:val="30"/>
          <w:szCs w:val="30"/>
          <w:highlight w:val="none"/>
        </w:rPr>
        <w:t>开标一览表</w:t>
      </w:r>
      <w:r>
        <w:rPr>
          <w:rFonts w:hint="eastAsia" w:ascii="宋体" w:hAnsi="宋体" w:eastAsia="宋体" w:cs="宋体"/>
          <w:b/>
          <w:color w:val="auto"/>
          <w:sz w:val="30"/>
          <w:szCs w:val="30"/>
          <w:highlight w:val="none"/>
          <w:lang w:val="en-US" w:eastAsia="zh-CN"/>
        </w:rPr>
        <w:t>(另开标现场需按标项单独提供)</w:t>
      </w:r>
    </w:p>
    <w:p>
      <w:pPr>
        <w:pStyle w:val="21"/>
        <w:spacing w:line="440" w:lineRule="exact"/>
        <w:ind w:left="210" w:leftChars="-86" w:hanging="391" w:hangingChars="163"/>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招标项目名称：                          投标单位名称：                            </w:t>
      </w:r>
    </w:p>
    <w:p>
      <w:pPr>
        <w:pStyle w:val="21"/>
        <w:spacing w:line="440" w:lineRule="exact"/>
        <w:ind w:left="210" w:leftChars="-86" w:hanging="391" w:hangingChars="163"/>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项目编号：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1"/>
              <w:spacing w:line="44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投标人名称</w:t>
            </w:r>
          </w:p>
        </w:tc>
        <w:tc>
          <w:tcPr>
            <w:tcW w:w="8126" w:type="dxa"/>
            <w:noWrap w:val="0"/>
            <w:vAlign w:val="top"/>
          </w:tcPr>
          <w:p>
            <w:pPr>
              <w:pStyle w:val="21"/>
              <w:spacing w:line="440" w:lineRule="exact"/>
              <w:jc w:val="both"/>
              <w:rPr>
                <w:rFonts w:hint="eastAsia" w:ascii="宋体" w:hAnsi="宋体" w:eastAsia="宋体" w:cs="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noWrap w:val="0"/>
            <w:vAlign w:val="center"/>
          </w:tcPr>
          <w:p>
            <w:pPr>
              <w:pStyle w:val="21"/>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投标报价</w:t>
            </w:r>
          </w:p>
        </w:tc>
        <w:tc>
          <w:tcPr>
            <w:tcW w:w="8126" w:type="dxa"/>
            <w:noWrap w:val="0"/>
            <w:vAlign w:val="top"/>
          </w:tcPr>
          <w:p>
            <w:pPr>
              <w:pStyle w:val="21"/>
              <w:spacing w:line="440" w:lineRule="exact"/>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小写：￥                         元</w:t>
            </w:r>
            <w:r>
              <w:rPr>
                <w:rFonts w:hint="eastAsia" w:ascii="宋体" w:hAnsi="宋体" w:eastAsia="宋体" w:cs="宋体"/>
                <w:color w:val="auto"/>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noWrap w:val="0"/>
            <w:vAlign w:val="top"/>
          </w:tcPr>
          <w:p>
            <w:pPr>
              <w:pStyle w:val="21"/>
              <w:spacing w:line="440" w:lineRule="exact"/>
              <w:jc w:val="both"/>
              <w:rPr>
                <w:rFonts w:hint="eastAsia" w:ascii="宋体" w:hAnsi="宋体" w:eastAsia="宋体" w:cs="宋体"/>
                <w:color w:val="auto"/>
                <w:highlight w:val="none"/>
              </w:rPr>
            </w:pPr>
          </w:p>
        </w:tc>
        <w:tc>
          <w:tcPr>
            <w:tcW w:w="8126" w:type="dxa"/>
            <w:noWrap w:val="0"/>
            <w:vAlign w:val="top"/>
          </w:tcPr>
          <w:p>
            <w:pPr>
              <w:pStyle w:val="21"/>
              <w:spacing w:line="44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1"/>
              <w:spacing w:line="440" w:lineRule="exact"/>
              <w:ind w:firstLine="120" w:firstLineChars="50"/>
              <w:jc w:val="both"/>
              <w:rPr>
                <w:rFonts w:hint="eastAsia" w:ascii="宋体" w:hAnsi="宋体" w:eastAsia="宋体" w:cs="宋体"/>
                <w:color w:val="auto"/>
                <w:highlight w:val="none"/>
              </w:rPr>
            </w:pPr>
            <w:r>
              <w:rPr>
                <w:rFonts w:hint="eastAsia" w:ascii="宋体" w:hAnsi="宋体" w:eastAsia="宋体" w:cs="宋体"/>
                <w:color w:val="auto"/>
                <w:highlight w:val="none"/>
              </w:rPr>
              <w:t>服务期限</w:t>
            </w:r>
          </w:p>
        </w:tc>
        <w:tc>
          <w:tcPr>
            <w:tcW w:w="8126" w:type="dxa"/>
            <w:noWrap w:val="0"/>
            <w:vAlign w:val="top"/>
          </w:tcPr>
          <w:p>
            <w:pPr>
              <w:pStyle w:val="21"/>
              <w:spacing w:line="44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合同签订之日起</w:t>
            </w:r>
            <w:r>
              <w:rPr>
                <w:rFonts w:hint="eastAsia" w:ascii="宋体" w:hAnsi="宋体" w:cs="宋体"/>
                <w:color w:val="auto"/>
                <w:highlight w:val="none"/>
                <w:lang w:val="en-US" w:eastAsia="zh-CN"/>
              </w:rPr>
              <w:t>1</w:t>
            </w:r>
            <w:r>
              <w:rPr>
                <w:rFonts w:hint="eastAsia" w:ascii="宋体" w:hAnsi="宋体" w:eastAsia="宋体" w:cs="宋体"/>
                <w:color w:val="auto"/>
                <w:highlight w:val="none"/>
              </w:rPr>
              <w:t>年</w:t>
            </w:r>
          </w:p>
        </w:tc>
      </w:tr>
    </w:tbl>
    <w:p>
      <w:pPr>
        <w:pStyle w:val="21"/>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兹声明：以上投标报价在投标有效期内一直有效。</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r>
        <w:rPr>
          <w:rFonts w:hint="eastAsia" w:ascii="宋体" w:hAnsi="宋体" w:eastAsia="宋体" w:cs="宋体"/>
          <w:color w:val="auto"/>
          <w:sz w:val="24"/>
          <w:szCs w:val="24"/>
          <w:highlight w:val="none"/>
          <w:u w:val="single"/>
        </w:rPr>
        <w:t xml:space="preserve">                               </w:t>
      </w:r>
    </w:p>
    <w:p>
      <w:pPr>
        <w:pStyle w:val="23"/>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bookmarkStart w:id="36" w:name="_Toc5209"/>
      <w:bookmarkStart w:id="37" w:name="_Toc53317980"/>
      <w:bookmarkStart w:id="38" w:name="_Toc53318128"/>
      <w:r>
        <w:rPr>
          <w:rFonts w:hint="eastAsia" w:ascii="宋体" w:hAnsi="宋体" w:eastAsia="宋体" w:cs="宋体"/>
          <w:b w:val="0"/>
          <w:color w:val="auto"/>
          <w:sz w:val="24"/>
          <w:szCs w:val="24"/>
          <w:highlight w:val="none"/>
        </w:rPr>
        <w:t>授权代表签字：</w:t>
      </w:r>
      <w:bookmarkEnd w:id="36"/>
      <w:bookmarkEnd w:id="37"/>
      <w:bookmarkEnd w:id="38"/>
      <w:r>
        <w:rPr>
          <w:rFonts w:hint="eastAsia" w:ascii="宋体" w:hAnsi="宋体" w:eastAsia="宋体" w:cs="宋体"/>
          <w:b w:val="0"/>
          <w:color w:val="auto"/>
          <w:sz w:val="24"/>
          <w:szCs w:val="24"/>
          <w:highlight w:val="none"/>
          <w:u w:val="single"/>
        </w:rPr>
        <w:t xml:space="preserve">                  </w:t>
      </w:r>
    </w:p>
    <w:p>
      <w:pPr>
        <w:pStyle w:val="23"/>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bookmarkStart w:id="39" w:name="_Toc53317981"/>
      <w:bookmarkStart w:id="40" w:name="_Toc53318129"/>
      <w:bookmarkStart w:id="41" w:name="_Toc14988"/>
      <w:r>
        <w:rPr>
          <w:rFonts w:hint="eastAsia" w:ascii="宋体" w:hAnsi="宋体" w:eastAsia="宋体" w:cs="宋体"/>
          <w:b w:val="0"/>
          <w:color w:val="auto"/>
          <w:spacing w:val="36"/>
          <w:kern w:val="2"/>
          <w:sz w:val="24"/>
          <w:szCs w:val="24"/>
          <w:highlight w:val="none"/>
        </w:rPr>
        <w:t>日期</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年</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日</w:t>
      </w:r>
      <w:bookmarkEnd w:id="39"/>
      <w:bookmarkEnd w:id="40"/>
      <w:bookmarkEnd w:id="41"/>
    </w:p>
    <w:p>
      <w:pPr>
        <w:spacing w:line="460" w:lineRule="atLeast"/>
        <w:jc w:val="center"/>
        <w:rPr>
          <w:rFonts w:hint="eastAsia" w:ascii="宋体" w:hAnsi="宋体" w:eastAsia="宋体" w:cs="宋体"/>
          <w:color w:val="auto"/>
          <w:kern w:val="2"/>
          <w:sz w:val="24"/>
          <w:szCs w:val="24"/>
          <w:highlight w:val="none"/>
          <w:lang w:eastAsia="zh-CN"/>
        </w:rPr>
      </w:pPr>
      <w:bookmarkStart w:id="42" w:name="_Toc53317982"/>
      <w:bookmarkStart w:id="43" w:name="_Toc53318130"/>
      <w:r>
        <w:rPr>
          <w:rFonts w:hint="eastAsia" w:ascii="宋体" w:hAnsi="宋体" w:eastAsia="宋体" w:cs="宋体"/>
          <w:color w:val="auto"/>
          <w:sz w:val="24"/>
          <w:szCs w:val="24"/>
          <w:highlight w:val="none"/>
        </w:rPr>
        <w:t>注：1、</w:t>
      </w:r>
      <w:bookmarkEnd w:id="42"/>
      <w:bookmarkEnd w:id="43"/>
      <w:r>
        <w:rPr>
          <w:rFonts w:hint="eastAsia" w:ascii="宋体" w:hAnsi="宋体" w:eastAsia="宋体" w:cs="宋体"/>
          <w:color w:val="auto"/>
          <w:sz w:val="24"/>
          <w:szCs w:val="24"/>
          <w:highlight w:val="none"/>
        </w:rPr>
        <w:t>此表除保留在投标文件中外，为方便开标唱标，投标人应单独将开标一览表按</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rPr>
        <w:t>另行封装在一密封套内，并标明开标一览表字样，投标时单独提交</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sz w:val="24"/>
          <w:szCs w:val="24"/>
          <w:highlight w:val="none"/>
          <w:lang w:eastAsia="zh-CN"/>
        </w:rPr>
        <w:t>否则将被视为无效投标。</w:t>
      </w:r>
    </w:p>
    <w:p>
      <w:pPr>
        <w:pStyle w:val="21"/>
        <w:numPr>
          <w:ilvl w:val="0"/>
          <w:numId w:val="6"/>
        </w:num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本表格式及内容不得更改，投标人只能按要求填报，否则将被视为无效投标。</w:t>
      </w:r>
    </w:p>
    <w:p>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val="0"/>
          <w:bCs/>
          <w:color w:val="auto"/>
          <w:sz w:val="30"/>
          <w:szCs w:val="30"/>
          <w:highlight w:val="none"/>
        </w:rPr>
        <w:br w:type="page"/>
      </w:r>
      <w:r>
        <w:rPr>
          <w:rFonts w:hint="eastAsia" w:ascii="宋体" w:hAnsi="宋体" w:eastAsia="宋体" w:cs="宋体"/>
          <w:b/>
          <w:color w:val="auto"/>
          <w:sz w:val="30"/>
          <w:szCs w:val="30"/>
          <w:highlight w:val="none"/>
        </w:rPr>
        <w:t>附件2-3-</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2"/>
          <w:szCs w:val="32"/>
          <w:highlight w:val="none"/>
        </w:rPr>
        <w:t>明细报价表</w:t>
      </w:r>
    </w:p>
    <w:p>
      <w:pPr>
        <w:pStyle w:val="21"/>
        <w:spacing w:line="440" w:lineRule="exact"/>
        <w:ind w:left="210" w:leftChars="-86" w:hanging="391" w:hangingChars="163"/>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招标项目名称：                          投标单位名称：                            </w:t>
      </w:r>
    </w:p>
    <w:p>
      <w:pPr>
        <w:pStyle w:val="21"/>
        <w:spacing w:line="440" w:lineRule="exact"/>
        <w:ind w:left="210" w:leftChars="-86" w:hanging="391" w:hangingChars="163"/>
        <w:jc w:val="both"/>
        <w:rPr>
          <w:rFonts w:hint="eastAsia" w:ascii="宋体" w:hAnsi="宋体" w:eastAsia="宋体" w:cs="宋体"/>
          <w:bCs/>
          <w:color w:val="auto"/>
          <w:kern w:val="2"/>
          <w:highlight w:val="none"/>
        </w:rPr>
      </w:pPr>
      <w:r>
        <w:rPr>
          <w:rFonts w:hint="eastAsia" w:ascii="宋体" w:hAnsi="宋体" w:eastAsia="宋体" w:cs="宋体"/>
          <w:color w:val="auto"/>
          <w:highlight w:val="none"/>
        </w:rPr>
        <w:t xml:space="preserve">项目编号：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bCs/>
          <w:color w:val="auto"/>
          <w:kern w:val="2"/>
          <w:highlight w:val="none"/>
        </w:rPr>
        <w:t xml:space="preserve">                   </w:t>
      </w:r>
    </w:p>
    <w:tbl>
      <w:tblPr>
        <w:tblStyle w:val="14"/>
        <w:tblW w:w="10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103"/>
        <w:gridCol w:w="1862"/>
        <w:gridCol w:w="1084"/>
        <w:gridCol w:w="1279"/>
        <w:gridCol w:w="1421"/>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0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w:t>
            </w:r>
            <w:r>
              <w:rPr>
                <w:rFonts w:hint="eastAsia" w:ascii="宋体" w:hAnsi="宋体" w:eastAsia="宋体" w:cs="宋体"/>
                <w:color w:val="auto"/>
                <w:sz w:val="24"/>
                <w:szCs w:val="24"/>
                <w:highlight w:val="none"/>
                <w:lang w:eastAsia="zh-CN"/>
              </w:rPr>
              <w:t>绿地</w:t>
            </w:r>
            <w:r>
              <w:rPr>
                <w:rFonts w:hint="eastAsia" w:ascii="宋体" w:hAnsi="宋体" w:eastAsia="宋体" w:cs="宋体"/>
                <w:color w:val="auto"/>
                <w:sz w:val="24"/>
                <w:szCs w:val="24"/>
                <w:highlight w:val="none"/>
              </w:rPr>
              <w:t>名称</w:t>
            </w:r>
          </w:p>
        </w:tc>
        <w:tc>
          <w:tcPr>
            <w:tcW w:w="186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现场实际面积（㎡）</w:t>
            </w:r>
          </w:p>
        </w:tc>
        <w:tc>
          <w:tcPr>
            <w:tcW w:w="1084"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养护级别</w:t>
            </w:r>
          </w:p>
        </w:tc>
        <w:tc>
          <w:tcPr>
            <w:tcW w:w="1279"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单价限价元/㎡</w:t>
            </w:r>
          </w:p>
        </w:tc>
        <w:tc>
          <w:tcPr>
            <w:tcW w:w="142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所投单价/㎡</w:t>
            </w:r>
          </w:p>
        </w:tc>
        <w:tc>
          <w:tcPr>
            <w:tcW w:w="1125"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养护面</w:t>
            </w: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积总和</w:t>
            </w:r>
          </w:p>
        </w:tc>
        <w:tc>
          <w:tcPr>
            <w:tcW w:w="1125"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每年养护所投总额/元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center"/>
          </w:tcPr>
          <w:p>
            <w:pPr>
              <w:spacing w:line="440" w:lineRule="exact"/>
              <w:rPr>
                <w:rFonts w:hint="eastAsia" w:ascii="宋体" w:hAnsi="宋体" w:eastAsia="宋体" w:cs="宋体"/>
                <w:color w:val="auto"/>
                <w:sz w:val="24"/>
                <w:szCs w:val="24"/>
                <w:highlight w:val="none"/>
              </w:rPr>
            </w:pPr>
          </w:p>
        </w:tc>
        <w:tc>
          <w:tcPr>
            <w:tcW w:w="2103" w:type="dxa"/>
            <w:noWrap w:val="0"/>
            <w:vAlign w:val="center"/>
          </w:tcPr>
          <w:p>
            <w:pPr>
              <w:spacing w:line="440" w:lineRule="exact"/>
              <w:rPr>
                <w:rFonts w:hint="eastAsia" w:ascii="宋体" w:hAnsi="宋体" w:eastAsia="宋体" w:cs="宋体"/>
                <w:color w:val="auto"/>
                <w:sz w:val="24"/>
                <w:szCs w:val="24"/>
                <w:highlight w:val="none"/>
              </w:rPr>
            </w:pPr>
          </w:p>
        </w:tc>
        <w:tc>
          <w:tcPr>
            <w:tcW w:w="1862" w:type="dxa"/>
            <w:noWrap w:val="0"/>
            <w:vAlign w:val="center"/>
          </w:tcPr>
          <w:p>
            <w:pPr>
              <w:spacing w:line="440" w:lineRule="exact"/>
              <w:rPr>
                <w:rFonts w:hint="eastAsia" w:ascii="宋体" w:hAnsi="宋体" w:eastAsia="宋体" w:cs="宋体"/>
                <w:color w:val="auto"/>
                <w:sz w:val="24"/>
                <w:szCs w:val="24"/>
                <w:highlight w:val="none"/>
              </w:rPr>
            </w:pPr>
          </w:p>
        </w:tc>
        <w:tc>
          <w:tcPr>
            <w:tcW w:w="1084" w:type="dxa"/>
            <w:noWrap w:val="0"/>
            <w:vAlign w:val="center"/>
          </w:tcPr>
          <w:p>
            <w:pPr>
              <w:spacing w:line="440" w:lineRule="exact"/>
              <w:rPr>
                <w:rFonts w:hint="eastAsia" w:ascii="宋体" w:hAnsi="宋体" w:eastAsia="宋体" w:cs="宋体"/>
                <w:color w:val="auto"/>
                <w:sz w:val="24"/>
                <w:szCs w:val="24"/>
                <w:highlight w:val="none"/>
              </w:rPr>
            </w:pPr>
          </w:p>
        </w:tc>
        <w:tc>
          <w:tcPr>
            <w:tcW w:w="1279" w:type="dxa"/>
            <w:noWrap w:val="0"/>
            <w:vAlign w:val="center"/>
          </w:tcPr>
          <w:p>
            <w:pPr>
              <w:spacing w:line="440" w:lineRule="exact"/>
              <w:rPr>
                <w:rFonts w:hint="eastAsia" w:ascii="宋体" w:hAnsi="宋体" w:eastAsia="宋体" w:cs="宋体"/>
                <w:color w:val="auto"/>
                <w:sz w:val="24"/>
                <w:szCs w:val="24"/>
                <w:highlight w:val="none"/>
              </w:rPr>
            </w:pPr>
          </w:p>
        </w:tc>
        <w:tc>
          <w:tcPr>
            <w:tcW w:w="1421"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center"/>
          </w:tcPr>
          <w:p>
            <w:pPr>
              <w:spacing w:line="440" w:lineRule="exact"/>
              <w:rPr>
                <w:rFonts w:hint="eastAsia" w:ascii="宋体" w:hAnsi="宋体" w:eastAsia="宋体" w:cs="宋体"/>
                <w:color w:val="auto"/>
                <w:sz w:val="24"/>
                <w:szCs w:val="24"/>
                <w:highlight w:val="none"/>
              </w:rPr>
            </w:pPr>
          </w:p>
        </w:tc>
        <w:tc>
          <w:tcPr>
            <w:tcW w:w="2103" w:type="dxa"/>
            <w:noWrap w:val="0"/>
            <w:vAlign w:val="center"/>
          </w:tcPr>
          <w:p>
            <w:pPr>
              <w:spacing w:line="440" w:lineRule="exact"/>
              <w:rPr>
                <w:rFonts w:hint="eastAsia" w:ascii="宋体" w:hAnsi="宋体" w:eastAsia="宋体" w:cs="宋体"/>
                <w:color w:val="auto"/>
                <w:sz w:val="24"/>
                <w:szCs w:val="24"/>
                <w:highlight w:val="none"/>
              </w:rPr>
            </w:pPr>
          </w:p>
        </w:tc>
        <w:tc>
          <w:tcPr>
            <w:tcW w:w="1862" w:type="dxa"/>
            <w:noWrap w:val="0"/>
            <w:vAlign w:val="center"/>
          </w:tcPr>
          <w:p>
            <w:pPr>
              <w:spacing w:line="440" w:lineRule="exact"/>
              <w:rPr>
                <w:rFonts w:hint="eastAsia" w:ascii="宋体" w:hAnsi="宋体" w:eastAsia="宋体" w:cs="宋体"/>
                <w:color w:val="auto"/>
                <w:sz w:val="24"/>
                <w:szCs w:val="24"/>
                <w:highlight w:val="none"/>
              </w:rPr>
            </w:pPr>
          </w:p>
        </w:tc>
        <w:tc>
          <w:tcPr>
            <w:tcW w:w="1084" w:type="dxa"/>
            <w:noWrap w:val="0"/>
            <w:vAlign w:val="center"/>
          </w:tcPr>
          <w:p>
            <w:pPr>
              <w:spacing w:line="440" w:lineRule="exact"/>
              <w:rPr>
                <w:rFonts w:hint="eastAsia" w:ascii="宋体" w:hAnsi="宋体" w:eastAsia="宋体" w:cs="宋体"/>
                <w:color w:val="auto"/>
                <w:sz w:val="24"/>
                <w:szCs w:val="24"/>
                <w:highlight w:val="none"/>
              </w:rPr>
            </w:pPr>
          </w:p>
        </w:tc>
        <w:tc>
          <w:tcPr>
            <w:tcW w:w="1279" w:type="dxa"/>
            <w:noWrap w:val="0"/>
            <w:vAlign w:val="center"/>
          </w:tcPr>
          <w:p>
            <w:pPr>
              <w:spacing w:line="440" w:lineRule="exact"/>
              <w:rPr>
                <w:rFonts w:hint="eastAsia" w:ascii="宋体" w:hAnsi="宋体" w:eastAsia="宋体" w:cs="宋体"/>
                <w:color w:val="auto"/>
                <w:sz w:val="24"/>
                <w:szCs w:val="24"/>
                <w:highlight w:val="none"/>
              </w:rPr>
            </w:pPr>
          </w:p>
        </w:tc>
        <w:tc>
          <w:tcPr>
            <w:tcW w:w="1421"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center"/>
          </w:tcPr>
          <w:p>
            <w:pPr>
              <w:spacing w:line="440" w:lineRule="exact"/>
              <w:rPr>
                <w:rFonts w:hint="eastAsia" w:ascii="宋体" w:hAnsi="宋体" w:eastAsia="宋体" w:cs="宋体"/>
                <w:color w:val="auto"/>
                <w:sz w:val="24"/>
                <w:szCs w:val="24"/>
                <w:highlight w:val="none"/>
              </w:rPr>
            </w:pPr>
          </w:p>
        </w:tc>
        <w:tc>
          <w:tcPr>
            <w:tcW w:w="2103" w:type="dxa"/>
            <w:noWrap w:val="0"/>
            <w:vAlign w:val="center"/>
          </w:tcPr>
          <w:p>
            <w:pPr>
              <w:spacing w:line="440" w:lineRule="exact"/>
              <w:rPr>
                <w:rFonts w:hint="eastAsia" w:ascii="宋体" w:hAnsi="宋体" w:eastAsia="宋体" w:cs="宋体"/>
                <w:color w:val="auto"/>
                <w:sz w:val="24"/>
                <w:szCs w:val="24"/>
                <w:highlight w:val="none"/>
              </w:rPr>
            </w:pPr>
          </w:p>
        </w:tc>
        <w:tc>
          <w:tcPr>
            <w:tcW w:w="1862" w:type="dxa"/>
            <w:noWrap w:val="0"/>
            <w:vAlign w:val="center"/>
          </w:tcPr>
          <w:p>
            <w:pPr>
              <w:spacing w:line="440" w:lineRule="exact"/>
              <w:rPr>
                <w:rFonts w:hint="eastAsia" w:ascii="宋体" w:hAnsi="宋体" w:eastAsia="宋体" w:cs="宋体"/>
                <w:color w:val="auto"/>
                <w:sz w:val="24"/>
                <w:szCs w:val="24"/>
                <w:highlight w:val="none"/>
              </w:rPr>
            </w:pPr>
          </w:p>
        </w:tc>
        <w:tc>
          <w:tcPr>
            <w:tcW w:w="1084" w:type="dxa"/>
            <w:noWrap w:val="0"/>
            <w:vAlign w:val="center"/>
          </w:tcPr>
          <w:p>
            <w:pPr>
              <w:spacing w:line="440" w:lineRule="exact"/>
              <w:rPr>
                <w:rFonts w:hint="eastAsia" w:ascii="宋体" w:hAnsi="宋体" w:eastAsia="宋体" w:cs="宋体"/>
                <w:color w:val="auto"/>
                <w:sz w:val="24"/>
                <w:szCs w:val="24"/>
                <w:highlight w:val="none"/>
              </w:rPr>
            </w:pPr>
          </w:p>
        </w:tc>
        <w:tc>
          <w:tcPr>
            <w:tcW w:w="1279" w:type="dxa"/>
            <w:noWrap w:val="0"/>
            <w:vAlign w:val="center"/>
          </w:tcPr>
          <w:p>
            <w:pPr>
              <w:spacing w:line="440" w:lineRule="exact"/>
              <w:rPr>
                <w:rFonts w:hint="eastAsia" w:ascii="宋体" w:hAnsi="宋体" w:eastAsia="宋体" w:cs="宋体"/>
                <w:color w:val="auto"/>
                <w:sz w:val="24"/>
                <w:szCs w:val="24"/>
                <w:highlight w:val="none"/>
              </w:rPr>
            </w:pPr>
          </w:p>
        </w:tc>
        <w:tc>
          <w:tcPr>
            <w:tcW w:w="1421"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center"/>
          </w:tcPr>
          <w:p>
            <w:pPr>
              <w:spacing w:line="440" w:lineRule="exact"/>
              <w:rPr>
                <w:rFonts w:hint="eastAsia" w:ascii="宋体" w:hAnsi="宋体" w:eastAsia="宋体" w:cs="宋体"/>
                <w:color w:val="auto"/>
                <w:sz w:val="24"/>
                <w:szCs w:val="24"/>
                <w:highlight w:val="none"/>
              </w:rPr>
            </w:pPr>
          </w:p>
        </w:tc>
        <w:tc>
          <w:tcPr>
            <w:tcW w:w="2103" w:type="dxa"/>
            <w:noWrap w:val="0"/>
            <w:vAlign w:val="center"/>
          </w:tcPr>
          <w:p>
            <w:pPr>
              <w:spacing w:line="440" w:lineRule="exact"/>
              <w:rPr>
                <w:rFonts w:hint="eastAsia" w:ascii="宋体" w:hAnsi="宋体" w:eastAsia="宋体" w:cs="宋体"/>
                <w:color w:val="auto"/>
                <w:sz w:val="24"/>
                <w:szCs w:val="24"/>
                <w:highlight w:val="none"/>
              </w:rPr>
            </w:pPr>
          </w:p>
        </w:tc>
        <w:tc>
          <w:tcPr>
            <w:tcW w:w="1862" w:type="dxa"/>
            <w:noWrap w:val="0"/>
            <w:vAlign w:val="center"/>
          </w:tcPr>
          <w:p>
            <w:pPr>
              <w:spacing w:line="440" w:lineRule="exact"/>
              <w:rPr>
                <w:rFonts w:hint="eastAsia" w:ascii="宋体" w:hAnsi="宋体" w:eastAsia="宋体" w:cs="宋体"/>
                <w:color w:val="auto"/>
                <w:sz w:val="24"/>
                <w:szCs w:val="24"/>
                <w:highlight w:val="none"/>
              </w:rPr>
            </w:pPr>
          </w:p>
        </w:tc>
        <w:tc>
          <w:tcPr>
            <w:tcW w:w="1084" w:type="dxa"/>
            <w:noWrap w:val="0"/>
            <w:vAlign w:val="center"/>
          </w:tcPr>
          <w:p>
            <w:pPr>
              <w:spacing w:line="440" w:lineRule="exact"/>
              <w:rPr>
                <w:rFonts w:hint="eastAsia" w:ascii="宋体" w:hAnsi="宋体" w:eastAsia="宋体" w:cs="宋体"/>
                <w:color w:val="auto"/>
                <w:sz w:val="24"/>
                <w:szCs w:val="24"/>
                <w:highlight w:val="none"/>
              </w:rPr>
            </w:pPr>
          </w:p>
        </w:tc>
        <w:tc>
          <w:tcPr>
            <w:tcW w:w="1279" w:type="dxa"/>
            <w:noWrap w:val="0"/>
            <w:vAlign w:val="center"/>
          </w:tcPr>
          <w:p>
            <w:pPr>
              <w:spacing w:line="440" w:lineRule="exact"/>
              <w:rPr>
                <w:rFonts w:hint="eastAsia" w:ascii="宋体" w:hAnsi="宋体" w:eastAsia="宋体" w:cs="宋体"/>
                <w:color w:val="auto"/>
                <w:sz w:val="24"/>
                <w:szCs w:val="24"/>
                <w:highlight w:val="none"/>
              </w:rPr>
            </w:pPr>
          </w:p>
        </w:tc>
        <w:tc>
          <w:tcPr>
            <w:tcW w:w="1421"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center"/>
          </w:tcPr>
          <w:p>
            <w:pPr>
              <w:spacing w:line="440" w:lineRule="exact"/>
              <w:rPr>
                <w:rFonts w:hint="eastAsia" w:ascii="宋体" w:hAnsi="宋体" w:eastAsia="宋体" w:cs="宋体"/>
                <w:color w:val="auto"/>
                <w:sz w:val="24"/>
                <w:szCs w:val="24"/>
                <w:highlight w:val="none"/>
              </w:rPr>
            </w:pPr>
          </w:p>
        </w:tc>
        <w:tc>
          <w:tcPr>
            <w:tcW w:w="2103" w:type="dxa"/>
            <w:noWrap w:val="0"/>
            <w:vAlign w:val="center"/>
          </w:tcPr>
          <w:p>
            <w:pPr>
              <w:spacing w:line="440" w:lineRule="exact"/>
              <w:rPr>
                <w:rFonts w:hint="eastAsia" w:ascii="宋体" w:hAnsi="宋体" w:eastAsia="宋体" w:cs="宋体"/>
                <w:color w:val="auto"/>
                <w:sz w:val="24"/>
                <w:szCs w:val="24"/>
                <w:highlight w:val="none"/>
              </w:rPr>
            </w:pPr>
          </w:p>
        </w:tc>
        <w:tc>
          <w:tcPr>
            <w:tcW w:w="1862" w:type="dxa"/>
            <w:noWrap w:val="0"/>
            <w:vAlign w:val="center"/>
          </w:tcPr>
          <w:p>
            <w:pPr>
              <w:spacing w:line="440" w:lineRule="exact"/>
              <w:rPr>
                <w:rFonts w:hint="eastAsia" w:ascii="宋体" w:hAnsi="宋体" w:eastAsia="宋体" w:cs="宋体"/>
                <w:color w:val="auto"/>
                <w:sz w:val="24"/>
                <w:szCs w:val="24"/>
                <w:highlight w:val="none"/>
              </w:rPr>
            </w:pPr>
          </w:p>
        </w:tc>
        <w:tc>
          <w:tcPr>
            <w:tcW w:w="1084" w:type="dxa"/>
            <w:noWrap w:val="0"/>
            <w:vAlign w:val="center"/>
          </w:tcPr>
          <w:p>
            <w:pPr>
              <w:spacing w:line="440" w:lineRule="exact"/>
              <w:rPr>
                <w:rFonts w:hint="eastAsia" w:ascii="宋体" w:hAnsi="宋体" w:eastAsia="宋体" w:cs="宋体"/>
                <w:color w:val="auto"/>
                <w:sz w:val="24"/>
                <w:szCs w:val="24"/>
                <w:highlight w:val="none"/>
              </w:rPr>
            </w:pPr>
          </w:p>
        </w:tc>
        <w:tc>
          <w:tcPr>
            <w:tcW w:w="1279" w:type="dxa"/>
            <w:noWrap w:val="0"/>
            <w:vAlign w:val="center"/>
          </w:tcPr>
          <w:p>
            <w:pPr>
              <w:spacing w:line="440" w:lineRule="exact"/>
              <w:rPr>
                <w:rFonts w:hint="eastAsia" w:ascii="宋体" w:hAnsi="宋体" w:eastAsia="宋体" w:cs="宋体"/>
                <w:color w:val="auto"/>
                <w:sz w:val="24"/>
                <w:szCs w:val="24"/>
                <w:highlight w:val="none"/>
              </w:rPr>
            </w:pPr>
          </w:p>
        </w:tc>
        <w:tc>
          <w:tcPr>
            <w:tcW w:w="1421"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spacing w:line="440" w:lineRule="exact"/>
              <w:rPr>
                <w:rFonts w:hint="eastAsia" w:ascii="宋体" w:hAnsi="宋体" w:eastAsia="宋体" w:cs="宋体"/>
                <w:color w:val="auto"/>
                <w:sz w:val="24"/>
                <w:szCs w:val="24"/>
                <w:highlight w:val="none"/>
              </w:rPr>
            </w:pPr>
          </w:p>
        </w:tc>
        <w:tc>
          <w:tcPr>
            <w:tcW w:w="2103" w:type="dxa"/>
            <w:noWrap w:val="0"/>
            <w:vAlign w:val="center"/>
          </w:tcPr>
          <w:p>
            <w:pPr>
              <w:spacing w:line="440" w:lineRule="exact"/>
              <w:rPr>
                <w:rFonts w:hint="eastAsia" w:ascii="宋体" w:hAnsi="宋体" w:eastAsia="宋体" w:cs="宋体"/>
                <w:color w:val="auto"/>
                <w:sz w:val="24"/>
                <w:szCs w:val="24"/>
                <w:highlight w:val="none"/>
              </w:rPr>
            </w:pPr>
          </w:p>
        </w:tc>
        <w:tc>
          <w:tcPr>
            <w:tcW w:w="1862" w:type="dxa"/>
            <w:noWrap w:val="0"/>
            <w:vAlign w:val="center"/>
          </w:tcPr>
          <w:p>
            <w:pPr>
              <w:spacing w:line="440" w:lineRule="exact"/>
              <w:rPr>
                <w:rFonts w:hint="eastAsia" w:ascii="宋体" w:hAnsi="宋体" w:eastAsia="宋体" w:cs="宋体"/>
                <w:color w:val="auto"/>
                <w:sz w:val="24"/>
                <w:szCs w:val="24"/>
                <w:highlight w:val="none"/>
              </w:rPr>
            </w:pPr>
          </w:p>
        </w:tc>
        <w:tc>
          <w:tcPr>
            <w:tcW w:w="1084" w:type="dxa"/>
            <w:noWrap w:val="0"/>
            <w:vAlign w:val="center"/>
          </w:tcPr>
          <w:p>
            <w:pPr>
              <w:spacing w:line="440" w:lineRule="exact"/>
              <w:rPr>
                <w:rFonts w:hint="eastAsia" w:ascii="宋体" w:hAnsi="宋体" w:eastAsia="宋体" w:cs="宋体"/>
                <w:color w:val="auto"/>
                <w:sz w:val="24"/>
                <w:szCs w:val="24"/>
                <w:highlight w:val="none"/>
              </w:rPr>
            </w:pPr>
          </w:p>
        </w:tc>
        <w:tc>
          <w:tcPr>
            <w:tcW w:w="1279" w:type="dxa"/>
            <w:noWrap w:val="0"/>
            <w:vAlign w:val="center"/>
          </w:tcPr>
          <w:p>
            <w:pPr>
              <w:spacing w:line="440" w:lineRule="exact"/>
              <w:rPr>
                <w:rFonts w:hint="eastAsia" w:ascii="宋体" w:hAnsi="宋体" w:eastAsia="宋体" w:cs="宋体"/>
                <w:color w:val="auto"/>
                <w:sz w:val="24"/>
                <w:szCs w:val="24"/>
                <w:highlight w:val="none"/>
              </w:rPr>
            </w:pPr>
          </w:p>
        </w:tc>
        <w:tc>
          <w:tcPr>
            <w:tcW w:w="1421"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spacing w:line="440" w:lineRule="exact"/>
              <w:rPr>
                <w:rFonts w:hint="eastAsia" w:ascii="宋体" w:hAnsi="宋体" w:eastAsia="宋体" w:cs="宋体"/>
                <w:color w:val="auto"/>
                <w:sz w:val="24"/>
                <w:szCs w:val="24"/>
                <w:highlight w:val="none"/>
              </w:rPr>
            </w:pPr>
          </w:p>
        </w:tc>
        <w:tc>
          <w:tcPr>
            <w:tcW w:w="2103" w:type="dxa"/>
            <w:noWrap w:val="0"/>
            <w:vAlign w:val="center"/>
          </w:tcPr>
          <w:p>
            <w:pPr>
              <w:spacing w:line="440" w:lineRule="exact"/>
              <w:rPr>
                <w:rFonts w:hint="eastAsia" w:ascii="宋体" w:hAnsi="宋体" w:eastAsia="宋体" w:cs="宋体"/>
                <w:color w:val="auto"/>
                <w:sz w:val="24"/>
                <w:szCs w:val="24"/>
                <w:highlight w:val="none"/>
              </w:rPr>
            </w:pPr>
          </w:p>
        </w:tc>
        <w:tc>
          <w:tcPr>
            <w:tcW w:w="1862" w:type="dxa"/>
            <w:noWrap w:val="0"/>
            <w:vAlign w:val="center"/>
          </w:tcPr>
          <w:p>
            <w:pPr>
              <w:spacing w:line="440" w:lineRule="exact"/>
              <w:rPr>
                <w:rFonts w:hint="eastAsia" w:ascii="宋体" w:hAnsi="宋体" w:eastAsia="宋体" w:cs="宋体"/>
                <w:color w:val="auto"/>
                <w:sz w:val="24"/>
                <w:szCs w:val="24"/>
                <w:highlight w:val="none"/>
              </w:rPr>
            </w:pPr>
          </w:p>
        </w:tc>
        <w:tc>
          <w:tcPr>
            <w:tcW w:w="1084" w:type="dxa"/>
            <w:noWrap w:val="0"/>
            <w:vAlign w:val="center"/>
          </w:tcPr>
          <w:p>
            <w:pPr>
              <w:spacing w:line="440" w:lineRule="exact"/>
              <w:rPr>
                <w:rFonts w:hint="eastAsia" w:ascii="宋体" w:hAnsi="宋体" w:eastAsia="宋体" w:cs="宋体"/>
                <w:color w:val="auto"/>
                <w:sz w:val="24"/>
                <w:szCs w:val="24"/>
                <w:highlight w:val="none"/>
              </w:rPr>
            </w:pPr>
          </w:p>
        </w:tc>
        <w:tc>
          <w:tcPr>
            <w:tcW w:w="1279" w:type="dxa"/>
            <w:noWrap w:val="0"/>
            <w:vAlign w:val="center"/>
          </w:tcPr>
          <w:p>
            <w:pPr>
              <w:spacing w:line="440" w:lineRule="exact"/>
              <w:rPr>
                <w:rFonts w:hint="eastAsia" w:ascii="宋体" w:hAnsi="宋体" w:eastAsia="宋体" w:cs="宋体"/>
                <w:color w:val="auto"/>
                <w:sz w:val="24"/>
                <w:szCs w:val="24"/>
                <w:highlight w:val="none"/>
              </w:rPr>
            </w:pPr>
          </w:p>
        </w:tc>
        <w:tc>
          <w:tcPr>
            <w:tcW w:w="1421"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spacing w:line="440" w:lineRule="exact"/>
              <w:rPr>
                <w:rFonts w:hint="eastAsia" w:ascii="宋体" w:hAnsi="宋体" w:eastAsia="宋体" w:cs="宋体"/>
                <w:color w:val="auto"/>
                <w:sz w:val="24"/>
                <w:szCs w:val="24"/>
                <w:highlight w:val="none"/>
              </w:rPr>
            </w:pPr>
          </w:p>
        </w:tc>
        <w:tc>
          <w:tcPr>
            <w:tcW w:w="2103" w:type="dxa"/>
            <w:noWrap w:val="0"/>
            <w:vAlign w:val="center"/>
          </w:tcPr>
          <w:p>
            <w:pPr>
              <w:spacing w:line="440" w:lineRule="exact"/>
              <w:rPr>
                <w:rFonts w:hint="eastAsia" w:ascii="宋体" w:hAnsi="宋体" w:eastAsia="宋体" w:cs="宋体"/>
                <w:color w:val="auto"/>
                <w:sz w:val="24"/>
                <w:szCs w:val="24"/>
                <w:highlight w:val="none"/>
              </w:rPr>
            </w:pPr>
          </w:p>
        </w:tc>
        <w:tc>
          <w:tcPr>
            <w:tcW w:w="1862" w:type="dxa"/>
            <w:noWrap w:val="0"/>
            <w:vAlign w:val="center"/>
          </w:tcPr>
          <w:p>
            <w:pPr>
              <w:spacing w:line="440" w:lineRule="exact"/>
              <w:rPr>
                <w:rFonts w:hint="eastAsia" w:ascii="宋体" w:hAnsi="宋体" w:eastAsia="宋体" w:cs="宋体"/>
                <w:color w:val="auto"/>
                <w:sz w:val="24"/>
                <w:szCs w:val="24"/>
                <w:highlight w:val="none"/>
              </w:rPr>
            </w:pPr>
          </w:p>
        </w:tc>
        <w:tc>
          <w:tcPr>
            <w:tcW w:w="1084" w:type="dxa"/>
            <w:noWrap w:val="0"/>
            <w:vAlign w:val="center"/>
          </w:tcPr>
          <w:p>
            <w:pPr>
              <w:spacing w:line="440" w:lineRule="exact"/>
              <w:rPr>
                <w:rFonts w:hint="eastAsia" w:ascii="宋体" w:hAnsi="宋体" w:eastAsia="宋体" w:cs="宋体"/>
                <w:color w:val="auto"/>
                <w:sz w:val="24"/>
                <w:szCs w:val="24"/>
                <w:highlight w:val="none"/>
              </w:rPr>
            </w:pPr>
          </w:p>
        </w:tc>
        <w:tc>
          <w:tcPr>
            <w:tcW w:w="1279" w:type="dxa"/>
            <w:noWrap w:val="0"/>
            <w:vAlign w:val="center"/>
          </w:tcPr>
          <w:p>
            <w:pPr>
              <w:spacing w:line="440" w:lineRule="exact"/>
              <w:rPr>
                <w:rFonts w:hint="eastAsia" w:ascii="宋体" w:hAnsi="宋体" w:eastAsia="宋体" w:cs="宋体"/>
                <w:color w:val="auto"/>
                <w:sz w:val="24"/>
                <w:szCs w:val="24"/>
                <w:highlight w:val="none"/>
              </w:rPr>
            </w:pPr>
          </w:p>
        </w:tc>
        <w:tc>
          <w:tcPr>
            <w:tcW w:w="1421"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spacing w:line="440" w:lineRule="exact"/>
              <w:rPr>
                <w:rFonts w:hint="eastAsia" w:ascii="宋体" w:hAnsi="宋体" w:eastAsia="宋体" w:cs="宋体"/>
                <w:color w:val="auto"/>
                <w:sz w:val="24"/>
                <w:szCs w:val="24"/>
                <w:highlight w:val="none"/>
              </w:rPr>
            </w:pPr>
          </w:p>
        </w:tc>
        <w:tc>
          <w:tcPr>
            <w:tcW w:w="2103" w:type="dxa"/>
            <w:noWrap w:val="0"/>
            <w:vAlign w:val="center"/>
          </w:tcPr>
          <w:p>
            <w:pPr>
              <w:spacing w:line="440" w:lineRule="exact"/>
              <w:rPr>
                <w:rFonts w:hint="eastAsia" w:ascii="宋体" w:hAnsi="宋体" w:eastAsia="宋体" w:cs="宋体"/>
                <w:color w:val="auto"/>
                <w:sz w:val="24"/>
                <w:szCs w:val="24"/>
                <w:highlight w:val="none"/>
              </w:rPr>
            </w:pPr>
          </w:p>
        </w:tc>
        <w:tc>
          <w:tcPr>
            <w:tcW w:w="1862" w:type="dxa"/>
            <w:noWrap w:val="0"/>
            <w:vAlign w:val="center"/>
          </w:tcPr>
          <w:p>
            <w:pPr>
              <w:spacing w:line="440" w:lineRule="exact"/>
              <w:rPr>
                <w:rFonts w:hint="eastAsia" w:ascii="宋体" w:hAnsi="宋体" w:eastAsia="宋体" w:cs="宋体"/>
                <w:color w:val="auto"/>
                <w:sz w:val="24"/>
                <w:szCs w:val="24"/>
                <w:highlight w:val="none"/>
              </w:rPr>
            </w:pPr>
          </w:p>
        </w:tc>
        <w:tc>
          <w:tcPr>
            <w:tcW w:w="1084" w:type="dxa"/>
            <w:noWrap w:val="0"/>
            <w:vAlign w:val="center"/>
          </w:tcPr>
          <w:p>
            <w:pPr>
              <w:spacing w:line="440" w:lineRule="exact"/>
              <w:rPr>
                <w:rFonts w:hint="eastAsia" w:ascii="宋体" w:hAnsi="宋体" w:eastAsia="宋体" w:cs="宋体"/>
                <w:color w:val="auto"/>
                <w:sz w:val="24"/>
                <w:szCs w:val="24"/>
                <w:highlight w:val="none"/>
              </w:rPr>
            </w:pPr>
          </w:p>
        </w:tc>
        <w:tc>
          <w:tcPr>
            <w:tcW w:w="1279" w:type="dxa"/>
            <w:noWrap w:val="0"/>
            <w:vAlign w:val="center"/>
          </w:tcPr>
          <w:p>
            <w:pPr>
              <w:spacing w:line="440" w:lineRule="exact"/>
              <w:rPr>
                <w:rFonts w:hint="eastAsia" w:ascii="宋体" w:hAnsi="宋体" w:eastAsia="宋体" w:cs="宋体"/>
                <w:color w:val="auto"/>
                <w:sz w:val="24"/>
                <w:szCs w:val="24"/>
                <w:highlight w:val="none"/>
              </w:rPr>
            </w:pPr>
          </w:p>
        </w:tc>
        <w:tc>
          <w:tcPr>
            <w:tcW w:w="1421"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center"/>
          </w:tcPr>
          <w:p>
            <w:pPr>
              <w:spacing w:line="440" w:lineRule="exact"/>
              <w:rPr>
                <w:rFonts w:hint="eastAsia" w:ascii="宋体" w:hAnsi="宋体" w:eastAsia="宋体" w:cs="宋体"/>
                <w:color w:val="auto"/>
                <w:sz w:val="24"/>
                <w:szCs w:val="24"/>
                <w:highlight w:val="none"/>
              </w:rPr>
            </w:pPr>
          </w:p>
        </w:tc>
        <w:tc>
          <w:tcPr>
            <w:tcW w:w="1125"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gridSpan w:val="2"/>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合计金额（一年）（小写）</w:t>
            </w:r>
          </w:p>
        </w:tc>
        <w:tc>
          <w:tcPr>
            <w:tcW w:w="7896" w:type="dxa"/>
            <w:gridSpan w:val="6"/>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gridSpan w:val="2"/>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合计金额（一年）（大写）：</w:t>
            </w:r>
          </w:p>
        </w:tc>
        <w:tc>
          <w:tcPr>
            <w:tcW w:w="7896" w:type="dxa"/>
            <w:gridSpan w:val="6"/>
            <w:noWrap w:val="0"/>
            <w:vAlign w:val="center"/>
          </w:tcPr>
          <w:p>
            <w:pPr>
              <w:spacing w:line="440" w:lineRule="exact"/>
              <w:rPr>
                <w:rFonts w:hint="eastAsia" w:ascii="宋体" w:hAnsi="宋体" w:eastAsia="宋体" w:cs="宋体"/>
                <w:color w:val="auto"/>
                <w:sz w:val="24"/>
                <w:szCs w:val="24"/>
                <w:highlight w:val="none"/>
              </w:rPr>
            </w:pPr>
          </w:p>
        </w:tc>
      </w:tr>
    </w:tbl>
    <w:p>
      <w:pPr>
        <w:spacing w:line="46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投标人签字：                          日期：</w:t>
      </w:r>
    </w:p>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注：1、合计金额应为各分项价格之和。</w:t>
      </w:r>
    </w:p>
    <w:p>
      <w:pPr>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2、综合单价必须包括绿化养护费用及其它必需服务的报价。</w:t>
      </w:r>
    </w:p>
    <w:p>
      <w:pPr>
        <w:pStyle w:val="5"/>
        <w:jc w:val="center"/>
        <w:outlineLvl w:val="0"/>
        <w:rPr>
          <w:rFonts w:hint="eastAsia" w:ascii="宋体" w:hAnsi="宋体" w:eastAsia="宋体" w:cs="宋体"/>
          <w:color w:val="auto"/>
          <w:szCs w:val="32"/>
          <w:highlight w:val="none"/>
        </w:rPr>
      </w:pPr>
      <w:r>
        <w:rPr>
          <w:rFonts w:hint="eastAsia" w:ascii="宋体" w:hAnsi="宋体" w:eastAsia="宋体" w:cs="宋体"/>
          <w:b w:val="0"/>
          <w:bCs/>
          <w:color w:val="auto"/>
          <w:sz w:val="30"/>
          <w:szCs w:val="30"/>
          <w:highlight w:val="none"/>
        </w:rPr>
        <w:br w:type="page"/>
      </w:r>
      <w:bookmarkStart w:id="44" w:name="_Toc15294"/>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val="en-US" w:eastAsia="zh-CN"/>
        </w:rPr>
        <w:t>4</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Cs w:val="32"/>
          <w:highlight w:val="none"/>
        </w:rPr>
        <w:t>商务条款偏离表</w:t>
      </w:r>
      <w:bookmarkEnd w:id="44"/>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14"/>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470"/>
        <w:gridCol w:w="3544"/>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70"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3544"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2018"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70" w:type="dxa"/>
            <w:noWrap w:val="0"/>
            <w:vAlign w:val="top"/>
          </w:tcPr>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投标文件份数</w:t>
            </w: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70" w:type="dxa"/>
            <w:noWrap w:val="0"/>
            <w:vAlign w:val="top"/>
          </w:tcPr>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是否缴纳保证金</w:t>
            </w: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470" w:type="dxa"/>
            <w:noWrap w:val="0"/>
            <w:vAlign w:val="center"/>
          </w:tcPr>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470" w:type="dxa"/>
            <w:noWrap w:val="0"/>
            <w:vAlign w:val="center"/>
          </w:tcPr>
          <w:p>
            <w:pPr>
              <w:pStyle w:val="20"/>
              <w:spacing w:line="440" w:lineRule="exact"/>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付款方式</w:t>
            </w: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470" w:type="dxa"/>
            <w:noWrap w:val="0"/>
            <w:vAlign w:val="top"/>
          </w:tcPr>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470" w:type="dxa"/>
            <w:noWrap w:val="0"/>
            <w:vAlign w:val="top"/>
          </w:tcPr>
          <w:p>
            <w:pPr>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470" w:type="dxa"/>
            <w:noWrap w:val="0"/>
            <w:vAlign w:val="top"/>
          </w:tcPr>
          <w:p>
            <w:pPr>
              <w:snapToGrid w:val="0"/>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470" w:type="dxa"/>
            <w:noWrap w:val="0"/>
            <w:vAlign w:val="top"/>
          </w:tcPr>
          <w:p>
            <w:pPr>
              <w:spacing w:line="440" w:lineRule="exact"/>
              <w:rPr>
                <w:rFonts w:hint="eastAsia" w:ascii="宋体" w:hAnsi="宋体" w:eastAsia="宋体" w:cs="宋体"/>
                <w:color w:val="auto"/>
                <w:sz w:val="24"/>
                <w:szCs w:val="24"/>
                <w:highlight w:val="none"/>
              </w:rPr>
            </w:pPr>
          </w:p>
        </w:tc>
        <w:tc>
          <w:tcPr>
            <w:tcW w:w="3544"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pPr>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p>
    <w:p>
      <w:pPr>
        <w:spacing w:line="440" w:lineRule="exact"/>
        <w:ind w:firstLine="59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 xml:space="preserve">附件2-5  </w:t>
      </w:r>
      <w:r>
        <w:rPr>
          <w:rFonts w:hint="eastAsia" w:ascii="宋体" w:hAnsi="宋体" w:eastAsia="宋体" w:cs="宋体"/>
          <w:b/>
          <w:color w:val="auto"/>
          <w:sz w:val="32"/>
          <w:szCs w:val="32"/>
          <w:highlight w:val="none"/>
        </w:rPr>
        <w:t>节能、环境标志产品优惠明细表</w:t>
      </w:r>
    </w:p>
    <w:p>
      <w:pPr>
        <w:spacing w:line="44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(若有，请如实填写)</w:t>
      </w:r>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562"/>
        <w:gridCol w:w="1767"/>
        <w:gridCol w:w="1166"/>
        <w:gridCol w:w="1827"/>
        <w:gridCol w:w="776"/>
        <w:gridCol w:w="672"/>
        <w:gridCol w:w="81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8"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330"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037"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684"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节字标志认证证书号</w:t>
            </w:r>
          </w:p>
        </w:tc>
        <w:tc>
          <w:tcPr>
            <w:tcW w:w="1072"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节能产品认证证书有效截止日期</w:t>
            </w:r>
          </w:p>
        </w:tc>
        <w:tc>
          <w:tcPr>
            <w:tcW w:w="455"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94"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480" w:type="pct"/>
            <w:gridSpan w:val="2"/>
            <w:noWrap w:val="0"/>
            <w:vAlign w:val="center"/>
          </w:tcPr>
          <w:p>
            <w:pPr>
              <w:spacing w:line="440" w:lineRule="exact"/>
              <w:jc w:val="both"/>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spacing w:line="440" w:lineRule="exact"/>
              <w:jc w:val="center"/>
              <w:rPr>
                <w:rFonts w:hint="eastAsia" w:ascii="宋体" w:hAnsi="宋体" w:eastAsia="宋体" w:cs="宋体"/>
                <w:color w:val="auto"/>
                <w:sz w:val="24"/>
                <w:szCs w:val="24"/>
                <w:highlight w:val="none"/>
              </w:rPr>
            </w:pPr>
          </w:p>
        </w:tc>
        <w:tc>
          <w:tcPr>
            <w:tcW w:w="330" w:type="pct"/>
            <w:noWrap w:val="0"/>
            <w:vAlign w:val="center"/>
          </w:tcPr>
          <w:p>
            <w:pPr>
              <w:spacing w:line="440" w:lineRule="exact"/>
              <w:jc w:val="center"/>
              <w:rPr>
                <w:rFonts w:hint="eastAsia" w:ascii="宋体" w:hAnsi="宋体" w:eastAsia="宋体" w:cs="宋体"/>
                <w:color w:val="auto"/>
                <w:sz w:val="24"/>
                <w:szCs w:val="24"/>
                <w:highlight w:val="none"/>
              </w:rPr>
            </w:pPr>
          </w:p>
        </w:tc>
        <w:tc>
          <w:tcPr>
            <w:tcW w:w="1037" w:type="pct"/>
            <w:noWrap w:val="0"/>
            <w:vAlign w:val="center"/>
          </w:tcPr>
          <w:p>
            <w:pPr>
              <w:spacing w:line="440" w:lineRule="exact"/>
              <w:jc w:val="center"/>
              <w:rPr>
                <w:rFonts w:hint="eastAsia" w:ascii="宋体" w:hAnsi="宋体" w:eastAsia="宋体" w:cs="宋体"/>
                <w:color w:val="auto"/>
                <w:sz w:val="24"/>
                <w:szCs w:val="24"/>
                <w:highlight w:val="none"/>
              </w:rPr>
            </w:pPr>
          </w:p>
        </w:tc>
        <w:tc>
          <w:tcPr>
            <w:tcW w:w="684" w:type="pct"/>
            <w:noWrap w:val="0"/>
            <w:vAlign w:val="center"/>
          </w:tcPr>
          <w:p>
            <w:pPr>
              <w:spacing w:line="440" w:lineRule="exact"/>
              <w:jc w:val="center"/>
              <w:rPr>
                <w:rFonts w:hint="eastAsia" w:ascii="宋体" w:hAnsi="宋体" w:eastAsia="宋体" w:cs="宋体"/>
                <w:color w:val="auto"/>
                <w:sz w:val="24"/>
                <w:szCs w:val="24"/>
                <w:highlight w:val="none"/>
              </w:rPr>
            </w:pPr>
          </w:p>
        </w:tc>
        <w:tc>
          <w:tcPr>
            <w:tcW w:w="1072" w:type="pct"/>
            <w:noWrap w:val="0"/>
            <w:vAlign w:val="center"/>
          </w:tcPr>
          <w:p>
            <w:pPr>
              <w:spacing w:line="440" w:lineRule="exact"/>
              <w:jc w:val="center"/>
              <w:rPr>
                <w:rFonts w:hint="eastAsia" w:ascii="宋体" w:hAnsi="宋体" w:eastAsia="宋体" w:cs="宋体"/>
                <w:color w:val="auto"/>
                <w:sz w:val="24"/>
                <w:szCs w:val="24"/>
                <w:highlight w:val="none"/>
              </w:rPr>
            </w:pPr>
          </w:p>
        </w:tc>
        <w:tc>
          <w:tcPr>
            <w:tcW w:w="455" w:type="pct"/>
            <w:noWrap w:val="0"/>
            <w:vAlign w:val="center"/>
          </w:tcPr>
          <w:p>
            <w:pPr>
              <w:spacing w:line="440" w:lineRule="exact"/>
              <w:jc w:val="center"/>
              <w:rPr>
                <w:rFonts w:hint="eastAsia" w:ascii="宋体" w:hAnsi="宋体" w:eastAsia="宋体" w:cs="宋体"/>
                <w:color w:val="auto"/>
                <w:sz w:val="24"/>
                <w:szCs w:val="24"/>
                <w:highlight w:val="none"/>
              </w:rPr>
            </w:pPr>
          </w:p>
        </w:tc>
        <w:tc>
          <w:tcPr>
            <w:tcW w:w="394" w:type="pct"/>
            <w:noWrap w:val="0"/>
            <w:vAlign w:val="center"/>
          </w:tcPr>
          <w:p>
            <w:pPr>
              <w:spacing w:line="440" w:lineRule="exact"/>
              <w:jc w:val="center"/>
              <w:rPr>
                <w:rFonts w:hint="eastAsia" w:ascii="宋体" w:hAnsi="宋体" w:eastAsia="宋体" w:cs="宋体"/>
                <w:color w:val="auto"/>
                <w:sz w:val="24"/>
                <w:szCs w:val="24"/>
                <w:highlight w:val="none"/>
              </w:rPr>
            </w:pPr>
          </w:p>
        </w:tc>
        <w:tc>
          <w:tcPr>
            <w:tcW w:w="480" w:type="pct"/>
            <w:gridSpan w:val="2"/>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spacing w:line="440" w:lineRule="exact"/>
              <w:jc w:val="center"/>
              <w:rPr>
                <w:rFonts w:hint="eastAsia" w:ascii="宋体" w:hAnsi="宋体" w:eastAsia="宋体" w:cs="宋体"/>
                <w:color w:val="auto"/>
                <w:sz w:val="24"/>
                <w:szCs w:val="24"/>
                <w:highlight w:val="none"/>
              </w:rPr>
            </w:pPr>
          </w:p>
        </w:tc>
        <w:tc>
          <w:tcPr>
            <w:tcW w:w="330" w:type="pct"/>
            <w:noWrap w:val="0"/>
            <w:vAlign w:val="center"/>
          </w:tcPr>
          <w:p>
            <w:pPr>
              <w:spacing w:line="440" w:lineRule="exact"/>
              <w:jc w:val="center"/>
              <w:rPr>
                <w:rFonts w:hint="eastAsia" w:ascii="宋体" w:hAnsi="宋体" w:eastAsia="宋体" w:cs="宋体"/>
                <w:color w:val="auto"/>
                <w:sz w:val="24"/>
                <w:szCs w:val="24"/>
                <w:highlight w:val="none"/>
              </w:rPr>
            </w:pPr>
          </w:p>
        </w:tc>
        <w:tc>
          <w:tcPr>
            <w:tcW w:w="1037" w:type="pct"/>
            <w:noWrap w:val="0"/>
            <w:vAlign w:val="center"/>
          </w:tcPr>
          <w:p>
            <w:pPr>
              <w:spacing w:line="440" w:lineRule="exact"/>
              <w:jc w:val="center"/>
              <w:rPr>
                <w:rFonts w:hint="eastAsia" w:ascii="宋体" w:hAnsi="宋体" w:eastAsia="宋体" w:cs="宋体"/>
                <w:color w:val="auto"/>
                <w:sz w:val="24"/>
                <w:szCs w:val="24"/>
                <w:highlight w:val="none"/>
              </w:rPr>
            </w:pPr>
          </w:p>
        </w:tc>
        <w:tc>
          <w:tcPr>
            <w:tcW w:w="684" w:type="pct"/>
            <w:noWrap w:val="0"/>
            <w:vAlign w:val="center"/>
          </w:tcPr>
          <w:p>
            <w:pPr>
              <w:spacing w:line="440" w:lineRule="exact"/>
              <w:jc w:val="center"/>
              <w:rPr>
                <w:rFonts w:hint="eastAsia" w:ascii="宋体" w:hAnsi="宋体" w:eastAsia="宋体" w:cs="宋体"/>
                <w:color w:val="auto"/>
                <w:sz w:val="24"/>
                <w:szCs w:val="24"/>
                <w:highlight w:val="none"/>
              </w:rPr>
            </w:pPr>
          </w:p>
        </w:tc>
        <w:tc>
          <w:tcPr>
            <w:tcW w:w="1072" w:type="pct"/>
            <w:noWrap w:val="0"/>
            <w:vAlign w:val="center"/>
          </w:tcPr>
          <w:p>
            <w:pPr>
              <w:spacing w:line="440" w:lineRule="exact"/>
              <w:jc w:val="center"/>
              <w:rPr>
                <w:rFonts w:hint="eastAsia" w:ascii="宋体" w:hAnsi="宋体" w:eastAsia="宋体" w:cs="宋体"/>
                <w:color w:val="auto"/>
                <w:sz w:val="24"/>
                <w:szCs w:val="24"/>
                <w:highlight w:val="none"/>
              </w:rPr>
            </w:pPr>
          </w:p>
        </w:tc>
        <w:tc>
          <w:tcPr>
            <w:tcW w:w="455" w:type="pct"/>
            <w:noWrap w:val="0"/>
            <w:vAlign w:val="center"/>
          </w:tcPr>
          <w:p>
            <w:pPr>
              <w:spacing w:line="440" w:lineRule="exact"/>
              <w:jc w:val="center"/>
              <w:rPr>
                <w:rFonts w:hint="eastAsia" w:ascii="宋体" w:hAnsi="宋体" w:eastAsia="宋体" w:cs="宋体"/>
                <w:color w:val="auto"/>
                <w:sz w:val="24"/>
                <w:szCs w:val="24"/>
                <w:highlight w:val="none"/>
              </w:rPr>
            </w:pPr>
          </w:p>
        </w:tc>
        <w:tc>
          <w:tcPr>
            <w:tcW w:w="394" w:type="pct"/>
            <w:noWrap w:val="0"/>
            <w:vAlign w:val="center"/>
          </w:tcPr>
          <w:p>
            <w:pPr>
              <w:spacing w:line="440" w:lineRule="exact"/>
              <w:jc w:val="center"/>
              <w:rPr>
                <w:rFonts w:hint="eastAsia" w:ascii="宋体" w:hAnsi="宋体" w:eastAsia="宋体" w:cs="宋体"/>
                <w:color w:val="auto"/>
                <w:sz w:val="24"/>
                <w:szCs w:val="24"/>
                <w:highlight w:val="none"/>
              </w:rPr>
            </w:pPr>
          </w:p>
        </w:tc>
        <w:tc>
          <w:tcPr>
            <w:tcW w:w="480" w:type="pct"/>
            <w:gridSpan w:val="2"/>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p>
        </w:tc>
        <w:tc>
          <w:tcPr>
            <w:tcW w:w="1325" w:type="pct"/>
            <w:gridSpan w:val="3"/>
            <w:noWrap w:val="0"/>
            <w:vAlign w:val="center"/>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（2）环保产品明细清单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915"/>
        <w:gridCol w:w="1239"/>
        <w:gridCol w:w="1600"/>
        <w:gridCol w:w="1602"/>
        <w:gridCol w:w="648"/>
        <w:gridCol w:w="726"/>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537"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727"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939"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中国环境标志认证证书编号</w:t>
            </w:r>
          </w:p>
        </w:tc>
        <w:tc>
          <w:tcPr>
            <w:tcW w:w="940"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c>
          <w:tcPr>
            <w:tcW w:w="380"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426"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515" w:type="pc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rFonts w:hint="eastAsia" w:ascii="宋体" w:hAnsi="宋体" w:eastAsia="宋体" w:cs="宋体"/>
                <w:color w:val="auto"/>
                <w:sz w:val="24"/>
                <w:szCs w:val="24"/>
                <w:highlight w:val="none"/>
              </w:rPr>
            </w:pPr>
          </w:p>
        </w:tc>
        <w:tc>
          <w:tcPr>
            <w:tcW w:w="537" w:type="pct"/>
            <w:noWrap w:val="0"/>
            <w:vAlign w:val="center"/>
          </w:tcPr>
          <w:p>
            <w:pPr>
              <w:spacing w:line="440" w:lineRule="exact"/>
              <w:jc w:val="center"/>
              <w:rPr>
                <w:rFonts w:hint="eastAsia" w:ascii="宋体" w:hAnsi="宋体" w:eastAsia="宋体" w:cs="宋体"/>
                <w:color w:val="auto"/>
                <w:sz w:val="24"/>
                <w:szCs w:val="24"/>
                <w:highlight w:val="none"/>
              </w:rPr>
            </w:pPr>
          </w:p>
        </w:tc>
        <w:tc>
          <w:tcPr>
            <w:tcW w:w="727" w:type="pct"/>
            <w:noWrap w:val="0"/>
            <w:vAlign w:val="center"/>
          </w:tcPr>
          <w:p>
            <w:pPr>
              <w:spacing w:line="440" w:lineRule="exact"/>
              <w:jc w:val="center"/>
              <w:rPr>
                <w:rFonts w:hint="eastAsia" w:ascii="宋体" w:hAnsi="宋体" w:eastAsia="宋体" w:cs="宋体"/>
                <w:color w:val="auto"/>
                <w:sz w:val="24"/>
                <w:szCs w:val="24"/>
                <w:highlight w:val="none"/>
              </w:rPr>
            </w:pPr>
          </w:p>
        </w:tc>
        <w:tc>
          <w:tcPr>
            <w:tcW w:w="939" w:type="pct"/>
            <w:noWrap w:val="0"/>
            <w:vAlign w:val="center"/>
          </w:tcPr>
          <w:p>
            <w:pPr>
              <w:spacing w:line="440" w:lineRule="exact"/>
              <w:jc w:val="center"/>
              <w:rPr>
                <w:rFonts w:hint="eastAsia" w:ascii="宋体" w:hAnsi="宋体" w:eastAsia="宋体" w:cs="宋体"/>
                <w:color w:val="auto"/>
                <w:sz w:val="24"/>
                <w:szCs w:val="24"/>
                <w:highlight w:val="none"/>
              </w:rPr>
            </w:pPr>
          </w:p>
        </w:tc>
        <w:tc>
          <w:tcPr>
            <w:tcW w:w="940" w:type="pct"/>
            <w:noWrap w:val="0"/>
            <w:vAlign w:val="center"/>
          </w:tcPr>
          <w:p>
            <w:pPr>
              <w:spacing w:line="440" w:lineRule="exact"/>
              <w:jc w:val="center"/>
              <w:rPr>
                <w:rFonts w:hint="eastAsia" w:ascii="宋体" w:hAnsi="宋体" w:eastAsia="宋体" w:cs="宋体"/>
                <w:color w:val="auto"/>
                <w:sz w:val="24"/>
                <w:szCs w:val="24"/>
                <w:highlight w:val="none"/>
              </w:rPr>
            </w:pPr>
          </w:p>
        </w:tc>
        <w:tc>
          <w:tcPr>
            <w:tcW w:w="380" w:type="pct"/>
            <w:noWrap w:val="0"/>
            <w:vAlign w:val="center"/>
          </w:tcPr>
          <w:p>
            <w:pPr>
              <w:spacing w:line="440" w:lineRule="exact"/>
              <w:jc w:val="center"/>
              <w:rPr>
                <w:rFonts w:hint="eastAsia" w:ascii="宋体" w:hAnsi="宋体" w:eastAsia="宋体" w:cs="宋体"/>
                <w:color w:val="auto"/>
                <w:sz w:val="24"/>
                <w:szCs w:val="24"/>
                <w:highlight w:val="none"/>
              </w:rPr>
            </w:pPr>
          </w:p>
        </w:tc>
        <w:tc>
          <w:tcPr>
            <w:tcW w:w="426" w:type="pct"/>
            <w:noWrap w:val="0"/>
            <w:vAlign w:val="center"/>
          </w:tcPr>
          <w:p>
            <w:pPr>
              <w:spacing w:line="440" w:lineRule="exact"/>
              <w:jc w:val="center"/>
              <w:rPr>
                <w:rFonts w:hint="eastAsia" w:ascii="宋体" w:hAnsi="宋体" w:eastAsia="宋体" w:cs="宋体"/>
                <w:color w:val="auto"/>
                <w:sz w:val="24"/>
                <w:szCs w:val="24"/>
                <w:highlight w:val="none"/>
              </w:rPr>
            </w:pPr>
          </w:p>
        </w:tc>
        <w:tc>
          <w:tcPr>
            <w:tcW w:w="515" w:type="pct"/>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rFonts w:hint="eastAsia" w:ascii="宋体" w:hAnsi="宋体" w:eastAsia="宋体" w:cs="宋体"/>
                <w:color w:val="auto"/>
                <w:sz w:val="24"/>
                <w:szCs w:val="24"/>
                <w:highlight w:val="none"/>
              </w:rPr>
            </w:pPr>
          </w:p>
        </w:tc>
        <w:tc>
          <w:tcPr>
            <w:tcW w:w="537" w:type="pct"/>
            <w:noWrap w:val="0"/>
            <w:vAlign w:val="center"/>
          </w:tcPr>
          <w:p>
            <w:pPr>
              <w:spacing w:line="440" w:lineRule="exact"/>
              <w:jc w:val="center"/>
              <w:rPr>
                <w:rFonts w:hint="eastAsia" w:ascii="宋体" w:hAnsi="宋体" w:eastAsia="宋体" w:cs="宋体"/>
                <w:color w:val="auto"/>
                <w:sz w:val="24"/>
                <w:szCs w:val="24"/>
                <w:highlight w:val="none"/>
              </w:rPr>
            </w:pPr>
          </w:p>
        </w:tc>
        <w:tc>
          <w:tcPr>
            <w:tcW w:w="727" w:type="pct"/>
            <w:noWrap w:val="0"/>
            <w:vAlign w:val="center"/>
          </w:tcPr>
          <w:p>
            <w:pPr>
              <w:spacing w:line="440" w:lineRule="exact"/>
              <w:jc w:val="center"/>
              <w:rPr>
                <w:rFonts w:hint="eastAsia" w:ascii="宋体" w:hAnsi="宋体" w:eastAsia="宋体" w:cs="宋体"/>
                <w:color w:val="auto"/>
                <w:sz w:val="24"/>
                <w:szCs w:val="24"/>
                <w:highlight w:val="none"/>
              </w:rPr>
            </w:pPr>
          </w:p>
        </w:tc>
        <w:tc>
          <w:tcPr>
            <w:tcW w:w="939" w:type="pct"/>
            <w:noWrap w:val="0"/>
            <w:vAlign w:val="center"/>
          </w:tcPr>
          <w:p>
            <w:pPr>
              <w:spacing w:line="440" w:lineRule="exact"/>
              <w:jc w:val="center"/>
              <w:rPr>
                <w:rFonts w:hint="eastAsia" w:ascii="宋体" w:hAnsi="宋体" w:eastAsia="宋体" w:cs="宋体"/>
                <w:color w:val="auto"/>
                <w:sz w:val="24"/>
                <w:szCs w:val="24"/>
                <w:highlight w:val="none"/>
              </w:rPr>
            </w:pPr>
          </w:p>
        </w:tc>
        <w:tc>
          <w:tcPr>
            <w:tcW w:w="940" w:type="pct"/>
            <w:noWrap w:val="0"/>
            <w:vAlign w:val="center"/>
          </w:tcPr>
          <w:p>
            <w:pPr>
              <w:spacing w:line="440" w:lineRule="exact"/>
              <w:jc w:val="center"/>
              <w:rPr>
                <w:rFonts w:hint="eastAsia" w:ascii="宋体" w:hAnsi="宋体" w:eastAsia="宋体" w:cs="宋体"/>
                <w:color w:val="auto"/>
                <w:sz w:val="24"/>
                <w:szCs w:val="24"/>
                <w:highlight w:val="none"/>
              </w:rPr>
            </w:pPr>
          </w:p>
        </w:tc>
        <w:tc>
          <w:tcPr>
            <w:tcW w:w="380" w:type="pct"/>
            <w:noWrap w:val="0"/>
            <w:vAlign w:val="center"/>
          </w:tcPr>
          <w:p>
            <w:pPr>
              <w:spacing w:line="440" w:lineRule="exact"/>
              <w:jc w:val="center"/>
              <w:rPr>
                <w:rFonts w:hint="eastAsia" w:ascii="宋体" w:hAnsi="宋体" w:eastAsia="宋体" w:cs="宋体"/>
                <w:color w:val="auto"/>
                <w:sz w:val="24"/>
                <w:szCs w:val="24"/>
                <w:highlight w:val="none"/>
              </w:rPr>
            </w:pPr>
          </w:p>
        </w:tc>
        <w:tc>
          <w:tcPr>
            <w:tcW w:w="426" w:type="pct"/>
            <w:noWrap w:val="0"/>
            <w:vAlign w:val="center"/>
          </w:tcPr>
          <w:p>
            <w:pPr>
              <w:spacing w:line="440" w:lineRule="exact"/>
              <w:jc w:val="center"/>
              <w:rPr>
                <w:rFonts w:hint="eastAsia" w:ascii="宋体" w:hAnsi="宋体" w:eastAsia="宋体" w:cs="宋体"/>
                <w:color w:val="auto"/>
                <w:sz w:val="24"/>
                <w:szCs w:val="24"/>
                <w:highlight w:val="none"/>
              </w:rPr>
            </w:pPr>
          </w:p>
        </w:tc>
        <w:tc>
          <w:tcPr>
            <w:tcW w:w="515" w:type="pct"/>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p>
        </w:tc>
        <w:tc>
          <w:tcPr>
            <w:tcW w:w="1320" w:type="pct"/>
            <w:gridSpan w:val="3"/>
            <w:noWrap w:val="0"/>
            <w:vAlign w:val="center"/>
          </w:tcPr>
          <w:p>
            <w:pPr>
              <w:spacing w:line="440" w:lineRule="exact"/>
              <w:rPr>
                <w:rFonts w:hint="eastAsia" w:ascii="宋体" w:hAnsi="宋体" w:eastAsia="宋体" w:cs="宋体"/>
                <w:color w:val="auto"/>
                <w:sz w:val="24"/>
                <w:szCs w:val="24"/>
                <w:highlight w:val="none"/>
              </w:rPr>
            </w:pPr>
          </w:p>
        </w:tc>
      </w:tr>
    </w:tbl>
    <w:p>
      <w:pP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tabs>
          <w:tab w:val="left" w:pos="13000"/>
        </w:tabs>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若无货物属于优先采购节能、环境标志产品的，则不填写此表。</w:t>
      </w:r>
    </w:p>
    <w:p>
      <w:pPr>
        <w:adjustRightInd w:val="0"/>
        <w:snapToGrid w:val="0"/>
        <w:spacing w:line="440" w:lineRule="exact"/>
        <w:rPr>
          <w:rFonts w:hint="eastAsia" w:ascii="宋体" w:hAnsi="宋体" w:eastAsia="宋体" w:cs="宋体"/>
          <w:color w:val="auto"/>
          <w:sz w:val="24"/>
          <w:szCs w:val="24"/>
          <w:highlight w:val="none"/>
        </w:rPr>
      </w:pP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投标人（加盖公章）：</w:t>
      </w: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40" w:lineRule="exact"/>
        <w:ind w:right="24"/>
        <w:rPr>
          <w:rFonts w:hint="eastAsia" w:ascii="宋体" w:hAnsi="宋体" w:eastAsia="宋体" w:cs="宋体"/>
          <w:color w:val="auto"/>
          <w:highlight w:val="none"/>
        </w:rPr>
      </w:pPr>
    </w:p>
    <w:p>
      <w:pPr>
        <w:adjustRightInd w:val="0"/>
        <w:snapToGrid w:val="0"/>
        <w:spacing w:line="440" w:lineRule="exact"/>
        <w:ind w:right="24"/>
        <w:jc w:val="center"/>
        <w:outlineLvl w:val="0"/>
        <w:rPr>
          <w:rFonts w:hint="eastAsia" w:ascii="宋体" w:hAnsi="宋体" w:eastAsia="宋体" w:cs="宋体"/>
          <w:b/>
          <w:bCs/>
          <w:color w:val="auto"/>
          <w:sz w:val="32"/>
          <w:szCs w:val="32"/>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 xml:space="preserve">附件2-6  </w:t>
      </w:r>
      <w:r>
        <w:rPr>
          <w:rFonts w:hint="eastAsia" w:ascii="宋体" w:hAnsi="宋体" w:eastAsia="宋体" w:cs="宋体"/>
          <w:b/>
          <w:color w:val="auto"/>
          <w:sz w:val="32"/>
          <w:szCs w:val="32"/>
          <w:highlight w:val="none"/>
        </w:rPr>
        <w:t>节能、环境标志产品证明材料</w:t>
      </w:r>
    </w:p>
    <w:p>
      <w:pPr>
        <w:adjustRightInd w:val="0"/>
        <w:snapToGrid w:val="0"/>
        <w:spacing w:line="440" w:lineRule="exact"/>
        <w:ind w:right="24"/>
        <w:rPr>
          <w:rFonts w:hint="eastAsia" w:ascii="宋体" w:hAnsi="宋体" w:eastAsia="宋体" w:cs="宋体"/>
          <w:bCs/>
          <w:color w:val="auto"/>
          <w:highlight w:val="none"/>
        </w:rPr>
      </w:pP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1.节能产品：应在</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 http://www.ccgp.gov.cn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2.环境标志产品：应在</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 http://www.ccgp.gov.cn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3.属优先采购节能、环境标志产品须从以上权威媒体网站上查询并打印结果。</w:t>
      </w:r>
    </w:p>
    <w:p>
      <w:pPr>
        <w:spacing w:line="440" w:lineRule="exact"/>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4.证明材料加盖投标人公章。</w:t>
      </w:r>
    </w:p>
    <w:p>
      <w:pPr>
        <w:jc w:val="center"/>
        <w:outlineLvl w:val="0"/>
        <w:rPr>
          <w:rFonts w:hint="eastAsia" w:ascii="宋体" w:hAnsi="宋体" w:eastAsia="宋体" w:cs="宋体"/>
          <w:color w:val="auto"/>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0"/>
          <w:szCs w:val="30"/>
          <w:highlight w:val="none"/>
        </w:rPr>
        <w:t xml:space="preserve">附件2-7    </w:t>
      </w:r>
      <w:r>
        <w:rPr>
          <w:rFonts w:hint="eastAsia" w:ascii="宋体" w:hAnsi="宋体" w:eastAsia="宋体" w:cs="宋体"/>
          <w:b/>
          <w:color w:val="auto"/>
          <w:sz w:val="32"/>
          <w:szCs w:val="32"/>
          <w:highlight w:val="none"/>
        </w:rPr>
        <w:t>中小微企业声明函</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中小微企业声明函（服务）</w:t>
      </w:r>
    </w:p>
    <w:p>
      <w:pPr>
        <w:jc w:val="center"/>
        <w:rPr>
          <w:rFonts w:hint="eastAsia" w:ascii="宋体" w:hAnsi="宋体" w:eastAsia="宋体" w:cs="宋体"/>
          <w:color w:val="auto"/>
          <w:sz w:val="24"/>
          <w:highlight w:val="none"/>
        </w:rPr>
      </w:pPr>
    </w:p>
    <w:p>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本公司郑重声明， 根据《政府采购促进中小企业发展管理办法》（财库﹝ 2020﹞ 46 号） 的规定， 本公司参加</w:t>
      </w:r>
      <w:r>
        <w:rPr>
          <w:rFonts w:hint="eastAsia" w:ascii="宋体" w:hAnsi="宋体" w:eastAsia="宋体" w:cs="宋体"/>
          <w:b w:val="0"/>
          <w:bCs w:val="0"/>
          <w:color w:val="auto"/>
          <w:sz w:val="24"/>
          <w:szCs w:val="24"/>
          <w:highlight w:val="none"/>
          <w:lang w:val="en-US" w:eastAsia="zh-CN"/>
        </w:rPr>
        <w:t>2022年水磨沟区道路公共绿地市场化养护</w:t>
      </w:r>
      <w:r>
        <w:rPr>
          <w:rFonts w:hint="eastAsia" w:ascii="宋体" w:hAnsi="宋体" w:eastAsia="宋体" w:cs="宋体"/>
          <w:color w:val="auto"/>
          <w:kern w:val="0"/>
          <w:sz w:val="24"/>
          <w:highlight w:val="none"/>
          <w:lang w:eastAsia="zh-CN"/>
        </w:rPr>
        <w:t>采购项目</w:t>
      </w:r>
      <w:r>
        <w:rPr>
          <w:rFonts w:hint="eastAsia" w:ascii="宋体" w:hAnsi="宋体" w:eastAsia="宋体" w:cs="宋体"/>
          <w:color w:val="auto"/>
          <w:kern w:val="0"/>
          <w:sz w:val="24"/>
          <w:highlight w:val="none"/>
        </w:rPr>
        <w:t>采购项目采购活动， 工程的施工单位为符合政策要求的中小企业。企业的具体情况如下：</w:t>
      </w:r>
    </w:p>
    <w:p>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 xml:space="preserve"> ， 属于</w:t>
      </w:r>
      <w:r>
        <w:rPr>
          <w:rFonts w:hint="eastAsia" w:ascii="宋体" w:hAnsi="宋体" w:eastAsia="宋体" w:cs="宋体"/>
          <w:color w:val="auto"/>
          <w:kern w:val="0"/>
          <w:sz w:val="24"/>
          <w:highlight w:val="none"/>
          <w:u w:val="single"/>
        </w:rPr>
        <w:t>（采购文件中明确的所属行业）行业</w:t>
      </w:r>
      <w:r>
        <w:rPr>
          <w:rFonts w:hint="eastAsia" w:ascii="宋体" w:hAnsi="宋体" w:eastAsia="宋体" w:cs="宋体"/>
          <w:color w:val="auto"/>
          <w:kern w:val="0"/>
          <w:sz w:val="24"/>
          <w:highlight w:val="none"/>
        </w:rPr>
        <w:t>； 承接企业为</w:t>
      </w:r>
      <w:r>
        <w:rPr>
          <w:rFonts w:hint="eastAsia" w:ascii="宋体" w:hAnsi="宋体" w:eastAsia="宋体" w:cs="宋体"/>
          <w:color w:val="auto"/>
          <w:kern w:val="0"/>
          <w:sz w:val="24"/>
          <w:highlight w:val="none"/>
          <w:u w:val="single"/>
        </w:rPr>
        <w:t>（ 企业名称）</w:t>
      </w:r>
      <w:r>
        <w:rPr>
          <w:rFonts w:hint="eastAsia" w:ascii="宋体" w:hAnsi="宋体" w:eastAsia="宋体" w:cs="宋体"/>
          <w:color w:val="auto"/>
          <w:kern w:val="0"/>
          <w:sz w:val="24"/>
          <w:highlight w:val="none"/>
        </w:rPr>
        <w:t>， 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 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 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w:t>
      </w:r>
      <w:r>
        <w:rPr>
          <w:rFonts w:hint="eastAsia" w:ascii="宋体" w:hAnsi="宋体" w:eastAsia="宋体" w:cs="宋体"/>
          <w:color w:val="auto"/>
          <w:kern w:val="0"/>
          <w:sz w:val="24"/>
          <w:highlight w:val="none"/>
          <w:vertAlign w:val="superscript"/>
        </w:rPr>
        <w:t>1</w:t>
      </w:r>
      <w:r>
        <w:rPr>
          <w:rFonts w:hint="eastAsia" w:ascii="宋体" w:hAnsi="宋体" w:eastAsia="宋体" w:cs="宋体"/>
          <w:color w:val="auto"/>
          <w:kern w:val="0"/>
          <w:sz w:val="24"/>
          <w:highlight w:val="none"/>
        </w:rPr>
        <w:t>， 属于（</w:t>
      </w:r>
      <w:r>
        <w:rPr>
          <w:rFonts w:hint="eastAsia" w:ascii="宋体" w:hAnsi="宋体" w:eastAsia="宋体" w:cs="宋体"/>
          <w:color w:val="auto"/>
          <w:kern w:val="0"/>
          <w:sz w:val="24"/>
          <w:highlight w:val="none"/>
          <w:u w:val="single"/>
        </w:rPr>
        <w:t>中型企业、 小型企业、 微型企业</w:t>
      </w:r>
      <w:r>
        <w:rPr>
          <w:rFonts w:hint="eastAsia" w:ascii="宋体" w:hAnsi="宋体" w:eastAsia="宋体" w:cs="宋体"/>
          <w:color w:val="auto"/>
          <w:kern w:val="0"/>
          <w:sz w:val="24"/>
          <w:highlight w:val="none"/>
        </w:rPr>
        <w:t>）；</w:t>
      </w:r>
    </w:p>
    <w:p>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 如有虚假，将依法承担相应责任。</w:t>
      </w:r>
    </w:p>
    <w:p>
      <w:pPr>
        <w:widowControl/>
        <w:wordWrap w:val="0"/>
        <w:spacing w:line="360" w:lineRule="auto"/>
        <w:ind w:firstLine="480" w:firstLineChars="200"/>
        <w:jc w:val="right"/>
        <w:rPr>
          <w:rFonts w:hint="eastAsia" w:ascii="宋体" w:hAnsi="宋体" w:eastAsia="宋体" w:cs="宋体"/>
          <w:color w:val="auto"/>
          <w:kern w:val="0"/>
          <w:sz w:val="24"/>
          <w:highlight w:val="none"/>
        </w:rPr>
      </w:pPr>
    </w:p>
    <w:p>
      <w:pPr>
        <w:widowControl/>
        <w:wordWrap w:val="0"/>
        <w:spacing w:line="360" w:lineRule="auto"/>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企业名称（盖章）：</w:t>
      </w:r>
    </w:p>
    <w:p>
      <w:pPr>
        <w:widowControl/>
        <w:wordWrap w:val="0"/>
        <w:spacing w:line="360" w:lineRule="auto"/>
        <w:ind w:firstLine="480" w:firstLineChars="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vertAlign w:val="superscript"/>
        </w:rPr>
        <w:t>1</w:t>
      </w:r>
      <w:r>
        <w:rPr>
          <w:rFonts w:hint="eastAsia" w:ascii="宋体" w:hAnsi="宋体" w:eastAsia="宋体" w:cs="宋体"/>
          <w:color w:val="auto"/>
          <w:kern w:val="0"/>
          <w:sz w:val="24"/>
          <w:highlight w:val="none"/>
        </w:rPr>
        <w:t>从业人员、 营业收入、 资产总额填报上一年度数据， 无上一年度数据的新成立企业可不填报。</w:t>
      </w:r>
    </w:p>
    <w:p>
      <w:pPr>
        <w:tabs>
          <w:tab w:val="left" w:pos="3777"/>
          <w:tab w:val="center" w:pos="4819"/>
        </w:tabs>
        <w:spacing w:line="360" w:lineRule="auto"/>
        <w:ind w:firstLine="1575" w:firstLineChars="750"/>
        <w:jc w:val="both"/>
        <w:outlineLvl w:val="0"/>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lang w:val="en-US" w:eastAsia="zh-CN"/>
        </w:rPr>
        <w:t xml:space="preserve">         </w:t>
      </w:r>
      <w:r>
        <w:rPr>
          <w:rFonts w:hint="eastAsia" w:ascii="宋体" w:hAnsi="宋体" w:eastAsia="宋体" w:cs="宋体"/>
          <w:b/>
          <w:color w:val="auto"/>
          <w:sz w:val="30"/>
          <w:szCs w:val="30"/>
          <w:highlight w:val="none"/>
        </w:rPr>
        <w:t xml:space="preserve">附件2-8  </w:t>
      </w:r>
      <w:r>
        <w:rPr>
          <w:rFonts w:hint="eastAsia" w:ascii="宋体" w:hAnsi="宋体" w:eastAsia="宋体" w:cs="宋体"/>
          <w:b/>
          <w:color w:val="auto"/>
          <w:sz w:val="32"/>
          <w:szCs w:val="32"/>
          <w:highlight w:val="none"/>
        </w:rPr>
        <w:t>监狱企业声明函</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本公司郑重声明，根据《关于政府采购支持监狱企业发展有关问题的通知》（财库[2014]68号）的规定，本公司为监狱企业。</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本公司参加______单位的______项目采购活动，采购活动提供本企业（填写制造的货物，由本企业承担工程、提供服务）。</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本条所称货物不包括使用大型企业注册商标的货物和服务。</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pPr>
        <w:spacing w:line="360" w:lineRule="auto"/>
        <w:ind w:firstLine="4860" w:firstLineChars="2025"/>
        <w:rPr>
          <w:rFonts w:hint="eastAsia" w:ascii="宋体" w:hAnsi="宋体" w:eastAsia="宋体" w:cs="宋体"/>
          <w:color w:val="auto"/>
          <w:sz w:val="24"/>
          <w:szCs w:val="24"/>
          <w:highlight w:val="none"/>
        </w:rPr>
      </w:pPr>
    </w:p>
    <w:p>
      <w:pPr>
        <w:spacing w:line="360" w:lineRule="auto"/>
        <w:ind w:firstLine="4860" w:firstLineChars="20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企业名称（加盖公章）：</w:t>
      </w:r>
    </w:p>
    <w:p>
      <w:pPr>
        <w:spacing w:line="360" w:lineRule="auto"/>
        <w:ind w:firstLine="4860" w:firstLineChars="20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法定代表人（负责人）或其授权代表(签字)：</w:t>
      </w:r>
    </w:p>
    <w:p>
      <w:pPr>
        <w:tabs>
          <w:tab w:val="left" w:pos="2880"/>
        </w:tabs>
        <w:spacing w:line="460" w:lineRule="atLeas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注：后附监狱企业资格证明文件</w:t>
      </w:r>
    </w:p>
    <w:p>
      <w:pPr>
        <w:spacing w:line="440" w:lineRule="exact"/>
        <w:ind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省级以上监狱管理局、戒毒管理局（含新疆生产建设兵团）出具的属于监狱企业的证明文件；</w:t>
      </w:r>
    </w:p>
    <w:p>
      <w:pPr>
        <w:tabs>
          <w:tab w:val="left" w:pos="2880"/>
        </w:tabs>
        <w:spacing w:line="460" w:lineRule="atLeast"/>
        <w:ind w:firstLine="566" w:firstLineChars="236"/>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2.证明材料加盖供应商公章。</w:t>
      </w:r>
    </w:p>
    <w:p>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（若响应性文件中无上述证明文件，则在评审时不考虑对该监狱企业的相关优惠。） </w:t>
      </w:r>
    </w:p>
    <w:p>
      <w:pPr>
        <w:tabs>
          <w:tab w:val="left" w:pos="3600"/>
        </w:tabs>
        <w:adjustRightInd w:val="0"/>
        <w:snapToGrid w:val="0"/>
        <w:spacing w:line="440" w:lineRule="exact"/>
        <w:jc w:val="center"/>
        <w:outlineLvl w:val="0"/>
        <w:rPr>
          <w:rFonts w:hint="eastAsia" w:ascii="宋体" w:hAnsi="宋体" w:eastAsia="宋体" w:cs="宋体"/>
          <w:b/>
          <w:bCs/>
          <w:color w:val="auto"/>
          <w:spacing w:val="6"/>
          <w:sz w:val="32"/>
          <w:szCs w:val="32"/>
          <w:highlight w:val="none"/>
        </w:rPr>
      </w:pPr>
      <w:r>
        <w:rPr>
          <w:rFonts w:hint="eastAsia" w:ascii="宋体" w:hAnsi="宋体" w:eastAsia="宋体" w:cs="宋体"/>
          <w:b/>
          <w:color w:val="auto"/>
          <w:sz w:val="30"/>
          <w:szCs w:val="30"/>
          <w:highlight w:val="none"/>
        </w:rPr>
        <w:t xml:space="preserve">附件2-9  </w:t>
      </w:r>
      <w:r>
        <w:rPr>
          <w:rFonts w:hint="eastAsia" w:ascii="宋体" w:hAnsi="宋体" w:eastAsia="宋体" w:cs="宋体"/>
          <w:b/>
          <w:bCs/>
          <w:color w:val="auto"/>
          <w:spacing w:val="6"/>
          <w:sz w:val="32"/>
          <w:szCs w:val="32"/>
          <w:highlight w:val="none"/>
        </w:rPr>
        <w:t>残疾人福利性单位声明函</w:t>
      </w:r>
    </w:p>
    <w:p>
      <w:pPr>
        <w:autoSpaceDE w:val="0"/>
        <w:autoSpaceDN w:val="0"/>
        <w:adjustRightInd w:val="0"/>
        <w:spacing w:line="440" w:lineRule="exact"/>
        <w:rPr>
          <w:rFonts w:hint="eastAsia" w:ascii="宋体" w:hAnsi="宋体" w:eastAsia="宋体" w:cs="宋体"/>
          <w:b/>
          <w:bCs/>
          <w:color w:val="auto"/>
          <w:spacing w:val="6"/>
          <w:highlight w:val="none"/>
        </w:rPr>
      </w:pP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本单位对上述声明的真实性负责。如有虚假，将依法承担相应责任。 </w:t>
      </w:r>
    </w:p>
    <w:p>
      <w:pPr>
        <w:adjustRightInd w:val="0"/>
        <w:snapToGrid w:val="0"/>
        <w:spacing w:line="440" w:lineRule="exact"/>
        <w:ind w:firstLine="5544" w:firstLineChars="2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spacing w:line="460" w:lineRule="atLeast"/>
        <w:jc w:val="center"/>
        <w:rPr>
          <w:rFonts w:hint="eastAsia" w:ascii="宋体" w:hAnsi="宋体" w:eastAsia="宋体" w:cs="宋体"/>
          <w:b/>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 xml:space="preserve">附件2-10  </w:t>
      </w:r>
      <w:r>
        <w:rPr>
          <w:rFonts w:hint="eastAsia" w:ascii="宋体" w:hAnsi="宋体" w:eastAsia="宋体" w:cs="宋体"/>
          <w:b/>
          <w:color w:val="auto"/>
          <w:sz w:val="30"/>
          <w:szCs w:val="30"/>
          <w:highlight w:val="none"/>
          <w:lang w:val="en-US" w:eastAsia="zh-CN"/>
        </w:rPr>
        <w:t>拟投入绿化养护人员名单</w:t>
      </w:r>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widowControl/>
        <w:numPr>
          <w:ilvl w:val="0"/>
          <w:numId w:val="0"/>
        </w:numPr>
        <w:spacing w:line="440" w:lineRule="exact"/>
        <w:ind w:leftChars="0"/>
        <w:jc w:val="left"/>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项目负责人简历表</w:t>
      </w:r>
    </w:p>
    <w:tbl>
      <w:tblPr>
        <w:tblStyle w:val="14"/>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p>
            <w:pPr>
              <w:spacing w:line="440" w:lineRule="exact"/>
              <w:rPr>
                <w:rFonts w:hint="eastAsia" w:ascii="宋体" w:hAnsi="宋体" w:eastAsia="宋体" w:cs="宋体"/>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bl>
    <w:tbl>
      <w:tblPr>
        <w:tblStyle w:val="14"/>
        <w:tblpPr w:leftFromText="180" w:rightFromText="180" w:vertAnchor="text" w:horzAnchor="page" w:tblpX="1117" w:tblpY="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909"/>
        <w:gridCol w:w="899"/>
        <w:gridCol w:w="1441"/>
        <w:gridCol w:w="1799"/>
        <w:gridCol w:w="3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职 称</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现场承担工作</w:t>
            </w:r>
          </w:p>
        </w:tc>
        <w:tc>
          <w:tcPr>
            <w:tcW w:w="39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资历及近年参加绿化养护的个数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398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398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398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9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398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9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c>
          <w:tcPr>
            <w:tcW w:w="398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eastAsia="宋体" w:cs="宋体"/>
                <w:color w:val="auto"/>
                <w:sz w:val="24"/>
                <w:highlight w:val="none"/>
              </w:rPr>
            </w:pPr>
          </w:p>
        </w:tc>
      </w:tr>
    </w:tbl>
    <w:p>
      <w:pPr>
        <w:autoSpaceDE w:val="0"/>
        <w:autoSpaceDN w:val="0"/>
        <w:adjustRightInd w:val="0"/>
        <w:spacing w:line="440" w:lineRule="exact"/>
        <w:rPr>
          <w:rFonts w:hint="eastAsia" w:ascii="宋体" w:hAnsi="宋体" w:eastAsia="宋体" w:cs="宋体"/>
          <w:b/>
          <w:bCs/>
          <w:color w:val="auto"/>
          <w:sz w:val="24"/>
          <w:szCs w:val="24"/>
          <w:highlight w:val="none"/>
        </w:rPr>
      </w:pPr>
    </w:p>
    <w:p>
      <w:pPr>
        <w:autoSpaceDE w:val="0"/>
        <w:autoSpaceDN w:val="0"/>
        <w:adjustRightInd w:val="0"/>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highlight w:val="none"/>
        </w:rPr>
        <w:t>拟投入本项目的主要成员表</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pPr>
        <w:adjustRightInd w:val="0"/>
        <w:snapToGrid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后附人员相关资格证书复印件</w:t>
      </w:r>
    </w:p>
    <w:p>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45" w:name="_Toc31349"/>
      <w:r>
        <w:rPr>
          <w:rFonts w:hint="eastAsia" w:ascii="宋体" w:hAnsi="宋体" w:eastAsia="宋体" w:cs="宋体"/>
          <w:b/>
          <w:color w:val="auto"/>
          <w:sz w:val="30"/>
          <w:szCs w:val="30"/>
          <w:highlight w:val="none"/>
        </w:rPr>
        <w:t>附件2-1</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sz w:val="32"/>
          <w:szCs w:val="32"/>
          <w:highlight w:val="none"/>
        </w:rPr>
        <w:t>拟投入绿化养护设备一览表</w:t>
      </w:r>
      <w:bookmarkEnd w:id="4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744"/>
        <w:gridCol w:w="3315"/>
        <w:gridCol w:w="3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2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4"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3315"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设备数量</w:t>
            </w:r>
          </w:p>
        </w:tc>
        <w:tc>
          <w:tcPr>
            <w:tcW w:w="3668"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12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44" w:type="dxa"/>
            <w:noWrap w:val="0"/>
            <w:vAlign w:val="center"/>
          </w:tcPr>
          <w:p>
            <w:pPr>
              <w:spacing w:line="440" w:lineRule="exact"/>
              <w:jc w:val="center"/>
              <w:rPr>
                <w:rFonts w:hint="eastAsia" w:ascii="宋体" w:hAnsi="宋体" w:eastAsia="宋体" w:cs="宋体"/>
                <w:color w:val="auto"/>
                <w:sz w:val="24"/>
                <w:highlight w:val="none"/>
              </w:rPr>
            </w:pPr>
          </w:p>
        </w:tc>
        <w:tc>
          <w:tcPr>
            <w:tcW w:w="3315" w:type="dxa"/>
            <w:noWrap w:val="0"/>
            <w:vAlign w:val="center"/>
          </w:tcPr>
          <w:p>
            <w:pPr>
              <w:spacing w:line="440" w:lineRule="exact"/>
              <w:jc w:val="center"/>
              <w:rPr>
                <w:rFonts w:hint="eastAsia" w:ascii="宋体" w:hAnsi="宋体" w:eastAsia="宋体" w:cs="宋体"/>
                <w:color w:val="auto"/>
                <w:sz w:val="24"/>
                <w:highlight w:val="none"/>
              </w:rPr>
            </w:pPr>
          </w:p>
        </w:tc>
        <w:tc>
          <w:tcPr>
            <w:tcW w:w="3668" w:type="dxa"/>
            <w:noWrap w:val="0"/>
            <w:vAlign w:val="center"/>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2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44" w:type="dxa"/>
            <w:noWrap w:val="0"/>
            <w:vAlign w:val="center"/>
          </w:tcPr>
          <w:p>
            <w:pPr>
              <w:spacing w:line="440" w:lineRule="exact"/>
              <w:jc w:val="center"/>
              <w:rPr>
                <w:rFonts w:hint="eastAsia" w:ascii="宋体" w:hAnsi="宋体" w:eastAsia="宋体" w:cs="宋体"/>
                <w:color w:val="auto"/>
                <w:sz w:val="24"/>
                <w:highlight w:val="none"/>
              </w:rPr>
            </w:pPr>
          </w:p>
        </w:tc>
        <w:tc>
          <w:tcPr>
            <w:tcW w:w="3315" w:type="dxa"/>
            <w:noWrap w:val="0"/>
            <w:vAlign w:val="center"/>
          </w:tcPr>
          <w:p>
            <w:pPr>
              <w:spacing w:line="440" w:lineRule="exact"/>
              <w:jc w:val="center"/>
              <w:rPr>
                <w:rFonts w:hint="eastAsia" w:ascii="宋体" w:hAnsi="宋体" w:eastAsia="宋体" w:cs="宋体"/>
                <w:color w:val="auto"/>
                <w:sz w:val="24"/>
                <w:highlight w:val="none"/>
              </w:rPr>
            </w:pPr>
          </w:p>
        </w:tc>
        <w:tc>
          <w:tcPr>
            <w:tcW w:w="3668" w:type="dxa"/>
            <w:noWrap w:val="0"/>
            <w:vAlign w:val="center"/>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44" w:type="dxa"/>
            <w:noWrap w:val="0"/>
            <w:vAlign w:val="center"/>
          </w:tcPr>
          <w:p>
            <w:pPr>
              <w:spacing w:line="440" w:lineRule="exact"/>
              <w:jc w:val="center"/>
              <w:rPr>
                <w:rFonts w:hint="eastAsia" w:ascii="宋体" w:hAnsi="宋体" w:eastAsia="宋体" w:cs="宋体"/>
                <w:color w:val="auto"/>
                <w:sz w:val="24"/>
                <w:highlight w:val="none"/>
              </w:rPr>
            </w:pPr>
          </w:p>
        </w:tc>
        <w:tc>
          <w:tcPr>
            <w:tcW w:w="3315" w:type="dxa"/>
            <w:noWrap w:val="0"/>
            <w:vAlign w:val="center"/>
          </w:tcPr>
          <w:p>
            <w:pPr>
              <w:spacing w:line="440" w:lineRule="exact"/>
              <w:jc w:val="center"/>
              <w:rPr>
                <w:rFonts w:hint="eastAsia" w:ascii="宋体" w:hAnsi="宋体" w:eastAsia="宋体" w:cs="宋体"/>
                <w:color w:val="auto"/>
                <w:sz w:val="24"/>
                <w:highlight w:val="none"/>
              </w:rPr>
            </w:pPr>
          </w:p>
        </w:tc>
        <w:tc>
          <w:tcPr>
            <w:tcW w:w="3668" w:type="dxa"/>
            <w:noWrap w:val="0"/>
            <w:vAlign w:val="center"/>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44" w:type="dxa"/>
            <w:noWrap w:val="0"/>
            <w:vAlign w:val="center"/>
          </w:tcPr>
          <w:p>
            <w:pPr>
              <w:spacing w:line="440" w:lineRule="exact"/>
              <w:jc w:val="center"/>
              <w:rPr>
                <w:rFonts w:hint="eastAsia" w:ascii="宋体" w:hAnsi="宋体" w:eastAsia="宋体" w:cs="宋体"/>
                <w:color w:val="auto"/>
                <w:sz w:val="24"/>
                <w:highlight w:val="none"/>
              </w:rPr>
            </w:pPr>
          </w:p>
        </w:tc>
        <w:tc>
          <w:tcPr>
            <w:tcW w:w="3315" w:type="dxa"/>
            <w:noWrap w:val="0"/>
            <w:vAlign w:val="center"/>
          </w:tcPr>
          <w:p>
            <w:pPr>
              <w:spacing w:line="440" w:lineRule="exact"/>
              <w:jc w:val="center"/>
              <w:rPr>
                <w:rFonts w:hint="eastAsia" w:ascii="宋体" w:hAnsi="宋体" w:eastAsia="宋体" w:cs="宋体"/>
                <w:color w:val="auto"/>
                <w:sz w:val="24"/>
                <w:highlight w:val="none"/>
              </w:rPr>
            </w:pPr>
          </w:p>
        </w:tc>
        <w:tc>
          <w:tcPr>
            <w:tcW w:w="3668" w:type="dxa"/>
            <w:noWrap w:val="0"/>
            <w:vAlign w:val="center"/>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44" w:type="dxa"/>
            <w:noWrap w:val="0"/>
            <w:vAlign w:val="center"/>
          </w:tcPr>
          <w:p>
            <w:pPr>
              <w:spacing w:line="440" w:lineRule="exact"/>
              <w:jc w:val="center"/>
              <w:rPr>
                <w:rFonts w:hint="eastAsia" w:ascii="宋体" w:hAnsi="宋体" w:eastAsia="宋体" w:cs="宋体"/>
                <w:color w:val="auto"/>
                <w:sz w:val="24"/>
                <w:highlight w:val="none"/>
              </w:rPr>
            </w:pPr>
          </w:p>
        </w:tc>
        <w:tc>
          <w:tcPr>
            <w:tcW w:w="3315" w:type="dxa"/>
            <w:noWrap w:val="0"/>
            <w:vAlign w:val="center"/>
          </w:tcPr>
          <w:p>
            <w:pPr>
              <w:spacing w:line="440" w:lineRule="exact"/>
              <w:jc w:val="center"/>
              <w:rPr>
                <w:rFonts w:hint="eastAsia" w:ascii="宋体" w:hAnsi="宋体" w:eastAsia="宋体" w:cs="宋体"/>
                <w:color w:val="auto"/>
                <w:sz w:val="24"/>
                <w:highlight w:val="none"/>
              </w:rPr>
            </w:pPr>
          </w:p>
        </w:tc>
        <w:tc>
          <w:tcPr>
            <w:tcW w:w="3668" w:type="dxa"/>
            <w:noWrap w:val="0"/>
            <w:vAlign w:val="center"/>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744" w:type="dxa"/>
            <w:noWrap w:val="0"/>
            <w:vAlign w:val="center"/>
          </w:tcPr>
          <w:p>
            <w:pPr>
              <w:spacing w:line="440" w:lineRule="exact"/>
              <w:jc w:val="center"/>
              <w:rPr>
                <w:rFonts w:hint="eastAsia" w:ascii="宋体" w:hAnsi="宋体" w:eastAsia="宋体" w:cs="宋体"/>
                <w:color w:val="auto"/>
                <w:sz w:val="24"/>
                <w:highlight w:val="none"/>
              </w:rPr>
            </w:pPr>
          </w:p>
        </w:tc>
        <w:tc>
          <w:tcPr>
            <w:tcW w:w="3315" w:type="dxa"/>
            <w:noWrap w:val="0"/>
            <w:vAlign w:val="center"/>
          </w:tcPr>
          <w:p>
            <w:pPr>
              <w:spacing w:line="440" w:lineRule="exact"/>
              <w:jc w:val="center"/>
              <w:rPr>
                <w:rFonts w:hint="eastAsia" w:ascii="宋体" w:hAnsi="宋体" w:eastAsia="宋体" w:cs="宋体"/>
                <w:color w:val="auto"/>
                <w:sz w:val="24"/>
                <w:highlight w:val="none"/>
              </w:rPr>
            </w:pPr>
          </w:p>
        </w:tc>
        <w:tc>
          <w:tcPr>
            <w:tcW w:w="3668" w:type="dxa"/>
            <w:noWrap w:val="0"/>
            <w:vAlign w:val="center"/>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44" w:type="dxa"/>
            <w:noWrap w:val="0"/>
            <w:vAlign w:val="center"/>
          </w:tcPr>
          <w:p>
            <w:pPr>
              <w:spacing w:line="440" w:lineRule="exact"/>
              <w:jc w:val="center"/>
              <w:rPr>
                <w:rFonts w:hint="eastAsia" w:ascii="宋体" w:hAnsi="宋体" w:eastAsia="宋体" w:cs="宋体"/>
                <w:color w:val="auto"/>
                <w:sz w:val="24"/>
                <w:highlight w:val="none"/>
              </w:rPr>
            </w:pPr>
          </w:p>
        </w:tc>
        <w:tc>
          <w:tcPr>
            <w:tcW w:w="3315" w:type="dxa"/>
            <w:noWrap w:val="0"/>
            <w:vAlign w:val="center"/>
          </w:tcPr>
          <w:p>
            <w:pPr>
              <w:spacing w:line="440" w:lineRule="exact"/>
              <w:jc w:val="center"/>
              <w:rPr>
                <w:rFonts w:hint="eastAsia" w:ascii="宋体" w:hAnsi="宋体" w:eastAsia="宋体" w:cs="宋体"/>
                <w:color w:val="auto"/>
                <w:sz w:val="24"/>
                <w:highlight w:val="none"/>
              </w:rPr>
            </w:pPr>
          </w:p>
        </w:tc>
        <w:tc>
          <w:tcPr>
            <w:tcW w:w="3668" w:type="dxa"/>
            <w:noWrap w:val="0"/>
            <w:vAlign w:val="center"/>
          </w:tcPr>
          <w:p>
            <w:pPr>
              <w:spacing w:line="440" w:lineRule="exact"/>
              <w:jc w:val="center"/>
              <w:rPr>
                <w:rFonts w:hint="eastAsia" w:ascii="宋体" w:hAnsi="宋体" w:eastAsia="宋体" w:cs="宋体"/>
                <w:color w:val="auto"/>
                <w:sz w:val="24"/>
                <w:highlight w:val="none"/>
              </w:rPr>
            </w:pPr>
          </w:p>
        </w:tc>
      </w:tr>
    </w:tbl>
    <w:p>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0"/>
          <w:szCs w:val="30"/>
          <w:highlight w:val="none"/>
        </w:rPr>
        <w:t>附件2-1</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sz w:val="32"/>
          <w:szCs w:val="32"/>
          <w:highlight w:val="none"/>
        </w:rPr>
        <w:t>近三年经营业绩表</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地区</w:t>
            </w: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附合同</w:t>
      </w:r>
      <w:r>
        <w:rPr>
          <w:rFonts w:hint="eastAsia" w:ascii="宋体" w:hAnsi="宋体" w:eastAsia="宋体" w:cs="宋体"/>
          <w:b/>
          <w:color w:val="auto"/>
          <w:sz w:val="24"/>
          <w:szCs w:val="24"/>
          <w:highlight w:val="none"/>
          <w:lang w:val="en-US" w:eastAsia="zh-CN"/>
        </w:rPr>
        <w:t>或</w:t>
      </w:r>
      <w:r>
        <w:rPr>
          <w:rFonts w:hint="eastAsia" w:ascii="宋体" w:hAnsi="宋体" w:eastAsia="宋体" w:cs="宋体"/>
          <w:b/>
          <w:color w:val="auto"/>
          <w:sz w:val="24"/>
          <w:szCs w:val="24"/>
          <w:highlight w:val="none"/>
        </w:rPr>
        <w:t>中标通知书复印件。</w:t>
      </w:r>
    </w:p>
    <w:p>
      <w:pPr>
        <w:spacing w:before="166" w:beforeLines="50" w:after="166" w:afterLines="50" w:line="440" w:lineRule="exact"/>
        <w:jc w:val="center"/>
        <w:rPr>
          <w:rFonts w:hint="eastAsia" w:ascii="宋体" w:hAnsi="宋体" w:eastAsia="宋体" w:cs="宋体"/>
          <w:b/>
          <w:color w:val="auto"/>
          <w:sz w:val="24"/>
          <w:szCs w:val="24"/>
          <w:highlight w:val="none"/>
        </w:rPr>
      </w:pPr>
    </w:p>
    <w:p>
      <w:pPr>
        <w:tabs>
          <w:tab w:val="left" w:pos="2880"/>
        </w:tabs>
        <w:spacing w:line="460" w:lineRule="atLeast"/>
        <w:rPr>
          <w:rFonts w:hint="eastAsia" w:ascii="宋体" w:hAnsi="宋体" w:eastAsia="宋体" w:cs="宋体"/>
          <w:color w:val="auto"/>
          <w:highlight w:val="none"/>
        </w:rPr>
      </w:pPr>
    </w:p>
    <w:p>
      <w:pPr>
        <w:tabs>
          <w:tab w:val="left" w:pos="3600"/>
        </w:tabs>
        <w:adjustRightInd w:val="0"/>
        <w:snapToGrid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附件2-1</w:t>
      </w:r>
      <w:r>
        <w:rPr>
          <w:rFonts w:hint="eastAsia" w:ascii="宋体" w:hAnsi="宋体" w:eastAsia="宋体" w:cs="宋体"/>
          <w:b/>
          <w:color w:val="auto"/>
          <w:sz w:val="30"/>
          <w:szCs w:val="30"/>
          <w:highlight w:val="none"/>
          <w:lang w:val="en-US" w:eastAsia="zh-CN"/>
        </w:rPr>
        <w:t>3</w:t>
      </w: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sz w:val="32"/>
          <w:szCs w:val="32"/>
          <w:highlight w:val="none"/>
        </w:rPr>
        <w:t>服务承诺书</w:t>
      </w:r>
    </w:p>
    <w:p>
      <w:pPr>
        <w:shd w:val="clear" w:color="auto" w:fill="FFFFFF"/>
        <w:ind w:firstLine="475" w:firstLineChars="198"/>
        <w:rPr>
          <w:rFonts w:hint="eastAsia" w:ascii="宋体" w:hAnsi="宋体" w:eastAsia="宋体" w:cs="宋体"/>
          <w:color w:val="auto"/>
          <w:kern w:val="0"/>
          <w:sz w:val="24"/>
          <w:highlight w:val="none"/>
        </w:rPr>
      </w:pPr>
    </w:p>
    <w:p>
      <w:pPr>
        <w:shd w:val="clear" w:color="auto" w:fill="FFFFFF"/>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服务：服务商必须按提交的服务承诺书，提供绿化养护。</w:t>
      </w:r>
    </w:p>
    <w:p>
      <w:pPr>
        <w:shd w:val="clear" w:color="auto" w:fill="auto"/>
        <w:spacing w:line="440" w:lineRule="exact"/>
        <w:ind w:firstLine="480" w:firstLineChars="200"/>
        <w:jc w:val="left"/>
        <w:outlineLvl w:val="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一、拟提供服务的项目：</w:t>
      </w:r>
      <w:r>
        <w:rPr>
          <w:rFonts w:hint="eastAsia" w:ascii="宋体" w:hAnsi="宋体" w:eastAsia="宋体" w:cs="宋体"/>
          <w:color w:val="auto"/>
          <w:kern w:val="0"/>
          <w:sz w:val="24"/>
          <w:highlight w:val="none"/>
          <w:u w:val="single"/>
        </w:rPr>
        <w:t xml:space="preserve">                              </w:t>
      </w:r>
    </w:p>
    <w:p>
      <w:pPr>
        <w:shd w:val="clear" w:color="auto" w:fill="auto"/>
        <w:spacing w:line="440" w:lineRule="exact"/>
        <w:ind w:firstLine="480" w:firstLineChars="200"/>
        <w:jc w:val="left"/>
        <w:outlineLvl w:val="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二、绿地养护服务期限：</w:t>
      </w:r>
      <w:r>
        <w:rPr>
          <w:rFonts w:hint="eastAsia" w:ascii="宋体" w:hAnsi="宋体" w:eastAsia="宋体" w:cs="宋体"/>
          <w:color w:val="auto"/>
          <w:kern w:val="0"/>
          <w:sz w:val="24"/>
          <w:highlight w:val="none"/>
          <w:u w:val="single"/>
        </w:rPr>
        <w:t xml:space="preserve">                                        </w:t>
      </w:r>
    </w:p>
    <w:p>
      <w:pPr>
        <w:shd w:val="clear" w:color="auto" w:fill="auto"/>
        <w:spacing w:line="440" w:lineRule="exact"/>
        <w:ind w:firstLine="480" w:firstLineChars="200"/>
        <w:jc w:val="left"/>
        <w:outlineLvl w:val="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三、服务响应及服务的时间：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shd w:val="clear" w:color="auto" w:fill="auto"/>
        <w:spacing w:line="440" w:lineRule="exact"/>
        <w:ind w:firstLine="480" w:firstLineChars="200"/>
        <w:jc w:val="left"/>
        <w:outlineLvl w:val="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四、服务机构地址及联系方式：</w:t>
      </w:r>
      <w:r>
        <w:rPr>
          <w:rFonts w:hint="eastAsia" w:ascii="宋体" w:hAnsi="宋体" w:eastAsia="宋体" w:cs="宋体"/>
          <w:color w:val="auto"/>
          <w:kern w:val="0"/>
          <w:sz w:val="24"/>
          <w:highlight w:val="none"/>
          <w:u w:val="single"/>
        </w:rPr>
        <w:t xml:space="preserve">                              （后附相关证明材料）</w:t>
      </w:r>
    </w:p>
    <w:p>
      <w:pPr>
        <w:shd w:val="clear" w:color="auto" w:fill="auto"/>
        <w:spacing w:line="440" w:lineRule="exact"/>
        <w:ind w:firstLine="480" w:firstLineChars="200"/>
        <w:jc w:val="left"/>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五、服务期限：</w:t>
      </w:r>
      <w:r>
        <w:rPr>
          <w:rFonts w:hint="eastAsia" w:ascii="宋体" w:hAnsi="宋体" w:eastAsia="宋体" w:cs="宋体"/>
          <w:color w:val="auto"/>
          <w:sz w:val="24"/>
          <w:highlight w:val="none"/>
        </w:rPr>
        <w:t>自合同签订之日起</w:t>
      </w:r>
      <w:r>
        <w:rPr>
          <w:rFonts w:hint="eastAsia" w:ascii="宋体" w:hAnsi="宋体" w:eastAsia="宋体" w:cs="宋体"/>
          <w:color w:val="auto"/>
          <w:kern w:val="0"/>
          <w:sz w:val="24"/>
          <w:highlight w:val="none"/>
          <w:u w:val="single"/>
        </w:rPr>
        <w:t xml:space="preserve">      年</w:t>
      </w:r>
      <w:r>
        <w:rPr>
          <w:rFonts w:hint="eastAsia" w:ascii="宋体" w:hAnsi="宋体" w:eastAsia="宋体" w:cs="宋体"/>
          <w:color w:val="auto"/>
          <w:kern w:val="0"/>
          <w:sz w:val="24"/>
          <w:highlight w:val="none"/>
        </w:rPr>
        <w:t xml:space="preserve"> </w:t>
      </w:r>
    </w:p>
    <w:p>
      <w:pPr>
        <w:shd w:val="clear" w:color="auto" w:fill="auto"/>
        <w:spacing w:line="440" w:lineRule="exact"/>
        <w:ind w:firstLine="480" w:firstLineChars="200"/>
        <w:jc w:val="left"/>
        <w:outlineLvl w:val="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六、服务的相关承诺及优惠服务内容：</w:t>
      </w:r>
      <w:r>
        <w:rPr>
          <w:rFonts w:hint="eastAsia" w:ascii="宋体" w:hAnsi="宋体" w:eastAsia="宋体" w:cs="宋体"/>
          <w:color w:val="auto"/>
          <w:kern w:val="0"/>
          <w:sz w:val="24"/>
          <w:highlight w:val="none"/>
          <w:u w:val="single"/>
        </w:rPr>
        <w:t xml:space="preserve">                           </w:t>
      </w:r>
    </w:p>
    <w:p>
      <w:pPr>
        <w:widowControl/>
        <w:shd w:val="clear" w:color="auto" w:fill="auto"/>
        <w:spacing w:before="100" w:beforeAutospacing="1" w:after="100" w:afterAutospacing="1" w:line="440" w:lineRule="exact"/>
        <w:ind w:firstLine="89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公司法人代表(盖章或签字)：</w:t>
      </w:r>
      <w:r>
        <w:rPr>
          <w:rFonts w:hint="eastAsia" w:ascii="宋体" w:hAnsi="宋体" w:eastAsia="宋体" w:cs="宋体"/>
          <w:color w:val="auto"/>
          <w:kern w:val="0"/>
          <w:sz w:val="24"/>
          <w:highlight w:val="none"/>
          <w:u w:val="single"/>
        </w:rPr>
        <w:t xml:space="preserve">                      </w:t>
      </w:r>
    </w:p>
    <w:p>
      <w:pPr>
        <w:widowControl/>
        <w:shd w:val="clear" w:color="auto" w:fill="auto"/>
        <w:spacing w:before="100" w:beforeAutospacing="1" w:after="100" w:afterAutospacing="1" w:line="440" w:lineRule="exact"/>
        <w:ind w:firstLine="89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法人授权代表(盖章或签字)：</w:t>
      </w:r>
      <w:r>
        <w:rPr>
          <w:rFonts w:hint="eastAsia" w:ascii="宋体" w:hAnsi="宋体" w:eastAsia="宋体" w:cs="宋体"/>
          <w:color w:val="auto"/>
          <w:kern w:val="0"/>
          <w:sz w:val="24"/>
          <w:highlight w:val="none"/>
          <w:u w:val="single"/>
        </w:rPr>
        <w:t xml:space="preserve">                      </w:t>
      </w:r>
    </w:p>
    <w:p>
      <w:pPr>
        <w:widowControl/>
        <w:spacing w:before="100" w:beforeAutospacing="1" w:after="100" w:afterAutospacing="1" w:line="440" w:lineRule="exact"/>
        <w:ind w:firstLine="897"/>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项目经办人(盖章或签字)：</w:t>
      </w:r>
      <w:r>
        <w:rPr>
          <w:rFonts w:hint="eastAsia" w:ascii="宋体" w:hAnsi="宋体" w:eastAsia="宋体" w:cs="宋体"/>
          <w:color w:val="auto"/>
          <w:kern w:val="0"/>
          <w:sz w:val="24"/>
          <w:highlight w:val="none"/>
          <w:u w:val="single"/>
        </w:rPr>
        <w:t xml:space="preserve">                         </w:t>
      </w:r>
    </w:p>
    <w:p>
      <w:pPr>
        <w:widowControl/>
        <w:adjustRightInd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日期：20</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pPr>
        <w:tabs>
          <w:tab w:val="left" w:pos="2880"/>
        </w:tabs>
        <w:spacing w:line="240" w:lineRule="auto"/>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评 分 标 准</w:t>
      </w:r>
    </w:p>
    <w:tbl>
      <w:tblPr>
        <w:tblStyle w:val="14"/>
        <w:tblpPr w:leftFromText="180" w:rightFromText="180" w:vertAnchor="text" w:horzAnchor="page" w:tblpX="1813" w:tblpY="87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07"/>
        <w:gridCol w:w="1022"/>
        <w:gridCol w:w="520"/>
        <w:gridCol w:w="64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评审项目</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实施方案及绿化养护计划书</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snapToGrid/>
              <w:spacing w:before="0" w:after="0"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25分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投标人所提供的针对本项目的绿化养护计划书的完整程度进行打分（应包含但不限于服务工作的目标、范围、内容、方式，绿化养护工作程序、阶段计划、进度安排、控制重点、难点分析、工作质量保证措施、人员专业配置及职责划分等）</w:t>
            </w:r>
          </w:p>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服务工作的目标范围、内容、方式</w:t>
            </w:r>
            <w:r>
              <w:rPr>
                <w:rFonts w:hint="eastAsia" w:ascii="宋体" w:hAnsi="宋体" w:eastAsia="宋体" w:cs="宋体"/>
                <w:color w:val="auto"/>
                <w:sz w:val="24"/>
                <w:highlight w:val="none"/>
                <w:lang w:val="en-US" w:eastAsia="zh-CN"/>
              </w:rPr>
              <w:t>等完整得（16-25分</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服务工作的目标范围、内容、方式</w:t>
            </w:r>
            <w:r>
              <w:rPr>
                <w:rFonts w:hint="eastAsia" w:ascii="宋体" w:hAnsi="宋体" w:eastAsia="宋体" w:cs="宋体"/>
                <w:color w:val="auto"/>
                <w:sz w:val="24"/>
                <w:highlight w:val="none"/>
                <w:lang w:val="en-US" w:eastAsia="zh-CN"/>
              </w:rPr>
              <w:t>等较完整得（8-</w:t>
            </w:r>
            <w:r>
              <w:rPr>
                <w:rFonts w:hint="eastAsia" w:ascii="宋体" w:hAnsi="宋体" w:eastAsia="宋体" w:cs="宋体"/>
                <w:color w:val="auto"/>
                <w:sz w:val="24"/>
                <w:highlight w:val="none"/>
              </w:rPr>
              <w:t>15分)；</w:t>
            </w:r>
          </w:p>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服务工作的目标范围、内容、方式</w:t>
            </w:r>
            <w:r>
              <w:rPr>
                <w:rFonts w:hint="eastAsia" w:ascii="宋体" w:hAnsi="宋体" w:eastAsia="宋体" w:cs="宋体"/>
                <w:color w:val="auto"/>
                <w:sz w:val="24"/>
                <w:highlight w:val="none"/>
                <w:lang w:val="en-US" w:eastAsia="zh-CN"/>
              </w:rPr>
              <w:t>等不太完整得（0-</w:t>
            </w:r>
            <w:r>
              <w:rPr>
                <w:rFonts w:hint="eastAsia" w:ascii="宋体" w:hAnsi="宋体" w:eastAsia="宋体" w:cs="宋体"/>
                <w:color w:val="auto"/>
                <w:sz w:val="24"/>
                <w:highlight w:val="none"/>
              </w:rPr>
              <w:t>7分)；</w:t>
            </w:r>
          </w:p>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差(0分)（得差0分值未提供相关说明计划书）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拟投入人员</w:t>
            </w:r>
            <w:r>
              <w:rPr>
                <w:rFonts w:hint="eastAsia" w:ascii="宋体" w:hAnsi="宋体" w:eastAsia="宋体" w:cs="宋体"/>
                <w:color w:val="auto"/>
                <w:kern w:val="0"/>
                <w:sz w:val="24"/>
                <w:szCs w:val="24"/>
                <w:highlight w:val="none"/>
                <w:lang w:val="en-US" w:eastAsia="zh-CN"/>
              </w:rPr>
              <w:t>情况</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snapToGrid/>
              <w:spacing w:before="0" w:after="0" w:line="44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rPr>
              <w:t>20分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根据投标人本次项目拟投入人员数量情况进行打分</w:t>
            </w:r>
          </w:p>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项目计划配备人员不少于</w:t>
            </w:r>
            <w:r>
              <w:rPr>
                <w:rFonts w:hint="eastAsia" w:ascii="宋体" w:hAnsi="宋体" w:eastAsia="宋体" w:cs="宋体"/>
                <w:color w:val="auto"/>
                <w:sz w:val="24"/>
                <w:highlight w:val="none"/>
                <w:lang w:val="en-US" w:eastAsia="zh-CN"/>
              </w:rPr>
              <w:t>60</w:t>
            </w:r>
            <w:r>
              <w:rPr>
                <w:rFonts w:hint="eastAsia" w:ascii="宋体" w:hAnsi="宋体" w:eastAsia="宋体" w:cs="宋体"/>
                <w:color w:val="auto"/>
                <w:sz w:val="24"/>
                <w:highlight w:val="none"/>
              </w:rPr>
              <w:t>人（含</w:t>
            </w:r>
            <w:r>
              <w:rPr>
                <w:rFonts w:hint="eastAsia" w:ascii="宋体" w:hAnsi="宋体" w:eastAsia="宋体" w:cs="宋体"/>
                <w:color w:val="auto"/>
                <w:sz w:val="24"/>
                <w:highlight w:val="none"/>
                <w:lang w:val="en-US" w:eastAsia="zh-CN"/>
              </w:rPr>
              <w:t>60</w:t>
            </w:r>
            <w:r>
              <w:rPr>
                <w:rFonts w:hint="eastAsia" w:ascii="宋体" w:hAnsi="宋体" w:eastAsia="宋体" w:cs="宋体"/>
                <w:color w:val="auto"/>
                <w:sz w:val="24"/>
                <w:highlight w:val="none"/>
              </w:rPr>
              <w:t>人）的得</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分；少于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人（含</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人）但不少于</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人的得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分；少于</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人得0分。</w:t>
            </w:r>
          </w:p>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未提供相关说明材料的0分。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项目负责人能力</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snapToGrid/>
              <w:spacing w:before="0" w:after="0"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根据投标人公司拟定指派的项目负责人能力情况进行打分</w:t>
            </w:r>
          </w:p>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投标公司需提供项目负责人主持工作简历。</w:t>
            </w:r>
          </w:p>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项目负责人具备园林专业工程师职称资质加2分.</w:t>
            </w:r>
          </w:p>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近一年内项目负责人主持过养护业绩，经评审认定每提供一项有效业绩加2分，本项最多加</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分；无有效业绩或无证明材料不得分。</w:t>
            </w:r>
          </w:p>
          <w:p>
            <w:pPr>
              <w:keepNext w:val="0"/>
              <w:keepLines w:val="0"/>
              <w:pageBreakBefore w:val="0"/>
              <w:kinsoku/>
              <w:wordWrap/>
              <w:overflowPunct/>
              <w:topLinePunct w:val="0"/>
              <w:autoSpaceDE/>
              <w:autoSpaceDN/>
              <w:bidi w:val="0"/>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证明材料可为：合同协议书或中标（成交）通知书。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应急措施方案</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根据可能发生的突发事件应急措施和其它</w:t>
            </w:r>
            <w:r>
              <w:rPr>
                <w:rFonts w:hint="eastAsia" w:ascii="宋体" w:hAnsi="宋体" w:eastAsia="宋体" w:cs="宋体"/>
                <w:color w:val="auto"/>
                <w:kern w:val="0"/>
                <w:sz w:val="24"/>
                <w:szCs w:val="24"/>
                <w:highlight w:val="none"/>
                <w:lang w:val="en-US" w:eastAsia="zh-CN"/>
              </w:rPr>
              <w:t>事项</w:t>
            </w:r>
            <w:r>
              <w:rPr>
                <w:rFonts w:hint="eastAsia" w:ascii="宋体" w:hAnsi="宋体" w:eastAsia="宋体" w:cs="宋体"/>
                <w:color w:val="auto"/>
                <w:kern w:val="0"/>
                <w:sz w:val="24"/>
                <w:szCs w:val="24"/>
                <w:highlight w:val="none"/>
              </w:rPr>
              <w:t>配合措施的完善性、可行性进行打分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应急措施完善</w:t>
            </w:r>
            <w:r>
              <w:rPr>
                <w:rFonts w:hint="eastAsia" w:ascii="宋体" w:hAnsi="宋体" w:eastAsia="宋体" w:cs="宋体"/>
                <w:color w:val="auto"/>
                <w:sz w:val="24"/>
                <w:szCs w:val="24"/>
                <w:highlight w:val="none"/>
              </w:rPr>
              <w:t>合理、</w:t>
            </w:r>
            <w:r>
              <w:rPr>
                <w:rFonts w:hint="eastAsia" w:ascii="宋体" w:hAnsi="宋体" w:eastAsia="宋体" w:cs="宋体"/>
                <w:color w:val="auto"/>
                <w:sz w:val="24"/>
                <w:szCs w:val="24"/>
                <w:highlight w:val="none"/>
                <w:lang w:val="en-US" w:eastAsia="zh-CN"/>
              </w:rPr>
              <w:t>方案可行</w:t>
            </w:r>
            <w:r>
              <w:rPr>
                <w:rFonts w:hint="eastAsia" w:ascii="宋体" w:hAnsi="宋体" w:eastAsia="宋体" w:cs="宋体"/>
                <w:color w:val="auto"/>
                <w:sz w:val="24"/>
                <w:szCs w:val="24"/>
                <w:highlight w:val="none"/>
              </w:rPr>
              <w:t>的得</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分，不够完善的得</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分，极不完善的得</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分，未提供的不得分</w:t>
            </w:r>
            <w:r>
              <w:rPr>
                <w:rFonts w:hint="eastAsia" w:ascii="宋体" w:hAnsi="宋体" w:eastAsia="宋体" w:cs="宋体"/>
                <w:color w:val="auto"/>
                <w:kern w:val="0"/>
                <w:sz w:val="24"/>
                <w:szCs w:val="24"/>
                <w:highlight w:val="none"/>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snapToGrid/>
              <w:spacing w:line="440" w:lineRule="exact"/>
              <w:ind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经营管理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从投标文件中提出的经营管理制度详实性、完整性（包含项目管理架构、主要人员职责、巡查、日常管理制度等）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经营管理制度详实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完整合理得（</w:t>
            </w:r>
            <w:r>
              <w:rPr>
                <w:rFonts w:hint="eastAsia" w:ascii="宋体" w:hAnsi="宋体" w:eastAsia="宋体" w:cs="宋体"/>
                <w:color w:val="auto"/>
                <w:sz w:val="24"/>
                <w:szCs w:val="24"/>
                <w:highlight w:val="none"/>
                <w:lang w:val="en-US" w:eastAsia="zh-CN"/>
              </w:rPr>
              <w:t>9-12）</w:t>
            </w:r>
            <w:r>
              <w:rPr>
                <w:rFonts w:hint="eastAsia" w:ascii="宋体" w:hAnsi="宋体" w:eastAsia="宋体" w:cs="宋体"/>
                <w:color w:val="auto"/>
                <w:sz w:val="24"/>
                <w:szCs w:val="24"/>
                <w:highlight w:val="none"/>
              </w:rPr>
              <w:t>分，不够完善的得（</w:t>
            </w:r>
            <w:r>
              <w:rPr>
                <w:rFonts w:hint="eastAsia" w:ascii="宋体" w:hAnsi="宋体" w:eastAsia="宋体" w:cs="宋体"/>
                <w:color w:val="auto"/>
                <w:sz w:val="24"/>
                <w:szCs w:val="24"/>
                <w:highlight w:val="none"/>
                <w:lang w:val="en-US" w:eastAsia="zh-CN"/>
              </w:rPr>
              <w:t>5-8</w:t>
            </w:r>
            <w:r>
              <w:rPr>
                <w:rFonts w:hint="eastAsia" w:ascii="宋体" w:hAnsi="宋体" w:eastAsia="宋体" w:cs="宋体"/>
                <w:color w:val="auto"/>
                <w:sz w:val="24"/>
                <w:szCs w:val="24"/>
                <w:highlight w:val="none"/>
              </w:rPr>
              <w:t>]分，极不完善的得（</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分，未提供的不得分</w:t>
            </w:r>
            <w:r>
              <w:rPr>
                <w:rFonts w:hint="eastAsia" w:ascii="宋体" w:hAnsi="宋体" w:eastAsia="宋体" w:cs="宋体"/>
                <w:color w:val="auto"/>
                <w:kern w:val="0"/>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kinsoku/>
              <w:wordWrap/>
              <w:overflowPunct/>
              <w:topLinePunct w:val="0"/>
              <w:autoSpaceDE/>
              <w:autoSpaceDN/>
              <w:bidi w:val="0"/>
              <w:snapToGrid/>
              <w:spacing w:line="44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相关项目业绩</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12分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根据投标文件所提供的投标截止日前三年投标人的同类型项目经营业绩,提供合同</w:t>
            </w:r>
            <w:r>
              <w:rPr>
                <w:rFonts w:hint="eastAsia" w:ascii="宋体" w:hAnsi="宋体" w:eastAsia="宋体" w:cs="宋体"/>
                <w:color w:val="auto"/>
                <w:kern w:val="0"/>
                <w:sz w:val="24"/>
                <w:highlight w:val="none"/>
                <w:lang w:val="en-US" w:eastAsia="zh-CN"/>
              </w:rPr>
              <w:t>或</w:t>
            </w:r>
            <w:r>
              <w:rPr>
                <w:rFonts w:hint="eastAsia" w:ascii="宋体" w:hAnsi="宋体" w:eastAsia="宋体" w:cs="宋体"/>
                <w:color w:val="auto"/>
                <w:kern w:val="0"/>
                <w:sz w:val="24"/>
                <w:highlight w:val="none"/>
              </w:rPr>
              <w:t>中标通知书复印件，一个加</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分，最高得</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分。</w:t>
            </w:r>
          </w:p>
        </w:tc>
      </w:tr>
    </w:tbl>
    <w:p>
      <w:pPr>
        <w:tabs>
          <w:tab w:val="left" w:pos="2880"/>
        </w:tabs>
        <w:spacing w:line="460" w:lineRule="atLeas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商务</w:t>
      </w:r>
      <w:r>
        <w:rPr>
          <w:rFonts w:hint="eastAsia" w:ascii="宋体" w:hAnsi="宋体" w:eastAsia="宋体" w:cs="宋体"/>
          <w:b/>
          <w:color w:val="auto"/>
          <w:sz w:val="28"/>
          <w:szCs w:val="28"/>
          <w:highlight w:val="none"/>
        </w:rPr>
        <w:t>技术部分（占总分值的</w:t>
      </w:r>
      <w:r>
        <w:rPr>
          <w:rFonts w:hint="eastAsia" w:ascii="宋体" w:hAnsi="宋体" w:eastAsia="宋体" w:cs="宋体"/>
          <w:b/>
          <w:color w:val="auto"/>
          <w:sz w:val="28"/>
          <w:szCs w:val="28"/>
          <w:highlight w:val="none"/>
          <w:lang w:val="en-US" w:eastAsia="zh-CN"/>
        </w:rPr>
        <w:t>90</w:t>
      </w:r>
      <w:r>
        <w:rPr>
          <w:rFonts w:hint="eastAsia" w:ascii="宋体" w:hAnsi="宋体" w:eastAsia="宋体" w:cs="宋体"/>
          <w:b/>
          <w:color w:val="auto"/>
          <w:sz w:val="28"/>
          <w:szCs w:val="28"/>
          <w:highlight w:val="none"/>
        </w:rPr>
        <w:t>%）</w:t>
      </w:r>
    </w:p>
    <w:p>
      <w:pPr>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经济部分（占总分值的10%）</w:t>
      </w:r>
    </w:p>
    <w:tbl>
      <w:tblPr>
        <w:tblStyle w:val="1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
        <w:gridCol w:w="927"/>
        <w:gridCol w:w="574"/>
        <w:gridCol w:w="6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3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w:t>
            </w:r>
          </w:p>
        </w:tc>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3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3" w:hRule="atLeast"/>
          <w:jc w:val="center"/>
        </w:trPr>
        <w:tc>
          <w:tcPr>
            <w:tcW w:w="3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投标人报价</w:t>
            </w:r>
          </w:p>
        </w:tc>
        <w:tc>
          <w:tcPr>
            <w:tcW w:w="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3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在满足招标文件要求的前提下，取投标人有效报价的</w:t>
            </w:r>
            <w:r>
              <w:rPr>
                <w:rFonts w:hint="eastAsia" w:ascii="宋体" w:hAnsi="宋体" w:eastAsia="宋体" w:cs="宋体"/>
                <w:color w:val="auto"/>
                <w:sz w:val="24"/>
                <w:szCs w:val="24"/>
                <w:highlight w:val="none"/>
                <w:lang w:eastAsia="zh-CN"/>
              </w:rPr>
              <w:t>最低报价</w:t>
            </w:r>
            <w:r>
              <w:rPr>
                <w:rFonts w:hint="eastAsia" w:ascii="宋体" w:hAnsi="宋体" w:eastAsia="宋体" w:cs="宋体"/>
                <w:color w:val="auto"/>
                <w:sz w:val="24"/>
                <w:szCs w:val="24"/>
                <w:highlight w:val="none"/>
              </w:rPr>
              <w:t>值作为评标基准价,满分为10分；价格分的计算投标报价得分=(评标基准价／投标报价)×0.10×100 。（计算分值时，百分比按四舍五入原则，保留小数点后二位数）</w:t>
            </w:r>
          </w:p>
        </w:tc>
      </w:tr>
    </w:tbl>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reeDEngrave" w:color="auto" w:sz="18" w:space="1"/>
      </w:pBdr>
      <w:rPr>
        <w:rFonts w:hint="default" w:eastAsiaTheme="minorEastAsia"/>
        <w:lang w:val="en-US" w:eastAsia="zh-CN"/>
      </w:rPr>
    </w:pPr>
    <w:r>
      <w:rPr>
        <w:rFonts w:hint="eastAsia"/>
        <w:lang w:val="en-US" w:eastAsia="zh-CN"/>
      </w:rPr>
      <w:t xml:space="preserve">  </w:t>
    </w:r>
    <w:r>
      <w:rPr>
        <w:rFonts w:hint="eastAsia" w:eastAsiaTheme="minorEastAsia"/>
        <w:lang w:eastAsia="zh-CN"/>
      </w:rPr>
      <w:drawing>
        <wp:inline distT="0" distB="0" distL="114300" distR="114300">
          <wp:extent cx="316865" cy="313690"/>
          <wp:effectExtent l="0" t="0" r="6985"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
                  <a:stretch>
                    <a:fillRect/>
                  </a:stretch>
                </pic:blipFill>
                <pic:spPr>
                  <a:xfrm>
                    <a:off x="0" y="0"/>
                    <a:ext cx="316865" cy="313690"/>
                  </a:xfrm>
                  <a:prstGeom prst="rect">
                    <a:avLst/>
                  </a:prstGeom>
                </pic:spPr>
              </pic:pic>
            </a:graphicData>
          </a:graphic>
        </wp:inline>
      </w:drawing>
    </w:r>
    <w:r>
      <w:rPr>
        <w:rFonts w:hint="eastAsia"/>
        <w:lang w:val="en-US" w:eastAsia="zh-CN"/>
      </w:rPr>
      <w:t xml:space="preserve">                                            </w:t>
    </w:r>
    <w:r>
      <w:rPr>
        <w:rFonts w:hint="eastAsia"/>
        <w:b/>
        <w:bCs/>
        <w:sz w:val="24"/>
        <w:szCs w:val="24"/>
        <w:lang w:val="en-US" w:eastAsia="zh-CN"/>
      </w:rPr>
      <w:t>新疆融盛源工程项目管理有限公司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F01627CA"/>
    <w:multiLevelType w:val="singleLevel"/>
    <w:tmpl w:val="F01627CA"/>
    <w:lvl w:ilvl="0" w:tentative="0">
      <w:start w:val="1"/>
      <w:numFmt w:val="decimal"/>
      <w:suff w:val="nothing"/>
      <w:lvlText w:val="%1、"/>
      <w:lvlJc w:val="left"/>
    </w:lvl>
  </w:abstractNum>
  <w:abstractNum w:abstractNumId="2">
    <w:nsid w:val="046FFFEC"/>
    <w:multiLevelType w:val="singleLevel"/>
    <w:tmpl w:val="046FFFEC"/>
    <w:lvl w:ilvl="0" w:tentative="0">
      <w:start w:val="6"/>
      <w:numFmt w:val="chineseCounting"/>
      <w:suff w:val="nothing"/>
      <w:lvlText w:val="%1、"/>
      <w:lvlJc w:val="left"/>
      <w:rPr>
        <w:rFonts w:hint="eastAsia"/>
      </w:rPr>
    </w:lvl>
  </w:abstractNum>
  <w:abstractNum w:abstractNumId="3">
    <w:nsid w:val="09816366"/>
    <w:multiLevelType w:val="singleLevel"/>
    <w:tmpl w:val="09816366"/>
    <w:lvl w:ilvl="0" w:tentative="0">
      <w:start w:val="1"/>
      <w:numFmt w:val="decimal"/>
      <w:lvlText w:val="%1."/>
      <w:lvlJc w:val="left"/>
      <w:pPr>
        <w:tabs>
          <w:tab w:val="left" w:pos="312"/>
        </w:tabs>
      </w:pPr>
    </w:lvl>
  </w:abstractNum>
  <w:abstractNum w:abstractNumId="4">
    <w:nsid w:val="24E409BB"/>
    <w:multiLevelType w:val="multilevel"/>
    <w:tmpl w:val="24E409BB"/>
    <w:lvl w:ilvl="0" w:tentative="0">
      <w:start w:val="1"/>
      <w:numFmt w:val="decimal"/>
      <w:pStyle w:val="2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AD491DD"/>
    <w:multiLevelType w:val="singleLevel"/>
    <w:tmpl w:val="4AD491DD"/>
    <w:lvl w:ilvl="0" w:tentative="0">
      <w:start w:val="2"/>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1DD0"/>
    <w:rsid w:val="0091271A"/>
    <w:rsid w:val="013A784D"/>
    <w:rsid w:val="051D0709"/>
    <w:rsid w:val="055F3E27"/>
    <w:rsid w:val="07926EFD"/>
    <w:rsid w:val="08356BE1"/>
    <w:rsid w:val="09AA4BC3"/>
    <w:rsid w:val="0A6D238D"/>
    <w:rsid w:val="0B5914C7"/>
    <w:rsid w:val="0CD971C5"/>
    <w:rsid w:val="0E892C07"/>
    <w:rsid w:val="0F061FEE"/>
    <w:rsid w:val="0FB104C7"/>
    <w:rsid w:val="101F1E06"/>
    <w:rsid w:val="10E548CC"/>
    <w:rsid w:val="137141F5"/>
    <w:rsid w:val="13F15336"/>
    <w:rsid w:val="17926285"/>
    <w:rsid w:val="1A332204"/>
    <w:rsid w:val="1ACB068F"/>
    <w:rsid w:val="1C534DE0"/>
    <w:rsid w:val="1D5A29FC"/>
    <w:rsid w:val="1F322EFC"/>
    <w:rsid w:val="25801825"/>
    <w:rsid w:val="25BC2767"/>
    <w:rsid w:val="26DE6D24"/>
    <w:rsid w:val="26F26B10"/>
    <w:rsid w:val="2ABF0594"/>
    <w:rsid w:val="2C484235"/>
    <w:rsid w:val="2DBE339B"/>
    <w:rsid w:val="2F2D62BB"/>
    <w:rsid w:val="313174BB"/>
    <w:rsid w:val="335A3ACA"/>
    <w:rsid w:val="336416FE"/>
    <w:rsid w:val="35AA36A4"/>
    <w:rsid w:val="39A71E6F"/>
    <w:rsid w:val="39D30EB6"/>
    <w:rsid w:val="4359242C"/>
    <w:rsid w:val="44AF350A"/>
    <w:rsid w:val="44B136B0"/>
    <w:rsid w:val="45BC5565"/>
    <w:rsid w:val="482D0C92"/>
    <w:rsid w:val="48484974"/>
    <w:rsid w:val="48545FB0"/>
    <w:rsid w:val="485D2FC1"/>
    <w:rsid w:val="4C7E4CB1"/>
    <w:rsid w:val="4CB65542"/>
    <w:rsid w:val="4FA90297"/>
    <w:rsid w:val="52462715"/>
    <w:rsid w:val="53566208"/>
    <w:rsid w:val="597F2FE0"/>
    <w:rsid w:val="59C745E5"/>
    <w:rsid w:val="59FA62BF"/>
    <w:rsid w:val="5B51090B"/>
    <w:rsid w:val="5CC81B94"/>
    <w:rsid w:val="5D9856D2"/>
    <w:rsid w:val="5FC64031"/>
    <w:rsid w:val="63684DA7"/>
    <w:rsid w:val="637E1FBD"/>
    <w:rsid w:val="67AA28D2"/>
    <w:rsid w:val="6C0808E2"/>
    <w:rsid w:val="6D963ECA"/>
    <w:rsid w:val="726A198D"/>
    <w:rsid w:val="7519217F"/>
    <w:rsid w:val="7525312D"/>
    <w:rsid w:val="79CA169F"/>
    <w:rsid w:val="7A637F93"/>
    <w:rsid w:val="7EB22415"/>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qFormat/>
    <w:uiPriority w:val="0"/>
    <w:pPr>
      <w:keepNext/>
      <w:keepLines/>
      <w:spacing w:before="260" w:after="260" w:line="416" w:lineRule="auto"/>
      <w:outlineLvl w:val="2"/>
    </w:pPr>
    <w:rPr>
      <w:b/>
      <w:kern w:val="0"/>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1"/>
    <w:qFormat/>
    <w:uiPriority w:val="0"/>
    <w:pPr>
      <w:spacing w:after="120"/>
      <w:ind w:left="420" w:leftChars="200"/>
    </w:pPr>
    <w:rPr>
      <w:kern w:val="0"/>
      <w:sz w:val="20"/>
    </w:rPr>
  </w:style>
  <w:style w:type="paragraph" w:styleId="6">
    <w:name w:val="Normal Indent"/>
    <w:basedOn w:val="1"/>
    <w:qFormat/>
    <w:uiPriority w:val="99"/>
    <w:pPr>
      <w:ind w:firstLine="420" w:firstLineChars="200"/>
    </w:pPr>
    <w:rPr>
      <w:rFonts w:ascii="Times New Roman" w:hAnsi="Times New Roman" w:cs="Times New Roman"/>
      <w:kern w:val="0"/>
      <w:sz w:val="24"/>
      <w:szCs w:val="20"/>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nhideWhenUsed/>
    <w:qFormat/>
    <w:uiPriority w:val="0"/>
    <w:rPr>
      <w:sz w:val="24"/>
    </w:rPr>
  </w:style>
  <w:style w:type="character" w:styleId="16">
    <w:name w:val="Strong"/>
    <w:basedOn w:val="15"/>
    <w:qFormat/>
    <w:uiPriority w:val="0"/>
    <w:rPr>
      <w:b/>
      <w:bCs/>
    </w:rPr>
  </w:style>
  <w:style w:type="character" w:styleId="17">
    <w:name w:val="HTML Sample"/>
    <w:basedOn w:val="15"/>
    <w:unhideWhenUsed/>
    <w:qFormat/>
    <w:uiPriority w:val="99"/>
    <w:rPr>
      <w:rFonts w:ascii="Courier New" w:hAnsi="Courier New"/>
    </w:rPr>
  </w:style>
  <w:style w:type="paragraph" w:customStyle="1" w:styleId="1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2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styleId="25">
    <w:name w:val="List Paragraph"/>
    <w:basedOn w:val="1"/>
    <w:qFormat/>
    <w:uiPriority w:val="34"/>
    <w:pPr>
      <w:ind w:firstLine="420" w:firstLineChars="200"/>
    </w:pPr>
  </w:style>
  <w:style w:type="paragraph" w:customStyle="1" w:styleId="26">
    <w:name w:val="表名称"/>
    <w:basedOn w:val="6"/>
    <w:qFormat/>
    <w:uiPriority w:val="0"/>
    <w:pPr>
      <w:numPr>
        <w:ilvl w:val="0"/>
        <w:numId w:val="1"/>
      </w:numPr>
      <w:ind w:firstLine="0" w:firstLineChars="0"/>
      <w:jc w:val="center"/>
    </w:pPr>
  </w:style>
  <w:style w:type="character" w:customStyle="1" w:styleId="27">
    <w:name w:val="font21"/>
    <w:basedOn w:val="15"/>
    <w:qFormat/>
    <w:uiPriority w:val="0"/>
    <w:rPr>
      <w:rFonts w:hint="eastAsia" w:ascii="宋体" w:hAnsi="宋体" w:eastAsia="宋体" w:cs="宋体"/>
      <w:b/>
      <w:bCs/>
      <w:color w:val="000000"/>
      <w:sz w:val="28"/>
      <w:szCs w:val="28"/>
      <w:u w:val="none"/>
    </w:rPr>
  </w:style>
  <w:style w:type="character" w:customStyle="1" w:styleId="28">
    <w:name w:val="font231"/>
    <w:basedOn w:val="15"/>
    <w:qFormat/>
    <w:uiPriority w:val="0"/>
    <w:rPr>
      <w:rFonts w:hint="eastAsia" w:ascii="宋体" w:hAnsi="宋体" w:eastAsia="宋体" w:cs="宋体"/>
      <w:b/>
      <w:bCs/>
      <w:color w:val="000000"/>
      <w:sz w:val="22"/>
      <w:szCs w:val="22"/>
      <w:u w:val="none"/>
    </w:rPr>
  </w:style>
  <w:style w:type="character" w:customStyle="1" w:styleId="29">
    <w:name w:val="font181"/>
    <w:basedOn w:val="15"/>
    <w:qFormat/>
    <w:uiPriority w:val="0"/>
    <w:rPr>
      <w:rFonts w:hint="eastAsia" w:ascii="宋体" w:hAnsi="宋体" w:eastAsia="宋体" w:cs="宋体"/>
      <w:b/>
      <w:bCs/>
      <w:color w:val="000000"/>
      <w:sz w:val="22"/>
      <w:szCs w:val="22"/>
      <w:u w:val="none"/>
    </w:rPr>
  </w:style>
  <w:style w:type="character" w:customStyle="1" w:styleId="30">
    <w:name w:val="font71"/>
    <w:basedOn w:val="15"/>
    <w:qFormat/>
    <w:uiPriority w:val="0"/>
    <w:rPr>
      <w:rFonts w:hint="eastAsia" w:ascii="宋体" w:hAnsi="宋体" w:eastAsia="宋体" w:cs="宋体"/>
      <w:color w:val="000000"/>
      <w:sz w:val="22"/>
      <w:szCs w:val="22"/>
      <w:u w:val="none"/>
    </w:rPr>
  </w:style>
  <w:style w:type="character" w:customStyle="1" w:styleId="31">
    <w:name w:val="font101"/>
    <w:basedOn w:val="15"/>
    <w:qFormat/>
    <w:uiPriority w:val="0"/>
    <w:rPr>
      <w:rFonts w:hint="eastAsia" w:ascii="宋体" w:hAnsi="宋体" w:eastAsia="宋体" w:cs="宋体"/>
      <w:color w:val="000000"/>
      <w:sz w:val="20"/>
      <w:szCs w:val="20"/>
      <w:u w:val="none"/>
    </w:rPr>
  </w:style>
  <w:style w:type="character" w:customStyle="1" w:styleId="32">
    <w:name w:val="font11"/>
    <w:basedOn w:val="15"/>
    <w:qFormat/>
    <w:uiPriority w:val="0"/>
    <w:rPr>
      <w:rFonts w:hint="default" w:ascii="Tahoma" w:hAnsi="Tahoma" w:eastAsia="Tahoma" w:cs="Tahoma"/>
      <w:color w:val="000000"/>
      <w:sz w:val="22"/>
      <w:szCs w:val="22"/>
      <w:u w:val="none"/>
    </w:rPr>
  </w:style>
  <w:style w:type="character" w:customStyle="1" w:styleId="33">
    <w:name w:val="font81"/>
    <w:basedOn w:val="15"/>
    <w:qFormat/>
    <w:uiPriority w:val="0"/>
    <w:rPr>
      <w:rFonts w:hint="eastAsia" w:ascii="宋体" w:hAnsi="宋体" w:eastAsia="宋体" w:cs="宋体"/>
      <w:color w:val="000000"/>
      <w:sz w:val="22"/>
      <w:szCs w:val="22"/>
      <w:u w:val="none"/>
    </w:rPr>
  </w:style>
  <w:style w:type="character" w:customStyle="1" w:styleId="34">
    <w:name w:val="font41"/>
    <w:basedOn w:val="15"/>
    <w:qFormat/>
    <w:uiPriority w:val="0"/>
    <w:rPr>
      <w:rFonts w:hint="eastAsia" w:ascii="宋体" w:hAnsi="宋体" w:eastAsia="宋体" w:cs="宋体"/>
      <w:b/>
      <w:bCs/>
      <w:color w:val="000000"/>
      <w:sz w:val="28"/>
      <w:szCs w:val="28"/>
      <w:u w:val="none"/>
    </w:rPr>
  </w:style>
  <w:style w:type="character" w:customStyle="1" w:styleId="35">
    <w:name w:val="font241"/>
    <w:basedOn w:val="15"/>
    <w:qFormat/>
    <w:uiPriority w:val="0"/>
    <w:rPr>
      <w:rFonts w:hint="eastAsia" w:ascii="宋体" w:hAnsi="宋体" w:eastAsia="宋体" w:cs="宋体"/>
      <w:b/>
      <w:bCs/>
      <w:color w:val="000000"/>
      <w:sz w:val="22"/>
      <w:szCs w:val="22"/>
      <w:u w:val="none"/>
    </w:rPr>
  </w:style>
  <w:style w:type="character" w:customStyle="1" w:styleId="36">
    <w:name w:val="font191"/>
    <w:basedOn w:val="15"/>
    <w:qFormat/>
    <w:uiPriority w:val="0"/>
    <w:rPr>
      <w:rFonts w:hint="eastAsia" w:ascii="宋体" w:hAnsi="宋体" w:eastAsia="宋体" w:cs="宋体"/>
      <w:b/>
      <w:bCs/>
      <w:color w:val="000000"/>
      <w:sz w:val="22"/>
      <w:szCs w:val="22"/>
      <w:u w:val="none"/>
    </w:rPr>
  </w:style>
  <w:style w:type="character" w:customStyle="1" w:styleId="37">
    <w:name w:val="font141"/>
    <w:basedOn w:val="1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36340</Words>
  <Characters>41120</Characters>
  <Lines>0</Lines>
  <Paragraphs>0</Paragraphs>
  <TotalTime>12</TotalTime>
  <ScaleCrop>false</ScaleCrop>
  <LinksUpToDate>false</LinksUpToDate>
  <CharactersWithSpaces>43633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2022-04-02T09:24:00Z</dcterms:created>
  <dc:creator>ym</dc:creator>
  <cp:lastModifiedBy>ym</cp:lastModifiedBy>
  <dcterms:modified xsi:type="dcterms:W3CDTF">2022-04-07T02:08:39Z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BF98B07BE1A74B4C909E7154025BD0B6</vt:lpwstr>
  </property>
</Properties>
</file>