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82497891"/>
      <w:bookmarkStart w:id="1" w:name="_Toc55990499"/>
      <w:bookmarkStart w:id="2" w:name="_Toc56170377"/>
      <w:bookmarkStart w:id="3" w:name="_Toc55990498"/>
      <w:r>
        <w:rPr>
          <w:rFonts w:hint="eastAsia" w:ascii="仿宋" w:hAnsi="仿宋" w:eastAsia="仿宋"/>
          <w:color w:val="000000"/>
          <w:sz w:val="120"/>
          <w:szCs w:val="120"/>
        </w:rPr>
        <w:t>磋 商 文 件</w:t>
      </w:r>
    </w:p>
    <w:p>
      <w:pPr>
        <w:pStyle w:val="26"/>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ZKGSF(ZB)-20220644</w:t>
      </w:r>
    </w:p>
    <w:p>
      <w:pPr>
        <w:pStyle w:val="26"/>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新疆医科大学附属肿瘤医院心率变异性检测仪采购项目</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6"/>
        <w:spacing w:line="360" w:lineRule="auto"/>
        <w:ind w:firstLine="720"/>
        <w:rPr>
          <w:rFonts w:ascii="仿宋" w:hAnsi="仿宋" w:eastAsia="仿宋" w:cs="仿宋"/>
          <w:sz w:val="36"/>
          <w:szCs w:val="36"/>
        </w:rPr>
      </w:pP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6"/>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3"/>
        <w:rPr>
          <w:rFonts w:hint="eastAsia"/>
        </w:rPr>
      </w:pPr>
      <w:bookmarkStart w:id="4" w:name="_Toc61184620"/>
      <w:bookmarkStart w:id="5" w:name="_Toc28475"/>
      <w:r>
        <w:rPr>
          <w:rFonts w:hint="eastAsia"/>
        </w:rPr>
        <w:t>第一章、磋商公告</w:t>
      </w:r>
      <w:bookmarkEnd w:id="4"/>
      <w:bookmarkEnd w:id="5"/>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ZKGSF(ZB)-20220644</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心率变异性检测仪1</w:t>
      </w:r>
      <w:r>
        <w:rPr>
          <w:rFonts w:hint="eastAsia" w:ascii="仿宋" w:hAnsi="仿宋" w:eastAsia="仿宋"/>
          <w:sz w:val="28"/>
        </w:rPr>
        <w:t>台，预算金</w:t>
      </w:r>
      <w:r>
        <w:rPr>
          <w:rFonts w:hint="eastAsia" w:ascii="仿宋" w:hAnsi="仿宋" w:eastAsia="仿宋"/>
          <w:sz w:val="28"/>
          <w:lang w:val="en-US" w:eastAsia="zh-CN"/>
        </w:rPr>
        <w:t>16万元</w:t>
      </w:r>
      <w:r>
        <w:rPr>
          <w:rFonts w:hint="eastAsia" w:ascii="仿宋" w:hAnsi="仿宋" w:eastAsia="仿宋"/>
          <w:sz w:val="28"/>
          <w:lang w:eastAsia="zh-CN"/>
        </w:rPr>
        <w:t>，最高限价</w:t>
      </w:r>
      <w:r>
        <w:rPr>
          <w:rFonts w:hint="eastAsia" w:ascii="仿宋" w:hAnsi="仿宋" w:eastAsia="仿宋"/>
          <w:sz w:val="28"/>
          <w:lang w:val="en-US" w:eastAsia="zh-CN"/>
        </w:rPr>
        <w:t>16万元</w:t>
      </w:r>
      <w:r>
        <w:rPr>
          <w:rFonts w:hint="eastAsia" w:ascii="仿宋" w:hAnsi="仿宋" w:eastAsia="仿宋"/>
          <w:sz w:val="28"/>
        </w:rPr>
        <w:t>。</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日-202</w:t>
      </w:r>
      <w:r>
        <w:rPr>
          <w:rFonts w:hint="eastAsia" w:ascii="仿宋" w:hAnsi="仿宋" w:eastAsia="仿宋"/>
          <w:sz w:val="28"/>
          <w:lang w:val="en-US" w:eastAsia="zh-CN"/>
        </w:rPr>
        <w:t>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22</w:t>
      </w:r>
      <w:r>
        <w:rPr>
          <w:rFonts w:hint="eastAsia" w:ascii="仿宋" w:hAnsi="仿宋" w:eastAsia="仿宋"/>
          <w:sz w:val="28"/>
        </w:rPr>
        <w:t>日</w:t>
      </w:r>
      <w:bookmarkEnd w:id="6"/>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5"/>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bookmarkEnd w:id="8"/>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5"/>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5"/>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5"/>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3"/>
      </w:pPr>
      <w:r>
        <w:rPr>
          <w:rFonts w:hint="eastAsia"/>
        </w:rPr>
        <w:br w:type="page"/>
      </w:r>
      <w:bookmarkStart w:id="9" w:name="_Toc5896489"/>
      <w:bookmarkStart w:id="10" w:name="_Toc61184621"/>
      <w:bookmarkStart w:id="11" w:name="_Toc25500"/>
      <w:bookmarkStart w:id="12" w:name="_Toc56170378"/>
      <w:bookmarkStart w:id="13" w:name="_Toc55990500"/>
      <w:bookmarkStart w:id="14" w:name="_Toc399523005"/>
      <w:r>
        <w:rPr>
          <w:rFonts w:hint="eastAsia"/>
        </w:rPr>
        <w:t>第二章、磋商须知</w:t>
      </w:r>
      <w:bookmarkEnd w:id="9"/>
      <w:bookmarkEnd w:id="10"/>
      <w:bookmarkEnd w:id="11"/>
      <w:bookmarkEnd w:id="12"/>
      <w:bookmarkEnd w:id="13"/>
    </w:p>
    <w:p>
      <w:pPr>
        <w:pStyle w:val="5"/>
        <w:rPr>
          <w:rFonts w:hint="eastAsia"/>
        </w:rPr>
      </w:pPr>
      <w:bookmarkStart w:id="15" w:name="_Toc105"/>
      <w:bookmarkStart w:id="16" w:name="_Toc56170379"/>
      <w:bookmarkStart w:id="17" w:name="_Toc61184622"/>
      <w:r>
        <w:rPr>
          <w:rFonts w:hint="eastAsia"/>
        </w:rPr>
        <w:t>磋商须知前附表</w:t>
      </w:r>
      <w:bookmarkEnd w:id="15"/>
      <w:bookmarkEnd w:id="16"/>
      <w:bookmarkEnd w:id="17"/>
    </w:p>
    <w:tbl>
      <w:tblPr>
        <w:tblStyle w:val="20"/>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6"/>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w:t>
            </w:r>
            <w:r>
              <w:rPr>
                <w:rFonts w:hint="eastAsia" w:ascii="仿宋" w:hAnsi="仿宋" w:eastAsia="仿宋"/>
                <w:color w:val="000000"/>
                <w:sz w:val="24"/>
                <w:szCs w:val="24"/>
                <w:lang w:val="en-US" w:eastAsia="zh-CN"/>
              </w:rPr>
              <w:t>心率变异性检测仪</w:t>
            </w:r>
            <w:r>
              <w:rPr>
                <w:rFonts w:hint="eastAsia" w:ascii="仿宋" w:hAnsi="仿宋" w:eastAsia="仿宋"/>
                <w:color w:val="000000"/>
                <w:sz w:val="24"/>
                <w:szCs w:val="24"/>
                <w:lang w:eastAsia="zh-CN"/>
              </w:rPr>
              <w:t>采购项目</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ZKGSF(ZB)-20220644</w:t>
            </w:r>
          </w:p>
          <w:p>
            <w:pPr>
              <w:pStyle w:val="26"/>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心率变异性检测仪1</w:t>
            </w:r>
            <w:r>
              <w:rPr>
                <w:rFonts w:hint="eastAsia" w:ascii="仿宋" w:hAnsi="仿宋" w:eastAsia="仿宋"/>
                <w:color w:val="000000"/>
                <w:sz w:val="24"/>
                <w:szCs w:val="24"/>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6"/>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16万元</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最高限价：16万元</w:t>
            </w:r>
            <w:r>
              <w:rPr>
                <w:rFonts w:hint="eastAsia" w:ascii="仿宋" w:hAnsi="仿宋" w:eastAsia="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3</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2</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叁仟贰佰元整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5"/>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5"/>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5"/>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5"/>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5"/>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bookmarkStart w:id="94" w:name="_GoBack"/>
            <w:bookmarkEnd w:id="9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61184623"/>
      <w:bookmarkStart w:id="19" w:name="_Toc56170380"/>
      <w:r>
        <w:rPr>
          <w:rFonts w:hint="eastAsia"/>
        </w:rPr>
        <w:br w:type="page"/>
      </w:r>
    </w:p>
    <w:p>
      <w:pPr>
        <w:pStyle w:val="5"/>
        <w:rPr>
          <w:rFonts w:hint="eastAsia"/>
        </w:rPr>
      </w:pPr>
      <w:bookmarkStart w:id="20" w:name="_Toc9701"/>
      <w:r>
        <w:rPr>
          <w:rFonts w:hint="eastAsia"/>
        </w:rPr>
        <w:t>一、总 则</w:t>
      </w:r>
      <w:bookmarkEnd w:id="18"/>
      <w:bookmarkEnd w:id="19"/>
      <w:bookmarkEnd w:id="20"/>
    </w:p>
    <w:p>
      <w:pPr>
        <w:pStyle w:val="25"/>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5"/>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5"/>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5"/>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5"/>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5"/>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5"/>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5"/>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5"/>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5"/>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5"/>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5"/>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5"/>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5"/>
        <w:spacing w:line="360" w:lineRule="auto"/>
        <w:ind w:firstLine="561"/>
        <w:rPr>
          <w:rFonts w:hint="eastAsia" w:ascii="仿宋" w:hAnsi="仿宋" w:eastAsia="仿宋"/>
          <w:sz w:val="28"/>
        </w:rPr>
      </w:pPr>
      <w:r>
        <w:rPr>
          <w:rFonts w:hint="eastAsia" w:ascii="仿宋" w:hAnsi="仿宋" w:eastAsia="仿宋"/>
          <w:sz w:val="28"/>
        </w:rPr>
        <w:t>3. 其他要求</w:t>
      </w:r>
    </w:p>
    <w:p>
      <w:pPr>
        <w:pStyle w:val="25"/>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5"/>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5"/>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5"/>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5"/>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rPr>
          <w:rFonts w:hint="eastAsia"/>
        </w:rPr>
      </w:pPr>
      <w:bookmarkStart w:id="21" w:name="_Toc61184624"/>
      <w:bookmarkStart w:id="22" w:name="_Toc56170381"/>
      <w:bookmarkStart w:id="23" w:name="_Toc17589"/>
      <w:r>
        <w:rPr>
          <w:rFonts w:hint="eastAsia"/>
        </w:rPr>
        <w:t>二、磋商文件</w:t>
      </w:r>
      <w:bookmarkEnd w:id="21"/>
      <w:bookmarkEnd w:id="22"/>
      <w:bookmarkEnd w:id="23"/>
    </w:p>
    <w:p>
      <w:pPr>
        <w:pStyle w:val="25"/>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5"/>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5"/>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5"/>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5"/>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rPr>
          <w:rFonts w:hint="eastAsia"/>
        </w:rPr>
      </w:pPr>
      <w:bookmarkStart w:id="24" w:name="_Toc61184625"/>
      <w:bookmarkStart w:id="25" w:name="_Toc29097"/>
      <w:bookmarkStart w:id="26" w:name="_Toc56170382"/>
      <w:r>
        <w:rPr>
          <w:rFonts w:hint="eastAsia"/>
        </w:rPr>
        <w:t>三、响应文件的编制</w:t>
      </w:r>
      <w:bookmarkEnd w:id="24"/>
      <w:bookmarkEnd w:id="25"/>
      <w:bookmarkEnd w:id="26"/>
    </w:p>
    <w:p>
      <w:pPr>
        <w:pStyle w:val="25"/>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5"/>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5"/>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5"/>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5"/>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5"/>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5"/>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5"/>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5"/>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5"/>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6"/>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6"/>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5"/>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5"/>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5"/>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5"/>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5"/>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5"/>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5"/>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5"/>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5"/>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5"/>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5"/>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5"/>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5"/>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5"/>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5"/>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w:t>
      </w:r>
      <w:r>
        <w:rPr>
          <w:rFonts w:hint="eastAsia" w:ascii="仿宋" w:hAnsi="仿宋" w:eastAsia="仿宋"/>
          <w:sz w:val="28"/>
          <w:lang w:val="en-US" w:eastAsia="zh-CN"/>
        </w:rPr>
        <w:t>5</w:t>
      </w:r>
      <w:r>
        <w:rPr>
          <w:rFonts w:hint="eastAsia" w:ascii="仿宋" w:hAnsi="仿宋" w:eastAsia="仿宋"/>
          <w:sz w:val="28"/>
        </w:rPr>
        <w:t>份纳入响应文件中。</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5"/>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5"/>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5"/>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5"/>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5"/>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5"/>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5"/>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6"/>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6"/>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6"/>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rPr>
          <w:rFonts w:hint="eastAsia"/>
        </w:rPr>
      </w:pPr>
      <w:bookmarkStart w:id="27" w:name="_Toc61184626"/>
      <w:bookmarkStart w:id="28" w:name="_Toc56170383"/>
      <w:bookmarkStart w:id="29" w:name="_Toc26897"/>
      <w:r>
        <w:rPr>
          <w:rFonts w:hint="eastAsia"/>
        </w:rPr>
        <w:t>四、响应文件的递交</w:t>
      </w:r>
      <w:bookmarkEnd w:id="27"/>
      <w:bookmarkEnd w:id="28"/>
      <w:bookmarkEnd w:id="29"/>
    </w:p>
    <w:p>
      <w:pPr>
        <w:pStyle w:val="25"/>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5"/>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5"/>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5"/>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5"/>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5"/>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7"/>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7"/>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7"/>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7"/>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7"/>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7"/>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7"/>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7"/>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7"/>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7"/>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7"/>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rPr>
          <w:rFonts w:hint="eastAsia"/>
        </w:rPr>
      </w:pPr>
      <w:bookmarkStart w:id="30" w:name="_Toc56170384"/>
      <w:bookmarkStart w:id="31" w:name="_Toc61184627"/>
      <w:bookmarkStart w:id="32" w:name="_Toc30907"/>
      <w:r>
        <w:rPr>
          <w:rFonts w:hint="eastAsia"/>
        </w:rPr>
        <w:t>五、磋商</w:t>
      </w:r>
      <w:bookmarkEnd w:id="30"/>
      <w:bookmarkEnd w:id="31"/>
      <w:bookmarkEnd w:id="32"/>
    </w:p>
    <w:p>
      <w:pPr>
        <w:pStyle w:val="27"/>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5"/>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5"/>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5"/>
        <w:spacing w:line="360" w:lineRule="auto"/>
        <w:ind w:firstLine="560"/>
        <w:jc w:val="both"/>
        <w:rPr>
          <w:rFonts w:hint="eastAsia" w:ascii="仿宋" w:hAnsi="仿宋" w:eastAsia="仿宋"/>
          <w:sz w:val="28"/>
        </w:rPr>
      </w:pPr>
    </w:p>
    <w:p>
      <w:pPr>
        <w:pStyle w:val="5"/>
        <w:spacing w:line="360" w:lineRule="auto"/>
        <w:rPr>
          <w:rFonts w:hint="eastAsia"/>
        </w:rPr>
      </w:pPr>
      <w:bookmarkStart w:id="33" w:name="_Toc22021"/>
      <w:bookmarkStart w:id="34" w:name="_Toc61184628"/>
      <w:bookmarkStart w:id="35" w:name="_Toc56170385"/>
      <w:r>
        <w:rPr>
          <w:rFonts w:hint="eastAsia"/>
        </w:rPr>
        <w:t>六、资格审查</w:t>
      </w:r>
      <w:bookmarkEnd w:id="33"/>
      <w:bookmarkEnd w:id="34"/>
      <w:bookmarkEnd w:id="35"/>
    </w:p>
    <w:p>
      <w:pPr>
        <w:pStyle w:val="25"/>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5"/>
        <w:spacing w:line="360" w:lineRule="auto"/>
        <w:ind w:firstLine="561"/>
        <w:rPr>
          <w:rFonts w:hint="eastAsia" w:ascii="仿宋" w:hAnsi="仿宋" w:eastAsia="仿宋"/>
          <w:b/>
          <w:bCs/>
          <w:sz w:val="28"/>
        </w:rPr>
      </w:pPr>
      <w:r>
        <w:rPr>
          <w:rFonts w:hint="eastAsia" w:ascii="仿宋" w:hAnsi="仿宋" w:eastAsia="仿宋"/>
          <w:b/>
          <w:bCs/>
          <w:sz w:val="28"/>
        </w:rPr>
        <w:t xml:space="preserve">22.1 </w:t>
      </w:r>
      <w:r>
        <w:rPr>
          <w:rFonts w:hint="eastAsia" w:ascii="仿宋" w:hAnsi="仿宋" w:eastAsia="仿宋"/>
          <w:b/>
          <w:bCs/>
          <w:sz w:val="28"/>
          <w:lang w:val="en-US" w:eastAsia="zh-CN"/>
        </w:rPr>
        <w:t>开标时</w:t>
      </w:r>
      <w:r>
        <w:rPr>
          <w:rFonts w:hint="eastAsia" w:ascii="仿宋" w:hAnsi="仿宋" w:eastAsia="仿宋"/>
          <w:b/>
          <w:bCs/>
          <w:sz w:val="28"/>
        </w:rPr>
        <w:t>，采购人按照本章第8.1.1条中规定的内容对各供应商的响应文件进行资格审查。资格审查不合格的，其磋商无效。</w:t>
      </w:r>
    </w:p>
    <w:p>
      <w:pPr>
        <w:pStyle w:val="25"/>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5"/>
        <w:spacing w:line="360" w:lineRule="auto"/>
        <w:rPr>
          <w:rFonts w:hint="eastAsia"/>
        </w:rPr>
      </w:pPr>
      <w:bookmarkStart w:id="36" w:name="_Toc61184629"/>
      <w:bookmarkStart w:id="37" w:name="_Toc3968"/>
      <w:bookmarkStart w:id="38" w:name="_Toc56170386"/>
      <w:r>
        <w:rPr>
          <w:rFonts w:hint="eastAsia"/>
        </w:rPr>
        <w:t>七、磋商和定标</w:t>
      </w:r>
      <w:bookmarkEnd w:id="36"/>
      <w:bookmarkEnd w:id="37"/>
      <w:bookmarkEnd w:id="38"/>
    </w:p>
    <w:p>
      <w:pPr>
        <w:pStyle w:val="25"/>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5"/>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5"/>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5"/>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5"/>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5"/>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5"/>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5"/>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5"/>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5"/>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5"/>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6"/>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8"/>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8"/>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8"/>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0"/>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33"/>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8"/>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 xml:space="preserve">26.2 </w:t>
      </w:r>
      <w:r>
        <w:rPr>
          <w:rFonts w:hint="eastAsia" w:ascii="仿宋" w:hAnsi="仿宋" w:eastAsia="仿宋"/>
          <w:color w:val="000000"/>
          <w:kern w:val="0"/>
          <w:sz w:val="28"/>
          <w:lang w:val="en-US" w:eastAsia="zh-CN"/>
        </w:rPr>
        <w:t xml:space="preserve"> </w:t>
      </w:r>
      <w:r>
        <w:rPr>
          <w:rFonts w:hint="eastAsia" w:ascii="仿宋" w:hAnsi="仿宋" w:eastAsia="仿宋"/>
          <w:color w:val="000000"/>
          <w:kern w:val="0"/>
          <w:sz w:val="28"/>
        </w:rPr>
        <w:t>成交供应商拒绝与采购人签订合同的，采购人可以按照评审报告推荐的成交供应商名单排序，确定下一候选人为成交供应商，也可以重新开展政府采购活动。</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rPr>
          <w:rFonts w:hint="eastAsia"/>
        </w:rPr>
      </w:pPr>
      <w:bookmarkStart w:id="39" w:name="_Toc61184630"/>
      <w:bookmarkStart w:id="40" w:name="_Toc56170387"/>
      <w:bookmarkStart w:id="41" w:name="_Toc19574"/>
      <w:r>
        <w:rPr>
          <w:rFonts w:hint="eastAsia"/>
          <w:lang w:val="en-US" w:eastAsia="zh-CN"/>
        </w:rPr>
        <w:t>八</w:t>
      </w:r>
      <w:r>
        <w:rPr>
          <w:rFonts w:hint="eastAsia"/>
        </w:rPr>
        <w:t>、授予合同</w:t>
      </w:r>
      <w:bookmarkEnd w:id="39"/>
      <w:bookmarkEnd w:id="40"/>
      <w:bookmarkEnd w:id="41"/>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5"/>
        <w:spacing w:line="360" w:lineRule="auto"/>
        <w:rPr>
          <w:rFonts w:hint="eastAsia"/>
        </w:rPr>
      </w:pPr>
      <w:bookmarkStart w:id="42" w:name="_Toc56170388"/>
      <w:bookmarkStart w:id="43" w:name="_Toc275"/>
      <w:bookmarkStart w:id="44" w:name="_Toc61184631"/>
      <w:r>
        <w:rPr>
          <w:rFonts w:hint="eastAsia"/>
          <w:lang w:val="en-US" w:eastAsia="zh-CN"/>
        </w:rPr>
        <w:t>九</w:t>
      </w:r>
      <w:r>
        <w:rPr>
          <w:rFonts w:hint="eastAsia"/>
        </w:rPr>
        <w:t>、买方授标时更改采购货物数量的权利</w:t>
      </w:r>
      <w:bookmarkEnd w:id="42"/>
      <w:bookmarkEnd w:id="43"/>
      <w:bookmarkEnd w:id="44"/>
    </w:p>
    <w:p>
      <w:pPr>
        <w:pStyle w:val="26"/>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rPr>
      </w:pPr>
      <w:bookmarkStart w:id="45" w:name="_Toc61184632"/>
      <w:bookmarkStart w:id="46" w:name="_Toc56170389"/>
      <w:bookmarkStart w:id="47" w:name="_Toc27059"/>
      <w:r>
        <w:rPr>
          <w:rFonts w:hint="eastAsia"/>
          <w:lang w:val="en-US" w:eastAsia="zh-CN"/>
        </w:rPr>
        <w:t>十</w:t>
      </w:r>
      <w:r>
        <w:rPr>
          <w:rFonts w:hint="eastAsia"/>
        </w:rPr>
        <w:t>、其他事项</w:t>
      </w:r>
      <w:bookmarkEnd w:id="45"/>
      <w:bookmarkEnd w:id="46"/>
      <w:bookmarkEnd w:id="47"/>
    </w:p>
    <w:p>
      <w:pPr>
        <w:pStyle w:val="25"/>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5"/>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3"/>
      </w:pPr>
      <w:r>
        <w:rPr>
          <w:rFonts w:cs="Times New Roman"/>
          <w:szCs w:val="20"/>
        </w:rPr>
        <w:br w:type="page"/>
      </w:r>
      <w:bookmarkStart w:id="48" w:name="_Toc413"/>
      <w:bookmarkStart w:id="49" w:name="_Toc55990501"/>
      <w:bookmarkStart w:id="50" w:name="_Toc56170390"/>
      <w:bookmarkStart w:id="51" w:name="_Toc61184633"/>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心率变异性检测仪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1、显示画面：≥18寸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2、采样频率：250Hz-500Hz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3、波特率：达到115200 ps</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4、PPG传感器波长：红光660nm，红外光905nm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5、脉率测量范围：30bpm-250bpm±5%</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6、测量时间及精度：5min±3s</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7、检测原理：心率变异性（HRV)理论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*时域分析：Mean HR、SDNN、RMSSD、PSI、ApEn、SRD</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*频域分析：TP、VLF、LF、HF、LF norm、HF norm、LF/HF ratio</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拥有中国人的数据库。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*自主神经系统功能测评：自主神经系统活性，自主神经系统平衡，自主神经系统稳定性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*抗压能力测评：压力指数，疲劳指数，压力自动分析报表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*心率的定性分析：平均心率，异常性心率，心率变异报表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8、输出值：精神压力、疲劳度、抗压能力及压力指数、平均心率、心率稳定性、异常心博、自主神经活性、自主神经平衡性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9、报告：自动生成彩色图文打印报告，可以设置用户图标和信息。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10、使用电源：AC220V、50Hz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11、检查报告需与我院目前使用体检软件相匹配，并且有体检结果，支持结果原图传输体检系统与HIS系统。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3"/>
        <w:ind w:left="0" w:firstLine="0"/>
        <w:rPr>
          <w:rFonts w:hint="eastAsia"/>
          <w:sz w:val="28"/>
        </w:rPr>
      </w:pPr>
      <w:bookmarkStart w:id="52" w:name="_Toc61184634"/>
      <w:bookmarkStart w:id="53" w:name="_Toc56170391"/>
      <w:bookmarkStart w:id="54" w:name="_Toc21747"/>
      <w:bookmarkStart w:id="55" w:name="_Toc55990502"/>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0"/>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rPr>
          <w:rFonts w:hint="eastAsia"/>
        </w:rPr>
      </w:pPr>
      <w:r>
        <w:rPr>
          <w:rFonts w:hint="eastAsia"/>
        </w:rPr>
        <w:br w:type="page"/>
      </w:r>
      <w:bookmarkStart w:id="56" w:name="_Toc56170392"/>
      <w:bookmarkStart w:id="57" w:name="_Toc61184635"/>
      <w:bookmarkStart w:id="58" w:name="_Toc6245"/>
      <w:r>
        <w:rPr>
          <w:rFonts w:hint="eastAsia"/>
        </w:rPr>
        <w:t>第五章、响应文件格式</w:t>
      </w:r>
      <w:bookmarkEnd w:id="56"/>
      <w:bookmarkEnd w:id="57"/>
      <w:bookmarkEnd w:id="58"/>
    </w:p>
    <w:p>
      <w:pPr>
        <w:pStyle w:val="27"/>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5"/>
        <w:rPr>
          <w:rFonts w:hint="eastAsia"/>
        </w:rPr>
      </w:pPr>
      <w:r>
        <w:rPr>
          <w:rFonts w:hint="eastAsia"/>
          <w:sz w:val="36"/>
        </w:rPr>
        <w:br w:type="page"/>
      </w:r>
      <w:bookmarkStart w:id="59" w:name="_Toc61184636"/>
      <w:bookmarkStart w:id="60" w:name="_Toc10657"/>
      <w:bookmarkStart w:id="61" w:name="_Toc56170393"/>
      <w:r>
        <w:rPr>
          <w:rFonts w:hint="eastAsia"/>
        </w:rPr>
        <w:t>附件一、投标书</w:t>
      </w:r>
      <w:bookmarkEnd w:id="59"/>
      <w:bookmarkEnd w:id="60"/>
      <w:bookmarkEnd w:id="61"/>
    </w:p>
    <w:p>
      <w:pPr>
        <w:pStyle w:val="28"/>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5"/>
        <w:rPr>
          <w:rFonts w:hint="eastAsia"/>
        </w:rPr>
      </w:pPr>
      <w:r>
        <w:rPr>
          <w:rFonts w:hint="eastAsia"/>
        </w:rPr>
        <w:br w:type="page"/>
      </w:r>
      <w:bookmarkStart w:id="62" w:name="_Toc56170394"/>
      <w:bookmarkStart w:id="63" w:name="_Toc61184637"/>
      <w:bookmarkStart w:id="64" w:name="_Toc26466"/>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6"/>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6"/>
        <w:spacing w:line="360" w:lineRule="auto"/>
        <w:ind w:firstLine="560"/>
        <w:rPr>
          <w:rFonts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特此证明</w:t>
      </w: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6"/>
        <w:spacing w:line="360" w:lineRule="auto"/>
        <w:ind w:firstLine="560"/>
        <w:jc w:val="left"/>
        <w:rPr>
          <w:rFonts w:hint="eastAsia" w:ascii="仿宋" w:hAnsi="仿宋" w:eastAsia="仿宋"/>
          <w:color w:val="000000"/>
          <w:lang w:val="en-US" w:eastAsia="zh-CN"/>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rFonts w:hint="eastAsia" w:ascii="仿宋" w:hAnsi="仿宋" w:eastAsia="仿宋"/>
          <w:color w:val="000000"/>
          <w:szCs w:val="21"/>
        </w:rPr>
      </w:pPr>
      <w:r>
        <w:br w:type="page"/>
      </w:r>
      <w:bookmarkStart w:id="65" w:name="_Toc56170395"/>
      <w:bookmarkStart w:id="66" w:name="_Toc61184638"/>
      <w:bookmarkStart w:id="67" w:name="_Toc3373"/>
      <w:r>
        <w:rPr>
          <w:rFonts w:hint="eastAsia"/>
        </w:rPr>
        <w:t>附件三、法定代表人</w:t>
      </w:r>
      <w:r>
        <w:t>授权委托书</w:t>
      </w:r>
      <w:bookmarkEnd w:id="65"/>
      <w:bookmarkEnd w:id="66"/>
      <w:bookmarkEnd w:id="67"/>
    </w:p>
    <w:p>
      <w:pPr>
        <w:pStyle w:val="26"/>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6"/>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6"/>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6"/>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6"/>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6"/>
        <w:spacing w:line="360" w:lineRule="auto"/>
        <w:ind w:firstLine="560"/>
        <w:rPr>
          <w:rFonts w:ascii="仿宋" w:hAnsi="仿宋" w:eastAsia="仿宋"/>
          <w:color w:val="000000"/>
        </w:rPr>
      </w:pPr>
    </w:p>
    <w:p>
      <w:pPr>
        <w:pStyle w:val="5"/>
        <w:rPr>
          <w:rFonts w:hint="eastAsia"/>
        </w:rPr>
      </w:pPr>
      <w:r>
        <w:br w:type="page"/>
      </w:r>
      <w:bookmarkStart w:id="68" w:name="_Toc9301"/>
      <w:bookmarkStart w:id="69" w:name="_Toc56170396"/>
      <w:bookmarkStart w:id="70" w:name="_Toc61184639"/>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6"/>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6"/>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6"/>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rPr>
          <w:rFonts w:hint="eastAsia"/>
        </w:rPr>
        <w:br w:type="page"/>
      </w:r>
      <w:bookmarkStart w:id="71" w:name="_Toc61184640"/>
      <w:bookmarkStart w:id="72" w:name="_Toc5174"/>
      <w:bookmarkStart w:id="73" w:name="_Toc56170397"/>
      <w:r>
        <w:rPr>
          <w:rFonts w:hint="eastAsia"/>
        </w:rPr>
        <w:t>附件五、诚信磋商承诺书</w:t>
      </w:r>
      <w:bookmarkEnd w:id="71"/>
      <w:bookmarkEnd w:id="72"/>
      <w:bookmarkEnd w:id="73"/>
    </w:p>
    <w:p>
      <w:pPr>
        <w:pStyle w:val="26"/>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6"/>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6"/>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6"/>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5"/>
        <w:rPr>
          <w:rFonts w:hint="eastAsia"/>
        </w:rPr>
      </w:pPr>
      <w:r>
        <w:rPr>
          <w:rFonts w:hint="eastAsia"/>
          <w:szCs w:val="28"/>
        </w:rPr>
        <w:br w:type="page"/>
      </w:r>
      <w:bookmarkStart w:id="74" w:name="_Toc435087575"/>
      <w:bookmarkStart w:id="75" w:name="_Toc56170398"/>
      <w:bookmarkStart w:id="76" w:name="_Toc30642"/>
      <w:bookmarkStart w:id="77" w:name="_Toc61184641"/>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hint="eastAsia"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9"/>
        <w:rPr>
          <w:rFonts w:ascii="仿宋" w:hAnsi="仿宋" w:eastAsia="仿宋"/>
        </w:rPr>
      </w:pPr>
    </w:p>
    <w:p>
      <w:pPr>
        <w:pStyle w:val="26"/>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rPr>
      </w:pPr>
      <w:bookmarkStart w:id="79" w:name="_Toc61184642"/>
      <w:bookmarkStart w:id="80" w:name="_Toc22501"/>
      <w:bookmarkStart w:id="81" w:name="_Toc56170399"/>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0"/>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5"/>
        <w:rPr>
          <w:rFonts w:hint="eastAsia"/>
        </w:rPr>
      </w:pPr>
      <w:r>
        <w:rPr>
          <w:rFonts w:hint="eastAsia"/>
        </w:rPr>
        <w:br w:type="page"/>
      </w:r>
      <w:bookmarkStart w:id="82" w:name="_Toc61184643"/>
      <w:bookmarkStart w:id="83" w:name="_Toc56170400"/>
      <w:bookmarkStart w:id="84" w:name="_Toc2236"/>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6"/>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0"/>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2"/>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br w:type="page"/>
      </w:r>
      <w:bookmarkStart w:id="85" w:name="_Toc27579"/>
      <w:bookmarkStart w:id="86" w:name="_Toc61184644"/>
      <w:bookmarkStart w:id="87" w:name="_Toc56170401"/>
      <w:r>
        <w:rPr>
          <w:rFonts w:hint="eastAsia"/>
        </w:rPr>
        <w:t>附件</w:t>
      </w:r>
      <w:r>
        <w:rPr>
          <w:rFonts w:hint="eastAsia"/>
          <w:lang w:val="en-US" w:eastAsia="zh-CN"/>
        </w:rPr>
        <w:t>十</w:t>
      </w:r>
      <w:r>
        <w:rPr>
          <w:rFonts w:hint="eastAsia"/>
        </w:rPr>
        <w:t>、技术规格偏离表</w:t>
      </w:r>
      <w:bookmarkEnd w:id="85"/>
      <w:bookmarkEnd w:id="86"/>
      <w:bookmarkEnd w:id="87"/>
    </w:p>
    <w:tbl>
      <w:tblPr>
        <w:tblStyle w:val="20"/>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sz w:val="42"/>
        </w:rPr>
        <w:br w:type="page"/>
      </w:r>
      <w:bookmarkStart w:id="88" w:name="_Toc61184645"/>
      <w:bookmarkStart w:id="89" w:name="_Toc11172"/>
      <w:bookmarkStart w:id="90" w:name="_Toc56170402"/>
      <w:r>
        <w:rPr>
          <w:rFonts w:hint="eastAsia"/>
        </w:rPr>
        <w:t>附件十</w:t>
      </w:r>
      <w:r>
        <w:rPr>
          <w:rFonts w:hint="eastAsia"/>
          <w:lang w:val="en-US" w:eastAsia="zh-CN"/>
        </w:rPr>
        <w:t>一</w:t>
      </w:r>
      <w:r>
        <w:rPr>
          <w:rFonts w:hint="eastAsia"/>
        </w:rPr>
        <w:t>、商务条款偏离表</w:t>
      </w:r>
      <w:bookmarkEnd w:id="88"/>
      <w:bookmarkEnd w:id="89"/>
      <w:bookmarkEnd w:id="90"/>
    </w:p>
    <w:tbl>
      <w:tblPr>
        <w:tblStyle w:val="20"/>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rPr>
        <w:br w:type="page"/>
      </w:r>
      <w:bookmarkStart w:id="91" w:name="_Toc61184646"/>
      <w:bookmarkStart w:id="92" w:name="_Toc5354"/>
      <w:bookmarkStart w:id="93" w:name="_Toc56170403"/>
      <w:r>
        <w:rPr>
          <w:rFonts w:hint="eastAsia"/>
        </w:rPr>
        <w:t>附件十</w:t>
      </w:r>
      <w:r>
        <w:rPr>
          <w:rFonts w:hint="eastAsia"/>
          <w:lang w:val="en-US" w:eastAsia="zh-CN"/>
        </w:rPr>
        <w:t>二</w:t>
      </w:r>
      <w:r>
        <w:rPr>
          <w:rFonts w:hint="eastAsia"/>
        </w:rPr>
        <w:t>、磋商产品近三年同类产品销售业绩表</w:t>
      </w:r>
      <w:bookmarkEnd w:id="91"/>
      <w:bookmarkEnd w:id="92"/>
      <w:bookmarkEnd w:id="93"/>
    </w:p>
    <w:tbl>
      <w:tblPr>
        <w:tblStyle w:val="20"/>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2"/>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170B57"/>
    <w:rsid w:val="00264E69"/>
    <w:rsid w:val="008F08CE"/>
    <w:rsid w:val="00CD1788"/>
    <w:rsid w:val="00E40206"/>
    <w:rsid w:val="00FD16FA"/>
    <w:rsid w:val="01973B44"/>
    <w:rsid w:val="01CC2A72"/>
    <w:rsid w:val="023F1905"/>
    <w:rsid w:val="026262C0"/>
    <w:rsid w:val="02A30234"/>
    <w:rsid w:val="032558AB"/>
    <w:rsid w:val="035E2B6B"/>
    <w:rsid w:val="035E6419"/>
    <w:rsid w:val="036A7762"/>
    <w:rsid w:val="036D3DE7"/>
    <w:rsid w:val="03E27385"/>
    <w:rsid w:val="04BA216D"/>
    <w:rsid w:val="055752FB"/>
    <w:rsid w:val="05663F59"/>
    <w:rsid w:val="0642797C"/>
    <w:rsid w:val="076170CE"/>
    <w:rsid w:val="076C4A0F"/>
    <w:rsid w:val="079851F1"/>
    <w:rsid w:val="07FE7A63"/>
    <w:rsid w:val="081A742F"/>
    <w:rsid w:val="08670714"/>
    <w:rsid w:val="0932487E"/>
    <w:rsid w:val="09661D2F"/>
    <w:rsid w:val="09AC5E32"/>
    <w:rsid w:val="09D05E45"/>
    <w:rsid w:val="0A183EA3"/>
    <w:rsid w:val="0A4C26EB"/>
    <w:rsid w:val="0AD54619"/>
    <w:rsid w:val="0BB55228"/>
    <w:rsid w:val="0BBA4F70"/>
    <w:rsid w:val="0BF5180D"/>
    <w:rsid w:val="0C5302AB"/>
    <w:rsid w:val="0CEC11E8"/>
    <w:rsid w:val="0D452426"/>
    <w:rsid w:val="0DC11B23"/>
    <w:rsid w:val="0E052CF8"/>
    <w:rsid w:val="0E08085D"/>
    <w:rsid w:val="0E7A447D"/>
    <w:rsid w:val="0EDB1514"/>
    <w:rsid w:val="0EF6634E"/>
    <w:rsid w:val="0F046CBD"/>
    <w:rsid w:val="0F161444"/>
    <w:rsid w:val="0F606C81"/>
    <w:rsid w:val="0FA16A33"/>
    <w:rsid w:val="1019116F"/>
    <w:rsid w:val="102C0516"/>
    <w:rsid w:val="10AC5ADF"/>
    <w:rsid w:val="114754DD"/>
    <w:rsid w:val="11C444E1"/>
    <w:rsid w:val="11CF7681"/>
    <w:rsid w:val="12BC78AF"/>
    <w:rsid w:val="139776B8"/>
    <w:rsid w:val="13B05556"/>
    <w:rsid w:val="13BA5F08"/>
    <w:rsid w:val="13E67B05"/>
    <w:rsid w:val="13FE237D"/>
    <w:rsid w:val="145C6C53"/>
    <w:rsid w:val="146126A9"/>
    <w:rsid w:val="14961306"/>
    <w:rsid w:val="14F21FBC"/>
    <w:rsid w:val="15000AF5"/>
    <w:rsid w:val="15506288"/>
    <w:rsid w:val="15603CAA"/>
    <w:rsid w:val="15CC7E09"/>
    <w:rsid w:val="16076AAC"/>
    <w:rsid w:val="161F262E"/>
    <w:rsid w:val="162016E7"/>
    <w:rsid w:val="164B44BB"/>
    <w:rsid w:val="16AD19E8"/>
    <w:rsid w:val="16F93156"/>
    <w:rsid w:val="1736249E"/>
    <w:rsid w:val="17575DF8"/>
    <w:rsid w:val="177171E7"/>
    <w:rsid w:val="17B80644"/>
    <w:rsid w:val="183879D7"/>
    <w:rsid w:val="185B1B37"/>
    <w:rsid w:val="187076F6"/>
    <w:rsid w:val="18761063"/>
    <w:rsid w:val="18963552"/>
    <w:rsid w:val="18BA78F3"/>
    <w:rsid w:val="18D67282"/>
    <w:rsid w:val="198C3CCE"/>
    <w:rsid w:val="19C534ED"/>
    <w:rsid w:val="1A116732"/>
    <w:rsid w:val="1A1B1B9C"/>
    <w:rsid w:val="1A92241C"/>
    <w:rsid w:val="1B1572B6"/>
    <w:rsid w:val="1B476B6D"/>
    <w:rsid w:val="1B970EB9"/>
    <w:rsid w:val="1BBC2159"/>
    <w:rsid w:val="1C9D0B01"/>
    <w:rsid w:val="1CBD485A"/>
    <w:rsid w:val="1D6E5B08"/>
    <w:rsid w:val="1DE420B1"/>
    <w:rsid w:val="1E1037B0"/>
    <w:rsid w:val="1E296254"/>
    <w:rsid w:val="1E496813"/>
    <w:rsid w:val="1E770498"/>
    <w:rsid w:val="1F0371CC"/>
    <w:rsid w:val="1F257F94"/>
    <w:rsid w:val="1F5F5CCC"/>
    <w:rsid w:val="1FD359B9"/>
    <w:rsid w:val="20945F1C"/>
    <w:rsid w:val="20A43AB4"/>
    <w:rsid w:val="20C35BA6"/>
    <w:rsid w:val="21063CC7"/>
    <w:rsid w:val="214A3A41"/>
    <w:rsid w:val="214B077B"/>
    <w:rsid w:val="217838C3"/>
    <w:rsid w:val="21D7200F"/>
    <w:rsid w:val="22123047"/>
    <w:rsid w:val="221C2372"/>
    <w:rsid w:val="221E19EC"/>
    <w:rsid w:val="22332029"/>
    <w:rsid w:val="22353D7E"/>
    <w:rsid w:val="22D947ED"/>
    <w:rsid w:val="23275773"/>
    <w:rsid w:val="232F19D7"/>
    <w:rsid w:val="2333183B"/>
    <w:rsid w:val="233B75FE"/>
    <w:rsid w:val="23797C9C"/>
    <w:rsid w:val="238D506A"/>
    <w:rsid w:val="23B243CA"/>
    <w:rsid w:val="240063DE"/>
    <w:rsid w:val="240A66CC"/>
    <w:rsid w:val="242A39A5"/>
    <w:rsid w:val="242B4894"/>
    <w:rsid w:val="24464391"/>
    <w:rsid w:val="24470618"/>
    <w:rsid w:val="247E0DB7"/>
    <w:rsid w:val="249A2D2C"/>
    <w:rsid w:val="24E94CB4"/>
    <w:rsid w:val="25895BF3"/>
    <w:rsid w:val="25DD2143"/>
    <w:rsid w:val="265D7EFE"/>
    <w:rsid w:val="26F144A7"/>
    <w:rsid w:val="278E7BCD"/>
    <w:rsid w:val="27B70919"/>
    <w:rsid w:val="27F54F9D"/>
    <w:rsid w:val="28052165"/>
    <w:rsid w:val="284B1061"/>
    <w:rsid w:val="290860F5"/>
    <w:rsid w:val="298962E5"/>
    <w:rsid w:val="29C80E82"/>
    <w:rsid w:val="29F4021C"/>
    <w:rsid w:val="2A024B59"/>
    <w:rsid w:val="2A25438E"/>
    <w:rsid w:val="2A2C4ADE"/>
    <w:rsid w:val="2A4C2202"/>
    <w:rsid w:val="2A97233B"/>
    <w:rsid w:val="2AA34D40"/>
    <w:rsid w:val="2AD613E0"/>
    <w:rsid w:val="2B0100FD"/>
    <w:rsid w:val="2B766148"/>
    <w:rsid w:val="2B786611"/>
    <w:rsid w:val="2BEC0A82"/>
    <w:rsid w:val="2C086E09"/>
    <w:rsid w:val="2C3312DC"/>
    <w:rsid w:val="2C9A09A4"/>
    <w:rsid w:val="2CB6302F"/>
    <w:rsid w:val="2CE30411"/>
    <w:rsid w:val="2D2A56E9"/>
    <w:rsid w:val="2D6A01DB"/>
    <w:rsid w:val="2D831DB3"/>
    <w:rsid w:val="2DED4BDD"/>
    <w:rsid w:val="2DFE26D1"/>
    <w:rsid w:val="2E884DBD"/>
    <w:rsid w:val="2EEE52BA"/>
    <w:rsid w:val="2F686266"/>
    <w:rsid w:val="2F8135BA"/>
    <w:rsid w:val="2FAF5222"/>
    <w:rsid w:val="2FBB224C"/>
    <w:rsid w:val="2FBF4BA7"/>
    <w:rsid w:val="2FF9733C"/>
    <w:rsid w:val="303350A5"/>
    <w:rsid w:val="30750EFB"/>
    <w:rsid w:val="30DD4D5C"/>
    <w:rsid w:val="315106F8"/>
    <w:rsid w:val="3316539F"/>
    <w:rsid w:val="33A67A93"/>
    <w:rsid w:val="347D1D88"/>
    <w:rsid w:val="34864CF7"/>
    <w:rsid w:val="34B667EF"/>
    <w:rsid w:val="34C5399E"/>
    <w:rsid w:val="35040F15"/>
    <w:rsid w:val="353A2B32"/>
    <w:rsid w:val="35584DBD"/>
    <w:rsid w:val="359C114E"/>
    <w:rsid w:val="35BC359E"/>
    <w:rsid w:val="3660217B"/>
    <w:rsid w:val="366B28AD"/>
    <w:rsid w:val="368C4D1E"/>
    <w:rsid w:val="36AA33F6"/>
    <w:rsid w:val="36AB19CF"/>
    <w:rsid w:val="36E90616"/>
    <w:rsid w:val="378F7F37"/>
    <w:rsid w:val="37FA6DF6"/>
    <w:rsid w:val="380B2468"/>
    <w:rsid w:val="381476C1"/>
    <w:rsid w:val="385C4BC4"/>
    <w:rsid w:val="387F2EAE"/>
    <w:rsid w:val="38993021"/>
    <w:rsid w:val="389C6737"/>
    <w:rsid w:val="38D13BA5"/>
    <w:rsid w:val="38E532EC"/>
    <w:rsid w:val="38EA21D0"/>
    <w:rsid w:val="38F55962"/>
    <w:rsid w:val="39926718"/>
    <w:rsid w:val="39E11825"/>
    <w:rsid w:val="3A122237"/>
    <w:rsid w:val="3A2C539B"/>
    <w:rsid w:val="3A83468A"/>
    <w:rsid w:val="3A865F28"/>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581806"/>
    <w:rsid w:val="3E10685D"/>
    <w:rsid w:val="3E3C1720"/>
    <w:rsid w:val="3E5E1696"/>
    <w:rsid w:val="3E644066"/>
    <w:rsid w:val="3EE36CFB"/>
    <w:rsid w:val="3F5B3E28"/>
    <w:rsid w:val="3F9A7199"/>
    <w:rsid w:val="3FCE4D5F"/>
    <w:rsid w:val="4016514E"/>
    <w:rsid w:val="404103AF"/>
    <w:rsid w:val="40A551BD"/>
    <w:rsid w:val="40B557B9"/>
    <w:rsid w:val="40BC08F6"/>
    <w:rsid w:val="40BC30F3"/>
    <w:rsid w:val="411B561D"/>
    <w:rsid w:val="41B617E9"/>
    <w:rsid w:val="42024A2E"/>
    <w:rsid w:val="4222702A"/>
    <w:rsid w:val="42B02335"/>
    <w:rsid w:val="43034954"/>
    <w:rsid w:val="431639EA"/>
    <w:rsid w:val="43350757"/>
    <w:rsid w:val="44752B04"/>
    <w:rsid w:val="448C3718"/>
    <w:rsid w:val="44B607EB"/>
    <w:rsid w:val="44EC1164"/>
    <w:rsid w:val="450A2833"/>
    <w:rsid w:val="456B4783"/>
    <w:rsid w:val="467A4749"/>
    <w:rsid w:val="46A130D7"/>
    <w:rsid w:val="474858DB"/>
    <w:rsid w:val="480D1A37"/>
    <w:rsid w:val="480D2BCC"/>
    <w:rsid w:val="481652EC"/>
    <w:rsid w:val="487C5A0C"/>
    <w:rsid w:val="489C088E"/>
    <w:rsid w:val="493023AB"/>
    <w:rsid w:val="49612D0A"/>
    <w:rsid w:val="49E50EBD"/>
    <w:rsid w:val="49FC5FB9"/>
    <w:rsid w:val="4AB92B2D"/>
    <w:rsid w:val="4AD90754"/>
    <w:rsid w:val="4AFD3876"/>
    <w:rsid w:val="4B334AC2"/>
    <w:rsid w:val="4B347B1E"/>
    <w:rsid w:val="4B3B68BB"/>
    <w:rsid w:val="4B49722A"/>
    <w:rsid w:val="4B887DA7"/>
    <w:rsid w:val="4BD96800"/>
    <w:rsid w:val="4BDF6255"/>
    <w:rsid w:val="4C3236D8"/>
    <w:rsid w:val="4C356D7A"/>
    <w:rsid w:val="4C4F6AC2"/>
    <w:rsid w:val="4C786019"/>
    <w:rsid w:val="4CF52547"/>
    <w:rsid w:val="4D2E42F8"/>
    <w:rsid w:val="4D3563C5"/>
    <w:rsid w:val="4D447CA9"/>
    <w:rsid w:val="4D9A2275"/>
    <w:rsid w:val="4DC90425"/>
    <w:rsid w:val="4E28581D"/>
    <w:rsid w:val="4E821322"/>
    <w:rsid w:val="4F097282"/>
    <w:rsid w:val="4F5211AD"/>
    <w:rsid w:val="4F7F321A"/>
    <w:rsid w:val="4FBE01E7"/>
    <w:rsid w:val="4FE13ED5"/>
    <w:rsid w:val="4FE614EB"/>
    <w:rsid w:val="50AD1252"/>
    <w:rsid w:val="50FA27B7"/>
    <w:rsid w:val="51612D17"/>
    <w:rsid w:val="518E1E3B"/>
    <w:rsid w:val="519136D9"/>
    <w:rsid w:val="520A13C1"/>
    <w:rsid w:val="52225098"/>
    <w:rsid w:val="52392A02"/>
    <w:rsid w:val="524052BE"/>
    <w:rsid w:val="52A64F62"/>
    <w:rsid w:val="52E635B0"/>
    <w:rsid w:val="533624D2"/>
    <w:rsid w:val="5386726D"/>
    <w:rsid w:val="53F84770"/>
    <w:rsid w:val="540256B8"/>
    <w:rsid w:val="54141C5F"/>
    <w:rsid w:val="54422A68"/>
    <w:rsid w:val="54851111"/>
    <w:rsid w:val="54E002D6"/>
    <w:rsid w:val="54FB1595"/>
    <w:rsid w:val="55050F25"/>
    <w:rsid w:val="553D4883"/>
    <w:rsid w:val="556C161A"/>
    <w:rsid w:val="55A43901"/>
    <w:rsid w:val="561645C0"/>
    <w:rsid w:val="56DB1DE0"/>
    <w:rsid w:val="56E416C6"/>
    <w:rsid w:val="57487C6A"/>
    <w:rsid w:val="576553EC"/>
    <w:rsid w:val="581C0165"/>
    <w:rsid w:val="583E4D05"/>
    <w:rsid w:val="586E6522"/>
    <w:rsid w:val="58937D37"/>
    <w:rsid w:val="59101387"/>
    <w:rsid w:val="59264BC4"/>
    <w:rsid w:val="59390EB0"/>
    <w:rsid w:val="59627D3C"/>
    <w:rsid w:val="596F535C"/>
    <w:rsid w:val="59C32FE7"/>
    <w:rsid w:val="59C5600F"/>
    <w:rsid w:val="5A184670"/>
    <w:rsid w:val="5A3D61AC"/>
    <w:rsid w:val="5A590CCA"/>
    <w:rsid w:val="5A607F12"/>
    <w:rsid w:val="5A7476F4"/>
    <w:rsid w:val="5AF34C1E"/>
    <w:rsid w:val="5B7875E9"/>
    <w:rsid w:val="5B871F88"/>
    <w:rsid w:val="5B9524A0"/>
    <w:rsid w:val="5BA23B75"/>
    <w:rsid w:val="5BA35E47"/>
    <w:rsid w:val="5C46556A"/>
    <w:rsid w:val="5C7F2045"/>
    <w:rsid w:val="5C983B6D"/>
    <w:rsid w:val="5CA01070"/>
    <w:rsid w:val="5CA02A22"/>
    <w:rsid w:val="5CF04846"/>
    <w:rsid w:val="5D1642F8"/>
    <w:rsid w:val="5D531309"/>
    <w:rsid w:val="5D8F2381"/>
    <w:rsid w:val="5E102984"/>
    <w:rsid w:val="5E1B7F6C"/>
    <w:rsid w:val="5F9864B1"/>
    <w:rsid w:val="5FC11EAC"/>
    <w:rsid w:val="5FF8339D"/>
    <w:rsid w:val="6034358B"/>
    <w:rsid w:val="604E31CC"/>
    <w:rsid w:val="609861B7"/>
    <w:rsid w:val="60C9330E"/>
    <w:rsid w:val="60F511E1"/>
    <w:rsid w:val="61040118"/>
    <w:rsid w:val="612E5943"/>
    <w:rsid w:val="615A2B49"/>
    <w:rsid w:val="6189617B"/>
    <w:rsid w:val="61B40C7C"/>
    <w:rsid w:val="61D373A0"/>
    <w:rsid w:val="61F65D0A"/>
    <w:rsid w:val="62447A52"/>
    <w:rsid w:val="625E3351"/>
    <w:rsid w:val="62922837"/>
    <w:rsid w:val="629569CE"/>
    <w:rsid w:val="632443AD"/>
    <w:rsid w:val="633765BE"/>
    <w:rsid w:val="63612F0B"/>
    <w:rsid w:val="63675C32"/>
    <w:rsid w:val="63747EBF"/>
    <w:rsid w:val="63FD17A1"/>
    <w:rsid w:val="640B2E77"/>
    <w:rsid w:val="641D4612"/>
    <w:rsid w:val="647A3D59"/>
    <w:rsid w:val="64A56F02"/>
    <w:rsid w:val="64E154E8"/>
    <w:rsid w:val="652E506F"/>
    <w:rsid w:val="660E1EAC"/>
    <w:rsid w:val="66E15D4B"/>
    <w:rsid w:val="66F34A87"/>
    <w:rsid w:val="67006EDF"/>
    <w:rsid w:val="67D5211A"/>
    <w:rsid w:val="67DA4BE8"/>
    <w:rsid w:val="681F5B80"/>
    <w:rsid w:val="68347765"/>
    <w:rsid w:val="68570199"/>
    <w:rsid w:val="68C10EA3"/>
    <w:rsid w:val="68E00D76"/>
    <w:rsid w:val="69276BA6"/>
    <w:rsid w:val="692F726B"/>
    <w:rsid w:val="6AF17A90"/>
    <w:rsid w:val="6B000621"/>
    <w:rsid w:val="6B310C5C"/>
    <w:rsid w:val="6B505DF2"/>
    <w:rsid w:val="6C0A2425"/>
    <w:rsid w:val="6C527BD9"/>
    <w:rsid w:val="6C6C56DD"/>
    <w:rsid w:val="6CA74FAC"/>
    <w:rsid w:val="6CCB5BDC"/>
    <w:rsid w:val="6D021C4A"/>
    <w:rsid w:val="6D5C063D"/>
    <w:rsid w:val="6E076DA5"/>
    <w:rsid w:val="6E6445B1"/>
    <w:rsid w:val="6EDD18B4"/>
    <w:rsid w:val="6F293AAD"/>
    <w:rsid w:val="70136948"/>
    <w:rsid w:val="705E4690"/>
    <w:rsid w:val="713C1616"/>
    <w:rsid w:val="71587FE3"/>
    <w:rsid w:val="71684453"/>
    <w:rsid w:val="7175580A"/>
    <w:rsid w:val="719B5108"/>
    <w:rsid w:val="71D62D16"/>
    <w:rsid w:val="72021D5D"/>
    <w:rsid w:val="720E38B7"/>
    <w:rsid w:val="72505422"/>
    <w:rsid w:val="72D45970"/>
    <w:rsid w:val="72F47B8C"/>
    <w:rsid w:val="72FE2BF5"/>
    <w:rsid w:val="731E1D9B"/>
    <w:rsid w:val="74772A21"/>
    <w:rsid w:val="749141B2"/>
    <w:rsid w:val="74AF5B6B"/>
    <w:rsid w:val="74EF6108"/>
    <w:rsid w:val="74F617DA"/>
    <w:rsid w:val="74FF7EF2"/>
    <w:rsid w:val="752244C4"/>
    <w:rsid w:val="753C6B6B"/>
    <w:rsid w:val="75684FB2"/>
    <w:rsid w:val="758B2449"/>
    <w:rsid w:val="759D45A2"/>
    <w:rsid w:val="76134355"/>
    <w:rsid w:val="76453822"/>
    <w:rsid w:val="766E65AC"/>
    <w:rsid w:val="7682346D"/>
    <w:rsid w:val="76BB26B6"/>
    <w:rsid w:val="76DB3C4B"/>
    <w:rsid w:val="77EC1587"/>
    <w:rsid w:val="78236D41"/>
    <w:rsid w:val="782D11B6"/>
    <w:rsid w:val="78681753"/>
    <w:rsid w:val="78BE00B5"/>
    <w:rsid w:val="792151BF"/>
    <w:rsid w:val="79627585"/>
    <w:rsid w:val="79746AF1"/>
    <w:rsid w:val="79BC0A44"/>
    <w:rsid w:val="7A1563A6"/>
    <w:rsid w:val="7AB34C00"/>
    <w:rsid w:val="7ABB6F4D"/>
    <w:rsid w:val="7B281593"/>
    <w:rsid w:val="7B3B008E"/>
    <w:rsid w:val="7B875186"/>
    <w:rsid w:val="7BB35E76"/>
    <w:rsid w:val="7BB4541E"/>
    <w:rsid w:val="7BE4235C"/>
    <w:rsid w:val="7C1D5AC8"/>
    <w:rsid w:val="7C5A7F0B"/>
    <w:rsid w:val="7D000293"/>
    <w:rsid w:val="7D162B61"/>
    <w:rsid w:val="7D6F2271"/>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spacing w:line="360" w:lineRule="auto"/>
      <w:ind w:left="181" w:firstLine="420"/>
    </w:pPr>
    <w:rPr>
      <w:rFonts w:eastAsia="宋体"/>
      <w:sz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toa heading"/>
    <w:basedOn w:val="1"/>
    <w:next w:val="1"/>
    <w:qFormat/>
    <w:uiPriority w:val="0"/>
    <w:pPr>
      <w:spacing w:before="120"/>
    </w:pPr>
    <w:rPr>
      <w:rFonts w:ascii="Arial" w:hAnsi="Arial" w:cs="Arial"/>
      <w:sz w:val="24"/>
    </w:rPr>
  </w:style>
  <w:style w:type="paragraph" w:styleId="9">
    <w:name w:val="Body Text"/>
    <w:basedOn w:val="1"/>
    <w:qFormat/>
    <w:uiPriority w:val="0"/>
    <w:rPr>
      <w:sz w:val="24"/>
      <w:szCs w:val="24"/>
    </w:rPr>
  </w:style>
  <w:style w:type="paragraph" w:styleId="10">
    <w:name w:val="Body Text Indent"/>
    <w:basedOn w:val="1"/>
    <w:next w:val="11"/>
    <w:unhideWhenUsed/>
    <w:qFormat/>
    <w:uiPriority w:val="0"/>
    <w:pPr>
      <w:autoSpaceDE w:val="0"/>
      <w:autoSpaceDN w:val="0"/>
      <w:spacing w:after="120"/>
      <w:ind w:left="420"/>
    </w:pPr>
    <w:rPr>
      <w:szCs w:val="24"/>
      <w:lang w:val="zh-CN"/>
    </w:rPr>
  </w:style>
  <w:style w:type="paragraph" w:styleId="11">
    <w:name w:val="envelope return"/>
    <w:basedOn w:val="1"/>
    <w:unhideWhenUsed/>
    <w:qFormat/>
    <w:uiPriority w:val="0"/>
    <w:pPr>
      <w:snapToGrid w:val="0"/>
    </w:pPr>
    <w:rPr>
      <w:rFonts w:ascii="Arial" w:hAnsi="Arial"/>
    </w:rPr>
  </w:style>
  <w:style w:type="paragraph" w:styleId="12">
    <w:name w:val="Plain Text"/>
    <w:basedOn w:val="1"/>
    <w:qFormat/>
    <w:uiPriority w:val="0"/>
    <w:rPr>
      <w:rFonts w:ascii="宋体" w:hAnsi="Courier New"/>
      <w:sz w:val="11"/>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before="120" w:after="120" w:line="360" w:lineRule="auto"/>
      <w:ind w:firstLine="200" w:firstLineChars="200"/>
      <w:jc w:val="left"/>
    </w:pPr>
    <w:rPr>
      <w:b/>
      <w:bCs/>
      <w:caps/>
      <w:sz w:val="20"/>
    </w:rPr>
  </w:style>
  <w:style w:type="paragraph" w:styleId="16">
    <w:name w:val="List"/>
    <w:basedOn w:val="1"/>
    <w:qFormat/>
    <w:uiPriority w:val="0"/>
    <w:pPr>
      <w:ind w:left="420" w:hanging="420"/>
    </w:pPr>
    <w:rPr>
      <w:rFonts w:ascii="Arial" w:hAnsi="Arial" w:eastAsia="楷体_GB2312"/>
      <w:sz w:val="28"/>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10"/>
    <w:next w:val="16"/>
    <w:unhideWhenUsed/>
    <w:qFormat/>
    <w:uiPriority w:val="0"/>
    <w:pPr>
      <w:ind w:firstLine="420"/>
    </w:pPr>
    <w:rPr>
      <w:lang w:bidi="zh-CN"/>
    </w:rPr>
  </w:style>
  <w:style w:type="character" w:styleId="22">
    <w:name w:val="Emphasis"/>
    <w:qFormat/>
    <w:uiPriority w:val="0"/>
    <w:rPr>
      <w:i/>
      <w:iCs/>
    </w:rPr>
  </w:style>
  <w:style w:type="character" w:styleId="23">
    <w:name w:val="Hyperlink"/>
    <w:qFormat/>
    <w:uiPriority w:val="99"/>
    <w:rPr>
      <w:color w:val="333333"/>
      <w:u w:val="none"/>
    </w:rPr>
  </w:style>
  <w:style w:type="paragraph" w:customStyle="1" w:styleId="24">
    <w:name w:val="_Style 2"/>
    <w:basedOn w:val="1"/>
    <w:next w:val="1"/>
    <w:qFormat/>
    <w:uiPriority w:val="99"/>
    <w:pPr>
      <w:ind w:firstLine="420" w:firstLineChars="200"/>
    </w:pPr>
    <w:rPr>
      <w:szCs w:val="24"/>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列出段落1"/>
    <w:basedOn w:val="1"/>
    <w:qFormat/>
    <w:uiPriority w:val="34"/>
    <w:pPr>
      <w:ind w:firstLine="420" w:firstLineChars="200"/>
    </w:pPr>
    <w:rPr>
      <w:szCs w:val="21"/>
    </w:rPr>
  </w:style>
  <w:style w:type="paragraph" w:customStyle="1" w:styleId="30">
    <w:name w:val="正文缩进1"/>
    <w:basedOn w:val="1"/>
    <w:qFormat/>
    <w:uiPriority w:val="0"/>
    <w:pPr>
      <w:ind w:firstLine="420"/>
    </w:pPr>
    <w:rPr>
      <w:rFonts w:ascii="Times New Roman" w:hAnsi="Times New Roman"/>
    </w:rPr>
  </w:style>
  <w:style w:type="paragraph" w:customStyle="1" w:styleId="3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2">
    <w:name w:val="7）页眉页脚"/>
    <w:qFormat/>
    <w:uiPriority w:val="0"/>
    <w:rPr>
      <w:rFonts w:ascii="仿宋_GB2312" w:eastAsia="仿宋_GB2312"/>
      <w:b/>
      <w:i/>
      <w:sz w:val="18"/>
      <w:vertAlign w:val="baseline"/>
    </w:rPr>
  </w:style>
  <w:style w:type="paragraph" w:customStyle="1" w:styleId="33">
    <w:name w:val="答复表头"/>
    <w:basedOn w:val="34"/>
    <w:next w:val="1"/>
    <w:qFormat/>
    <w:uiPriority w:val="0"/>
    <w:pPr>
      <w:tabs>
        <w:tab w:val="left" w:pos="480"/>
      </w:tabs>
    </w:pPr>
    <w:rPr>
      <w:b/>
    </w:rPr>
  </w:style>
  <w:style w:type="paragraph" w:customStyle="1" w:styleId="3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6">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25095</Words>
  <Characters>26399</Characters>
  <Lines>258</Lines>
  <Paragraphs>72</Paragraphs>
  <TotalTime>0</TotalTime>
  <ScaleCrop>false</ScaleCrop>
  <LinksUpToDate>false</LinksUpToDate>
  <CharactersWithSpaces>28575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2022-04-14T12:46:46Z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7C2F16EED52E4191B732E9AB9CBA4BE9</vt:lpwstr>
  </property>
  <property fmtid="{D5CDD505-2E9C-101B-9397-08002B2CF9AE}" pid="4" name="commondata">
    <vt:lpwstr>eyJoZGlkIjoiMTliMDc2ZjMyNTJmNDhmMzdiNmNhZGU4MzFiNzkzYmMifQ==</vt:lpwstr>
  </property>
</Properties>
</file>