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szCs w:val="21"/>
          <w:highlight w:val="none"/>
        </w:rPr>
      </w:pPr>
    </w:p>
    <w:p>
      <w:pPr>
        <w:spacing w:line="263" w:lineRule="auto"/>
        <w:rPr>
          <w:rFonts w:hint="eastAsia" w:ascii="宋体" w:hAnsi="宋体" w:eastAsia="宋体" w:cs="宋体"/>
          <w:color w:val="auto"/>
          <w:sz w:val="32"/>
          <w:szCs w:val="32"/>
          <w:highlight w:val="none"/>
        </w:rPr>
      </w:pPr>
    </w:p>
    <w:p>
      <w:pPr>
        <w:spacing w:before="143" w:line="184"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pacing w:val="-21"/>
          <w:sz w:val="72"/>
          <w:szCs w:val="72"/>
          <w:highlight w:val="none"/>
          <w:lang w:eastAsia="zh-CN"/>
          <w14:textOutline w14:w="7836" w14:cap="flat" w14:cmpd="sng">
            <w14:solidFill>
              <w14:srgbClr w14:val="000000"/>
            </w14:solidFill>
            <w14:prstDash w14:val="solid"/>
            <w14:miter w14:val="0"/>
          </w14:textOutline>
        </w:rPr>
        <w:t>新疆布尔根河狸国家级自然保护区一期河狸栖息地水位保障透水闸项目</w:t>
      </w:r>
    </w:p>
    <w:p>
      <w:pPr>
        <w:spacing w:line="267" w:lineRule="auto"/>
        <w:rPr>
          <w:rFonts w:hint="eastAsia" w:ascii="宋体" w:hAnsi="宋体" w:eastAsia="宋体" w:cs="宋体"/>
          <w:color w:val="auto"/>
          <w:sz w:val="21"/>
          <w:highlight w:val="none"/>
        </w:rPr>
      </w:pPr>
    </w:p>
    <w:p>
      <w:pPr>
        <w:spacing w:line="267" w:lineRule="auto"/>
        <w:rPr>
          <w:rFonts w:hint="eastAsia" w:ascii="宋体" w:hAnsi="宋体" w:eastAsia="宋体" w:cs="宋体"/>
          <w:color w:val="auto"/>
          <w:sz w:val="21"/>
          <w:highlight w:val="none"/>
        </w:rPr>
      </w:pPr>
    </w:p>
    <w:p>
      <w:pPr>
        <w:spacing w:line="268" w:lineRule="auto"/>
        <w:rPr>
          <w:rFonts w:hint="eastAsia" w:ascii="宋体" w:hAnsi="宋体" w:eastAsia="宋体" w:cs="宋体"/>
          <w:color w:val="auto"/>
          <w:sz w:val="21"/>
          <w:highlight w:val="none"/>
        </w:rPr>
      </w:pPr>
    </w:p>
    <w:p>
      <w:pPr>
        <w:spacing w:line="268" w:lineRule="auto"/>
        <w:rPr>
          <w:rFonts w:hint="eastAsia" w:ascii="宋体" w:hAnsi="宋体" w:eastAsia="宋体" w:cs="宋体"/>
          <w:color w:val="auto"/>
          <w:sz w:val="21"/>
          <w:highlight w:val="none"/>
        </w:rPr>
      </w:pPr>
    </w:p>
    <w:p>
      <w:pPr>
        <w:pStyle w:val="9"/>
        <w:jc w:val="center"/>
        <w:rPr>
          <w:rFonts w:hint="eastAsia" w:ascii="宋体" w:hAnsi="宋体" w:eastAsia="宋体" w:cs="宋体"/>
          <w:color w:val="auto"/>
          <w:sz w:val="72"/>
          <w:szCs w:val="22"/>
          <w:highlight w:val="none"/>
        </w:rPr>
      </w:pPr>
    </w:p>
    <w:p>
      <w:pPr>
        <w:spacing w:before="169" w:line="185" w:lineRule="auto"/>
        <w:jc w:val="center"/>
        <w:rPr>
          <w:rFonts w:hint="eastAsia" w:ascii="宋体" w:hAnsi="宋体" w:eastAsia="宋体" w:cs="宋体"/>
          <w:color w:val="auto"/>
          <w:sz w:val="56"/>
          <w:szCs w:val="56"/>
          <w:highlight w:val="none"/>
        </w:rPr>
      </w:pPr>
      <w:r>
        <w:rPr>
          <w:rFonts w:hint="eastAsia" w:ascii="宋体" w:hAnsi="宋体" w:eastAsia="宋体" w:cs="宋体"/>
          <w:color w:val="auto"/>
          <w:spacing w:val="-4"/>
          <w:sz w:val="56"/>
          <w:szCs w:val="56"/>
          <w:highlight w:val="none"/>
        </w:rPr>
        <w:t>竞争性谈判文件</w:t>
      </w: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招标单位：新疆布尔根河狸国家级自然保护区管理局（盖章）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项目编号：ZFCGA-ZYHXZB2022-014</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招标代理公司: 新疆泽源和忻项目管理咨询有限公司(盖章)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法定代表人(签字或盖章):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项目联系人:邓胜楠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联系电话:18935826608</w:t>
      </w:r>
    </w:p>
    <w:p>
      <w:pPr>
        <w:spacing w:line="314" w:lineRule="auto"/>
        <w:rPr>
          <w:rFonts w:hint="eastAsia" w:ascii="宋体" w:hAnsi="宋体" w:eastAsia="宋体" w:cs="宋体"/>
          <w:color w:val="auto"/>
          <w:sz w:val="21"/>
          <w:highlight w:val="none"/>
        </w:rPr>
      </w:pPr>
    </w:p>
    <w:p>
      <w:pPr>
        <w:spacing w:line="315" w:lineRule="auto"/>
        <w:rPr>
          <w:rFonts w:hint="eastAsia" w:ascii="宋体" w:hAnsi="宋体" w:eastAsia="宋体" w:cs="宋体"/>
          <w:color w:val="auto"/>
          <w:sz w:val="21"/>
          <w:highlight w:val="none"/>
        </w:rPr>
      </w:pPr>
    </w:p>
    <w:p>
      <w:pPr>
        <w:spacing w:before="91" w:line="185" w:lineRule="auto"/>
        <w:ind w:firstLine="2336"/>
        <w:rPr>
          <w:rFonts w:hint="eastAsia" w:ascii="宋体" w:hAnsi="宋体" w:eastAsia="宋体" w:cs="宋体"/>
          <w:color w:val="auto"/>
          <w:spacing w:val="-17"/>
          <w:sz w:val="28"/>
          <w:szCs w:val="28"/>
          <w:highlight w:val="none"/>
        </w:rPr>
      </w:pPr>
      <w:r>
        <w:rPr>
          <w:rFonts w:hint="eastAsia" w:ascii="宋体" w:hAnsi="宋体" w:eastAsia="宋体" w:cs="宋体"/>
          <w:color w:val="auto"/>
          <w:spacing w:val="-17"/>
          <w:sz w:val="28"/>
          <w:szCs w:val="28"/>
          <w:highlight w:val="none"/>
        </w:rPr>
        <w:t>编制日期：</w:t>
      </w:r>
      <w:r>
        <w:rPr>
          <w:rFonts w:hint="eastAsia" w:ascii="宋体" w:hAnsi="宋体" w:eastAsia="宋体" w:cs="宋体"/>
          <w:color w:val="auto"/>
          <w:spacing w:val="69"/>
          <w:sz w:val="28"/>
          <w:szCs w:val="28"/>
          <w:highlight w:val="none"/>
        </w:rPr>
        <w:t xml:space="preserve"> </w:t>
      </w:r>
      <w:r>
        <w:rPr>
          <w:rFonts w:hint="eastAsia" w:ascii="宋体" w:hAnsi="宋体" w:eastAsia="宋体" w:cs="宋体"/>
          <w:color w:val="auto"/>
          <w:spacing w:val="-17"/>
          <w:sz w:val="28"/>
          <w:szCs w:val="28"/>
          <w:highlight w:val="none"/>
        </w:rPr>
        <w:t>2022</w:t>
      </w:r>
      <w:r>
        <w:rPr>
          <w:rFonts w:hint="eastAsia" w:ascii="宋体" w:hAnsi="宋体" w:eastAsia="宋体" w:cs="宋体"/>
          <w:color w:val="auto"/>
          <w:spacing w:val="-59"/>
          <w:sz w:val="28"/>
          <w:szCs w:val="28"/>
          <w:highlight w:val="none"/>
        </w:rPr>
        <w:t xml:space="preserve"> </w:t>
      </w:r>
      <w:r>
        <w:rPr>
          <w:rFonts w:hint="eastAsia" w:ascii="宋体" w:hAnsi="宋体" w:eastAsia="宋体" w:cs="宋体"/>
          <w:color w:val="auto"/>
          <w:spacing w:val="-17"/>
          <w:sz w:val="28"/>
          <w:szCs w:val="28"/>
          <w:highlight w:val="none"/>
        </w:rPr>
        <w:t>年</w:t>
      </w:r>
      <w:r>
        <w:rPr>
          <w:rFonts w:hint="eastAsia" w:ascii="宋体" w:hAnsi="宋体" w:eastAsia="宋体" w:cs="宋体"/>
          <w:color w:val="auto"/>
          <w:spacing w:val="-58"/>
          <w:sz w:val="28"/>
          <w:szCs w:val="28"/>
          <w:highlight w:val="none"/>
        </w:rPr>
        <w:t xml:space="preserve"> </w:t>
      </w:r>
      <w:r>
        <w:rPr>
          <w:rFonts w:hint="eastAsia" w:ascii="宋体" w:hAnsi="宋体" w:eastAsia="宋体" w:cs="宋体"/>
          <w:color w:val="auto"/>
          <w:spacing w:val="-17"/>
          <w:sz w:val="28"/>
          <w:szCs w:val="28"/>
          <w:highlight w:val="none"/>
          <w:lang w:val="en-US" w:eastAsia="zh-CN"/>
        </w:rPr>
        <w:t>04</w:t>
      </w:r>
      <w:r>
        <w:rPr>
          <w:rFonts w:hint="eastAsia" w:ascii="宋体" w:hAnsi="宋体" w:eastAsia="宋体" w:cs="宋体"/>
          <w:color w:val="auto"/>
          <w:spacing w:val="-17"/>
          <w:sz w:val="28"/>
          <w:szCs w:val="28"/>
          <w:highlight w:val="none"/>
        </w:rPr>
        <w:t>月</w:t>
      </w:r>
      <w:bookmarkStart w:id="335" w:name="_GoBack"/>
      <w:bookmarkEnd w:id="335"/>
    </w:p>
    <w:p>
      <w:pPr>
        <w:rPr>
          <w:rFonts w:hint="eastAsia" w:ascii="宋体" w:hAnsi="宋体" w:eastAsia="宋体" w:cs="宋体"/>
          <w:color w:val="auto"/>
          <w:spacing w:val="-17"/>
          <w:sz w:val="28"/>
          <w:szCs w:val="28"/>
          <w:highlight w:val="none"/>
        </w:rPr>
      </w:pPr>
      <w:r>
        <w:rPr>
          <w:rFonts w:hint="eastAsia" w:ascii="宋体" w:hAnsi="宋体" w:eastAsia="宋体" w:cs="宋体"/>
          <w:color w:val="auto"/>
          <w:spacing w:val="-17"/>
          <w:sz w:val="28"/>
          <w:szCs w:val="28"/>
          <w:highlight w:val="none"/>
        </w:rPr>
        <w:br w:type="page"/>
      </w:r>
    </w:p>
    <w:p>
      <w:pPr>
        <w:rPr>
          <w:color w:val="auto"/>
          <w:highlight w:val="none"/>
        </w:rPr>
      </w:pPr>
    </w:p>
    <w:sdt>
      <w:sdtPr>
        <w:rPr>
          <w:rFonts w:ascii="宋体" w:hAnsi="宋体" w:eastAsia="宋体" w:cs="Arial"/>
          <w:b/>
          <w:bCs/>
          <w:snapToGrid w:val="0"/>
          <w:color w:val="auto"/>
          <w:kern w:val="0"/>
          <w:sz w:val="36"/>
          <w:szCs w:val="36"/>
          <w:highlight w:val="none"/>
        </w:rPr>
        <w:id w:val="147483141"/>
        <w15:color w:val="DBDBDB"/>
        <w:docPartObj>
          <w:docPartGallery w:val="Table of Contents"/>
          <w:docPartUnique/>
        </w:docPartObj>
      </w:sdtPr>
      <w:sdtEndPr>
        <w:rPr>
          <w:rFonts w:hint="eastAsia" w:ascii="宋体" w:hAnsi="宋体" w:eastAsia="宋体" w:cs="宋体"/>
          <w:b/>
          <w:bCs/>
          <w:snapToGrid w:val="0"/>
          <w:color w:val="auto"/>
          <w:spacing w:val="-1"/>
          <w:kern w:val="0"/>
          <w:sz w:val="36"/>
          <w:szCs w:val="24"/>
          <w:highlight w:val="none"/>
          <w:lang w:eastAsia="en-US"/>
          <w14:textOutline w14:w="4358" w14:cap="flat" w14:cmpd="sng">
            <w14:solidFill>
              <w14:srgbClr w14:val="000000"/>
            </w14:solidFill>
            <w14:prstDash w14:val="solid"/>
            <w14:miter w14:val="0"/>
          </w14:textOutline>
        </w:rPr>
      </w:sdtEndPr>
      <w:sdtContent>
        <w:p>
          <w:pPr>
            <w:jc w:val="center"/>
            <w:rPr>
              <w:rFonts w:hint="eastAsia" w:eastAsia="宋体"/>
              <w:b/>
              <w:bCs/>
              <w:color w:val="auto"/>
              <w:sz w:val="36"/>
              <w:szCs w:val="36"/>
              <w:highlight w:val="none"/>
              <w:lang w:val="en-US" w:eastAsia="zh-CN"/>
            </w:rPr>
          </w:pPr>
          <w:r>
            <w:rPr>
              <w:rFonts w:ascii="宋体" w:hAnsi="宋体" w:eastAsia="宋体"/>
              <w:b/>
              <w:bCs/>
              <w:color w:val="auto"/>
              <w:sz w:val="36"/>
              <w:szCs w:val="36"/>
              <w:highlight w:val="none"/>
            </w:rPr>
            <w:t>目</w:t>
          </w:r>
          <w:r>
            <w:rPr>
              <w:rFonts w:hint="eastAsia" w:ascii="宋体" w:hAnsi="宋体" w:eastAsia="宋体"/>
              <w:b/>
              <w:bCs/>
              <w:color w:val="auto"/>
              <w:sz w:val="36"/>
              <w:szCs w:val="36"/>
              <w:highlight w:val="none"/>
              <w:lang w:val="en-US" w:eastAsia="zh-CN"/>
            </w:rPr>
            <w:t xml:space="preserve">   </w:t>
          </w:r>
          <w:r>
            <w:rPr>
              <w:rFonts w:ascii="宋体" w:hAnsi="宋体" w:eastAsia="宋体"/>
              <w:b/>
              <w:bCs/>
              <w:color w:val="auto"/>
              <w:sz w:val="36"/>
              <w:szCs w:val="36"/>
              <w:highlight w:val="none"/>
            </w:rPr>
            <w:t>录</w:t>
          </w:r>
          <w:r>
            <w:rPr>
              <w:rFonts w:hint="eastAsia" w:ascii="宋体" w:hAnsi="宋体" w:eastAsia="宋体"/>
              <w:b/>
              <w:bCs/>
              <w:color w:val="auto"/>
              <w:sz w:val="36"/>
              <w:szCs w:val="36"/>
              <w:highlight w:val="none"/>
              <w:lang w:val="en-US" w:eastAsia="zh-CN"/>
            </w:rPr>
            <w:t xml:space="preserve"> </w:t>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TOC \o "1-1" \h \u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_Toc15816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第一章： </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竞争性谈判</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公告</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4</w:t>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_Toc29676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第二章： 投标须知及前附表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_Toc29676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_Toc10939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第三章： 合同条款</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_Toc10939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23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_Toc22781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第四章协议书和工程预付款保函</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_Toc22781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87</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_Toc3449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五</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 评标办法</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_Toc3449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107</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_Toc5149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六</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章项目情况</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_Toc5149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110</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_Toc8924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六年</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章项目情况</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_Toc8924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111</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_Toc8652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七</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章技术方案</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_Toc8652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115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_Toc10722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八</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章工程量清单</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_Toc10722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124</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_Toc12197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w:t>
          </w:r>
          <w:r>
            <w:rPr>
              <w:rFonts w:hint="eastAsia" w:ascii="宋体" w:hAnsi="宋体" w:eastAsia="宋体" w:cs="宋体"/>
              <w:color w:val="auto"/>
              <w:spacing w:val="-1"/>
              <w:sz w:val="21"/>
              <w:szCs w:val="21"/>
              <w:highlight w:val="none"/>
              <w:lang w:eastAsia="zh-CN"/>
              <w14:textOutline w14:w="4358" w14:cap="flat" w14:cmpd="sng">
                <w14:solidFill>
                  <w14:srgbClr w14:val="000000"/>
                </w14:solidFill>
                <w14:prstDash w14:val="solid"/>
                <w14:miter w14:val="0"/>
              </w14:textOutline>
            </w:rPr>
            <w:t>九</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章谈判响应文件格式</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_Toc12197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132</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_Toc24771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  投标报价书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_Toc24771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_Toc2945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.2 投标保证金</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_Toc2945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134</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_Toc1496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9.3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法定代表人身份证明</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_Toc1496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_Toc1678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9.4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法人授权委托</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_Toc1678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_Toc22246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工程量清单格式</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_Toc22246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137</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_Toc18784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 xml:space="preserve">9.6 </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项目管理机构</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_Toc18784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148</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_Toc4955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.7 施工组织设计</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_Toc4955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150</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_Toc30839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.8 投标人基本情况表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_Toc30839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151</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_Toc23819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财务状况表</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_Toc23819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152</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_Toc25037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10</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中小企业声明函（工程、服务）</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_Toc25037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_Toc12665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9.11  以工代赈项目用工承诺书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_Toc12665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154</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_Toc2121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9.12不参与围标串标承诺书</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_Toc2121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155</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_Toc21328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lang w:val="en-US" w:eastAsia="zh-CN"/>
              <w14:textOutline w14:w="4358" w14:cap="flat" w14:cmpd="sng">
                <w14:solidFill>
                  <w14:srgbClr w14:val="000000"/>
                </w14:solidFill>
                <w14:prstDash w14:val="solid"/>
                <w14:miter w14:val="0"/>
              </w14:textOutline>
            </w:rPr>
            <w:t>9.13</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投标人按本投标须知要标提交的其他材料</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_Toc21328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156</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keepNext w:val="0"/>
            <w:keepLines w:val="0"/>
            <w:pageBreakBefore w:val="0"/>
            <w:widowControl/>
            <w:tabs>
              <w:tab w:val="right" w:leader="dot" w:pos="895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HYPERLINK \l _Toc24841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第八章： 图纸</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begin"/>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instrText xml:space="preserve"> PAGEREF _Toc24841 \h </w:instrTex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separate"/>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t>157</w:t>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p>
        <w:p>
          <w:pPr>
            <w:pStyle w:val="45"/>
            <w:tabs>
              <w:tab w:val="right" w:leader="dot" w:pos="8957"/>
            </w:tabs>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pPr>
        </w:p>
        <w:p>
          <w:pPr>
            <w:pStyle w:val="45"/>
            <w:tabs>
              <w:tab w:val="right" w:leader="dot" w:pos="8957"/>
            </w:tabs>
            <w:rPr>
              <w:color w:val="auto"/>
              <w:highlight w:val="none"/>
            </w:rPr>
          </w:pPr>
          <w:r>
            <w:rPr>
              <w:rFonts w:hint="eastAsia" w:ascii="宋体" w:hAnsi="宋体" w:eastAsia="宋体" w:cs="宋体"/>
              <w:color w:val="auto"/>
              <w:spacing w:val="-1"/>
              <w:sz w:val="21"/>
              <w:szCs w:val="21"/>
              <w:highlight w:val="none"/>
              <w14:textOutline w14:w="4358" w14:cap="flat" w14:cmpd="sng">
                <w14:solidFill>
                  <w14:srgbClr w14:val="000000"/>
                </w14:solidFill>
                <w14:prstDash w14:val="solid"/>
                <w14:miter w14:val="0"/>
              </w14:textOutline>
            </w:rPr>
            <w:fldChar w:fldCharType="end"/>
          </w:r>
          <w:bookmarkStart w:id="0" w:name="_Toc15816"/>
        </w:p>
      </w:sdtContent>
    </w:sdt>
    <w:p>
      <w:pPr>
        <w:pStyle w:val="45"/>
        <w:tabs>
          <w:tab w:val="right" w:leader="dot" w:pos="8957"/>
        </w:tabs>
        <w:ind w:left="0" w:leftChars="0"/>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 xml:space="preserve">第一章： </w:t>
      </w:r>
      <w:r>
        <w:rPr>
          <w:rFonts w:hint="eastAsia" w:ascii="宋体" w:hAnsi="宋体" w:eastAsia="宋体" w:cs="宋体"/>
          <w:color w:val="auto"/>
          <w:spacing w:val="-23"/>
          <w:position w:val="31"/>
          <w:sz w:val="36"/>
          <w:szCs w:val="36"/>
          <w:highlight w:val="none"/>
          <w:lang w:eastAsia="zh-CN"/>
          <w14:textOutline w14:w="6537" w14:cap="flat" w14:cmpd="sng">
            <w14:solidFill>
              <w14:srgbClr w14:val="000000"/>
            </w14:solidFill>
            <w14:prstDash w14:val="solid"/>
            <w14:miter w14:val="0"/>
          </w14:textOutline>
        </w:rPr>
        <w:t>竞争性谈判</w:t>
      </w: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公告</w:t>
      </w:r>
      <w:bookmarkEnd w:id="0"/>
    </w:p>
    <w:p>
      <w:pPr>
        <w:pStyle w:val="3"/>
        <w:tabs>
          <w:tab w:val="left" w:pos="0"/>
        </w:tabs>
        <w:autoSpaceDE w:val="0"/>
        <w:autoSpaceDN w:val="0"/>
        <w:adjustRightInd w:val="0"/>
        <w:spacing w:before="0" w:after="0" w:line="360" w:lineRule="auto"/>
        <w:jc w:val="center"/>
        <w:rPr>
          <w:rFonts w:ascii="华文中宋" w:hAnsi="华文中宋" w:eastAsia="华文中宋"/>
          <w:color w:val="auto"/>
          <w:sz w:val="48"/>
          <w:szCs w:val="32"/>
          <w:highlight w:val="none"/>
        </w:rPr>
      </w:pPr>
      <w:r>
        <w:rPr>
          <w:rFonts w:hint="eastAsia" w:ascii="华文中宋" w:hAnsi="华文中宋" w:eastAsia="华文中宋"/>
          <w:color w:val="auto"/>
          <w:sz w:val="48"/>
          <w:szCs w:val="32"/>
          <w:highlight w:val="none"/>
          <w:lang w:eastAsia="zh-CN"/>
        </w:rPr>
        <w:t>新疆布尔根河狸国家级自然保护区一期河狸栖息地水位保障透水闸项目</w:t>
      </w:r>
      <w:r>
        <w:rPr>
          <w:rFonts w:hint="eastAsia" w:ascii="华文中宋" w:hAnsi="华文中宋" w:eastAsia="华文中宋"/>
          <w:color w:val="auto"/>
          <w:sz w:val="48"/>
          <w:szCs w:val="32"/>
          <w:highlight w:val="none"/>
        </w:rPr>
        <w:t>竞争性谈判公告</w:t>
      </w:r>
    </w:p>
    <w:p>
      <w:pPr>
        <w:rPr>
          <w:color w:val="auto"/>
          <w:highlight w:val="none"/>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新疆布尔根河狸国家级自然保护区一期河狸栖息地水位保障透水闸项目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新疆泽源和忻项目管理咨询有限公司（阿勒泰市东风路翡翠湾小区2栋5层3号）</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29</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1" w:name="_Toc35393798"/>
      <w:bookmarkStart w:id="2" w:name="_Toc28359012"/>
      <w:bookmarkStart w:id="3" w:name="_Toc28359089"/>
      <w:bookmarkStart w:id="4" w:name="_Toc35393629"/>
      <w:r>
        <w:rPr>
          <w:rFonts w:hint="eastAsia" w:ascii="黑体" w:hAnsi="黑体" w:cs="宋体"/>
          <w:b w:val="0"/>
          <w:color w:val="auto"/>
          <w:sz w:val="28"/>
          <w:szCs w:val="28"/>
          <w:highlight w:val="none"/>
        </w:rPr>
        <w:t>一、项目基本情况</w:t>
      </w:r>
      <w:bookmarkEnd w:id="1"/>
      <w:bookmarkEnd w:id="2"/>
      <w:bookmarkEnd w:id="3"/>
      <w:bookmarkEnd w:id="4"/>
    </w:p>
    <w:p>
      <w:pPr>
        <w:ind w:left="1959" w:leftChars="266" w:hanging="1400" w:hangingChars="5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项目编号：ZFCGA-ZYHXZB2022-014</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新疆布尔根河狸国家级自然保护区一期河狸栖息地水位保障透水闸项目</w:t>
      </w:r>
    </w:p>
    <w:p>
      <w:pPr>
        <w:ind w:left="559"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Segoe UI Emoji" w:hAnsi="Segoe UI Emoji" w:eastAsia="仿宋" w:cs="Segoe UI Emoji"/>
          <w:color w:val="auto"/>
          <w:sz w:val="28"/>
          <w:szCs w:val="28"/>
          <w:highlight w:val="none"/>
          <w:lang w:eastAsia="zh-CN"/>
        </w:rPr>
        <w:t>☑</w:t>
      </w:r>
      <w:r>
        <w:rPr>
          <w:rFonts w:hint="eastAsia" w:ascii="仿宋" w:hAnsi="仿宋" w:eastAsia="仿宋" w:cs="仿宋"/>
          <w:color w:val="auto"/>
          <w:sz w:val="28"/>
          <w:szCs w:val="28"/>
          <w:highlight w:val="none"/>
        </w:rPr>
        <w:t>竞争性谈判</w:t>
      </w:r>
      <w:r>
        <w:rPr>
          <w:rFonts w:hint="eastAsia" w:ascii="仿宋" w:hAnsi="仿宋" w:eastAsia="仿宋"/>
          <w:color w:val="auto"/>
          <w:sz w:val="28"/>
          <w:szCs w:val="28"/>
          <w:highlight w:val="none"/>
        </w:rPr>
        <w:t xml:space="preserve"> □竞争性磋商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预算金额：973019.38</w:t>
      </w:r>
      <w:r>
        <w:rPr>
          <w:rFonts w:hint="eastAsia" w:ascii="仿宋" w:hAnsi="仿宋" w:eastAsia="仿宋"/>
          <w:color w:val="auto"/>
          <w:sz w:val="28"/>
          <w:szCs w:val="28"/>
          <w:highlight w:val="none"/>
          <w:lang w:val="en-US" w:eastAsia="zh-CN"/>
        </w:rPr>
        <w:t>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最高限价：973019.38元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采购需求：人工模拟河狸建设生态透水坝，减缓河道 区域流速，形成缓流区，恢复河狸生存环境，给自然生态留下休养生息的时间和空间，保护河狸生存环境。本次项目透水坝分为两段，一段位于萨尔布拉克村附近，长度125m；一段位于蒙其克村附近，长度 100m，两段坝总长度 225m。形式采用重力格宾式挡墙结构。</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合同履约期限：详见谈判文件</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（否）</w:t>
      </w:r>
      <w:r>
        <w:rPr>
          <w:rFonts w:hint="eastAsia" w:ascii="仿宋" w:hAnsi="仿宋" w:eastAsia="仿宋"/>
          <w:color w:val="auto"/>
          <w:sz w:val="28"/>
          <w:szCs w:val="28"/>
          <w:highlight w:val="none"/>
        </w:rPr>
        <w:t>接受联合体</w:t>
      </w:r>
      <w:r>
        <w:rPr>
          <w:rFonts w:hint="eastAsia" w:ascii="仿宋" w:hAnsi="仿宋" w:eastAsia="仿宋"/>
          <w:color w:val="auto"/>
          <w:sz w:val="28"/>
          <w:szCs w:val="28"/>
          <w:highlight w:val="none"/>
          <w:lang w:eastAsia="zh-CN"/>
        </w:rPr>
        <w:t>投标</w:t>
      </w:r>
      <w:r>
        <w:rPr>
          <w:rFonts w:hint="eastAsia" w:ascii="仿宋" w:hAnsi="仿宋" w:eastAsia="仿宋"/>
          <w:color w:val="auto"/>
          <w:sz w:val="28"/>
          <w:szCs w:val="28"/>
          <w:highlight w:val="none"/>
        </w:rPr>
        <w:t>。</w:t>
      </w:r>
    </w:p>
    <w:p>
      <w:pPr>
        <w:pStyle w:val="4"/>
        <w:numPr>
          <w:ilvl w:val="0"/>
          <w:numId w:val="2"/>
        </w:numPr>
        <w:spacing w:line="360" w:lineRule="auto"/>
        <w:rPr>
          <w:rFonts w:ascii="黑体" w:hAnsi="黑体" w:cs="宋体"/>
          <w:b w:val="0"/>
          <w:color w:val="auto"/>
          <w:sz w:val="28"/>
          <w:szCs w:val="28"/>
          <w:highlight w:val="none"/>
        </w:rPr>
      </w:pPr>
      <w:bookmarkStart w:id="5" w:name="_Toc35393630"/>
      <w:bookmarkStart w:id="6" w:name="_Toc35393799"/>
      <w:bookmarkStart w:id="7" w:name="_Toc28359013"/>
      <w:bookmarkStart w:id="8" w:name="_Toc28359090"/>
      <w:r>
        <w:rPr>
          <w:rFonts w:hint="eastAsia" w:ascii="黑体" w:hAnsi="黑体" w:cs="宋体"/>
          <w:b w:val="0"/>
          <w:color w:val="auto"/>
          <w:sz w:val="28"/>
          <w:szCs w:val="28"/>
          <w:highlight w:val="none"/>
        </w:rPr>
        <w:t>申请人的资格要求：</w:t>
      </w:r>
      <w:bookmarkEnd w:id="5"/>
      <w:bookmarkEnd w:id="6"/>
      <w:bookmarkEnd w:id="7"/>
      <w:bookmarkEnd w:id="8"/>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投标人必须符合《中华人民共和国政府采购法》第二十二条规定。</w:t>
      </w:r>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落实政府采购政策需满足的资格要求：该项目专门面向中小企业采购，企业需提供</w:t>
      </w:r>
      <w:r>
        <w:rPr>
          <w:rFonts w:hint="eastAsia" w:ascii="仿宋" w:hAnsi="仿宋" w:eastAsia="仿宋" w:cs="宋体"/>
          <w:color w:val="auto"/>
          <w:sz w:val="28"/>
          <w:szCs w:val="28"/>
          <w:highlight w:val="none"/>
        </w:rPr>
        <w:t>中小企业声明函原件</w:t>
      </w:r>
      <w:r>
        <w:rPr>
          <w:rFonts w:hint="eastAsia" w:ascii="仿宋" w:hAnsi="仿宋" w:eastAsia="仿宋" w:cs="宋体"/>
          <w:color w:val="auto"/>
          <w:sz w:val="28"/>
          <w:szCs w:val="28"/>
          <w:highlight w:val="none"/>
          <w:lang w:eastAsia="zh-CN"/>
        </w:rPr>
        <w:t>。</w:t>
      </w:r>
    </w:p>
    <w:p>
      <w:pPr>
        <w:pStyle w:val="4"/>
        <w:spacing w:line="360" w:lineRule="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、本项目的特定资格要求：1</w:t>
      </w:r>
      <w:bookmarkStart w:id="9" w:name="_Toc28359091"/>
      <w:bookmarkStart w:id="10" w:name="_Toc35393631"/>
      <w:bookmarkStart w:id="11" w:name="_Toc28359014"/>
      <w:bookmarkStart w:id="12" w:name="_Toc35393800"/>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投标人应具水利水电工程施工总承包三级（含三级）及以上资质，并具有</w:t>
      </w:r>
      <w:r>
        <w:rPr>
          <w:rFonts w:hint="eastAsia" w:ascii="仿宋" w:hAnsi="仿宋" w:eastAsia="仿宋"/>
          <w:color w:val="auto"/>
          <w:sz w:val="28"/>
          <w:szCs w:val="28"/>
          <w:highlight w:val="none"/>
          <w:lang w:eastAsia="zh-CN"/>
        </w:rPr>
        <w:t>有效的</w:t>
      </w:r>
      <w:r>
        <w:rPr>
          <w:rFonts w:hint="eastAsia" w:ascii="仿宋" w:hAnsi="仿宋" w:eastAsia="仿宋"/>
          <w:color w:val="auto"/>
          <w:sz w:val="28"/>
          <w:szCs w:val="28"/>
          <w:highlight w:val="none"/>
        </w:rPr>
        <w:t>安全生产许可证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疆外企业需提供有效期内的进疆备案登记手续，即《2022年新疆维吾尔自治区区外进疆建筑企业信息报送册》。项目负责人须具备水利水电工程</w:t>
      </w:r>
      <w:r>
        <w:rPr>
          <w:rFonts w:hint="eastAsia" w:ascii="仿宋" w:hAnsi="仿宋" w:eastAsia="仿宋"/>
          <w:color w:val="auto"/>
          <w:sz w:val="28"/>
          <w:szCs w:val="28"/>
          <w:highlight w:val="none"/>
          <w:lang w:eastAsia="zh-CN"/>
        </w:rPr>
        <w:t>贰</w:t>
      </w:r>
      <w:r>
        <w:rPr>
          <w:rFonts w:hint="eastAsia" w:ascii="仿宋" w:hAnsi="仿宋" w:eastAsia="仿宋"/>
          <w:color w:val="auto"/>
          <w:sz w:val="28"/>
          <w:szCs w:val="28"/>
          <w:highlight w:val="none"/>
        </w:rPr>
        <w:t>级（含</w:t>
      </w:r>
      <w:r>
        <w:rPr>
          <w:rFonts w:hint="eastAsia" w:ascii="仿宋" w:hAnsi="仿宋" w:eastAsia="仿宋"/>
          <w:color w:val="auto"/>
          <w:sz w:val="28"/>
          <w:szCs w:val="28"/>
          <w:highlight w:val="none"/>
          <w:lang w:eastAsia="zh-CN"/>
        </w:rPr>
        <w:t>贰</w:t>
      </w:r>
      <w:r>
        <w:rPr>
          <w:rFonts w:hint="eastAsia" w:ascii="仿宋" w:hAnsi="仿宋" w:eastAsia="仿宋"/>
          <w:color w:val="auto"/>
          <w:sz w:val="28"/>
          <w:szCs w:val="28"/>
          <w:highlight w:val="none"/>
        </w:rPr>
        <w:t>级）及以上注册建造师，具备有效的安全生产考核合格证书，且未担任其他在施建设工程。</w:t>
      </w:r>
      <w:r>
        <w:rPr>
          <w:rFonts w:hint="eastAsia" w:ascii="仿宋" w:hAnsi="仿宋" w:eastAsia="仿宋" w:cs="Times New Roman"/>
          <w:color w:val="auto"/>
          <w:kern w:val="2"/>
          <w:sz w:val="28"/>
          <w:szCs w:val="28"/>
          <w:highlight w:val="none"/>
          <w:lang w:val="en-US" w:eastAsia="zh-CN" w:bidi="ar-SA"/>
        </w:rPr>
        <w:t xml:space="preserve">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9"/>
      <w:bookmarkEnd w:id="10"/>
      <w:bookmarkEnd w:id="11"/>
      <w:bookmarkEnd w:id="12"/>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26</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28</w:t>
      </w:r>
      <w:r>
        <w:rPr>
          <w:rFonts w:hint="eastAsia" w:ascii="仿宋" w:hAnsi="仿宋" w:eastAsia="仿宋" w:cs="宋体"/>
          <w:color w:val="auto"/>
          <w:sz w:val="28"/>
          <w:szCs w:val="28"/>
          <w:highlight w:val="none"/>
        </w:rPr>
        <w:t>日北京时间上午</w:t>
      </w:r>
      <w:r>
        <w:rPr>
          <w:rFonts w:hint="eastAsia" w:ascii="仿宋" w:hAnsi="仿宋" w:eastAsia="仿宋" w:cs="宋体"/>
          <w:color w:val="auto"/>
          <w:sz w:val="28"/>
          <w:szCs w:val="28"/>
          <w:highlight w:val="none"/>
          <w:u w:val="single"/>
        </w:rPr>
        <w:t>10:00-13：30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地点：新疆泽源和忻项目管理咨询有限公司（阿勒泰市东风路翡翠湾小区2栋5层3号）</w:t>
      </w:r>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eastAsia="zh-CN"/>
        </w:rPr>
        <w:t>报名成功后购买</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200</w:t>
      </w:r>
      <w:r>
        <w:rPr>
          <w:rFonts w:hint="eastAsia" w:ascii="仿宋" w:hAnsi="仿宋" w:eastAsia="仿宋" w:cs="宋体"/>
          <w:color w:val="auto"/>
          <w:sz w:val="28"/>
          <w:szCs w:val="28"/>
          <w:highlight w:val="none"/>
        </w:rPr>
        <w:t>元/份，售后不退。</w:t>
      </w:r>
    </w:p>
    <w:p>
      <w:pPr>
        <w:pStyle w:val="4"/>
        <w:spacing w:line="360" w:lineRule="auto"/>
        <w:rPr>
          <w:rFonts w:ascii="黑体" w:hAnsi="黑体" w:cs="宋体"/>
          <w:b w:val="0"/>
          <w:color w:val="auto"/>
          <w:sz w:val="28"/>
          <w:szCs w:val="28"/>
          <w:highlight w:val="none"/>
        </w:rPr>
      </w:pPr>
      <w:bookmarkStart w:id="13" w:name="_Toc35393801"/>
      <w:bookmarkStart w:id="14" w:name="_Toc28359092"/>
      <w:bookmarkStart w:id="15" w:name="_Toc28359015"/>
      <w:bookmarkStart w:id="16" w:name="_Toc35393632"/>
      <w:r>
        <w:rPr>
          <w:rFonts w:hint="eastAsia" w:ascii="黑体" w:hAnsi="黑体" w:cs="宋体"/>
          <w:b w:val="0"/>
          <w:color w:val="auto"/>
          <w:sz w:val="28"/>
          <w:szCs w:val="28"/>
          <w:highlight w:val="none"/>
        </w:rPr>
        <w:t>四、响应文件提交</w:t>
      </w:r>
      <w:bookmarkEnd w:id="13"/>
      <w:bookmarkEnd w:id="14"/>
      <w:bookmarkEnd w:id="15"/>
      <w:bookmarkEnd w:id="16"/>
    </w:p>
    <w:p>
      <w:pPr>
        <w:rPr>
          <w:rFonts w:ascii="仿宋" w:hAnsi="仿宋" w:eastAsia="仿宋"/>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29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bookmarkStart w:id="17" w:name="_Toc28359094"/>
      <w:bookmarkStart w:id="18" w:name="_Toc35393803"/>
      <w:bookmarkStart w:id="19" w:name="_Toc35393634"/>
      <w:bookmarkStart w:id="20" w:name="_Toc28359017"/>
      <w:r>
        <w:rPr>
          <w:rFonts w:hint="eastAsia" w:ascii="仿宋" w:hAnsi="仿宋" w:eastAsia="仿宋"/>
          <w:color w:val="auto"/>
          <w:sz w:val="28"/>
          <w:szCs w:val="28"/>
          <w:highlight w:val="none"/>
        </w:rPr>
        <w:t xml:space="preserve">：新疆泽源和忻项目管理咨询有限公司（阿勒泰市东风路翡翠湾小区2栋5层3号）五楼会议室 </w:t>
      </w:r>
    </w:p>
    <w:p>
      <w:pPr>
        <w:pStyle w:val="4"/>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五、响应文件开启 </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开启时间：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地点：新疆泽源和忻项目管理咨询有限公司（阿勒泰市东风路翡翠湾小区2栋5层3号）五楼会议室 </w:t>
      </w:r>
    </w:p>
    <w:p>
      <w:pPr>
        <w:spacing w:line="360" w:lineRule="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eastAsia="zh-CN"/>
        </w:rPr>
        <w:t>六</w:t>
      </w:r>
      <w:r>
        <w:rPr>
          <w:rFonts w:hint="eastAsia" w:ascii="黑体" w:hAnsi="黑体" w:eastAsia="黑体" w:cs="宋体"/>
          <w:bCs/>
          <w:color w:val="auto"/>
          <w:sz w:val="28"/>
          <w:szCs w:val="28"/>
          <w:highlight w:val="none"/>
        </w:rPr>
        <w:t>、公告期限</w:t>
      </w:r>
      <w:bookmarkEnd w:id="17"/>
      <w:bookmarkEnd w:id="18"/>
      <w:bookmarkEnd w:id="19"/>
      <w:bookmarkEnd w:id="20"/>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0"/>
        </w:numPr>
        <w:spacing w:line="360" w:lineRule="auto"/>
        <w:rPr>
          <w:rFonts w:ascii="黑体" w:hAnsi="黑体" w:cs="宋体"/>
          <w:b w:val="0"/>
          <w:color w:val="auto"/>
          <w:sz w:val="28"/>
          <w:szCs w:val="28"/>
          <w:highlight w:val="none"/>
        </w:rPr>
      </w:pPr>
      <w:bookmarkStart w:id="21" w:name="_Toc35393804"/>
      <w:bookmarkStart w:id="22" w:name="_Toc35393635"/>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21"/>
      <w:bookmarkEnd w:id="22"/>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报名资料：企业法人证明及法定代表人授权委托书及委托代理人身份证、营业执照、资质证书、安全生产许可证、水利水电专业二级注册建造师证书原件和安全生产考核合格证、疆外企业需提供有效期内的进疆备案登记手续，即《2022年新疆维吾尔自治区区外进疆建筑企业信息报送册》、中小企业声明函原件（附件1）、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及2份加盖公章的扫描件送至新疆泽源和忻项目管理咨询有限公司（阿勒泰市东风路翡翠湾小区2栋5层3号）领取谈判文件。</w:t>
      </w:r>
    </w:p>
    <w:p>
      <w:pPr>
        <w:pStyle w:val="4"/>
        <w:spacing w:line="360" w:lineRule="auto"/>
        <w:rPr>
          <w:rFonts w:ascii="黑体" w:hAnsi="黑体" w:cs="宋体"/>
          <w:b w:val="0"/>
          <w:color w:val="auto"/>
          <w:sz w:val="28"/>
          <w:szCs w:val="28"/>
          <w:highlight w:val="none"/>
        </w:rPr>
      </w:pPr>
      <w:bookmarkStart w:id="23" w:name="_Toc28359018"/>
      <w:bookmarkStart w:id="24" w:name="_Toc35393636"/>
      <w:bookmarkStart w:id="25" w:name="_Toc28359095"/>
      <w:bookmarkStart w:id="26" w:name="_Toc35393805"/>
      <w:r>
        <w:rPr>
          <w:rFonts w:hint="eastAsia" w:ascii="黑体" w:hAnsi="黑体" w:cs="宋体"/>
          <w:b w:val="0"/>
          <w:color w:val="auto"/>
          <w:sz w:val="28"/>
          <w:szCs w:val="28"/>
          <w:highlight w:val="none"/>
          <w:lang w:eastAsia="zh-CN"/>
        </w:rPr>
        <w:t>八</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3"/>
      <w:bookmarkEnd w:id="24"/>
      <w:bookmarkEnd w:id="25"/>
      <w:bookmarkEnd w:id="26"/>
    </w:p>
    <w:p>
      <w:pPr>
        <w:pStyle w:val="4"/>
        <w:spacing w:line="360" w:lineRule="auto"/>
        <w:ind w:firstLine="840" w:firstLineChars="300"/>
        <w:rPr>
          <w:rFonts w:ascii="仿宋" w:hAnsi="仿宋" w:eastAsia="仿宋" w:cs="宋体"/>
          <w:b w:val="0"/>
          <w:color w:val="auto"/>
          <w:sz w:val="28"/>
          <w:szCs w:val="28"/>
          <w:highlight w:val="none"/>
        </w:rPr>
      </w:pPr>
      <w:bookmarkStart w:id="27" w:name="_Toc35393806"/>
      <w:bookmarkStart w:id="28" w:name="_Toc28359096"/>
      <w:bookmarkStart w:id="29" w:name="_Toc28359019"/>
      <w:bookmarkStart w:id="30" w:name="_Toc35393637"/>
      <w:r>
        <w:rPr>
          <w:rFonts w:hint="eastAsia" w:ascii="仿宋" w:hAnsi="仿宋" w:eastAsia="仿宋" w:cs="宋体"/>
          <w:b w:val="0"/>
          <w:color w:val="auto"/>
          <w:sz w:val="28"/>
          <w:szCs w:val="28"/>
          <w:highlight w:val="none"/>
        </w:rPr>
        <w:t>1.采购人信息</w:t>
      </w:r>
      <w:bookmarkEnd w:id="27"/>
      <w:bookmarkEnd w:id="28"/>
      <w:bookmarkEnd w:id="29"/>
      <w:bookmarkEnd w:id="30"/>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新疆布尔根河狸国家级自然保护区管理局</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陈鹏</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18799016426</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1" w:name="_Toc28359020"/>
      <w:bookmarkStart w:id="32" w:name="_Toc35393638"/>
      <w:bookmarkStart w:id="33" w:name="_Toc35393807"/>
      <w:bookmarkStart w:id="34" w:name="_Toc28359097"/>
      <w:r>
        <w:rPr>
          <w:rFonts w:hint="eastAsia" w:ascii="仿宋" w:hAnsi="仿宋" w:eastAsia="仿宋" w:cs="宋体"/>
          <w:b w:val="0"/>
          <w:color w:val="auto"/>
          <w:sz w:val="28"/>
          <w:szCs w:val="28"/>
          <w:highlight w:val="none"/>
        </w:rPr>
        <w:t>2.采购代理机构信息</w:t>
      </w:r>
      <w:bookmarkEnd w:id="31"/>
      <w:bookmarkEnd w:id="32"/>
      <w:bookmarkEnd w:id="33"/>
      <w:bookmarkEnd w:id="34"/>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新疆泽源和忻项目管理咨询有限公司</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邓胜楠</w:t>
      </w:r>
      <w:r>
        <w:rPr>
          <w:rFonts w:hint="eastAsia" w:ascii="仿宋" w:hAnsi="仿宋" w:eastAsia="仿宋"/>
          <w:color w:val="auto"/>
          <w:sz w:val="28"/>
          <w:szCs w:val="28"/>
          <w:highlight w:val="none"/>
          <w:u w:val="single"/>
        </w:rPr>
        <w:t>　　　　　　　   　　</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18935826608</w:t>
      </w:r>
      <w:r>
        <w:rPr>
          <w:rFonts w:hint="eastAsia" w:ascii="仿宋" w:hAnsi="仿宋" w:eastAsia="仿宋"/>
          <w:color w:val="auto"/>
          <w:sz w:val="28"/>
          <w:szCs w:val="28"/>
          <w:highlight w:val="none"/>
          <w:u w:val="single"/>
        </w:rPr>
        <w:t>　　　　　　　　</w:t>
      </w:r>
    </w:p>
    <w:p>
      <w:pPr>
        <w:rPr>
          <w:color w:val="auto"/>
          <w:highlight w:val="none"/>
        </w:rPr>
      </w:pPr>
    </w:p>
    <w:p>
      <w:pPr>
        <w:rPr>
          <w:color w:val="auto"/>
          <w:highlight w:val="none"/>
        </w:rPr>
      </w:pPr>
    </w:p>
    <w:p>
      <w:pPr>
        <w:ind w:firstLine="5040" w:firstLineChars="1800"/>
        <w:rPr>
          <w:color w:val="auto"/>
          <w:highlight w:val="none"/>
        </w:rPr>
      </w:pPr>
      <w:r>
        <w:rPr>
          <w:rFonts w:hint="eastAsia" w:ascii="宋体" w:hAnsi="宋体"/>
          <w:color w:val="auto"/>
          <w:kern w:val="0"/>
          <w:sz w:val="28"/>
          <w:szCs w:val="28"/>
          <w:highlight w:val="none"/>
        </w:rPr>
        <w:t xml:space="preserve">                    </w:t>
      </w:r>
    </w:p>
    <w:p>
      <w:pPr>
        <w:rPr>
          <w:rFonts w:hint="eastAsia" w:ascii="宋体" w:hAnsi="宋体" w:eastAsia="宋体" w:cs="宋体"/>
          <w:color w:val="auto"/>
          <w:highlight w:val="none"/>
        </w:rPr>
      </w:pPr>
      <w:r>
        <w:rPr>
          <w:rFonts w:hint="eastAsia" w:ascii="宋体" w:hAnsi="宋体"/>
          <w:color w:val="auto"/>
          <w:kern w:val="0"/>
          <w:sz w:val="28"/>
          <w:szCs w:val="28"/>
          <w:highlight w:val="none"/>
        </w:rPr>
        <w:t xml:space="preserve">                 </w:t>
      </w:r>
    </w:p>
    <w:p>
      <w:pPr>
        <w:spacing w:before="301" w:line="781" w:lineRule="exact"/>
        <w:jc w:val="center"/>
        <w:outlineLvl w:val="0"/>
        <w:rPr>
          <w:rFonts w:hint="eastAsia" w:ascii="宋体" w:hAnsi="宋体" w:eastAsia="宋体" w:cs="宋体"/>
          <w:color w:val="auto"/>
          <w:sz w:val="36"/>
          <w:szCs w:val="36"/>
          <w:highlight w:val="none"/>
        </w:rPr>
      </w:pPr>
      <w:bookmarkStart w:id="35" w:name="_bookmark3"/>
      <w:bookmarkEnd w:id="35"/>
      <w:bookmarkStart w:id="36" w:name="_bookmark2"/>
      <w:bookmarkEnd w:id="36"/>
      <w:bookmarkStart w:id="37" w:name="_Toc29676"/>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第二章：</w:t>
      </w:r>
      <w:r>
        <w:rPr>
          <w:rFonts w:hint="eastAsia" w:ascii="宋体" w:hAnsi="宋体" w:eastAsia="宋体" w:cs="宋体"/>
          <w:color w:val="auto"/>
          <w:spacing w:val="93"/>
          <w:position w:val="31"/>
          <w:sz w:val="36"/>
          <w:szCs w:val="36"/>
          <w:highlight w:val="none"/>
        </w:rPr>
        <w:t xml:space="preserve"> </w:t>
      </w:r>
      <w:r>
        <w:rPr>
          <w:rFonts w:hint="eastAsia" w:ascii="宋体" w:hAnsi="宋体" w:eastAsia="宋体" w:cs="宋体"/>
          <w:color w:val="auto"/>
          <w:spacing w:val="-23"/>
          <w:position w:val="31"/>
          <w:sz w:val="36"/>
          <w:szCs w:val="36"/>
          <w:highlight w:val="none"/>
          <w14:textOutline w14:w="6537" w14:cap="flat" w14:cmpd="sng">
            <w14:solidFill>
              <w14:srgbClr w14:val="000000"/>
            </w14:solidFill>
            <w14:prstDash w14:val="solid"/>
            <w14:miter w14:val="0"/>
          </w14:textOutline>
        </w:rPr>
        <w:t>投标须知及前附表</w:t>
      </w:r>
      <w:bookmarkEnd w:id="37"/>
    </w:p>
    <w:p>
      <w:pPr>
        <w:spacing w:line="204" w:lineRule="auto"/>
        <w:ind w:firstLine="2687"/>
        <w:rPr>
          <w:rFonts w:hint="eastAsia" w:ascii="宋体" w:hAnsi="宋体" w:eastAsia="宋体" w:cs="宋体"/>
          <w:color w:val="auto"/>
          <w:sz w:val="28"/>
          <w:szCs w:val="28"/>
          <w:highlight w:val="none"/>
        </w:rPr>
      </w:pP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w:t>
      </w:r>
      <w:r>
        <w:rPr>
          <w:rFonts w:hint="eastAsia" w:ascii="宋体" w:hAnsi="宋体" w:eastAsia="宋体" w:cs="宋体"/>
          <w:color w:val="auto"/>
          <w:spacing w:val="-122"/>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一）</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投</w:t>
      </w:r>
      <w:r>
        <w:rPr>
          <w:rFonts w:hint="eastAsia" w:ascii="宋体" w:hAnsi="宋体" w:eastAsia="宋体" w:cs="宋体"/>
          <w:color w:val="auto"/>
          <w:spacing w:val="11"/>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标</w:t>
      </w:r>
      <w:r>
        <w:rPr>
          <w:rFonts w:hint="eastAsia" w:ascii="宋体" w:hAnsi="宋体" w:eastAsia="宋体" w:cs="宋体"/>
          <w:color w:val="auto"/>
          <w:spacing w:val="17"/>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须</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知</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前</w:t>
      </w:r>
      <w:r>
        <w:rPr>
          <w:rFonts w:hint="eastAsia" w:ascii="宋体" w:hAnsi="宋体" w:eastAsia="宋体" w:cs="宋体"/>
          <w:color w:val="auto"/>
          <w:spacing w:val="34"/>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附</w:t>
      </w:r>
      <w:r>
        <w:rPr>
          <w:rFonts w:hint="eastAsia" w:ascii="宋体" w:hAnsi="宋体" w:eastAsia="宋体" w:cs="宋体"/>
          <w:color w:val="auto"/>
          <w:spacing w:val="11"/>
          <w:sz w:val="28"/>
          <w:szCs w:val="28"/>
          <w:highlight w:val="none"/>
        </w:rPr>
        <w:t xml:space="preserve"> </w:t>
      </w:r>
      <w:r>
        <w:rPr>
          <w:rFonts w:hint="eastAsia" w:ascii="宋体" w:hAnsi="宋体" w:eastAsia="宋体" w:cs="宋体"/>
          <w:color w:val="auto"/>
          <w:spacing w:val="-28"/>
          <w:sz w:val="28"/>
          <w:szCs w:val="28"/>
          <w:highlight w:val="none"/>
          <w14:textOutline w14:w="5103" w14:cap="flat" w14:cmpd="sng">
            <w14:solidFill>
              <w14:srgbClr w14:val="000000"/>
            </w14:solidFill>
            <w14:prstDash w14:val="solid"/>
            <w14:miter w14:val="0"/>
          </w14:textOutline>
        </w:rPr>
        <w:t>表</w:t>
      </w:r>
    </w:p>
    <w:p>
      <w:pPr>
        <w:spacing w:line="195" w:lineRule="exact"/>
        <w:rPr>
          <w:rFonts w:hint="eastAsia" w:ascii="宋体" w:hAnsi="宋体" w:eastAsia="宋体" w:cs="宋体"/>
          <w:color w:val="auto"/>
          <w:highlight w:val="none"/>
        </w:rPr>
      </w:pPr>
    </w:p>
    <w:tbl>
      <w:tblPr>
        <w:tblStyle w:val="17"/>
        <w:tblW w:w="90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8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86" w:type="dxa"/>
            <w:vAlign w:val="top"/>
          </w:tcPr>
          <w:p>
            <w:pPr>
              <w:spacing w:before="197" w:line="184" w:lineRule="auto"/>
              <w:ind w:firstLine="1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项号</w:t>
            </w:r>
          </w:p>
        </w:tc>
        <w:tc>
          <w:tcPr>
            <w:tcW w:w="8290" w:type="dxa"/>
            <w:vAlign w:val="top"/>
          </w:tcPr>
          <w:p>
            <w:pPr>
              <w:spacing w:before="197" w:line="184" w:lineRule="auto"/>
              <w:ind w:firstLine="3938"/>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786" w:type="dxa"/>
            <w:vAlign w:val="top"/>
          </w:tcPr>
          <w:p>
            <w:pPr>
              <w:spacing w:line="274" w:lineRule="auto"/>
              <w:rPr>
                <w:rFonts w:hint="eastAsia" w:ascii="宋体" w:hAnsi="宋体" w:eastAsia="宋体" w:cs="宋体"/>
                <w:color w:val="auto"/>
                <w:sz w:val="21"/>
                <w:highlight w:val="none"/>
              </w:rPr>
            </w:pPr>
          </w:p>
          <w:p>
            <w:pPr>
              <w:spacing w:line="274" w:lineRule="auto"/>
              <w:rPr>
                <w:rFonts w:hint="eastAsia" w:ascii="宋体" w:hAnsi="宋体" w:eastAsia="宋体" w:cs="宋体"/>
                <w:color w:val="auto"/>
                <w:sz w:val="21"/>
                <w:highlight w:val="none"/>
              </w:rPr>
            </w:pPr>
          </w:p>
          <w:p>
            <w:pPr>
              <w:spacing w:line="274"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line="275" w:lineRule="auto"/>
              <w:rPr>
                <w:rFonts w:hint="eastAsia" w:ascii="宋体" w:hAnsi="宋体" w:eastAsia="宋体" w:cs="宋体"/>
                <w:color w:val="auto"/>
                <w:sz w:val="21"/>
                <w:highlight w:val="none"/>
              </w:rPr>
            </w:pPr>
          </w:p>
          <w:p>
            <w:pPr>
              <w:spacing w:before="69" w:line="180" w:lineRule="auto"/>
              <w:ind w:firstLine="3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90" w:type="dxa"/>
            <w:vAlign w:val="top"/>
          </w:tcPr>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工程名称：</w:t>
            </w:r>
            <w:r>
              <w:rPr>
                <w:rFonts w:hint="eastAsia" w:ascii="宋体" w:hAnsi="宋体" w:eastAsia="宋体" w:cs="宋体"/>
                <w:color w:val="auto"/>
                <w:spacing w:val="-1"/>
                <w:sz w:val="24"/>
                <w:szCs w:val="24"/>
                <w:highlight w:val="none"/>
                <w:lang w:eastAsia="zh-CN"/>
              </w:rPr>
              <w:t>新疆布尔根河狸国家级自然保护区一期河狸栖息地水位保障透水闸项目</w:t>
            </w:r>
          </w:p>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项目法人：</w:t>
            </w:r>
            <w:r>
              <w:rPr>
                <w:rFonts w:hint="eastAsia" w:ascii="宋体" w:hAnsi="宋体" w:eastAsia="宋体" w:cs="宋体"/>
                <w:color w:val="auto"/>
                <w:spacing w:val="-1"/>
                <w:sz w:val="24"/>
                <w:szCs w:val="24"/>
                <w:highlight w:val="none"/>
                <w:lang w:eastAsia="zh-CN"/>
              </w:rPr>
              <w:t>新疆布尔根河狸国家级自然保护区管理局</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建设地点：</w:t>
            </w:r>
            <w:r>
              <w:rPr>
                <w:rFonts w:hint="eastAsia" w:ascii="宋体" w:hAnsi="宋体" w:eastAsia="宋体" w:cs="宋体"/>
                <w:color w:val="auto"/>
                <w:spacing w:val="-1"/>
                <w:sz w:val="24"/>
                <w:szCs w:val="24"/>
                <w:highlight w:val="none"/>
                <w:lang w:eastAsia="zh-CN"/>
              </w:rPr>
              <w:t>青河县</w:t>
            </w:r>
            <w:r>
              <w:rPr>
                <w:rFonts w:hint="eastAsia" w:ascii="宋体" w:hAnsi="宋体" w:eastAsia="宋体" w:cs="宋体"/>
                <w:color w:val="auto"/>
                <w:spacing w:val="-1"/>
                <w:sz w:val="24"/>
                <w:szCs w:val="24"/>
                <w:highlight w:val="none"/>
              </w:rPr>
              <w:t xml:space="preserve"> </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招标方式：竞争性谈判</w:t>
            </w:r>
          </w:p>
          <w:p>
            <w:pPr>
              <w:spacing w:before="262" w:line="184" w:lineRule="auto"/>
              <w:ind w:firstLine="11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 xml:space="preserve">招标范围： </w:t>
            </w:r>
            <w:r>
              <w:rPr>
                <w:rFonts w:hint="eastAsia" w:ascii="宋体" w:hAnsi="宋体" w:eastAsia="宋体" w:cs="宋体"/>
                <w:color w:val="auto"/>
                <w:spacing w:val="-1"/>
                <w:sz w:val="24"/>
                <w:szCs w:val="24"/>
                <w:highlight w:val="none"/>
                <w:lang w:eastAsia="zh-CN"/>
              </w:rPr>
              <w:t>竞争性谈判文件、工程量清单及施工图纸内的全部施工内容</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承包方式： 单价承包（包工包料）</w:t>
            </w:r>
          </w:p>
          <w:p>
            <w:pPr>
              <w:spacing w:before="262" w:line="184" w:lineRule="auto"/>
              <w:ind w:firstLine="11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要求质量标准： 合格</w:t>
            </w:r>
          </w:p>
          <w:p>
            <w:pPr>
              <w:spacing w:before="262" w:line="184" w:lineRule="auto"/>
              <w:rPr>
                <w:rFonts w:hint="eastAsia" w:ascii="宋体" w:hAnsi="宋体" w:eastAsia="宋体" w:cs="宋体"/>
                <w:color w:val="auto"/>
                <w:spacing w:val="-1"/>
                <w:sz w:val="24"/>
                <w:szCs w:val="24"/>
                <w:highlight w:val="yellow"/>
              </w:rPr>
            </w:pPr>
            <w:r>
              <w:rPr>
                <w:rFonts w:hint="eastAsia" w:ascii="宋体" w:hAnsi="宋体" w:eastAsia="宋体" w:cs="宋体"/>
                <w:color w:val="auto"/>
                <w:spacing w:val="-1"/>
                <w:sz w:val="24"/>
                <w:szCs w:val="24"/>
                <w:highlight w:val="yellow"/>
              </w:rPr>
              <w:t>要求工期： 计划 2022 年</w:t>
            </w:r>
            <w:r>
              <w:rPr>
                <w:rFonts w:hint="eastAsia" w:ascii="宋体" w:hAnsi="宋体" w:eastAsia="宋体" w:cs="宋体"/>
                <w:color w:val="auto"/>
                <w:spacing w:val="-1"/>
                <w:sz w:val="24"/>
                <w:szCs w:val="24"/>
                <w:highlight w:val="yellow"/>
                <w:lang w:val="en-US" w:eastAsia="zh-CN"/>
              </w:rPr>
              <w:t>05</w:t>
            </w:r>
            <w:r>
              <w:rPr>
                <w:rFonts w:hint="eastAsia" w:ascii="宋体" w:hAnsi="宋体" w:eastAsia="宋体" w:cs="宋体"/>
                <w:color w:val="auto"/>
                <w:spacing w:val="-1"/>
                <w:sz w:val="24"/>
                <w:szCs w:val="24"/>
                <w:highlight w:val="yellow"/>
              </w:rPr>
              <w:t>月</w:t>
            </w:r>
            <w:r>
              <w:rPr>
                <w:rFonts w:hint="eastAsia" w:ascii="宋体" w:hAnsi="宋体" w:eastAsia="宋体" w:cs="宋体"/>
                <w:color w:val="auto"/>
                <w:spacing w:val="-1"/>
                <w:sz w:val="24"/>
                <w:szCs w:val="24"/>
                <w:highlight w:val="yellow"/>
                <w:lang w:val="en-US" w:eastAsia="zh-CN"/>
              </w:rPr>
              <w:t>07</w:t>
            </w:r>
            <w:r>
              <w:rPr>
                <w:rFonts w:hint="eastAsia" w:ascii="宋体" w:hAnsi="宋体" w:eastAsia="宋体" w:cs="宋体"/>
                <w:color w:val="auto"/>
                <w:spacing w:val="-1"/>
                <w:sz w:val="24"/>
                <w:szCs w:val="24"/>
                <w:highlight w:val="yellow"/>
              </w:rPr>
              <w:t>日开工，2022 年</w:t>
            </w:r>
            <w:r>
              <w:rPr>
                <w:rFonts w:hint="eastAsia" w:ascii="宋体" w:hAnsi="宋体" w:eastAsia="宋体" w:cs="宋体"/>
                <w:color w:val="auto"/>
                <w:spacing w:val="-1"/>
                <w:sz w:val="24"/>
                <w:szCs w:val="24"/>
                <w:highlight w:val="yellow"/>
                <w:lang w:val="en-US" w:eastAsia="zh-CN"/>
              </w:rPr>
              <w:t>08</w:t>
            </w:r>
            <w:r>
              <w:rPr>
                <w:rFonts w:hint="eastAsia" w:ascii="宋体" w:hAnsi="宋体" w:eastAsia="宋体" w:cs="宋体"/>
                <w:color w:val="auto"/>
                <w:spacing w:val="-1"/>
                <w:sz w:val="24"/>
                <w:szCs w:val="24"/>
                <w:highlight w:val="yellow"/>
              </w:rPr>
              <w:t>月</w:t>
            </w:r>
            <w:r>
              <w:rPr>
                <w:rFonts w:hint="eastAsia" w:ascii="宋体" w:hAnsi="宋体" w:eastAsia="宋体" w:cs="宋体"/>
                <w:color w:val="auto"/>
                <w:spacing w:val="-1"/>
                <w:sz w:val="24"/>
                <w:szCs w:val="24"/>
                <w:highlight w:val="yellow"/>
                <w:lang w:val="en-US" w:eastAsia="zh-CN"/>
              </w:rPr>
              <w:t>04</w:t>
            </w:r>
            <w:r>
              <w:rPr>
                <w:rFonts w:hint="eastAsia" w:ascii="宋体" w:hAnsi="宋体" w:eastAsia="宋体" w:cs="宋体"/>
                <w:color w:val="auto"/>
                <w:spacing w:val="-1"/>
                <w:sz w:val="24"/>
                <w:szCs w:val="24"/>
                <w:highlight w:val="yellow"/>
              </w:rPr>
              <w:t>日竣工</w:t>
            </w:r>
          </w:p>
          <w:p>
            <w:pPr>
              <w:spacing w:before="262" w:line="184" w:lineRule="auto"/>
              <w:rPr>
                <w:rFonts w:hint="eastAsia" w:ascii="宋体" w:hAnsi="宋体" w:eastAsia="宋体" w:cs="宋体"/>
                <w:color w:val="auto"/>
                <w:highlight w:val="none"/>
              </w:rPr>
            </w:pPr>
            <w:r>
              <w:rPr>
                <w:rFonts w:hint="eastAsia" w:ascii="宋体" w:hAnsi="宋体" w:eastAsia="宋体" w:cs="宋体"/>
                <w:color w:val="auto"/>
                <w:spacing w:val="-1"/>
                <w:sz w:val="24"/>
                <w:szCs w:val="24"/>
                <w:highlight w:val="yellow"/>
              </w:rPr>
              <w:t xml:space="preserve">总工期： </w:t>
            </w:r>
            <w:r>
              <w:rPr>
                <w:rFonts w:hint="eastAsia" w:ascii="宋体" w:hAnsi="宋体" w:eastAsia="宋体" w:cs="宋体"/>
                <w:color w:val="auto"/>
                <w:spacing w:val="-1"/>
                <w:sz w:val="24"/>
                <w:szCs w:val="24"/>
                <w:highlight w:val="yellow"/>
                <w:lang w:val="en-US" w:eastAsia="zh-CN"/>
              </w:rPr>
              <w:t>90</w:t>
            </w:r>
            <w:r>
              <w:rPr>
                <w:rFonts w:hint="eastAsia" w:ascii="宋体" w:hAnsi="宋体" w:eastAsia="宋体" w:cs="宋体"/>
                <w:color w:val="auto"/>
                <w:spacing w:val="-1"/>
                <w:sz w:val="24"/>
                <w:szCs w:val="24"/>
                <w:highlight w:val="yellow"/>
              </w:rPr>
              <w:t>天（ 日历日）</w:t>
            </w:r>
            <w:r>
              <w:rPr>
                <w:rFonts w:hint="eastAsia" w:ascii="宋体" w:hAnsi="宋体" w:eastAsia="宋体" w:cs="宋体"/>
                <w:color w:val="auto"/>
                <w:spacing w:val="-1"/>
                <w:sz w:val="24"/>
                <w:szCs w:val="24"/>
                <w:highlight w:val="yellow"/>
                <w:lang w:eastAsia="zh-CN"/>
              </w:rPr>
              <w:t>具体开竣工日期以合同为准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86" w:type="dxa"/>
            <w:vAlign w:val="center"/>
          </w:tcPr>
          <w:p>
            <w:pPr>
              <w:spacing w:line="254" w:lineRule="auto"/>
              <w:jc w:val="both"/>
              <w:rPr>
                <w:rFonts w:hint="eastAsia" w:ascii="宋体" w:hAnsi="宋体" w:eastAsia="宋体" w:cs="宋体"/>
                <w:color w:val="auto"/>
                <w:sz w:val="21"/>
                <w:highlight w:val="none"/>
              </w:rPr>
            </w:pPr>
          </w:p>
          <w:p>
            <w:pPr>
              <w:spacing w:before="69" w:line="180" w:lineRule="auto"/>
              <w:ind w:firstLine="3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90" w:type="dxa"/>
            <w:vAlign w:val="center"/>
          </w:tcPr>
          <w:p>
            <w:pPr>
              <w:spacing w:before="34" w:line="251" w:lineRule="auto"/>
              <w:ind w:right="206"/>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资金来源：</w:t>
            </w:r>
            <w:r>
              <w:rPr>
                <w:rFonts w:hint="eastAsia" w:ascii="宋体" w:hAnsi="宋体" w:eastAsia="宋体" w:cs="宋体"/>
                <w:color w:val="auto"/>
                <w:spacing w:val="60"/>
                <w:sz w:val="24"/>
                <w:szCs w:val="24"/>
                <w:highlight w:val="none"/>
              </w:rPr>
              <w:t xml:space="preserve"> 中央预算内资金。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86" w:type="dxa"/>
            <w:vAlign w:val="top"/>
          </w:tcPr>
          <w:p>
            <w:pPr>
              <w:spacing w:before="236"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90" w:type="dxa"/>
            <w:vAlign w:val="top"/>
          </w:tcPr>
          <w:p>
            <w:pPr>
              <w:spacing w:before="101" w:line="184" w:lineRule="auto"/>
              <w:ind w:firstLine="11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承包人应提供履约担保：甲乙双方签订合同时协商约定。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7" w:hRule="atLeast"/>
        </w:trPr>
        <w:tc>
          <w:tcPr>
            <w:tcW w:w="786" w:type="dxa"/>
            <w:vAlign w:val="top"/>
          </w:tcPr>
          <w:p>
            <w:pPr>
              <w:spacing w:line="419" w:lineRule="auto"/>
              <w:rPr>
                <w:rFonts w:hint="eastAsia" w:ascii="宋体" w:hAnsi="宋体" w:eastAsia="宋体" w:cs="宋体"/>
                <w:color w:val="auto"/>
                <w:sz w:val="21"/>
                <w:highlight w:val="none"/>
              </w:rPr>
            </w:pPr>
          </w:p>
          <w:p>
            <w:pPr>
              <w:spacing w:before="69" w:line="18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290" w:type="dxa"/>
            <w:vAlign w:val="top"/>
          </w:tcPr>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投标人资质等级：</w:t>
            </w:r>
          </w:p>
          <w:p>
            <w:pPr>
              <w:numPr>
                <w:ilvl w:val="0"/>
                <w:numId w:val="4"/>
              </w:numPr>
              <w:spacing w:before="35" w:line="253" w:lineRule="auto"/>
              <w:ind w:left="113" w:right="11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应具水利水电工程施工总承包三级（含三级）及以上资质，并具有有效的安全生产许可证，疆外企业需提供有效期内的进疆备案登记手续，即《2022年新疆维吾尔自治区区外进疆建筑企业信息报送册》。项目负责人须具备水利水电工程贰级（含贰级）及以上注册建造师，具备有效的安全生产考核合格证书，且未担任其他在施建设工程。</w:t>
            </w:r>
          </w:p>
          <w:p>
            <w:pPr>
              <w:numPr>
                <w:ilvl w:val="0"/>
                <w:numId w:val="4"/>
              </w:numPr>
              <w:spacing w:before="35" w:line="253" w:lineRule="auto"/>
              <w:ind w:left="113" w:right="11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w:t>
            </w:r>
          </w:p>
          <w:p>
            <w:pPr>
              <w:numPr>
                <w:ilvl w:val="0"/>
                <w:numId w:val="0"/>
              </w:numPr>
              <w:spacing w:before="35" w:line="253" w:lineRule="auto"/>
              <w:ind w:right="11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注：</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该项目</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专门</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面向中小企业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采购</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。依据本办法规定享受扶持政策获得政府采购合同的，小微企业不得将合同分包给大中型企业，中型企业不得将合同分包给大型企业；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本项目</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采购标的对应的中小企业划分标准所属行业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为建筑业；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86" w:type="dxa"/>
            <w:vAlign w:val="top"/>
          </w:tcPr>
          <w:p>
            <w:pPr>
              <w:spacing w:before="296" w:line="180" w:lineRule="auto"/>
              <w:ind w:firstLine="3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290" w:type="dxa"/>
            <w:vAlign w:val="top"/>
          </w:tcPr>
          <w:p>
            <w:pPr>
              <w:spacing w:before="253"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投标有效期为</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4"/>
                <w:sz w:val="24"/>
                <w:szCs w:val="24"/>
                <w:highlight w:val="none"/>
              </w:rPr>
              <w:t>60</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4"/>
                <w:sz w:val="24"/>
                <w:szCs w:val="24"/>
                <w:highlight w:val="none"/>
              </w:rPr>
              <w:t>日历天（从投标截止之日算起）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5" w:hRule="atLeast"/>
        </w:trPr>
        <w:tc>
          <w:tcPr>
            <w:tcW w:w="786" w:type="dxa"/>
            <w:vAlign w:val="top"/>
          </w:tcPr>
          <w:p>
            <w:pPr>
              <w:spacing w:line="271"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before="69"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290" w:type="dxa"/>
            <w:vAlign w:val="top"/>
          </w:tcPr>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投标保证金的形式：投标保证金形式：投标保证金需以电汇、转账、支票、汇票、本票或者金融机构、担保机构出具的保函等非现金形式提交。</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保证金金</w:t>
            </w:r>
            <w:r>
              <w:rPr>
                <w:rFonts w:hint="eastAsia" w:ascii="宋体" w:hAnsi="宋体" w:eastAsia="宋体" w:cs="宋体"/>
                <w:color w:val="auto"/>
                <w:spacing w:val="-11"/>
                <w:sz w:val="24"/>
                <w:szCs w:val="24"/>
                <w:highlight w:val="none"/>
                <w:lang w:eastAsia="zh-CN"/>
              </w:rPr>
              <w:t>额：</w:t>
            </w:r>
            <w:r>
              <w:rPr>
                <w:rFonts w:hint="eastAsia" w:ascii="宋体" w:hAnsi="宋体" w:eastAsia="宋体" w:cs="宋体"/>
                <w:color w:val="auto"/>
                <w:spacing w:val="-11"/>
                <w:sz w:val="24"/>
                <w:szCs w:val="24"/>
                <w:highlight w:val="none"/>
                <w:lang w:val="en-US" w:eastAsia="zh-CN"/>
              </w:rPr>
              <w:t>10000</w:t>
            </w:r>
            <w:r>
              <w:rPr>
                <w:rFonts w:hint="eastAsia" w:ascii="宋体" w:hAnsi="宋体" w:eastAsia="宋体" w:cs="宋体"/>
                <w:color w:val="auto"/>
                <w:spacing w:val="-11"/>
                <w:sz w:val="24"/>
                <w:szCs w:val="24"/>
                <w:highlight w:val="none"/>
                <w:lang w:eastAsia="zh-CN"/>
              </w:rPr>
              <w:t>元（壹万元整）</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开户名称：新疆泽源和忻项</w:t>
            </w:r>
            <w:r>
              <w:rPr>
                <w:rFonts w:hint="eastAsia" w:ascii="宋体" w:hAnsi="宋体" w:eastAsia="宋体" w:cs="宋体"/>
                <w:color w:val="auto"/>
                <w:spacing w:val="-11"/>
                <w:sz w:val="24"/>
                <w:szCs w:val="24"/>
                <w:highlight w:val="none"/>
              </w:rPr>
              <w:t>目管理咨询有限公司阿勒泰分公司</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账号:30151101040006135</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开户行:中国农业银行股份有限公司阿勒泰解放路支行或者团结路分理处</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行号: 103902015112</w:t>
            </w:r>
          </w:p>
          <w:p>
            <w:pPr>
              <w:spacing w:before="35" w:line="253" w:lineRule="auto"/>
              <w:ind w:left="113" w:right="11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保证金</w:t>
            </w:r>
            <w:r>
              <w:rPr>
                <w:rFonts w:hint="eastAsia" w:ascii="宋体" w:hAnsi="宋体" w:eastAsia="宋体" w:cs="宋体"/>
                <w:color w:val="auto"/>
                <w:spacing w:val="-11"/>
                <w:sz w:val="24"/>
                <w:szCs w:val="24"/>
                <w:highlight w:val="none"/>
              </w:rPr>
              <w:t>递交时间： 投标截止时间之前（投标单位应充分考虑跨行等因素导致的延迟到账情况） 。</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投标人按上述要求从基本户递交投标保证金后，请携带银行电汇或转账凭据到阿勒泰市东风路翡翠湾小区2栋5层3号领取招标代理机构开具的投标保证金收款收据，递交投标保证金时请注明项目编号及用途</w:t>
            </w:r>
            <w:r>
              <w:rPr>
                <w:rFonts w:hint="eastAsia" w:ascii="宋体" w:hAnsi="宋体" w:eastAsia="宋体" w:cs="宋体"/>
                <w:color w:val="auto"/>
                <w:spacing w:val="-11"/>
                <w:sz w:val="24"/>
                <w:szCs w:val="24"/>
                <w:highlight w:val="none"/>
                <w:lang w:eastAsia="zh-CN"/>
              </w:rPr>
              <w:t>。</w:t>
            </w:r>
          </w:p>
          <w:p>
            <w:pPr>
              <w:spacing w:before="35" w:line="253" w:lineRule="auto"/>
              <w:ind w:left="113" w:right="11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银行保函；银行保函须从基本账户开出，须注明项目名称及单位名称，银行保函的有效期不得少于投标有效期，银行保函需提供原件并单独密封提交。</w:t>
            </w:r>
          </w:p>
          <w:p>
            <w:pPr>
              <w:spacing w:before="35" w:line="253" w:lineRule="auto"/>
              <w:ind w:left="113" w:right="11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注：本项目电汇回单</w:t>
            </w:r>
            <w:r>
              <w:rPr>
                <w:rFonts w:hint="eastAsia" w:ascii="宋体" w:hAnsi="宋体" w:eastAsia="宋体" w:cs="宋体"/>
                <w:color w:val="auto"/>
                <w:spacing w:val="-11"/>
                <w:sz w:val="24"/>
                <w:szCs w:val="24"/>
                <w:highlight w:val="none"/>
                <w:lang w:eastAsia="zh-CN"/>
              </w:rPr>
              <w:t>、保证金收据</w:t>
            </w:r>
            <w:r>
              <w:rPr>
                <w:rFonts w:hint="eastAsia" w:ascii="宋体" w:hAnsi="宋体" w:eastAsia="宋体" w:cs="宋体"/>
                <w:color w:val="auto"/>
                <w:spacing w:val="-11"/>
                <w:sz w:val="24"/>
                <w:szCs w:val="24"/>
                <w:highlight w:val="none"/>
              </w:rPr>
              <w:t>作为投标保证金形式，投标企业提供电汇回单凭证中必须体现单位基本账户汇出、备注项目名称，同</w:t>
            </w:r>
            <w:r>
              <w:rPr>
                <w:rFonts w:hint="eastAsia" w:ascii="宋体" w:hAnsi="宋体" w:eastAsia="宋体" w:cs="宋体"/>
                <w:color w:val="auto"/>
                <w:spacing w:val="-11"/>
                <w:sz w:val="24"/>
                <w:szCs w:val="24"/>
                <w:highlight w:val="none"/>
                <w:lang w:eastAsia="zh-CN"/>
              </w:rPr>
              <w:t>谈判响应文件</w:t>
            </w:r>
            <w:r>
              <w:rPr>
                <w:rFonts w:hint="eastAsia" w:ascii="宋体" w:hAnsi="宋体" w:eastAsia="宋体" w:cs="宋体"/>
                <w:color w:val="auto"/>
                <w:spacing w:val="-11"/>
                <w:sz w:val="24"/>
                <w:szCs w:val="24"/>
                <w:highlight w:val="none"/>
              </w:rPr>
              <w:t>一并密封提交。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6" w:type="dxa"/>
            <w:vAlign w:val="top"/>
          </w:tcPr>
          <w:p>
            <w:pPr>
              <w:spacing w:before="292" w:line="180" w:lineRule="auto"/>
              <w:ind w:firstLine="3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290" w:type="dxa"/>
            <w:vAlign w:val="top"/>
          </w:tcPr>
          <w:p>
            <w:pPr>
              <w:spacing w:before="247" w:line="184" w:lineRule="auto"/>
              <w:ind w:firstLine="109"/>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谈判响应文件份数：正本壹份，副本贰份（电子版谈判响应性文件</w:t>
            </w:r>
            <w:r>
              <w:rPr>
                <w:rFonts w:hint="eastAsia" w:ascii="宋体" w:hAnsi="宋体" w:eastAsia="宋体" w:cs="宋体"/>
                <w:color w:val="auto"/>
                <w:spacing w:val="-6"/>
                <w:sz w:val="24"/>
                <w:szCs w:val="24"/>
                <w:highlight w:val="none"/>
                <w:lang w:eastAsia="zh-CN"/>
              </w:rPr>
              <w:t>份数：</w:t>
            </w:r>
            <w:r>
              <w:rPr>
                <w:rFonts w:hint="eastAsia" w:ascii="宋体" w:hAnsi="宋体" w:eastAsia="宋体" w:cs="宋体"/>
                <w:color w:val="auto"/>
                <w:spacing w:val="-6"/>
                <w:sz w:val="24"/>
                <w:szCs w:val="24"/>
                <w:highlight w:val="none"/>
              </w:rPr>
              <w:t>电子光盘2份，U盘1份</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光盘必须标明单位名称及项目名称）响应文件按照采购文件的规定编制、密封、标记及签署盖章的（响应文件正本的印章和签字不能为复印件；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86" w:type="dxa"/>
            <w:vAlign w:val="top"/>
          </w:tcPr>
          <w:p>
            <w:pPr>
              <w:spacing w:line="392" w:lineRule="auto"/>
              <w:rPr>
                <w:rFonts w:hint="eastAsia" w:ascii="宋体" w:hAnsi="宋体" w:eastAsia="宋体" w:cs="宋体"/>
                <w:color w:val="auto"/>
                <w:sz w:val="21"/>
                <w:highlight w:val="none"/>
              </w:rPr>
            </w:pPr>
          </w:p>
          <w:p>
            <w:pPr>
              <w:spacing w:before="69" w:line="180" w:lineRule="auto"/>
              <w:ind w:firstLine="3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290" w:type="dxa"/>
            <w:vAlign w:val="top"/>
          </w:tcPr>
          <w:p>
            <w:pPr>
              <w:spacing w:before="195" w:line="184" w:lineRule="auto"/>
              <w:ind w:firstLine="109"/>
              <w:rPr>
                <w:rFonts w:hint="eastAsia" w:ascii="宋体" w:hAnsi="宋体" w:eastAsia="宋体" w:cs="宋体"/>
                <w:color w:val="auto"/>
                <w:spacing w:val="-11"/>
                <w:sz w:val="24"/>
                <w:szCs w:val="24"/>
                <w:highlight w:val="none"/>
              </w:rPr>
            </w:pPr>
            <w:r>
              <w:rPr>
                <w:rFonts w:hint="eastAsia" w:ascii="宋体" w:hAnsi="宋体" w:eastAsia="宋体" w:cs="宋体"/>
                <w:color w:val="auto"/>
                <w:spacing w:val="-7"/>
                <w:sz w:val="24"/>
                <w:szCs w:val="24"/>
                <w:highlight w:val="none"/>
              </w:rPr>
              <w:t>谈判响应文件递交至：</w:t>
            </w:r>
            <w:r>
              <w:rPr>
                <w:rFonts w:hint="eastAsia" w:ascii="宋体" w:hAnsi="宋体" w:eastAsia="宋体" w:cs="宋体"/>
                <w:color w:val="auto"/>
                <w:spacing w:val="-11"/>
                <w:sz w:val="24"/>
                <w:szCs w:val="24"/>
                <w:highlight w:val="none"/>
              </w:rPr>
              <w:t>新疆泽源和忻项目管理咨询有限公司（阿勒泰市东风路翡</w:t>
            </w:r>
          </w:p>
          <w:p>
            <w:pPr>
              <w:spacing w:before="195" w:line="184" w:lineRule="auto"/>
              <w:ind w:firstLine="1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 xml:space="preserve">翠湾小区2栋5层3号）五楼会议室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86" w:type="dxa"/>
            <w:vAlign w:val="top"/>
          </w:tcPr>
          <w:p>
            <w:pPr>
              <w:spacing w:line="364" w:lineRule="auto"/>
              <w:rPr>
                <w:rFonts w:hint="eastAsia" w:ascii="宋体" w:hAnsi="宋体" w:eastAsia="宋体" w:cs="宋体"/>
                <w:color w:val="auto"/>
                <w:sz w:val="21"/>
                <w:highlight w:val="none"/>
              </w:rPr>
            </w:pPr>
          </w:p>
          <w:p>
            <w:pPr>
              <w:spacing w:before="69" w:line="180" w:lineRule="auto"/>
              <w:ind w:firstLine="3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290" w:type="dxa"/>
            <w:vAlign w:val="top"/>
          </w:tcPr>
          <w:p>
            <w:pPr>
              <w:spacing w:before="195" w:line="184" w:lineRule="auto"/>
              <w:ind w:firstLine="113"/>
              <w:rPr>
                <w:rFonts w:hint="eastAsia" w:ascii="宋体" w:hAnsi="宋体" w:eastAsia="宋体" w:cs="宋体"/>
                <w:color w:val="auto"/>
                <w:spacing w:val="-16"/>
                <w:sz w:val="24"/>
                <w:szCs w:val="24"/>
                <w:highlight w:val="yellow"/>
              </w:rPr>
            </w:pPr>
            <w:r>
              <w:rPr>
                <w:rFonts w:hint="eastAsia" w:ascii="宋体" w:hAnsi="宋体" w:eastAsia="宋体" w:cs="宋体"/>
                <w:color w:val="auto"/>
                <w:spacing w:val="-16"/>
                <w:sz w:val="24"/>
                <w:szCs w:val="24"/>
                <w:highlight w:val="yellow"/>
              </w:rPr>
              <w:t>投标截止日期：2022</w:t>
            </w:r>
            <w:r>
              <w:rPr>
                <w:rFonts w:hint="eastAsia" w:ascii="宋体" w:hAnsi="宋体" w:eastAsia="宋体" w:cs="宋体"/>
                <w:color w:val="auto"/>
                <w:spacing w:val="11"/>
                <w:sz w:val="24"/>
                <w:szCs w:val="24"/>
                <w:highlight w:val="yellow"/>
              </w:rPr>
              <w:t xml:space="preserve"> </w:t>
            </w:r>
            <w:r>
              <w:rPr>
                <w:rFonts w:hint="eastAsia" w:ascii="宋体" w:hAnsi="宋体" w:eastAsia="宋体" w:cs="宋体"/>
                <w:color w:val="auto"/>
                <w:spacing w:val="-16"/>
                <w:sz w:val="24"/>
                <w:szCs w:val="24"/>
                <w:highlight w:val="yellow"/>
              </w:rPr>
              <w:t>年</w:t>
            </w:r>
            <w:r>
              <w:rPr>
                <w:rFonts w:hint="eastAsia" w:ascii="宋体" w:hAnsi="宋体" w:eastAsia="宋体" w:cs="宋体"/>
                <w:color w:val="auto"/>
                <w:spacing w:val="-16"/>
                <w:sz w:val="24"/>
                <w:szCs w:val="24"/>
                <w:highlight w:val="yellow"/>
                <w:lang w:val="en-US" w:eastAsia="zh-CN"/>
              </w:rPr>
              <w:t>4</w:t>
            </w:r>
            <w:r>
              <w:rPr>
                <w:rFonts w:hint="eastAsia" w:ascii="宋体" w:hAnsi="宋体" w:eastAsia="宋体" w:cs="宋体"/>
                <w:color w:val="auto"/>
                <w:spacing w:val="-16"/>
                <w:sz w:val="24"/>
                <w:szCs w:val="24"/>
                <w:highlight w:val="yellow"/>
              </w:rPr>
              <w:t>月</w:t>
            </w:r>
            <w:r>
              <w:rPr>
                <w:rFonts w:hint="eastAsia" w:ascii="宋体" w:hAnsi="宋体" w:eastAsia="宋体" w:cs="宋体"/>
                <w:color w:val="auto"/>
                <w:spacing w:val="-16"/>
                <w:sz w:val="24"/>
                <w:szCs w:val="24"/>
                <w:highlight w:val="yellow"/>
                <w:lang w:val="en-US" w:eastAsia="zh-CN"/>
              </w:rPr>
              <w:t>29</w:t>
            </w:r>
            <w:r>
              <w:rPr>
                <w:rFonts w:hint="eastAsia" w:ascii="宋体" w:hAnsi="宋体" w:eastAsia="宋体" w:cs="宋体"/>
                <w:color w:val="auto"/>
                <w:spacing w:val="-16"/>
                <w:sz w:val="24"/>
                <w:szCs w:val="24"/>
                <w:highlight w:val="yellow"/>
              </w:rPr>
              <w:t>日</w:t>
            </w:r>
            <w:r>
              <w:rPr>
                <w:rFonts w:hint="eastAsia" w:ascii="宋体" w:hAnsi="宋体" w:eastAsia="宋体" w:cs="宋体"/>
                <w:color w:val="auto"/>
                <w:spacing w:val="-16"/>
                <w:sz w:val="24"/>
                <w:szCs w:val="24"/>
                <w:highlight w:val="yellow"/>
                <w:lang w:eastAsia="zh-CN"/>
              </w:rPr>
              <w:t>下</w:t>
            </w:r>
            <w:r>
              <w:rPr>
                <w:rFonts w:hint="eastAsia" w:ascii="宋体" w:hAnsi="宋体" w:eastAsia="宋体" w:cs="宋体"/>
                <w:color w:val="auto"/>
                <w:spacing w:val="-16"/>
                <w:sz w:val="24"/>
                <w:szCs w:val="24"/>
                <w:highlight w:val="yellow"/>
              </w:rPr>
              <w:t>午 1</w:t>
            </w:r>
            <w:r>
              <w:rPr>
                <w:rFonts w:hint="eastAsia" w:ascii="宋体" w:hAnsi="宋体" w:eastAsia="宋体" w:cs="宋体"/>
                <w:color w:val="auto"/>
                <w:spacing w:val="-16"/>
                <w:sz w:val="24"/>
                <w:szCs w:val="24"/>
                <w:highlight w:val="yellow"/>
                <w:lang w:val="en-US" w:eastAsia="zh-CN"/>
              </w:rPr>
              <w:t>6</w:t>
            </w:r>
            <w:r>
              <w:rPr>
                <w:rFonts w:hint="eastAsia" w:ascii="宋体" w:hAnsi="宋体" w:eastAsia="宋体" w:cs="宋体"/>
                <w:color w:val="auto"/>
                <w:spacing w:val="-16"/>
                <w:sz w:val="24"/>
                <w:szCs w:val="24"/>
                <w:highlight w:val="yellow"/>
              </w:rPr>
              <w:t>：30（北京时间）</w:t>
            </w:r>
          </w:p>
          <w:p>
            <w:pPr>
              <w:spacing w:before="195"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yellow"/>
              </w:rPr>
              <w:t>递交</w:t>
            </w:r>
            <w:r>
              <w:rPr>
                <w:rFonts w:hint="eastAsia" w:ascii="宋体" w:hAnsi="宋体" w:eastAsia="宋体" w:cs="宋体"/>
                <w:color w:val="auto"/>
                <w:spacing w:val="-16"/>
                <w:sz w:val="24"/>
                <w:szCs w:val="24"/>
                <w:highlight w:val="yellow"/>
                <w:lang w:eastAsia="zh-CN"/>
              </w:rPr>
              <w:t>谈判响应文件截止</w:t>
            </w:r>
            <w:r>
              <w:rPr>
                <w:rFonts w:hint="eastAsia" w:ascii="宋体" w:hAnsi="宋体" w:eastAsia="宋体" w:cs="宋体"/>
                <w:color w:val="auto"/>
                <w:spacing w:val="-16"/>
                <w:sz w:val="24"/>
                <w:szCs w:val="24"/>
                <w:highlight w:val="yellow"/>
              </w:rPr>
              <w:t>时间：2022 年</w:t>
            </w:r>
            <w:r>
              <w:rPr>
                <w:rFonts w:hint="eastAsia" w:ascii="宋体" w:hAnsi="宋体" w:eastAsia="宋体" w:cs="宋体"/>
                <w:color w:val="auto"/>
                <w:spacing w:val="-16"/>
                <w:sz w:val="24"/>
                <w:szCs w:val="24"/>
                <w:highlight w:val="yellow"/>
                <w:lang w:val="en-US" w:eastAsia="zh-CN"/>
              </w:rPr>
              <w:t>4</w:t>
            </w:r>
            <w:r>
              <w:rPr>
                <w:rFonts w:hint="eastAsia" w:ascii="宋体" w:hAnsi="宋体" w:eastAsia="宋体" w:cs="宋体"/>
                <w:color w:val="auto"/>
                <w:spacing w:val="-16"/>
                <w:sz w:val="24"/>
                <w:szCs w:val="24"/>
                <w:highlight w:val="yellow"/>
              </w:rPr>
              <w:t>月</w:t>
            </w:r>
            <w:r>
              <w:rPr>
                <w:rFonts w:hint="eastAsia" w:ascii="宋体" w:hAnsi="宋体" w:eastAsia="宋体" w:cs="宋体"/>
                <w:color w:val="auto"/>
                <w:spacing w:val="-16"/>
                <w:sz w:val="24"/>
                <w:szCs w:val="24"/>
                <w:highlight w:val="yellow"/>
                <w:lang w:val="en-US" w:eastAsia="zh-CN"/>
              </w:rPr>
              <w:t>29</w:t>
            </w:r>
            <w:r>
              <w:rPr>
                <w:rFonts w:hint="eastAsia" w:ascii="宋体" w:hAnsi="宋体" w:eastAsia="宋体" w:cs="宋体"/>
                <w:color w:val="auto"/>
                <w:spacing w:val="-16"/>
                <w:sz w:val="24"/>
                <w:szCs w:val="24"/>
                <w:highlight w:val="yellow"/>
              </w:rPr>
              <w:t>日</w:t>
            </w:r>
            <w:r>
              <w:rPr>
                <w:rFonts w:hint="eastAsia" w:ascii="宋体" w:hAnsi="宋体" w:eastAsia="宋体" w:cs="宋体"/>
                <w:color w:val="auto"/>
                <w:spacing w:val="-16"/>
                <w:sz w:val="24"/>
                <w:szCs w:val="24"/>
                <w:highlight w:val="yellow"/>
                <w:lang w:eastAsia="zh-CN"/>
              </w:rPr>
              <w:t>下</w:t>
            </w:r>
            <w:r>
              <w:rPr>
                <w:rFonts w:hint="eastAsia" w:ascii="宋体" w:hAnsi="宋体" w:eastAsia="宋体" w:cs="宋体"/>
                <w:color w:val="auto"/>
                <w:spacing w:val="-16"/>
                <w:sz w:val="24"/>
                <w:szCs w:val="24"/>
                <w:highlight w:val="yellow"/>
              </w:rPr>
              <w:t>午 1</w:t>
            </w:r>
            <w:r>
              <w:rPr>
                <w:rFonts w:hint="eastAsia" w:ascii="宋体" w:hAnsi="宋体" w:eastAsia="宋体" w:cs="宋体"/>
                <w:color w:val="auto"/>
                <w:spacing w:val="-16"/>
                <w:sz w:val="24"/>
                <w:szCs w:val="24"/>
                <w:highlight w:val="yellow"/>
                <w:lang w:val="en-US" w:eastAsia="zh-CN"/>
              </w:rPr>
              <w:t>6</w:t>
            </w:r>
            <w:r>
              <w:rPr>
                <w:rFonts w:hint="eastAsia" w:ascii="宋体" w:hAnsi="宋体" w:eastAsia="宋体" w:cs="宋体"/>
                <w:color w:val="auto"/>
                <w:spacing w:val="-16"/>
                <w:sz w:val="24"/>
                <w:szCs w:val="24"/>
                <w:highlight w:val="yellow"/>
              </w:rPr>
              <w:t>:30（北京时间）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86" w:type="dxa"/>
            <w:vAlign w:val="top"/>
          </w:tcPr>
          <w:p>
            <w:pPr>
              <w:spacing w:line="292" w:lineRule="auto"/>
              <w:rPr>
                <w:rFonts w:hint="eastAsia" w:ascii="宋体" w:hAnsi="宋体" w:eastAsia="宋体" w:cs="宋体"/>
                <w:color w:val="auto"/>
                <w:sz w:val="21"/>
                <w:highlight w:val="none"/>
              </w:rPr>
            </w:pPr>
          </w:p>
          <w:p>
            <w:pPr>
              <w:spacing w:line="293" w:lineRule="auto"/>
              <w:rPr>
                <w:rFonts w:hint="eastAsia" w:ascii="宋体" w:hAnsi="宋体" w:eastAsia="宋体" w:cs="宋体"/>
                <w:color w:val="auto"/>
                <w:sz w:val="21"/>
                <w:highlight w:val="none"/>
              </w:rPr>
            </w:pPr>
          </w:p>
          <w:p>
            <w:pPr>
              <w:spacing w:before="69" w:line="180" w:lineRule="auto"/>
              <w:ind w:firstLine="284"/>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10</w:t>
            </w:r>
          </w:p>
        </w:tc>
        <w:tc>
          <w:tcPr>
            <w:tcW w:w="8290" w:type="dxa"/>
            <w:vAlign w:val="top"/>
          </w:tcPr>
          <w:p>
            <w:pPr>
              <w:spacing w:before="195" w:line="184" w:lineRule="auto"/>
              <w:ind w:firstLine="113"/>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开标日期：2022 年</w:t>
            </w:r>
            <w:r>
              <w:rPr>
                <w:rFonts w:hint="eastAsia" w:ascii="宋体" w:hAnsi="宋体" w:eastAsia="宋体" w:cs="宋体"/>
                <w:color w:val="auto"/>
                <w:spacing w:val="-16"/>
                <w:sz w:val="24"/>
                <w:szCs w:val="24"/>
                <w:highlight w:val="none"/>
                <w:lang w:val="en-US" w:eastAsia="zh-CN"/>
              </w:rPr>
              <w:t>4</w:t>
            </w:r>
            <w:r>
              <w:rPr>
                <w:rFonts w:hint="eastAsia" w:ascii="宋体" w:hAnsi="宋体" w:eastAsia="宋体" w:cs="宋体"/>
                <w:color w:val="auto"/>
                <w:spacing w:val="-16"/>
                <w:sz w:val="24"/>
                <w:szCs w:val="24"/>
                <w:highlight w:val="none"/>
              </w:rPr>
              <w:t>月</w:t>
            </w:r>
            <w:r>
              <w:rPr>
                <w:rFonts w:hint="eastAsia" w:ascii="宋体" w:hAnsi="宋体" w:eastAsia="宋体" w:cs="宋体"/>
                <w:color w:val="auto"/>
                <w:spacing w:val="-16"/>
                <w:sz w:val="24"/>
                <w:szCs w:val="24"/>
                <w:highlight w:val="none"/>
                <w:lang w:val="en-US" w:eastAsia="zh-CN"/>
              </w:rPr>
              <w:t>29</w:t>
            </w:r>
            <w:r>
              <w:rPr>
                <w:rFonts w:hint="eastAsia" w:ascii="宋体" w:hAnsi="宋体" w:eastAsia="宋体" w:cs="宋体"/>
                <w:color w:val="auto"/>
                <w:spacing w:val="-16"/>
                <w:sz w:val="24"/>
                <w:szCs w:val="24"/>
                <w:highlight w:val="none"/>
              </w:rPr>
              <w:t>日</w:t>
            </w:r>
            <w:r>
              <w:rPr>
                <w:rFonts w:hint="eastAsia" w:ascii="宋体" w:hAnsi="宋体" w:eastAsia="宋体" w:cs="宋体"/>
                <w:color w:val="auto"/>
                <w:spacing w:val="-16"/>
                <w:sz w:val="24"/>
                <w:szCs w:val="24"/>
                <w:highlight w:val="none"/>
                <w:lang w:eastAsia="zh-CN"/>
              </w:rPr>
              <w:t>下</w:t>
            </w:r>
            <w:r>
              <w:rPr>
                <w:rFonts w:hint="eastAsia" w:ascii="宋体" w:hAnsi="宋体" w:eastAsia="宋体" w:cs="宋体"/>
                <w:color w:val="auto"/>
                <w:spacing w:val="-16"/>
                <w:sz w:val="24"/>
                <w:szCs w:val="24"/>
                <w:highlight w:val="none"/>
              </w:rPr>
              <w:t>午 1</w:t>
            </w:r>
            <w:r>
              <w:rPr>
                <w:rFonts w:hint="eastAsia" w:ascii="宋体" w:hAnsi="宋体" w:eastAsia="宋体" w:cs="宋体"/>
                <w:color w:val="auto"/>
                <w:spacing w:val="-16"/>
                <w:sz w:val="24"/>
                <w:szCs w:val="24"/>
                <w:highlight w:val="none"/>
                <w:lang w:val="en-US" w:eastAsia="zh-CN"/>
              </w:rPr>
              <w:t>6</w:t>
            </w:r>
            <w:r>
              <w:rPr>
                <w:rFonts w:hint="eastAsia" w:ascii="宋体" w:hAnsi="宋体" w:eastAsia="宋体" w:cs="宋体"/>
                <w:color w:val="auto"/>
                <w:spacing w:val="-16"/>
                <w:sz w:val="24"/>
                <w:szCs w:val="24"/>
                <w:highlight w:val="none"/>
              </w:rPr>
              <w:t>：30（北京时间）</w:t>
            </w:r>
          </w:p>
          <w:p>
            <w:pPr>
              <w:spacing w:before="195"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地点：新疆泽源和忻项目管理咨询有限公司（阿勒泰市东风路翡翠湾小区2栋5层3号）五楼会议室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86" w:type="dxa"/>
            <w:vAlign w:val="top"/>
          </w:tcPr>
          <w:p>
            <w:pPr>
              <w:spacing w:line="382" w:lineRule="auto"/>
              <w:rPr>
                <w:rFonts w:hint="eastAsia" w:ascii="宋体" w:hAnsi="宋体" w:eastAsia="宋体" w:cs="宋体"/>
                <w:color w:val="auto"/>
                <w:sz w:val="21"/>
                <w:highlight w:val="none"/>
              </w:rPr>
            </w:pPr>
          </w:p>
          <w:p>
            <w:pPr>
              <w:spacing w:before="69" w:line="180" w:lineRule="auto"/>
              <w:ind w:firstLine="291"/>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11</w:t>
            </w:r>
          </w:p>
        </w:tc>
        <w:tc>
          <w:tcPr>
            <w:tcW w:w="8290" w:type="dxa"/>
            <w:vAlign w:val="top"/>
          </w:tcPr>
          <w:p>
            <w:pPr>
              <w:spacing w:before="196"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2" w14:cap="flat" w14:cmpd="sng">
                  <w14:solidFill>
                    <w14:srgbClr w14:val="000000"/>
                  </w14:solidFill>
                  <w14:prstDash w14:val="solid"/>
                  <w14:miter w14:val="0"/>
                </w14:textOutline>
              </w:rPr>
              <w:t>招标控制价：973019.38元（大写：</w:t>
            </w:r>
            <w:r>
              <w:rPr>
                <w:rFonts w:hint="eastAsia" w:ascii="宋体" w:hAnsi="宋体" w:eastAsia="宋体" w:cs="宋体"/>
                <w:color w:val="auto"/>
                <w:spacing w:val="34"/>
                <w:sz w:val="24"/>
                <w:szCs w:val="24"/>
                <w:highlight w:val="none"/>
                <w:lang w:eastAsia="zh-CN"/>
              </w:rPr>
              <w:t>玖拾柒万叁仟零壹拾玖元叁角捌分</w:t>
            </w:r>
            <w:r>
              <w:rPr>
                <w:rFonts w:hint="eastAsia" w:ascii="宋体" w:hAnsi="宋体" w:eastAsia="宋体" w:cs="宋体"/>
                <w:color w:val="auto"/>
                <w:spacing w:val="-9"/>
                <w:sz w:val="24"/>
                <w:szCs w:val="24"/>
                <w:highlight w:val="none"/>
                <w14:textOutline w14:w="4352" w14:cap="flat" w14:cmpd="sng">
                  <w14:solidFill>
                    <w14:srgbClr w14:val="000000"/>
                  </w14:solidFill>
                  <w14:prstDash w14:val="solid"/>
                  <w14:miter w14:val="0"/>
                </w14:textOutline>
              </w:rPr>
              <w:t>）</w:t>
            </w:r>
          </w:p>
          <w:p>
            <w:pPr>
              <w:spacing w:before="260"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各投标单位的投标报价不得高于或等于此上限价，否则做废标处理。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3" w:hRule="atLeast"/>
        </w:trPr>
        <w:tc>
          <w:tcPr>
            <w:tcW w:w="786" w:type="dxa"/>
            <w:vAlign w:val="top"/>
          </w:tcPr>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before="69" w:line="180" w:lineRule="auto"/>
              <w:ind w:firstLine="284"/>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12</w:t>
            </w:r>
          </w:p>
        </w:tc>
        <w:tc>
          <w:tcPr>
            <w:tcW w:w="8290" w:type="dxa"/>
            <w:vAlign w:val="top"/>
          </w:tcPr>
          <w:p>
            <w:pPr>
              <w:spacing w:before="260" w:line="184" w:lineRule="auto"/>
              <w:ind w:firstLine="105"/>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开</w:t>
            </w:r>
            <w:r>
              <w:rPr>
                <w:rFonts w:hint="eastAsia" w:ascii="宋体" w:hAnsi="宋体" w:eastAsia="宋体" w:cs="宋体"/>
                <w:color w:val="auto"/>
                <w:spacing w:val="-1"/>
                <w:sz w:val="24"/>
                <w:szCs w:val="24"/>
                <w:highlight w:val="none"/>
              </w:rPr>
              <w:t>标前，请各投标人随身携带下列有效证件以备随时查验：</w:t>
            </w:r>
          </w:p>
          <w:p>
            <w:pPr>
              <w:spacing w:before="260" w:line="184" w:lineRule="auto"/>
              <w:ind w:firstLine="10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 企业法人证明及法定代表人身份证原件或法定代表人授权委托书原件和</w:t>
            </w:r>
          </w:p>
          <w:p>
            <w:pPr>
              <w:spacing w:before="260" w:line="184" w:lineRule="auto"/>
              <w:ind w:firstLine="10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法定代表人授权委托人的身份证原件</w:t>
            </w:r>
            <w:r>
              <w:rPr>
                <w:rFonts w:hint="eastAsia" w:ascii="宋体" w:hAnsi="宋体" w:eastAsia="宋体" w:cs="宋体"/>
                <w:color w:val="auto"/>
                <w:spacing w:val="-1"/>
                <w:sz w:val="24"/>
                <w:szCs w:val="24"/>
                <w:highlight w:val="none"/>
                <w:lang w:eastAsia="zh-CN"/>
              </w:rPr>
              <w:t>；</w:t>
            </w:r>
          </w:p>
          <w:p>
            <w:pPr>
              <w:spacing w:before="262"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法定代表人授权委托书应当单独提供，并与谈判响应文件中所提供的一致。</w:t>
            </w:r>
          </w:p>
          <w:p>
            <w:pPr>
              <w:spacing w:before="260" w:line="184" w:lineRule="auto"/>
              <w:ind w:firstLine="1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、企业法人营业执照副本原件、资质证书副本原件、安全生产许可证原件。</w:t>
            </w:r>
          </w:p>
          <w:p>
            <w:pPr>
              <w:spacing w:before="259" w:line="184" w:lineRule="auto"/>
              <w:ind w:firstLine="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、项目负责人注册证书、安全生产考核证原件。</w:t>
            </w:r>
          </w:p>
          <w:p>
            <w:pPr>
              <w:spacing w:before="262" w:line="184" w:lineRule="auto"/>
              <w:ind w:firstLine="1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、保证金缴纳凭证</w:t>
            </w:r>
            <w:r>
              <w:rPr>
                <w:rFonts w:hint="eastAsia" w:ascii="宋体" w:hAnsi="宋体" w:eastAsia="宋体" w:cs="宋体"/>
                <w:color w:val="auto"/>
                <w:spacing w:val="-3"/>
                <w:sz w:val="24"/>
                <w:szCs w:val="24"/>
                <w:highlight w:val="none"/>
                <w:lang w:eastAsia="zh-CN"/>
              </w:rPr>
              <w:t>及保证金收据</w:t>
            </w:r>
            <w:r>
              <w:rPr>
                <w:rFonts w:hint="eastAsia" w:ascii="宋体" w:hAnsi="宋体" w:eastAsia="宋体" w:cs="宋体"/>
                <w:color w:val="auto"/>
                <w:spacing w:val="-3"/>
                <w:sz w:val="24"/>
                <w:szCs w:val="24"/>
                <w:highlight w:val="none"/>
              </w:rPr>
              <w:t>原件。</w:t>
            </w:r>
          </w:p>
          <w:p>
            <w:pPr>
              <w:spacing w:before="26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1"/>
                <w:sz w:val="24"/>
                <w:szCs w:val="24"/>
                <w:highlight w:val="none"/>
              </w:rPr>
              <w:t>“信用中国”信用报告下载和中国政府采购网政府采购无不良行为记录查</w:t>
            </w:r>
          </w:p>
          <w:p>
            <w:pPr>
              <w:spacing w:before="260" w:line="184" w:lineRule="auto"/>
              <w:ind w:firstLine="112"/>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询</w:t>
            </w:r>
            <w:r>
              <w:rPr>
                <w:rFonts w:hint="eastAsia" w:ascii="宋体" w:hAnsi="宋体" w:eastAsia="宋体" w:cs="宋体"/>
                <w:color w:val="auto"/>
                <w:spacing w:val="-1"/>
                <w:sz w:val="24"/>
                <w:szCs w:val="24"/>
                <w:highlight w:val="none"/>
              </w:rPr>
              <w:t>截图。</w:t>
            </w:r>
          </w:p>
          <w:p>
            <w:pPr>
              <w:spacing w:before="260" w:line="184" w:lineRule="auto"/>
              <w:ind w:firstLine="11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6、疆外企业需提供有效期内的进疆备案登记手册</w:t>
            </w:r>
          </w:p>
          <w:p>
            <w:pPr>
              <w:spacing w:before="26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以上证件均应当为原件，公证件不予认可。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786" w:type="dxa"/>
            <w:vAlign w:val="top"/>
          </w:tcPr>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before="70" w:line="180" w:lineRule="auto"/>
              <w:ind w:firstLine="284"/>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rPr>
              <w:t>13</w:t>
            </w:r>
          </w:p>
        </w:tc>
        <w:tc>
          <w:tcPr>
            <w:tcW w:w="8290" w:type="dxa"/>
            <w:vAlign w:val="top"/>
          </w:tcPr>
          <w:p>
            <w:pPr>
              <w:numPr>
                <w:ilvl w:val="0"/>
                <w:numId w:val="0"/>
              </w:numPr>
              <w:spacing w:before="176" w:line="323" w:lineRule="exact"/>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工程款付款方式</w:t>
            </w:r>
          </w:p>
          <w:p>
            <w:pPr>
              <w:numPr>
                <w:ilvl w:val="0"/>
                <w:numId w:val="5"/>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合同签订后，预付款支付工程款的30%；</w:t>
            </w:r>
          </w:p>
          <w:p>
            <w:pPr>
              <w:numPr>
                <w:ilvl w:val="0"/>
                <w:numId w:val="5"/>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后期按工程进度付款，完成80%工程量后支付到合同总价的80%</w:t>
            </w:r>
          </w:p>
          <w:p>
            <w:pPr>
              <w:numPr>
                <w:ilvl w:val="0"/>
                <w:numId w:val="5"/>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经验收合格后，工程资料齐全、无民工工资纠纷上访现象，且待工程结算完成后支付到合同总价款的97%；</w:t>
            </w:r>
          </w:p>
          <w:p>
            <w:pPr>
              <w:numPr>
                <w:ilvl w:val="0"/>
                <w:numId w:val="5"/>
              </w:numPr>
              <w:spacing w:before="176" w:line="323" w:lineRule="exact"/>
              <w:ind w:left="-116" w:leftChars="0" w:firstLine="116"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其余 3%质保金以银行履约保函形式支付。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trPr>
        <w:tc>
          <w:tcPr>
            <w:tcW w:w="786" w:type="dxa"/>
            <w:vAlign w:val="top"/>
          </w:tcPr>
          <w:p>
            <w:pPr>
              <w:spacing w:before="70" w:line="180" w:lineRule="auto"/>
              <w:ind w:firstLine="284"/>
              <w:rPr>
                <w:rFonts w:hint="eastAsia" w:ascii="宋体" w:hAnsi="宋体" w:eastAsia="宋体" w:cs="宋体"/>
                <w:color w:val="auto"/>
                <w:spacing w:val="-11"/>
                <w:w w:val="97"/>
                <w:sz w:val="24"/>
                <w:szCs w:val="24"/>
                <w:highlight w:val="none"/>
                <w:lang w:val="en-US" w:eastAsia="zh-CN"/>
              </w:rPr>
            </w:pPr>
            <w:r>
              <w:rPr>
                <w:rFonts w:hint="eastAsia" w:ascii="宋体" w:hAnsi="宋体" w:eastAsia="宋体" w:cs="宋体"/>
                <w:color w:val="auto"/>
                <w:spacing w:val="-11"/>
                <w:w w:val="97"/>
                <w:sz w:val="24"/>
                <w:szCs w:val="24"/>
                <w:highlight w:val="none"/>
                <w:lang w:val="en-US" w:eastAsia="zh-CN"/>
              </w:rPr>
              <w:t>14</w:t>
            </w:r>
          </w:p>
        </w:tc>
        <w:tc>
          <w:tcPr>
            <w:tcW w:w="8290" w:type="dxa"/>
            <w:vAlign w:val="top"/>
          </w:tcPr>
          <w:p>
            <w:pPr>
              <w:spacing w:before="176" w:line="323" w:lineRule="exact"/>
              <w:ind w:firstLine="116"/>
              <w:rPr>
                <w:rFonts w:hint="eastAsia" w:ascii="宋体" w:hAnsi="宋体" w:eastAsia="宋体" w:cs="宋体"/>
                <w:color w:val="auto"/>
                <w:spacing w:val="-3"/>
                <w:position w:val="1"/>
                <w:sz w:val="24"/>
                <w:szCs w:val="24"/>
                <w:highlight w:val="none"/>
                <w:lang w:eastAsia="zh-CN"/>
              </w:rPr>
            </w:pPr>
            <w:r>
              <w:rPr>
                <w:rFonts w:hint="eastAsia" w:ascii="宋体" w:hAnsi="宋体" w:eastAsia="宋体" w:cs="宋体"/>
                <w:color w:val="auto"/>
                <w:spacing w:val="-3"/>
                <w:position w:val="1"/>
                <w:sz w:val="24"/>
                <w:szCs w:val="24"/>
                <w:highlight w:val="none"/>
                <w:lang w:eastAsia="zh-CN"/>
              </w:rPr>
              <w:t>（</w:t>
            </w:r>
            <w:r>
              <w:rPr>
                <w:rFonts w:hint="eastAsia" w:ascii="宋体" w:hAnsi="宋体" w:eastAsia="宋体" w:cs="宋体"/>
                <w:color w:val="auto"/>
                <w:spacing w:val="-3"/>
                <w:position w:val="1"/>
                <w:sz w:val="24"/>
                <w:szCs w:val="24"/>
                <w:highlight w:val="none"/>
                <w:lang w:val="en-US" w:eastAsia="zh-CN"/>
              </w:rPr>
              <w:t>1</w:t>
            </w:r>
            <w:r>
              <w:rPr>
                <w:rFonts w:hint="eastAsia" w:ascii="宋体" w:hAnsi="宋体" w:eastAsia="宋体" w:cs="宋体"/>
                <w:color w:val="auto"/>
                <w:spacing w:val="-3"/>
                <w:position w:val="1"/>
                <w:sz w:val="24"/>
                <w:szCs w:val="24"/>
                <w:highlight w:val="none"/>
                <w:lang w:eastAsia="zh-CN"/>
              </w:rPr>
              <w:t>）财务要求：企业近一年度（</w:t>
            </w:r>
            <w:r>
              <w:rPr>
                <w:rFonts w:hint="eastAsia" w:ascii="宋体" w:hAnsi="宋体" w:eastAsia="宋体" w:cs="宋体"/>
                <w:color w:val="auto"/>
                <w:spacing w:val="-3"/>
                <w:position w:val="1"/>
                <w:sz w:val="24"/>
                <w:szCs w:val="24"/>
                <w:highlight w:val="none"/>
                <w:lang w:val="en-US" w:eastAsia="zh-CN"/>
              </w:rPr>
              <w:t>2021年或2020年</w:t>
            </w:r>
            <w:r>
              <w:rPr>
                <w:rFonts w:hint="eastAsia" w:ascii="宋体" w:hAnsi="宋体" w:eastAsia="宋体" w:cs="宋体"/>
                <w:color w:val="auto"/>
                <w:spacing w:val="-3"/>
                <w:position w:val="1"/>
                <w:sz w:val="24"/>
                <w:szCs w:val="24"/>
                <w:highlight w:val="none"/>
                <w:lang w:eastAsia="zh-CN"/>
              </w:rPr>
              <w:t>）经审计的财务报告</w:t>
            </w:r>
          </w:p>
          <w:p>
            <w:pPr>
              <w:spacing w:before="176" w:line="323" w:lineRule="exact"/>
              <w:ind w:firstLine="116"/>
              <w:rPr>
                <w:rFonts w:hint="eastAsia" w:ascii="宋体" w:hAnsi="宋体" w:eastAsia="宋体" w:cs="宋体"/>
                <w:color w:val="auto"/>
                <w:highlight w:val="none"/>
                <w:lang w:eastAsia="zh-CN"/>
              </w:rPr>
            </w:pPr>
            <w:r>
              <w:rPr>
                <w:rFonts w:hint="eastAsia" w:ascii="宋体" w:hAnsi="宋体" w:eastAsia="宋体" w:cs="宋体"/>
                <w:color w:val="auto"/>
                <w:spacing w:val="-3"/>
                <w:position w:val="1"/>
                <w:sz w:val="24"/>
                <w:szCs w:val="24"/>
                <w:highlight w:val="none"/>
                <w:lang w:eastAsia="zh-CN"/>
              </w:rPr>
              <w:t>（</w:t>
            </w:r>
            <w:r>
              <w:rPr>
                <w:rFonts w:hint="eastAsia" w:ascii="宋体" w:hAnsi="宋体" w:eastAsia="宋体" w:cs="宋体"/>
                <w:color w:val="auto"/>
                <w:spacing w:val="-3"/>
                <w:position w:val="1"/>
                <w:sz w:val="24"/>
                <w:szCs w:val="24"/>
                <w:highlight w:val="none"/>
                <w:lang w:val="en-US" w:eastAsia="zh-CN"/>
              </w:rPr>
              <w:t>2</w:t>
            </w:r>
            <w:r>
              <w:rPr>
                <w:rFonts w:hint="eastAsia" w:ascii="宋体" w:hAnsi="宋体" w:eastAsia="宋体" w:cs="宋体"/>
                <w:color w:val="auto"/>
                <w:spacing w:val="-3"/>
                <w:position w:val="1"/>
                <w:sz w:val="24"/>
                <w:szCs w:val="24"/>
                <w:highlight w:val="none"/>
                <w:lang w:eastAsia="zh-CN"/>
              </w:rPr>
              <w:t>）信誉要求：良好。最近三年内没有参与与骗取合同有关联以及其它经济方面的严重违法行为；近3年（2019年3月至今）有较好的安全记录，近一年内没有发生重大质量和特大安全事故；不接受在水利行业处罚有效期内的施工企业。</w:t>
            </w:r>
          </w:p>
        </w:tc>
      </w:tr>
    </w:tbl>
    <w:p>
      <w:pPr>
        <w:rPr>
          <w:rFonts w:hint="eastAsia" w:ascii="宋体" w:hAnsi="宋体" w:eastAsia="宋体" w:cs="宋体"/>
          <w:color w:val="auto"/>
          <w:sz w:val="21"/>
          <w:highlight w:val="no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bookmarkStart w:id="38" w:name="_bookmark4"/>
      <w:bookmarkEnd w:id="38"/>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pStyle w:val="2"/>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pStyle w:val="2"/>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pPr>
    </w:p>
    <w:p>
      <w:pPr>
        <w:spacing w:before="56" w:line="185" w:lineRule="auto"/>
        <w:ind w:firstLine="3015"/>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（二）</w:t>
      </w:r>
      <w:r>
        <w:rPr>
          <w:rFonts w:hint="eastAsia" w:ascii="宋体" w:hAnsi="宋体" w:eastAsia="宋体" w:cs="宋体"/>
          <w:color w:val="auto"/>
          <w:spacing w:val="133"/>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投</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标</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须</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25"/>
          <w:sz w:val="28"/>
          <w:szCs w:val="28"/>
          <w:highlight w:val="none"/>
          <w14:textOutline w14:w="5103" w14:cap="flat" w14:cmpd="sng">
            <w14:solidFill>
              <w14:srgbClr w14:val="000000"/>
            </w14:solidFill>
            <w14:prstDash w14:val="solid"/>
            <w14:miter w14:val="0"/>
          </w14:textOutline>
        </w:rPr>
        <w:t>知</w:t>
      </w:r>
    </w:p>
    <w:p>
      <w:pPr>
        <w:spacing w:line="298" w:lineRule="auto"/>
        <w:rPr>
          <w:rFonts w:hint="eastAsia" w:ascii="宋体" w:hAnsi="宋体" w:eastAsia="宋体" w:cs="宋体"/>
          <w:color w:val="auto"/>
          <w:sz w:val="21"/>
          <w:highlight w:val="none"/>
        </w:rPr>
      </w:pPr>
    </w:p>
    <w:p>
      <w:pPr>
        <w:spacing w:before="78" w:line="184" w:lineRule="auto"/>
        <w:ind w:firstLine="483"/>
        <w:outlineLvl w:val="0"/>
        <w:rPr>
          <w:rFonts w:hint="eastAsia" w:ascii="宋体" w:hAnsi="宋体" w:eastAsia="宋体" w:cs="宋体"/>
          <w:color w:val="auto"/>
          <w:sz w:val="24"/>
          <w:szCs w:val="24"/>
          <w:highlight w:val="none"/>
        </w:rPr>
      </w:pPr>
      <w:bookmarkStart w:id="39" w:name="_Toc10393"/>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2.1</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总则</w:t>
      </w:r>
      <w:bookmarkEnd w:id="39"/>
    </w:p>
    <w:p>
      <w:pPr>
        <w:spacing w:before="259" w:line="499" w:lineRule="exact"/>
        <w:ind w:firstLine="6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position w:val="19"/>
          <w:sz w:val="24"/>
          <w:szCs w:val="24"/>
          <w:highlight w:val="none"/>
        </w:rPr>
        <w:t>本工程招标人：</w:t>
      </w:r>
      <w:r>
        <w:rPr>
          <w:rFonts w:hint="eastAsia" w:ascii="宋体" w:hAnsi="宋体" w:eastAsia="宋体" w:cs="宋体"/>
          <w:color w:val="auto"/>
          <w:spacing w:val="79"/>
          <w:position w:val="19"/>
          <w:sz w:val="24"/>
          <w:szCs w:val="24"/>
          <w:highlight w:val="none"/>
        </w:rPr>
        <w:t xml:space="preserve"> </w:t>
      </w:r>
      <w:r>
        <w:rPr>
          <w:rFonts w:hint="eastAsia" w:ascii="宋体" w:hAnsi="宋体" w:eastAsia="宋体" w:cs="宋体"/>
          <w:color w:val="auto"/>
          <w:spacing w:val="-10"/>
          <w:position w:val="19"/>
          <w:sz w:val="24"/>
          <w:szCs w:val="24"/>
          <w:highlight w:val="none"/>
          <w:lang w:eastAsia="zh-CN"/>
        </w:rPr>
        <w:t>新疆布尔根河狸国家级自然保护区管理局</w:t>
      </w:r>
    </w:p>
    <w:p>
      <w:pPr>
        <w:spacing w:line="204" w:lineRule="auto"/>
        <w:ind w:firstLine="6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招标代理人：</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10"/>
          <w:sz w:val="24"/>
          <w:szCs w:val="24"/>
          <w:highlight w:val="none"/>
          <w:lang w:eastAsia="zh-CN"/>
        </w:rPr>
        <w:t>新疆泽源和忻项目管理咨询有限公司</w:t>
      </w:r>
    </w:p>
    <w:p>
      <w:pPr>
        <w:spacing w:before="236"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招标范围</w:t>
      </w:r>
      <w:r>
        <w:rPr>
          <w:rFonts w:hint="eastAsia" w:ascii="宋体" w:hAnsi="宋体" w:eastAsia="宋体" w:cs="宋体"/>
          <w:color w:val="auto"/>
          <w:spacing w:val="-100"/>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00"/>
          <w:sz w:val="24"/>
          <w:szCs w:val="24"/>
          <w:highlight w:val="none"/>
        </w:rPr>
        <w:t>（</w:t>
      </w:r>
      <w:r>
        <w:rPr>
          <w:rFonts w:hint="eastAsia" w:ascii="宋体" w:hAnsi="宋体" w:eastAsia="宋体" w:cs="宋体"/>
          <w:color w:val="auto"/>
          <w:spacing w:val="1"/>
          <w:sz w:val="24"/>
          <w:szCs w:val="24"/>
          <w:highlight w:val="none"/>
        </w:rPr>
        <w:t>详见招标公告）</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资金来源</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1"/>
          <w:sz w:val="24"/>
          <w:szCs w:val="24"/>
          <w:highlight w:val="none"/>
        </w:rPr>
        <w:t>详见投标须知前附表）</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投标人资格</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投标人资格应具备下列条件：</w:t>
      </w:r>
    </w:p>
    <w:p>
      <w:pPr>
        <w:spacing w:before="259" w:line="499" w:lineRule="exact"/>
        <w:ind w:firstLine="601"/>
        <w:rPr>
          <w:rFonts w:hint="eastAsia" w:ascii="宋体" w:hAnsi="宋体" w:eastAsia="宋体" w:cs="宋体"/>
          <w:color w:val="auto"/>
          <w:spacing w:val="-10"/>
          <w:position w:val="19"/>
          <w:sz w:val="24"/>
          <w:szCs w:val="24"/>
          <w:highlight w:val="none"/>
          <w:lang w:val="en-US" w:eastAsia="zh-CN"/>
        </w:rPr>
      </w:pPr>
      <w:r>
        <w:rPr>
          <w:rFonts w:hint="eastAsia" w:ascii="宋体" w:hAnsi="宋体" w:eastAsia="宋体" w:cs="宋体"/>
          <w:color w:val="auto"/>
          <w:spacing w:val="-10"/>
          <w:position w:val="19"/>
          <w:sz w:val="24"/>
          <w:szCs w:val="24"/>
          <w:highlight w:val="none"/>
          <w:lang w:val="en-US" w:eastAsia="zh-CN"/>
        </w:rPr>
        <w:t>1、投标人必须符合《中华人民共和国政府采购法》第二十二条规定。</w:t>
      </w:r>
    </w:p>
    <w:p>
      <w:pPr>
        <w:spacing w:before="259" w:line="499" w:lineRule="exact"/>
        <w:ind w:firstLine="601"/>
        <w:rPr>
          <w:rFonts w:hint="eastAsia" w:ascii="宋体" w:hAnsi="宋体" w:eastAsia="宋体" w:cs="宋体"/>
          <w:color w:val="auto"/>
          <w:spacing w:val="-10"/>
          <w:position w:val="19"/>
          <w:sz w:val="24"/>
          <w:szCs w:val="24"/>
          <w:highlight w:val="none"/>
          <w:lang w:val="en-US" w:eastAsia="zh-CN"/>
        </w:rPr>
      </w:pPr>
      <w:r>
        <w:rPr>
          <w:rFonts w:hint="eastAsia" w:ascii="宋体" w:hAnsi="宋体" w:eastAsia="宋体" w:cs="宋体"/>
          <w:color w:val="auto"/>
          <w:spacing w:val="-10"/>
          <w:position w:val="19"/>
          <w:sz w:val="24"/>
          <w:szCs w:val="24"/>
          <w:highlight w:val="none"/>
          <w:lang w:val="en-US" w:eastAsia="zh-CN"/>
        </w:rPr>
        <w:t>2、落实政府采购政策需满足的资格要求：该项目专门面向中小企业采购，企业需提供中小企业声明函原件。</w:t>
      </w:r>
    </w:p>
    <w:p>
      <w:pPr>
        <w:spacing w:before="259" w:line="499" w:lineRule="exact"/>
        <w:ind w:firstLine="601"/>
        <w:rPr>
          <w:rFonts w:hint="eastAsia" w:ascii="宋体" w:hAnsi="宋体" w:eastAsia="宋体" w:cs="宋体"/>
          <w:color w:val="auto"/>
          <w:spacing w:val="-10"/>
          <w:position w:val="19"/>
          <w:sz w:val="24"/>
          <w:szCs w:val="24"/>
          <w:highlight w:val="none"/>
        </w:rPr>
      </w:pPr>
      <w:r>
        <w:rPr>
          <w:rFonts w:hint="eastAsia" w:ascii="宋体" w:hAnsi="宋体" w:eastAsia="宋体" w:cs="宋体"/>
          <w:color w:val="auto"/>
          <w:spacing w:val="-10"/>
          <w:position w:val="19"/>
          <w:sz w:val="24"/>
          <w:szCs w:val="24"/>
          <w:highlight w:val="none"/>
          <w:lang w:val="en-US" w:eastAsia="zh-CN"/>
        </w:rPr>
        <w:t xml:space="preserve">3、本项目的特定资格要求：1.投标人应具水利水电工程施工总承包三级（含三级）及以上资质，并具有有效的安全生产许可证，疆外企业需提供有效期内的进疆备案登记手续，即《2022年新疆维吾尔自治区区外进疆建筑企业信息报送册》。项目负责人须具备水利水电工程贰级（含贰级）及以上注册建造师，具备有效的安全生产考核合格证书，且未担任其他在施建设工程。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spacing w:line="502"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注：</w:t>
      </w:r>
      <w:r>
        <w:rPr>
          <w:rFonts w:hint="eastAsia" w:ascii="宋体" w:hAnsi="宋体" w:eastAsia="宋体" w:cs="宋体"/>
          <w:color w:val="auto"/>
          <w:spacing w:val="74"/>
          <w:position w:val="19"/>
          <w:sz w:val="24"/>
          <w:szCs w:val="24"/>
          <w:highlight w:val="none"/>
        </w:rPr>
        <w:t xml:space="preserve"> </w:t>
      </w: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从报名到项目实施完成，未经招标人许可，中标单位不得更换项目负责人，</w:t>
      </w:r>
    </w:p>
    <w:p>
      <w:pPr>
        <w:spacing w:line="204" w:lineRule="auto"/>
        <w:ind w:firstLine="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否则按专用合同条款第</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12.2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条执行。</w:t>
      </w:r>
    </w:p>
    <w:p>
      <w:pPr>
        <w:spacing w:before="78"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2.1.3.2</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属于下列情况之一的单位不能作为投标人或投标人的分包人参加投标：</w:t>
      </w:r>
    </w:p>
    <w:p>
      <w:pPr>
        <w:spacing w:before="262" w:line="499" w:lineRule="exact"/>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position w:val="19"/>
          <w:sz w:val="24"/>
          <w:szCs w:val="24"/>
          <w:highlight w:val="none"/>
        </w:rPr>
        <w:t>(1)在本建设项目或本合同工程准备阶段曾被项目业主或本合同招标人聘用为本</w:t>
      </w:r>
    </w:p>
    <w:p>
      <w:pPr>
        <w:spacing w:before="1" w:line="204" w:lineRule="auto"/>
        <w:ind w:firstLine="1"/>
        <w:rPr>
          <w:rFonts w:hint="eastAsia" w:ascii="宋体" w:hAnsi="宋体" w:eastAsia="宋体" w:cs="宋体"/>
          <w:color w:val="auto"/>
          <w:spacing w:val="-4"/>
          <w:sz w:val="24"/>
          <w:szCs w:val="24"/>
          <w:highlight w:val="none"/>
        </w:rPr>
      </w:pPr>
      <w:r>
        <w:rPr>
          <w:rFonts w:hint="eastAsia" w:ascii="宋体" w:hAnsi="宋体" w:eastAsia="宋体" w:cs="宋体"/>
          <w:color w:val="auto"/>
          <w:spacing w:val="-1"/>
          <w:sz w:val="24"/>
          <w:szCs w:val="24"/>
          <w:highlight w:val="none"/>
        </w:rPr>
        <w:t>合同工程提供设计和咨询服务的单位。</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(2)被委托本合同招标代理人。</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(3)已被聘用为本合同的监理人。</w:t>
      </w:r>
    </w:p>
    <w:p>
      <w:pPr>
        <w:spacing w:before="262" w:line="499" w:lineRule="exact"/>
        <w:ind w:firstLine="523"/>
        <w:rPr>
          <w:rFonts w:hint="eastAsia" w:ascii="宋体" w:hAnsi="宋体" w:eastAsia="宋体" w:cs="宋体"/>
          <w:color w:val="auto"/>
          <w:spacing w:val="-30"/>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2.1.3.3</w:t>
      </w:r>
      <w:r>
        <w:rPr>
          <w:rFonts w:hint="eastAsia" w:ascii="宋体" w:hAnsi="宋体" w:eastAsia="宋体" w:cs="宋体"/>
          <w:color w:val="auto"/>
          <w:spacing w:val="-30"/>
          <w:sz w:val="24"/>
          <w:szCs w:val="24"/>
          <w:highlight w:val="none"/>
        </w:rPr>
        <w:t xml:space="preserve"> </w:t>
      </w:r>
    </w:p>
    <w:p>
      <w:pPr>
        <w:spacing w:before="262" w:line="499" w:lineRule="exact"/>
        <w:ind w:firstLine="523"/>
        <w:rPr>
          <w:rFonts w:hint="eastAsia" w:ascii="宋体" w:hAnsi="宋体" w:eastAsia="宋体" w:cs="宋体"/>
          <w:color w:val="auto"/>
          <w:spacing w:val="-2"/>
          <w:position w:val="19"/>
          <w:sz w:val="24"/>
          <w:szCs w:val="24"/>
          <w:highlight w:val="none"/>
        </w:rPr>
      </w:pPr>
      <w:r>
        <w:rPr>
          <w:rFonts w:hint="eastAsia" w:ascii="宋体" w:hAnsi="宋体" w:eastAsia="宋体" w:cs="宋体"/>
          <w:color w:val="auto"/>
          <w:spacing w:val="-2"/>
          <w:position w:val="19"/>
          <w:sz w:val="24"/>
          <w:szCs w:val="24"/>
          <w:highlight w:val="none"/>
        </w:rPr>
        <w:t>投标人除了应提交第七章中规定的拟投入本合同工作的主要人员表和主要施工设备表外，还应按本款和资格审查资料规定的内容和格式提交补充或更正（如果需要的话） 下列证明其资格的材料：</w:t>
      </w:r>
    </w:p>
    <w:p>
      <w:pPr>
        <w:spacing w:before="259" w:line="502" w:lineRule="exact"/>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(1)投标人的基本情况，并附投标人的法人营业执照和企业资质证件的复印件及其</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证明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w:t>
      </w:r>
    </w:p>
    <w:p>
      <w:pPr>
        <w:spacing w:before="233"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(2)企业近一年度（2021年或2020年）经审计的财务报告</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)履约信誉的证明材料和近三年内涉及的诉讼案件资料。</w:t>
      </w:r>
    </w:p>
    <w:p>
      <w:pPr>
        <w:spacing w:before="236" w:line="384" w:lineRule="auto"/>
        <w:ind w:right="132"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2.1.3.4</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由两个或两个以上企业法人联合组成的联合体所提交的谈判响应文件应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遵守以下规定：</w:t>
      </w:r>
    </w:p>
    <w:p>
      <w:pPr>
        <w:spacing w:before="2" w:line="384" w:lineRule="auto"/>
        <w:ind w:left="1" w:firstLine="48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提交联合体各方共同签订的联合体协议。应指明其中的一方为联合体的责任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方，并明确责任方和其它各方所承担的工作范围和责任，声明联合体各方应为履行合</w:t>
      </w:r>
    </w:p>
    <w:p>
      <w:pPr>
        <w:spacing w:line="204"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同承担连带责任。</w:t>
      </w:r>
    </w:p>
    <w:p>
      <w:pPr>
        <w:spacing w:before="234" w:line="385"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提交联合体各方共同签订的联合体协议。应指明其中的一方为联合体责任方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代表联合体的任一方或全体成员共同承担本合同的责任，负责与招标人联系并接受指</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示，以及负责全面履行合同。</w:t>
      </w:r>
    </w:p>
    <w:p>
      <w:pPr>
        <w:spacing w:before="234"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2.1.4</w:t>
      </w:r>
      <w:r>
        <w:rPr>
          <w:rFonts w:hint="eastAsia" w:ascii="宋体" w:hAnsi="宋体" w:eastAsia="宋体" w:cs="宋体"/>
          <w:color w:val="auto"/>
          <w:spacing w:val="-33"/>
          <w:position w:val="19"/>
          <w:sz w:val="24"/>
          <w:szCs w:val="24"/>
          <w:highlight w:val="none"/>
        </w:rPr>
        <w:t xml:space="preserve"> </w:t>
      </w:r>
      <w:r>
        <w:rPr>
          <w:rFonts w:hint="eastAsia" w:ascii="宋体" w:hAnsi="宋体" w:eastAsia="宋体" w:cs="宋体"/>
          <w:color w:val="auto"/>
          <w:spacing w:val="-1"/>
          <w:position w:val="19"/>
          <w:sz w:val="24"/>
          <w:szCs w:val="24"/>
          <w:highlight w:val="none"/>
        </w:rPr>
        <w:t>不允许任何单位对同一项目提交或参与提交两份或两份以上不同的谈判响</w:t>
      </w:r>
    </w:p>
    <w:p>
      <w:pPr>
        <w:spacing w:before="1"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应文件。</w:t>
      </w:r>
    </w:p>
    <w:p>
      <w:pPr>
        <w:spacing w:before="233"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2.1.4.1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除按第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2.3.5</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条规定的替代方案的投标外，不允许一个投标人对同一合同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提交两份或两份以上不同的谈判响应文件。</w:t>
      </w:r>
    </w:p>
    <w:p>
      <w:pPr>
        <w:spacing w:before="3"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2.1.4.2</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任何投标人均不准以任何方式参加其他投标人对同一合同投标。</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2.1.5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投标费用</w:t>
      </w:r>
    </w:p>
    <w:p>
      <w:pPr>
        <w:spacing w:before="101" w:line="358" w:lineRule="auto"/>
        <w:ind w:left="4" w:right="72" w:firstLine="479"/>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2.1.5.1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6"/>
          <w:sz w:val="24"/>
          <w:szCs w:val="24"/>
          <w:highlight w:val="none"/>
        </w:rPr>
        <w:t>投标人为准备和进行投标所发生的费用均由投标人自负，无论投标结果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如何，竞争性谈判文件等售后不退。</w:t>
      </w:r>
    </w:p>
    <w:p>
      <w:pPr>
        <w:spacing w:before="1" w:line="314" w:lineRule="auto"/>
        <w:ind w:left="1" w:right="24" w:firstLine="481"/>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2.1.5.2</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投标人一旦中标，中标人还需在中标通知书发出之前，参考国家发展改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革委《国家发展改革委关于降低部分建设项目收费标准规范收费行为等有关问题的通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知》（发改价格</w:t>
      </w:r>
      <w:r>
        <w:rPr>
          <w:rFonts w:hint="eastAsia" w:ascii="宋体" w:hAnsi="宋体" w:eastAsia="宋体" w:cs="宋体"/>
          <w:color w:val="auto"/>
          <w:spacing w:val="-10"/>
          <w:sz w:val="24"/>
          <w:szCs w:val="24"/>
          <w:highlight w:val="none"/>
        </w:rPr>
        <w:t>[2011]534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号）及《招标代理服务收费管理暂行办法》的通知（计价</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格[2002]1980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号）文件标准（招标代理服务费最终以中标价为基准</w:t>
      </w:r>
      <w:r>
        <w:rPr>
          <w:rFonts w:hint="eastAsia" w:ascii="宋体" w:hAnsi="宋体" w:eastAsia="宋体" w:cs="宋体"/>
          <w:color w:val="auto"/>
          <w:spacing w:val="-52"/>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向招标代理代</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理机构账户一次性以转账汇款的方式付清招标代理服务费。</w:t>
      </w:r>
    </w:p>
    <w:p>
      <w:pPr>
        <w:spacing w:before="1" w:line="314" w:lineRule="auto"/>
        <w:ind w:left="1" w:right="24" w:firstLine="48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bCs/>
          <w:color w:val="auto"/>
          <w:kern w:val="2"/>
          <w:sz w:val="24"/>
          <w:szCs w:val="24"/>
          <w:highlight w:val="none"/>
          <w:lang w:val="zh-CN"/>
        </w:rPr>
        <w:t>中标服务费收费标准</w:t>
      </w:r>
    </w:p>
    <w:p>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中标服务费收费标准</w:t>
      </w:r>
    </w:p>
    <w:p>
      <w:pPr>
        <w:spacing w:line="360" w:lineRule="auto"/>
        <w:rPr>
          <w:rFonts w:hint="eastAsia" w:ascii="宋体" w:hAnsi="宋体" w:eastAsia="宋体" w:cs="宋体"/>
          <w:color w:val="auto"/>
          <w:highlight w:val="none"/>
          <w:lang w:val="zh-CN"/>
        </w:rPr>
      </w:pPr>
    </w:p>
    <w:tbl>
      <w:tblPr>
        <w:tblStyle w:val="12"/>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01"/>
        <w:gridCol w:w="17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19" w:type="dxa"/>
            <w:vAlign w:val="top"/>
          </w:tcPr>
          <w:p>
            <w:pPr>
              <w:ind w:left="210" w:leftChars="100" w:right="-94" w:rightChars="-45" w:firstLine="2473" w:firstLineChars="1173"/>
              <w:rPr>
                <w:rFonts w:hint="eastAsia" w:ascii="宋体" w:hAnsi="宋体" w:eastAsia="宋体" w:cs="宋体"/>
                <w:color w:val="auto"/>
                <w:highlight w:val="none"/>
              </w:rPr>
            </w:pPr>
            <w:r>
              <w:rPr>
                <w:rFonts w:hint="eastAsia" w:ascii="宋体" w:hAnsi="宋体" w:eastAsia="宋体" w:cs="宋体"/>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50165</wp:posOffset>
                      </wp:positionV>
                      <wp:extent cx="2686685" cy="293370"/>
                      <wp:effectExtent l="635" t="4445" r="17780" b="6985"/>
                      <wp:wrapNone/>
                      <wp:docPr id="1" name="直接连接符 1"/>
                      <wp:cNvGraphicFramePr/>
                      <a:graphic xmlns:a="http://schemas.openxmlformats.org/drawingml/2006/main">
                        <a:graphicData uri="http://schemas.microsoft.com/office/word/2010/wordprocessingShape">
                          <wps:wsp>
                            <wps:cNvCnPr/>
                            <wps:spPr>
                              <a:xfrm flipH="1" flipV="1">
                                <a:off x="0" y="0"/>
                                <a:ext cx="2686685" cy="293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pt;margin-top:3.95pt;height:23.1pt;width:211.55pt;z-index:251662336;mso-width-relative:page;mso-height-relative:page;" filled="f" stroked="t" coordsize="21600,21600" o:gfxdata="UEsDBAoAAAAAAIdO4kAAAAAAAAAAAAAAAAAEAAAAZHJzL1BLAwQUAAAACACHTuJAkJ8TJtQAAAAI&#10;AQAADwAAAGRycy9kb3ducmV2LnhtbE2PwU7DMBBE70j8g7VI3FrbUSFpiNNDpX5AC6p6dGM3jrDX&#10;IXab8vcsJ7jtakYzb5rNPXh2s1MaIiqQSwHMYhfNgL2Cj/fdogKWskajfUSr4Nsm2LSPD42uTZxx&#10;b2+H3DMKwVRrBS7nseY8dc4GnZZxtEjaJU5BZ3qnnptJzxQePC+EeOVBD0gNTo9262z3ebgGBb4S&#10;1ddxW86nvaGW3dE7LKVSz09SvAHL9p7/zPCLT+jQEtM5XtEk5hUspCjIqqBcAyN9JQs6zgpeVhJ4&#10;2/D/A9ofUEsDBBQAAAAIAIdO4kDav1E2CgIAAAsEAAAOAAAAZHJzL2Uyb0RvYy54bWytU7uOEzEU&#10;7ZH4B8s9mSSrDdlRJltsWCgQROLRO37MWPJLvk4m+Ql+AIkOKsrt+RuWz+DaE6JlaVLgwrr2vT6+&#10;5/h4cb23huxkBO1dQyejMSXScS+0axv64f3tszklkJgTzHgnG3qQQK+XT58s+lDLqe+8ETISBHFQ&#10;96GhXUqhrirgnbQMRj5Ih0nlo2UJl7GtRGQ9oltTTcfjWdX7KEL0XALg7mpI0iNiPAfQK6W5XHm+&#10;tdKlATVKwxJSgk4HoMvSrVKSp7dKgUzENBSZpjLjJRhv8lwtF6xuIwud5scW2DktPOJkmXZ46Qlq&#10;xRIj26j/gbKaRw9epRH3thqIFEWQxWT8SJt3HQuycEGpIZxEh/8Hy9/s1pFogU6gxDGLD37/+e7n&#10;p6+/fnzB+f77NzLJIvUBaqy9cet4XEFYx8x4r6IlyujwqmDk6GOOcg75kX0R+3ASW+4T4bg5nc1n&#10;s/klJRxz06uLi+flNaoBMZ8OEdJL6S3JQUONdlkMVrPda0jYBZb+KcnbxpG+oVeX04zJ0JkKHYGh&#10;DcgOXFvOgjda3Gpj8gmI7ebGRLJj2R1lZK6I+1dZvmTFoBvqSmrwTSeZeOEESYeAujn8LjS3YKWg&#10;xEj8XTlCQFYnps05lXi1cfmALN498sziD3LnaOPFAd9sG6JuO9SlvE+VM+iR0v3Rz9mED9cYP/zD&#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nxMm1AAAAAgBAAAPAAAAAAAAAAEAIAAAACIAAABk&#10;cnMvZG93bnJldi54bWxQSwECFAAUAAAACACHTuJA2r9RNgoCAAALBAAADgAAAAAAAAABACAAAAAj&#10;AQAAZHJzL2Uyb0RvYy54bWxQSwUGAAAAAAYABgBZAQAAnwU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38735</wp:posOffset>
                      </wp:positionV>
                      <wp:extent cx="1680210" cy="521970"/>
                      <wp:effectExtent l="1270" t="4445" r="13970" b="6985"/>
                      <wp:wrapNone/>
                      <wp:docPr id="4" name="直接连接符 4"/>
                      <wp:cNvGraphicFramePr/>
                      <a:graphic xmlns:a="http://schemas.openxmlformats.org/drawingml/2006/main">
                        <a:graphicData uri="http://schemas.microsoft.com/office/word/2010/wordprocessingShape">
                          <wps:wsp>
                            <wps:cNvCnPr/>
                            <wps:spPr>
                              <a:xfrm flipH="1" flipV="1">
                                <a:off x="0" y="0"/>
                                <a:ext cx="1680210" cy="521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3.55pt;margin-top:3.05pt;height:41.1pt;width:132.3pt;z-index:251661312;mso-width-relative:page;mso-height-relative:page;" filled="f" stroked="t" coordsize="21600,21600" o:gfxdata="UEsDBAoAAAAAAIdO4kAAAAAAAAAAAAAAAAAEAAAAZHJzL1BLAwQUAAAACACHTuJA+s6qDdMAAAAH&#10;AQAADwAAAGRycy9kb3ducmV2LnhtbE2OwU7DMBBE70j8g7VI3FonRW2skE0PlfoBLaji6MZuHGGv&#10;Q+w25e9ZTnAajWY085rtPXhxs1MaIiGUywKEpS6agXqE97f9QoFIWZPRPpJF+LYJtu3jQ6NrE2c6&#10;2Nsx94JHKNUaweU81lKmztmg0zKOlji7xCnozHbqpZn0zOPBy1VRbGTQA/GD06PdOdt9Hq8BwatC&#10;fZ121fxxMPyyP3lHVYn4/FQWryCyvee/MvziMzq0zHSOVzJJeIRFVXITYcPC8WpdrUGcEZR6Adk2&#10;8j9/+wNQSwMEFAAAAAgAh07iQJ5TP3MMAgAACwQAAA4AAABkcnMvZTJvRG9jLnhtbK1Ty24TMRTd&#10;I/EPlvdkMlFT2lEmXTQUFggi8dg7fsxY8ku+Tib5CX4AiR2sWHbP31A+g2tPqErZZIEX1rXv9fE9&#10;x8eLq701ZCcjaO9aWk+mlEjHvdCua+mH9zfPLiiBxJxgxjvZ0oMEerV8+mQxhEbOfO+NkJEgiINm&#10;CC3tUwpNVQHvpWUw8UE6TCofLUu4jF0lIhsQ3ZpqNp2eV4OPIkTPJQDursYkPSLGUwC9UprLledb&#10;K10aUaM0LCEl6HUAuizdKiV5eqsUyERMS5FpKjNegvEmz9VywZoustBrfmyBndLCI06WaYeX3kOt&#10;WGJkG/U/UFbz6MGrNOHeViORogiyqKePtHnXsyALF5Qawr3o8P9g+ZvdOhItWnpGiWMWH/zu8+3P&#10;T19//fiC8933b+QsizQEaLD22q3jcQVhHTPjvYqWKKPDK3QTLdHHHOUc8iP7IvbhXmy5T4TjZn1+&#10;MZ3V+A4cc/NZffm8vEY1IubTIUJ6Kb0lOWip0S6LwRq2ew0Ju8DSPyV52zgytPRyPpsjJkNnKnQE&#10;hjYgO3BdOQveaHGjjcknIHabaxPJjmV3lJG5Iu5fZfmSFYN+rCup0Te9ZOKFEyQdAurm8LvQ3IKV&#10;ghIj8XflCAFZk5g2p1Ti1cblA7J498gziz/KnaONFwd8s22IuutRl7r0nDPokdL90c/ZhA/XGD/8&#10;w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6qDdMAAAAHAQAADwAAAAAAAAABACAAAAAiAAAA&#10;ZHJzL2Rvd25yZXYueG1sUEsBAhQAFAAAAAgAh07iQJ5TP3MMAgAACwQAAA4AAAAAAAAAAQAgAAAA&#10;Ig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w:t>招标类型</w:t>
            </w:r>
            <w:r>
              <w:rPr>
                <w:rFonts w:hint="eastAsia" w:ascii="宋体" w:hAnsi="宋体" w:eastAsia="宋体" w:cs="宋体"/>
                <w:color w:val="auto"/>
                <w:highlight w:val="none"/>
              </w:rPr>
              <w:t>　　　</w:t>
            </w:r>
            <w:r>
              <w:rPr>
                <w:rFonts w:hint="eastAsia" w:ascii="宋体" w:hAnsi="宋体" w:eastAsia="宋体" w:cs="宋体"/>
                <w:b/>
                <w:bCs/>
                <w:color w:val="auto"/>
                <w:highlight w:val="none"/>
              </w:rPr>
              <w:t>中标</w:t>
            </w:r>
          </w:p>
          <w:p>
            <w:pPr>
              <w:rPr>
                <w:rFonts w:hint="eastAsia" w:ascii="宋体" w:hAnsi="宋体" w:eastAsia="宋体" w:cs="宋体"/>
                <w:b/>
                <w:color w:val="auto"/>
                <w:highlight w:val="none"/>
              </w:rPr>
            </w:pPr>
            <w:r>
              <w:rPr>
                <w:rFonts w:hint="eastAsia" w:ascii="宋体" w:hAnsi="宋体" w:eastAsia="宋体" w:cs="宋体"/>
                <w:b/>
                <w:color w:val="auto"/>
                <w:highlight w:val="none"/>
              </w:rPr>
              <w:t xml:space="preserve">金额（万元）              </w:t>
            </w:r>
            <w:r>
              <w:rPr>
                <w:rFonts w:hint="eastAsia" w:ascii="宋体" w:hAnsi="宋体" w:eastAsia="宋体" w:cs="宋体"/>
                <w:b/>
                <w:bCs/>
                <w:color w:val="auto"/>
                <w:highlight w:val="none"/>
              </w:rPr>
              <w:t>费率</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货物采购</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服务采购</w:t>
            </w:r>
          </w:p>
        </w:tc>
        <w:tc>
          <w:tcPr>
            <w:tcW w:w="1499" w:type="dxa"/>
            <w:vAlign w:val="center"/>
          </w:tcPr>
          <w:p>
            <w:pPr>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0.01%</w:t>
            </w:r>
          </w:p>
        </w:tc>
      </w:tr>
    </w:tbl>
    <w:p>
      <w:pPr>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注：1、采购代理机构服务收费按差额定率累进法计算；</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例如：</w:t>
      </w:r>
      <w:r>
        <w:rPr>
          <w:rFonts w:hint="eastAsia" w:ascii="宋体" w:hAnsi="宋体" w:eastAsia="宋体" w:cs="宋体"/>
          <w:color w:val="auto"/>
          <w:spacing w:val="-9"/>
          <w:sz w:val="24"/>
          <w:szCs w:val="24"/>
          <w:highlight w:val="none"/>
          <w:lang w:eastAsia="zh-CN"/>
        </w:rPr>
        <w:t>本项目工程</w:t>
      </w:r>
      <w:r>
        <w:rPr>
          <w:rFonts w:hint="eastAsia" w:ascii="宋体" w:hAnsi="宋体" w:eastAsia="宋体" w:cs="宋体"/>
          <w:color w:val="auto"/>
          <w:spacing w:val="-9"/>
          <w:sz w:val="24"/>
          <w:szCs w:val="24"/>
          <w:highlight w:val="none"/>
        </w:rPr>
        <w:t>招标成交金额为</w:t>
      </w:r>
      <w:r>
        <w:rPr>
          <w:rFonts w:hint="eastAsia" w:ascii="宋体" w:hAnsi="宋体" w:eastAsia="宋体" w:cs="宋体"/>
          <w:color w:val="auto"/>
          <w:spacing w:val="-9"/>
          <w:sz w:val="24"/>
          <w:szCs w:val="24"/>
          <w:highlight w:val="none"/>
          <w:lang w:val="en-US" w:eastAsia="zh-CN"/>
        </w:rPr>
        <w:t>100</w:t>
      </w:r>
      <w:r>
        <w:rPr>
          <w:rFonts w:hint="eastAsia" w:ascii="宋体" w:hAnsi="宋体" w:eastAsia="宋体" w:cs="宋体"/>
          <w:color w:val="auto"/>
          <w:spacing w:val="-9"/>
          <w:sz w:val="24"/>
          <w:szCs w:val="24"/>
          <w:highlight w:val="none"/>
        </w:rPr>
        <w:t xml:space="preserve">万元，计算招标代理服务收费额如下： </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100万元×1.</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%=1万元</w:t>
      </w:r>
    </w:p>
    <w:p>
      <w:pPr>
        <w:spacing w:before="48"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2.1.6</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保密</w:t>
      </w:r>
    </w:p>
    <w:p>
      <w:pPr>
        <w:spacing w:line="269" w:lineRule="auto"/>
        <w:rPr>
          <w:rFonts w:hint="eastAsia" w:ascii="宋体" w:hAnsi="宋体" w:eastAsia="宋体" w:cs="宋体"/>
          <w:color w:val="auto"/>
          <w:sz w:val="21"/>
          <w:highlight w:val="none"/>
        </w:rPr>
      </w:pPr>
    </w:p>
    <w:p>
      <w:pPr>
        <w:spacing w:before="78" w:line="384" w:lineRule="auto"/>
        <w:ind w:right="76"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招投标双方应分别为对方在谈判响应文件中涉及的商业和技术等秘密保密，违者</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应对由此造成的后果承担责任。</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竞争性谈判文件</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竞争性谈判文件的组成（略）</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竞争性谈判文件的答疑</w:t>
      </w:r>
    </w:p>
    <w:p>
      <w:pPr>
        <w:spacing w:before="261" w:line="3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2.2.2.1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投标人应仔细阅读和检查竞争性谈判文件的全部内容，</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若有疑问应以书面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形式(包括手写、打印、印刷、电报、传真和电子邮件，下同)通知招标人。</w:t>
      </w:r>
    </w:p>
    <w:p>
      <w:pPr>
        <w:spacing w:before="2" w:line="384" w:lineRule="auto"/>
        <w:ind w:left="3" w:right="12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2.2.2.2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招标人的答疑将在投标截止时间的</w:t>
      </w:r>
      <w:r>
        <w:rPr>
          <w:rFonts w:hint="eastAsia" w:ascii="宋体" w:hAnsi="宋体" w:eastAsia="宋体" w:cs="宋体"/>
          <w:color w:val="auto"/>
          <w:spacing w:val="-2"/>
          <w:sz w:val="24"/>
          <w:szCs w:val="24"/>
          <w:highlight w:val="none"/>
          <w:u w:val="single"/>
        </w:rPr>
        <w:t>3</w:t>
      </w:r>
      <w:r>
        <w:rPr>
          <w:rFonts w:hint="eastAsia" w:ascii="宋体" w:hAnsi="宋体" w:eastAsia="宋体" w:cs="宋体"/>
          <w:color w:val="auto"/>
          <w:spacing w:val="-2"/>
          <w:sz w:val="24"/>
          <w:szCs w:val="24"/>
          <w:highlight w:val="none"/>
          <w:u w:val="single"/>
          <w:lang w:eastAsia="zh-CN"/>
        </w:rPr>
        <w:t>个工作日</w:t>
      </w:r>
      <w:r>
        <w:rPr>
          <w:rFonts w:hint="eastAsia" w:ascii="宋体" w:hAnsi="宋体" w:eastAsia="宋体" w:cs="宋体"/>
          <w:color w:val="auto"/>
          <w:spacing w:val="-2"/>
          <w:sz w:val="24"/>
          <w:szCs w:val="24"/>
          <w:highlight w:val="none"/>
        </w:rPr>
        <w:t>前以书面形式发给所有购买竞争</w:t>
      </w:r>
      <w:r>
        <w:rPr>
          <w:rFonts w:hint="eastAsia" w:ascii="宋体" w:hAnsi="宋体" w:eastAsia="宋体" w:cs="宋体"/>
          <w:color w:val="auto"/>
          <w:spacing w:val="-1"/>
          <w:sz w:val="24"/>
          <w:szCs w:val="24"/>
          <w:highlight w:val="none"/>
        </w:rPr>
        <w:t>性谈判文件的投标人，但不指明答疑问题的来源。</w:t>
      </w:r>
    </w:p>
    <w:p>
      <w:pPr>
        <w:spacing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2.2.3</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竞争性谈判文件的修改</w:t>
      </w:r>
    </w:p>
    <w:p>
      <w:pPr>
        <w:spacing w:before="239" w:line="3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2.2.3.1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在距投标截止时间前，</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spacing w:before="1" w:line="385"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2.2.3.2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5"/>
          <w:sz w:val="24"/>
          <w:szCs w:val="24"/>
          <w:highlight w:val="none"/>
        </w:rPr>
        <w:t>上述补充通知将发给所有购买竞争性谈判文件的投标人，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5"/>
          <w:sz w:val="24"/>
          <w:szCs w:val="24"/>
          <w:highlight w:val="none"/>
        </w:rPr>
        <w:t>并作为竞争性谈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判文件的组成部分。投标人在每一次收到补充通知后应以书面形式通知招标人，确认</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已收到该补充通知。当补充通知的内容与竞争性谈判文件或其它通知内容相矛盾时，</w:t>
      </w:r>
    </w:p>
    <w:p>
      <w:pPr>
        <w:spacing w:before="1" w:line="204" w:lineRule="auto"/>
        <w:ind w:firstLine="2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以最后发出的补充通知为准。</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谈判响应文件的编制</w:t>
      </w:r>
    </w:p>
    <w:p>
      <w:pPr>
        <w:spacing w:before="260"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谈判响应文件的组成（详见第七章）</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2.3.2</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3"/>
          <w:sz w:val="24"/>
          <w:szCs w:val="24"/>
          <w:highlight w:val="none"/>
        </w:rPr>
        <w:t>投标报价</w:t>
      </w:r>
    </w:p>
    <w:p>
      <w:pPr>
        <w:spacing w:before="259" w:line="384" w:lineRule="auto"/>
        <w:ind w:left="28" w:firstLine="4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2.3.2.1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6"/>
          <w:sz w:val="24"/>
          <w:szCs w:val="24"/>
          <w:highlight w:val="none"/>
        </w:rPr>
        <w:t>投标人应按《工程量清单》</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中的说明，填报工程量清单中各项单价和合价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以及投标报价汇总表。</w:t>
      </w:r>
    </w:p>
    <w:p>
      <w:pPr>
        <w:spacing w:before="3" w:line="499"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position w:val="19"/>
          <w:sz w:val="24"/>
          <w:szCs w:val="24"/>
          <w:highlight w:val="none"/>
          <w14:textOutline w14:w="4358" w14:cap="flat" w14:cmpd="sng">
            <w14:solidFill>
              <w14:srgbClr w14:val="000000"/>
            </w14:solidFill>
            <w14:prstDash w14:val="solid"/>
            <w14:miter w14:val="0"/>
          </w14:textOutline>
        </w:rPr>
        <w:t>2.3.2.2</w:t>
      </w:r>
      <w:r>
        <w:rPr>
          <w:rFonts w:hint="eastAsia" w:ascii="宋体" w:hAnsi="宋体" w:eastAsia="宋体" w:cs="宋体"/>
          <w:color w:val="auto"/>
          <w:spacing w:val="-44"/>
          <w:position w:val="19"/>
          <w:sz w:val="24"/>
          <w:szCs w:val="24"/>
          <w:highlight w:val="none"/>
        </w:rPr>
        <w:t xml:space="preserve"> </w:t>
      </w:r>
      <w:r>
        <w:rPr>
          <w:rFonts w:hint="eastAsia" w:ascii="宋体" w:hAnsi="宋体" w:eastAsia="宋体" w:cs="宋体"/>
          <w:color w:val="auto"/>
          <w:position w:val="19"/>
          <w:sz w:val="24"/>
          <w:szCs w:val="24"/>
          <w:highlight w:val="none"/>
          <w14:textOutline w14:w="4358" w14:cap="flat" w14:cmpd="sng">
            <w14:solidFill>
              <w14:srgbClr w14:val="000000"/>
            </w14:solidFill>
            <w14:prstDash w14:val="solid"/>
            <w14:miter w14:val="0"/>
          </w14:textOutline>
        </w:rPr>
        <w:t>投标报价应包括投标人中标后为完成合同规定的全部工作需支付的一切</w:t>
      </w:r>
    </w:p>
    <w:p>
      <w:pPr>
        <w:spacing w:before="1" w:line="204" w:lineRule="auto"/>
        <w:ind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费用和拟获得的利润，并考虑投标人应承担的风险。</w:t>
      </w:r>
    </w:p>
    <w:p>
      <w:pPr>
        <w:spacing w:before="233" w:line="386" w:lineRule="auto"/>
        <w:ind w:left="16" w:right="48" w:firstLine="46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2.3.2.3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投标人在投标报价时，对招标人提供的工程量清单中的分项工程漏报或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隐报的，其漏报或隐报项的单价和合价将视为已包含在其它项目中，中标人在施工过程中不得再要求招标人增补。</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2.3.2.4</w:t>
      </w:r>
      <w:r>
        <w:rPr>
          <w:rFonts w:hint="eastAsia" w:ascii="宋体" w:hAnsi="宋体" w:eastAsia="宋体" w:cs="宋体"/>
          <w:color w:val="auto"/>
          <w:spacing w:val="-27"/>
          <w:position w:val="19"/>
          <w:sz w:val="24"/>
          <w:szCs w:val="24"/>
          <w:highlight w:val="none"/>
        </w:rPr>
        <w:t xml:space="preserve"> </w:t>
      </w:r>
      <w:r>
        <w:rPr>
          <w:rFonts w:hint="eastAsia" w:ascii="宋体" w:hAnsi="宋体" w:eastAsia="宋体" w:cs="宋体"/>
          <w:color w:val="auto"/>
          <w:spacing w:val="-6"/>
          <w:position w:val="19"/>
          <w:sz w:val="24"/>
          <w:szCs w:val="24"/>
          <w:highlight w:val="none"/>
        </w:rPr>
        <w:t>除第三章第二部分《专用合同条款》</w:t>
      </w:r>
      <w:r>
        <w:rPr>
          <w:rFonts w:hint="eastAsia" w:ascii="宋体" w:hAnsi="宋体" w:eastAsia="宋体" w:cs="宋体"/>
          <w:color w:val="auto"/>
          <w:spacing w:val="-35"/>
          <w:position w:val="19"/>
          <w:sz w:val="24"/>
          <w:szCs w:val="24"/>
          <w:highlight w:val="none"/>
        </w:rPr>
        <w:t xml:space="preserve"> </w:t>
      </w:r>
      <w:r>
        <w:rPr>
          <w:rFonts w:hint="eastAsia" w:ascii="宋体" w:hAnsi="宋体" w:eastAsia="宋体" w:cs="宋体"/>
          <w:color w:val="auto"/>
          <w:spacing w:val="-6"/>
          <w:position w:val="19"/>
          <w:sz w:val="24"/>
          <w:szCs w:val="24"/>
          <w:highlight w:val="none"/>
        </w:rPr>
        <w:t>另有规定外，投标人的报价在合同实</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施期间可按第三章第一部分《通用合同条款》 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37</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条和第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38</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5"/>
          <w:sz w:val="24"/>
          <w:szCs w:val="24"/>
          <w:highlight w:val="none"/>
        </w:rPr>
        <w:t>条的规定执行。</w:t>
      </w:r>
    </w:p>
    <w:p>
      <w:pPr>
        <w:spacing w:before="233" w:line="385" w:lineRule="auto"/>
        <w:ind w:left="3" w:firstLine="48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2.3.2.5</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5"/>
          <w:sz w:val="24"/>
          <w:szCs w:val="24"/>
          <w:highlight w:val="none"/>
        </w:rPr>
        <w:t>投标人在投标截止时间前修改投标总报价时，</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5"/>
          <w:sz w:val="24"/>
          <w:szCs w:val="24"/>
          <w:highlight w:val="none"/>
        </w:rPr>
        <w:t>应同时修改各项目的报价或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说明对《工程量清单》</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中各项目报价的修改办法，并附修改报价的工程量清单，未附</w:t>
      </w:r>
    </w:p>
    <w:p>
      <w:pPr>
        <w:spacing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修改工程量清单报价的按实质未响应竞争性谈判文件要求视为废标。</w:t>
      </w:r>
    </w:p>
    <w:p>
      <w:pPr>
        <w:spacing w:before="233"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2.3.2.6</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6"/>
          <w:sz w:val="24"/>
          <w:szCs w:val="24"/>
          <w:highlight w:val="none"/>
        </w:rPr>
        <w:t>投标人应按竞争性谈判文件规定的内容和格式提交投标辅助资料，</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6"/>
          <w:sz w:val="24"/>
          <w:szCs w:val="24"/>
          <w:highlight w:val="none"/>
        </w:rPr>
        <w:t>中标人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提交的上述资料中的任何部分经招标人确认后将列入合同文件。</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2.3.3</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谈判响应文件有效期</w:t>
      </w:r>
    </w:p>
    <w:p>
      <w:pPr>
        <w:spacing w:before="237" w:line="384" w:lineRule="auto"/>
        <w:ind w:left="3" w:right="5" w:firstLine="4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2.3.3.1</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谈判响应文件规定的投标截止时间起生效，其有效期</w:t>
      </w:r>
      <w:r>
        <w:rPr>
          <w:rFonts w:hint="eastAsia" w:ascii="宋体" w:hAnsi="宋体" w:eastAsia="宋体" w:cs="宋体"/>
          <w:color w:val="auto"/>
          <w:spacing w:val="14"/>
          <w:sz w:val="24"/>
          <w:szCs w:val="24"/>
          <w:highlight w:val="none"/>
          <w:u w:val="single" w:color="auto"/>
          <w:lang w:val="en-US" w:eastAsia="zh-CN"/>
        </w:rPr>
        <w:t>60日历</w:t>
      </w:r>
      <w:r>
        <w:rPr>
          <w:rFonts w:hint="eastAsia" w:ascii="宋体" w:hAnsi="宋体" w:eastAsia="宋体" w:cs="宋体"/>
          <w:color w:val="auto"/>
          <w:spacing w:val="-7"/>
          <w:sz w:val="24"/>
          <w:szCs w:val="24"/>
          <w:highlight w:val="none"/>
        </w:rPr>
        <w:t>天。在此期间，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投标人不得要求撤回或修改其谈判响应文件。</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w:t>
      </w: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招标人认为有必要时可用书面形式要求投标人延长谈判响应文件的有效</w:t>
      </w:r>
    </w:p>
    <w:p>
      <w:pPr>
        <w:spacing w:before="235" w:line="385" w:lineRule="auto"/>
        <w:ind w:left="1" w:firstLine="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期，但最长不超过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60</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天。投标人应以书面形式答复招标人的上述要求。若投标人拒绝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招标人的要求，可在原定有效期期满后收回投标保证金；</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5"/>
          <w:sz w:val="24"/>
          <w:szCs w:val="24"/>
          <w:highlight w:val="none"/>
        </w:rPr>
        <w:t>若接受招标人的延期要求，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则谈判响应文件继续有效，且仍不允许修改，但需相应延长投标保证金的有效期，在</w:t>
      </w:r>
    </w:p>
    <w:p>
      <w:pPr>
        <w:spacing w:before="1"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延长期内，第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2.3.4</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条的规定仍适用。</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2.3.4</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投标保证金</w:t>
      </w:r>
    </w:p>
    <w:p>
      <w:pPr>
        <w:spacing w:before="260" w:line="385"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2.3.4.1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8"/>
          <w:sz w:val="24"/>
          <w:szCs w:val="24"/>
          <w:highlight w:val="none"/>
        </w:rPr>
        <w:t>投标人必须在领取竞争性谈判文件时，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按投标须知第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8"/>
          <w:sz w:val="24"/>
          <w:szCs w:val="24"/>
          <w:highlight w:val="none"/>
        </w:rPr>
        <w:t>5</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
          <w:sz w:val="24"/>
          <w:szCs w:val="24"/>
          <w:highlight w:val="none"/>
        </w:rPr>
        <w:t>项规定的数额，在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lang w:eastAsia="zh-CN"/>
        </w:rPr>
        <w:t>投标截止时间前</w:t>
      </w:r>
      <w:r>
        <w:rPr>
          <w:rFonts w:hint="eastAsia" w:ascii="宋体" w:hAnsi="宋体" w:eastAsia="宋体" w:cs="宋体"/>
          <w:color w:val="auto"/>
          <w:spacing w:val="-1"/>
          <w:sz w:val="24"/>
          <w:szCs w:val="24"/>
          <w:highlight w:val="none"/>
        </w:rPr>
        <w:t>，向招标代理机构足额交纳投标保证金，并在提交谈判响应文</w:t>
      </w:r>
      <w:r>
        <w:rPr>
          <w:rFonts w:hint="eastAsia" w:ascii="宋体" w:hAnsi="宋体" w:eastAsia="宋体" w:cs="宋体"/>
          <w:color w:val="auto"/>
          <w:sz w:val="24"/>
          <w:szCs w:val="24"/>
          <w:highlight w:val="none"/>
        </w:rPr>
        <w:t>件的同时，提交投标保证金收据原件</w:t>
      </w:r>
      <w:r>
        <w:rPr>
          <w:rFonts w:hint="eastAsia" w:ascii="宋体" w:hAnsi="宋体" w:eastAsia="宋体" w:cs="宋体"/>
          <w:color w:val="auto"/>
          <w:sz w:val="24"/>
          <w:szCs w:val="24"/>
          <w:highlight w:val="none"/>
          <w:lang w:eastAsia="zh-CN"/>
        </w:rPr>
        <w:t>及电汇回单</w:t>
      </w:r>
      <w:r>
        <w:rPr>
          <w:rFonts w:hint="eastAsia" w:ascii="宋体" w:hAnsi="宋体" w:eastAsia="宋体" w:cs="宋体"/>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7" w:line="384" w:lineRule="auto"/>
        <w:ind w:left="0" w:right="74"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2.3.4.2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
          <w:sz w:val="24"/>
          <w:szCs w:val="24"/>
          <w:highlight w:val="none"/>
        </w:rPr>
        <w:t xml:space="preserve">未中标人的投标保证金将在中标通知书发出后 5 </w:t>
      </w:r>
      <w:r>
        <w:rPr>
          <w:rFonts w:hint="eastAsia" w:ascii="宋体" w:hAnsi="宋体" w:eastAsia="宋体" w:cs="宋体"/>
          <w:color w:val="auto"/>
          <w:spacing w:val="-1"/>
          <w:sz w:val="24"/>
          <w:szCs w:val="24"/>
          <w:highlight w:val="none"/>
          <w:lang w:eastAsia="zh-CN"/>
        </w:rPr>
        <w:t>个工作日</w:t>
      </w:r>
      <w:r>
        <w:rPr>
          <w:rFonts w:hint="eastAsia" w:ascii="宋体" w:hAnsi="宋体" w:eastAsia="宋体" w:cs="宋体"/>
          <w:color w:val="auto"/>
          <w:spacing w:val="-1"/>
          <w:sz w:val="24"/>
          <w:szCs w:val="24"/>
          <w:highlight w:val="none"/>
        </w:rPr>
        <w:t>内退还，但招标人有权留下被推荐为中标候选人的投标保证金，待与中标人的投标保证金同时退还；以避免一旦中标人拒签合同或发生其他违反竞争性谈判文件的情况时，可供招标人选为中标人。中标人的投标保证金在中标人按规定提交了履约担保证件并签订了合同后退还。</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 xml:space="preserve">2.3.4.3 </w:t>
      </w:r>
      <w:r>
        <w:rPr>
          <w:rFonts w:hint="eastAsia" w:ascii="宋体" w:hAnsi="宋体" w:eastAsia="宋体" w:cs="宋体"/>
          <w:color w:val="auto"/>
          <w:spacing w:val="-1"/>
          <w:sz w:val="24"/>
          <w:szCs w:val="24"/>
          <w:highlight w:val="none"/>
        </w:rPr>
        <w:t>有下列情形之一的，保证金不予退还：</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2.3.4.3.1</w:t>
      </w:r>
      <w:r>
        <w:rPr>
          <w:rFonts w:hint="eastAsia" w:ascii="宋体" w:hAnsi="宋体" w:eastAsia="宋体" w:cs="宋体"/>
          <w:color w:val="auto"/>
          <w:spacing w:val="-1"/>
          <w:sz w:val="24"/>
          <w:szCs w:val="24"/>
          <w:highlight w:val="none"/>
        </w:rPr>
        <w:t>供应商在提交响应文件截止时间后撤回响应文件的；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2.3.4.3.2</w:t>
      </w:r>
      <w:r>
        <w:rPr>
          <w:rFonts w:hint="eastAsia" w:ascii="宋体" w:hAnsi="宋体" w:eastAsia="宋体" w:cs="宋体"/>
          <w:color w:val="auto"/>
          <w:spacing w:val="-1"/>
          <w:sz w:val="24"/>
          <w:szCs w:val="24"/>
          <w:highlight w:val="none"/>
        </w:rPr>
        <w:t>供应商在响应文件中提供虚假材料的；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2.3.4.3.3</w:t>
      </w:r>
      <w:r>
        <w:rPr>
          <w:rFonts w:hint="eastAsia" w:ascii="宋体" w:hAnsi="宋体" w:eastAsia="宋体" w:cs="宋体"/>
          <w:color w:val="auto"/>
          <w:spacing w:val="-1"/>
          <w:sz w:val="24"/>
          <w:szCs w:val="24"/>
          <w:highlight w:val="none"/>
        </w:rPr>
        <w:t>除因不可抗力或谈判文件、询价通知书认可的情形以外，成交供应商不与采购人签订合同的；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2.3.4.3.4</w:t>
      </w:r>
      <w:r>
        <w:rPr>
          <w:rFonts w:hint="eastAsia" w:ascii="宋体" w:hAnsi="宋体" w:eastAsia="宋体" w:cs="宋体"/>
          <w:color w:val="auto"/>
          <w:spacing w:val="-1"/>
          <w:sz w:val="24"/>
          <w:szCs w:val="24"/>
          <w:highlight w:val="none"/>
        </w:rPr>
        <w:t>供应商与采购人、其他供应商或者采购代理机构恶意串通的；</w:t>
      </w:r>
    </w:p>
    <w:p>
      <w:pPr>
        <w:keepNext w:val="0"/>
        <w:keepLines w:val="0"/>
        <w:pageBreakBefore w:val="0"/>
        <w:widowControl/>
        <w:kinsoku w:val="0"/>
        <w:wordWrap/>
        <w:overflowPunct/>
        <w:topLinePunct w:val="0"/>
        <w:autoSpaceDE w:val="0"/>
        <w:autoSpaceDN w:val="0"/>
        <w:bidi w:val="0"/>
        <w:adjustRightInd w:val="0"/>
        <w:snapToGrid w:val="0"/>
        <w:spacing w:before="259" w:line="240" w:lineRule="auto"/>
        <w:ind w:right="246" w:firstLine="48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2.3.4.3.5</w:t>
      </w:r>
      <w:r>
        <w:rPr>
          <w:rFonts w:hint="eastAsia" w:ascii="宋体" w:hAnsi="宋体" w:eastAsia="宋体" w:cs="宋体"/>
          <w:color w:val="auto"/>
          <w:spacing w:val="-1"/>
          <w:sz w:val="24"/>
          <w:szCs w:val="24"/>
          <w:highlight w:val="none"/>
        </w:rPr>
        <w:t>采购文件规定的其他情形。</w:t>
      </w:r>
    </w:p>
    <w:p>
      <w:pPr>
        <w:spacing w:before="234" w:line="184" w:lineRule="auto"/>
        <w:ind w:firstLine="484"/>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2.3.5</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投标人的替代方案</w:t>
      </w:r>
      <w:r>
        <w:rPr>
          <w:rFonts w:hint="eastAsia" w:ascii="宋体" w:hAnsi="宋体" w:eastAsia="宋体" w:cs="宋体"/>
          <w:color w:val="auto"/>
          <w:spacing w:val="-2"/>
          <w:sz w:val="24"/>
          <w:szCs w:val="24"/>
          <w:highlight w:val="none"/>
          <w:lang w:eastAsia="zh-CN"/>
        </w:rPr>
        <w:t>（本项目不接受替代方案）</w:t>
      </w:r>
    </w:p>
    <w:p>
      <w:pPr>
        <w:spacing w:before="234" w:line="184" w:lineRule="auto"/>
        <w:ind w:firstLine="48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2.3.6</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现场踏勘和标前会</w:t>
      </w:r>
    </w:p>
    <w:p>
      <w:pPr>
        <w:keepNext w:val="0"/>
        <w:keepLines w:val="0"/>
        <w:pageBreakBefore w:val="0"/>
        <w:widowControl/>
        <w:kinsoku w:val="0"/>
        <w:wordWrap/>
        <w:overflowPunct/>
        <w:topLinePunct w:val="0"/>
        <w:autoSpaceDE w:val="0"/>
        <w:autoSpaceDN w:val="0"/>
        <w:bidi w:val="0"/>
        <w:adjustRightInd w:val="0"/>
        <w:snapToGrid w:val="0"/>
        <w:spacing w:before="234"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2.3.6.1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投标人应对工程现场和周围环境进行现场踏勘，以便编制谈判响应文件。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投标人除需参加招标人组织的现场踏勘外，还可根据投标工作的需要自行进场踏勘，</w:t>
      </w:r>
    </w:p>
    <w:p>
      <w:pPr>
        <w:keepNext w:val="0"/>
        <w:keepLines w:val="0"/>
        <w:pageBreakBefore w:val="0"/>
        <w:widowControl/>
        <w:kinsoku w:val="0"/>
        <w:wordWrap/>
        <w:overflowPunct/>
        <w:topLinePunct w:val="0"/>
        <w:autoSpaceDE w:val="0"/>
        <w:autoSpaceDN w:val="0"/>
        <w:bidi w:val="0"/>
        <w:adjustRightInd w:val="0"/>
        <w:snapToGrid w:val="0"/>
        <w:spacing w:line="32" w:lineRule="atLeast"/>
        <w:ind w:firstLine="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踏勘现场的费用由投标人自行承担。</w:t>
      </w:r>
    </w:p>
    <w:p>
      <w:pPr>
        <w:keepNext w:val="0"/>
        <w:keepLines w:val="0"/>
        <w:pageBreakBefore w:val="0"/>
        <w:widowControl/>
        <w:kinsoku w:val="0"/>
        <w:wordWrap/>
        <w:overflowPunct/>
        <w:topLinePunct w:val="0"/>
        <w:autoSpaceDE w:val="0"/>
        <w:autoSpaceDN w:val="0"/>
        <w:bidi w:val="0"/>
        <w:adjustRightInd w:val="0"/>
        <w:snapToGrid w:val="0"/>
        <w:spacing w:before="234" w:line="384" w:lineRule="auto"/>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2.3.6.2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投标人的任何人员为了踏勘现场而需进入招标人所管辖的场地时，需事</w:t>
      </w:r>
      <w:r>
        <w:rPr>
          <w:rFonts w:hint="eastAsia" w:ascii="宋体" w:hAnsi="宋体" w:eastAsia="宋体" w:cs="宋体"/>
          <w:color w:val="auto"/>
          <w:spacing w:val="-1"/>
          <w:sz w:val="24"/>
          <w:szCs w:val="24"/>
          <w:highlight w:val="none"/>
        </w:rPr>
        <w:t>先经招标人同意。除由于招标人的原因外，在现场踏勘中所发生的人员伤亡和财产损</w:t>
      </w:r>
      <w:r>
        <w:rPr>
          <w:rFonts w:hint="eastAsia" w:ascii="宋体" w:hAnsi="宋体" w:eastAsia="宋体" w:cs="宋体"/>
          <w:color w:val="auto"/>
          <w:spacing w:val="-2"/>
          <w:sz w:val="24"/>
          <w:szCs w:val="24"/>
          <w:highlight w:val="none"/>
        </w:rPr>
        <w:t>失应由投标人自行负责。</w:t>
      </w:r>
    </w:p>
    <w:p>
      <w:pPr>
        <w:keepNext w:val="0"/>
        <w:keepLines w:val="0"/>
        <w:pageBreakBefore w:val="0"/>
        <w:widowControl/>
        <w:kinsoku w:val="0"/>
        <w:wordWrap/>
        <w:overflowPunct/>
        <w:topLinePunct w:val="0"/>
        <w:autoSpaceDE w:val="0"/>
        <w:autoSpaceDN w:val="0"/>
        <w:bidi w:val="0"/>
        <w:adjustRightInd w:val="0"/>
        <w:snapToGrid w:val="0"/>
        <w:spacing w:before="2" w:line="384" w:lineRule="auto"/>
        <w:ind w:left="11" w:right="121"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2.3.6.3</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招标人在现场踏勘中提供的资料和数据作为投标人在编制谈判响应文件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时使用，招标人不对投标人使用上述资料和数据所作的分析判断和推论负责。</w:t>
      </w:r>
    </w:p>
    <w:p>
      <w:pPr>
        <w:keepNext w:val="0"/>
        <w:keepLines w:val="0"/>
        <w:pageBreakBefore w:val="0"/>
        <w:widowControl/>
        <w:kinsoku w:val="0"/>
        <w:wordWrap/>
        <w:overflowPunct/>
        <w:topLinePunct w:val="0"/>
        <w:autoSpaceDE w:val="0"/>
        <w:autoSpaceDN w:val="0"/>
        <w:bidi w:val="0"/>
        <w:adjustRightInd w:val="0"/>
        <w:snapToGrid w:val="0"/>
        <w:spacing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2.3.6.4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投标人自行踏勘现场</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before="235" w:line="384" w:lineRule="auto"/>
        <w:ind w:right="121" w:firstLine="4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2.3.6.5</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投标人提出的问题须在标前会开始前，以书面形式送达招标人，以便招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标人在会议期间答复。</w:t>
      </w:r>
    </w:p>
    <w:p>
      <w:pPr>
        <w:spacing w:before="2" w:line="384" w:lineRule="auto"/>
        <w:ind w:left="4" w:right="119" w:firstLine="4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2.3.6.6</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标前会后，招标人将在投标截止日</w:t>
      </w:r>
      <w:r>
        <w:rPr>
          <w:rFonts w:hint="eastAsia" w:ascii="宋体" w:hAnsi="宋体" w:eastAsia="宋体" w:cs="宋体"/>
          <w:color w:val="auto"/>
          <w:spacing w:val="-3"/>
          <w:sz w:val="24"/>
          <w:szCs w:val="24"/>
          <w:highlight w:val="none"/>
          <w:lang w:eastAsia="zh-CN"/>
        </w:rPr>
        <w:t>前</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u w:val="single" w:color="auto"/>
          <w14:textOutline w14:w="4358" w14:cap="flat" w14:cmpd="sng">
            <w14:solidFill>
              <w14:srgbClr w14:val="000000"/>
            </w14:solidFill>
            <w14:prstDash w14:val="solid"/>
            <w14:miter w14:val="0"/>
          </w14:textOutline>
        </w:rPr>
        <w:t>3</w:t>
      </w:r>
      <w:r>
        <w:rPr>
          <w:rFonts w:hint="eastAsia" w:ascii="宋体" w:hAnsi="宋体" w:eastAsia="宋体" w:cs="宋体"/>
          <w:color w:val="auto"/>
          <w:spacing w:val="-7"/>
          <w:sz w:val="24"/>
          <w:szCs w:val="24"/>
          <w:highlight w:val="none"/>
          <w:u w:val="single" w:color="auto"/>
          <w:lang w:eastAsia="zh-CN"/>
        </w:rPr>
        <w:t>个工作</w:t>
      </w:r>
      <w:r>
        <w:rPr>
          <w:rFonts w:hint="eastAsia" w:ascii="宋体" w:hAnsi="宋体" w:eastAsia="宋体" w:cs="宋体"/>
          <w:color w:val="auto"/>
          <w:spacing w:val="-3"/>
          <w:sz w:val="24"/>
          <w:szCs w:val="24"/>
          <w:highlight w:val="none"/>
        </w:rPr>
        <w:t>日内对投标人所提问题以书面形</w:t>
      </w:r>
      <w:r>
        <w:rPr>
          <w:rFonts w:hint="eastAsia" w:ascii="宋体" w:hAnsi="宋体" w:eastAsia="宋体" w:cs="宋体"/>
          <w:color w:val="auto"/>
          <w:spacing w:val="-1"/>
          <w:sz w:val="24"/>
          <w:szCs w:val="24"/>
          <w:highlight w:val="none"/>
        </w:rPr>
        <w:t>式发送给购买竞争性谈判文件的所有投标人，属于修改竞争性谈判文件的内容将按第</w:t>
      </w:r>
      <w:r>
        <w:rPr>
          <w:rFonts w:hint="eastAsia" w:ascii="宋体" w:hAnsi="宋体" w:eastAsia="宋体" w:cs="宋体"/>
          <w:color w:val="auto"/>
          <w:spacing w:val="-2"/>
          <w:sz w:val="24"/>
          <w:szCs w:val="24"/>
          <w:highlight w:val="none"/>
        </w:rPr>
        <w:t>2.2.3</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条规定，以补充通知的形式发送。</w:t>
      </w:r>
    </w:p>
    <w:p>
      <w:pPr>
        <w:spacing w:before="234"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2.3.7</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谈判响应文件的份数和签署要求</w:t>
      </w:r>
    </w:p>
    <w:p>
      <w:pPr>
        <w:spacing w:before="262" w:line="384" w:lineRule="auto"/>
        <w:ind w:right="121"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2.3.7.1</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投标人应按第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条规定的内容编制谈判响应文件。谈判响应文件一式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叁份，其中一份为正本，其余为副本，封面上应分别标明“正本”和“副本”字样。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正本与副本不一致时以正本为准（文本文件）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w:t>
      </w:r>
    </w:p>
    <w:p>
      <w:pPr>
        <w:spacing w:before="2" w:line="384" w:lineRule="auto"/>
        <w:ind w:right="126"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谈判响应文件应使用打印、复印或不能擦去的墨水书写，文字要清晰，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语意要明确，并按竞争性谈判文件的要求加盖单位公章和法定代表人(或委托代理人)</w:t>
      </w:r>
    </w:p>
    <w:p>
      <w:pPr>
        <w:spacing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position w:val="19"/>
          <w:sz w:val="24"/>
          <w:szCs w:val="24"/>
          <w:highlight w:val="none"/>
        </w:rPr>
        <w:t>签章。</w:t>
      </w:r>
    </w:p>
    <w:p>
      <w:pPr>
        <w:spacing w:before="234"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2.3.7.3</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谈判响应文件应尽量避免涂改和行间插字，</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若为了改正错误必须这样做</w:t>
      </w:r>
    </w:p>
    <w:p>
      <w:pPr>
        <w:spacing w:before="260" w:line="501" w:lineRule="exact"/>
        <w:ind w:firstLine="11"/>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rPr>
        <w:t>时，除了按招标人书面指示进行修改的以外，均应由法定代表人(或委托代理人)在修</w:t>
      </w:r>
    </w:p>
    <w:p>
      <w:pPr>
        <w:spacing w:before="1" w:line="204" w:lineRule="auto"/>
        <w:ind w:firstLine="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改处盖章或签名确认。</w:t>
      </w:r>
    </w:p>
    <w:p>
      <w:pPr>
        <w:spacing w:before="233" w:line="385" w:lineRule="auto"/>
        <w:ind w:left="3" w:firstLine="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2.3.7.4</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投标人除提交书面谈判响应文件外，</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还应提交所有投标资料内容的数据盘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一套（WORD2003，EXCEL2003</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以上版本</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3"/>
          <w:sz w:val="24"/>
          <w:szCs w:val="24"/>
          <w:highlight w:val="none"/>
        </w:rPr>
        <w:t>数据盘应另行装袋密封，封面同标书封面，</w:t>
      </w:r>
      <w:r>
        <w:rPr>
          <w:rFonts w:hint="eastAsia" w:ascii="宋体" w:hAnsi="宋体" w:eastAsia="宋体" w:cs="宋体"/>
          <w:color w:val="auto"/>
          <w:spacing w:val="-1"/>
          <w:sz w:val="24"/>
          <w:szCs w:val="24"/>
          <w:highlight w:val="none"/>
        </w:rPr>
        <w:t>数据盘盘面应写清工程名称、合同编号、投标人名称。</w:t>
      </w:r>
    </w:p>
    <w:p>
      <w:pPr>
        <w:spacing w:before="233" w:line="385" w:lineRule="auto"/>
        <w:ind w:left="1" w:right="44"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2.3.7.5</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招标人拒绝接受投标人提交的以活页装订的谈判响应文件，</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8"/>
          <w:sz w:val="24"/>
          <w:szCs w:val="24"/>
          <w:highlight w:val="none"/>
        </w:rPr>
        <w:t>拆封后，若发</w:t>
      </w:r>
      <w:r>
        <w:rPr>
          <w:rFonts w:hint="eastAsia" w:ascii="宋体" w:hAnsi="宋体" w:eastAsia="宋体" w:cs="宋体"/>
          <w:color w:val="auto"/>
          <w:spacing w:val="-5"/>
          <w:sz w:val="24"/>
          <w:szCs w:val="24"/>
          <w:highlight w:val="none"/>
        </w:rPr>
        <w:t>现投标人提交的谈判响应文件以活页装订，除留存正本和数据盘外，其他谈判响应文件</w:t>
      </w:r>
      <w:r>
        <w:rPr>
          <w:rFonts w:hint="eastAsia" w:ascii="宋体" w:hAnsi="宋体" w:eastAsia="宋体" w:cs="宋体"/>
          <w:color w:val="auto"/>
          <w:spacing w:val="-8"/>
          <w:sz w:val="24"/>
          <w:szCs w:val="24"/>
          <w:highlight w:val="none"/>
        </w:rPr>
        <w:t>当场退还。</w:t>
      </w:r>
    </w:p>
    <w:p>
      <w:pPr>
        <w:spacing w:before="234" w:line="184" w:lineRule="auto"/>
        <w:ind w:firstLine="482"/>
        <w:outlineLvl w:val="0"/>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pPr>
      <w:bookmarkStart w:id="40" w:name="_Toc22726"/>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谈判响应文件的提交</w:t>
      </w:r>
      <w:bookmarkEnd w:id="40"/>
    </w:p>
    <w:p>
      <w:pPr>
        <w:spacing w:before="234" w:line="184" w:lineRule="auto"/>
        <w:ind w:firstLine="482"/>
        <w:outlineLvl w:val="0"/>
        <w:rPr>
          <w:rFonts w:hint="eastAsia" w:ascii="宋体" w:hAnsi="宋体" w:eastAsia="宋体" w:cs="宋体"/>
          <w:color w:val="auto"/>
          <w:sz w:val="24"/>
          <w:szCs w:val="24"/>
          <w:highlight w:val="none"/>
        </w:rPr>
      </w:pPr>
      <w:bookmarkStart w:id="41" w:name="_Toc17742"/>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2.4.1</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谈判响应文件的密封和标记</w:t>
      </w:r>
      <w:bookmarkEnd w:id="41"/>
    </w:p>
    <w:p>
      <w:pPr>
        <w:spacing w:before="257" w:line="385"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2.4.1.1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9"/>
          <w:sz w:val="24"/>
          <w:szCs w:val="24"/>
          <w:highlight w:val="none"/>
        </w:rPr>
        <w:t>谈判响应文件的正本和副本应分开密封，不密封的谈判响应文件无效。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谈</w:t>
      </w:r>
      <w:r>
        <w:rPr>
          <w:rFonts w:hint="eastAsia" w:ascii="宋体" w:hAnsi="宋体" w:eastAsia="宋体" w:cs="宋体"/>
          <w:color w:val="auto"/>
          <w:sz w:val="24"/>
          <w:szCs w:val="24"/>
          <w:highlight w:val="none"/>
        </w:rPr>
        <w:t xml:space="preserve"> 判响应文件封皮面上应标明“正本”和“副本”字样，并注明工程名称、单位名称、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单位地址、邮政编码、联系人及联系电话，同时加盖法人公章和法定代表人签章（或</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6"/>
          <w:sz w:val="24"/>
          <w:szCs w:val="24"/>
          <w:highlight w:val="none"/>
        </w:rPr>
        <w:t>委托代理人签章）</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6"/>
          <w:sz w:val="24"/>
          <w:szCs w:val="24"/>
          <w:highlight w:val="none"/>
        </w:rPr>
        <w:t>“正本”、</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6"/>
          <w:sz w:val="24"/>
          <w:szCs w:val="24"/>
          <w:highlight w:val="none"/>
        </w:rPr>
        <w:t>“副本”如有不一致时，以正本为准。</w:t>
      </w:r>
    </w:p>
    <w:p>
      <w:pPr>
        <w:spacing w:before="1"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2.4.1.2</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7"/>
          <w:sz w:val="24"/>
          <w:szCs w:val="24"/>
          <w:highlight w:val="none"/>
        </w:rPr>
        <w:t>递送的所有谈判响应文件必须密封，</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封袋上须注明：</w:t>
      </w:r>
    </w:p>
    <w:p>
      <w:pPr>
        <w:spacing w:before="23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(1)招标人的名称和地址；</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(2)投标的合同名称及其编号；</w:t>
      </w:r>
    </w:p>
    <w:p>
      <w:pPr>
        <w:spacing w:before="262"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(3)在开标前不准启封；</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(4)投标人的名称、地址、邮政编码、联系人及联系电话；</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(5)加盖法人公章及法定代表人签章（或其授权委托代理人签章）</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w:t>
      </w:r>
    </w:p>
    <w:p>
      <w:pPr>
        <w:spacing w:before="262" w:line="384" w:lineRule="auto"/>
        <w:ind w:left="2"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2.4.1.3</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谈判响应文件外封套</w:t>
      </w:r>
      <w:r>
        <w:rPr>
          <w:rFonts w:hint="eastAsia" w:ascii="宋体" w:hAnsi="宋体" w:eastAsia="宋体" w:cs="宋体"/>
          <w:color w:val="auto"/>
          <w:spacing w:val="-1"/>
          <w:sz w:val="24"/>
          <w:szCs w:val="24"/>
          <w:highlight w:val="none"/>
          <w:u w:val="single" w:color="auto"/>
          <w14:textOutline w14:w="4358" w14:cap="flat" w14:cmpd="sng">
            <w14:solidFill>
              <w14:srgbClr w14:val="000000"/>
            </w14:solidFill>
            <w14:prstDash w14:val="solid"/>
            <w14:miter w14:val="0"/>
          </w14:textOutline>
        </w:rPr>
        <w:t>所有可开启处应贴封条</w:t>
      </w:r>
      <w:r>
        <w:rPr>
          <w:rFonts w:hint="eastAsia" w:ascii="宋体" w:hAnsi="宋体" w:eastAsia="宋体" w:cs="宋体"/>
          <w:color w:val="auto"/>
          <w:spacing w:val="32"/>
          <w:sz w:val="24"/>
          <w:szCs w:val="24"/>
          <w:highlight w:val="none"/>
          <w:u w:val="single" w:color="auto"/>
        </w:rPr>
        <w:t xml:space="preserve"> </w:t>
      </w:r>
      <w:r>
        <w:rPr>
          <w:rFonts w:hint="eastAsia" w:ascii="宋体" w:hAnsi="宋体" w:eastAsia="宋体" w:cs="宋体"/>
          <w:color w:val="auto"/>
          <w:spacing w:val="-1"/>
          <w:sz w:val="24"/>
          <w:szCs w:val="24"/>
          <w:highlight w:val="none"/>
        </w:rPr>
        <w:t>，并加盖法人公章或投标专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用章以及法定代表人或其委托代理人印章。</w:t>
      </w:r>
    </w:p>
    <w:p>
      <w:pPr>
        <w:spacing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position w:val="19"/>
          <w:sz w:val="24"/>
          <w:szCs w:val="24"/>
          <w:highlight w:val="none"/>
          <w14:textOutline w14:w="4358" w14:cap="flat" w14:cmpd="sng">
            <w14:solidFill>
              <w14:srgbClr w14:val="000000"/>
            </w14:solidFill>
            <w14:prstDash w14:val="solid"/>
            <w14:miter w14:val="0"/>
          </w14:textOutline>
        </w:rPr>
        <w:t>2.4.1.4</w:t>
      </w:r>
      <w:r>
        <w:rPr>
          <w:rFonts w:hint="eastAsia" w:ascii="宋体" w:hAnsi="宋体" w:eastAsia="宋体" w:cs="宋体"/>
          <w:color w:val="auto"/>
          <w:spacing w:val="-46"/>
          <w:position w:val="19"/>
          <w:sz w:val="24"/>
          <w:szCs w:val="24"/>
          <w:highlight w:val="none"/>
        </w:rPr>
        <w:t xml:space="preserve"> </w:t>
      </w:r>
      <w:r>
        <w:rPr>
          <w:rFonts w:hint="eastAsia" w:ascii="宋体" w:hAnsi="宋体" w:eastAsia="宋体" w:cs="宋体"/>
          <w:color w:val="auto"/>
          <w:spacing w:val="-5"/>
          <w:position w:val="19"/>
          <w:sz w:val="24"/>
          <w:szCs w:val="24"/>
          <w:highlight w:val="none"/>
        </w:rPr>
        <w:t>若投标人未将谈判响应文件按上述规定进行密封和标记，</w:t>
      </w:r>
      <w:r>
        <w:rPr>
          <w:rFonts w:hint="eastAsia" w:ascii="宋体" w:hAnsi="宋体" w:eastAsia="宋体" w:cs="宋体"/>
          <w:color w:val="auto"/>
          <w:spacing w:val="-55"/>
          <w:position w:val="19"/>
          <w:sz w:val="24"/>
          <w:szCs w:val="24"/>
          <w:highlight w:val="none"/>
        </w:rPr>
        <w:t xml:space="preserve"> </w:t>
      </w:r>
      <w:r>
        <w:rPr>
          <w:rFonts w:hint="eastAsia" w:ascii="宋体" w:hAnsi="宋体" w:eastAsia="宋体" w:cs="宋体"/>
          <w:color w:val="auto"/>
          <w:spacing w:val="-5"/>
          <w:position w:val="19"/>
          <w:sz w:val="24"/>
          <w:szCs w:val="24"/>
          <w:highlight w:val="none"/>
        </w:rPr>
        <w:t>招标人将不承担</w:t>
      </w:r>
    </w:p>
    <w:p>
      <w:pPr>
        <w:spacing w:line="204"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与此有关的责任，谈判响应文件将被拒绝，并原封退还给投标人。</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投标截止时间（详见投标须知前附表）</w:t>
      </w:r>
    </w:p>
    <w:p>
      <w:pPr>
        <w:spacing w:before="260"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2.4.2.1</w:t>
      </w:r>
      <w:r>
        <w:rPr>
          <w:rFonts w:hint="eastAsia" w:ascii="宋体" w:hAnsi="宋体" w:eastAsia="宋体" w:cs="宋体"/>
          <w:color w:val="auto"/>
          <w:spacing w:val="-12"/>
          <w:position w:val="19"/>
          <w:sz w:val="24"/>
          <w:szCs w:val="24"/>
          <w:highlight w:val="none"/>
        </w:rPr>
        <w:t xml:space="preserve"> </w:t>
      </w:r>
      <w:r>
        <w:rPr>
          <w:rFonts w:hint="eastAsia" w:ascii="宋体" w:hAnsi="宋体" w:eastAsia="宋体" w:cs="宋体"/>
          <w:color w:val="auto"/>
          <w:spacing w:val="-6"/>
          <w:position w:val="19"/>
          <w:sz w:val="24"/>
          <w:szCs w:val="24"/>
          <w:highlight w:val="none"/>
        </w:rPr>
        <w:t>投标人应在此时间后送达的谈判响应文件招标人将不再接受，</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6"/>
          <w:position w:val="19"/>
          <w:sz w:val="24"/>
          <w:szCs w:val="24"/>
          <w:highlight w:val="none"/>
        </w:rPr>
        <w:t>未按规定附</w:t>
      </w:r>
    </w:p>
    <w:p>
      <w:pPr>
        <w:spacing w:before="1" w:line="204"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交投标保证金的谈判响应文件将被拒绝</w:t>
      </w:r>
    </w:p>
    <w:p>
      <w:pPr>
        <w:spacing w:before="233" w:line="385"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2.4.2.2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招标人认为有必要时可以发补充通知延长投标截止时间。若投标人同意延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长投标截止时间，则竞争性谈判文件规定的招标人和投标人与投标截止时间有关的义</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务和权利亦将适用至延长后的投标截止时间。</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2.4.3</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谈判响应文件的修改与撤回</w:t>
      </w:r>
    </w:p>
    <w:p>
      <w:pPr>
        <w:spacing w:before="259" w:line="385" w:lineRule="auto"/>
        <w:ind w:left="12" w:right="76" w:firstLine="4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若投标人需要修改或撤回其谈判响应文件，必须在第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2.4.2.1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条规定的投标截止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时间前将修改或撤回其谈判响应文件的书面通知送达招标人。上述书面通知应按第</w:t>
      </w:r>
    </w:p>
    <w:p>
      <w:pPr>
        <w:spacing w:line="204"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条的规定进行编制、密封和标记，并标明“修改”或“撤回”字样。</w:t>
      </w:r>
    </w:p>
    <w:p>
      <w:pPr>
        <w:spacing w:before="234" w:line="184"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除本章另有规定外，投标人不得在投标截止时间后修改谈判响应文件。</w:t>
      </w:r>
    </w:p>
    <w:p>
      <w:pPr>
        <w:spacing w:before="262" w:line="384" w:lineRule="auto"/>
        <w:ind w:left="23" w:right="105" w:firstLine="4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2.4.4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招标人已接收的有效谈判响应文件（含开标后予以废标的</w:t>
      </w:r>
      <w:r>
        <w:rPr>
          <w:rFonts w:hint="eastAsia" w:ascii="宋体" w:hAnsi="宋体" w:eastAsia="宋体" w:cs="宋体"/>
          <w:color w:val="auto"/>
          <w:spacing w:val="-60"/>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60"/>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无论投标人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中标与否，其谈判响应文件</w:t>
      </w:r>
      <w:r>
        <w:rPr>
          <w:rFonts w:hint="eastAsia" w:ascii="宋体" w:hAnsi="宋体" w:eastAsia="宋体" w:cs="宋体"/>
          <w:color w:val="auto"/>
          <w:spacing w:val="-6"/>
          <w:sz w:val="24"/>
          <w:szCs w:val="24"/>
          <w:highlight w:val="none"/>
          <w:lang w:eastAsia="zh-CN"/>
          <w14:textOutline w14:w="4358" w14:cap="flat" w14:cmpd="sng">
            <w14:solidFill>
              <w14:srgbClr w14:val="000000"/>
            </w14:solidFill>
            <w14:prstDash w14:val="solid"/>
            <w14:miter w14:val="0"/>
          </w14:textOutline>
        </w:rPr>
        <w:t>均</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不退（含数据盘）</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w:t>
      </w:r>
    </w:p>
    <w:p>
      <w:pPr>
        <w:spacing w:before="67" w:line="184" w:lineRule="auto"/>
        <w:ind w:firstLine="483"/>
        <w:outlineLvl w:val="0"/>
        <w:rPr>
          <w:rFonts w:hint="eastAsia" w:ascii="宋体" w:hAnsi="宋体" w:eastAsia="宋体" w:cs="宋体"/>
          <w:color w:val="auto"/>
          <w:sz w:val="24"/>
          <w:szCs w:val="24"/>
          <w:highlight w:val="none"/>
        </w:rPr>
      </w:pPr>
      <w:bookmarkStart w:id="42" w:name="_Toc4478"/>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开标和评标</w:t>
      </w:r>
      <w:bookmarkEnd w:id="42"/>
    </w:p>
    <w:p>
      <w:pPr>
        <w:spacing w:before="259"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2.5.1</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评标委员会组成</w:t>
      </w:r>
    </w:p>
    <w:p>
      <w:pPr>
        <w:spacing w:before="261" w:line="384" w:lineRule="auto"/>
        <w:ind w:left="1" w:right="178"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评标工作由招标人依法组建的评标委员会负责。本工程评标委员会由</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u w:val="single" w:color="auto"/>
          <w:lang w:val="en-US" w:eastAsia="zh-CN"/>
          <w14:textOutline w14:w="4358" w14:cap="flat" w14:cmpd="sng">
            <w14:solidFill>
              <w14:srgbClr w14:val="000000"/>
            </w14:solidFill>
            <w14:prstDash w14:val="solid"/>
            <w14:miter w14:val="0"/>
          </w14:textOutline>
        </w:rPr>
        <w:t>3</w:t>
      </w:r>
      <w:r>
        <w:rPr>
          <w:rFonts w:hint="eastAsia" w:ascii="宋体" w:hAnsi="宋体" w:eastAsia="宋体" w:cs="宋体"/>
          <w:color w:val="auto"/>
          <w:spacing w:val="-49"/>
          <w:sz w:val="24"/>
          <w:szCs w:val="24"/>
          <w:highlight w:val="none"/>
          <w:u w:val="single" w:color="auto"/>
        </w:rPr>
        <w:t xml:space="preserve"> </w:t>
      </w:r>
      <w:r>
        <w:rPr>
          <w:rFonts w:hint="eastAsia" w:ascii="宋体" w:hAnsi="宋体" w:eastAsia="宋体" w:cs="宋体"/>
          <w:color w:val="auto"/>
          <w:spacing w:val="-2"/>
          <w:sz w:val="24"/>
          <w:szCs w:val="24"/>
          <w:highlight w:val="none"/>
        </w:rPr>
        <w:t>人组成。</w:t>
      </w:r>
      <w:r>
        <w:rPr>
          <w:rFonts w:hint="eastAsia" w:ascii="宋体" w:hAnsi="宋体" w:eastAsia="宋体" w:cs="宋体"/>
          <w:color w:val="auto"/>
          <w:sz w:val="24"/>
          <w:szCs w:val="24"/>
          <w:highlight w:val="none"/>
          <w:lang w:eastAsia="zh-CN"/>
        </w:rPr>
        <w:t>从政府采购</w:t>
      </w:r>
      <w:r>
        <w:rPr>
          <w:rFonts w:hint="eastAsia" w:ascii="宋体" w:hAnsi="宋体" w:eastAsia="宋体" w:cs="宋体"/>
          <w:color w:val="auto"/>
          <w:spacing w:val="-4"/>
          <w:sz w:val="24"/>
          <w:szCs w:val="24"/>
          <w:highlight w:val="none"/>
        </w:rPr>
        <w:t>专家库中随机</w:t>
      </w:r>
      <w:r>
        <w:rPr>
          <w:rFonts w:hint="eastAsia" w:ascii="宋体" w:hAnsi="宋体" w:eastAsia="宋体" w:cs="宋体"/>
          <w:color w:val="auto"/>
          <w:spacing w:val="-4"/>
          <w:sz w:val="24"/>
          <w:szCs w:val="24"/>
          <w:highlight w:val="none"/>
          <w:lang w:eastAsia="zh-CN"/>
        </w:rPr>
        <w:t>抽取</w:t>
      </w:r>
      <w:r>
        <w:rPr>
          <w:rFonts w:hint="eastAsia" w:ascii="宋体" w:hAnsi="宋体" w:eastAsia="宋体" w:cs="宋体"/>
          <w:b/>
          <w:bCs/>
          <w:color w:val="auto"/>
          <w:spacing w:val="14"/>
          <w:sz w:val="24"/>
          <w:szCs w:val="24"/>
          <w:highlight w:val="none"/>
          <w:u w:val="single" w:color="auto"/>
          <w:lang w:val="en-US" w:eastAsia="zh-CN"/>
        </w:rPr>
        <w:t>3</w:t>
      </w:r>
      <w:r>
        <w:rPr>
          <w:rFonts w:hint="eastAsia" w:ascii="宋体" w:hAnsi="宋体" w:eastAsia="宋体" w:cs="宋体"/>
          <w:color w:val="auto"/>
          <w:spacing w:val="-4"/>
          <w:sz w:val="24"/>
          <w:szCs w:val="24"/>
          <w:highlight w:val="none"/>
        </w:rPr>
        <w:t>人。</w:t>
      </w:r>
    </w:p>
    <w:p>
      <w:pPr>
        <w:spacing w:line="20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2.5.2</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开标</w:t>
      </w:r>
    </w:p>
    <w:p>
      <w:pPr>
        <w:spacing w:before="236" w:line="384" w:lineRule="auto"/>
        <w:ind w:left="20" w:right="66" w:firstLine="4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2.5.2.1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招标人将于竞争性谈判文件规定时间地点开标，</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投标人在招标人指定</w:t>
      </w:r>
      <w:r>
        <w:rPr>
          <w:rFonts w:hint="eastAsia" w:ascii="宋体" w:hAnsi="宋体" w:eastAsia="宋体" w:cs="宋体"/>
          <w:color w:val="auto"/>
          <w:spacing w:val="-2"/>
          <w:sz w:val="24"/>
          <w:szCs w:val="24"/>
          <w:highlight w:val="none"/>
        </w:rPr>
        <w:t>的登记册上签名报到，所有投标人均应派代表准时参加并携带</w:t>
      </w:r>
      <w:r>
        <w:rPr>
          <w:rFonts w:hint="eastAsia" w:ascii="宋体" w:hAnsi="宋体" w:eastAsia="宋体" w:cs="宋体"/>
          <w:color w:val="auto"/>
          <w:spacing w:val="-2"/>
          <w:sz w:val="24"/>
          <w:szCs w:val="24"/>
          <w:highlight w:val="none"/>
          <w:lang w:eastAsia="zh-CN"/>
        </w:rPr>
        <w:t>：</w:t>
      </w:r>
    </w:p>
    <w:p>
      <w:pPr>
        <w:spacing w:line="285" w:lineRule="auto"/>
        <w:ind w:left="480" w:right="263" w:firstLine="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rPr>
        <w:t xml:space="preserve"> 企业法人证明及</w:t>
      </w:r>
      <w:r>
        <w:rPr>
          <w:rFonts w:hint="eastAsia" w:ascii="宋体" w:hAnsi="宋体" w:eastAsia="宋体" w:cs="宋体"/>
          <w:color w:val="auto"/>
          <w:spacing w:val="-4"/>
          <w:sz w:val="24"/>
          <w:szCs w:val="24"/>
          <w:highlight w:val="none"/>
        </w:rPr>
        <w:t>法定代表人身份证原件或法定代表人授权委托书原件和法定代表人授权委</w:t>
      </w:r>
      <w:r>
        <w:rPr>
          <w:rFonts w:hint="eastAsia" w:ascii="宋体" w:hAnsi="宋体" w:eastAsia="宋体" w:cs="宋体"/>
          <w:color w:val="auto"/>
          <w:spacing w:val="-2"/>
          <w:sz w:val="24"/>
          <w:szCs w:val="24"/>
          <w:highlight w:val="none"/>
        </w:rPr>
        <w:t>托人的身份证原件。</w:t>
      </w:r>
    </w:p>
    <w:p>
      <w:pPr>
        <w:spacing w:before="260" w:line="184"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企业法人营业执照副本原件、资质证书副本原件、安全生产许可证原件。</w:t>
      </w:r>
    </w:p>
    <w:p>
      <w:pPr>
        <w:spacing w:before="260" w:line="184" w:lineRule="auto"/>
        <w:ind w:firstLine="48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项目经理注册证书、安全生产考核证原件。</w:t>
      </w:r>
    </w:p>
    <w:p>
      <w:pPr>
        <w:spacing w:before="259" w:line="384" w:lineRule="auto"/>
        <w:ind w:right="66" w:firstLine="48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 保证金缴纳凭证、收据原件。</w:t>
      </w:r>
    </w:p>
    <w:p>
      <w:pPr>
        <w:spacing w:before="259" w:line="384" w:lineRule="auto"/>
        <w:ind w:right="66" w:firstLine="48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（5）“信用中国”信用报告下载和中国政府采购网政府采购无不良行为记录查询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截图。</w:t>
      </w:r>
    </w:p>
    <w:p>
      <w:pPr>
        <w:spacing w:before="259" w:line="384" w:lineRule="auto"/>
        <w:ind w:right="66" w:firstLine="487"/>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（6）疆外企业需提供有效期内的进疆备案登记手册</w:t>
      </w:r>
    </w:p>
    <w:p>
      <w:pPr>
        <w:spacing w:before="3" w:line="384" w:lineRule="auto"/>
        <w:ind w:firstLine="50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以上资料供监督部门在开标前查验资料时使用，若将资料密封在谈判响应文件中，</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在开标前查验资料时不能提供，则视其有效资料不全，其投标将被视为无效投标将被</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拒绝</w:t>
      </w:r>
      <w:r>
        <w:rPr>
          <w:rFonts w:hint="eastAsia" w:ascii="宋体" w:hAnsi="宋体" w:eastAsia="宋体" w:cs="宋体"/>
          <w:color w:val="auto"/>
          <w:spacing w:val="-3"/>
          <w:sz w:val="24"/>
          <w:szCs w:val="24"/>
          <w:highlight w:val="none"/>
        </w:rPr>
        <w:t>。</w:t>
      </w:r>
    </w:p>
    <w:p>
      <w:pPr>
        <w:spacing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2.5.2.2</w:t>
      </w:r>
      <w:r>
        <w:rPr>
          <w:rFonts w:hint="eastAsia" w:ascii="宋体" w:hAnsi="宋体" w:eastAsia="宋体" w:cs="宋体"/>
          <w:color w:val="auto"/>
          <w:spacing w:val="12"/>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招标人将委托监标人查验</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2.5.2.1</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条规定的证件是否齐全，证件齐全有</w:t>
      </w:r>
    </w:p>
    <w:p>
      <w:pPr>
        <w:spacing w:line="204"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效、标书密封完好的投标人为合格的投标人。</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2.5.3</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评标和决标过程保密</w:t>
      </w:r>
    </w:p>
    <w:p>
      <w:pPr>
        <w:spacing w:before="259" w:line="385" w:lineRule="auto"/>
        <w:ind w:left="1" w:right="143"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开标后至招标人公布中标结果之前，有关谈判响应文件的检查、澄清、评比和决标等信息对与本过程无关的投标人及其他人员保密。投标人不应对招标人或有关人员施加影响和试图获取评标信息，违者可能导致被取消中标资格。</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2.5.4</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谈判响应文件的澄清</w:t>
      </w:r>
    </w:p>
    <w:p>
      <w:pPr>
        <w:spacing w:before="262" w:line="384" w:lineRule="auto"/>
        <w:ind w:right="143"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为了有助于对谈判响应文件的检查和评审，招标人可以单独要求投标人澄清其谈判响应文件。招标人的澄清要求和投标人的答复均应采用书面形式。除了按第</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2.5.5条规定改正算术错误外，投标人不得修改投标报价或谈判响应文件中的其它实质性内容。经澄清的问题需由投标人签字确认后作为谈判响应文件的组成部分。</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2.5.5</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谈判响应文件的检查和响应性评定</w:t>
      </w:r>
    </w:p>
    <w:p>
      <w:pPr>
        <w:spacing w:before="236" w:line="384" w:lineRule="auto"/>
        <w:ind w:left="4" w:firstLine="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2.5.5.1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在开始评比前，</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7"/>
          <w:sz w:val="24"/>
          <w:szCs w:val="24"/>
          <w:highlight w:val="none"/>
        </w:rPr>
        <w:t>评标委员会应首先检查每份谈判响应文件的内容是否完整，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是否</w:t>
      </w:r>
      <w:r>
        <w:rPr>
          <w:rFonts w:hint="eastAsia" w:ascii="宋体" w:hAnsi="宋体" w:eastAsia="宋体" w:cs="宋体"/>
          <w:color w:val="auto"/>
          <w:spacing w:val="-1"/>
          <w:sz w:val="24"/>
          <w:szCs w:val="24"/>
          <w:highlight w:val="none"/>
        </w:rPr>
        <w:t>实质上响应竞争性谈判文件的要求。</w:t>
      </w:r>
    </w:p>
    <w:p>
      <w:pPr>
        <w:spacing w:before="237"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2.5.5.2</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招标人将拒绝实质上未响应竞争性谈判文件规定的谈判响应文件。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5"/>
          <w:sz w:val="24"/>
          <w:szCs w:val="24"/>
          <w:highlight w:val="none"/>
        </w:rPr>
        <w:t>开标</w:t>
      </w:r>
    </w:p>
    <w:p>
      <w:pPr>
        <w:spacing w:before="260" w:line="18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后，不允许投标人对其不响应竞争性谈判文件规定的谈判响应文件内容进行修改。</w:t>
      </w:r>
    </w:p>
    <w:p>
      <w:pPr>
        <w:spacing w:before="262" w:line="184" w:lineRule="auto"/>
        <w:ind w:firstLine="483"/>
        <w:outlineLvl w:val="0"/>
        <w:rPr>
          <w:rFonts w:hint="eastAsia" w:ascii="宋体" w:hAnsi="宋体" w:eastAsia="宋体" w:cs="宋体"/>
          <w:color w:val="auto"/>
          <w:sz w:val="24"/>
          <w:szCs w:val="24"/>
          <w:highlight w:val="none"/>
        </w:rPr>
      </w:pPr>
      <w:bookmarkStart w:id="43" w:name="_Toc7367"/>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废标</w:t>
      </w:r>
      <w:bookmarkEnd w:id="43"/>
    </w:p>
    <w:p>
      <w:pPr>
        <w:spacing w:before="260" w:line="384" w:lineRule="auto"/>
        <w:ind w:left="4" w:right="186" w:firstLine="47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2.5.6.1</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投标人资格条件不符合国家有关规定和竞争性谈判文件要求的，</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或者拒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不按照</w:t>
      </w:r>
      <w:r>
        <w:rPr>
          <w:rFonts w:hint="eastAsia" w:ascii="宋体" w:hAnsi="宋体" w:eastAsia="宋体" w:cs="宋体"/>
          <w:color w:val="auto"/>
          <w:spacing w:val="-1"/>
          <w:sz w:val="24"/>
          <w:szCs w:val="24"/>
          <w:highlight w:val="none"/>
        </w:rPr>
        <w:t>要求对谈判响应文件进行澄清、说明或者补正的，评标委员会可以否决其投</w:t>
      </w:r>
      <w:r>
        <w:rPr>
          <w:rFonts w:hint="eastAsia" w:ascii="宋体" w:hAnsi="宋体" w:eastAsia="宋体" w:cs="宋体"/>
          <w:color w:val="auto"/>
          <w:spacing w:val="-1"/>
          <w:sz w:val="24"/>
          <w:szCs w:val="24"/>
          <w:highlight w:val="none"/>
          <w:lang w:eastAsia="zh-CN"/>
        </w:rPr>
        <w:t>标。</w:t>
      </w:r>
    </w:p>
    <w:p>
      <w:pPr>
        <w:spacing w:before="237" w:line="384" w:lineRule="auto"/>
        <w:ind w:left="4" w:right="186" w:firstLine="47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2.5.6.2</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1"/>
          <w:sz w:val="24"/>
          <w:szCs w:val="24"/>
          <w:highlight w:val="none"/>
        </w:rPr>
        <w:t>在评标过程中，</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1"/>
          <w:sz w:val="24"/>
          <w:szCs w:val="24"/>
          <w:highlight w:val="none"/>
        </w:rPr>
        <w:t>评标委员会发现投标人以他人的名义投标、</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1"/>
          <w:sz w:val="24"/>
          <w:szCs w:val="24"/>
          <w:highlight w:val="none"/>
        </w:rPr>
        <w:t>串通投标以</w:t>
      </w:r>
      <w:r>
        <w:rPr>
          <w:rFonts w:hint="eastAsia" w:ascii="宋体" w:hAnsi="宋体" w:eastAsia="宋体" w:cs="宋体"/>
          <w:color w:val="auto"/>
          <w:spacing w:val="-1"/>
          <w:sz w:val="24"/>
          <w:szCs w:val="24"/>
          <w:highlight w:val="none"/>
        </w:rPr>
        <w:t>行贿手段谋取中标或者以其他弄虚作假方式投标的，该投标人的投标作废标处理。</w:t>
      </w:r>
    </w:p>
    <w:p>
      <w:pPr>
        <w:spacing w:line="385" w:lineRule="auto"/>
        <w:ind w:right="186" w:firstLine="482"/>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2.5.6.3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0"/>
          <w:sz w:val="24"/>
          <w:szCs w:val="24"/>
          <w:highlight w:val="none"/>
        </w:rPr>
        <w:t>在评标过程中，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0"/>
          <w:sz w:val="24"/>
          <w:szCs w:val="24"/>
          <w:highlight w:val="none"/>
        </w:rPr>
        <w:t>评标委员会发现投标人的报价明显低于其他投标报价，使</w:t>
      </w:r>
      <w:r>
        <w:rPr>
          <w:rFonts w:hint="eastAsia" w:ascii="宋体" w:hAnsi="宋体" w:eastAsia="宋体" w:cs="宋体"/>
          <w:color w:val="auto"/>
          <w:spacing w:val="-1"/>
          <w:sz w:val="24"/>
          <w:szCs w:val="24"/>
          <w:highlight w:val="none"/>
        </w:rPr>
        <w:t>得其投标报价可能低于其个别成本的，当要求该投标人做出书面说明并提供相关证明</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材料，投标人不能合理说明或者不能提供相关证明材料的，由评标委员会认定该投标人以低于成本报价竞标，其投标作废标处理。</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b/>
          <w:bCs/>
          <w:color w:val="auto"/>
          <w:spacing w:val="-4"/>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0"/>
          <w:sz w:val="24"/>
          <w:szCs w:val="24"/>
          <w:highlight w:val="none"/>
        </w:rPr>
        <w:t>对竞争性谈判文件提出的实质性要求和条件未能实质上响应的谈判响应文件，作废标处理。</w:t>
      </w:r>
    </w:p>
    <w:p>
      <w:pPr>
        <w:spacing w:before="262"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2.5.6.</w:t>
      </w:r>
      <w:r>
        <w:rPr>
          <w:rFonts w:hint="eastAsia" w:ascii="宋体" w:hAnsi="宋体" w:eastAsia="宋体" w:cs="宋体"/>
          <w:b/>
          <w:bCs/>
          <w:color w:val="auto"/>
          <w:spacing w:val="-7"/>
          <w:sz w:val="24"/>
          <w:szCs w:val="24"/>
          <w:highlight w:val="none"/>
        </w:rPr>
        <w:t>5</w:t>
      </w:r>
      <w:r>
        <w:rPr>
          <w:rFonts w:hint="eastAsia" w:ascii="宋体" w:hAnsi="宋体" w:eastAsia="宋体" w:cs="宋体"/>
          <w:color w:val="auto"/>
          <w:spacing w:val="17"/>
          <w:w w:val="101"/>
          <w:sz w:val="24"/>
          <w:szCs w:val="24"/>
          <w:highlight w:val="none"/>
        </w:rPr>
        <w:t xml:space="preserve"> </w:t>
      </w:r>
      <w:r>
        <w:rPr>
          <w:rFonts w:hint="eastAsia" w:ascii="宋体" w:hAnsi="宋体" w:eastAsia="宋体" w:cs="宋体"/>
          <w:color w:val="auto"/>
          <w:spacing w:val="-7"/>
          <w:sz w:val="24"/>
          <w:szCs w:val="24"/>
          <w:highlight w:val="none"/>
        </w:rPr>
        <w:t>不符合初步评审的谈判响应文件，作废标处理。</w:t>
      </w:r>
    </w:p>
    <w:p>
      <w:pPr>
        <w:spacing w:before="260" w:line="384" w:lineRule="auto"/>
        <w:ind w:right="186"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2.5.6.6</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开标后，若发现投标人提交的谈判响应文件以活页装订，其谈判响应文</w:t>
      </w:r>
      <w:r>
        <w:rPr>
          <w:rFonts w:hint="eastAsia" w:ascii="宋体" w:hAnsi="宋体" w:eastAsia="宋体" w:cs="宋体"/>
          <w:color w:val="auto"/>
          <w:spacing w:val="-1"/>
          <w:sz w:val="24"/>
          <w:szCs w:val="24"/>
          <w:highlight w:val="none"/>
        </w:rPr>
        <w:t>件作废标处理，但其谈判响应文件正本和电子版仍由招标人留存。</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2.5.7</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算术错误的改正</w:t>
      </w:r>
    </w:p>
    <w:p>
      <w:pPr>
        <w:spacing w:before="237" w:line="384" w:lineRule="auto"/>
        <w:ind w:left="1" w:right="258" w:firstLine="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2.5.7.1</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对实质上响应竞争性谈判文件要求的谈判响应文件，</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评标委员会将检查</w:t>
      </w:r>
      <w:r>
        <w:rPr>
          <w:rFonts w:hint="eastAsia" w:ascii="宋体" w:hAnsi="宋体" w:eastAsia="宋体" w:cs="宋体"/>
          <w:color w:val="auto"/>
          <w:spacing w:val="-1"/>
          <w:sz w:val="24"/>
          <w:szCs w:val="24"/>
          <w:highlight w:val="none"/>
        </w:rPr>
        <w:t>其报价是否有算术错误。改正错误的原则为：</w:t>
      </w:r>
    </w:p>
    <w:p>
      <w:pPr>
        <w:spacing w:before="2" w:line="384" w:lineRule="auto"/>
        <w:ind w:right="120" w:firstLine="52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(1)《工程量清单》中任一项目的单价乘其工程量的乘积与该项目的合价不吻合时，</w:t>
      </w:r>
      <w:r>
        <w:rPr>
          <w:rFonts w:hint="eastAsia" w:ascii="宋体" w:hAnsi="宋体" w:eastAsia="宋体" w:cs="宋体"/>
          <w:color w:val="auto"/>
          <w:spacing w:val="-1"/>
          <w:sz w:val="24"/>
          <w:szCs w:val="24"/>
          <w:highlight w:val="none"/>
        </w:rPr>
        <w:t>应以单价为准，改正合价。但经招标人与投标人共同核对后认为单价有明显的错误或小数点错位时，则应以合价为准，改正单价。</w:t>
      </w:r>
    </w:p>
    <w:p>
      <w:pPr>
        <w:spacing w:before="25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(2)若投标报价汇总表中的金额与相应的各分组工程量清单中的合计金额不吻合</w:t>
      </w:r>
    </w:p>
    <w:p>
      <w:pPr>
        <w:spacing w:before="261" w:line="384" w:lineRule="auto"/>
        <w:ind w:right="76" w:firstLine="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时，应以修正算术错误后的各分组工程量清单中的合计金额为准，改正投标报价汇总</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表中相应部分的金额和投标总报价。</w:t>
      </w:r>
    </w:p>
    <w:p>
      <w:pPr>
        <w:spacing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2.5.7.2</w:t>
      </w:r>
      <w:r>
        <w:rPr>
          <w:rFonts w:hint="eastAsia" w:ascii="宋体" w:hAnsi="宋体" w:eastAsia="宋体" w:cs="宋体"/>
          <w:color w:val="auto"/>
          <w:spacing w:val="13"/>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招标人将按上述第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2.5.7.1</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1"/>
          <w:position w:val="19"/>
          <w:sz w:val="24"/>
          <w:szCs w:val="24"/>
          <w:highlight w:val="none"/>
        </w:rPr>
        <w:t>款规定的原则，要求投标人改正报价中的算</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术错误，改正后的投标报价汇总表需经招标人和投标人共同确认。</w:t>
      </w:r>
    </w:p>
    <w:p>
      <w:pPr>
        <w:spacing w:before="234"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2.5.8</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谈判响应文件的评比</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2.5.8.1</w:t>
      </w:r>
      <w:r>
        <w:rPr>
          <w:rFonts w:hint="eastAsia" w:ascii="宋体" w:hAnsi="宋体" w:eastAsia="宋体" w:cs="宋体"/>
          <w:color w:val="auto"/>
          <w:spacing w:val="-51"/>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招标人仅对按第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2.5.5</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条规定评定为实质上响应竞争性谈判文件的谈判</w:t>
      </w:r>
    </w:p>
    <w:p>
      <w:pPr>
        <w:spacing w:line="204" w:lineRule="auto"/>
        <w:ind w:firstLine="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响应文件进行评比。</w:t>
      </w:r>
    </w:p>
    <w:p>
      <w:pPr>
        <w:spacing w:before="234" w:line="384"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2.5.8.2</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在评比时，招标人将考虑以下因素计算评标价。评标价仅供评标用，不能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作为中标签约的合同价。</w:t>
      </w:r>
    </w:p>
    <w:p>
      <w:pPr>
        <w:spacing w:before="2" w:line="20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(1)按第</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2.5.7</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条规定改正算术错误；</w:t>
      </w:r>
    </w:p>
    <w:p>
      <w:pPr>
        <w:spacing w:before="237" w:line="384" w:lineRule="auto"/>
        <w:ind w:left="42"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(2)扣除投标报价汇总表中的备用金，但若有在竞争性谈判文件中规定的竞争性计</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日工报价的备用金应予保留；</w:t>
      </w:r>
    </w:p>
    <w:p>
      <w:pPr>
        <w:spacing w:before="2" w:line="20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(3)招标人按第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2.3.5.1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款规定，认为可接受的替代方案所引起的增减金额；</w:t>
      </w:r>
    </w:p>
    <w:p>
      <w:pPr>
        <w:spacing w:before="23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(4)招标人认为可接受的非重大偏离和保留。</w:t>
      </w:r>
    </w:p>
    <w:p>
      <w:pPr>
        <w:spacing w:before="260" w:line="501"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6"/>
          <w:position w:val="19"/>
          <w:sz w:val="24"/>
          <w:szCs w:val="24"/>
          <w:highlight w:val="none"/>
          <w14:textOutline w14:w="4358" w14:cap="flat" w14:cmpd="sng">
            <w14:solidFill>
              <w14:srgbClr w14:val="000000"/>
            </w14:solidFill>
            <w14:prstDash w14:val="solid"/>
            <w14:miter w14:val="0"/>
          </w14:textOutline>
        </w:rPr>
        <w:t>2.5.8.3</w:t>
      </w:r>
      <w:r>
        <w:rPr>
          <w:rFonts w:hint="eastAsia" w:ascii="宋体" w:hAnsi="宋体" w:eastAsia="宋体" w:cs="宋体"/>
          <w:color w:val="auto"/>
          <w:spacing w:val="-25"/>
          <w:position w:val="19"/>
          <w:sz w:val="24"/>
          <w:szCs w:val="24"/>
          <w:highlight w:val="none"/>
        </w:rPr>
        <w:t xml:space="preserve"> </w:t>
      </w:r>
      <w:r>
        <w:rPr>
          <w:rFonts w:hint="eastAsia" w:ascii="宋体" w:hAnsi="宋体" w:eastAsia="宋体" w:cs="宋体"/>
          <w:color w:val="auto"/>
          <w:spacing w:val="-6"/>
          <w:position w:val="19"/>
          <w:sz w:val="24"/>
          <w:szCs w:val="24"/>
          <w:highlight w:val="none"/>
        </w:rPr>
        <w:t>招标人在选择中标人时，</w:t>
      </w:r>
      <w:r>
        <w:rPr>
          <w:rFonts w:hint="eastAsia" w:ascii="宋体" w:hAnsi="宋体" w:eastAsia="宋体" w:cs="宋体"/>
          <w:color w:val="auto"/>
          <w:spacing w:val="-41"/>
          <w:position w:val="19"/>
          <w:sz w:val="24"/>
          <w:szCs w:val="24"/>
          <w:highlight w:val="none"/>
        </w:rPr>
        <w:t xml:space="preserve"> </w:t>
      </w:r>
      <w:r>
        <w:rPr>
          <w:rFonts w:hint="eastAsia" w:ascii="宋体" w:hAnsi="宋体" w:eastAsia="宋体" w:cs="宋体"/>
          <w:color w:val="auto"/>
          <w:spacing w:val="-6"/>
          <w:position w:val="19"/>
          <w:sz w:val="24"/>
          <w:szCs w:val="24"/>
          <w:highlight w:val="none"/>
        </w:rPr>
        <w:t>除了考虑按第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6"/>
          <w:position w:val="19"/>
          <w:sz w:val="24"/>
          <w:szCs w:val="24"/>
          <w:highlight w:val="none"/>
        </w:rPr>
        <w:t>2.5.8.2</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6"/>
          <w:position w:val="19"/>
          <w:sz w:val="24"/>
          <w:szCs w:val="24"/>
          <w:highlight w:val="none"/>
        </w:rPr>
        <w:t>款规定计算的评标价的高</w:t>
      </w:r>
    </w:p>
    <w:p>
      <w:pPr>
        <w:spacing w:before="1" w:line="20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低和合理性外，还将综合评比：</w:t>
      </w:r>
    </w:p>
    <w:p>
      <w:pPr>
        <w:spacing w:before="234"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(1)投标书技术部分的响应性、完整性；</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(2)施工组织设计编制的合理性和可行性；</w:t>
      </w:r>
    </w:p>
    <w:p>
      <w:pPr>
        <w:spacing w:before="262"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(3)主要控制性项目进度安排和保证措施；</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(4)质量、安全保证体系和检测手段的完备性；</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(5)投入到本工程的施工设备配备情况；</w:t>
      </w:r>
    </w:p>
    <w:p>
      <w:pPr>
        <w:spacing w:before="263"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(6)投入到本工程的主要管理人员及组织机构；</w:t>
      </w:r>
    </w:p>
    <w:p>
      <w:pPr>
        <w:spacing w:before="260"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(7)企业信誉。</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4"/>
          <w:position w:val="19"/>
          <w:sz w:val="24"/>
          <w:szCs w:val="24"/>
          <w:highlight w:val="none"/>
          <w14:textOutline w14:w="4358" w14:cap="flat" w14:cmpd="sng">
            <w14:solidFill>
              <w14:srgbClr w14:val="000000"/>
            </w14:solidFill>
            <w14:prstDash w14:val="solid"/>
            <w14:miter w14:val="0"/>
          </w14:textOutline>
        </w:rPr>
        <w:t>2.5.8.4</w:t>
      </w:r>
      <w:r>
        <w:rPr>
          <w:rFonts w:hint="eastAsia" w:ascii="宋体" w:hAnsi="宋体" w:eastAsia="宋体" w:cs="宋体"/>
          <w:color w:val="auto"/>
          <w:spacing w:val="-20"/>
          <w:position w:val="19"/>
          <w:sz w:val="24"/>
          <w:szCs w:val="24"/>
          <w:highlight w:val="none"/>
        </w:rPr>
        <w:t xml:space="preserve"> </w:t>
      </w:r>
      <w:r>
        <w:rPr>
          <w:rFonts w:hint="eastAsia" w:ascii="宋体" w:hAnsi="宋体" w:eastAsia="宋体" w:cs="宋体"/>
          <w:color w:val="auto"/>
          <w:spacing w:val="-4"/>
          <w:position w:val="19"/>
          <w:sz w:val="24"/>
          <w:szCs w:val="24"/>
          <w:highlight w:val="none"/>
        </w:rPr>
        <w:t>招标人有权接受或拒绝投标人在谈判响应文件中提出的偏离、保留和替代</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方案。招标人不接受投标人在开标后提出的优惠。</w:t>
      </w:r>
    </w:p>
    <w:p>
      <w:pPr>
        <w:spacing w:before="234" w:line="184" w:lineRule="auto"/>
        <w:ind w:firstLine="483"/>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
          <w:sz w:val="24"/>
          <w:szCs w:val="24"/>
          <w:highlight w:val="none"/>
        </w:rPr>
        <w:t>评标中不考虑《合同条件》</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中有关价格调整规定对合同价格的影</w:t>
      </w:r>
    </w:p>
    <w:p>
      <w:pPr>
        <w:keepNext w:val="0"/>
        <w:keepLines w:val="0"/>
        <w:pageBreakBefore w:val="0"/>
        <w:widowControl/>
        <w:kinsoku w:val="0"/>
        <w:wordWrap/>
        <w:overflowPunct/>
        <w:topLinePunct w:val="0"/>
        <w:autoSpaceDE w:val="0"/>
        <w:autoSpaceDN w:val="0"/>
        <w:bidi w:val="0"/>
        <w:adjustRightInd w:val="0"/>
        <w:snapToGrid w:val="0"/>
        <w:spacing w:before="234"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2.5.8.6</w:t>
      </w:r>
      <w:r>
        <w:rPr>
          <w:rFonts w:hint="eastAsia" w:ascii="宋体" w:hAnsi="宋体" w:eastAsia="宋体" w:cs="宋体"/>
          <w:color w:val="auto"/>
          <w:spacing w:val="-1"/>
          <w:sz w:val="24"/>
          <w:szCs w:val="24"/>
          <w:highlight w:val="none"/>
        </w:rPr>
        <w:t xml:space="preserve"> 评委会按照竞争性谈判文件规定的评标标准、方法等，提出评标报告，向 招标人推荐报价最低者为中标候选人，招标人原则上将确定第一中标候选人为中标人，公示一</w:t>
      </w:r>
      <w:r>
        <w:rPr>
          <w:rFonts w:hint="eastAsia" w:ascii="宋体" w:hAnsi="宋体" w:eastAsia="宋体" w:cs="宋体"/>
          <w:color w:val="auto"/>
          <w:spacing w:val="-1"/>
          <w:sz w:val="24"/>
          <w:szCs w:val="24"/>
          <w:highlight w:val="none"/>
          <w:lang w:eastAsia="zh-CN"/>
        </w:rPr>
        <w:t>个工作日</w:t>
      </w:r>
      <w:r>
        <w:rPr>
          <w:rFonts w:hint="eastAsia" w:ascii="宋体" w:hAnsi="宋体" w:eastAsia="宋体" w:cs="宋体"/>
          <w:color w:val="auto"/>
          <w:spacing w:val="-1"/>
          <w:sz w:val="24"/>
          <w:szCs w:val="24"/>
          <w:highlight w:val="none"/>
        </w:rPr>
        <w:t>，如无异议，招标人将向中标人发出中标通知书。</w:t>
      </w:r>
    </w:p>
    <w:p>
      <w:pPr>
        <w:spacing w:before="236" w:line="384" w:lineRule="auto"/>
        <w:ind w:left="2" w:right="12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2.5.8.7</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招标人应当确定排名第一的中标候选人为中标人。排名第一的中标候选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人放弃中标、因不可抗力提出不能履行合同，或者竞争性谈判文件规定应当提交履约</w:t>
      </w:r>
      <w:r>
        <w:rPr>
          <w:rFonts w:hint="eastAsia" w:ascii="宋体" w:hAnsi="宋体" w:eastAsia="宋体" w:cs="宋体"/>
          <w:color w:val="auto"/>
          <w:spacing w:val="-3"/>
          <w:sz w:val="24"/>
          <w:szCs w:val="24"/>
          <w:highlight w:val="none"/>
        </w:rPr>
        <w:t>保证金而在规定的期限内未能提交的，或者招标人有充足理由认为投标人不能履行的，</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招标人可以确定排名第二的中标候选人为中标人。排名第二的中标候选人因前款规定的同样原因不能签订合同的，招标人可以确定排名第三的中标候选人为中标人。</w:t>
      </w:r>
    </w:p>
    <w:p>
      <w:pPr>
        <w:spacing w:before="1" w:line="202" w:lineRule="auto"/>
        <w:ind w:firstLine="47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2.5.8.8</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评标方法</w:t>
      </w:r>
    </w:p>
    <w:p>
      <w:pPr>
        <w:spacing w:before="235" w:line="385" w:lineRule="auto"/>
        <w:ind w:left="1" w:firstLine="4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2.5.8.8.1</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本项目设定投标上限价，投标限价不得高于经批准的招标工程概算投资，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投标上限价由招标人或者招标人委托有资质的中介机构依据有关规定和招标工程的实</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际情况编制，以书面形式报业主审核后，将在投标截止日期</w:t>
      </w:r>
      <w:r>
        <w:rPr>
          <w:rFonts w:hint="eastAsia" w:ascii="宋体" w:hAnsi="宋体" w:eastAsia="宋体" w:cs="宋体"/>
          <w:color w:val="auto"/>
          <w:spacing w:val="-53"/>
          <w:sz w:val="24"/>
          <w:szCs w:val="24"/>
          <w:highlight w:val="none"/>
        </w:rPr>
        <w:t xml:space="preserve"> </w:t>
      </w:r>
      <w:r>
        <w:rPr>
          <w:rFonts w:hint="eastAsia" w:ascii="宋体" w:hAnsi="宋体" w:eastAsia="宋体" w:cs="宋体"/>
          <w:b/>
          <w:bCs/>
          <w:color w:val="auto"/>
          <w:spacing w:val="-2"/>
          <w:sz w:val="24"/>
          <w:szCs w:val="24"/>
          <w:highlight w:val="none"/>
          <w:u w:val="single" w:color="auto"/>
        </w:rPr>
        <w:t>48</w:t>
      </w:r>
      <w:r>
        <w:rPr>
          <w:rFonts w:hint="eastAsia" w:ascii="宋体" w:hAnsi="宋体" w:eastAsia="宋体" w:cs="宋体"/>
          <w:color w:val="auto"/>
          <w:spacing w:val="16"/>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14:textOutline w14:w="4358" w14:cap="flat" w14:cmpd="sng">
            <w14:solidFill>
              <w14:srgbClr w14:val="000000"/>
            </w14:solidFill>
            <w14:prstDash w14:val="solid"/>
            <w14:miter w14:val="0"/>
          </w14:textOutline>
        </w:rPr>
        <w:t>小时</w:t>
      </w:r>
      <w:r>
        <w:rPr>
          <w:rFonts w:hint="eastAsia" w:ascii="宋体" w:hAnsi="宋体" w:eastAsia="宋体" w:cs="宋体"/>
          <w:color w:val="auto"/>
          <w:spacing w:val="-2"/>
          <w:sz w:val="24"/>
          <w:szCs w:val="24"/>
          <w:highlight w:val="none"/>
        </w:rPr>
        <w:t>前公布，并发放给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所有获得竞争性谈判文件的投标人。投标人收到投标限价后，应仔细与投标报价进行核对，投标人若发现投标限价存在明显差异或缺陷的，应当在投标截止日期以前，及</w:t>
      </w:r>
      <w:r>
        <w:rPr>
          <w:rFonts w:hint="eastAsia" w:ascii="宋体" w:hAnsi="宋体" w:eastAsia="宋体" w:cs="宋体"/>
          <w:color w:val="auto"/>
          <w:spacing w:val="-2"/>
          <w:sz w:val="24"/>
          <w:szCs w:val="24"/>
          <w:highlight w:val="none"/>
        </w:rPr>
        <w:t>时以书面形式告知招标人或招标代理人。</w:t>
      </w:r>
    </w:p>
    <w:p>
      <w:pPr>
        <w:spacing w:before="234" w:line="384" w:lineRule="auto"/>
        <w:ind w:left="2" w:right="294" w:firstLine="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2.5.8.8.2</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确定有效投标报价：</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投标人的投标报价不能高于招标人发布的最高投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标限价否则，均按无效报价处理。</w:t>
      </w:r>
    </w:p>
    <w:p>
      <w:pPr>
        <w:spacing w:before="2"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决标、中标通知和签订合同</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2.6.1</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决标</w:t>
      </w:r>
    </w:p>
    <w:p>
      <w:pPr>
        <w:spacing w:before="260" w:line="501" w:lineRule="exact"/>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2.6.1.1</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1"/>
          <w:position w:val="19"/>
          <w:sz w:val="24"/>
          <w:szCs w:val="24"/>
          <w:highlight w:val="none"/>
        </w:rPr>
        <w:t>招标人在按第</w:t>
      </w:r>
      <w:r>
        <w:rPr>
          <w:rFonts w:hint="eastAsia" w:ascii="宋体" w:hAnsi="宋体" w:eastAsia="宋体" w:cs="宋体"/>
          <w:color w:val="auto"/>
          <w:spacing w:val="-47"/>
          <w:position w:val="19"/>
          <w:sz w:val="24"/>
          <w:szCs w:val="24"/>
          <w:highlight w:val="none"/>
        </w:rPr>
        <w:t xml:space="preserve"> </w:t>
      </w:r>
      <w:r>
        <w:rPr>
          <w:rFonts w:hint="eastAsia" w:ascii="宋体" w:hAnsi="宋体" w:eastAsia="宋体" w:cs="宋体"/>
          <w:color w:val="auto"/>
          <w:spacing w:val="-1"/>
          <w:position w:val="19"/>
          <w:sz w:val="24"/>
          <w:szCs w:val="24"/>
          <w:highlight w:val="none"/>
        </w:rPr>
        <w:t>2.5.8</w:t>
      </w:r>
      <w:r>
        <w:rPr>
          <w:rFonts w:hint="eastAsia" w:ascii="宋体" w:hAnsi="宋体" w:eastAsia="宋体" w:cs="宋体"/>
          <w:color w:val="auto"/>
          <w:spacing w:val="-49"/>
          <w:position w:val="19"/>
          <w:sz w:val="24"/>
          <w:szCs w:val="24"/>
          <w:highlight w:val="none"/>
        </w:rPr>
        <w:t xml:space="preserve"> </w:t>
      </w:r>
      <w:r>
        <w:rPr>
          <w:rFonts w:hint="eastAsia" w:ascii="宋体" w:hAnsi="宋体" w:eastAsia="宋体" w:cs="宋体"/>
          <w:color w:val="auto"/>
          <w:spacing w:val="-1"/>
          <w:position w:val="19"/>
          <w:sz w:val="24"/>
          <w:szCs w:val="24"/>
          <w:highlight w:val="none"/>
        </w:rPr>
        <w:t>条规定对各投标人的谈判响应文件进行综合评比后</w:t>
      </w:r>
      <w:r>
        <w:rPr>
          <w:rFonts w:hint="eastAsia" w:ascii="宋体" w:hAnsi="宋体" w:eastAsia="宋体" w:cs="宋体"/>
          <w:color w:val="auto"/>
          <w:spacing w:val="-1"/>
          <w:sz w:val="24"/>
          <w:szCs w:val="24"/>
          <w:highlight w:val="none"/>
        </w:rPr>
        <w:t>将选择具有下列条件的投标人为中标候选人。</w:t>
      </w:r>
    </w:p>
    <w:p>
      <w:pPr>
        <w:spacing w:before="234"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(1)按竞争性谈判文件规定的资格审查合格；</w:t>
      </w:r>
    </w:p>
    <w:p>
      <w:pPr>
        <w:spacing w:before="260"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(2)按竞争性谈判文件规定，谈判响应文件实质上响应了竞争性谈判文件的要求；</w:t>
      </w:r>
    </w:p>
    <w:p>
      <w:pPr>
        <w:spacing w:before="262"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(3)按竞争性谈判文件规定报价的高低确定中标候选人。</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重新招标和招标中止</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2.6.2.1</w:t>
      </w:r>
      <w:r>
        <w:rPr>
          <w:rFonts w:hint="eastAsia" w:ascii="宋体" w:hAnsi="宋体" w:eastAsia="宋体" w:cs="宋体"/>
          <w:color w:val="auto"/>
          <w:spacing w:val="-30"/>
          <w:position w:val="19"/>
          <w:sz w:val="24"/>
          <w:szCs w:val="24"/>
          <w:highlight w:val="none"/>
        </w:rPr>
        <w:t xml:space="preserve"> </w:t>
      </w:r>
      <w:r>
        <w:rPr>
          <w:rFonts w:hint="eastAsia" w:ascii="宋体" w:hAnsi="宋体" w:eastAsia="宋体" w:cs="宋体"/>
          <w:color w:val="auto"/>
          <w:spacing w:val="-1"/>
          <w:position w:val="19"/>
          <w:sz w:val="24"/>
          <w:szCs w:val="24"/>
          <w:highlight w:val="none"/>
        </w:rPr>
        <w:t>经评审认为所有投标人的谈判响应文件存在报价明显不合理或均不满足</w:t>
      </w:r>
    </w:p>
    <w:p>
      <w:pPr>
        <w:keepNext w:val="0"/>
        <w:keepLines w:val="0"/>
        <w:pageBreakBefore w:val="0"/>
        <w:widowControl/>
        <w:kinsoku w:val="0"/>
        <w:wordWrap/>
        <w:overflowPunct/>
        <w:topLinePunct w:val="0"/>
        <w:autoSpaceDE w:val="0"/>
        <w:autoSpaceDN w:val="0"/>
        <w:bidi w:val="0"/>
        <w:adjustRightInd w:val="0"/>
        <w:snapToGrid w:val="0"/>
        <w:spacing w:before="1" w:line="32" w:lineRule="atLeast"/>
        <w:ind w:firstLine="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响应性要求时，招标人可以否决所有投标，重新招标。</w:t>
      </w:r>
    </w:p>
    <w:p>
      <w:pPr>
        <w:keepNext w:val="0"/>
        <w:keepLines w:val="0"/>
        <w:pageBreakBefore w:val="0"/>
        <w:widowControl/>
        <w:kinsoku w:val="0"/>
        <w:wordWrap/>
        <w:overflowPunct/>
        <w:topLinePunct w:val="0"/>
        <w:autoSpaceDE w:val="0"/>
        <w:autoSpaceDN w:val="0"/>
        <w:bidi w:val="0"/>
        <w:adjustRightInd w:val="0"/>
        <w:snapToGrid w:val="0"/>
        <w:spacing w:before="2"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2.6.3</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中标通知</w:t>
      </w:r>
    </w:p>
    <w:p>
      <w:pPr>
        <w:keepNext w:val="0"/>
        <w:keepLines w:val="0"/>
        <w:pageBreakBefore w:val="0"/>
        <w:widowControl/>
        <w:kinsoku w:val="0"/>
        <w:wordWrap/>
        <w:overflowPunct/>
        <w:topLinePunct w:val="0"/>
        <w:autoSpaceDE w:val="0"/>
        <w:autoSpaceDN w:val="0"/>
        <w:bidi w:val="0"/>
        <w:adjustRightInd w:val="0"/>
        <w:snapToGrid w:val="0"/>
        <w:spacing w:before="237"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2.6.3.1</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在第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2.3.3</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条规定的谈判响应文件有效期内或在延长后的谈判响应文件</w:t>
      </w:r>
    </w:p>
    <w:p>
      <w:pPr>
        <w:keepNext w:val="0"/>
        <w:keepLines w:val="0"/>
        <w:pageBreakBefore w:val="0"/>
        <w:widowControl/>
        <w:kinsoku w:val="0"/>
        <w:wordWrap/>
        <w:overflowPunct/>
        <w:topLinePunct w:val="0"/>
        <w:autoSpaceDE w:val="0"/>
        <w:autoSpaceDN w:val="0"/>
        <w:bidi w:val="0"/>
        <w:adjustRightInd w:val="0"/>
        <w:snapToGrid w:val="0"/>
        <w:spacing w:before="259" w:line="32" w:lineRule="atLeast"/>
        <w:ind w:firstLine="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rPr>
        <w:t>有效期内，招标人将以书面形式向中标人发出中标通知，确认接受其投标中标。通知</w:t>
      </w:r>
    </w:p>
    <w:p>
      <w:pPr>
        <w:keepNext w:val="0"/>
        <w:keepLines w:val="0"/>
        <w:pageBreakBefore w:val="0"/>
        <w:widowControl/>
        <w:kinsoku w:val="0"/>
        <w:wordWrap/>
        <w:overflowPunct/>
        <w:topLinePunct w:val="0"/>
        <w:autoSpaceDE w:val="0"/>
        <w:autoSpaceDN w:val="0"/>
        <w:bidi w:val="0"/>
        <w:adjustRightInd w:val="0"/>
        <w:snapToGrid w:val="0"/>
        <w:spacing w:line="32" w:lineRule="atLeast"/>
        <w:ind w:firstLine="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书为合同的组成部分。</w:t>
      </w:r>
    </w:p>
    <w:p>
      <w:pPr>
        <w:keepNext w:val="0"/>
        <w:keepLines w:val="0"/>
        <w:pageBreakBefore w:val="0"/>
        <w:widowControl/>
        <w:kinsoku w:val="0"/>
        <w:wordWrap/>
        <w:overflowPunct/>
        <w:topLinePunct w:val="0"/>
        <w:autoSpaceDE w:val="0"/>
        <w:autoSpaceDN w:val="0"/>
        <w:bidi w:val="0"/>
        <w:adjustRightInd w:val="0"/>
        <w:snapToGrid w:val="0"/>
        <w:spacing w:before="233"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2.6.3.2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招标人向中标人发中标通知时，</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亦将中标结果通知所有未中标的投标人。</w:t>
      </w:r>
    </w:p>
    <w:p>
      <w:pPr>
        <w:keepNext w:val="0"/>
        <w:keepLines w:val="0"/>
        <w:pageBreakBefore w:val="0"/>
        <w:widowControl/>
        <w:kinsoku w:val="0"/>
        <w:wordWrap/>
        <w:overflowPunct/>
        <w:topLinePunct w:val="0"/>
        <w:autoSpaceDE w:val="0"/>
        <w:autoSpaceDN w:val="0"/>
        <w:bidi w:val="0"/>
        <w:adjustRightInd w:val="0"/>
        <w:snapToGrid w:val="0"/>
        <w:spacing w:before="260" w:line="32" w:lineRule="atLeast"/>
        <w:ind w:firstLine="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2.6.3.3</w:t>
      </w:r>
      <w:r>
        <w:rPr>
          <w:rFonts w:hint="eastAsia" w:ascii="宋体" w:hAnsi="宋体" w:eastAsia="宋体" w:cs="宋体"/>
          <w:color w:val="auto"/>
          <w:spacing w:val="32"/>
          <w:position w:val="19"/>
          <w:sz w:val="24"/>
          <w:szCs w:val="24"/>
          <w:highlight w:val="none"/>
        </w:rPr>
        <w:t xml:space="preserve"> </w:t>
      </w:r>
      <w:r>
        <w:rPr>
          <w:rFonts w:hint="eastAsia" w:ascii="宋体" w:hAnsi="宋体" w:eastAsia="宋体" w:cs="宋体"/>
          <w:color w:val="auto"/>
          <w:spacing w:val="-1"/>
          <w:position w:val="19"/>
          <w:sz w:val="24"/>
          <w:szCs w:val="24"/>
          <w:highlight w:val="none"/>
        </w:rPr>
        <w:t>发中标通知书前，招标人可在投标有效期内先发中标意向书，邀请拟予</w:t>
      </w:r>
    </w:p>
    <w:p>
      <w:pPr>
        <w:keepNext w:val="0"/>
        <w:keepLines w:val="0"/>
        <w:pageBreakBefore w:val="0"/>
        <w:widowControl/>
        <w:kinsoku w:val="0"/>
        <w:wordWrap/>
        <w:overflowPunct/>
        <w:topLinePunct w:val="0"/>
        <w:autoSpaceDE w:val="0"/>
        <w:autoSpaceDN w:val="0"/>
        <w:bidi w:val="0"/>
        <w:adjustRightInd w:val="0"/>
        <w:snapToGrid w:val="0"/>
        <w:spacing w:before="1" w:line="32" w:lineRule="atLeast"/>
        <w:ind w:firstLine="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中标的中标候选人前来商谈合同事宜，谈定后再发中标通知书。</w:t>
      </w:r>
    </w:p>
    <w:p>
      <w:pPr>
        <w:spacing w:before="234" w:line="184" w:lineRule="auto"/>
        <w:ind w:firstLine="484"/>
        <w:outlineLvl w:val="0"/>
        <w:rPr>
          <w:rFonts w:hint="eastAsia" w:ascii="宋体" w:hAnsi="宋体" w:eastAsia="宋体" w:cs="宋体"/>
          <w:color w:val="auto"/>
          <w:sz w:val="24"/>
          <w:szCs w:val="24"/>
          <w:highlight w:val="none"/>
        </w:rPr>
      </w:pPr>
      <w:bookmarkStart w:id="44" w:name="_Toc31695"/>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2.6.4</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履约担保</w:t>
      </w:r>
      <w:bookmarkEnd w:id="44"/>
    </w:p>
    <w:p>
      <w:pPr>
        <w:spacing w:before="260" w:line="184" w:lineRule="auto"/>
        <w:ind w:firstLine="5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甲乙双方签订合同时协商约定。</w:t>
      </w:r>
    </w:p>
    <w:p>
      <w:pPr>
        <w:spacing w:before="262"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2.6.5</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签订合同</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2.6.5.1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rPr>
        <w:t>中标人应在收到中标通知书后的</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u w:val="single" w:color="auto"/>
          <w:lang w:val="en-US" w:eastAsia="zh-CN"/>
          <w14:textOutline w14:w="4358" w14:cap="flat" w14:cmpd="sng">
            <w14:solidFill>
              <w14:srgbClr w14:val="000000"/>
            </w14:solidFill>
            <w14:prstDash w14:val="solid"/>
            <w14:miter w14:val="0"/>
          </w14:textOutline>
        </w:rPr>
        <w:t>30</w:t>
      </w:r>
      <w:r>
        <w:rPr>
          <w:rFonts w:hint="eastAsia" w:ascii="宋体" w:hAnsi="宋体" w:eastAsia="宋体" w:cs="宋体"/>
          <w:color w:val="auto"/>
          <w:spacing w:val="-4"/>
          <w:sz w:val="24"/>
          <w:szCs w:val="24"/>
          <w:highlight w:val="none"/>
        </w:rPr>
        <w:t>天内，派代表前来履行签订合同手续</w:t>
      </w:r>
    </w:p>
    <w:p>
      <w:pPr>
        <w:spacing w:before="260" w:line="501" w:lineRule="exact"/>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14:textOutline w14:w="4358" w14:cap="flat" w14:cmpd="sng">
            <w14:solidFill>
              <w14:srgbClr w14:val="000000"/>
            </w14:solidFill>
            <w14:prstDash w14:val="solid"/>
            <w14:miter w14:val="0"/>
          </w14:textOutline>
        </w:rPr>
        <w:t>2.6.5.2</w:t>
      </w:r>
      <w:r>
        <w:rPr>
          <w:rFonts w:hint="eastAsia" w:ascii="宋体" w:hAnsi="宋体" w:eastAsia="宋体" w:cs="宋体"/>
          <w:color w:val="auto"/>
          <w:spacing w:val="51"/>
          <w:position w:val="19"/>
          <w:sz w:val="24"/>
          <w:szCs w:val="24"/>
          <w:highlight w:val="none"/>
        </w:rPr>
        <w:t xml:space="preserve"> </w:t>
      </w:r>
      <w:r>
        <w:rPr>
          <w:rFonts w:hint="eastAsia" w:ascii="宋体" w:hAnsi="宋体" w:eastAsia="宋体" w:cs="宋体"/>
          <w:color w:val="auto"/>
          <w:spacing w:val="-3"/>
          <w:position w:val="19"/>
          <w:sz w:val="24"/>
          <w:szCs w:val="24"/>
          <w:highlight w:val="none"/>
        </w:rPr>
        <w:t>若中标人在收到中标通知书后发生第</w:t>
      </w:r>
      <w:r>
        <w:rPr>
          <w:rFonts w:hint="eastAsia" w:ascii="宋体" w:hAnsi="宋体" w:eastAsia="宋体" w:cs="宋体"/>
          <w:color w:val="auto"/>
          <w:spacing w:val="-48"/>
          <w:position w:val="19"/>
          <w:sz w:val="24"/>
          <w:szCs w:val="24"/>
          <w:highlight w:val="none"/>
        </w:rPr>
        <w:t xml:space="preserve"> </w:t>
      </w:r>
      <w:r>
        <w:rPr>
          <w:rFonts w:hint="eastAsia" w:ascii="宋体" w:hAnsi="宋体" w:eastAsia="宋体" w:cs="宋体"/>
          <w:color w:val="auto"/>
          <w:spacing w:val="-3"/>
          <w:position w:val="19"/>
          <w:sz w:val="24"/>
          <w:szCs w:val="24"/>
          <w:highlight w:val="none"/>
        </w:rPr>
        <w:t>2.3.4.4</w:t>
      </w:r>
      <w:r>
        <w:rPr>
          <w:rFonts w:hint="eastAsia" w:ascii="宋体" w:hAnsi="宋体" w:eastAsia="宋体" w:cs="宋体"/>
          <w:color w:val="auto"/>
          <w:spacing w:val="-50"/>
          <w:position w:val="19"/>
          <w:sz w:val="24"/>
          <w:szCs w:val="24"/>
          <w:highlight w:val="none"/>
        </w:rPr>
        <w:t xml:space="preserve"> </w:t>
      </w:r>
      <w:r>
        <w:rPr>
          <w:rFonts w:hint="eastAsia" w:ascii="宋体" w:hAnsi="宋体" w:eastAsia="宋体" w:cs="宋体"/>
          <w:color w:val="auto"/>
          <w:spacing w:val="-3"/>
          <w:position w:val="19"/>
          <w:sz w:val="24"/>
          <w:szCs w:val="24"/>
          <w:highlight w:val="none"/>
        </w:rPr>
        <w:t>款(2)项所述的情况，则招</w:t>
      </w:r>
    </w:p>
    <w:p>
      <w:pPr>
        <w:spacing w:before="1" w:line="20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标人可以取消其中标资格，并没收其投标保证金。</w:t>
      </w:r>
    </w:p>
    <w:p>
      <w:pPr>
        <w:spacing w:before="233" w:line="384" w:lineRule="auto"/>
        <w:ind w:left="1" w:right="85" w:firstLine="48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2.6.5.3</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7"/>
          <w:sz w:val="24"/>
          <w:szCs w:val="24"/>
          <w:highlight w:val="none"/>
        </w:rPr>
        <w:t>发出中标通知书后，</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若招标人拒签合同，招标人除应向中标人退还投标保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证金外，还应赔偿给中标人相同于投标保证金额度的赔偿金。</w:t>
      </w:r>
    </w:p>
    <w:p>
      <w:pPr>
        <w:spacing w:before="3"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2.7</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承包形式</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2.7.1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本合同永久工程为单价承包，临时工程为总价承包。</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2.7.2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本合同中标后承包人不得将合同内工程项目分包或转包。</w:t>
      </w:r>
    </w:p>
    <w:p>
      <w:pPr>
        <w:spacing w:before="262"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2.8</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各主要建筑材料及设备</w:t>
      </w:r>
    </w:p>
    <w:p>
      <w:pPr>
        <w:spacing w:before="260" w:line="384" w:lineRule="auto"/>
        <w:ind w:left="1" w:right="157" w:firstLine="48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flat" w14:cmpd="sng">
            <w14:solidFill>
              <w14:srgbClr w14:val="000000"/>
            </w14:solidFill>
            <w14:prstDash w14:val="solid"/>
            <w14:miter w14:val="0"/>
          </w14:textOutline>
        </w:rPr>
        <w:t>2.8.1</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6"/>
          <w:sz w:val="24"/>
          <w:szCs w:val="24"/>
          <w:highlight w:val="none"/>
        </w:rPr>
        <w:t>工程所用砼骨料和块石料场的路距由投标人自行度量；</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6"/>
          <w:sz w:val="24"/>
          <w:szCs w:val="24"/>
          <w:highlight w:val="none"/>
        </w:rPr>
        <w:t>填筑所采用的砂砾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料就近取料。</w:t>
      </w:r>
    </w:p>
    <w:p>
      <w:pPr>
        <w:spacing w:before="2" w:line="202"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2.9</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施工临时设施</w:t>
      </w:r>
    </w:p>
    <w:p>
      <w:pPr>
        <w:spacing w:before="237"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2.9.1</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14:textOutline w14:w="4358" w14:cap="flat" w14:cmpd="sng">
            <w14:solidFill>
              <w14:srgbClr w14:val="000000"/>
            </w14:solidFill>
            <w14:prstDash w14:val="solid"/>
            <w14:miter w14:val="0"/>
          </w14:textOutline>
        </w:rPr>
        <w:t>施工场外交通</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5"/>
          <w:sz w:val="24"/>
          <w:szCs w:val="24"/>
          <w:highlight w:val="none"/>
        </w:rPr>
        <w:t>良好</w:t>
      </w:r>
    </w:p>
    <w:p>
      <w:pPr>
        <w:spacing w:before="260"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2.9.2</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生产生活用房承包人自行解决，报价时应计入。</w:t>
      </w:r>
    </w:p>
    <w:p>
      <w:pPr>
        <w:spacing w:before="263"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2.10</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工程量清单</w:t>
      </w:r>
    </w:p>
    <w:p>
      <w:pPr>
        <w:keepNext w:val="0"/>
        <w:keepLines w:val="0"/>
        <w:pageBreakBefore w:val="0"/>
        <w:widowControl/>
        <w:kinsoku w:val="0"/>
        <w:wordWrap/>
        <w:overflowPunct/>
        <w:topLinePunct w:val="0"/>
        <w:autoSpaceDE w:val="0"/>
        <w:autoSpaceDN w:val="0"/>
        <w:bidi w:val="0"/>
        <w:adjustRightInd w:val="0"/>
        <w:snapToGrid w:val="0"/>
        <w:spacing w:before="260" w:line="384"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2.10.1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工程量清单由招标人提供，投标人在投标报价时，不得对竞争性谈判文件</w:t>
      </w:r>
      <w:r>
        <w:rPr>
          <w:rFonts w:hint="eastAsia" w:ascii="宋体" w:hAnsi="宋体" w:eastAsia="宋体" w:cs="宋体"/>
          <w:color w:val="auto"/>
          <w:spacing w:val="-3"/>
          <w:sz w:val="24"/>
          <w:szCs w:val="24"/>
          <w:highlight w:val="none"/>
        </w:rPr>
        <w:t>中的工程量清单项目进行删减。</w:t>
      </w:r>
    </w:p>
    <w:p>
      <w:pPr>
        <w:spacing w:before="259" w:line="502" w:lineRule="exact"/>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14:textOutline w14:w="4358" w14:cap="flat" w14:cmpd="sng">
            <w14:solidFill>
              <w14:srgbClr w14:val="000000"/>
            </w14:solidFill>
            <w14:prstDash w14:val="solid"/>
            <w14:miter w14:val="0"/>
          </w14:textOutline>
        </w:rPr>
        <w:t>2.10.2</w:t>
      </w:r>
      <w:r>
        <w:rPr>
          <w:rFonts w:hint="eastAsia" w:ascii="宋体" w:hAnsi="宋体" w:eastAsia="宋体" w:cs="宋体"/>
          <w:color w:val="auto"/>
          <w:spacing w:val="-30"/>
          <w:position w:val="19"/>
          <w:sz w:val="24"/>
          <w:szCs w:val="24"/>
          <w:highlight w:val="none"/>
        </w:rPr>
        <w:t xml:space="preserve"> </w:t>
      </w:r>
      <w:r>
        <w:rPr>
          <w:rFonts w:hint="eastAsia" w:ascii="宋体" w:hAnsi="宋体" w:eastAsia="宋体" w:cs="宋体"/>
          <w:color w:val="auto"/>
          <w:spacing w:val="-1"/>
          <w:position w:val="19"/>
          <w:sz w:val="24"/>
          <w:szCs w:val="24"/>
          <w:highlight w:val="none"/>
        </w:rPr>
        <w:t>工程量清单中所列工程量，仅作为招标工程量。结算以最终实施完成量及</w:t>
      </w:r>
    </w:p>
    <w:p>
      <w:pPr>
        <w:spacing w:line="20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合理的业主认可的监理工程师签证为准。</w:t>
      </w:r>
    </w:p>
    <w:p>
      <w:pPr>
        <w:spacing w:before="233" w:line="184"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2.10.3</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工程量清单中的单价与合价，由投标单位填写。</w:t>
      </w:r>
    </w:p>
    <w:p>
      <w:pPr>
        <w:pStyle w:val="2"/>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pPr>
      <w:bookmarkStart w:id="45" w:name="_bookmark5"/>
      <w:bookmarkEnd w:id="45"/>
      <w:bookmarkStart w:id="46" w:name="_bookmark6"/>
      <w:bookmarkEnd w:id="46"/>
    </w:p>
    <w:p>
      <w:pPr>
        <w:pStyle w:val="2"/>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pPr>
    </w:p>
    <w:p>
      <w:pPr>
        <w:spacing w:before="302" w:line="184" w:lineRule="auto"/>
        <w:ind w:firstLine="2735"/>
        <w:outlineLvl w:val="0"/>
        <w:rPr>
          <w:rFonts w:hint="eastAsia" w:ascii="宋体" w:hAnsi="宋体" w:eastAsia="宋体" w:cs="宋体"/>
          <w:color w:val="auto"/>
          <w:sz w:val="36"/>
          <w:szCs w:val="36"/>
          <w:highlight w:val="none"/>
        </w:rPr>
      </w:pPr>
      <w:bookmarkStart w:id="47" w:name="_Toc10939"/>
      <w:r>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t>第三章：</w:t>
      </w:r>
      <w:r>
        <w:rPr>
          <w:rFonts w:hint="eastAsia" w:ascii="宋体" w:hAnsi="宋体" w:eastAsia="宋体" w:cs="宋体"/>
          <w:color w:val="auto"/>
          <w:spacing w:val="85"/>
          <w:sz w:val="36"/>
          <w:szCs w:val="36"/>
          <w:highlight w:val="none"/>
        </w:rPr>
        <w:t xml:space="preserve"> </w:t>
      </w:r>
      <w:r>
        <w:rPr>
          <w:rFonts w:hint="eastAsia" w:ascii="宋体" w:hAnsi="宋体" w:eastAsia="宋体" w:cs="宋体"/>
          <w:color w:val="auto"/>
          <w:spacing w:val="-34"/>
          <w:sz w:val="36"/>
          <w:szCs w:val="36"/>
          <w:highlight w:val="none"/>
          <w14:textOutline w14:w="6537" w14:cap="flat" w14:cmpd="sng">
            <w14:solidFill>
              <w14:srgbClr w14:val="000000"/>
            </w14:solidFill>
            <w14:prstDash w14:val="solid"/>
            <w14:miter w14:val="0"/>
          </w14:textOutline>
        </w:rPr>
        <w:t>合同条款</w:t>
      </w:r>
      <w:bookmarkEnd w:id="47"/>
    </w:p>
    <w:p>
      <w:pPr>
        <w:spacing w:line="278" w:lineRule="auto"/>
        <w:rPr>
          <w:rFonts w:hint="eastAsia" w:ascii="宋体" w:hAnsi="宋体" w:eastAsia="宋体" w:cs="宋体"/>
          <w:color w:val="auto"/>
          <w:sz w:val="21"/>
          <w:highlight w:val="none"/>
        </w:rPr>
      </w:pPr>
    </w:p>
    <w:p>
      <w:pPr>
        <w:spacing w:line="278" w:lineRule="auto"/>
        <w:rPr>
          <w:rFonts w:hint="eastAsia" w:ascii="宋体" w:hAnsi="宋体" w:eastAsia="宋体" w:cs="宋体"/>
          <w:color w:val="auto"/>
          <w:sz w:val="21"/>
          <w:highlight w:val="none"/>
        </w:rPr>
      </w:pPr>
    </w:p>
    <w:p>
      <w:pPr>
        <w:spacing w:line="278" w:lineRule="auto"/>
        <w:rPr>
          <w:rFonts w:hint="eastAsia" w:ascii="宋体" w:hAnsi="宋体" w:eastAsia="宋体" w:cs="宋体"/>
          <w:color w:val="auto"/>
          <w:sz w:val="21"/>
          <w:highlight w:val="none"/>
        </w:rPr>
      </w:pPr>
    </w:p>
    <w:p>
      <w:pPr>
        <w:pStyle w:val="3"/>
        <w:spacing w:before="120" w:after="120" w:line="360" w:lineRule="auto"/>
        <w:jc w:val="center"/>
        <w:rPr>
          <w:rFonts w:hint="eastAsia" w:ascii="宋体" w:hAnsi="宋体" w:eastAsia="宋体" w:cs="宋体"/>
          <w:color w:val="auto"/>
          <w:sz w:val="24"/>
          <w:szCs w:val="24"/>
          <w:highlight w:val="none"/>
        </w:rPr>
      </w:pPr>
      <w:bookmarkStart w:id="48" w:name="_bookmark8"/>
      <w:bookmarkEnd w:id="48"/>
      <w:bookmarkStart w:id="49" w:name="_Toc3548"/>
      <w:r>
        <w:rPr>
          <w:rFonts w:hint="eastAsia" w:ascii="宋体" w:hAnsi="宋体" w:eastAsia="宋体" w:cs="宋体"/>
          <w:color w:val="auto"/>
          <w:sz w:val="24"/>
          <w:szCs w:val="24"/>
          <w:highlight w:val="none"/>
        </w:rPr>
        <w:t>合同条款及格式</w:t>
      </w:r>
      <w:bookmarkEnd w:id="49"/>
    </w:p>
    <w:p>
      <w:pPr>
        <w:keepNext/>
        <w:keepLines/>
        <w:snapToGrid w:val="0"/>
        <w:spacing w:before="240" w:after="120" w:line="360" w:lineRule="auto"/>
        <w:jc w:val="center"/>
        <w:outlineLvl w:val="1"/>
        <w:rPr>
          <w:rFonts w:hint="eastAsia" w:ascii="宋体" w:hAnsi="宋体" w:eastAsia="宋体" w:cs="宋体"/>
          <w:color w:val="auto"/>
          <w:sz w:val="24"/>
          <w:szCs w:val="24"/>
          <w:highlight w:val="none"/>
        </w:rPr>
      </w:pPr>
      <w:bookmarkStart w:id="50" w:name="_Toc472281433"/>
      <w:bookmarkStart w:id="51" w:name="_Toc517137839"/>
      <w:r>
        <w:rPr>
          <w:rFonts w:hint="eastAsia" w:ascii="宋体" w:hAnsi="宋体" w:eastAsia="宋体" w:cs="宋体"/>
          <w:color w:val="auto"/>
          <w:sz w:val="24"/>
          <w:szCs w:val="24"/>
          <w:highlight w:val="none"/>
        </w:rPr>
        <w:t>第1节  通用合同条款</w:t>
      </w:r>
      <w:bookmarkEnd w:id="50"/>
      <w:bookmarkEnd w:id="51"/>
    </w:p>
    <w:p>
      <w:pPr>
        <w:snapToGrid w:val="0"/>
        <w:spacing w:line="360" w:lineRule="auto"/>
        <w:outlineLvl w:val="2"/>
        <w:rPr>
          <w:rFonts w:hint="eastAsia" w:ascii="宋体" w:hAnsi="宋体" w:eastAsia="宋体" w:cs="宋体"/>
          <w:bCs/>
          <w:color w:val="auto"/>
          <w:sz w:val="24"/>
          <w:szCs w:val="24"/>
          <w:highlight w:val="none"/>
        </w:rPr>
      </w:pPr>
      <w:bookmarkStart w:id="52" w:name="_Toc261017658"/>
      <w:r>
        <w:rPr>
          <w:rFonts w:hint="eastAsia" w:ascii="宋体" w:hAnsi="宋体" w:eastAsia="宋体" w:cs="宋体"/>
          <w:bCs/>
          <w:color w:val="auto"/>
          <w:sz w:val="24"/>
          <w:szCs w:val="24"/>
          <w:highlight w:val="none"/>
        </w:rPr>
        <w:t>1  一般约定</w:t>
      </w:r>
      <w:bookmarkEnd w:id="5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通用合同条款、专用合同条款中的下列词语应具有本款所赋予的含义。</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合同文件（或称合同）：指合同协议书、中标通知书、投标函及投标函附录、专用合同条款、通用合同条款、技术标准和要求、图纸、已标价工程量清单，以及其他合同文件。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合同协议书：指第1.5款所指的合同协议书。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中标通知书：指发包人通知承包人中标的函件。</w:t>
      </w:r>
    </w:p>
    <w:p>
      <w:pPr>
        <w:snapToGrid w:val="0"/>
        <w:spacing w:line="360" w:lineRule="auto"/>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1.1.1.4  投标函：指构成合同文件组成部分的由承包人填写并签署的投标函。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投标函附录：指附在投标函后构成合同文件的投标函附录。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技术标准和要求：指构成合同文件组成部分的名为技术标准和要求（合同技术条款）的文件，包括合同双方当事人约定对其所作的修改或补充。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已标价工程量清单：指构成合同文件组成部分的由承包人按照规定的格式和要求填写并标明价格的工程量清单。</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1.1.1.9  其他合同文件：指经合同双方当事人确认构成合同文件的其他文件。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合同当事人和人员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合同当事人：指发包人和(或)承包人。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发包人：指专用合同条款中指明并与承包人在合同协议书中签字的当事人。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承包人：指专用合同条款中指明并与发包人在合同协议书中签字的当事人。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承包人项目经理：指承包人派驻施工场地的全权负责人。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分包人：指专用合同条款中指明的，从承包人处分包合同中某一部分工程，并与其签订分包合同的分包人。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监理人：指在专用合同条款中指明的，受发包人委托对合同履行实施管理的法人或其他组织。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总监理工程师（总监）：指由监理人委派常驻施工场地对合同履行实施管理的全权负责人。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工程：指永久工程和（或）临时工程。</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1.1.3.2  永久工程：指按合同约定建造并移交给发包人的工程，包括工程设备。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临时工程：指为完成合同约定的永久工程所修建的各类临时性工程，不包括施工设备。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1.1.3.4  单位工程：指专用合同条款中指明特定范围的永久工程。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1.1.3.5  工程设备：指构成或计划构成永久工程一部分的机电设备、金属结构设备、仪器装置及其他类似的设备和装置。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1.1.3.6  施工设备：指为完成合同约定的各项工作所需的设备、器具和其他物品，不包括临时工程和材料。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1.1.3.7  临时设施：指为完成合同约定的各项工作所服务的临时性生产和生活设施。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1.1.3.8  承包人设备：指承包人自带的施工设备。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施工场地（或称工地、现场）：指用于合同工程施工的场所，以及在合同中指定作为施工场地组成部分的其他场所，包括永久占地和临时占地。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1.1.3.10  永久占地：指发包人为建设本合同工程永久征用的场地。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1.1.3.11  临时占地：指发包人为建设本合同工程临时征用，承包人在完工后须按合同要求退还的场地。</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开工通知：指监理人按第11.1款通知承包人开工的函件。</w:t>
      </w:r>
    </w:p>
    <w:p>
      <w:pPr>
        <w:snapToGrid w:val="0"/>
        <w:spacing w:line="360" w:lineRule="auto"/>
        <w:ind w:firstLine="480"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 xml:space="preserve">1.1.4.2  </w:t>
      </w:r>
      <w:r>
        <w:rPr>
          <w:rFonts w:hint="eastAsia" w:ascii="宋体" w:hAnsi="宋体" w:eastAsia="宋体" w:cs="宋体"/>
          <w:color w:val="auto"/>
          <w:spacing w:val="-4"/>
          <w:kern w:val="0"/>
          <w:sz w:val="24"/>
          <w:szCs w:val="24"/>
          <w:highlight w:val="none"/>
        </w:rPr>
        <w:t>开工日期：指监理人按第11.1款发出的开工通知中写明的开工日期。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1.1.4.3  工期：指承包人在投标函中承诺的完成合同工程所需的期限，包括按第11.3款、第11.4款和第11.6款约定所作的变更。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竣工日期：即合同工程完工日期，指第 1.1.4.3 目约定工期届满时的日期。实际完工日期以合同工程完工证书中写明的日期为准。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缺陷责任期：即工程质量保修期，指履行第19.2款约定的缺陷责任的期限，具体期限由专用合同条款约定，包括根据第19.3款约定所作的延长，具体期限由专用合同条款约定。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1.1.4.6  基准日期：指投标截止时间前28天的日期。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1.1.4.7  天：除特别指明外，指日历天。合同中按天计算时间的，开始当天不计入，从次日开始计算。期限最后一天的截止时间为当天24：00。</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合同价格和费用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1.1.5.1  签约合同价：指签定合同时合同协议书中写明的，包括了暂列金额、暂估价的合同总金额。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合同价格：指承包人按合同约定完成了包括缺陷责任期内的全部承包工作后，发包人应付给承包人的金额，包括在履行合同过程中按合同约定进行的变更和调整。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1.1.5.3  费用：指为履行合同所发生的或将要发生的所有合理开支，包括管理费和应分摊的其他费用，但不包括利润。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1.1.5.5  暂估价：指发包人在工程量清单中给定的用于支付必然发生但暂时不能确定价格的材料、设备以及专业工程的金额。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1.1.5.6  计日工：指对零星工作采取的一种计价方式，按合同中的计日工子目及其单价计价付款。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1.1.5.7  质量保证金（或称保留金）：指按第17.4.1项约定用于保证在缺陷责任期内履行缺陷修复义务的金额。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1.1.6.1  书面形式：指合同文件、信函、电报、传真等可以有形地表现所载内容的形式。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语言文字</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除专用术语外，合同使用的语言文字为中文。必要时专用术语应附有中文注释。</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适用于合同的法律包括中华人民共和国法律、行政法规、部门规章，以及工程所在地的地方法规、自治条例、单行条例和地方政府规章。</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合同文件的优先顺序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（3）投标函及投标函附录；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（5）通用合同条款；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（8）已标价工程量清单；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（9）其他合同文件。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合同协议书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承包人提供的文件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承包人提供的文件应按技术标准和要求（合同技术条款）约定的期限和数量提供给监理人。监理人应按技术标准和要求（合同技术条款）约定的期限批复承包人。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图纸的修改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图纸的错误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承包人发现发包人提供的图纸存在明显错误或疏忽，应及时通知监理人。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图纸和承包人文件的保管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监理人和承包人均应在施工场地各保存一套完整的包含第1.6.1项、第1.6.2项、第1.6.3项约定内容的图纸和承包人文件。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与合同有关的通知、批准、证明、证书、指示、要求、请求、同意、意见、确定和决定等，均应采用书面形式。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来往函件均应按合同约定的期限及时发出和答复，不得无故扣压和拖延，亦不得无故拒收。否则，由此造成的后果由责任方负责。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转让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除合同另有约定外，未经对方当事人同意，一方当事人不得将合同权利全部或部分转让给第三人，也不得全部或部分转移合同义务。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严禁贿赂</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合同双方当事人不得以贿赂或变相贿赂的方式，谋取不当利益或损害对方权益。因贿赂造成对方损失的，行为人应赔偿损失，并承担相应的法律责任。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化石、文物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1.10.2  承包人发现文物后不及时报告或隐瞒不报，致使文物丢失或损坏的，应赔偿损失，并承担相应的法律责任。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专利技术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承包人在投标文件中采用专利技术的，专利技术的使用费包含在投标报价内。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承包人的技术秘密和声明需要保密的资料和信息，发包人和监理人不得为合同以外的目的泄露给他人。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合同实施过程中，发包人要求承包人采用专利技术的，发包人应办理相应的使用手续，承包人应按发包人约定的条件使用，并承担使用专利技术的相关试验工作，所需费用由发包人承担。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图纸和文件的保密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发包人提供的图纸和文件，未经发包人同意，承包人不得为合同以外的目的泄露给他人或公开发表与引用。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承包人提供的文件，未经承包人同意，发包人和监理人不得为合同以外的目的泄露给他人或公开发表与引用。</w:t>
      </w:r>
    </w:p>
    <w:p>
      <w:pPr>
        <w:snapToGrid w:val="0"/>
        <w:spacing w:line="360" w:lineRule="auto"/>
        <w:outlineLvl w:val="2"/>
        <w:rPr>
          <w:rFonts w:hint="eastAsia" w:ascii="宋体" w:hAnsi="宋体" w:eastAsia="宋体" w:cs="宋体"/>
          <w:bCs/>
          <w:color w:val="auto"/>
          <w:sz w:val="24"/>
          <w:szCs w:val="24"/>
          <w:highlight w:val="none"/>
        </w:rPr>
      </w:pPr>
      <w:bookmarkStart w:id="53" w:name="_Toc261017659"/>
      <w:r>
        <w:rPr>
          <w:rFonts w:hint="eastAsia" w:ascii="宋体" w:hAnsi="宋体" w:eastAsia="宋体" w:cs="宋体"/>
          <w:bCs/>
          <w:color w:val="auto"/>
          <w:sz w:val="24"/>
          <w:szCs w:val="24"/>
          <w:highlight w:val="none"/>
        </w:rPr>
        <w:t>2  发包人义务</w:t>
      </w:r>
      <w:bookmarkEnd w:id="5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遵守法律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发包人在履行合同过程中应遵守法律，并保证承包人免于承担因发包人违反法律而引起的任何责任。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发出开工通知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发包人应委托监理人按第11.1款的约定向承包人发出开工通知。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提供施工场地</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发包人提供的施工用地范围在专用合同条款中约定。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协助承包人办理证件和批件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发包人应协助承包人办理法律规定的有关施工证件和批件。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组织设计交底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发包人应根据合同进度计划，组织设计单位向承包人进行设计交底。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支付合同价款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发包人应按合同约定向承包人及时支付合同价款。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组织竣工验收（组织法人验收）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发包人应按合同约定及时组织法人验收。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其它义务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其它义务在专用合同条款中补充约定。</w:t>
      </w:r>
    </w:p>
    <w:p>
      <w:pPr>
        <w:keepNext/>
        <w:keepLines/>
        <w:snapToGrid w:val="0"/>
        <w:spacing w:line="360" w:lineRule="auto"/>
        <w:outlineLvl w:val="3"/>
        <w:rPr>
          <w:rFonts w:hint="eastAsia" w:ascii="宋体" w:hAnsi="宋体" w:eastAsia="宋体" w:cs="宋体"/>
          <w:color w:val="auto"/>
          <w:sz w:val="24"/>
          <w:szCs w:val="24"/>
          <w:highlight w:val="none"/>
        </w:rPr>
      </w:pPr>
      <w:bookmarkStart w:id="54" w:name="_Toc261017660"/>
      <w:r>
        <w:rPr>
          <w:rFonts w:hint="eastAsia" w:ascii="宋体" w:hAnsi="宋体" w:eastAsia="宋体" w:cs="宋体"/>
          <w:color w:val="auto"/>
          <w:sz w:val="24"/>
          <w:szCs w:val="24"/>
          <w:highlight w:val="none"/>
        </w:rPr>
        <w:t>3  监理人</w:t>
      </w:r>
      <w:bookmarkEnd w:id="5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监理人的职责和权力</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监理人发出的任何指示应视为已得到发包人的批准，但监理人无权免除或变更合同约定的发包人和承包人的权利、义务和责任。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总监理工程师</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监理人员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承包人对总监理工程师授权的监理人员发出的指示有疑问的，可向总监理工程师提出书面异议，总监理工程师应在48小时内对该指示予以确认、更改或撤销。</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除专用合同条款另有约定外，总监理工程师不应将第3.5款约定应由总监理工程师作出确定的权力授权或委托给其他监理人员。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监理人的指示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承包人收到监理人按第3.4.1项作出的指示后应遵照执行。指示构成变更的，应按第15条处理。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除合同另有约定外，承包人只从总监理工程师或按第3.3.1项被授权的监理人员处取得指示。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由于监理人未能按合同约定发出指示、指示延误或指示错误而导致承包人费用增加和（或）工期延误的，由发包人承担赔偿责任。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商定或确定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合同约定总监理工程师应按照本款对任何事项进行商定或确定时，总监理工程师应与合同当事人协商，尽量达成一致。不能达成一致的，总监理工程师应认真研究后审慎确定。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napToGrid w:val="0"/>
        <w:spacing w:line="360" w:lineRule="auto"/>
        <w:outlineLvl w:val="2"/>
        <w:rPr>
          <w:rFonts w:hint="eastAsia" w:ascii="宋体" w:hAnsi="宋体" w:eastAsia="宋体" w:cs="宋体"/>
          <w:bCs/>
          <w:color w:val="auto"/>
          <w:sz w:val="24"/>
          <w:szCs w:val="24"/>
          <w:highlight w:val="none"/>
        </w:rPr>
      </w:pPr>
      <w:bookmarkStart w:id="55" w:name="_Toc261017661"/>
      <w:r>
        <w:rPr>
          <w:rFonts w:hint="eastAsia" w:ascii="宋体" w:hAnsi="宋体" w:eastAsia="宋体" w:cs="宋体"/>
          <w:bCs/>
          <w:color w:val="auto"/>
          <w:sz w:val="24"/>
          <w:szCs w:val="24"/>
          <w:highlight w:val="none"/>
        </w:rPr>
        <w:t>4  承包人</w:t>
      </w:r>
      <w:bookmarkEnd w:id="5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承包人的一般义务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遵守法律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承包人在履行合同过程中应遵守法律，并保证发包人免于承担因承包人违反法律而引起的任何责任。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依法纳税</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承包人应按有关法律规定纳税，应缴纳的税金包括在合同价格内。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完成各项承包工作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对施工作业和施工方法的完备性负责</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承包人应按合同约定的工作内容和施工进度要求，编制施工组织设计和施工措施计划，并对所有施工作业和施工方法的完备性和安全可靠性负责。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  保证工程施工和人员的安全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承包人应按第9.2款约定采取施工安全措施，确保工程及其人员、材料、设备和设施的安全，防止因工程施工造成的人身伤害和财产损失。</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  负责施工场地及其周边环境与生态的保护工作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承包人应按照第9.4款约定负责施工场地及其周边环境与生态的保护工作。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4.1.7  避免施工对公众与他人的利益造成损害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  为他人提供方便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4.1.9  工程的维护和照管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4.1.10  其它义务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其它义务在专用合同条款中补充约定。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履约担保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承包人应保证其履约担保在发包人颁发合同工程完工证书前一直有效。发包人应在合同工程完工证书颁发后28天内将履约担保退还给承包人。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分包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承包人不得将其承包的全部工程转包给第三人，或将其承包的全部工程肢解后以分包的名义转包给第三人。</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4.3.2  承包人不得将工程主体、关键性工作分包给第三人。除专用合同条款另有约定外，未经发包人同意，承包人不得将工程的其他部分或工作分包给第三人。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  分包人的资格能力应与其分包工程的标准和规模相适应。</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4.3.4  按投标函附录约定分包工程的，承包人应向发包人和监理人提交分包合同副本。</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4.3.5  承包人应与分包人就分包工程向发包人承担连带责任。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4.3.6  分包分为工程分包和劳务作业分包。工程分包应遵循合同约定或者经发包人书面认可。禁止承包人将本合同工程进行违法分包。工程分包人应具备与分包工程规模和标准相适应的资质和业绩，在人力、设备、资金等方面具有承担分包工程施工的能力。分包人必须自行完成所承包的任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由指定分包人造成的与其分包工作有关的一切索赔、诉讼和损失赔偿由指定分包人直接对发包人负责，承包人不对此承担责任。</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4.3.9  除4.3.7项规定的指定分包外，承包人对其分包项目的实施以及分包人的行为向发包人负全部责任。承包人应对分包项目的工程进度、质量、安全、计量和验收等实施监督和管理。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4.3.10  分包人应按专用合同条款的约定设立项目管理机构组织管理分包工程的施工活动。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联合体</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  联合体各方应共同与发包人签订合同协议书。联合体各方应为履行合同承担连带责任。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  联合体协议经发包人确认后作为合同附件。在履行合同过程中，未经发包人同意，不得修改联合体协议。</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4.4.3  联合体牵头人负责与发包人和监理人联系，并接受指示，负责组织联合体各成员全面履行合同。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承包人项目经理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4.5.3  承包人为履行合同发出的一切函件均应盖有承包人授权的施工场地管理机构章，并由承包人项目经理或其授权代表签字。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4.5.4  承包人项目经理可以授权其下属人员履行其某项职责，但事先应将这些人员的姓名和授权范围通知监理人。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承包人人员的管理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4.6.2  为完成合同约定的各项工作，承包人应向施工场地派遣或雇佣足够数量的下列人员：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（1）具有相应资格的专业技工和合格的普工；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（2）具有相应施工经验的技术人员；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（3）具有相应岗位资格的各级管理人员。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4.6.3  承包人安排在施工场地的主要管理人员和技术骨干应相对稳定。承包人更换主要管理人员和技术骨干时，应取得监理人的同意。</w:t>
      </w:r>
    </w:p>
    <w:p>
      <w:pPr>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4.6.4  特殊岗位的工作人员均应持有相应的资格证明，监理人有权随时检查。监理人认为有必要时，可进行现场考核。</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  撤换承包人项目经理和其他人员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承包人应对其项目经理和其他人员进行有效管理。监理人要求撤换不能胜任本职工作、行为不端或玩忽职守的承包人项目经理和其他人员的，承包人应予以撤换。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  保障承包人人员的合法权益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4.8.1  承包人应与其雇佣的人员签订劳动合同，并按时发放工资。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4.8.5  承包人应按有关法律规定和合同约定，为其雇佣人员办理保险。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4.8.6  承包人应负责处理其雇佣人员因工伤亡事故的善后事宜。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  工程价款应专款专用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发包人按合同约定支付给承包人的各项价款应专用于合同工程。</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  承包人现场查勘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4.10.1  发包人应将其持有的现场地质勘探资料、水文气象资料提供给承包人，并对其准确性负责。但承包人应对其阅读上述有关资料后所作出的解释和推断负责。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不利物质条件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  除专用合同条款另有约定外，不利物质条件是指在施工中遭遇不可预见的外界障碍或自然条件造成施工受阻。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snapToGrid w:val="0"/>
        <w:spacing w:line="360" w:lineRule="auto"/>
        <w:outlineLvl w:val="2"/>
        <w:rPr>
          <w:rFonts w:hint="eastAsia" w:ascii="宋体" w:hAnsi="宋体" w:eastAsia="宋体" w:cs="宋体"/>
          <w:bCs/>
          <w:color w:val="auto"/>
          <w:sz w:val="24"/>
          <w:szCs w:val="24"/>
          <w:highlight w:val="none"/>
        </w:rPr>
      </w:pPr>
      <w:bookmarkStart w:id="56" w:name="_Toc261017662"/>
      <w:r>
        <w:rPr>
          <w:rFonts w:hint="eastAsia" w:ascii="宋体" w:hAnsi="宋体" w:eastAsia="宋体" w:cs="宋体"/>
          <w:bCs/>
          <w:color w:val="auto"/>
          <w:sz w:val="24"/>
          <w:szCs w:val="24"/>
          <w:highlight w:val="none"/>
        </w:rPr>
        <w:t>5  材料和工程设备</w:t>
      </w:r>
      <w:bookmarkEnd w:id="5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承包人提供的材料和工程设备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除第5.2款约定由发包人提供的材料和工程设备外，承包人负责采购、运输和保管完成本合同工作所需的材料和工程设备。承包人应对其采购的材料和工程设备负责。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发包人提供的材料和工程设备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发包人提供的材料和工程设备，应在专用合同条款中写明材料和工程设备的名称、规格、数量、价格、交货方式、交货地点和计划交货日期等。</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承包人应根据合同进度计划的安排，向监理人报送要求发包人交货的日期计划。发包人应按照监理人与合同双方当事人商定的交货日期，向承包人提交材料和工程设备。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发包人要求向承包人提前交货的，承包人不得拒绝，但发包人应承担承包人由此增加的费用。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承包人要求更改交货日期或地点的，应事先报请监理人批准。由于承包人要求更改交货时间或地点所增加的费用和(或)工期延误由承包人承担。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材料和工程设备专用于合同工程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  运入施工场地的材料、工程设备，包括备品备件、安装专用工器具与随机资料，必须专用于合同工程，未经监理人同意，承包人不得运出施工场地或挪作他用。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禁止使用不合格的材料和工程设备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监理人发现承包人使用了不合格的材料和工程设备，应即时发出指示要求承包人立即改正，并禁止在工程中继续使用不合格的材料和工程设备。</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5.4.3  发包人提供的材料或工程设备不符合合同要求的，承包人有权拒绝，并可要求发包人更换，由此增加的费用和（或）工期延误由发包人承担。</w:t>
      </w:r>
    </w:p>
    <w:p>
      <w:pPr>
        <w:keepNext/>
        <w:keepLines/>
        <w:snapToGrid w:val="0"/>
        <w:spacing w:line="360" w:lineRule="auto"/>
        <w:outlineLvl w:val="3"/>
        <w:rPr>
          <w:rFonts w:hint="eastAsia" w:ascii="宋体" w:hAnsi="宋体" w:eastAsia="宋体" w:cs="宋体"/>
          <w:color w:val="auto"/>
          <w:sz w:val="24"/>
          <w:szCs w:val="24"/>
          <w:highlight w:val="none"/>
        </w:rPr>
      </w:pPr>
      <w:bookmarkStart w:id="57" w:name="_Toc261017663"/>
      <w:r>
        <w:rPr>
          <w:rFonts w:hint="eastAsia" w:ascii="宋体" w:hAnsi="宋体" w:eastAsia="宋体" w:cs="宋体"/>
          <w:color w:val="auto"/>
          <w:sz w:val="24"/>
          <w:szCs w:val="24"/>
          <w:highlight w:val="none"/>
        </w:rPr>
        <w:t>6  施工设备和临时设施</w:t>
      </w:r>
      <w:bookmarkEnd w:id="57"/>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承包人提供的施工设备和临时设施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6.1.2  除专用合同条款另有约定外，承包人应自行承担修建临时设施的费用，需要临时占地的，应由发包人办理申请手续并承担相应费用。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发包人提供的施工设备和临时设施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发包人提供的施工设备或临时设施在专用合同条款中约定。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要求承包人增加或更换施工设备</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施工设备和临时设施专用于合同工程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6.4.2  经监理人同意，承包人可根据合同进度计划撤走闲置的施工设备。</w:t>
      </w:r>
    </w:p>
    <w:p>
      <w:pPr>
        <w:snapToGrid w:val="0"/>
        <w:spacing w:line="360" w:lineRule="auto"/>
        <w:outlineLvl w:val="2"/>
        <w:rPr>
          <w:rFonts w:hint="eastAsia" w:ascii="宋体" w:hAnsi="宋体" w:eastAsia="宋体" w:cs="宋体"/>
          <w:bCs/>
          <w:color w:val="auto"/>
          <w:sz w:val="24"/>
          <w:szCs w:val="24"/>
          <w:highlight w:val="none"/>
        </w:rPr>
      </w:pPr>
      <w:bookmarkStart w:id="58" w:name="_Toc261017664"/>
      <w:r>
        <w:rPr>
          <w:rFonts w:hint="eastAsia" w:ascii="宋体" w:hAnsi="宋体" w:eastAsia="宋体" w:cs="宋体"/>
          <w:bCs/>
          <w:color w:val="auto"/>
          <w:sz w:val="24"/>
          <w:szCs w:val="24"/>
          <w:highlight w:val="none"/>
        </w:rPr>
        <w:t>7  交通运输</w:t>
      </w:r>
      <w:bookmarkEnd w:id="58"/>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道路通行权和场外设施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场内施工道路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承包人修建的临时道路和交通设施，应免费提供发包人、监理人以及与本合同有关的其他承包人使用。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场外交通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承包人车辆外出行驶所需的场外公共道路的通行费、养路费和税款等由承包人承担。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7.3.2  承包人应遵守有关交通法规，严格按照道路和桥梁的限制荷重安全行驶，并服从交通管理部门的检查和监督。</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超大件和超重件的运输</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道路和桥梁的损坏责任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因承包人运输造成施工场地内外公共道路和桥梁损坏的，由承包人承担修复损坏的全部费用和可能引起的赔偿。</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水路和航空运输</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snapToGrid w:val="0"/>
        <w:spacing w:line="360" w:lineRule="auto"/>
        <w:outlineLvl w:val="2"/>
        <w:rPr>
          <w:rFonts w:hint="eastAsia" w:ascii="宋体" w:hAnsi="宋体" w:eastAsia="宋体" w:cs="宋体"/>
          <w:bCs/>
          <w:color w:val="auto"/>
          <w:sz w:val="24"/>
          <w:szCs w:val="24"/>
          <w:highlight w:val="none"/>
        </w:rPr>
      </w:pPr>
      <w:bookmarkStart w:id="59" w:name="_Toc261017665"/>
      <w:r>
        <w:rPr>
          <w:rFonts w:hint="eastAsia" w:ascii="宋体" w:hAnsi="宋体" w:eastAsia="宋体" w:cs="宋体"/>
          <w:bCs/>
          <w:color w:val="auto"/>
          <w:sz w:val="24"/>
          <w:szCs w:val="24"/>
          <w:highlight w:val="none"/>
        </w:rPr>
        <w:t>8  测量放线</w:t>
      </w:r>
      <w:bookmarkEnd w:id="59"/>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施工控制网</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承包人应负责管理施工控制网点。施工控制网点丢失或损坏的，承包人应及时修复。承包人应承担施工控制网点的管理与修复费用，并在工程竣工后将施工控制网点移交发包人。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施工测量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承包人应负责施工过程中的全部施工测量放线工作，并配置合格的人员、仪器、设备和其他物品。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8.2.2  监理人可以指示承包人进行抽样复测，当复测中发现错误或出现超过合同约定的误差时，承包人应按监理人指示进行修正或补测，并承担相应的复测费用。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基准资料错误的责任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监理人使用施工控制网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监理人需要使用施工控制网的，承包人应提供必要的协助，发包人不再为此支付费用。</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补充地质勘探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所需进行的补充地质勘探，其费用由承包人承担。</w:t>
      </w:r>
    </w:p>
    <w:p>
      <w:pPr>
        <w:snapToGrid w:val="0"/>
        <w:spacing w:line="360" w:lineRule="auto"/>
        <w:outlineLvl w:val="2"/>
        <w:rPr>
          <w:rFonts w:hint="eastAsia" w:ascii="宋体" w:hAnsi="宋体" w:eastAsia="宋体" w:cs="宋体"/>
          <w:bCs/>
          <w:color w:val="auto"/>
          <w:sz w:val="24"/>
          <w:szCs w:val="24"/>
          <w:highlight w:val="none"/>
        </w:rPr>
      </w:pPr>
      <w:bookmarkStart w:id="60" w:name="_Toc261017666"/>
      <w:r>
        <w:rPr>
          <w:rFonts w:hint="eastAsia" w:ascii="宋体" w:hAnsi="宋体" w:eastAsia="宋体" w:cs="宋体"/>
          <w:bCs/>
          <w:color w:val="auto"/>
          <w:sz w:val="24"/>
          <w:szCs w:val="24"/>
          <w:highlight w:val="none"/>
        </w:rPr>
        <w:t>9  施工安全、治安保卫和环境保护</w:t>
      </w:r>
      <w:bookmarkEnd w:id="60"/>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发包人的施工安全责任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9.1.2  发包人应对其现场机构雇佣的全部人员的工伤事故承担责任，但由于承包人原因造成发包人人员工伤的，应由承包人承担责任。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9.1.3  发包人应负责赔偿以下各种情况造成的第三者人身伤亡和财产损失：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（1）工程或工程的任何部分对土地的占用所造成的第三者财产损失；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（2）由于发包人原因在施工场地及其毗邻地带造成的第三者人身伤亡和财产损失。</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9.1.4  除专用合同条款另有约定外，发包人负责向承包人提供施工现场及施工可能影响的毗邻区域内供水、排水、供电、供气、供热、通讯、广播电视等地下管线资料、气象和水文观测资料、拟建工程可能影响的相邻建筑物地下工程的有关资料，并保证有关资料的真实、准确、完整，满足有关技术规程的要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9.1.5  发包人按照已标价工程量清单所列金额和合同约定的计量支付规定，支付安全作业环境及安全施工措施所需费用。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9.1.6  发包人负责组织工程参建单位编制保证安全生产的措施方案。工程开工前，就落实保证安全生产的措施进行全面系统的布置，进一步明确承包人的安全生产责任。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9.1.7  发包人负责在拆除工程和爆破工程施工15天前向有关部门或机构报送相关备案资料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承包人的施工安全责任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9.2.2  承包人应加强施工作业安全管理，特别应加强易燃、易爆材料、火工器材、有毒与腐蚀性材料和其他危险品的管理，以及对爆破作业和地下工程施工等危险作业的管理。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9.2.3  承包人应严格按照国家安全标准制定施工安全操作规程，配备必要的安全生产和劳动保护设施，加强对承包人人员的安全教育，并发放安全工作手册和劳动保护用具。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9.2.6  承包人应对其履行合同所雇佣的全部人员，包括分包人人员的工伤事故承担责任，但由于发包人原因造成承包人人员工伤事故的，应由发包人承担责任。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9.2.7  由于承包人原因在施工场地内及其毗邻地带造成的第三者人员伤亡和财产损失，由承包人负责赔偿。</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9.2.8  承包人已标价工程量清单应包含工程安全作业环境及安全施工措施所需费用。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9.2.9  承包人应当建立健全安全生产责任制度和安全生产教育培训制度，制定安全生产规章制度和操作规程，保证本单位建立和完善安全生产条件所需资金的投入，对本工程进行定期和专项安全检查，并做好安全检查记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9.2.10  承包人应当设立安全生产管理机构，施工现场必须有专职安全生产管理人员。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9.2.11  承包人应负责对特种作业人员进行专门的安全作业培训，并保证特种作业人员持证上岗。</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9.2.13  承包人在使用施工起重机械和整体提升脚手架、模板等自升式架设设施前，应当组织有关单位进行验收。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治安保卫</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  除合同另有约定外，发包人应与当地公安部门协商，在现场建立治安管理机构或联防组织，统一管理施工场地的治安保卫事项，履行合同工程的治安保卫职责。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  发包人和承包人除应协助现场治安管理机构或联防组织维护施工场地的社会治安外，还应做好包括生活区在内的各自管辖区的治安保卫工作。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环境保护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9.4.1  承包人在施工过程中，应遵守有关环境保护的法律，履行合同约定的环境保护义务，并对违反法律和合同约定义务所造成的环境破坏、人身伤害和财产损失负责。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9.4.2  承包人应按合同约定的环保工作内容，编制施工环保措施计划，报送监理人审批。</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9.4.4  承包人应按合同约定采取有效措施，对施工开挖的边坡及时进行支护，维护排水设施，并进行水土保护，避免因施工造成的地质灾害。</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9.4.5  承包人应按国家饮用水管理标准定期对饮用水源进行监测，防止施工活动污染饮用水源。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9.4.6  承包人应按合同约定，加强对噪声、粉尘、废气、废水和废油的控制，努力降低噪声，控制粉尘和废气浓度，做好废水和废油的治理和排放。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事故处理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9.5.1  发包人负责组织本工程参建单位制定本建设项目的质量与安全事故应急预案，建立工程项目建设质量与安全事故应急处置指挥部。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9.5.2  承包人应对施工现场易发生重大事故的部位、环节进行监控，配备救援器材、设备，并定期组织演练。</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9.5.3  在工程项目开工前，承包人应根据本项目的特点制定本项目施工现场施工质量与安全事故应急预案，并报送发包人备案。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9.5.4  施工过程中发生事故时，发包人、承包人应立即启动应急预案。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9.5.5  事故调查处理由发包人按相关规定履行手续，承包人应配合。</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水土保持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9.6.1  发包人应及时向承包人提供水土保持方案。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9.6.2  承包人在施工过程中，应遵守有关水土保持的法律法规和规章，履行合同约定的水土保持义务，并对其违反法律和合同约定义务所造成的水土流失灾害、人身伤害和财产损失负责。</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9.6.3  承包人的水土保持措施计划，应满足技术标准和要求（合同技术条款）约定的水土保持要求。</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文明工地</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  发包人应按专用合同条款的约定，负责建立创建文明建设工地的组织机构，制定创建文明建设工地的规划和办法。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  承包人应按创建文明建设工地的规划和办法，履行职责，承担相应责任。所需费用应含在已标价工程量清单中。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  防汛度汛</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9.8.1  发包人组织工程参建单位编制本项目的度汛方案和措施。</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9.8.2  承包人应根据发包人编制的本项目度汛方案和措施，制定相应的度汛方案，报送发包人批准后实施。</w:t>
      </w:r>
    </w:p>
    <w:p>
      <w:pPr>
        <w:snapToGrid w:val="0"/>
        <w:spacing w:line="360" w:lineRule="auto"/>
        <w:outlineLvl w:val="2"/>
        <w:rPr>
          <w:rFonts w:hint="eastAsia" w:ascii="宋体" w:hAnsi="宋体" w:eastAsia="宋体" w:cs="宋体"/>
          <w:bCs/>
          <w:color w:val="auto"/>
          <w:sz w:val="24"/>
          <w:szCs w:val="24"/>
          <w:highlight w:val="none"/>
        </w:rPr>
      </w:pPr>
      <w:bookmarkStart w:id="61" w:name="_Toc261017667"/>
      <w:r>
        <w:rPr>
          <w:rFonts w:hint="eastAsia" w:ascii="宋体" w:hAnsi="宋体" w:eastAsia="宋体" w:cs="宋体"/>
          <w:bCs/>
          <w:color w:val="auto"/>
          <w:sz w:val="24"/>
          <w:szCs w:val="24"/>
          <w:highlight w:val="none"/>
        </w:rPr>
        <w:t>10  进度计划</w:t>
      </w:r>
      <w:bookmarkEnd w:id="61"/>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合同进度计划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分项进度计划，报监理人审批。</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合同进度计划的修订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检查计划认为需要修订进度计划时，承包人应按监理人的指示，在14天内向监理人提交修订的合同进度计划，并附调整计划的相关资料，提交监理人审批。监理人应在收到进度计划后的14天内批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单位工程进度计划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监理人认为有必要时，承包人应按监理人指示的内容和期限，并根据合同进度计划的进度控制要求，编制单位工程进度计划，提交监理人审批。</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10.4  提交资金流估算表  </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资金流估算表（参考格式）          金额单位</w:t>
      </w:r>
    </w:p>
    <w:tbl>
      <w:tblPr>
        <w:tblStyle w:val="12"/>
        <w:tblW w:w="84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47"/>
        <w:gridCol w:w="948"/>
        <w:gridCol w:w="947"/>
        <w:gridCol w:w="948"/>
        <w:gridCol w:w="948"/>
        <w:gridCol w:w="947"/>
        <w:gridCol w:w="948"/>
        <w:gridCol w:w="9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12"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414"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w:t>
            </w:r>
          </w:p>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量付款</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w:t>
            </w:r>
          </w:p>
          <w:p>
            <w:pPr>
              <w:snapToGrid w:val="0"/>
              <w:spacing w:line="360" w:lineRule="auto"/>
              <w:ind w:left="-95" w:right="-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金扣留</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扣除</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扣还</w:t>
            </w:r>
          </w:p>
        </w:tc>
        <w:tc>
          <w:tcPr>
            <w:tcW w:w="947"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948" w:type="dxa"/>
            <w:tcBorders>
              <w:top w:val="single" w:color="auto" w:sz="12"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948" w:type="dxa"/>
            <w:tcBorders>
              <w:top w:val="single" w:color="auto" w:sz="12"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tcBorders>
              <w:top w:val="single" w:color="auto" w:sz="4" w:space="0"/>
              <w:left w:val="single" w:color="auto" w:sz="12"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414"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12" w:space="0"/>
            </w:tcBorders>
            <w:vAlign w:val="center"/>
          </w:tcPr>
          <w:p>
            <w:pPr>
              <w:snapToGrid w:val="0"/>
              <w:spacing w:line="360" w:lineRule="auto"/>
              <w:jc w:val="center"/>
              <w:rPr>
                <w:rFonts w:hint="eastAsia" w:ascii="宋体" w:hAnsi="宋体" w:eastAsia="宋体" w:cs="宋体"/>
                <w:color w:val="auto"/>
                <w:sz w:val="24"/>
                <w:szCs w:val="24"/>
                <w:highlight w:val="none"/>
              </w:rPr>
            </w:pPr>
          </w:p>
        </w:tc>
      </w:tr>
    </w:tbl>
    <w:p>
      <w:pPr>
        <w:snapToGrid w:val="0"/>
        <w:spacing w:line="360" w:lineRule="auto"/>
        <w:outlineLvl w:val="2"/>
        <w:rPr>
          <w:rFonts w:hint="eastAsia" w:ascii="宋体" w:hAnsi="宋体" w:eastAsia="宋体" w:cs="宋体"/>
          <w:bCs/>
          <w:color w:val="auto"/>
          <w:sz w:val="24"/>
          <w:szCs w:val="24"/>
          <w:highlight w:val="none"/>
        </w:rPr>
      </w:pPr>
      <w:bookmarkStart w:id="62" w:name="_Toc261017668"/>
      <w:r>
        <w:rPr>
          <w:rFonts w:hint="eastAsia" w:ascii="宋体" w:hAnsi="宋体" w:eastAsia="宋体" w:cs="宋体"/>
          <w:bCs/>
          <w:color w:val="auto"/>
          <w:sz w:val="24"/>
          <w:szCs w:val="24"/>
          <w:highlight w:val="none"/>
        </w:rPr>
        <w:t>11  开工和竣工</w:t>
      </w:r>
      <w:bookmarkEnd w:id="6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开工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竣工（完工）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承包人应在第1.1.4.3目约定的期限内完成合同工程。合同工程实际完工日期在合同工程完工验收鉴定书中明确。</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发包人的工期延误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（1）增加合同工作内容；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（2）改变合同中任何一项工作的质量要求或其他特性；</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（3）发包人迟延提供材料、工程设备或变更交货地点的；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（4）因发包人原因导致的暂停施工；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（5）提供图纸延误；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（6）未按合同约定及时支付预付款、进度款；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（7）发包人造成工期延误的其他原因。</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kern w:val="0"/>
          <w:sz w:val="24"/>
          <w:szCs w:val="24"/>
          <w:highlight w:val="none"/>
        </w:rPr>
        <w:t>.4  异常恶劣的气候条件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11.4.2  异常恶劣气候条件造成的工期延误和工程损坏，应由发包人与承包人参照本合同通用合同条款第21.3款的约定共同协商处理。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11.4.3  本合同工程界定异常恶劣气候条件的范围在专用合同条款中约定。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承包人的工期延误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工期提前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发包人要求提前完工的，双方协商一致后应签订提前完工协议，协议内容包括：</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（1）提前的时间和修订后的进度计划；</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（2）承包人的赶工措施；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（3）发包人为赶工提供的条件；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（4）赶工费用（包括利润和奖金）。</w:t>
      </w:r>
    </w:p>
    <w:p>
      <w:pPr>
        <w:snapToGrid w:val="0"/>
        <w:spacing w:line="360" w:lineRule="auto"/>
        <w:outlineLvl w:val="2"/>
        <w:rPr>
          <w:rFonts w:hint="eastAsia" w:ascii="宋体" w:hAnsi="宋体" w:eastAsia="宋体" w:cs="宋体"/>
          <w:bCs/>
          <w:color w:val="auto"/>
          <w:sz w:val="24"/>
          <w:szCs w:val="24"/>
          <w:highlight w:val="none"/>
        </w:rPr>
      </w:pPr>
      <w:bookmarkStart w:id="63" w:name="_Toc261017669"/>
      <w:r>
        <w:rPr>
          <w:rFonts w:hint="eastAsia" w:ascii="宋体" w:hAnsi="宋体" w:eastAsia="宋体" w:cs="宋体"/>
          <w:bCs/>
          <w:color w:val="auto"/>
          <w:sz w:val="24"/>
          <w:szCs w:val="24"/>
          <w:highlight w:val="none"/>
        </w:rPr>
        <w:t>12  暂停施工</w:t>
      </w:r>
      <w:bookmarkEnd w:id="6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承包人暂停施工的责任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因下列暂停施工增加的费用和（或）工期延误由承包人承担：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（1）承包人违约引起的暂停施工；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（2）由于承包人原因为工程合理施工和安全保障所必需的暂停施工；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（3）承包人擅自暂停施工；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（4）承包人其他原因引起的暂停施工；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（5）专用合同条款约定由承包人承担的其他暂停施工。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发包人暂停施工的责任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由于发包人原因引起的暂停施工造成工期延误的，承包人有权要求发包人延长工期和（或）增加费用，并支付合理利润。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属于下列任何一种情况引起的暂停施工，均为发包人的责任：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（1）由于发包人违约引起的暂停施工；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（2）由于不可抗力的自然或社会因素引起的暂停施工；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（3）专用合同条款中约定的其它由于发包人原因引起的暂停施工。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监理人暂停施工指示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暂停施工后的复工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暂停施工持续56天以上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12.5.2  由于承包人责任引起的暂停施工，如承包人在收到监理人暂停施工指示后56天内不认真采取有效的复工措施，造成工期延误，可视为承包人违约，应按第22.1款的规定办理。</w:t>
      </w:r>
    </w:p>
    <w:p>
      <w:pPr>
        <w:snapToGrid w:val="0"/>
        <w:spacing w:line="360" w:lineRule="auto"/>
        <w:outlineLvl w:val="2"/>
        <w:rPr>
          <w:rFonts w:hint="eastAsia" w:ascii="宋体" w:hAnsi="宋体" w:eastAsia="宋体" w:cs="宋体"/>
          <w:bCs/>
          <w:color w:val="auto"/>
          <w:sz w:val="24"/>
          <w:szCs w:val="24"/>
          <w:highlight w:val="none"/>
        </w:rPr>
      </w:pPr>
      <w:bookmarkStart w:id="64" w:name="_Toc261017670"/>
      <w:r>
        <w:rPr>
          <w:rFonts w:hint="eastAsia" w:ascii="宋体" w:hAnsi="宋体" w:eastAsia="宋体" w:cs="宋体"/>
          <w:bCs/>
          <w:color w:val="auto"/>
          <w:sz w:val="24"/>
          <w:szCs w:val="24"/>
          <w:highlight w:val="none"/>
        </w:rPr>
        <w:t>13  工程质量</w:t>
      </w:r>
      <w:bookmarkEnd w:id="6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工程质量要求</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13.1.1  工程质量验收按合同约定验收标准执行。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13.1.2  因承包人原因造成工程质量达不到合同约定验收标准的，监理人有权要求承包人返工直至符合合同要求为止，由此造成的费用增加和（或）工期延误由承包人承担。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13.1.3  因发包人原因造成工程质量达不到合同约定验收标准的，发包人应承担由于承包人返工造成的费用增加和(或)工期延误，并支付承包人合理利润。</w:t>
      </w:r>
    </w:p>
    <w:p>
      <w:pPr>
        <w:snapToGrid w:val="0"/>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13.2  承包人的质量管理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检人员的组成、质量检查程序和实施细则等，提交监理人审批。监理人应在技术标准和要求（合同技术条款）约定的期限内批复承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13.2.2  承包人应加强对施工人员的质量教育和技术培训，定期考核施工人员的劳动技能，严格执行规范和操作规程。</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承包人的质量检查</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承包人应按合同约定对材料、工程设备以及工程的所有部位及其施工工艺进行全过程的质量检查和检验，并作详细记录，编制工程质量报表，报送监理人审查。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监理人的质量检查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工程隐蔽部位覆盖前的检查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  通知监理人检查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13.5.2  监理人未到场检查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13.5.3  监理人重新检查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13.5.4  承包人私自覆盖</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承包人未通知监理人到场检查，私自将工程隐蔽部位覆盖的，监理人有权指示承包人钻孔探测或揭开检查，由此增加的费用和（或）工期延误由承包人承担。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清除不合格工程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13.6.2  由于发包人提供的材料或工程设备不合格造成的工程不合格，需要承包人采取措施补救的，发包人应承担由此增加的费用和（或）工期延误，并支付承包人合理利润。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  质量评定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13.7.1  发包人应组织承包人进行工程项目划分，并确定主要单位工程、主要分部工程、重要隐蔽单元工程和关键部位单元工程。</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13.7.2  工程实施过程中，单位工程、主要分部工程、重要隐蔽单元工程和关键部位单元工程的项目划分需要调整时，承包人应报发包人确认。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13.7.3  承包人应在单元（工序）工程质量自评合格后，报监理人核定质量等级并签证认可。</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13.7.5  承包人应在分部工程质量自评合格后，报监理人复核和发包人认定。发包人负责按有关规定完成分部工程质量结论报工程质量监督机构核备（核定）手续。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13.7.6  承包人应在单位工程质量自评合格后，报监理人复核和发包人认定。发包人负责按有关规定完成单位工程质量结论报工程质量监督机构核定手续。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13.7.7  除专用合同条款另有约定外，工程质量等级分为合格和优良，应分别达到约定的标准。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  质量事故处理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13.8.1  发生质量事故时，承包人应及时向发包人和监理人报告。</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13.8.2  质量事故调查处理由发包人按相关规定履行手续，承包人应配合。</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13.8.3  承包人应对质量缺陷进行备案。发包人委托监理人对质量缺陷备案情况进行监督检查并履行相关手续。</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13.8.4  除专用合同条款另有约定外，工程竣工验收时，发包人负责向竣工验收委员会汇报并提交历次质量缺陷处理的备案资料。</w:t>
      </w:r>
    </w:p>
    <w:p>
      <w:pPr>
        <w:snapToGrid w:val="0"/>
        <w:spacing w:line="360" w:lineRule="auto"/>
        <w:outlineLvl w:val="2"/>
        <w:rPr>
          <w:rFonts w:hint="eastAsia" w:ascii="宋体" w:hAnsi="宋体" w:eastAsia="宋体" w:cs="宋体"/>
          <w:bCs/>
          <w:color w:val="auto"/>
          <w:sz w:val="24"/>
          <w:szCs w:val="24"/>
          <w:highlight w:val="none"/>
        </w:rPr>
      </w:pPr>
      <w:bookmarkStart w:id="65" w:name="_Toc261017671"/>
      <w:r>
        <w:rPr>
          <w:rFonts w:hint="eastAsia" w:ascii="宋体" w:hAnsi="宋体" w:eastAsia="宋体" w:cs="宋体"/>
          <w:bCs/>
          <w:color w:val="auto"/>
          <w:sz w:val="24"/>
          <w:szCs w:val="24"/>
          <w:highlight w:val="none"/>
        </w:rPr>
        <w:t>14  试验和检验</w:t>
      </w:r>
      <w:bookmarkEnd w:id="6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材料、工程设备和工程的试验和检验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监理人未按合同约定派员参加试验和检验的，除监理人另有指示外，承包人可自行试验和检验，并应立即将试验和检验结果报送监理人，监理人应签字确认。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利（或）工期延误由承包人承担；重新试验和检验结果证明该项材料、工程设备和工程符合合同要求，由发包人承担由此增加的费用和（或）工期延误，并支付承包人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  承包人应按相关规定和标准对水泥、钢材等原材料与中间产品质量进行检验，并报监理人复核。</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  对专用合同条款约定的试块、试件及有关材料，监理人实行见证取样。见证取样资料由承包人制备，记录应真实齐全，监理人、承包人等参与见证取样人员均应在相关文件上签字。</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现场材料试验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14.2.1  承包人根据合同约定或监理人指示进行的现场材料试验，应由承包人提供试验场所、试验人员、试验设备器材以及其他必要的试验条件。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  监理人在必要时可以使用承包人的试验场所、试验设备器材以及其他试验条件，进行以工程质量检查为目的的复核性材料试验，承包人应予以协助。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现场工艺试验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snapToGrid w:val="0"/>
        <w:spacing w:line="360" w:lineRule="auto"/>
        <w:outlineLvl w:val="2"/>
        <w:rPr>
          <w:rFonts w:hint="eastAsia" w:ascii="宋体" w:hAnsi="宋体" w:eastAsia="宋体" w:cs="宋体"/>
          <w:bCs/>
          <w:color w:val="auto"/>
          <w:sz w:val="24"/>
          <w:szCs w:val="24"/>
          <w:highlight w:val="none"/>
        </w:rPr>
      </w:pPr>
      <w:bookmarkStart w:id="66" w:name="_Toc261017672"/>
      <w:r>
        <w:rPr>
          <w:rFonts w:hint="eastAsia" w:ascii="宋体" w:hAnsi="宋体" w:eastAsia="宋体" w:cs="宋体"/>
          <w:bCs/>
          <w:color w:val="auto"/>
          <w:sz w:val="24"/>
          <w:szCs w:val="24"/>
          <w:highlight w:val="none"/>
        </w:rPr>
        <w:t>15  变更</w:t>
      </w:r>
      <w:bookmarkEnd w:id="6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变更的范围和内容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在履行合同中发生以下情形之一，应按照本条规定进行变更。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（1）取消合同中任何一项工作，但被取消的工作不能转由发包人或其他人实施；</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（2）改变合同中任何一项工作的质量或其它特性；</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（3）改变合同工程的基线、标高、位置或尺寸；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（4）改变合同中任何一项工作的施工时间或改变已批准的施工工艺或顺序；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（5）为完成工程需要追加的额外工作；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（6）增加或减少专用合同条款中约定的关键项目工程量超过其工程总量的百分比。</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上述第（1）～（6）目的变更内容引起工程施工组织和进度计划发生实质性变动和影响其原定的价格时，才予调整该项目的单价。第（6）目情形下单价调整方式在专用合同条款中约定。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变更权</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在履行合同过程中，经发包人同意，监理人可按第15.3款约定的变更程序向承包人作出变更指示，承包人应遵照执行。没有监理人的变更指示，承包人不得擅自变更。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变更程序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15.3.1  变更的提出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（2）在合同履行过程中，发生第15.1款约定情形的，监理人应按照第15.3.3项约定向承包人发出变更指示。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15.3.2  变更估价</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（2）变更工作影响工期的，承包人应提出调整工期的具体细节。监理人认为有必要时，可要求承包人提交要求提前或延长工期的施工进度计划及相应施工措施等详细资料。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（3）除专用合同条款对期限另有约定外，监理人收到承包人变更报价书后的14天内，根据第15.4款约定的估价原则，按照第3.5款商定或确定变更价格。</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15.3.3  变更指示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（1）变更指示只能由监理人发出。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（2）变更指示应说明变更的目的、范围、变更内容以及变更的工程量及其进度和技术要求，并附有关图纸和文件。承包人收到变更指示后，应按变更指示进行变更工作。</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变更的估价原则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除专用合同条款另有约定外，因变更引起的价格调整按照本款约定处理。</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15.4.1  己标价工程量清单中有适用于变更工作的子目的，采用该子目的单价。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15.4.2  已标价工程量清单中无适用于变更工作的子目，但有类似子目的，可在合理范围内参照类似子目的单价，由监理人按第3.5款商定或确定变更工作的单价。</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15.4.3  已标价工程量清单中无适用或类似子目的单价，可按照成本加利润的原则，由监理人按第3.5款商定或确定变更工作的单价。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承包人的合理化建议</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15.5.2  承包人提出的合理化建议降低了合同价格、缩短了工期或者提高了工程经济效益的，发包人可按国家有关规定在专用合同条款中约定给予奖励。</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暂列金额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暂列金额只能按照监理人的指示使用，并对合同价格进行相应调整。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  计日工</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15.7.1  发包人认为有必要时，由监理人通知承包人以计日工方式实施变更的零星工作。其价款按列入已标价工程量清单中的计日工计价子目及其单价进行计算。</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15.7.2  采用计日工计价的任何一项变更工作，应从暂列金额中支付，承包人应在该项变更的实施过程中，每天提交以下报表和有关凭证报送监理人审批：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（1）工作名称、内容和数量；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（2）投入该工作所有人员的姓名、工种、级别和耗用工时；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（3）投入该工作的材料类别和数量；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（4）投入该工作的施工设备型号、台数和耗用台时；</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（5）监理人要求提交的其他资料和凭证。</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15.7.3  计日工由承包人汇总后，按第17.3.2项的约定列入进度付款申请单，由监理人复核并经发包人同意后列入进度付款。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  暂估价</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pacing w:val="4"/>
          <w:kern w:val="0"/>
          <w:sz w:val="24"/>
          <w:szCs w:val="24"/>
          <w:highlight w:val="none"/>
        </w:rPr>
        <w:t>15.8.3  发包人在工程</w:t>
      </w:r>
      <w:r>
        <w:rPr>
          <w:rFonts w:hint="eastAsia" w:ascii="宋体" w:hAnsi="宋体" w:eastAsia="宋体" w:cs="宋体"/>
          <w:color w:val="auto"/>
          <w:kern w:val="0"/>
          <w:sz w:val="24"/>
          <w:szCs w:val="24"/>
          <w:highlight w:val="none"/>
        </w:rPr>
        <w:t>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napToGrid w:val="0"/>
        <w:spacing w:line="360" w:lineRule="auto"/>
        <w:outlineLvl w:val="2"/>
        <w:rPr>
          <w:rFonts w:hint="eastAsia" w:ascii="宋体" w:hAnsi="宋体" w:eastAsia="宋体" w:cs="宋体"/>
          <w:bCs/>
          <w:color w:val="auto"/>
          <w:sz w:val="24"/>
          <w:szCs w:val="24"/>
          <w:highlight w:val="none"/>
        </w:rPr>
      </w:pPr>
      <w:bookmarkStart w:id="67" w:name="_Toc261017673"/>
      <w:r>
        <w:rPr>
          <w:rFonts w:hint="eastAsia" w:ascii="宋体" w:hAnsi="宋体" w:eastAsia="宋体" w:cs="宋体"/>
          <w:bCs/>
          <w:color w:val="auto"/>
          <w:sz w:val="24"/>
          <w:szCs w:val="24"/>
          <w:highlight w:val="none"/>
        </w:rPr>
        <w:t>16  价格调整</w:t>
      </w:r>
      <w:bookmarkEnd w:id="67"/>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物价波动引起的价格调整</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由于物价波动引起的价格需要调整的，其价格调整方式在专用合同条款中约定。</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16.1.1  采用价格指数调整价格差额</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16.1.1.1  价格调整公式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因人工、材料和设备等价格波动影响合同价格时，根据投标函附录中的价格指数和权重表约定的数据，按以下公式计算差额并调整合同价格。</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 P0｛A+【B1（Ft1/ Fo1）＋B2（Ft2/ Fo2）＋B3（Ft3/ Fo3）＋…＋Bn（Ftn/ Fon）】-1｝</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式中：△P--需调整的价格差额；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A--定值权重（即不调部分的权重）；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B1；B2；B3……Bn --各可调因子的变值权重（即可调部分的权重）为各可调因子在投标函投标总报价中所占的比例；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Ft1；Ft2；Ft3……Ftn--各可调因子的现行价格指数，指第17.3.3项、第17.5.2项和第17.6.2项约定的付款证书相关周期最后一天的前42天的各可调因子的价格指数；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Fo1；Fo2；Fo3……Fon --各可调因子的基本价格指数，指基准日期的各可调因子的价格指数。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16.1.1.2  暂时确定调整差额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在计算调整差额时得不到现行价格指数的，可暂用上一次价格指数计算，并在以后的付款中再按实际价格指数进行调整。</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16.1.1.3  权重的调整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按第15.1款约定的变更导致原定合同中的权重不合理时，由监理人与承包人和发包人协商后进行调整。</w:t>
      </w:r>
    </w:p>
    <w:p>
      <w:pPr>
        <w:snapToGrid w:val="0"/>
        <w:spacing w:line="360" w:lineRule="auto"/>
        <w:ind w:firstLine="480" w:firstLineChars="200"/>
        <w:outlineLvl w:val="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16.1.1.4  承包人工期延误后的价格调整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16.1.2  采用造价信息调整价格差额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工程造价信息的来源以及价格调整的项目和系数在专用合同条款中约定。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法律变化引起的价格调整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napToGrid w:val="0"/>
        <w:spacing w:line="360" w:lineRule="auto"/>
        <w:outlineLvl w:val="2"/>
        <w:rPr>
          <w:rFonts w:hint="eastAsia" w:ascii="宋体" w:hAnsi="宋体" w:eastAsia="宋体" w:cs="宋体"/>
          <w:bCs/>
          <w:color w:val="auto"/>
          <w:sz w:val="24"/>
          <w:szCs w:val="24"/>
          <w:highlight w:val="none"/>
        </w:rPr>
      </w:pPr>
      <w:bookmarkStart w:id="68" w:name="_Toc261017674"/>
      <w:r>
        <w:rPr>
          <w:rFonts w:hint="eastAsia" w:ascii="宋体" w:hAnsi="宋体" w:eastAsia="宋体" w:cs="宋体"/>
          <w:bCs/>
          <w:color w:val="auto"/>
          <w:sz w:val="24"/>
          <w:szCs w:val="24"/>
          <w:highlight w:val="none"/>
        </w:rPr>
        <w:t>17  计量与支付</w:t>
      </w:r>
      <w:bookmarkEnd w:id="68"/>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计量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17.1.1  计量单位</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计量采用国家法定的计量单位。</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17.1.2  计量方法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结算工程量应按工程量清单中约定的方法计量。</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17.1.3  计量周期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除专用合同条款另有约定外，单价子目已完成工程量按月计量，总价子目的计量周期按批准的支付分解报告确定。</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17.1.4  单价子目的计量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（1）己标价工程量清单中的单价子目工程量为估算工程量。结算工程量是承包人实际完成的，并按合同约定的计量方法进行计量的工程量。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（2）承包人对已完成的工程进行计量，向监理人提交进度付款申请单、已完成工程量报表和有关计量资料。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（4）监理人认为有必要时，可通知承包人共同进行联合测量、计量，承包人应遵照执行。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17.1.5  总价子目的计量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总价子目的分解和计量按照下述约定进行。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（1）总价子目的计量和支付应以总价为基础，不因第16.1款中的因素而进行调整。承包人实际完成的工程量，是进行工程目标管理和控制进度支付的依据。</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（3）监理人对承包人提交的上述资料进行复核，以确定分阶段实际完成的工程量和工程形象目标。对其有异议的，可要求承包人按第8.2款约定进行共同复核和抽样复测。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（4）除按照第15条约定的变更外，总价子目的工程量是承包人用于结算的最终工程量。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预付款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  预付款保函（担保）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bookmarkStart w:id="69" w:name="OLE_LINK3"/>
      <w:r>
        <w:rPr>
          <w:rFonts w:hint="eastAsia" w:ascii="宋体" w:hAnsi="宋体" w:eastAsia="宋体" w:cs="宋体"/>
          <w:color w:val="auto"/>
          <w:kern w:val="0"/>
          <w:sz w:val="24"/>
          <w:szCs w:val="24"/>
          <w:highlight w:val="none"/>
        </w:rPr>
        <w:t>承包人应在收到第一次工程预付款的同时向发包人提交工程预付款担保，担保金额应与第一次工程预付款金额相同，工程预付款担保在第一次工程预付款被发包人扣回前一直有效。</w:t>
      </w:r>
    </w:p>
    <w:bookmarkEnd w:id="69"/>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（2）工程材料预付款的担保在专用合同条款中约定。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（3）预付款担保的担保金额可根据预付款扣回的金额相应递减。</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17.2.3  预付款的扣回与还清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预付款在进度付款中扣回，扣回与还清办法在专用合同条款中约定。在颁发合同工程完工证书前，由于不可抗力或其它原因解除合同时，预付款尚未扣清的，尚未扣清的预付款余额应作为承包人的到期应付款。 </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工程进度付款</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付款周期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付款周期同计量周期。</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（1）截至本次付款周期末已实施工程的价款；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（2）根据第15条应增加和扣减的变更金额；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（3）根据第23条应增加和扣减的索赔金额；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（4）根据第17.2款约定应支付的预付款和扣减的返还预付款；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（5）根据第17.4.1项约定应扣减的质量保证金；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（6）根据合同应增加和扣减的其他金额。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  进度付款证书和支付时间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（2）发包人应在监理人收到进度付款申请单后的28天内，将进度应付款支付给承包人。发包人不按期支付的，按专用合同条款的约定支付逾期付款违约金。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（3）监理人出具进度付款证书，不应视为监理人已同意、批准或接受了承包人完成的该部分工作。</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（4）进度付款涉及政府投资资金的，按照国库集中支付等国家相关规定和专用合同条款的约定办理。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17.3.4  工程进度付款的修正</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质量保证金</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竣工结算</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  竣工（完工）付款申请单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（2）监理人对完工付款申请单有异议的，有权要求承包人进行修正和提供补充资料。经监理人和承包人协商后，由承包人向监理人提交修正后的完工付款申请单。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17.5.2  竣工（完工）付款证书及支付时间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（2）发包人应在监理人出具完工付款证书后的14天内，将应支付款支付给承包人。发包人不按期支付的，按第17.3.3（2）目的约定，将逾期付款违约金支付给承包人。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（3）承包人对发包人签认的完工付款证书有异议的，发包人可出具完工付款申请单中承包人已同意部分的临时付款证书。存在争议的部分，按第24条的约定办理。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（4）完工付款涉及政府投资资金的，按第17.3.3（4）目的约定办理。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最终结清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  最终结清申请单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（1）工程质量保修责任终止证书签发后，承包人应按监理人批准的格式提交最终结清申请单。提交最终结清申请单的份数在专用合同条款中约定。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（2）发包人对最终结清申请单内容有异议的，有权要求承包人进行修正和提供补充资料，由承包人向监理人提交修正后的最终结清申请单。</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17.6.2  最终结清证书和支付时间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（2）发包人应在监理人出具最终结清证书后的14天内，将应支付款支付给承包人。发包人不按期支付的，按第17.3.3（2）目的约定，将逾期付款违约金支付给承包人。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（3）承包人对发包人签认的最终结清证书有异议的，按第24条的约定办理。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（4）最终结清付款涉及政府投资资金的，按第17.3.3（4）目的约定办理。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竣工财务决算</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发包人负责编制本工程项目竣工财务决算，承包人应按专用合同条款的约定提供竣工财务决算编制所需的相关材料。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竣工审计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发包人负责完成本工程竣工审计手续，承包人应完成相关配合工作。</w:t>
      </w:r>
    </w:p>
    <w:p>
      <w:pPr>
        <w:snapToGrid w:val="0"/>
        <w:spacing w:line="360" w:lineRule="auto"/>
        <w:outlineLvl w:val="2"/>
        <w:rPr>
          <w:rFonts w:hint="eastAsia" w:ascii="宋体" w:hAnsi="宋体" w:eastAsia="宋体" w:cs="宋体"/>
          <w:bCs/>
          <w:color w:val="auto"/>
          <w:sz w:val="24"/>
          <w:szCs w:val="24"/>
          <w:highlight w:val="none"/>
        </w:rPr>
      </w:pPr>
      <w:bookmarkStart w:id="70" w:name="_Toc261017675"/>
      <w:r>
        <w:rPr>
          <w:rFonts w:hint="eastAsia" w:ascii="宋体" w:hAnsi="宋体" w:eastAsia="宋体" w:cs="宋体"/>
          <w:bCs/>
          <w:color w:val="auto"/>
          <w:sz w:val="24"/>
          <w:szCs w:val="24"/>
          <w:highlight w:val="none"/>
        </w:rPr>
        <w:t>18  竣工验收(验收)</w:t>
      </w:r>
      <w:bookmarkEnd w:id="70"/>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验收工作分类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分部工程验收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18.2.1  分部工程具备验收条件时，承包人应向发包人提交验收申请报告，发包人应在收到验收申请报告之日起10个工作日内决定是否同意进行验收。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18.2.2  除专用合同条款另有约定外，监理人主持分部工程验收，承包人应派符合条件的代表参加验收工作组。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18.2.3  分部工程验收通过后，发包人向承包人发送分部工程验收鉴定书。承包人应及时完成分部工程验收鉴定书载明应由承包人处理的遗留问题。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单位工程验收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18.3.1  单位工程具备验收条件时，承包人应向发包人提交验收申请报告，发包人应在收到验收申请报告之日起10个工作日内决定是否同意进行验收。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18.3.2  发包人主持单位工程验收，承包人应派符合条件的代表参加验收工作组。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18.3.3  单位工程验收通过后，发包人向承包人发送单位工程验收鉴定书。承包人应及时完成单位工程验收鉴定书载明应由承包人处理的遗留问题。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18.3.4  提前投入使用的单位工程在专用合同条款中明确。 </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合同工程完工验收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18.4.1  合同工程具备验收条件时，承包人应向发包人提交验收申请报告，发包人应在收到验收申请报告之日起20个工作日内决定是否同意进行验收。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18.4.2  发包人主持合同工程完工验收，承包人应派代表参加验收工作组。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18.4.3  合同工程完工验收通过后，发包人向承包人发送合同工程完工验收鉴定书。承包人应及时完成合同工程完工验收鉴定书载明应由承包人处理的遗留问题。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阶段验收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18.5.1  工程建设具备阶段验收条件时，发包人负责提出阶段验收申请报告。承包人应派代表参加阶段验收，并作为被验收单位在验收鉴定书上签字。阶段验收的具体类别在专用合同条款中约定。</w:t>
      </w:r>
    </w:p>
    <w:p>
      <w:pPr>
        <w:snapToGrid w:val="0"/>
        <w:spacing w:line="360" w:lineRule="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18.5.2  承</w:t>
      </w:r>
      <w:r>
        <w:rPr>
          <w:rFonts w:hint="eastAsia" w:ascii="宋体" w:hAnsi="宋体" w:eastAsia="宋体" w:cs="宋体"/>
          <w:color w:val="auto"/>
          <w:spacing w:val="4"/>
          <w:kern w:val="0"/>
          <w:sz w:val="24"/>
          <w:szCs w:val="24"/>
          <w:highlight w:val="none"/>
        </w:rPr>
        <w:t>包人应及时完成阶段验收鉴定书载明应由承包人处理的遗留问题。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专项验收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18.6.1  发包人负责提出专项验收申请报告。承包人应按专项验收的相关规定参加专项验收。专项验收的具体类别在专用合同条款中约定。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18.6.2  承包人应及时完成专项验收成果性文件载明应由承包人处理的遗留问题。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竣工验收</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18.7.1  申请竣工验收前，发包人组织竣工验收自查，承包人应派代表参加。</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18.7.2  竣工验收分为竣工技术预验收和竣工验收两个阶段。发包人应通知承包人派代表参加技术预验收和竣工验收，并负责回答专家提出的问题。</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18.7.3  专用合同条款约定工程需要竣工验收技术鉴定的，承包人应提交有关资料并完成配合工作。</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18.7.4  竣工验收需要进行质量检测的，所需费用由发包人承担，但因承包人原因造成质量不合格的除外。</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18.7.5  工程质量保修期满以及竣工验收遗留问题和尾工处理完成并通过验收后，发包人负责将处理情况和验收成果报送竣工验收主持单位，申请领取工程竣工证书，并发送承包人。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  施工期运行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18.8.1  施工期运行是指合同工程尚未全部完工，其中某项或某几项单位工程或工程设备安装已完工，需要投入施工期运行的，经发包人按第18.2或第18.3款的约定验收合格，证明能确保安全后，才能在施工期投入运行。需要在施工期运行的单位工程或部分在专用合同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18.8.2  在施工期运行中发现工程或工程设备损坏或存在缺陷的，由承包人按第19.2款约定进行修复。</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18.9  试运行 </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18.9.1  除专用合同条款另有约定外，承包人应按规定进行工程及工程设备试运行，负责提供试运行所需的人员、器材和必要的条件，并承担全部试运行费用。</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18.10  竣工（完工）清场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18.10.1  工程项目竣工清场的工作范围和内容在技术标准和要求（合同技术条款）中约定。</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18.10.2  承包人未按监理人的要求恢复临时占地，或者场地清理未达到合同约定的，发包人有权委托其他人恢复或清理，所发生的金额从拟支付给承包人的款项中扣除。</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施工队伍的撤离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keepNext/>
        <w:keepLines/>
        <w:snapToGrid w:val="0"/>
        <w:spacing w:line="360" w:lineRule="auto"/>
        <w:outlineLvl w:val="3"/>
        <w:rPr>
          <w:rFonts w:hint="eastAsia" w:ascii="宋体" w:hAnsi="宋体" w:eastAsia="宋体" w:cs="宋体"/>
          <w:color w:val="auto"/>
          <w:sz w:val="24"/>
          <w:szCs w:val="24"/>
          <w:highlight w:val="none"/>
        </w:rPr>
      </w:pPr>
      <w:bookmarkStart w:id="71" w:name="_Toc261017676"/>
      <w:r>
        <w:rPr>
          <w:rFonts w:hint="eastAsia" w:ascii="宋体" w:hAnsi="宋体" w:eastAsia="宋体" w:cs="宋体"/>
          <w:color w:val="auto"/>
          <w:sz w:val="24"/>
          <w:szCs w:val="24"/>
          <w:highlight w:val="none"/>
        </w:rPr>
        <w:t>19  缺陷责任与保修责任</w:t>
      </w:r>
      <w:bookmarkEnd w:id="71"/>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缺陷责任期（工程质量保修期）的起算时间</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缺陷责任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19.2.1  承包人应在缺陷责任期内对已交付使用的工程承担缺陷责任。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19.2.2  缺陷责任期内，发包人对己接收使用的工程负责日常维护工作。发包人在使用过程中，发现已接收的工程存在新的缺陷或已修复的缺陷部位或部件又遭损坏的，承包人应负责修复，直至检验合格为止。</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19.2.4  承包人不能在合理时间内修复缺陷的，发包人可自行修复或委托其他人修复，所需费用和利润的承担，按第19.2.3项约定办理。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缺陷责任期的延长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进一步试验和试运行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任何一项缺陷或损坏修复后，经检查证明其影响了工程或工程设备的使用性能，承包人应重新进行合同约定的试验和试运行，试验和试运行的全部费用应由责任方承担。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承包人的进入权</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缺陷责任期内承包人为缺陷修复工作需要，有权进入工程现场，但应遵守发包人的保安和保密规定。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  缺陷责任期终止证书（工程质量保修责任终止证书）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合同工程完工验收或投入使用验收后，发包人与承包人应办理工程交接手续，承包人应向发包人递交工程质量保修书。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缺陷责任期（工程质量保修期）满后30个工作日内，发包人应向承包人颁发工程质量保修责任终止证书，并退还剩余的质量保证金，但保修责任范围内的质量缺陷未处理完成的应除外。</w:t>
      </w:r>
    </w:p>
    <w:p>
      <w:pPr>
        <w:snapToGrid w:val="0"/>
        <w:spacing w:line="360" w:lineRule="auto"/>
        <w:outlineLvl w:val="2"/>
        <w:rPr>
          <w:rFonts w:hint="eastAsia" w:ascii="宋体" w:hAnsi="宋体" w:eastAsia="宋体" w:cs="宋体"/>
          <w:bCs/>
          <w:color w:val="auto"/>
          <w:sz w:val="24"/>
          <w:szCs w:val="24"/>
          <w:highlight w:val="none"/>
        </w:rPr>
      </w:pPr>
      <w:bookmarkStart w:id="72" w:name="_Toc261017677"/>
      <w:r>
        <w:rPr>
          <w:rFonts w:hint="eastAsia" w:ascii="宋体" w:hAnsi="宋体" w:eastAsia="宋体" w:cs="宋体"/>
          <w:bCs/>
          <w:color w:val="auto"/>
          <w:sz w:val="24"/>
          <w:szCs w:val="24"/>
          <w:highlight w:val="none"/>
        </w:rPr>
        <w:t>20  保险</w:t>
      </w:r>
      <w:bookmarkEnd w:id="72"/>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工程保险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人员工伤事故的保险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承包人员工伤事故的保险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承包人应依照有关法律规定参加工伤保险，为其履行合同所雇佣的全部人员，缴纳工伤保险费，并要求其分包人也进行此项保险。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  发包人员工伤事故的保险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发包人应依照有关法律规定参加工伤保险，为其现场机构雇佣的全部人员，缴纳工伤保险费，并要求其监理人也进行此项保险。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人身意外伤害险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20.3.1  发包人应在整个施工期间为其现场机构雇用的全部人员，投保人身意外伤害险，缴纳保险费，并要求其监理人也进行此项保险。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承包人应在整个施工期间为其现场机构雇用的全部人员，投保人身意外伤害险，缴纳保险费，并要求其分包人也进行此项保险。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第三者责任险</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20.4.2  在缺陷责任期终止证书颁发前，承包人应以承包人和发包人的共同名义，投保第20.4.1项约定的第三者责任险，其保险费率、保险金额等有关内容在专用合同条款中约定。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其他保险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除专用合同条款另有约定外，承包人应为其施工设备、进场的材料和工程设备等办理保险。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对各项保险的一般要求</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20.6.1  保险凭证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承包人应在专用合同条款约定的期限内向发包人提交各项保险生效的证据和保险单副本，保险单必须与专用合同条款约定的条件保持一致。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20.6.2  保险合同条款的变动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承包人需要变动保险合同条款时，应事先征得发包人同意，并通知监理人。保险人作出变动的，承包人应在收到保险人通知后立即通知发包人和监理人。</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20.6.3  持续保险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承包人应与保险人保持联系，使保险人能够随时了解工程实施中的变动，并确保按保险合同条款要求持续保险。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20.6.4  保险金不足的补偿</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保险金不足以补偿损失时，应由承包人和发包人各自负责补偿的范围和金额在专用合同条款中约定。</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20.6.5  未按约定投保的补救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（1）由于负有投保义务的一方当事人未按合同约定办理保险，或未能使保险持续有效的，另一方当事人可代为办理，所需费用由对方当事人承担。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（2）由于负有投保义务的一方当事人未按合同约定办理某项保险，导致受益人未能得到保险人的赔偿，原应从该项保险得到的保险金应由负有投保义务的一方当事人支付。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20.6.6  报告义务</w:t>
      </w:r>
    </w:p>
    <w:p>
      <w:pPr>
        <w:snapToGrid w:val="0"/>
        <w:spacing w:line="360" w:lineRule="auto"/>
        <w:ind w:firstLine="488"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当保险事故发生时，投保人应按照保险单规定的条件和期限及时向保险人报告。</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  风险责任的转移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pPr>
        <w:keepNext/>
        <w:keepLines/>
        <w:snapToGrid w:val="0"/>
        <w:spacing w:line="360" w:lineRule="auto"/>
        <w:outlineLvl w:val="3"/>
        <w:rPr>
          <w:rFonts w:hint="eastAsia" w:ascii="宋体" w:hAnsi="宋体" w:eastAsia="宋体" w:cs="宋体"/>
          <w:color w:val="auto"/>
          <w:sz w:val="24"/>
          <w:szCs w:val="24"/>
          <w:highlight w:val="none"/>
        </w:rPr>
      </w:pPr>
      <w:bookmarkStart w:id="73" w:name="_Toc261017678"/>
      <w:r>
        <w:rPr>
          <w:rFonts w:hint="eastAsia" w:ascii="宋体" w:hAnsi="宋体" w:eastAsia="宋体" w:cs="宋体"/>
          <w:color w:val="auto"/>
          <w:sz w:val="24"/>
          <w:szCs w:val="24"/>
          <w:highlight w:val="none"/>
        </w:rPr>
        <w:t>21  不可抗力</w:t>
      </w:r>
      <w:bookmarkEnd w:id="73"/>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不可抗力的确认</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不可抗力的通知</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不可抗力后果及其处理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  不可抗力造成损害的责任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除专用合同条款另有约定外，不可抗力导致的人员伤亡、财产损失、费用增加和（或）工期延误等后果，由合同双方按以下原则承担：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（1）永久工程，包括己运至施工场地的材料和工程设备的损害，以及因工程损害造成的第三者人员伤亡和财产损失由发包人承担；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（2）承包人设备的损坏由承包人承担；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（3）发包人和承包人各自承担其人员伤亡和其他财产损失及其相关费用；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（4）承包人的停工损失由承包人承担，但停工期间应监理人要求照管工程和清理、修复工程的金额由发包人承担；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（5）不能按期竣工的，应合理延长工期，承包人不需支付逾期竣工违约金。发包人要求赶工的，承包人应采取赶工措施，赶工费用由发包人承担。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延迟履行期间发生的不可抗力</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合同一方当事人延迟履行，在延迟履行期间发生不可抗力的，不免除其责任。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避免和减少不可抗力损失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不可抗力发生后，发包人和承包人均应采取措施尽量避免和减少损失的扩大，任何一方没有采取有效措施导致损失扩大的，应对扩大的损失承担责任。</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  因不可抗力解除合同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napToGrid w:val="0"/>
        <w:spacing w:line="360" w:lineRule="auto"/>
        <w:outlineLvl w:val="2"/>
        <w:rPr>
          <w:rFonts w:hint="eastAsia" w:ascii="宋体" w:hAnsi="宋体" w:eastAsia="宋体" w:cs="宋体"/>
          <w:bCs/>
          <w:color w:val="auto"/>
          <w:sz w:val="24"/>
          <w:szCs w:val="24"/>
          <w:highlight w:val="none"/>
        </w:rPr>
      </w:pPr>
      <w:bookmarkStart w:id="74" w:name="_Toc261017679"/>
      <w:r>
        <w:rPr>
          <w:rFonts w:hint="eastAsia" w:ascii="宋体" w:hAnsi="宋体" w:eastAsia="宋体" w:cs="宋体"/>
          <w:bCs/>
          <w:color w:val="auto"/>
          <w:sz w:val="24"/>
          <w:szCs w:val="24"/>
          <w:highlight w:val="none"/>
        </w:rPr>
        <w:t>22  违约</w:t>
      </w:r>
      <w:bookmarkEnd w:id="74"/>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承包人违约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承包人违约的情形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在履行合同过程中发生的下列情况属承包人违约：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（1）承包人违反第1.8款或第4.3款的约定，私自将合同的全部或部分权利转让给其他人，或私自将合同的全部或部分义务转移给其他人；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（2）承包人违反第5.3款或第6.4款的约定，未经监理人批准，私自将已按合同约定进入施工场地的施工设备、临时设施或材料撤离施工场地；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（3）承包人违反第5.4款的约定使用了不合格材料或工程设备，工程质量达不到标准要求，又拒绝清除不合格工程；</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（4）承包人未能按合同进度计划及时完成合同约定的工作，已造成或预期造成工期延误；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（5）承包人在缺陷责任期内，未能对工程接收证书所列的缺陷清单的内容或缺陷责任期内发生的缺陷进行修复，而又拒绝按监理人指示再进行修补；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（6）承包人无法继续履行或明确表示不履行或实质上己停止履行合同；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（7）承包人不按合同约定履行义务的其他情况。</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对承包人违约的处理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（1）承包人发生第22.1.1（6）目约定的违约情况时，发包人可通知承包人立即解除合同，并按有关法律处理。</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（2）承包人发生除第22.1.1（6）目约定以外的其他违约情况时，监理人可向承包人发出整改通知，要求其在指定的期限内改正。承包人应承担其违约所引起的费用增加和（或）工期延误。</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（3）经检查证明承包人已采取了有效措施纠正违约行为，具备复工条件的，可由监理人签发复工通知复工。</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承包人违约解除合同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22.1.4  合同解除后的估价、付款和结清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（1）合同解除后，监理人按第3.5款商定或确定承包人实际完成工作的价值，以及承包人已提供的材料、施工设备、工程设备和临时工程等的价值。</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（2）合同解除后，发包人应暂停对承包人的一切付款，查清各项付款和已扣款金额，包括承包人应支付的违约金。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（3）合同解除后，发包人应按第23.4款的约定向承包人索赔由于解除合同给发包人造成的损失。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（4）合同双方确认上述往来款项后，出具最终结清付款证书，结清全部合同款项。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（5）发包人和承包人未能就解除合同后的结清达成一致而形成争议的，按第24条的约定办理。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22.1.5  协议利益的转让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因承包人违约解除合同的，发包人有权要求承包人将其为实施合同而签订的材料和设备的订货协议或任何服务协议利益转让给发包人，并在解除合同后的14天内，依法办理转让手续。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22.1.6  紧急情况下无能力或不愿进行抢救</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发包人违约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  发包人违约的情形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在履行合同过程中发生的下列情形，属发包人违约：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（1）发包人未能按合同约定支付预付款或合同价款，或拖延、拒绝批准付款申请和支付凭证，导致付款延误的；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（2）发包人原因造成停工的；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（3）监理人无正当理由没有在约定期限内发出复工指示，导致承包人无法复工的；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（4）发包人无法继续履行或明确表示不履行或实质上已停止履行合同的；</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（5）发包人不履行合同约定其他义务的。</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  承包人有权暂停施工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22.2.3  发包人违约解除合同</w:t>
      </w:r>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（1）发生第22.2.1（4）目的违约情况时，承包人可书面通知发包人解除合同。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  解除合同后的付款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因发包人违约解除合同的，发包人应在解除合同后28天内向承包人支付下列金额，承包人应在此期限内及时向发包人提交要求支付下列金额的有关资料和凭证：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（1）合同解除日以前所完成工作的价款；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（2）承包人为该工程施工订购并已付款的材料、工程设备和其他物品的金额。发包人付还后，该材料、工程设备和其他物品归发包人所有；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（3）承包人为完成工程所发生的，而发包人未支付的金额；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（4）承包人撤离施工场地以及遣散承包人人员的金额；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（5）由于解除合同应赔偿的承包人损失；</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（6）按合同约定在合同解除日前应支付给承包人的其他金额。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发包人应按本项约定支付上述金额并退还质量保证金和履约担保，但有权要求承包人支付应偿还给发包人的各项金额。</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22.2.5  解除合同后的承包人撤离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第三人造成的违约</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snapToGrid w:val="0"/>
        <w:spacing w:line="360" w:lineRule="auto"/>
        <w:outlineLvl w:val="2"/>
        <w:rPr>
          <w:rFonts w:hint="eastAsia" w:ascii="宋体" w:hAnsi="宋体" w:eastAsia="宋体" w:cs="宋体"/>
          <w:bCs/>
          <w:color w:val="auto"/>
          <w:sz w:val="24"/>
          <w:szCs w:val="24"/>
          <w:highlight w:val="none"/>
        </w:rPr>
      </w:pPr>
      <w:bookmarkStart w:id="75" w:name="_Toc261017680"/>
      <w:r>
        <w:rPr>
          <w:rFonts w:hint="eastAsia" w:ascii="宋体" w:hAnsi="宋体" w:eastAsia="宋体" w:cs="宋体"/>
          <w:bCs/>
          <w:color w:val="auto"/>
          <w:sz w:val="24"/>
          <w:szCs w:val="24"/>
          <w:highlight w:val="none"/>
        </w:rPr>
        <w:t>23  索赔</w:t>
      </w:r>
      <w:bookmarkEnd w:id="7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承包人索赔的提出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根据合同约定，承包人认为有权得到追加付款和（或）延长工期的，应按以下程序向发包人提出索赔：</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（3）索赔事件具有连续影响的，承包人应按合理时间间隔继续递交延续索赔通知，说明连续影响的实际情况和记录，列出累计的追加付款金额和（或）工期延长天数；</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（4）在索赔事件影响结束后的28天内，承包人应向监理人递交最终索赔通知书，说明最终要求索赔的追加付款金额和延长的工期，并附必要的记录和证明材料。</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承包人索赔处理程序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（1）监理人收到承包人提交的索赔通知书后，应及时审查索赔通知书的内容、查验承包人的记录和证明材料，必要时监理人可要求承包人提交全部原始记录副本。</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（2）监理人应按第3.5款商定或确定追加的付款和（或）延长的工期，并在收到上述索赔通知书或有关索赔的进一步证明材料后的42天内，将索赔处理结果答复承包人。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（3）承包人接受索赔处理结果的，发包人应在作出索赔处理结果答复后28天内完成赔付。承包人不接受索赔处理结果的，按第24条的约定办理。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承包人提出索赔的期限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23.3.1  承包人按第17.5款的约定接受了完工付款证书后，应被认为已无权再提出在合同工程完工证书颁发前所发生的任何索赔。</w:t>
      </w:r>
    </w:p>
    <w:p>
      <w:pPr>
        <w:snapToGrid w:val="0"/>
        <w:spacing w:line="36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kern w:val="0"/>
          <w:sz w:val="24"/>
          <w:szCs w:val="24"/>
          <w:highlight w:val="none"/>
        </w:rPr>
        <w:t>23.3.2  承包人按第17.6款的约定提交的最终结清申请单中，只限于提出合同工程完工证书颁发后发生的索赔。提</w:t>
      </w:r>
      <w:r>
        <w:rPr>
          <w:rFonts w:hint="eastAsia" w:ascii="宋体" w:hAnsi="宋体" w:eastAsia="宋体" w:cs="宋体"/>
          <w:color w:val="auto"/>
          <w:spacing w:val="2"/>
          <w:kern w:val="0"/>
          <w:sz w:val="24"/>
          <w:szCs w:val="24"/>
          <w:highlight w:val="none"/>
        </w:rPr>
        <w:t>出索赔的期限自接受最终结清证书时终止。</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发包人的索赔</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napToGrid w:val="0"/>
        <w:spacing w:line="360" w:lineRule="auto"/>
        <w:outlineLvl w:val="2"/>
        <w:rPr>
          <w:rFonts w:hint="eastAsia" w:ascii="宋体" w:hAnsi="宋体" w:eastAsia="宋体" w:cs="宋体"/>
          <w:bCs/>
          <w:color w:val="auto"/>
          <w:sz w:val="24"/>
          <w:szCs w:val="24"/>
          <w:highlight w:val="none"/>
        </w:rPr>
      </w:pPr>
      <w:bookmarkStart w:id="76" w:name="_Toc261017681"/>
      <w:r>
        <w:rPr>
          <w:rFonts w:hint="eastAsia" w:ascii="宋体" w:hAnsi="宋体" w:eastAsia="宋体" w:cs="宋体"/>
          <w:bCs/>
          <w:color w:val="auto"/>
          <w:sz w:val="24"/>
          <w:szCs w:val="24"/>
          <w:highlight w:val="none"/>
        </w:rPr>
        <w:t>24  争议的解决</w:t>
      </w:r>
      <w:bookmarkEnd w:id="76"/>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24.l  争议的解决方式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（2）向有管辖权的人民法院提起诉讼。</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友好解决</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在提请争议评审、仲裁或者诉讼前，以及在争议评审、仲裁或诉讼过程中，发包人和承包人均可共同努力友好协商解决争议。</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争议评审</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24.3.1  采用争议评审的，发包人和承包人应在开工日后的28天内或在争议发生后，协商成立争议评审组。争议评审组由有合同管理和工程实践经验的专家组成。</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24.3.3  被申请人在收到申请人评审申请报告副本后的28天内，向争议评审组提交一份答辩报告，并附证明材料。被申请人应将答辩报告的副本同时提交给申请人和监理人。</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24.3.6  发包人和承包人接受评审意见的，由监理人根据评审意见拟定执行协议，经争议双方签字后作为合同的补充文件，并遵照执行。</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24.4  仲裁 </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24.4.1  若合同双方商定直接向仲裁机构申请仲裁，应签订仲裁协议并约定仲裁机构。</w:t>
      </w:r>
    </w:p>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24.4.2  若合同双方未能达成仲裁协议，则本合同的仲裁条款无效，任一方均有权向人民法院提起诉讼。</w:t>
      </w:r>
    </w:p>
    <w:p>
      <w:pPr>
        <w:snapToGrid w:val="0"/>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bookmarkStart w:id="77" w:name="_Toc472281434"/>
      <w:bookmarkStart w:id="78" w:name="_Toc517137840"/>
      <w:r>
        <w:rPr>
          <w:rFonts w:hint="eastAsia" w:ascii="宋体" w:hAnsi="宋体" w:eastAsia="宋体" w:cs="宋体"/>
          <w:b/>
          <w:color w:val="auto"/>
          <w:sz w:val="24"/>
          <w:szCs w:val="24"/>
          <w:highlight w:val="none"/>
        </w:rPr>
        <w:t>第2节  专用合同条款</w:t>
      </w:r>
      <w:bookmarkEnd w:id="77"/>
      <w:bookmarkEnd w:id="78"/>
    </w:p>
    <w:p>
      <w:pPr>
        <w:snapToGrid w:val="0"/>
        <w:spacing w:line="360" w:lineRule="auto"/>
        <w:outlineLvl w:val="2"/>
        <w:rPr>
          <w:rFonts w:hint="eastAsia" w:ascii="宋体" w:hAnsi="宋体" w:eastAsia="宋体" w:cs="宋体"/>
          <w:bCs/>
          <w:color w:val="auto"/>
          <w:sz w:val="24"/>
          <w:szCs w:val="24"/>
          <w:highlight w:val="none"/>
        </w:rPr>
      </w:pPr>
      <w:bookmarkStart w:id="79" w:name="_Toc472281435"/>
      <w:bookmarkStart w:id="80" w:name="_Toc261017683"/>
      <w:bookmarkStart w:id="81" w:name="_Toc472280806"/>
      <w:r>
        <w:rPr>
          <w:rFonts w:hint="eastAsia" w:ascii="宋体" w:hAnsi="宋体" w:eastAsia="宋体" w:cs="宋体"/>
          <w:bCs/>
          <w:color w:val="auto"/>
          <w:sz w:val="24"/>
          <w:szCs w:val="24"/>
          <w:highlight w:val="none"/>
        </w:rPr>
        <w:t>1  一般约定</w:t>
      </w:r>
      <w:bookmarkEnd w:id="79"/>
      <w:bookmarkEnd w:id="80"/>
      <w:bookmarkEnd w:id="81"/>
    </w:p>
    <w:p>
      <w:pPr>
        <w:snapToGrid w:val="0"/>
        <w:spacing w:line="360" w:lineRule="auto"/>
        <w:ind w:firstLine="480" w:firstLineChars="200"/>
        <w:rPr>
          <w:rFonts w:hint="eastAsia" w:ascii="宋体" w:hAnsi="宋体" w:eastAsia="宋体" w:cs="宋体"/>
          <w:color w:val="auto"/>
          <w:kern w:val="0"/>
          <w:sz w:val="24"/>
          <w:szCs w:val="24"/>
          <w:highlight w:val="none"/>
        </w:rPr>
      </w:pPr>
      <w:bookmarkStart w:id="82" w:name="_Toc472281436"/>
      <w:bookmarkStart w:id="83" w:name="_Toc472280807"/>
      <w:r>
        <w:rPr>
          <w:rFonts w:hint="eastAsia" w:ascii="宋体" w:hAnsi="宋体" w:eastAsia="宋体" w:cs="宋体"/>
          <w:color w:val="auto"/>
          <w:sz w:val="24"/>
          <w:szCs w:val="24"/>
          <w:highlight w:val="none"/>
        </w:rPr>
        <w:t>1.1  词语定义</w:t>
      </w:r>
      <w:bookmarkEnd w:id="82"/>
      <w:bookmarkEnd w:id="83"/>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合同当事人和人员</w:t>
      </w:r>
    </w:p>
    <w:p>
      <w:pPr>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1.1.2.2  发包人：</w:t>
      </w:r>
      <w:r>
        <w:rPr>
          <w:rFonts w:hint="eastAsia" w:ascii="宋体" w:hAnsi="宋体" w:eastAsia="宋体" w:cs="宋体"/>
          <w:color w:val="auto"/>
          <w:kern w:val="0"/>
          <w:sz w:val="24"/>
          <w:szCs w:val="24"/>
          <w:highlight w:val="none"/>
          <w:lang w:eastAsia="zh-CN"/>
        </w:rPr>
        <w:t>新疆布尔根河狸国家级自然保护区管理局</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w:t>
      </w:r>
      <w:r>
        <w:rPr>
          <w:rFonts w:hint="eastAsia" w:ascii="宋体" w:hAnsi="宋体" w:eastAsia="宋体" w:cs="宋体"/>
          <w:color w:val="auto"/>
          <w:kern w:val="0"/>
          <w:sz w:val="24"/>
          <w:szCs w:val="24"/>
          <w:highlight w:val="none"/>
          <w:u w:val="single"/>
        </w:rPr>
        <w:t xml:space="preserve"> （签约后填入承包人的名称）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1.1.2.5  分包人：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1.1.2.6  监理人：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日期</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缺陷责任期（工程质量保修期）：</w:t>
      </w:r>
      <w:r>
        <w:rPr>
          <w:rFonts w:hint="eastAsia" w:ascii="宋体" w:hAnsi="宋体" w:eastAsia="宋体" w:cs="宋体"/>
          <w:color w:val="auto"/>
          <w:kern w:val="0"/>
          <w:sz w:val="24"/>
          <w:szCs w:val="24"/>
          <w:highlight w:val="none"/>
          <w:u w:val="single"/>
          <w:lang w:val="en-US" w:eastAsia="zh-CN"/>
        </w:rPr>
        <w:t>一个洪水季</w:t>
      </w:r>
      <w:r>
        <w:rPr>
          <w:rFonts w:hint="eastAsia" w:ascii="宋体" w:hAnsi="宋体" w:eastAsia="宋体" w:cs="宋体"/>
          <w:color w:val="auto"/>
          <w:kern w:val="0"/>
          <w:sz w:val="24"/>
          <w:szCs w:val="24"/>
          <w:highlight w:val="none"/>
        </w:rPr>
        <w:t>。</w:t>
      </w:r>
    </w:p>
    <w:p>
      <w:pPr>
        <w:snapToGrid w:val="0"/>
        <w:spacing w:line="360" w:lineRule="auto"/>
        <w:rPr>
          <w:rFonts w:hint="eastAsia" w:ascii="宋体" w:hAnsi="宋体" w:eastAsia="宋体" w:cs="宋体"/>
          <w:color w:val="auto"/>
          <w:kern w:val="0"/>
          <w:sz w:val="24"/>
          <w:szCs w:val="24"/>
          <w:highlight w:val="none"/>
        </w:rPr>
      </w:pPr>
      <w:bookmarkStart w:id="84" w:name="_Toc472280808"/>
      <w:bookmarkStart w:id="85" w:name="_Toc472281437"/>
      <w:r>
        <w:rPr>
          <w:rFonts w:hint="eastAsia" w:ascii="宋体" w:hAnsi="宋体" w:eastAsia="宋体" w:cs="宋体"/>
          <w:color w:val="auto"/>
          <w:kern w:val="0"/>
          <w:sz w:val="24"/>
          <w:szCs w:val="24"/>
          <w:highlight w:val="none"/>
        </w:rPr>
        <w:t>1.4  合同文件的优先顺序</w:t>
      </w:r>
      <w:bookmarkEnd w:id="84"/>
      <w:bookmarkEnd w:id="85"/>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进入合同的各项文件及其优先顺序是：</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bookmarkStart w:id="86" w:name="_Toc472280809"/>
      <w:bookmarkStart w:id="87" w:name="_Toc472281438"/>
      <w:r>
        <w:rPr>
          <w:rFonts w:hint="eastAsia" w:ascii="宋体" w:hAnsi="宋体" w:eastAsia="宋体" w:cs="宋体"/>
          <w:color w:val="auto"/>
          <w:kern w:val="0"/>
          <w:sz w:val="24"/>
          <w:szCs w:val="24"/>
          <w:highlight w:val="none"/>
        </w:rPr>
        <w:t>协议书（包含补充协议）</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中标通知书</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投标函及投标函附录</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专用合同条款</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通用合同条款</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技术条款</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图纸</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已标价的工程量清单</w:t>
      </w:r>
    </w:p>
    <w:p>
      <w:pPr>
        <w:widowControl/>
        <w:numPr>
          <w:ilvl w:val="0"/>
          <w:numId w:val="6"/>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经双方确认进入合同的其它文件</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bookmarkEnd w:id="86"/>
      <w:bookmarkEnd w:id="8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来往函件均应按技术标准和要求（合同技术条款）约定的期限送达</w:t>
      </w:r>
      <w:r>
        <w:rPr>
          <w:rFonts w:hint="eastAsia" w:ascii="宋体" w:hAnsi="宋体" w:eastAsia="宋体" w:cs="宋体"/>
          <w:color w:val="auto"/>
          <w:kern w:val="0"/>
          <w:sz w:val="24"/>
          <w:szCs w:val="24"/>
          <w:highlight w:val="none"/>
          <w:u w:val="single"/>
        </w:rPr>
        <w:t xml:space="preserve"> 发包人工程管理办公场所</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88" w:name="_Toc472280810"/>
      <w:bookmarkStart w:id="89" w:name="_Toc472281439"/>
      <w:bookmarkStart w:id="90" w:name="_Toc261017684"/>
      <w:r>
        <w:rPr>
          <w:rFonts w:hint="eastAsia" w:ascii="宋体" w:hAnsi="宋体" w:eastAsia="宋体" w:cs="宋体"/>
          <w:bCs/>
          <w:color w:val="auto"/>
          <w:sz w:val="24"/>
          <w:szCs w:val="24"/>
          <w:highlight w:val="none"/>
        </w:rPr>
        <w:t>2  发包人义务</w:t>
      </w:r>
      <w:bookmarkEnd w:id="88"/>
      <w:bookmarkEnd w:id="89"/>
      <w:bookmarkEnd w:id="90"/>
    </w:p>
    <w:p>
      <w:pPr>
        <w:snapToGrid w:val="0"/>
        <w:spacing w:line="360" w:lineRule="auto"/>
        <w:ind w:firstLine="480" w:firstLineChars="200"/>
        <w:rPr>
          <w:rFonts w:hint="eastAsia" w:ascii="宋体" w:hAnsi="宋体" w:eastAsia="宋体" w:cs="宋体"/>
          <w:color w:val="auto"/>
          <w:kern w:val="0"/>
          <w:sz w:val="24"/>
          <w:szCs w:val="24"/>
          <w:highlight w:val="none"/>
        </w:rPr>
      </w:pPr>
      <w:bookmarkStart w:id="91" w:name="_Toc472281440"/>
      <w:bookmarkStart w:id="92" w:name="_Toc472280811"/>
      <w:r>
        <w:rPr>
          <w:rFonts w:hint="eastAsia" w:ascii="宋体" w:hAnsi="宋体" w:eastAsia="宋体" w:cs="宋体"/>
          <w:color w:val="auto"/>
          <w:kern w:val="0"/>
          <w:sz w:val="24"/>
          <w:szCs w:val="24"/>
          <w:highlight w:val="none"/>
        </w:rPr>
        <w:t>删去本款全文，并代之以：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协助办理工地范围内的临时用地，承包人负责临时用地范围内的场地清理、平整和临时占地的恢复并承担其相应费用。超出指定范围的用地由承包人自行解决并承担由此发生的一切费用。临时生活设施的建设地点、面积、标准需经发包人批准后实施。</w:t>
      </w:r>
    </w:p>
    <w:bookmarkEnd w:id="91"/>
    <w:bookmarkEnd w:id="92"/>
    <w:p>
      <w:pPr>
        <w:keepNext/>
        <w:keepLines/>
        <w:snapToGrid w:val="0"/>
        <w:spacing w:line="360" w:lineRule="auto"/>
        <w:outlineLvl w:val="3"/>
        <w:rPr>
          <w:rFonts w:hint="eastAsia" w:ascii="宋体" w:hAnsi="宋体" w:eastAsia="宋体" w:cs="宋体"/>
          <w:color w:val="auto"/>
          <w:sz w:val="24"/>
          <w:szCs w:val="24"/>
          <w:highlight w:val="none"/>
        </w:rPr>
      </w:pPr>
      <w:bookmarkStart w:id="93" w:name="_Toc472280812"/>
      <w:bookmarkStart w:id="94" w:name="_Toc472281441"/>
      <w:r>
        <w:rPr>
          <w:rFonts w:hint="eastAsia" w:ascii="宋体" w:hAnsi="宋体" w:eastAsia="宋体" w:cs="宋体"/>
          <w:color w:val="auto"/>
          <w:sz w:val="24"/>
          <w:szCs w:val="24"/>
          <w:highlight w:val="none"/>
        </w:rPr>
        <w:t>2.8  其它义务</w:t>
      </w:r>
      <w:bookmarkEnd w:id="93"/>
      <w:bookmarkEnd w:id="94"/>
      <w:r>
        <w:rPr>
          <w:rFonts w:hint="eastAsia" w:ascii="宋体" w:hAnsi="宋体" w:eastAsia="宋体" w:cs="宋体"/>
          <w:color w:val="auto"/>
          <w:sz w:val="24"/>
          <w:szCs w:val="24"/>
          <w:highlight w:val="none"/>
        </w:rPr>
        <w:t xml:space="preserve"> </w:t>
      </w:r>
    </w:p>
    <w:p>
      <w:pPr>
        <w:keepNext/>
        <w:keepLines/>
        <w:snapToGrid w:val="0"/>
        <w:spacing w:line="360" w:lineRule="auto"/>
        <w:outlineLvl w:val="3"/>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1、发包人提供的设计文件和图纸。</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u w:val="single"/>
        </w:rPr>
        <w:t xml:space="preserve">其他需提供的资料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95" w:name="_Toc472281442"/>
      <w:bookmarkStart w:id="96" w:name="_Toc472280813"/>
      <w:bookmarkStart w:id="97" w:name="_Toc261017685"/>
      <w:r>
        <w:rPr>
          <w:rFonts w:hint="eastAsia" w:ascii="宋体" w:hAnsi="宋体" w:eastAsia="宋体" w:cs="宋体"/>
          <w:bCs/>
          <w:color w:val="auto"/>
          <w:sz w:val="24"/>
          <w:szCs w:val="24"/>
          <w:highlight w:val="none"/>
        </w:rPr>
        <w:t>3  监理人</w:t>
      </w:r>
      <w:bookmarkEnd w:id="95"/>
      <w:bookmarkEnd w:id="96"/>
      <w:bookmarkEnd w:id="97"/>
    </w:p>
    <w:p>
      <w:pPr>
        <w:keepNext/>
        <w:keepLines/>
        <w:snapToGrid w:val="0"/>
        <w:spacing w:line="360" w:lineRule="auto"/>
        <w:outlineLvl w:val="3"/>
        <w:rPr>
          <w:rFonts w:hint="eastAsia" w:ascii="宋体" w:hAnsi="宋体" w:eastAsia="宋体" w:cs="宋体"/>
          <w:color w:val="auto"/>
          <w:sz w:val="24"/>
          <w:szCs w:val="24"/>
          <w:highlight w:val="none"/>
        </w:rPr>
      </w:pPr>
      <w:bookmarkStart w:id="98" w:name="_Toc472280814"/>
      <w:bookmarkStart w:id="99" w:name="_Toc472281443"/>
      <w:r>
        <w:rPr>
          <w:rFonts w:hint="eastAsia" w:ascii="宋体" w:hAnsi="宋体" w:eastAsia="宋体" w:cs="宋体"/>
          <w:color w:val="auto"/>
          <w:sz w:val="24"/>
          <w:szCs w:val="24"/>
          <w:highlight w:val="none"/>
        </w:rPr>
        <w:t>3.1  监理人的职责和权力</w:t>
      </w:r>
      <w:bookmarkEnd w:id="98"/>
      <w:bookmarkEnd w:id="99"/>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00" w:name="_Toc472281444"/>
      <w:bookmarkStart w:id="101" w:name="_Toc472280815"/>
      <w:r>
        <w:rPr>
          <w:rFonts w:hint="eastAsia" w:ascii="宋体" w:hAnsi="宋体" w:eastAsia="宋体" w:cs="宋体"/>
          <w:color w:val="auto"/>
          <w:kern w:val="0"/>
          <w:sz w:val="24"/>
          <w:szCs w:val="24"/>
          <w:highlight w:val="none"/>
        </w:rPr>
        <w:t>3.1.1  监理人须根据发包人事先批准的权力范围行使权力，但监理人在行使下列权力前，必须得到发包人的批准。</w:t>
      </w:r>
      <w:bookmarkEnd w:id="100"/>
      <w:bookmarkEnd w:id="10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（1）按第4.5款和4.6款的规定，批准人员的更换；</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（2）按第11.3款规定，确定延长完工期限；</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（3）按第15.6 条规定，批准暂列金（备用金）的使用。</w:t>
      </w:r>
    </w:p>
    <w:p>
      <w:pPr>
        <w:snapToGrid w:val="0"/>
        <w:spacing w:line="360" w:lineRule="auto"/>
        <w:outlineLvl w:val="2"/>
        <w:rPr>
          <w:rFonts w:hint="eastAsia" w:ascii="宋体" w:hAnsi="宋体" w:eastAsia="宋体" w:cs="宋体"/>
          <w:bCs/>
          <w:color w:val="auto"/>
          <w:sz w:val="24"/>
          <w:szCs w:val="24"/>
          <w:highlight w:val="none"/>
        </w:rPr>
      </w:pPr>
      <w:bookmarkStart w:id="102" w:name="_Toc472280816"/>
      <w:bookmarkStart w:id="103" w:name="_Toc261017686"/>
      <w:bookmarkStart w:id="104" w:name="_Toc472281445"/>
      <w:r>
        <w:rPr>
          <w:rFonts w:hint="eastAsia" w:ascii="宋体" w:hAnsi="宋体" w:eastAsia="宋体" w:cs="宋体"/>
          <w:bCs/>
          <w:color w:val="auto"/>
          <w:sz w:val="24"/>
          <w:szCs w:val="24"/>
          <w:highlight w:val="none"/>
        </w:rPr>
        <w:t>4  承包人</w:t>
      </w:r>
      <w:bookmarkEnd w:id="102"/>
      <w:bookmarkEnd w:id="103"/>
      <w:bookmarkEnd w:id="104"/>
    </w:p>
    <w:p>
      <w:pPr>
        <w:keepNext/>
        <w:keepLines/>
        <w:snapToGrid w:val="0"/>
        <w:spacing w:line="360" w:lineRule="auto"/>
        <w:outlineLvl w:val="3"/>
        <w:rPr>
          <w:rFonts w:hint="eastAsia" w:ascii="宋体" w:hAnsi="宋体" w:eastAsia="宋体" w:cs="宋体"/>
          <w:color w:val="auto"/>
          <w:sz w:val="24"/>
          <w:szCs w:val="24"/>
          <w:highlight w:val="none"/>
        </w:rPr>
      </w:pPr>
      <w:bookmarkStart w:id="105" w:name="_Toc472280817"/>
      <w:bookmarkStart w:id="106" w:name="_Toc472281446"/>
      <w:r>
        <w:rPr>
          <w:rFonts w:hint="eastAsia" w:ascii="宋体" w:hAnsi="宋体" w:eastAsia="宋体" w:cs="宋体"/>
          <w:color w:val="auto"/>
          <w:sz w:val="24"/>
          <w:szCs w:val="24"/>
          <w:highlight w:val="none"/>
        </w:rPr>
        <w:t>4.1  承包人的一般义务</w:t>
      </w:r>
      <w:bookmarkEnd w:id="105"/>
      <w:bookmarkEnd w:id="10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4.1.10  其它义务</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4.1.10.1 现场察勘</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(1)发包人不组织现场察勘，承包人在提交投标文件以及补充文件之前，应视为已对现场及其周围环境和与之有关的可用资料进行了勘察，并对以下几点在费用和时间方面的可行性满意：</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①现场的地形、地质条件；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②水文和气候的条件；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③为工程施工和完工以及修补其任何缺陷所需的工作和材料的范围与性质；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④进入现场的手段以及承包人可能需要的生产和生活条件；</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并且，一般应认为承包人已取得有关上述可能对其投标文件产生影响或发生作用的风险、意外事件及所有其它情况的全部必要资料。</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应当认为承包人的投标文件是以发包人提供的可利用的资料和承包人自己进行的上述视察和检查为依据的。无论发包人提供或承包人自己收集的上述资料，对于其完整性和正确性以及做出的推论、解释和结论均由承包人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不得以下列理由提出索取额外款项的申请：对第4.1.10款4.1.10.1目中（1）所述事项或其他方面有所误解；指称或以事实指出任何受雇或非受雇于发包人的人员向承包人提供错误或不足够资料；同时承包人亦不得以上述理由或因承包人未能预见任何事实上会影响或已经影响合同工程进行的施工为理由，而获得免除他根据合同规定须承担的风险或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4.1.10.2 投标价包括所有费用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应对投标报价以及经评标确定的工程量清单中所报的单价和合价的正确性和完备性负责。除合同中另有规定的以外，上述报价包括了合同内列明和包含的全部风险、责任和义务，以及为合同工程的施工、完工和修补缺陷所需的全部费用及利润、税费。</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4.1.10.3 现场施工配合与协调</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在实施和完成承建合同工程及修复缺陷过程中的一切作业应保证发包人免于承担因承包人借用、占用或进出其他标段工区或影响作业等所引起的索赔、诉讼费、损害赔偿及其他开支，有义务提供与相邻标段工程施工的配合与协调，包括：</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(1)工作面的安全和施工质量影响。</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(2)施工进度的影响。</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(3)及时提供或移交工作面。</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(4)保持相邻界面附近的结构质量。</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(5)为其他标段承包人提供交通道路、交叉工作面的作业场地。</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(6)在承建标段范围区段的维护与保养，不得造成损坏或障碍而影响相邻标段的施工。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4.1.10.4 对现场作业和施工方法负责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对于承包人进场前发包人已委托第三方完成的工程量，承包人应配合发包人做好与第三方的清算协调配合工作，具体清算方式在合同中约定。</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4.1.10.5 对现场作业和施工方法负责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监理人对承包人的施工计划、方法、措施以及设计图纸的审查与批准，或对于分包人的确认，或对于承包人所实施工程的检查和检验，并不意味着可变更或减轻承包人应承担的全部合同义务和责任。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4.1.10.6 防汛</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(1)在合同工程施工期，承包人有义务采取措施防御洪水，保证工程的安全，必须服从发包人抗洪抢险的统一调度指挥。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(2)由于承包人施工需要设置在河道(或行洪区)内的所有临时设施，不能影响渡汛安全，必要时应在汛前拆除。</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4.1.10.7 对公众利益损害负责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符合合同要求所许可的范围内，实施和完成本合同工程及缺陷修复工程中的一切施工作业，不得对现有工程及各种管道、电线、电缆、涵闸等设施造成任何影响或破坏，不得影响邻近建筑物、构造物、当地居民与企业财产等的安全与正常使用或不适当地干扰群众的通行方便。如果发生上述情况，并由此导致索赔、赔偿、诉讼费、指控费及其他开支时，应由承包人承担一切责任及费用。承包人应协调和处理好与当地群众的关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4.1.10.8 对工程施工质量负终身责任</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承包人对合同工程的施工质量负终身责任，承包人的法定代表人是工程施工质量的终身责任人。</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4.1.10.9 其他</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 承包人必须保证按合同文件规定的时间内及时组织人员、设备按时进场，其进场人员、设备必须与投标文件中所承诺的人员、设备相一致，否则发包人将按照相关条款追究违约责任直至解除合同。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必须保证按合同文件承诺的主要人员包括：项目经理、技术负责人、负责部门工作及关键岗位工作人员（涉及工作包括不限于经济、技术、质量检验试验、安全、物资、合同等方面）及其他主要技术人员按每月要求最少天数（22天）在场，否则发包人将按照相关条款追究违约责任直至解除合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（3）项目经理、技术负责人、负责部门工作及关键岗位工作人员（涉及工作包括不限于经济、技术、质量检验试验、安全、物资、合同等）及其他主要技术人员等必须持证上岗。</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（4）承包人自己增加临时用地手续由承包人自行解决。</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 承包人应组建现场试验室，现场试验室应具有满足本工程建设需要的试验人员及其试验设备，并无偿提供现场试验、检验设备供发包人或监理人使用。</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（6）承包人必须保证每月按时、足额发放民工工资。承包人应按照</w:t>
      </w:r>
      <w:r>
        <w:rPr>
          <w:rFonts w:hint="eastAsia" w:ascii="宋体" w:hAnsi="宋体" w:eastAsia="宋体" w:cs="宋体"/>
          <w:b/>
          <w:bCs/>
          <w:color w:val="auto"/>
          <w:kern w:val="0"/>
          <w:sz w:val="24"/>
          <w:szCs w:val="24"/>
          <w:highlight w:val="none"/>
        </w:rPr>
        <w:t>《新疆维吾尔自治区农民工工资保证金管理暂行办法》以及《新疆维吾尔自治区建设领域农民工工资支付管理办法》</w:t>
      </w:r>
      <w:r>
        <w:rPr>
          <w:rFonts w:hint="eastAsia" w:ascii="宋体" w:hAnsi="宋体" w:eastAsia="宋体" w:cs="宋体"/>
          <w:bCs/>
          <w:color w:val="auto"/>
          <w:kern w:val="0"/>
          <w:sz w:val="24"/>
          <w:szCs w:val="24"/>
          <w:highlight w:val="none"/>
        </w:rPr>
        <w:t>执行。</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（7）施工生产、生活用电</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1）施工生产、生活用水由承包人自行解决。</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2）承包人应向发包人、监理人及设计代表免费提供施工现场值班室用电(包括提供供电装置和维护)。</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 施工生产、生活用水</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1）施工和生活用水由承包人自行解决，其供水系统的总供水能力应满足施工要求，水质符合现行有关规范、标准的规定。</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2）承包人应按本合同工程施工需要自行负责设计、施工、采购、安装、管理和维修其施工区和生活区的供水系统，包括修建为保证正常供水的引水、储水和水处理设施等。</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3）为进入本标段现场的其它第三方承包人提供施工和生活用水方便，具体提供措施和收费办法由双方协商确定。</w:t>
      </w:r>
    </w:p>
    <w:p>
      <w:pPr>
        <w:snapToGrid w:val="0"/>
        <w:spacing w:line="360" w:lineRule="auto"/>
        <w:ind w:firstLine="600" w:firstLineChars="25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承包人应向发包人、监理人及设计代表提供现场办公和生活用水，包括引向发包人、监理人及设计代表办公地点和生活区的引水、储水和水处理设施及其设备（设施）的施工、安装和日常维修等工作。上述供水设施建设和日常供水费用包括在施工供水项目的总价内。</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（10）涉及安全生产等救助工作，承包人应服从发包人和监理人的统一调度指挥。</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（11）按照国家政策和有关规定：承包人在少数民族地区从事工程建设活动，应当尊重当地少数民族的传统、习俗和宗教信仰。</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本工程所有火工材料的采购、运输、存放、使用及其导爆管等均必须遵守当地公安机关有关规定，并由承包人自行负责，承包人不得因在投标阶段或合同执行阶段，未遵守当地公安机关有关规定所产生的所有费用，向发包人提出索赔或变更。</w:t>
      </w:r>
    </w:p>
    <w:p>
      <w:pPr>
        <w:snapToGrid w:val="0"/>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（13）根据新疆维稳形势要求，发包人必须遵守当地公安机关的相关规定，配备设置安保设备、人员等措施，安全保卫相关费用由承包人自行承担。</w:t>
      </w:r>
    </w:p>
    <w:p>
      <w:pPr>
        <w:keepNext/>
        <w:keepLines/>
        <w:snapToGrid w:val="0"/>
        <w:spacing w:line="360" w:lineRule="auto"/>
        <w:outlineLvl w:val="3"/>
        <w:rPr>
          <w:rFonts w:hint="eastAsia" w:ascii="宋体" w:hAnsi="宋体" w:eastAsia="宋体" w:cs="宋体"/>
          <w:color w:val="auto"/>
          <w:sz w:val="24"/>
          <w:szCs w:val="24"/>
          <w:highlight w:val="none"/>
        </w:rPr>
      </w:pPr>
      <w:bookmarkStart w:id="107" w:name="_Toc472280818"/>
      <w:bookmarkStart w:id="108" w:name="_Toc472281447"/>
      <w:r>
        <w:rPr>
          <w:rFonts w:hint="eastAsia" w:ascii="宋体" w:hAnsi="宋体" w:eastAsia="宋体" w:cs="宋体"/>
          <w:color w:val="auto"/>
          <w:sz w:val="24"/>
          <w:szCs w:val="24"/>
          <w:highlight w:val="none"/>
        </w:rPr>
        <w:t>4.3  分包</w:t>
      </w:r>
      <w:bookmarkEnd w:id="107"/>
      <w:bookmarkEnd w:id="108"/>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09" w:name="_Toc472280819"/>
      <w:bookmarkStart w:id="110" w:name="_Toc472281448"/>
      <w:r>
        <w:rPr>
          <w:rFonts w:hint="eastAsia" w:ascii="宋体" w:hAnsi="宋体" w:eastAsia="宋体" w:cs="宋体"/>
          <w:color w:val="auto"/>
          <w:kern w:val="0"/>
          <w:sz w:val="24"/>
          <w:szCs w:val="24"/>
          <w:highlight w:val="none"/>
        </w:rPr>
        <w:t>4.3.2  允许承包人分包的工程项目、工作内容与分包金额限额为：</w:t>
      </w:r>
      <w:bookmarkEnd w:id="109"/>
      <w:bookmarkEnd w:id="110"/>
      <w:r>
        <w:rPr>
          <w:rFonts w:hint="eastAsia" w:ascii="宋体" w:hAnsi="宋体" w:eastAsia="宋体" w:cs="宋体"/>
          <w:color w:val="auto"/>
          <w:kern w:val="0"/>
          <w:sz w:val="24"/>
          <w:szCs w:val="24"/>
          <w:highlight w:val="none"/>
          <w:u w:val="single"/>
        </w:rPr>
        <w:t>本工程不允许分包</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承包人人员的管理</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4.6.5 补充条款</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（1）承包人项目经理</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承包人须派投标文件中明确的项目经理进驻施工现场。未经发包人同意，本合同实施期间内项目经理不得更换，否则将对承包人处以罚款或清除出场的处罚。发包人有权因承包人项目经理管理不善，造成施工期内发生社会治安案件、重大安全事故、质量事故及工期延误等要求更换项目经理，承包人承担造成的所有损失。项目经理每月在本工程工作时间不得少于22天，发包人将根据监理人提交的考勤记录进行考评，出现缺勤情况按1000元/日处罚。承包人项目经理短期（每月累计不超过八天）离开项目现场应事先征得监理人和发包人同意，并委派相应资质、资历的人员代替其职责。</w:t>
      </w:r>
    </w:p>
    <w:p>
      <w:pPr>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（2）承包人人员的管理</w:t>
      </w:r>
    </w:p>
    <w:p>
      <w:pPr>
        <w:snapToGrid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1）签订合同后7日内，负责承担本项目的项目经理、技术负责人、安全员、质检员、施工员、测量员、实验员、资料员等人员未按合同协议书以及投标文件中承诺到位，否则按每少一人罚款10000元。尽管承包人已按约定派遣了上述各类人员，但若这些人员仍不能满足合同进度计划和（或）质量要求时，监理人有权要求承包人继续增派这类人员，并书面通知承包人。承包人在接到上述通知后应在七日内增派人员到位，不得无故拖延。在施工承包合同期内，发包人有权在紧急情况下调用承包人施工人员执行与工程有关的任务。</w:t>
      </w:r>
    </w:p>
    <w:p>
      <w:pPr>
        <w:snapToGrid w:val="0"/>
        <w:spacing w:line="360" w:lineRule="auto"/>
        <w:ind w:firstLine="720" w:firstLineChars="3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承包人须派投标文件中明确的技术负责人进驻施工现场，同时应将技术负责人相关证件原件交予发包人直至本工程完工验收。未经发包人同意，本合同实施期间内技术负责人不得更换。技术负责人每月在本工程工作时间不得少于22天，发包人将根据监理人提交的考勤记录进行考评，出现缺勤情况按1000元/日处罚。承包人技术负责人短期（每月累计不超过八天）离开项目现场应事先征得监理人同意，并委派相应资质、资历的人员代替其职责。</w:t>
      </w:r>
    </w:p>
    <w:p>
      <w:pPr>
        <w:snapToGrid w:val="0"/>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若存在特殊情况，承包人需变更除项目经理、技术负责人外的负责部门工作及关键岗位工作人员（经济、技术、质量检验试验、安全、物资、合同等人员），必须上报监理人并经批准后才允许更换不低于原投标文件所列人员资格的人员。</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不利物质条件</w:t>
      </w:r>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11" w:name="_Toc472280820"/>
      <w:bookmarkStart w:id="112" w:name="_Toc472281449"/>
      <w:r>
        <w:rPr>
          <w:rFonts w:hint="eastAsia" w:ascii="宋体" w:hAnsi="宋体" w:eastAsia="宋体" w:cs="宋体"/>
          <w:bCs/>
          <w:color w:val="auto"/>
          <w:kern w:val="0"/>
          <w:sz w:val="24"/>
          <w:szCs w:val="24"/>
          <w:highlight w:val="none"/>
        </w:rPr>
        <w:t xml:space="preserve">4.11.1  </w:t>
      </w:r>
      <w:r>
        <w:rPr>
          <w:rFonts w:hint="eastAsia" w:ascii="宋体" w:hAnsi="宋体" w:eastAsia="宋体" w:cs="宋体"/>
          <w:color w:val="auto"/>
          <w:kern w:val="0"/>
          <w:sz w:val="24"/>
          <w:szCs w:val="24"/>
          <w:highlight w:val="none"/>
        </w:rPr>
        <w:t>不利物质条件的范围：</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bookmarkEnd w:id="111"/>
      <w:bookmarkEnd w:id="112"/>
    </w:p>
    <w:p>
      <w:pPr>
        <w:snapToGrid w:val="0"/>
        <w:spacing w:line="360" w:lineRule="auto"/>
        <w:outlineLvl w:val="2"/>
        <w:rPr>
          <w:rFonts w:hint="eastAsia" w:ascii="宋体" w:hAnsi="宋体" w:eastAsia="宋体" w:cs="宋体"/>
          <w:bCs/>
          <w:color w:val="auto"/>
          <w:sz w:val="24"/>
          <w:szCs w:val="24"/>
          <w:highlight w:val="none"/>
        </w:rPr>
      </w:pPr>
      <w:bookmarkStart w:id="113" w:name="_Toc472281450"/>
      <w:bookmarkStart w:id="114" w:name="_Toc261017687"/>
      <w:bookmarkStart w:id="115" w:name="_Toc472280821"/>
      <w:r>
        <w:rPr>
          <w:rFonts w:hint="eastAsia" w:ascii="宋体" w:hAnsi="宋体" w:eastAsia="宋体" w:cs="宋体"/>
          <w:bCs/>
          <w:color w:val="auto"/>
          <w:sz w:val="24"/>
          <w:szCs w:val="24"/>
          <w:highlight w:val="none"/>
        </w:rPr>
        <w:t>5  材料和工程设备</w:t>
      </w:r>
      <w:bookmarkEnd w:id="113"/>
      <w:bookmarkEnd w:id="114"/>
      <w:bookmarkEnd w:id="115"/>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5.1承包人提供的材料和工程设备</w:t>
      </w:r>
    </w:p>
    <w:p>
      <w:pPr>
        <w:spacing w:line="360" w:lineRule="auto"/>
        <w:ind w:firstLine="484" w:firstLineChars="202"/>
        <w:contextualSpacing/>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5.1.2 承包人应根据进度计划安排和监理人相关管理要求，按时将各项材料和工程设备的供货人及品种、规格、数量和供货时间等报送监理人审批。</w:t>
      </w:r>
    </w:p>
    <w:p>
      <w:pPr>
        <w:keepNext/>
        <w:keepLines/>
        <w:snapToGrid w:val="0"/>
        <w:spacing w:line="360" w:lineRule="auto"/>
        <w:outlineLvl w:val="3"/>
        <w:rPr>
          <w:rFonts w:hint="eastAsia" w:ascii="宋体" w:hAnsi="宋体" w:eastAsia="宋体" w:cs="宋体"/>
          <w:color w:val="auto"/>
          <w:sz w:val="24"/>
          <w:szCs w:val="24"/>
          <w:highlight w:val="none"/>
        </w:rPr>
      </w:pPr>
      <w:bookmarkStart w:id="116" w:name="_Toc472280822"/>
      <w:bookmarkStart w:id="117" w:name="_Toc472281451"/>
      <w:r>
        <w:rPr>
          <w:rFonts w:hint="eastAsia" w:ascii="宋体" w:hAnsi="宋体" w:eastAsia="宋体" w:cs="宋体"/>
          <w:color w:val="auto"/>
          <w:sz w:val="24"/>
          <w:szCs w:val="24"/>
          <w:highlight w:val="none"/>
        </w:rPr>
        <w:t>5.2  发包人提供的材料和工程设备</w:t>
      </w:r>
      <w:bookmarkEnd w:id="116"/>
      <w:bookmarkEnd w:id="117"/>
    </w:p>
    <w:p>
      <w:pPr>
        <w:spacing w:line="360" w:lineRule="auto"/>
        <w:ind w:firstLine="484" w:firstLineChars="202"/>
        <w:contextualSpacing/>
        <w:rPr>
          <w:rFonts w:hint="eastAsia" w:ascii="宋体" w:hAnsi="宋体" w:eastAsia="宋体" w:cs="宋体"/>
          <w:bCs/>
          <w:color w:val="auto"/>
          <w:kern w:val="0"/>
          <w:sz w:val="24"/>
          <w:szCs w:val="24"/>
          <w:highlight w:val="none"/>
        </w:rPr>
      </w:pPr>
      <w:bookmarkStart w:id="118" w:name="_Toc472281452"/>
      <w:bookmarkStart w:id="119" w:name="_Toc261017688"/>
      <w:bookmarkStart w:id="120" w:name="_Toc472280823"/>
      <w:r>
        <w:rPr>
          <w:rFonts w:hint="eastAsia" w:ascii="宋体" w:hAnsi="宋体" w:eastAsia="宋体" w:cs="宋体"/>
          <w:bCs/>
          <w:color w:val="auto"/>
          <w:kern w:val="0"/>
          <w:sz w:val="24"/>
          <w:szCs w:val="24"/>
          <w:highlight w:val="none"/>
        </w:rPr>
        <w:t>无</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施工设备和临时设施</w:t>
      </w:r>
      <w:bookmarkEnd w:id="118"/>
      <w:bookmarkEnd w:id="119"/>
      <w:bookmarkEnd w:id="120"/>
      <w:r>
        <w:rPr>
          <w:rFonts w:hint="eastAsia" w:ascii="宋体" w:hAnsi="宋体" w:eastAsia="宋体" w:cs="宋体"/>
          <w:bCs/>
          <w:color w:val="auto"/>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121" w:name="_Toc472281453"/>
      <w:bookmarkStart w:id="122" w:name="_Toc472280824"/>
      <w:r>
        <w:rPr>
          <w:rFonts w:hint="eastAsia" w:ascii="宋体" w:hAnsi="宋体" w:eastAsia="宋体" w:cs="宋体"/>
          <w:color w:val="auto"/>
          <w:sz w:val="24"/>
          <w:szCs w:val="24"/>
          <w:highlight w:val="none"/>
        </w:rPr>
        <w:t>6.2  发包人提供的施工设备和临时设施</w:t>
      </w:r>
      <w:bookmarkEnd w:id="121"/>
      <w:bookmarkEnd w:id="122"/>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发包人不提供施工设备和临时设施。</w:t>
      </w:r>
    </w:p>
    <w:p>
      <w:pPr>
        <w:snapToGrid w:val="0"/>
        <w:spacing w:line="360" w:lineRule="auto"/>
        <w:outlineLvl w:val="2"/>
        <w:rPr>
          <w:rFonts w:hint="eastAsia" w:ascii="宋体" w:hAnsi="宋体" w:eastAsia="宋体" w:cs="宋体"/>
          <w:bCs/>
          <w:color w:val="auto"/>
          <w:sz w:val="24"/>
          <w:szCs w:val="24"/>
          <w:highlight w:val="none"/>
        </w:rPr>
      </w:pPr>
      <w:bookmarkStart w:id="123" w:name="_Toc261017689"/>
      <w:bookmarkStart w:id="124" w:name="_Toc472281454"/>
      <w:bookmarkStart w:id="125" w:name="_Toc472280825"/>
      <w:r>
        <w:rPr>
          <w:rFonts w:hint="eastAsia" w:ascii="宋体" w:hAnsi="宋体" w:eastAsia="宋体" w:cs="宋体"/>
          <w:bCs/>
          <w:color w:val="auto"/>
          <w:sz w:val="24"/>
          <w:szCs w:val="24"/>
          <w:highlight w:val="none"/>
        </w:rPr>
        <w:t>7  交通运输</w:t>
      </w:r>
      <w:bookmarkEnd w:id="123"/>
      <w:bookmarkEnd w:id="124"/>
      <w:bookmarkEnd w:id="125"/>
    </w:p>
    <w:p>
      <w:pPr>
        <w:keepNext/>
        <w:keepLines/>
        <w:snapToGrid w:val="0"/>
        <w:spacing w:line="360" w:lineRule="auto"/>
        <w:outlineLvl w:val="3"/>
        <w:rPr>
          <w:rFonts w:hint="eastAsia" w:ascii="宋体" w:hAnsi="宋体" w:eastAsia="宋体" w:cs="宋体"/>
          <w:color w:val="auto"/>
          <w:sz w:val="24"/>
          <w:szCs w:val="24"/>
          <w:highlight w:val="none"/>
        </w:rPr>
      </w:pPr>
      <w:bookmarkStart w:id="126" w:name="_Toc472280826"/>
      <w:bookmarkStart w:id="127" w:name="_Toc472281455"/>
      <w:r>
        <w:rPr>
          <w:rFonts w:hint="eastAsia" w:ascii="宋体" w:hAnsi="宋体" w:eastAsia="宋体" w:cs="宋体"/>
          <w:color w:val="auto"/>
          <w:sz w:val="24"/>
          <w:szCs w:val="24"/>
          <w:highlight w:val="none"/>
        </w:rPr>
        <w:t>7.1  道路通行权和场外设施</w:t>
      </w:r>
      <w:bookmarkEnd w:id="126"/>
      <w:bookmarkEnd w:id="12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道路通行权和场外设施的约定：</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28" w:name="_Toc472280827"/>
      <w:bookmarkStart w:id="129" w:name="_Toc472281456"/>
      <w:bookmarkStart w:id="130" w:name="_Toc261017690"/>
      <w:r>
        <w:rPr>
          <w:rFonts w:hint="eastAsia" w:ascii="宋体" w:hAnsi="宋体" w:eastAsia="宋体" w:cs="宋体"/>
          <w:bCs/>
          <w:color w:val="auto"/>
          <w:sz w:val="24"/>
          <w:szCs w:val="24"/>
          <w:highlight w:val="none"/>
        </w:rPr>
        <w:t>8  测量放线</w:t>
      </w:r>
      <w:bookmarkEnd w:id="128"/>
      <w:bookmarkEnd w:id="129"/>
      <w:bookmarkEnd w:id="130"/>
    </w:p>
    <w:p>
      <w:pPr>
        <w:keepNext/>
        <w:keepLines/>
        <w:snapToGrid w:val="0"/>
        <w:spacing w:line="360" w:lineRule="auto"/>
        <w:outlineLvl w:val="3"/>
        <w:rPr>
          <w:rFonts w:hint="eastAsia" w:ascii="宋体" w:hAnsi="宋体" w:eastAsia="宋体" w:cs="宋体"/>
          <w:color w:val="auto"/>
          <w:sz w:val="24"/>
          <w:szCs w:val="24"/>
          <w:highlight w:val="none"/>
        </w:rPr>
      </w:pPr>
      <w:bookmarkStart w:id="131" w:name="_Toc472280828"/>
      <w:bookmarkStart w:id="132" w:name="_Toc472281457"/>
      <w:r>
        <w:rPr>
          <w:rFonts w:hint="eastAsia" w:ascii="宋体" w:hAnsi="宋体" w:eastAsia="宋体" w:cs="宋体"/>
          <w:color w:val="auto"/>
          <w:sz w:val="24"/>
          <w:szCs w:val="24"/>
          <w:highlight w:val="none"/>
        </w:rPr>
        <w:t>8.1  施工控制网</w:t>
      </w:r>
      <w:bookmarkEnd w:id="131"/>
      <w:bookmarkEnd w:id="13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施工控制网的约定：</w:t>
      </w:r>
      <w:r>
        <w:rPr>
          <w:rFonts w:hint="eastAsia" w:ascii="宋体" w:hAnsi="宋体" w:eastAsia="宋体" w:cs="宋体"/>
          <w:color w:val="auto"/>
          <w:kern w:val="0"/>
          <w:sz w:val="24"/>
          <w:szCs w:val="24"/>
          <w:highlight w:val="none"/>
          <w:u w:val="single"/>
        </w:rPr>
        <w:t>发包人提供基点</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33" w:name="_Toc261017691"/>
      <w:bookmarkStart w:id="134" w:name="_Toc472281458"/>
      <w:bookmarkStart w:id="135" w:name="_Toc472280829"/>
      <w:r>
        <w:rPr>
          <w:rFonts w:hint="eastAsia" w:ascii="宋体" w:hAnsi="宋体" w:eastAsia="宋体" w:cs="宋体"/>
          <w:bCs/>
          <w:color w:val="auto"/>
          <w:sz w:val="24"/>
          <w:szCs w:val="24"/>
          <w:highlight w:val="none"/>
        </w:rPr>
        <w:t>9  施工安全、治安保卫和环境保护</w:t>
      </w:r>
      <w:bookmarkEnd w:id="133"/>
      <w:bookmarkEnd w:id="134"/>
      <w:bookmarkEnd w:id="135"/>
    </w:p>
    <w:p>
      <w:pPr>
        <w:keepNext/>
        <w:keepLines/>
        <w:snapToGrid w:val="0"/>
        <w:spacing w:line="360" w:lineRule="auto"/>
        <w:outlineLvl w:val="3"/>
        <w:rPr>
          <w:rFonts w:hint="eastAsia" w:ascii="宋体" w:hAnsi="宋体" w:eastAsia="宋体" w:cs="宋体"/>
          <w:color w:val="auto"/>
          <w:sz w:val="24"/>
          <w:szCs w:val="24"/>
          <w:highlight w:val="none"/>
        </w:rPr>
      </w:pPr>
      <w:bookmarkStart w:id="136" w:name="_Toc472280830"/>
      <w:bookmarkStart w:id="137" w:name="_Toc472281459"/>
      <w:r>
        <w:rPr>
          <w:rFonts w:hint="eastAsia" w:ascii="宋体" w:hAnsi="宋体" w:eastAsia="宋体" w:cs="宋体"/>
          <w:color w:val="auto"/>
          <w:sz w:val="24"/>
          <w:szCs w:val="24"/>
          <w:highlight w:val="none"/>
        </w:rPr>
        <w:t>9.1  发包人的施工安全责任</w:t>
      </w:r>
      <w:bookmarkEnd w:id="136"/>
      <w:bookmarkEnd w:id="13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9.1.4  发包人提供</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资料，其余资料由承包人负责收集。 </w:t>
      </w:r>
    </w:p>
    <w:p>
      <w:pPr>
        <w:keepNext/>
        <w:keepLines/>
        <w:snapToGrid w:val="0"/>
        <w:spacing w:line="360" w:lineRule="auto"/>
        <w:outlineLvl w:val="3"/>
        <w:rPr>
          <w:rFonts w:hint="eastAsia" w:ascii="宋体" w:hAnsi="宋体" w:eastAsia="宋体" w:cs="宋体"/>
          <w:color w:val="auto"/>
          <w:sz w:val="24"/>
          <w:szCs w:val="24"/>
          <w:highlight w:val="none"/>
        </w:rPr>
      </w:pPr>
      <w:bookmarkStart w:id="138" w:name="_Toc472281460"/>
      <w:bookmarkStart w:id="139" w:name="_Toc472280831"/>
      <w:r>
        <w:rPr>
          <w:rFonts w:hint="eastAsia" w:ascii="宋体" w:hAnsi="宋体" w:eastAsia="宋体" w:cs="宋体"/>
          <w:color w:val="auto"/>
          <w:sz w:val="24"/>
          <w:szCs w:val="24"/>
          <w:highlight w:val="none"/>
        </w:rPr>
        <w:t>9.2  承包人的施工安全责任</w:t>
      </w:r>
      <w:bookmarkEnd w:id="138"/>
      <w:bookmarkEnd w:id="139"/>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9.2.1 承包人报监理人审批施工安全措施计划的期限：发出开工通知后 5 天内。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9.2.2 本合同安全施工措施费用：全部由承包人承担，并包括在相关工作的合同价格中。</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治安保卫</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 承包人应主动与当地公安部门协商，在现场建立治安管理机构或联防组织，统一管理施工场地的治安保卫事项，履行合同约定的治安保卫职责，并承担全部责任。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 施工场地治安管理计划和突发治安事件的紧急预案编制：由承包人负责编制</w:t>
      </w:r>
    </w:p>
    <w:p>
      <w:pPr>
        <w:keepNext/>
        <w:keepLines/>
        <w:snapToGrid w:val="0"/>
        <w:spacing w:line="360" w:lineRule="auto"/>
        <w:outlineLvl w:val="3"/>
        <w:rPr>
          <w:rFonts w:hint="eastAsia" w:ascii="宋体" w:hAnsi="宋体" w:eastAsia="宋体" w:cs="宋体"/>
          <w:color w:val="auto"/>
          <w:sz w:val="24"/>
          <w:szCs w:val="24"/>
          <w:highlight w:val="none"/>
        </w:rPr>
      </w:pPr>
      <w:bookmarkStart w:id="140" w:name="_Toc472281461"/>
      <w:bookmarkStart w:id="141" w:name="_Toc472280832"/>
      <w:r>
        <w:rPr>
          <w:rFonts w:hint="eastAsia" w:ascii="宋体" w:hAnsi="宋体" w:eastAsia="宋体" w:cs="宋体"/>
          <w:color w:val="auto"/>
          <w:sz w:val="24"/>
          <w:szCs w:val="24"/>
          <w:highlight w:val="none"/>
        </w:rPr>
        <w:t>9.7  文明工地</w:t>
      </w:r>
      <w:bookmarkEnd w:id="140"/>
      <w:bookmarkEnd w:id="14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  本合同文明工地的约定：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进度计划</w:t>
      </w:r>
    </w:p>
    <w:p>
      <w:pPr>
        <w:snapToGrid w:val="0"/>
        <w:spacing w:line="360" w:lineRule="auto"/>
        <w:outlineLvl w:val="2"/>
        <w:rPr>
          <w:rFonts w:hint="eastAsia" w:ascii="宋体" w:hAnsi="宋体" w:eastAsia="宋体" w:cs="宋体"/>
          <w:bCs/>
          <w:color w:val="auto"/>
          <w:sz w:val="24"/>
          <w:szCs w:val="24"/>
          <w:highlight w:val="none"/>
        </w:rPr>
      </w:pPr>
      <w:bookmarkStart w:id="142" w:name="_Toc472280833"/>
      <w:bookmarkStart w:id="143" w:name="_Toc472281462"/>
      <w:bookmarkStart w:id="144" w:name="_Toc261017692"/>
      <w:r>
        <w:rPr>
          <w:rFonts w:hint="eastAsia" w:ascii="宋体" w:hAnsi="宋体" w:eastAsia="宋体" w:cs="宋体"/>
          <w:bCs/>
          <w:color w:val="auto"/>
          <w:sz w:val="24"/>
          <w:szCs w:val="24"/>
          <w:highlight w:val="none"/>
        </w:rPr>
        <w:t>11  开工和竣工（完工）</w:t>
      </w:r>
      <w:bookmarkEnd w:id="142"/>
      <w:bookmarkEnd w:id="143"/>
      <w:bookmarkEnd w:id="144"/>
    </w:p>
    <w:p>
      <w:pPr>
        <w:keepNext/>
        <w:keepLines/>
        <w:snapToGrid w:val="0"/>
        <w:spacing w:line="360" w:lineRule="auto"/>
        <w:outlineLvl w:val="3"/>
        <w:rPr>
          <w:rFonts w:hint="eastAsia" w:ascii="宋体" w:hAnsi="宋体" w:eastAsia="宋体" w:cs="宋体"/>
          <w:color w:val="auto"/>
          <w:sz w:val="24"/>
          <w:szCs w:val="24"/>
          <w:highlight w:val="none"/>
        </w:rPr>
      </w:pPr>
      <w:bookmarkStart w:id="145" w:name="_Toc472281463"/>
      <w:bookmarkStart w:id="146" w:name="_Toc472280834"/>
      <w:r>
        <w:rPr>
          <w:rFonts w:hint="eastAsia" w:ascii="宋体" w:hAnsi="宋体" w:eastAsia="宋体" w:cs="宋体"/>
          <w:color w:val="auto"/>
          <w:sz w:val="24"/>
          <w:szCs w:val="24"/>
          <w:highlight w:val="none"/>
        </w:rPr>
        <w:t>11.1  开工</w:t>
      </w:r>
      <w:bookmarkEnd w:id="145"/>
      <w:bookmarkEnd w:id="146"/>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计划</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日开工。具体以开工令时间为准。</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11.2竣工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计划竣工时间为</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04</w:t>
      </w:r>
      <w:r>
        <w:rPr>
          <w:rFonts w:hint="eastAsia" w:ascii="宋体" w:hAnsi="宋体" w:eastAsia="宋体" w:cs="宋体"/>
          <w:color w:val="auto"/>
          <w:kern w:val="0"/>
          <w:sz w:val="24"/>
          <w:szCs w:val="24"/>
          <w:highlight w:val="none"/>
        </w:rPr>
        <w:t>日。</w:t>
      </w:r>
    </w:p>
    <w:p>
      <w:pPr>
        <w:keepNext/>
        <w:keepLines/>
        <w:spacing w:line="360" w:lineRule="auto"/>
        <w:contextualSpacing/>
        <w:outlineLvl w:val="3"/>
        <w:rPr>
          <w:rFonts w:hint="eastAsia" w:ascii="宋体" w:hAnsi="宋体" w:eastAsia="宋体" w:cs="宋体"/>
          <w:color w:val="auto"/>
          <w:sz w:val="24"/>
          <w:szCs w:val="24"/>
          <w:highlight w:val="none"/>
        </w:rPr>
      </w:pPr>
      <w:bookmarkStart w:id="147" w:name="_Toc472281465"/>
      <w:bookmarkStart w:id="148" w:name="_Toc472280836"/>
      <w:r>
        <w:rPr>
          <w:rFonts w:hint="eastAsia" w:ascii="宋体" w:hAnsi="宋体" w:eastAsia="宋体" w:cs="宋体"/>
          <w:color w:val="auto"/>
          <w:sz w:val="24"/>
          <w:szCs w:val="24"/>
          <w:highlight w:val="none"/>
        </w:rPr>
        <w:t>11.3 异常恶劣的气候条件</w:t>
      </w:r>
      <w:bookmarkEnd w:id="147"/>
      <w:bookmarkEnd w:id="148"/>
      <w:r>
        <w:rPr>
          <w:rFonts w:hint="eastAsia" w:ascii="宋体" w:hAnsi="宋体" w:eastAsia="宋体" w:cs="宋体"/>
          <w:color w:val="auto"/>
          <w:sz w:val="24"/>
          <w:szCs w:val="24"/>
          <w:highlight w:val="none"/>
        </w:rPr>
        <w:t xml:space="preserve"> </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恶劣气候对工程的影响由承包人根据本地区气象条件自行考虑，并已计入合同总价内。</w:t>
      </w:r>
    </w:p>
    <w:p>
      <w:pPr>
        <w:keepNext/>
        <w:keepLines/>
        <w:spacing w:line="360" w:lineRule="auto"/>
        <w:contextualSpacing/>
        <w:outlineLvl w:val="3"/>
        <w:rPr>
          <w:rFonts w:hint="eastAsia" w:ascii="宋体" w:hAnsi="宋体" w:eastAsia="宋体" w:cs="宋体"/>
          <w:color w:val="auto"/>
          <w:sz w:val="24"/>
          <w:szCs w:val="24"/>
          <w:highlight w:val="none"/>
        </w:rPr>
      </w:pPr>
      <w:bookmarkStart w:id="149" w:name="_Toc472281466"/>
      <w:bookmarkStart w:id="150" w:name="_Toc472280837"/>
      <w:r>
        <w:rPr>
          <w:rFonts w:hint="eastAsia" w:ascii="宋体" w:hAnsi="宋体" w:eastAsia="宋体" w:cs="宋体"/>
          <w:color w:val="auto"/>
          <w:sz w:val="24"/>
          <w:szCs w:val="24"/>
          <w:highlight w:val="none"/>
        </w:rPr>
        <w:t>11.4 承包人工期延误</w:t>
      </w:r>
      <w:bookmarkEnd w:id="149"/>
      <w:bookmarkEnd w:id="150"/>
      <w:r>
        <w:rPr>
          <w:rFonts w:hint="eastAsia" w:ascii="宋体" w:hAnsi="宋体" w:eastAsia="宋体" w:cs="宋体"/>
          <w:color w:val="auto"/>
          <w:sz w:val="24"/>
          <w:szCs w:val="24"/>
          <w:highlight w:val="none"/>
        </w:rPr>
        <w:t xml:space="preserve"> </w:t>
      </w:r>
    </w:p>
    <w:p>
      <w:pPr>
        <w:spacing w:line="360" w:lineRule="auto"/>
        <w:ind w:firstLine="480" w:firstLineChars="200"/>
        <w:contextualSpacing/>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因承包人原因造成总工期逾期完工的，每延误一天处违约金10000元。</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（2）全部逾期完工违约金的总限额为</w:t>
      </w:r>
      <w:r>
        <w:rPr>
          <w:rFonts w:hint="eastAsia" w:ascii="宋体" w:hAnsi="宋体" w:eastAsia="宋体" w:cs="宋体"/>
          <w:color w:val="auto"/>
          <w:kern w:val="0"/>
          <w:sz w:val="24"/>
          <w:szCs w:val="24"/>
          <w:highlight w:val="none"/>
          <w:u w:val="single"/>
        </w:rPr>
        <w:t>：不超过签约合同价的5%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对承包人工期延误违约金达到合同总价的10%，发包人有权单方解除合同，由此给发包人造成的一切损失由承包人承担。</w:t>
      </w:r>
    </w:p>
    <w:p>
      <w:pPr>
        <w:keepNext/>
        <w:keepLines/>
        <w:spacing w:line="360" w:lineRule="auto"/>
        <w:contextualSpacing/>
        <w:outlineLvl w:val="3"/>
        <w:rPr>
          <w:rFonts w:hint="eastAsia" w:ascii="宋体" w:hAnsi="宋体" w:eastAsia="宋体" w:cs="宋体"/>
          <w:color w:val="auto"/>
          <w:sz w:val="24"/>
          <w:szCs w:val="24"/>
          <w:highlight w:val="none"/>
        </w:rPr>
      </w:pPr>
      <w:bookmarkStart w:id="151" w:name="_Toc472281467"/>
      <w:bookmarkStart w:id="152" w:name="_Toc472280838"/>
      <w:r>
        <w:rPr>
          <w:rFonts w:hint="eastAsia" w:ascii="宋体" w:hAnsi="宋体" w:eastAsia="宋体" w:cs="宋体"/>
          <w:color w:val="auto"/>
          <w:sz w:val="24"/>
          <w:szCs w:val="24"/>
          <w:highlight w:val="none"/>
        </w:rPr>
        <w:t xml:space="preserve">11.5承包人工期延误 </w:t>
      </w:r>
    </w:p>
    <w:p>
      <w:pPr>
        <w:spacing w:line="360" w:lineRule="auto"/>
        <w:ind w:firstLine="480" w:firstLineChars="200"/>
        <w:contextualSpacing/>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因承包人原因造成总工期逾期完工的，每延误一天处违约金10000元。</w:t>
      </w:r>
    </w:p>
    <w:p>
      <w:pPr>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（2）全部逾期完工违约金的总限额为</w:t>
      </w:r>
      <w:r>
        <w:rPr>
          <w:rFonts w:hint="eastAsia" w:ascii="宋体" w:hAnsi="宋体" w:eastAsia="宋体" w:cs="宋体"/>
          <w:color w:val="auto"/>
          <w:kern w:val="0"/>
          <w:sz w:val="24"/>
          <w:szCs w:val="24"/>
          <w:highlight w:val="none"/>
          <w:u w:val="single"/>
        </w:rPr>
        <w:t>：不超过签约合同价的5%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对承包人工期延误违约金达到合同总价的10%，发包人有权单方解除合同，由此给发包人造成的一切损失由承包人承担。</w:t>
      </w:r>
    </w:p>
    <w:p>
      <w:pPr>
        <w:keepNext/>
        <w:keepLines/>
        <w:spacing w:line="360" w:lineRule="auto"/>
        <w:contextualSpacing/>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11.6工期提前</w:t>
      </w:r>
      <w:bookmarkEnd w:id="151"/>
      <w:bookmarkEnd w:id="15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工期提前的奖金约定：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53" w:name="_Toc261017693"/>
      <w:bookmarkStart w:id="154" w:name="_Toc472281468"/>
      <w:bookmarkStart w:id="155" w:name="_Toc472280839"/>
      <w:r>
        <w:rPr>
          <w:rFonts w:hint="eastAsia" w:ascii="宋体" w:hAnsi="宋体" w:eastAsia="宋体" w:cs="宋体"/>
          <w:bCs/>
          <w:color w:val="auto"/>
          <w:sz w:val="24"/>
          <w:szCs w:val="24"/>
          <w:highlight w:val="none"/>
        </w:rPr>
        <w:t>12  暂停施工</w:t>
      </w:r>
      <w:bookmarkEnd w:id="153"/>
      <w:bookmarkEnd w:id="154"/>
      <w:bookmarkEnd w:id="155"/>
    </w:p>
    <w:p>
      <w:pPr>
        <w:keepNext/>
        <w:keepLines/>
        <w:snapToGrid w:val="0"/>
        <w:spacing w:line="360" w:lineRule="auto"/>
        <w:outlineLvl w:val="3"/>
        <w:rPr>
          <w:rFonts w:hint="eastAsia" w:ascii="宋体" w:hAnsi="宋体" w:eastAsia="宋体" w:cs="宋体"/>
          <w:color w:val="auto"/>
          <w:sz w:val="24"/>
          <w:szCs w:val="24"/>
          <w:highlight w:val="none"/>
        </w:rPr>
      </w:pPr>
      <w:bookmarkStart w:id="156" w:name="_Toc472281469"/>
      <w:bookmarkStart w:id="157" w:name="_Toc472280840"/>
      <w:r>
        <w:rPr>
          <w:rFonts w:hint="eastAsia" w:ascii="宋体" w:hAnsi="宋体" w:eastAsia="宋体" w:cs="宋体"/>
          <w:color w:val="auto"/>
          <w:sz w:val="24"/>
          <w:szCs w:val="24"/>
          <w:highlight w:val="none"/>
        </w:rPr>
        <w:t>12.1  承包人暂停施工的责任</w:t>
      </w:r>
      <w:bookmarkEnd w:id="156"/>
      <w:bookmarkEnd w:id="157"/>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（5）承包人承担的其它暂停施工责任的其它情形：</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1）现场气候条件引起的必要停工。</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2）行政主管部门、上级单位的视察、检查、督查、指导工作的必要配合。</w:t>
      </w:r>
    </w:p>
    <w:p>
      <w:pPr>
        <w:snapToGrid w:val="0"/>
        <w:spacing w:line="360" w:lineRule="auto"/>
        <w:ind w:firstLine="849" w:firstLineChars="35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3）相临施工单位之间的影响。</w:t>
      </w:r>
    </w:p>
    <w:p>
      <w:pPr>
        <w:keepNext/>
        <w:keepLines/>
        <w:snapToGrid w:val="0"/>
        <w:spacing w:line="360" w:lineRule="auto"/>
        <w:outlineLvl w:val="3"/>
        <w:rPr>
          <w:rFonts w:hint="eastAsia" w:ascii="宋体" w:hAnsi="宋体" w:eastAsia="宋体" w:cs="宋体"/>
          <w:color w:val="auto"/>
          <w:sz w:val="24"/>
          <w:szCs w:val="24"/>
          <w:highlight w:val="none"/>
        </w:rPr>
      </w:pPr>
      <w:bookmarkStart w:id="158" w:name="_Toc472281470"/>
      <w:bookmarkStart w:id="159" w:name="_Toc472280841"/>
      <w:r>
        <w:rPr>
          <w:rFonts w:hint="eastAsia" w:ascii="宋体" w:hAnsi="宋体" w:eastAsia="宋体" w:cs="宋体"/>
          <w:color w:val="auto"/>
          <w:sz w:val="24"/>
          <w:szCs w:val="24"/>
          <w:highlight w:val="none"/>
        </w:rPr>
        <w:t>12.2  发包人暂停施工的责任</w:t>
      </w:r>
      <w:bookmarkEnd w:id="158"/>
      <w:bookmarkEnd w:id="159"/>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（3）发包人承担的其它暂停施工责任的其它情形：</w:t>
      </w:r>
      <w:r>
        <w:rPr>
          <w:rFonts w:hint="eastAsia" w:ascii="宋体" w:hAnsi="宋体" w:eastAsia="宋体" w:cs="宋体"/>
          <w:color w:val="auto"/>
          <w:kern w:val="0"/>
          <w:sz w:val="24"/>
          <w:szCs w:val="24"/>
          <w:highlight w:val="none"/>
          <w:u w:val="single"/>
        </w:rPr>
        <w:t>无</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60" w:name="_Toc261017694"/>
      <w:bookmarkStart w:id="161" w:name="_Toc472280842"/>
      <w:bookmarkStart w:id="162" w:name="_Toc472281471"/>
      <w:r>
        <w:rPr>
          <w:rFonts w:hint="eastAsia" w:ascii="宋体" w:hAnsi="宋体" w:eastAsia="宋体" w:cs="宋体"/>
          <w:bCs/>
          <w:color w:val="auto"/>
          <w:sz w:val="24"/>
          <w:szCs w:val="24"/>
          <w:highlight w:val="none"/>
        </w:rPr>
        <w:t>13  工程质量</w:t>
      </w:r>
      <w:bookmarkEnd w:id="160"/>
      <w:bookmarkEnd w:id="161"/>
      <w:bookmarkEnd w:id="162"/>
    </w:p>
    <w:p>
      <w:pPr>
        <w:keepNext/>
        <w:keepLines/>
        <w:snapToGrid w:val="0"/>
        <w:spacing w:line="360" w:lineRule="auto"/>
        <w:outlineLvl w:val="3"/>
        <w:rPr>
          <w:rFonts w:hint="eastAsia" w:ascii="宋体" w:hAnsi="宋体" w:eastAsia="宋体" w:cs="宋体"/>
          <w:color w:val="auto"/>
          <w:sz w:val="24"/>
          <w:szCs w:val="24"/>
          <w:highlight w:val="none"/>
        </w:rPr>
      </w:pPr>
      <w:bookmarkStart w:id="163" w:name="_Toc472281472"/>
      <w:bookmarkStart w:id="164" w:name="_Toc472280843"/>
      <w:r>
        <w:rPr>
          <w:rFonts w:hint="eastAsia" w:ascii="宋体" w:hAnsi="宋体" w:eastAsia="宋体" w:cs="宋体"/>
          <w:color w:val="auto"/>
          <w:sz w:val="24"/>
          <w:szCs w:val="24"/>
          <w:highlight w:val="none"/>
        </w:rPr>
        <w:t>13.7  质量评定</w:t>
      </w:r>
      <w:bookmarkEnd w:id="163"/>
      <w:bookmarkEnd w:id="164"/>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65" w:name="_Toc472281473"/>
      <w:bookmarkStart w:id="166" w:name="_Toc472280844"/>
      <w:r>
        <w:rPr>
          <w:rFonts w:hint="eastAsia" w:ascii="宋体" w:hAnsi="宋体" w:eastAsia="宋体" w:cs="宋体"/>
          <w:color w:val="auto"/>
          <w:kern w:val="0"/>
          <w:sz w:val="24"/>
          <w:szCs w:val="24"/>
          <w:highlight w:val="none"/>
        </w:rPr>
        <w:t>13.7.4  重要隐蔽单元工程和关键部位单元工程质量评定的约定：</w:t>
      </w:r>
      <w:r>
        <w:rPr>
          <w:rFonts w:hint="eastAsia" w:ascii="宋体" w:hAnsi="宋体" w:eastAsia="宋体" w:cs="宋体"/>
          <w:color w:val="auto"/>
          <w:kern w:val="0"/>
          <w:sz w:val="24"/>
          <w:szCs w:val="24"/>
          <w:highlight w:val="none"/>
          <w:u w:val="single"/>
        </w:rPr>
        <w:t>合格</w:t>
      </w:r>
      <w:r>
        <w:rPr>
          <w:rFonts w:hint="eastAsia" w:ascii="宋体" w:hAnsi="宋体" w:eastAsia="宋体" w:cs="宋体"/>
          <w:color w:val="auto"/>
          <w:kern w:val="0"/>
          <w:sz w:val="24"/>
          <w:szCs w:val="24"/>
          <w:highlight w:val="none"/>
        </w:rPr>
        <w:t>。</w:t>
      </w:r>
      <w:bookmarkEnd w:id="165"/>
      <w:bookmarkEnd w:id="16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13.7.7  工程合格标准为：</w:t>
      </w:r>
      <w:r>
        <w:rPr>
          <w:rFonts w:hint="eastAsia" w:ascii="宋体" w:hAnsi="宋体" w:eastAsia="宋体" w:cs="宋体"/>
          <w:color w:val="auto"/>
          <w:kern w:val="0"/>
          <w:sz w:val="24"/>
          <w:szCs w:val="24"/>
          <w:highlight w:val="none"/>
          <w:u w:val="single"/>
        </w:rPr>
        <w:t>达到工程验收规程规定的合格率标准</w:t>
      </w:r>
      <w:r>
        <w:rPr>
          <w:rFonts w:hint="eastAsia" w:ascii="宋体" w:hAnsi="宋体" w:eastAsia="宋体" w:cs="宋体"/>
          <w:color w:val="auto"/>
          <w:kern w:val="0"/>
          <w:sz w:val="24"/>
          <w:szCs w:val="24"/>
          <w:highlight w:val="none"/>
        </w:rPr>
        <w:t>，优良标准为：</w:t>
      </w:r>
      <w:r>
        <w:rPr>
          <w:rFonts w:hint="eastAsia" w:ascii="宋体" w:hAnsi="宋体" w:eastAsia="宋体" w:cs="宋体"/>
          <w:color w:val="auto"/>
          <w:kern w:val="0"/>
          <w:sz w:val="24"/>
          <w:szCs w:val="24"/>
          <w:highlight w:val="none"/>
          <w:u w:val="single"/>
        </w:rPr>
        <w:t>达到工程验收规程规定的优良标准</w:t>
      </w:r>
      <w:r>
        <w:rPr>
          <w:rFonts w:hint="eastAsia" w:ascii="宋体" w:hAnsi="宋体" w:eastAsia="宋体" w:cs="宋体"/>
          <w:color w:val="auto"/>
          <w:kern w:val="0"/>
          <w:sz w:val="24"/>
          <w:szCs w:val="24"/>
          <w:highlight w:val="none"/>
        </w:rPr>
        <w:t>。达到优良的奖金为：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67" w:name="_Toc472280845"/>
      <w:bookmarkStart w:id="168" w:name="_Toc472281474"/>
      <w:r>
        <w:rPr>
          <w:rFonts w:hint="eastAsia" w:ascii="宋体" w:hAnsi="宋体" w:eastAsia="宋体" w:cs="宋体"/>
          <w:color w:val="auto"/>
          <w:sz w:val="24"/>
          <w:szCs w:val="24"/>
          <w:highlight w:val="none"/>
        </w:rPr>
        <w:t>13.8  质量事故处理</w:t>
      </w:r>
      <w:bookmarkEnd w:id="167"/>
      <w:bookmarkEnd w:id="168"/>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13.8.4  工程竣工验收时，</w:t>
      </w:r>
      <w:r>
        <w:rPr>
          <w:rFonts w:hint="eastAsia" w:ascii="宋体" w:hAnsi="宋体" w:eastAsia="宋体" w:cs="宋体"/>
          <w:color w:val="auto"/>
          <w:kern w:val="0"/>
          <w:sz w:val="24"/>
          <w:szCs w:val="24"/>
          <w:highlight w:val="none"/>
          <w:u w:val="single"/>
        </w:rPr>
        <w:t>发包人（项目实施单位）</w:t>
      </w:r>
      <w:r>
        <w:rPr>
          <w:rFonts w:hint="eastAsia" w:ascii="宋体" w:hAnsi="宋体" w:eastAsia="宋体" w:cs="宋体"/>
          <w:color w:val="auto"/>
          <w:kern w:val="0"/>
          <w:sz w:val="24"/>
          <w:szCs w:val="24"/>
          <w:highlight w:val="none"/>
        </w:rPr>
        <w:t>向竣工验收委员会汇报并提交历次质量缺陷处理的备案资料。</w:t>
      </w:r>
    </w:p>
    <w:p>
      <w:pPr>
        <w:snapToGrid w:val="0"/>
        <w:spacing w:line="360" w:lineRule="auto"/>
        <w:outlineLvl w:val="2"/>
        <w:rPr>
          <w:rFonts w:hint="eastAsia" w:ascii="宋体" w:hAnsi="宋体" w:eastAsia="宋体" w:cs="宋体"/>
          <w:bCs/>
          <w:color w:val="auto"/>
          <w:sz w:val="24"/>
          <w:szCs w:val="24"/>
          <w:highlight w:val="none"/>
        </w:rPr>
      </w:pPr>
      <w:bookmarkStart w:id="169" w:name="_Toc472281475"/>
      <w:bookmarkStart w:id="170" w:name="_Toc261017695"/>
      <w:bookmarkStart w:id="171" w:name="_Toc472280846"/>
      <w:r>
        <w:rPr>
          <w:rFonts w:hint="eastAsia" w:ascii="宋体" w:hAnsi="宋体" w:eastAsia="宋体" w:cs="宋体"/>
          <w:bCs/>
          <w:color w:val="auto"/>
          <w:sz w:val="24"/>
          <w:szCs w:val="24"/>
          <w:highlight w:val="none"/>
        </w:rPr>
        <w:t>14  试验和检验</w:t>
      </w:r>
      <w:bookmarkEnd w:id="169"/>
      <w:bookmarkEnd w:id="170"/>
      <w:bookmarkEnd w:id="171"/>
    </w:p>
    <w:p>
      <w:pPr>
        <w:keepNext/>
        <w:keepLines/>
        <w:snapToGrid w:val="0"/>
        <w:spacing w:line="360" w:lineRule="auto"/>
        <w:outlineLvl w:val="3"/>
        <w:rPr>
          <w:rFonts w:hint="eastAsia" w:ascii="宋体" w:hAnsi="宋体" w:eastAsia="宋体" w:cs="宋体"/>
          <w:color w:val="auto"/>
          <w:sz w:val="24"/>
          <w:szCs w:val="24"/>
          <w:highlight w:val="none"/>
        </w:rPr>
      </w:pPr>
      <w:bookmarkStart w:id="172" w:name="_Toc472280847"/>
      <w:bookmarkStart w:id="173" w:name="_Toc472281476"/>
      <w:r>
        <w:rPr>
          <w:rFonts w:hint="eastAsia" w:ascii="宋体" w:hAnsi="宋体" w:eastAsia="宋体" w:cs="宋体"/>
          <w:color w:val="auto"/>
          <w:sz w:val="24"/>
          <w:szCs w:val="24"/>
          <w:highlight w:val="none"/>
        </w:rPr>
        <w:t>14.1  材料、工程设备和工程的试验和检验</w:t>
      </w:r>
      <w:bookmarkEnd w:id="172"/>
      <w:bookmarkEnd w:id="173"/>
    </w:p>
    <w:p>
      <w:pPr>
        <w:wordWrap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  水工金属结构、启闭机及机电产品进场后的交货检查和验收中，承包人负责</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  本工程实行见证取样的试块、试件及有关材料：</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74" w:name="_Toc261017696"/>
      <w:bookmarkStart w:id="175" w:name="_Toc472281477"/>
      <w:bookmarkStart w:id="176" w:name="_Toc472280848"/>
      <w:r>
        <w:rPr>
          <w:rFonts w:hint="eastAsia" w:ascii="宋体" w:hAnsi="宋体" w:eastAsia="宋体" w:cs="宋体"/>
          <w:bCs/>
          <w:color w:val="auto"/>
          <w:sz w:val="24"/>
          <w:szCs w:val="24"/>
          <w:highlight w:val="none"/>
        </w:rPr>
        <w:t>15  变更</w:t>
      </w:r>
      <w:bookmarkEnd w:id="174"/>
      <w:bookmarkEnd w:id="175"/>
      <w:bookmarkEnd w:id="176"/>
    </w:p>
    <w:p>
      <w:pPr>
        <w:keepNext/>
        <w:keepLines/>
        <w:snapToGrid w:val="0"/>
        <w:spacing w:line="360" w:lineRule="auto"/>
        <w:outlineLvl w:val="3"/>
        <w:rPr>
          <w:rFonts w:hint="eastAsia" w:ascii="宋体" w:hAnsi="宋体" w:eastAsia="宋体" w:cs="宋体"/>
          <w:color w:val="auto"/>
          <w:sz w:val="24"/>
          <w:szCs w:val="24"/>
          <w:highlight w:val="none"/>
        </w:rPr>
      </w:pPr>
      <w:bookmarkStart w:id="177" w:name="_Toc472281478"/>
      <w:bookmarkStart w:id="178" w:name="_Toc472280849"/>
      <w:r>
        <w:rPr>
          <w:rFonts w:hint="eastAsia" w:ascii="宋体" w:hAnsi="宋体" w:eastAsia="宋体" w:cs="宋体"/>
          <w:color w:val="auto"/>
          <w:sz w:val="24"/>
          <w:szCs w:val="24"/>
          <w:highlight w:val="none"/>
        </w:rPr>
        <w:t>15.1  变更的范围和内容</w:t>
      </w:r>
      <w:bookmarkEnd w:id="177"/>
      <w:bookmarkEnd w:id="178"/>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79" w:name="_Toc472280850"/>
      <w:bookmarkStart w:id="180" w:name="_Toc472281479"/>
      <w:r>
        <w:rPr>
          <w:rFonts w:hint="eastAsia" w:ascii="宋体" w:hAnsi="宋体" w:eastAsia="宋体" w:cs="宋体"/>
          <w:color w:val="auto"/>
          <w:kern w:val="0"/>
          <w:sz w:val="24"/>
          <w:szCs w:val="24"/>
          <w:highlight w:val="none"/>
        </w:rPr>
        <w:t>（6）本合同《工程量清单》中的任一子项目的工程量无论发生何种增减变化，该项目单价不予调整。</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变更的估价原则</w:t>
      </w:r>
      <w:bookmarkEnd w:id="179"/>
      <w:bookmarkEnd w:id="180"/>
    </w:p>
    <w:p>
      <w:pPr>
        <w:snapToGrid w:val="0"/>
        <w:spacing w:line="360" w:lineRule="auto"/>
        <w:ind w:firstLine="480" w:firstLineChars="200"/>
        <w:rPr>
          <w:rFonts w:hint="eastAsia" w:ascii="宋体" w:hAnsi="宋体" w:eastAsia="宋体" w:cs="宋体"/>
          <w:color w:val="auto"/>
          <w:kern w:val="0"/>
          <w:sz w:val="24"/>
          <w:szCs w:val="24"/>
          <w:highlight w:val="none"/>
        </w:rPr>
      </w:pPr>
      <w:bookmarkStart w:id="181" w:name="_Toc472281480"/>
      <w:bookmarkStart w:id="182" w:name="_Toc472280851"/>
      <w:r>
        <w:rPr>
          <w:rFonts w:hint="eastAsia" w:ascii="宋体" w:hAnsi="宋体" w:eastAsia="宋体" w:cs="宋体"/>
          <w:color w:val="auto"/>
          <w:kern w:val="0"/>
          <w:sz w:val="24"/>
          <w:szCs w:val="24"/>
          <w:highlight w:val="none"/>
        </w:rPr>
        <w:t>15.4.3  删去本项全文，并代之以：</w:t>
      </w:r>
      <w:bookmarkEnd w:id="181"/>
      <w:bookmarkEnd w:id="18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本合同《工程量清单》中无类似项目的单价或合价可参考，则新增的单价确定按发包人、监理审核批准的施工工艺、按投标单价的编制方法和基础单价、取费费率重新计算，由监理人审核报发包人批准。</w:t>
      </w:r>
    </w:p>
    <w:p>
      <w:pPr>
        <w:keepNext/>
        <w:keepLines/>
        <w:snapToGrid w:val="0"/>
        <w:spacing w:line="360" w:lineRule="auto"/>
        <w:ind w:firstLine="480" w:firstLineChars="200"/>
        <w:outlineLvl w:val="3"/>
        <w:rPr>
          <w:rFonts w:hint="eastAsia" w:ascii="宋体" w:hAnsi="宋体" w:eastAsia="宋体" w:cs="宋体"/>
          <w:color w:val="auto"/>
          <w:kern w:val="0"/>
          <w:sz w:val="24"/>
          <w:szCs w:val="24"/>
          <w:highlight w:val="none"/>
        </w:rPr>
      </w:pPr>
      <w:bookmarkStart w:id="183" w:name="_Toc472280852"/>
      <w:bookmarkStart w:id="184" w:name="_Toc472281481"/>
      <w:r>
        <w:rPr>
          <w:rFonts w:hint="eastAsia" w:ascii="宋体" w:hAnsi="宋体" w:eastAsia="宋体" w:cs="宋体"/>
          <w:color w:val="auto"/>
          <w:kern w:val="0"/>
          <w:sz w:val="24"/>
          <w:szCs w:val="24"/>
          <w:highlight w:val="none"/>
        </w:rPr>
        <w:t>增加条款：15.4.3 当已标价工程量清单中无类似或相同的主材、辅材材料单价时，则新增单价中的材料采购价以当地造价信息价格为准，或承包人三方询价并经监理、发包人同意的采购价。</w:t>
      </w:r>
    </w:p>
    <w:p>
      <w:pPr>
        <w:keepNext/>
        <w:keepLines/>
        <w:snapToGrid w:val="0"/>
        <w:spacing w:line="360" w:lineRule="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承包人的合理化建议</w:t>
      </w:r>
      <w:bookmarkEnd w:id="183"/>
      <w:bookmarkEnd w:id="184"/>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15.5.2  承包人实现合理化建议的奖励金额为：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85" w:name="_Toc472280853"/>
      <w:bookmarkStart w:id="186" w:name="_Toc472281482"/>
      <w:r>
        <w:rPr>
          <w:rFonts w:hint="eastAsia" w:ascii="宋体" w:hAnsi="宋体" w:eastAsia="宋体" w:cs="宋体"/>
          <w:color w:val="auto"/>
          <w:sz w:val="24"/>
          <w:szCs w:val="24"/>
          <w:highlight w:val="none"/>
        </w:rPr>
        <w:t>15.8  暂估价</w:t>
      </w:r>
      <w:bookmarkEnd w:id="185"/>
      <w:bookmarkEnd w:id="18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15.8.1 （1）发包人和承包人组织招标的暂估价项目：</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；发包人组织招标的暂估价项目：</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（2）发包人和承包人以招标方式选择暂估价项目供应商或分包人时，双方的权利义务关系：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187" w:name="_Toc261017697"/>
      <w:bookmarkStart w:id="188" w:name="_Toc472280854"/>
      <w:bookmarkStart w:id="189" w:name="_Toc472281483"/>
      <w:r>
        <w:rPr>
          <w:rFonts w:hint="eastAsia" w:ascii="宋体" w:hAnsi="宋体" w:eastAsia="宋体" w:cs="宋体"/>
          <w:bCs/>
          <w:color w:val="auto"/>
          <w:sz w:val="24"/>
          <w:szCs w:val="24"/>
          <w:highlight w:val="none"/>
        </w:rPr>
        <w:t>16  价格调整</w:t>
      </w:r>
      <w:bookmarkEnd w:id="187"/>
      <w:bookmarkEnd w:id="188"/>
      <w:bookmarkEnd w:id="189"/>
    </w:p>
    <w:p>
      <w:pPr>
        <w:keepNext/>
        <w:keepLines/>
        <w:snapToGrid w:val="0"/>
        <w:spacing w:line="360" w:lineRule="auto"/>
        <w:outlineLvl w:val="3"/>
        <w:rPr>
          <w:rFonts w:hint="eastAsia" w:ascii="宋体" w:hAnsi="宋体" w:eastAsia="宋体" w:cs="宋体"/>
          <w:color w:val="auto"/>
          <w:sz w:val="24"/>
          <w:szCs w:val="24"/>
          <w:highlight w:val="none"/>
        </w:rPr>
      </w:pPr>
      <w:bookmarkStart w:id="190" w:name="_Toc472281484"/>
      <w:bookmarkStart w:id="191" w:name="_Toc472280855"/>
      <w:r>
        <w:rPr>
          <w:rFonts w:hint="eastAsia" w:ascii="宋体" w:hAnsi="宋体" w:eastAsia="宋体" w:cs="宋体"/>
          <w:color w:val="auto"/>
          <w:sz w:val="24"/>
          <w:szCs w:val="24"/>
          <w:highlight w:val="none"/>
        </w:rPr>
        <w:t>16.1  物价波动引起的价格调整</w:t>
      </w:r>
      <w:bookmarkEnd w:id="190"/>
      <w:bookmarkEnd w:id="191"/>
    </w:p>
    <w:p>
      <w:pPr>
        <w:keepNext/>
        <w:keepLines/>
        <w:snapToGrid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物价波动引起的价格调整方式：不予调整。</w:t>
      </w:r>
    </w:p>
    <w:p>
      <w:pPr>
        <w:snapToGrid w:val="0"/>
        <w:spacing w:line="360" w:lineRule="auto"/>
        <w:outlineLvl w:val="2"/>
        <w:rPr>
          <w:rFonts w:hint="eastAsia" w:ascii="宋体" w:hAnsi="宋体" w:eastAsia="宋体" w:cs="宋体"/>
          <w:bCs/>
          <w:color w:val="auto"/>
          <w:sz w:val="24"/>
          <w:szCs w:val="24"/>
          <w:highlight w:val="none"/>
        </w:rPr>
      </w:pPr>
      <w:bookmarkStart w:id="192" w:name="_Toc261017698"/>
      <w:bookmarkStart w:id="193" w:name="_Toc472281485"/>
      <w:bookmarkStart w:id="194" w:name="_Toc472280856"/>
      <w:r>
        <w:rPr>
          <w:rFonts w:hint="eastAsia" w:ascii="宋体" w:hAnsi="宋体" w:eastAsia="宋体" w:cs="宋体"/>
          <w:bCs/>
          <w:color w:val="auto"/>
          <w:sz w:val="24"/>
          <w:szCs w:val="24"/>
          <w:highlight w:val="none"/>
        </w:rPr>
        <w:t>17  计量与支付</w:t>
      </w:r>
      <w:bookmarkEnd w:id="192"/>
      <w:bookmarkEnd w:id="193"/>
      <w:bookmarkEnd w:id="194"/>
    </w:p>
    <w:p>
      <w:pPr>
        <w:keepNext/>
        <w:keepLines/>
        <w:snapToGrid w:val="0"/>
        <w:spacing w:line="360" w:lineRule="auto"/>
        <w:outlineLvl w:val="3"/>
        <w:rPr>
          <w:rFonts w:hint="eastAsia" w:ascii="宋体" w:hAnsi="宋体" w:eastAsia="宋体" w:cs="宋体"/>
          <w:color w:val="auto"/>
          <w:sz w:val="24"/>
          <w:szCs w:val="24"/>
          <w:highlight w:val="none"/>
        </w:rPr>
      </w:pPr>
      <w:bookmarkStart w:id="195" w:name="_Toc472280857"/>
      <w:bookmarkStart w:id="196" w:name="_Toc472281486"/>
      <w:r>
        <w:rPr>
          <w:rFonts w:hint="eastAsia" w:ascii="宋体" w:hAnsi="宋体" w:eastAsia="宋体" w:cs="宋体"/>
          <w:color w:val="auto"/>
          <w:sz w:val="24"/>
          <w:szCs w:val="24"/>
          <w:highlight w:val="none"/>
        </w:rPr>
        <w:t>17.2  预付款</w:t>
      </w:r>
      <w:bookmarkEnd w:id="195"/>
      <w:bookmarkEnd w:id="19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17.2.1  预付款的额度和预付办法：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工程款付款方式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合同签订后，预付款支付工程款的30%；</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后期按工程进度付款，完成80%工程量后支付到合同总价的80%</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经验收合格后，工程资料齐全、无民工工资纠纷上访现象，且待工程结算完成后支付到合同总价款的97%；</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其余 3%质保金以银行履约保函形式支付。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17.2.3  预付款的扣回与还清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（1）工程预付款在合同累计完成金额达到签约合同价(不含备用金)的</w:t>
      </w:r>
      <w:r>
        <w:rPr>
          <w:rFonts w:hint="eastAsia" w:ascii="宋体" w:hAnsi="宋体" w:eastAsia="宋体" w:cs="宋体"/>
          <w:color w:val="auto"/>
          <w:sz w:val="24"/>
          <w:szCs w:val="24"/>
          <w:highlight w:val="none"/>
          <w:u w:val="single"/>
        </w:rPr>
        <w:t xml:space="preserve">20 </w:t>
      </w:r>
      <w:r>
        <w:rPr>
          <w:rFonts w:hint="eastAsia" w:ascii="宋体" w:hAnsi="宋体" w:eastAsia="宋体" w:cs="宋体"/>
          <w:color w:val="auto"/>
          <w:sz w:val="24"/>
          <w:szCs w:val="24"/>
          <w:highlight w:val="none"/>
        </w:rPr>
        <w:t>%时开始扣款，直至合同累计完成金额达到签约合同价(不含备用金)的</w:t>
      </w:r>
      <w:r>
        <w:rPr>
          <w:rFonts w:hint="eastAsia" w:ascii="宋体" w:hAnsi="宋体" w:eastAsia="宋体" w:cs="宋体"/>
          <w:color w:val="auto"/>
          <w:sz w:val="24"/>
          <w:szCs w:val="24"/>
          <w:highlight w:val="none"/>
          <w:u w:val="single"/>
        </w:rPr>
        <w:t xml:space="preserve">80 </w:t>
      </w:r>
      <w:r>
        <w:rPr>
          <w:rFonts w:hint="eastAsia" w:ascii="宋体" w:hAnsi="宋体" w:eastAsia="宋体" w:cs="宋体"/>
          <w:color w:val="auto"/>
          <w:sz w:val="24"/>
          <w:szCs w:val="24"/>
          <w:highlight w:val="none"/>
        </w:rPr>
        <w:t>%时全部扣清。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drawing>
          <wp:inline distT="0" distB="0" distL="0" distR="0">
            <wp:extent cx="1573530" cy="425450"/>
            <wp:effectExtent l="0" t="0" r="0" b="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8"/>
                    <a:srcRect/>
                    <a:stretch>
                      <a:fillRect/>
                    </a:stretch>
                  </pic:blipFill>
                  <pic:spPr>
                    <a:xfrm>
                      <a:off x="0" y="0"/>
                      <a:ext cx="1573530" cy="425450"/>
                    </a:xfrm>
                    <a:prstGeom prst="rect">
                      <a:avLst/>
                    </a:prstGeom>
                    <a:noFill/>
                    <a:ln w="9525">
                      <a:noFill/>
                      <a:miter lim="800000"/>
                      <a:headEnd/>
                      <a:tailEnd/>
                    </a:ln>
                  </pic:spPr>
                </pic:pic>
              </a:graphicData>
            </a:graphic>
          </wp:inline>
        </w:drawing>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式中  </w:t>
      </w:r>
      <w:r>
        <w:rPr>
          <w:rFonts w:hint="eastAsia" w:ascii="宋体" w:hAnsi="宋体" w:eastAsia="宋体" w:cs="宋体"/>
          <w:i/>
          <w:color w:val="auto"/>
          <w:sz w:val="24"/>
          <w:szCs w:val="24"/>
          <w:highlight w:val="none"/>
        </w:rPr>
        <w:t>R</w:t>
      </w:r>
      <w:r>
        <w:rPr>
          <w:rFonts w:hint="eastAsia" w:ascii="宋体" w:hAnsi="宋体" w:eastAsia="宋体" w:cs="宋体"/>
          <w:color w:val="auto"/>
          <w:sz w:val="24"/>
          <w:szCs w:val="24"/>
          <w:highlight w:val="none"/>
        </w:rPr>
        <w:t>——每次进度付款中累计扣回的金额；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 xml:space="preserve"> A</w:t>
      </w:r>
      <w:r>
        <w:rPr>
          <w:rFonts w:hint="eastAsia" w:ascii="宋体" w:hAnsi="宋体" w:eastAsia="宋体" w:cs="宋体"/>
          <w:color w:val="auto"/>
          <w:sz w:val="24"/>
          <w:szCs w:val="24"/>
          <w:highlight w:val="none"/>
        </w:rPr>
        <w:t>——工程预付款总金额；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S</w:t>
      </w:r>
      <w:r>
        <w:rPr>
          <w:rFonts w:hint="eastAsia" w:ascii="宋体" w:hAnsi="宋体" w:eastAsia="宋体" w:cs="宋体"/>
          <w:color w:val="auto"/>
          <w:sz w:val="24"/>
          <w:szCs w:val="24"/>
          <w:highlight w:val="none"/>
        </w:rPr>
        <w:t>——签约合同价；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C</w:t>
      </w:r>
      <w:r>
        <w:rPr>
          <w:rFonts w:hint="eastAsia" w:ascii="宋体" w:hAnsi="宋体" w:eastAsia="宋体" w:cs="宋体"/>
          <w:color w:val="auto"/>
          <w:sz w:val="24"/>
          <w:szCs w:val="24"/>
          <w:highlight w:val="none"/>
        </w:rPr>
        <w:t>——合同累计完成金额；</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F</w:t>
      </w:r>
      <w:r>
        <w:rPr>
          <w:rFonts w:hint="eastAsia" w:ascii="宋体" w:hAnsi="宋体" w:eastAsia="宋体" w:cs="宋体"/>
          <w:color w:val="auto"/>
          <w:sz w:val="24"/>
          <w:szCs w:val="24"/>
          <w:highlight w:val="none"/>
          <w:vertAlign w:val="subscript"/>
        </w:rPr>
        <w:t>1</w:t>
      </w:r>
      <w:r>
        <w:rPr>
          <w:rFonts w:hint="eastAsia" w:ascii="宋体" w:hAnsi="宋体" w:eastAsia="宋体" w:cs="宋体"/>
          <w:color w:val="auto"/>
          <w:sz w:val="24"/>
          <w:szCs w:val="24"/>
          <w:highlight w:val="none"/>
        </w:rPr>
        <w:t>——开始扣款时合同累计完成金额达到签约合同价(不含备用金)的比例（</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F</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——全部扣清时合同累计完成金额达到签约合同价(不含备用金)的比例（</w:t>
      </w:r>
      <w:r>
        <w:rPr>
          <w:rFonts w:hint="eastAsia" w:ascii="宋体" w:hAnsi="宋体" w:eastAsia="宋体" w:cs="宋体"/>
          <w:color w:val="auto"/>
          <w:sz w:val="24"/>
          <w:szCs w:val="24"/>
          <w:highlight w:val="none"/>
          <w:u w:val="single"/>
        </w:rPr>
        <w:t>80</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上述合同累计完成金额均指价格调整前未扣质量保证金的金额</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197" w:name="_Toc472280858"/>
      <w:bookmarkStart w:id="198" w:name="_Toc472281487"/>
      <w:r>
        <w:rPr>
          <w:rFonts w:hint="eastAsia" w:ascii="宋体" w:hAnsi="宋体" w:eastAsia="宋体" w:cs="宋体"/>
          <w:color w:val="auto"/>
          <w:sz w:val="24"/>
          <w:szCs w:val="24"/>
          <w:highlight w:val="none"/>
        </w:rPr>
        <w:t>17.3  工程进度款</w:t>
      </w:r>
      <w:bookmarkEnd w:id="197"/>
      <w:bookmarkEnd w:id="198"/>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付款周期</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进度付款按月支付，承包人在每月28日之前上报上月26日～本月25日工程量。</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增加以下条款：</w:t>
      </w:r>
    </w:p>
    <w:p>
      <w:pPr>
        <w:numPr>
          <w:ilvl w:val="0"/>
          <w:numId w:val="7"/>
        </w:num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根据15.7款约定应增加或扣减的计日工金额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补充以下条款：</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17.3.5安全文明施工措施费的支付</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本合同承包人当月申报下月安全生产费用计划，经监理任和发包人审查后，列入月进度款同时支付。具体按照发包人安全生产费用保障制度执行。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承包人应在每月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日按本合同约定的格式向监理人提交进度付款申请单</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份)，并附相应的支持性证明文件。进度付款申请单应包括以下内容：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已完成的《工程量清单》中的工程项目及其它项目的应付金额。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经监理人签认的当月计日工支付凭证标明的应付金额。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按第16.1、16.2款约定的价格调整金额（如有）。</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按第5.2款约定应由发包人扣还的工程材料款金额。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按第17.2款约定应由发包人扣还的工程预付款金额。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按第17.4款约定应由发包人扣留的质量保证金金额。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 按合同约定承包人应有权得到的其它金额。</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 按合同约定应由承包人付给发包人的其它金额。</w:t>
      </w:r>
    </w:p>
    <w:p>
      <w:pPr>
        <w:keepNext/>
        <w:keepLines/>
        <w:snapToGrid w:val="0"/>
        <w:spacing w:line="360" w:lineRule="auto"/>
        <w:outlineLvl w:val="3"/>
        <w:rPr>
          <w:rFonts w:hint="eastAsia" w:ascii="宋体" w:hAnsi="宋体" w:eastAsia="宋体" w:cs="宋体"/>
          <w:color w:val="auto"/>
          <w:sz w:val="24"/>
          <w:szCs w:val="24"/>
          <w:highlight w:val="none"/>
        </w:rPr>
      </w:pPr>
      <w:bookmarkStart w:id="199" w:name="_Toc472281488"/>
      <w:bookmarkStart w:id="200" w:name="_Toc472280859"/>
      <w:r>
        <w:rPr>
          <w:rFonts w:hint="eastAsia" w:ascii="宋体" w:hAnsi="宋体" w:eastAsia="宋体" w:cs="宋体"/>
          <w:color w:val="auto"/>
          <w:sz w:val="24"/>
          <w:szCs w:val="24"/>
          <w:highlight w:val="none"/>
        </w:rPr>
        <w:t>17.4  质量保证金</w:t>
      </w:r>
      <w:bookmarkEnd w:id="199"/>
      <w:bookmarkEnd w:id="200"/>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1" w:name="_Toc472280860"/>
      <w:bookmarkStart w:id="202" w:name="_Toc472281489"/>
      <w:r>
        <w:rPr>
          <w:rFonts w:hint="eastAsia" w:ascii="宋体" w:hAnsi="宋体" w:eastAsia="宋体" w:cs="宋体"/>
          <w:color w:val="auto"/>
          <w:kern w:val="0"/>
          <w:sz w:val="24"/>
          <w:szCs w:val="24"/>
          <w:highlight w:val="none"/>
        </w:rPr>
        <w:t>17.4.1  每个付款周期扣留的质量保证金为工程进度付款的：</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 扣留质量保证金总额为签约合同价的：</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。保证金在缺陷责任期满，签发缺陷责任期终止证书后，承包人申请后1个月内一次性无息退还。</w:t>
      </w:r>
      <w:bookmarkEnd w:id="201"/>
      <w:bookmarkEnd w:id="202"/>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03" w:name="_Toc472280861"/>
      <w:bookmarkStart w:id="204" w:name="_Toc472281490"/>
      <w:r>
        <w:rPr>
          <w:rFonts w:hint="eastAsia" w:ascii="宋体" w:hAnsi="宋体" w:eastAsia="宋体" w:cs="宋体"/>
          <w:color w:val="auto"/>
          <w:sz w:val="24"/>
          <w:szCs w:val="24"/>
          <w:highlight w:val="none"/>
        </w:rPr>
        <w:t>17.5  竣工（完工）结算</w:t>
      </w:r>
      <w:bookmarkEnd w:id="203"/>
      <w:bookmarkEnd w:id="204"/>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5" w:name="_Toc472281491"/>
      <w:bookmarkStart w:id="206" w:name="_Toc472280862"/>
      <w:r>
        <w:rPr>
          <w:rFonts w:hint="eastAsia" w:ascii="宋体" w:hAnsi="宋体" w:eastAsia="宋体" w:cs="宋体"/>
          <w:color w:val="auto"/>
          <w:kern w:val="0"/>
          <w:sz w:val="24"/>
          <w:szCs w:val="24"/>
          <w:highlight w:val="none"/>
        </w:rPr>
        <w:t>17.5.1  竣工（完工）付款申请单</w:t>
      </w:r>
      <w:bookmarkEnd w:id="205"/>
      <w:bookmarkEnd w:id="206"/>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（1）承包人应提交完工付款申请单一式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份。在工程完工证书颁发后 28 天内提交。</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本条款增加内容：</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（1）承包人必须于工程完工后 42 天内，完成工程结算和竣工资料整编，并上报监理人进行审核；监理人必须在承包人上报后 20 天内完成审核，并上报发包人。</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（2）承包人未按时完成工程结算和竣工资料整编工作，发包人将停止承包人一切工程付款，且每逾期 5 天（不足按 5 天计）扣款 1000 元。监理人未按期完成审核工作，承担相应的责任。</w:t>
      </w:r>
    </w:p>
    <w:p>
      <w:pPr>
        <w:keepNext/>
        <w:keepLines/>
        <w:snapToGrid w:val="0"/>
        <w:spacing w:line="360" w:lineRule="auto"/>
        <w:outlineLvl w:val="3"/>
        <w:rPr>
          <w:rFonts w:hint="eastAsia" w:ascii="宋体" w:hAnsi="宋体" w:eastAsia="宋体" w:cs="宋体"/>
          <w:color w:val="auto"/>
          <w:sz w:val="24"/>
          <w:szCs w:val="24"/>
          <w:highlight w:val="none"/>
        </w:rPr>
      </w:pPr>
      <w:bookmarkStart w:id="207" w:name="_Toc472280863"/>
      <w:bookmarkStart w:id="208" w:name="_Toc472281492"/>
      <w:r>
        <w:rPr>
          <w:rFonts w:hint="eastAsia" w:ascii="宋体" w:hAnsi="宋体" w:eastAsia="宋体" w:cs="宋体"/>
          <w:color w:val="auto"/>
          <w:sz w:val="24"/>
          <w:szCs w:val="24"/>
          <w:highlight w:val="none"/>
        </w:rPr>
        <w:t>17.6  最终结清</w:t>
      </w:r>
      <w:bookmarkEnd w:id="207"/>
      <w:bookmarkEnd w:id="208"/>
    </w:p>
    <w:p>
      <w:pPr>
        <w:snapToGrid w:val="0"/>
        <w:spacing w:line="360" w:lineRule="auto"/>
        <w:ind w:firstLine="480" w:firstLineChars="200"/>
        <w:outlineLvl w:val="2"/>
        <w:rPr>
          <w:rFonts w:hint="eastAsia" w:ascii="宋体" w:hAnsi="宋体" w:eastAsia="宋体" w:cs="宋体"/>
          <w:color w:val="auto"/>
          <w:kern w:val="0"/>
          <w:sz w:val="24"/>
          <w:szCs w:val="24"/>
          <w:highlight w:val="none"/>
        </w:rPr>
      </w:pPr>
      <w:bookmarkStart w:id="209" w:name="_Toc472281493"/>
      <w:bookmarkStart w:id="210" w:name="_Toc472280864"/>
      <w:r>
        <w:rPr>
          <w:rFonts w:hint="eastAsia" w:ascii="宋体" w:hAnsi="宋体" w:eastAsia="宋体" w:cs="宋体"/>
          <w:color w:val="auto"/>
          <w:kern w:val="0"/>
          <w:sz w:val="24"/>
          <w:szCs w:val="24"/>
          <w:highlight w:val="none"/>
        </w:rPr>
        <w:t>17.6 1  最终结清申请单</w:t>
      </w:r>
      <w:bookmarkEnd w:id="209"/>
      <w:bookmarkEnd w:id="210"/>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（1）承包人应提交最终结清申请单一式</w:t>
      </w:r>
      <w:r>
        <w:rPr>
          <w:rFonts w:hint="eastAsia" w:ascii="宋体" w:hAnsi="宋体" w:eastAsia="宋体" w:cs="宋体"/>
          <w:color w:val="auto"/>
          <w:kern w:val="0"/>
          <w:sz w:val="24"/>
          <w:szCs w:val="24"/>
          <w:highlight w:val="none"/>
          <w:u w:val="single"/>
        </w:rPr>
        <w:t xml:space="preserve">  6 </w:t>
      </w:r>
      <w:r>
        <w:rPr>
          <w:rFonts w:hint="eastAsia" w:ascii="宋体" w:hAnsi="宋体" w:eastAsia="宋体" w:cs="宋体"/>
          <w:color w:val="auto"/>
          <w:kern w:val="0"/>
          <w:sz w:val="24"/>
          <w:szCs w:val="24"/>
          <w:highlight w:val="none"/>
        </w:rPr>
        <w:t>份。</w:t>
      </w:r>
    </w:p>
    <w:p>
      <w:pPr>
        <w:keepNext/>
        <w:keepLines/>
        <w:snapToGrid w:val="0"/>
        <w:spacing w:line="360" w:lineRule="auto"/>
        <w:outlineLvl w:val="3"/>
        <w:rPr>
          <w:rFonts w:hint="eastAsia" w:ascii="宋体" w:hAnsi="宋体" w:eastAsia="宋体" w:cs="宋体"/>
          <w:color w:val="auto"/>
          <w:sz w:val="24"/>
          <w:szCs w:val="24"/>
          <w:highlight w:val="none"/>
        </w:rPr>
      </w:pPr>
      <w:bookmarkStart w:id="211" w:name="_Toc472280865"/>
      <w:bookmarkStart w:id="212" w:name="_Toc472281494"/>
      <w:r>
        <w:rPr>
          <w:rFonts w:hint="eastAsia" w:ascii="宋体" w:hAnsi="宋体" w:eastAsia="宋体" w:cs="宋体"/>
          <w:color w:val="auto"/>
          <w:sz w:val="24"/>
          <w:szCs w:val="24"/>
          <w:highlight w:val="none"/>
        </w:rPr>
        <w:t>17.7  竣工财务决算</w:t>
      </w:r>
      <w:bookmarkEnd w:id="211"/>
      <w:bookmarkEnd w:id="21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承包人应为竣工财务决算编制提供的资料：</w:t>
      </w:r>
      <w:r>
        <w:rPr>
          <w:rFonts w:hint="eastAsia" w:ascii="宋体" w:hAnsi="宋体" w:eastAsia="宋体" w:cs="宋体"/>
          <w:color w:val="auto"/>
          <w:kern w:val="0"/>
          <w:sz w:val="24"/>
          <w:szCs w:val="24"/>
          <w:highlight w:val="none"/>
          <w:u w:val="single"/>
        </w:rPr>
        <w:t>按照发包人要求提供相关资料</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13" w:name="_Toc472280866"/>
      <w:bookmarkStart w:id="214" w:name="_Toc472281495"/>
      <w:bookmarkStart w:id="215" w:name="_Toc261017699"/>
      <w:r>
        <w:rPr>
          <w:rFonts w:hint="eastAsia" w:ascii="宋体" w:hAnsi="宋体" w:eastAsia="宋体" w:cs="宋体"/>
          <w:bCs/>
          <w:color w:val="auto"/>
          <w:sz w:val="24"/>
          <w:szCs w:val="24"/>
          <w:highlight w:val="none"/>
        </w:rPr>
        <w:t>18  竣工验收（验收）</w:t>
      </w:r>
      <w:bookmarkEnd w:id="213"/>
      <w:bookmarkEnd w:id="214"/>
      <w:bookmarkEnd w:id="215"/>
    </w:p>
    <w:p>
      <w:pPr>
        <w:keepNext/>
        <w:keepLines/>
        <w:snapToGrid w:val="0"/>
        <w:spacing w:line="360" w:lineRule="auto"/>
        <w:outlineLvl w:val="3"/>
        <w:rPr>
          <w:rFonts w:hint="eastAsia" w:ascii="宋体" w:hAnsi="宋体" w:eastAsia="宋体" w:cs="宋体"/>
          <w:color w:val="auto"/>
          <w:sz w:val="24"/>
          <w:szCs w:val="24"/>
          <w:highlight w:val="none"/>
        </w:rPr>
      </w:pPr>
      <w:bookmarkStart w:id="216" w:name="_Toc472281496"/>
      <w:bookmarkStart w:id="217" w:name="_Toc472280867"/>
      <w:r>
        <w:rPr>
          <w:rFonts w:hint="eastAsia" w:ascii="宋体" w:hAnsi="宋体" w:eastAsia="宋体" w:cs="宋体"/>
          <w:color w:val="auto"/>
          <w:sz w:val="24"/>
          <w:szCs w:val="24"/>
          <w:highlight w:val="none"/>
        </w:rPr>
        <w:t>18.1  验收工作分类</w:t>
      </w:r>
      <w:bookmarkEnd w:id="216"/>
      <w:bookmarkEnd w:id="217"/>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本工程法人验收包括：</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；政府验收包括：</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。验收条件为：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，验收程序为：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18" w:name="_Toc472280868"/>
      <w:bookmarkStart w:id="219" w:name="_Toc472281497"/>
      <w:r>
        <w:rPr>
          <w:rFonts w:hint="eastAsia" w:ascii="宋体" w:hAnsi="宋体" w:eastAsia="宋体" w:cs="宋体"/>
          <w:color w:val="auto"/>
          <w:sz w:val="24"/>
          <w:szCs w:val="24"/>
          <w:highlight w:val="none"/>
        </w:rPr>
        <w:t>18.2  分部工程验收</w:t>
      </w:r>
      <w:bookmarkEnd w:id="218"/>
      <w:bookmarkEnd w:id="219"/>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20" w:name="_Toc472281498"/>
      <w:bookmarkStart w:id="221" w:name="_Toc472280869"/>
      <w:r>
        <w:rPr>
          <w:rFonts w:hint="eastAsia" w:ascii="宋体" w:hAnsi="宋体" w:eastAsia="宋体" w:cs="宋体"/>
          <w:color w:val="auto"/>
          <w:kern w:val="0"/>
          <w:sz w:val="24"/>
          <w:szCs w:val="24"/>
          <w:highlight w:val="none"/>
        </w:rPr>
        <w:t>18.2.2  本工程由发包人主持的分部工程验收为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，其余由监理人主持。</w:t>
      </w:r>
      <w:bookmarkEnd w:id="220"/>
      <w:bookmarkEnd w:id="221"/>
    </w:p>
    <w:p>
      <w:pPr>
        <w:keepNext/>
        <w:keepLines/>
        <w:snapToGrid w:val="0"/>
        <w:spacing w:line="360" w:lineRule="auto"/>
        <w:outlineLvl w:val="3"/>
        <w:rPr>
          <w:rFonts w:hint="eastAsia" w:ascii="宋体" w:hAnsi="宋体" w:eastAsia="宋体" w:cs="宋体"/>
          <w:color w:val="auto"/>
          <w:sz w:val="24"/>
          <w:szCs w:val="24"/>
          <w:highlight w:val="none"/>
        </w:rPr>
      </w:pPr>
      <w:bookmarkStart w:id="222" w:name="_Toc472280870"/>
      <w:bookmarkStart w:id="223" w:name="_Toc472281499"/>
      <w:r>
        <w:rPr>
          <w:rFonts w:hint="eastAsia" w:ascii="宋体" w:hAnsi="宋体" w:eastAsia="宋体" w:cs="宋体"/>
          <w:color w:val="auto"/>
          <w:sz w:val="24"/>
          <w:szCs w:val="24"/>
          <w:highlight w:val="none"/>
        </w:rPr>
        <w:t>18.3  单位工程验收</w:t>
      </w:r>
      <w:bookmarkEnd w:id="222"/>
      <w:bookmarkEnd w:id="223"/>
    </w:p>
    <w:p>
      <w:pPr>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18.3.4  提前投入使用的单位工程包括：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spacing w:val="-4"/>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24" w:name="_Toc472280871"/>
      <w:bookmarkStart w:id="225" w:name="_Toc472281500"/>
      <w:r>
        <w:rPr>
          <w:rFonts w:hint="eastAsia" w:ascii="宋体" w:hAnsi="宋体" w:eastAsia="宋体" w:cs="宋体"/>
          <w:color w:val="auto"/>
          <w:sz w:val="24"/>
          <w:szCs w:val="24"/>
          <w:highlight w:val="none"/>
        </w:rPr>
        <w:t>18.5  阶段验收</w:t>
      </w:r>
      <w:bookmarkEnd w:id="224"/>
      <w:bookmarkEnd w:id="225"/>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18.5.1  本合同工程阶段验收类别包括：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p>
    <w:p>
      <w:pPr>
        <w:keepNext/>
        <w:keepLines/>
        <w:snapToGrid w:val="0"/>
        <w:spacing w:line="360" w:lineRule="auto"/>
        <w:outlineLvl w:val="3"/>
        <w:rPr>
          <w:rFonts w:hint="eastAsia" w:ascii="宋体" w:hAnsi="宋体" w:eastAsia="宋体" w:cs="宋体"/>
          <w:color w:val="auto"/>
          <w:sz w:val="24"/>
          <w:szCs w:val="24"/>
          <w:highlight w:val="none"/>
        </w:rPr>
      </w:pPr>
      <w:bookmarkStart w:id="226" w:name="_Toc472281501"/>
      <w:bookmarkStart w:id="227" w:name="_Toc472280872"/>
      <w:r>
        <w:rPr>
          <w:rFonts w:hint="eastAsia" w:ascii="宋体" w:hAnsi="宋体" w:eastAsia="宋体" w:cs="宋体"/>
          <w:color w:val="auto"/>
          <w:sz w:val="24"/>
          <w:szCs w:val="24"/>
          <w:highlight w:val="none"/>
        </w:rPr>
        <w:t>18.6  专项验收</w:t>
      </w:r>
      <w:bookmarkEnd w:id="226"/>
      <w:bookmarkEnd w:id="227"/>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28" w:name="_Toc472280873"/>
      <w:bookmarkStart w:id="229" w:name="_Toc472281502"/>
      <w:r>
        <w:rPr>
          <w:rFonts w:hint="eastAsia" w:ascii="宋体" w:hAnsi="宋体" w:eastAsia="宋体" w:cs="宋体"/>
          <w:color w:val="auto"/>
          <w:kern w:val="0"/>
          <w:sz w:val="24"/>
          <w:szCs w:val="24"/>
          <w:highlight w:val="none"/>
        </w:rPr>
        <w:t>18.6.2  本合同工程专项验收类别包括：</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bookmarkEnd w:id="228"/>
      <w:bookmarkEnd w:id="229"/>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30" w:name="_Toc472280874"/>
      <w:bookmarkStart w:id="231" w:name="_Toc472281503"/>
      <w:r>
        <w:rPr>
          <w:rFonts w:hint="eastAsia" w:ascii="宋体" w:hAnsi="宋体" w:eastAsia="宋体" w:cs="宋体"/>
          <w:color w:val="auto"/>
          <w:sz w:val="24"/>
          <w:szCs w:val="24"/>
          <w:highlight w:val="none"/>
        </w:rPr>
        <w:t>18.7  竣工验收</w:t>
      </w:r>
      <w:bookmarkEnd w:id="230"/>
      <w:bookmarkEnd w:id="231"/>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18.7.3  本工程 </w:t>
      </w:r>
      <w:r>
        <w:rPr>
          <w:rFonts w:hint="eastAsia" w:ascii="宋体" w:hAnsi="宋体" w:eastAsia="宋体" w:cs="宋体"/>
          <w:color w:val="auto"/>
          <w:kern w:val="0"/>
          <w:sz w:val="24"/>
          <w:szCs w:val="24"/>
          <w:highlight w:val="none"/>
          <w:u w:val="single"/>
        </w:rPr>
        <w:t xml:space="preserve">  不需要     </w:t>
      </w:r>
      <w:r>
        <w:rPr>
          <w:rFonts w:hint="eastAsia" w:ascii="宋体" w:hAnsi="宋体" w:eastAsia="宋体" w:cs="宋体"/>
          <w:color w:val="auto"/>
          <w:kern w:val="0"/>
          <w:sz w:val="24"/>
          <w:szCs w:val="24"/>
          <w:highlight w:val="none"/>
        </w:rPr>
        <w:t>（需要/不需要）</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竣工验收技术鉴定（蓄水安全鉴定）。</w:t>
      </w:r>
    </w:p>
    <w:p>
      <w:pPr>
        <w:keepNext/>
        <w:keepLines/>
        <w:snapToGrid w:val="0"/>
        <w:spacing w:line="360" w:lineRule="auto"/>
        <w:outlineLvl w:val="3"/>
        <w:rPr>
          <w:rFonts w:hint="eastAsia" w:ascii="宋体" w:hAnsi="宋体" w:eastAsia="宋体" w:cs="宋体"/>
          <w:color w:val="auto"/>
          <w:sz w:val="24"/>
          <w:szCs w:val="24"/>
          <w:highlight w:val="none"/>
        </w:rPr>
      </w:pPr>
      <w:bookmarkStart w:id="232" w:name="_Toc472280875"/>
      <w:bookmarkStart w:id="233" w:name="_Toc472281504"/>
      <w:r>
        <w:rPr>
          <w:rFonts w:hint="eastAsia" w:ascii="宋体" w:hAnsi="宋体" w:eastAsia="宋体" w:cs="宋体"/>
          <w:color w:val="auto"/>
          <w:sz w:val="24"/>
          <w:szCs w:val="24"/>
          <w:highlight w:val="none"/>
        </w:rPr>
        <w:t>18.8  施工期运行</w:t>
      </w:r>
      <w:bookmarkEnd w:id="232"/>
      <w:bookmarkEnd w:id="233"/>
    </w:p>
    <w:p>
      <w:pPr>
        <w:snapToGrid w:val="0"/>
        <w:spacing w:line="360" w:lineRule="auto"/>
        <w:ind w:firstLine="480" w:firstLineChars="200"/>
        <w:rPr>
          <w:rFonts w:hint="eastAsia" w:ascii="宋体" w:hAnsi="宋体" w:eastAsia="宋体" w:cs="宋体"/>
          <w:color w:val="auto"/>
          <w:kern w:val="0"/>
          <w:sz w:val="24"/>
          <w:szCs w:val="24"/>
          <w:highlight w:val="none"/>
        </w:rPr>
      </w:pPr>
      <w:bookmarkStart w:id="234" w:name="_Toc472281505"/>
      <w:bookmarkStart w:id="235" w:name="_Toc472280876"/>
      <w:r>
        <w:rPr>
          <w:rFonts w:hint="eastAsia" w:ascii="宋体" w:hAnsi="宋体" w:eastAsia="宋体" w:cs="宋体"/>
          <w:color w:val="auto"/>
          <w:kern w:val="0"/>
          <w:sz w:val="24"/>
          <w:szCs w:val="24"/>
          <w:highlight w:val="none"/>
        </w:rPr>
        <w:t>18.8.1  需要进行施工期运行的单位工程或工程设备为：</w:t>
      </w:r>
      <w:r>
        <w:rPr>
          <w:rFonts w:hint="eastAsia" w:ascii="宋体" w:hAnsi="宋体" w:eastAsia="宋体" w:cs="宋体"/>
          <w:color w:val="auto"/>
          <w:spacing w:val="-4"/>
          <w:kern w:val="0"/>
          <w:sz w:val="24"/>
          <w:szCs w:val="24"/>
          <w:highlight w:val="none"/>
          <w:u w:val="single"/>
        </w:rPr>
        <w:t>无</w:t>
      </w:r>
      <w:r>
        <w:rPr>
          <w:rFonts w:hint="eastAsia" w:ascii="宋体" w:hAnsi="宋体" w:eastAsia="宋体" w:cs="宋体"/>
          <w:color w:val="auto"/>
          <w:kern w:val="0"/>
          <w:sz w:val="24"/>
          <w:szCs w:val="24"/>
          <w:highlight w:val="none"/>
        </w:rPr>
        <w:t>。</w:t>
      </w:r>
      <w:bookmarkEnd w:id="234"/>
      <w:bookmarkEnd w:id="235"/>
      <w:r>
        <w:rPr>
          <w:rFonts w:hint="eastAsia" w:ascii="宋体" w:hAnsi="宋体" w:eastAsia="宋体" w:cs="宋体"/>
          <w:color w:val="auto"/>
          <w:kern w:val="0"/>
          <w:sz w:val="24"/>
          <w:szCs w:val="24"/>
          <w:highlight w:val="none"/>
        </w:rPr>
        <w:t xml:space="preserve"> </w:t>
      </w:r>
    </w:p>
    <w:p>
      <w:pPr>
        <w:keepNext/>
        <w:keepLines/>
        <w:snapToGrid w:val="0"/>
        <w:spacing w:line="360" w:lineRule="auto"/>
        <w:outlineLvl w:val="3"/>
        <w:rPr>
          <w:rFonts w:hint="eastAsia" w:ascii="宋体" w:hAnsi="宋体" w:eastAsia="宋体" w:cs="宋体"/>
          <w:color w:val="auto"/>
          <w:sz w:val="24"/>
          <w:szCs w:val="24"/>
          <w:highlight w:val="none"/>
        </w:rPr>
      </w:pPr>
      <w:bookmarkStart w:id="236" w:name="_Toc472280877"/>
      <w:bookmarkStart w:id="237" w:name="_Toc472281506"/>
      <w:r>
        <w:rPr>
          <w:rFonts w:hint="eastAsia" w:ascii="宋体" w:hAnsi="宋体" w:eastAsia="宋体" w:cs="宋体"/>
          <w:color w:val="auto"/>
          <w:sz w:val="24"/>
          <w:szCs w:val="24"/>
          <w:highlight w:val="none"/>
        </w:rPr>
        <w:t>18.9  试运行</w:t>
      </w:r>
      <w:bookmarkEnd w:id="236"/>
      <w:bookmarkEnd w:id="237"/>
      <w:r>
        <w:rPr>
          <w:rFonts w:hint="eastAsia" w:ascii="宋体" w:hAnsi="宋体" w:eastAsia="宋体" w:cs="宋体"/>
          <w:color w:val="auto"/>
          <w:sz w:val="24"/>
          <w:szCs w:val="24"/>
          <w:highlight w:val="none"/>
        </w:rPr>
        <w:t xml:space="preserve">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18.9.1  试运行的组织：</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；费用承担：</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38" w:name="_Toc472280878"/>
      <w:bookmarkStart w:id="239" w:name="_Toc472281507"/>
      <w:bookmarkStart w:id="240" w:name="_Toc261017700"/>
      <w:r>
        <w:rPr>
          <w:rFonts w:hint="eastAsia" w:ascii="宋体" w:hAnsi="宋体" w:eastAsia="宋体" w:cs="宋体"/>
          <w:bCs/>
          <w:color w:val="auto"/>
          <w:sz w:val="24"/>
          <w:szCs w:val="24"/>
          <w:highlight w:val="none"/>
        </w:rPr>
        <w:t>19  缺陷责任与保修责任</w:t>
      </w:r>
      <w:bookmarkEnd w:id="238"/>
      <w:bookmarkEnd w:id="239"/>
      <w:bookmarkEnd w:id="240"/>
    </w:p>
    <w:p>
      <w:pPr>
        <w:keepNext/>
        <w:keepLines/>
        <w:snapToGrid w:val="0"/>
        <w:spacing w:line="360" w:lineRule="auto"/>
        <w:outlineLvl w:val="3"/>
        <w:rPr>
          <w:rFonts w:hint="eastAsia" w:ascii="宋体" w:hAnsi="宋体" w:eastAsia="宋体" w:cs="宋体"/>
          <w:color w:val="auto"/>
          <w:sz w:val="24"/>
          <w:szCs w:val="24"/>
          <w:highlight w:val="none"/>
        </w:rPr>
      </w:pPr>
      <w:bookmarkStart w:id="241" w:name="_Toc472281508"/>
      <w:bookmarkStart w:id="242" w:name="_Toc472280879"/>
      <w:r>
        <w:rPr>
          <w:rFonts w:hint="eastAsia" w:ascii="宋体" w:hAnsi="宋体" w:eastAsia="宋体" w:cs="宋体"/>
          <w:color w:val="auto"/>
          <w:sz w:val="24"/>
          <w:szCs w:val="24"/>
          <w:highlight w:val="none"/>
        </w:rPr>
        <w:t>19.1  缺陷责任期的起算时间</w:t>
      </w:r>
      <w:bookmarkEnd w:id="241"/>
      <w:bookmarkEnd w:id="242"/>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本工程缺陷责任期：</w:t>
      </w:r>
      <w:r>
        <w:rPr>
          <w:rFonts w:hint="eastAsia" w:ascii="宋体" w:hAnsi="宋体" w:eastAsia="宋体" w:cs="宋体"/>
          <w:color w:val="auto"/>
          <w:kern w:val="0"/>
          <w:sz w:val="24"/>
          <w:szCs w:val="24"/>
          <w:highlight w:val="none"/>
          <w:u w:val="single"/>
          <w:lang w:eastAsia="zh-CN"/>
        </w:rPr>
        <w:t>一个洪水季</w:t>
      </w:r>
      <w:r>
        <w:rPr>
          <w:rFonts w:hint="eastAsia" w:ascii="宋体" w:hAnsi="宋体" w:eastAsia="宋体" w:cs="宋体"/>
          <w:color w:val="auto"/>
          <w:kern w:val="0"/>
          <w:sz w:val="24"/>
          <w:szCs w:val="24"/>
          <w:highlight w:val="none"/>
        </w:rPr>
        <w:t>。如在缺陷责任期内发生质量事故，发生质量事故部位的缺陷责任期自修复之日起从新计算。</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在缺陷责任期内工程出现施工质量事故由承包人承担保修责任，负责对事故部位修复，费用由承包人承担。</w:t>
      </w:r>
    </w:p>
    <w:p>
      <w:pPr>
        <w:snapToGrid w:val="0"/>
        <w:spacing w:line="360" w:lineRule="auto"/>
        <w:outlineLvl w:val="2"/>
        <w:rPr>
          <w:rFonts w:hint="eastAsia" w:ascii="宋体" w:hAnsi="宋体" w:eastAsia="宋体" w:cs="宋体"/>
          <w:bCs/>
          <w:color w:val="auto"/>
          <w:sz w:val="24"/>
          <w:szCs w:val="24"/>
          <w:highlight w:val="none"/>
        </w:rPr>
      </w:pPr>
      <w:bookmarkStart w:id="243" w:name="_Toc472281509"/>
      <w:bookmarkStart w:id="244" w:name="_Toc261017701"/>
      <w:bookmarkStart w:id="245" w:name="_Toc472280880"/>
      <w:r>
        <w:rPr>
          <w:rFonts w:hint="eastAsia" w:ascii="宋体" w:hAnsi="宋体" w:eastAsia="宋体" w:cs="宋体"/>
          <w:bCs/>
          <w:color w:val="auto"/>
          <w:sz w:val="24"/>
          <w:szCs w:val="24"/>
          <w:highlight w:val="none"/>
        </w:rPr>
        <w:t>20  保险</w:t>
      </w:r>
      <w:bookmarkEnd w:id="243"/>
      <w:bookmarkEnd w:id="244"/>
      <w:bookmarkEnd w:id="245"/>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 工程保险</w:t>
      </w:r>
    </w:p>
    <w:p>
      <w:pPr>
        <w:snapToGrid w:val="0"/>
        <w:spacing w:before="156" w:after="156"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工程一切险和第三者责任险由发包人负责投保。人身意外伤害险和</w:t>
      </w:r>
      <w:r>
        <w:rPr>
          <w:rFonts w:hint="eastAsia" w:ascii="宋体" w:hAnsi="宋体" w:eastAsia="宋体" w:cs="宋体"/>
          <w:color w:val="auto"/>
          <w:kern w:val="0"/>
          <w:sz w:val="24"/>
          <w:szCs w:val="24"/>
          <w:highlight w:val="none"/>
          <w:u w:val="single"/>
        </w:rPr>
        <w:t>进场的</w:t>
      </w:r>
      <w:r>
        <w:rPr>
          <w:rFonts w:hint="eastAsia" w:ascii="宋体" w:hAnsi="宋体" w:eastAsia="宋体" w:cs="宋体"/>
          <w:color w:val="auto"/>
          <w:sz w:val="24"/>
          <w:szCs w:val="24"/>
          <w:highlight w:val="none"/>
        </w:rPr>
        <w:t>施工设备、</w:t>
      </w:r>
      <w:r>
        <w:rPr>
          <w:rFonts w:hint="eastAsia" w:ascii="宋体" w:hAnsi="宋体" w:eastAsia="宋体" w:cs="宋体"/>
          <w:color w:val="auto"/>
          <w:kern w:val="0"/>
          <w:sz w:val="24"/>
          <w:szCs w:val="24"/>
          <w:highlight w:val="none"/>
          <w:u w:val="single"/>
        </w:rPr>
        <w:t>材料等险</w:t>
      </w:r>
      <w:r>
        <w:rPr>
          <w:rFonts w:hint="eastAsia" w:ascii="宋体" w:hAnsi="宋体" w:eastAsia="宋体" w:cs="宋体"/>
          <w:color w:val="auto"/>
          <w:sz w:val="24"/>
          <w:szCs w:val="24"/>
          <w:highlight w:val="none"/>
        </w:rPr>
        <w:t>由承包人负责投保。</w:t>
      </w:r>
      <w:r>
        <w:rPr>
          <w:rFonts w:hint="eastAsia" w:ascii="宋体" w:hAnsi="宋体" w:eastAsia="宋体" w:cs="宋体"/>
          <w:color w:val="auto"/>
          <w:sz w:val="24"/>
          <w:szCs w:val="24"/>
          <w:highlight w:val="none"/>
          <w:u w:val="single"/>
        </w:rPr>
        <w:t>投保的费用计入工程量清单内(实行总价承包)，发包人不另行支付。投标人应按要求进行投保，投保的有效凭证需交发包人处备查。</w:t>
      </w:r>
    </w:p>
    <w:p>
      <w:pPr>
        <w:snapToGrid w:val="0"/>
        <w:spacing w:line="360" w:lineRule="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20.7  风险责任的转移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工程通过竣工验收并移交给发包人后，原由承包人按本条款约定应承担的风险责任，以及保险的责任、权利和义务同时转移给发包人(在缺陷责任期发生的、在缺陷责任期前的承包人原因造成的损失和损坏除外)。</w:t>
      </w:r>
      <w:r>
        <w:rPr>
          <w:rFonts w:hint="eastAsia" w:ascii="宋体" w:hAnsi="宋体" w:eastAsia="宋体" w:cs="宋体"/>
          <w:color w:val="auto"/>
          <w:kern w:val="0"/>
          <w:sz w:val="24"/>
          <w:szCs w:val="24"/>
          <w:highlight w:val="none"/>
        </w:rPr>
        <w:t xml:space="preserve">     </w:t>
      </w:r>
    </w:p>
    <w:p>
      <w:pPr>
        <w:snapToGrid w:val="0"/>
        <w:spacing w:line="360" w:lineRule="auto"/>
        <w:outlineLvl w:val="2"/>
        <w:rPr>
          <w:rFonts w:hint="eastAsia" w:ascii="宋体" w:hAnsi="宋体" w:eastAsia="宋体" w:cs="宋体"/>
          <w:bCs/>
          <w:color w:val="auto"/>
          <w:sz w:val="24"/>
          <w:szCs w:val="24"/>
          <w:highlight w:val="none"/>
        </w:rPr>
      </w:pPr>
      <w:bookmarkStart w:id="246" w:name="_Toc472280885"/>
      <w:bookmarkStart w:id="247" w:name="_Toc261017702"/>
      <w:bookmarkStart w:id="248" w:name="_Toc472281514"/>
      <w:r>
        <w:rPr>
          <w:rFonts w:hint="eastAsia" w:ascii="宋体" w:hAnsi="宋体" w:eastAsia="宋体" w:cs="宋体"/>
          <w:bCs/>
          <w:color w:val="auto"/>
          <w:sz w:val="24"/>
          <w:szCs w:val="24"/>
          <w:highlight w:val="none"/>
        </w:rPr>
        <w:t>24  争议</w:t>
      </w:r>
      <w:bookmarkEnd w:id="246"/>
      <w:bookmarkEnd w:id="247"/>
      <w:bookmarkEnd w:id="248"/>
    </w:p>
    <w:p>
      <w:pPr>
        <w:keepNext/>
        <w:keepLines/>
        <w:snapToGrid w:val="0"/>
        <w:spacing w:line="360" w:lineRule="auto"/>
        <w:outlineLvl w:val="3"/>
        <w:rPr>
          <w:rFonts w:hint="eastAsia" w:ascii="宋体" w:hAnsi="宋体" w:eastAsia="宋体" w:cs="宋体"/>
          <w:color w:val="auto"/>
          <w:sz w:val="24"/>
          <w:szCs w:val="24"/>
          <w:highlight w:val="none"/>
        </w:rPr>
      </w:pPr>
      <w:bookmarkStart w:id="249" w:name="_Toc472280886"/>
      <w:bookmarkStart w:id="250" w:name="_Toc472281515"/>
      <w:r>
        <w:rPr>
          <w:rFonts w:hint="eastAsia" w:ascii="宋体" w:hAnsi="宋体" w:eastAsia="宋体" w:cs="宋体"/>
          <w:color w:val="auto"/>
          <w:sz w:val="24"/>
          <w:szCs w:val="24"/>
          <w:highlight w:val="none"/>
        </w:rPr>
        <w:t>24.1  争议的解决方式</w:t>
      </w:r>
      <w:bookmarkEnd w:id="249"/>
      <w:bookmarkEnd w:id="250"/>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合同当事人友好协商解决，协商不成的，向</w:t>
      </w:r>
      <w:r>
        <w:rPr>
          <w:rFonts w:hint="eastAsia" w:ascii="宋体" w:hAnsi="宋体" w:eastAsia="宋体" w:cs="宋体"/>
          <w:color w:val="auto"/>
          <w:sz w:val="24"/>
          <w:szCs w:val="24"/>
          <w:highlight w:val="none"/>
          <w:u w:val="single"/>
        </w:rPr>
        <w:t>工程所在地人民法院提起诉讼</w:t>
      </w:r>
      <w:r>
        <w:rPr>
          <w:rFonts w:hint="eastAsia" w:ascii="宋体" w:hAnsi="宋体" w:eastAsia="宋体" w:cs="宋体"/>
          <w:color w:val="auto"/>
          <w:sz w:val="24"/>
          <w:szCs w:val="24"/>
          <w:highlight w:val="none"/>
        </w:rPr>
        <w:t>。</w:t>
      </w:r>
    </w:p>
    <w:p>
      <w:pPr>
        <w:snapToGrid w:val="0"/>
        <w:spacing w:line="360" w:lineRule="auto"/>
        <w:outlineLvl w:val="2"/>
        <w:rPr>
          <w:rFonts w:hint="eastAsia" w:ascii="宋体" w:hAnsi="宋体" w:eastAsia="宋体" w:cs="宋体"/>
          <w:bCs/>
          <w:color w:val="auto"/>
          <w:sz w:val="24"/>
          <w:szCs w:val="24"/>
          <w:highlight w:val="none"/>
        </w:rPr>
      </w:pPr>
      <w:bookmarkStart w:id="251" w:name="_Toc472280887"/>
      <w:bookmarkStart w:id="252" w:name="_Toc472281516"/>
      <w:r>
        <w:rPr>
          <w:rFonts w:hint="eastAsia" w:ascii="宋体" w:hAnsi="宋体" w:eastAsia="宋体" w:cs="宋体"/>
          <w:bCs/>
          <w:color w:val="auto"/>
          <w:sz w:val="24"/>
          <w:szCs w:val="24"/>
          <w:highlight w:val="none"/>
        </w:rPr>
        <w:t>25 合同类型（增加条款）</w:t>
      </w:r>
      <w:bookmarkEnd w:id="251"/>
      <w:bookmarkEnd w:id="2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25.2质量管理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具体执行发包人质量管理制度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资料整编</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25.3.1工程档案资料的整理严格按照现行水利水电工程有关档案管理规定执行。在施工过程中若发现工程资料与实际不符，视情节严重程度，每发现一次罚款500-1000元。</w:t>
      </w:r>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br w:type="page"/>
      </w:r>
    </w:p>
    <w:p>
      <w:pPr>
        <w:spacing w:before="264" w:line="184" w:lineRule="auto"/>
        <w:ind w:firstLine="1956"/>
        <w:outlineLvl w:val="0"/>
        <w:rPr>
          <w:rFonts w:hint="eastAsia" w:ascii="宋体" w:hAnsi="宋体" w:eastAsia="宋体" w:cs="宋体"/>
          <w:color w:val="auto"/>
          <w:sz w:val="36"/>
          <w:szCs w:val="36"/>
          <w:highlight w:val="none"/>
        </w:rPr>
      </w:pPr>
      <w:bookmarkStart w:id="253" w:name="_Toc22781"/>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第四章协议书和工程预付款保函</w:t>
      </w:r>
      <w:bookmarkEnd w:id="253"/>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before="78" w:line="184"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4.1</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14:textOutline w14:w="4358" w14:cap="flat" w14:cmpd="sng">
            <w14:solidFill>
              <w14:srgbClr w14:val="000000"/>
            </w14:solidFill>
            <w14:prstDash w14:val="solid"/>
            <w14:miter w14:val="0"/>
          </w14:textOutline>
        </w:rPr>
        <w:t>协议书</w:t>
      </w:r>
    </w:p>
    <w:p>
      <w:pPr>
        <w:spacing w:before="226" w:line="184" w:lineRule="auto"/>
        <w:ind w:firstLine="4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协</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议</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4358" w14:cap="flat" w14:cmpd="sng">
            <w14:solidFill>
              <w14:srgbClr w14:val="000000"/>
            </w14:solidFill>
            <w14:prstDash w14:val="solid"/>
            <w14:miter w14:val="0"/>
          </w14:textOutline>
        </w:rPr>
        <w:t>书</w:t>
      </w:r>
    </w:p>
    <w:p>
      <w:pPr>
        <w:spacing w:before="228" w:line="465" w:lineRule="exact"/>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3"/>
          <w:position w:val="16"/>
          <w:sz w:val="24"/>
          <w:szCs w:val="24"/>
          <w:highlight w:val="none"/>
        </w:rPr>
        <w:t>合同名称：</w:t>
      </w:r>
    </w:p>
    <w:p>
      <w:pPr>
        <w:spacing w:line="204"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合同编号：</w:t>
      </w:r>
    </w:p>
    <w:p>
      <w:pPr>
        <w:spacing w:before="202" w:line="359" w:lineRule="auto"/>
        <w:ind w:left="3" w:firstLine="48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rPr>
        <w:t>新疆布尔根河狸国家级自然保护区管理局</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24"/>
          <w:sz w:val="24"/>
          <w:szCs w:val="24"/>
          <w:highlight w:val="none"/>
        </w:rPr>
        <w:t xml:space="preserve"> </w:t>
      </w:r>
      <w:r>
        <w:rPr>
          <w:rFonts w:hint="eastAsia" w:ascii="宋体" w:hAnsi="宋体" w:eastAsia="宋体" w:cs="宋体"/>
          <w:color w:val="auto"/>
          <w:spacing w:val="-8"/>
          <w:sz w:val="24"/>
          <w:szCs w:val="24"/>
          <w:highlight w:val="none"/>
        </w:rPr>
        <w:t>(以下称招标人)拟修建</w:t>
      </w:r>
      <w:r>
        <w:rPr>
          <w:rFonts w:hint="eastAsia" w:ascii="宋体" w:hAnsi="宋体" w:eastAsia="宋体" w:cs="宋体"/>
          <w:color w:val="auto"/>
          <w:spacing w:val="-8"/>
          <w:sz w:val="24"/>
          <w:szCs w:val="24"/>
          <w:highlight w:val="none"/>
          <w:u w:val="single"/>
          <w:lang w:eastAsia="zh-CN"/>
        </w:rPr>
        <w:t>新疆布尔根河狸国家级自然保护区一期河狸栖息地水位保障透水闸项目</w:t>
      </w:r>
      <w:r>
        <w:rPr>
          <w:rFonts w:hint="eastAsia" w:ascii="宋体" w:hAnsi="宋体" w:eastAsia="宋体" w:cs="宋体"/>
          <w:color w:val="auto"/>
          <w:spacing w:val="-5"/>
          <w:sz w:val="24"/>
          <w:szCs w:val="24"/>
          <w:highlight w:val="none"/>
        </w:rPr>
        <w:t>工程，接受了</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(以下称承包人)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的投标，经双方协商，并于</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13"/>
          <w:sz w:val="24"/>
          <w:szCs w:val="24"/>
          <w:highlight w:val="none"/>
          <w:u w:val="single" w:color="auto"/>
        </w:rPr>
        <w:t xml:space="preserve">    </w:t>
      </w:r>
      <w:r>
        <w:rPr>
          <w:rFonts w:hint="eastAsia" w:ascii="宋体" w:hAnsi="宋体" w:eastAsia="宋体" w:cs="宋体"/>
          <w:color w:val="auto"/>
          <w:spacing w:val="-5"/>
          <w:sz w:val="24"/>
          <w:szCs w:val="24"/>
          <w:highlight w:val="none"/>
        </w:rPr>
        <w:t>日签订了本协议书，合同总金额</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为人民币</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pPr>
        <w:spacing w:before="1" w:line="358" w:lineRule="auto"/>
        <w:ind w:left="2" w:right="76" w:firstLine="4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1.本协议书中的词语涵义与下述第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条所列的专用合同条款和通用合同条款中的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词语涵义相同。</w:t>
      </w:r>
    </w:p>
    <w:p>
      <w:pPr>
        <w:spacing w:before="2" w:line="202"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2.本合同包括下列文件：</w:t>
      </w:r>
    </w:p>
    <w:p>
      <w:pPr>
        <w:spacing w:before="204"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(1)协议书(包括补充协议)；</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(2)中标通知书；</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(3)投标报价书；</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(4)专用合同条款；</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(5)通用合同条款；</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(6)技术条款；</w:t>
      </w:r>
    </w:p>
    <w:p>
      <w:pPr>
        <w:spacing w:before="229"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(7)图纸；</w:t>
      </w:r>
    </w:p>
    <w:p>
      <w:pPr>
        <w:spacing w:before="226"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(8)已标价的工程量清单；</w:t>
      </w:r>
    </w:p>
    <w:p>
      <w:pPr>
        <w:spacing w:before="227" w:line="184"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(9)经双方确认进入合同的其它文件。</w:t>
      </w:r>
    </w:p>
    <w:p>
      <w:pPr>
        <w:spacing w:before="228" w:line="272" w:lineRule="auto"/>
        <w:ind w:left="28" w:right="76" w:firstLine="45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上列文件汇集并代替了本协议书签订前双方为本合同签订的所有协议、会谈记录</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以及相互承诺的一切文件。</w:t>
      </w:r>
    </w:p>
    <w:p>
      <w:pPr>
        <w:spacing w:before="227" w:line="272" w:lineRule="auto"/>
        <w:ind w:right="76" w:firstLine="48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3.承包人保证按照合同规定全面完成各项承包工作，并承担合同规定的承包人的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全部义务和责任。</w:t>
      </w:r>
    </w:p>
    <w:p>
      <w:pPr>
        <w:spacing w:before="226" w:line="1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4.招标人保证按照合同规定付款并承担合同规定的招标人的全部义务和责任。</w:t>
      </w:r>
    </w:p>
    <w:p>
      <w:pPr>
        <w:spacing w:before="229" w:line="358" w:lineRule="auto"/>
        <w:ind w:left="43" w:right="316" w:firstLine="4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5.本协议书经双方法定代表人或其委托代理人签名并分别盖本单位公章后生效</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(若需公证或鉴证签订手续后生效)。</w:t>
      </w:r>
    </w:p>
    <w:p>
      <w:pPr>
        <w:spacing w:before="2" w:line="202"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6.本合同一式</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拾</w:t>
      </w:r>
      <w:r>
        <w:rPr>
          <w:rFonts w:hint="eastAsia" w:ascii="宋体" w:hAnsi="宋体" w:eastAsia="宋体" w:cs="宋体"/>
          <w:color w:val="auto"/>
          <w:spacing w:val="-3"/>
          <w:sz w:val="24"/>
          <w:szCs w:val="24"/>
          <w:highlight w:val="none"/>
        </w:rPr>
        <w:t>份。其中正本</w:t>
      </w:r>
      <w:r>
        <w:rPr>
          <w:rFonts w:hint="eastAsia" w:ascii="宋体" w:hAnsi="宋体" w:eastAsia="宋体" w:cs="宋体"/>
          <w:color w:val="auto"/>
          <w:spacing w:val="-3"/>
          <w:sz w:val="24"/>
          <w:szCs w:val="24"/>
          <w:highlight w:val="none"/>
          <w:u w:val="single" w:color="auto"/>
        </w:rPr>
        <w:t>贰</w:t>
      </w:r>
      <w:r>
        <w:rPr>
          <w:rFonts w:hint="eastAsia" w:ascii="宋体" w:hAnsi="宋体" w:eastAsia="宋体" w:cs="宋体"/>
          <w:color w:val="auto"/>
          <w:spacing w:val="-3"/>
          <w:sz w:val="24"/>
          <w:szCs w:val="24"/>
          <w:highlight w:val="none"/>
        </w:rPr>
        <w:t>份，双方各执</w:t>
      </w:r>
      <w:r>
        <w:rPr>
          <w:rFonts w:hint="eastAsia" w:ascii="宋体" w:hAnsi="宋体" w:eastAsia="宋体" w:cs="宋体"/>
          <w:color w:val="auto"/>
          <w:spacing w:val="-3"/>
          <w:sz w:val="24"/>
          <w:szCs w:val="24"/>
          <w:highlight w:val="none"/>
          <w:u w:val="single" w:color="auto"/>
        </w:rPr>
        <w:t>壹</w:t>
      </w:r>
      <w:r>
        <w:rPr>
          <w:rFonts w:hint="eastAsia" w:ascii="宋体" w:hAnsi="宋体" w:eastAsia="宋体" w:cs="宋体"/>
          <w:color w:val="auto"/>
          <w:spacing w:val="-3"/>
          <w:sz w:val="24"/>
          <w:szCs w:val="24"/>
          <w:highlight w:val="none"/>
        </w:rPr>
        <w:t>份，副本</w:t>
      </w:r>
      <w:r>
        <w:rPr>
          <w:rFonts w:hint="eastAsia" w:ascii="宋体" w:hAnsi="宋体" w:eastAsia="宋体" w:cs="宋体"/>
          <w:color w:val="auto"/>
          <w:spacing w:val="-3"/>
          <w:sz w:val="24"/>
          <w:szCs w:val="24"/>
          <w:highlight w:val="none"/>
          <w:u w:val="single" w:color="auto"/>
        </w:rPr>
        <w:t>捌</w:t>
      </w:r>
      <w:r>
        <w:rPr>
          <w:rFonts w:hint="eastAsia" w:ascii="宋体" w:hAnsi="宋体" w:eastAsia="宋体" w:cs="宋体"/>
          <w:color w:val="auto"/>
          <w:spacing w:val="-3"/>
          <w:sz w:val="24"/>
          <w:szCs w:val="24"/>
          <w:highlight w:val="none"/>
        </w:rPr>
        <w:t>份，招标人执</w:t>
      </w:r>
      <w:r>
        <w:rPr>
          <w:rFonts w:hint="eastAsia" w:ascii="宋体" w:hAnsi="宋体" w:eastAsia="宋体" w:cs="宋体"/>
          <w:color w:val="auto"/>
          <w:spacing w:val="-3"/>
          <w:sz w:val="24"/>
          <w:szCs w:val="24"/>
          <w:highlight w:val="none"/>
          <w:u w:val="single" w:color="auto"/>
        </w:rPr>
        <w:t>贰</w:t>
      </w:r>
      <w:r>
        <w:rPr>
          <w:rFonts w:hint="eastAsia" w:ascii="宋体" w:hAnsi="宋体" w:eastAsia="宋体" w:cs="宋体"/>
          <w:color w:val="auto"/>
          <w:spacing w:val="-3"/>
          <w:sz w:val="24"/>
          <w:szCs w:val="24"/>
          <w:highlight w:val="none"/>
        </w:rPr>
        <w:t>份，</w:t>
      </w:r>
    </w:p>
    <w:p>
      <w:pPr>
        <w:spacing w:before="70" w:line="180" w:lineRule="auto"/>
        <w:ind w:firstLine="438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27</w:t>
      </w:r>
    </w:p>
    <w:p>
      <w:pPr>
        <w:spacing w:before="48" w:line="184"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承包人执</w:t>
      </w:r>
      <w:r>
        <w:rPr>
          <w:rFonts w:hint="eastAsia" w:ascii="宋体" w:hAnsi="宋体" w:eastAsia="宋体" w:cs="宋体"/>
          <w:color w:val="auto"/>
          <w:spacing w:val="-1"/>
          <w:sz w:val="24"/>
          <w:szCs w:val="24"/>
          <w:highlight w:val="none"/>
          <w:u w:val="single" w:color="auto"/>
        </w:rPr>
        <w:t>贰</w:t>
      </w:r>
      <w:r>
        <w:rPr>
          <w:rFonts w:hint="eastAsia" w:ascii="宋体" w:hAnsi="宋体" w:eastAsia="宋体" w:cs="宋体"/>
          <w:color w:val="auto"/>
          <w:spacing w:val="-1"/>
          <w:sz w:val="24"/>
          <w:szCs w:val="24"/>
          <w:highlight w:val="none"/>
        </w:rPr>
        <w:t>份，其余副本由招标人分送有关单位。</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承包人：</w:t>
      </w: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(盖单位章)</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(盖单位章)</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法定代表人：</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(或委托代理人)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(或委托代理人)</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地址：</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网址：</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电话：</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电话：</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传真：</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邮政编码：</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邮政编码：</w:t>
      </w:r>
    </w:p>
    <w:p>
      <w:pPr>
        <w:spacing w:before="48" w:line="184" w:lineRule="auto"/>
        <w:ind w:firstLine="1"/>
        <w:rPr>
          <w:rFonts w:hint="eastAsia" w:ascii="宋体" w:hAnsi="宋体" w:eastAsia="宋体" w:cs="宋体"/>
          <w:color w:val="auto"/>
          <w:spacing w:val="-1"/>
          <w:sz w:val="24"/>
          <w:szCs w:val="24"/>
          <w:highlight w:val="none"/>
        </w:rPr>
      </w:pPr>
    </w:p>
    <w:p>
      <w:pPr>
        <w:spacing w:before="48" w:line="184" w:lineRule="auto"/>
        <w:ind w:firstLine="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开户银行：</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开户银行：</w:t>
      </w:r>
    </w:p>
    <w:p>
      <w:pPr>
        <w:spacing w:before="48" w:line="184" w:lineRule="auto"/>
        <w:ind w:firstLine="1"/>
        <w:rPr>
          <w:rFonts w:hint="eastAsia" w:ascii="宋体" w:hAnsi="宋体" w:eastAsia="宋体" w:cs="宋体"/>
          <w:color w:val="auto"/>
          <w:spacing w:val="-1"/>
          <w:sz w:val="24"/>
          <w:szCs w:val="24"/>
          <w:highlight w:val="none"/>
        </w:rPr>
      </w:pPr>
    </w:p>
    <w:p>
      <w:pPr>
        <w:spacing w:before="226" w:line="27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账号：</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账号：</w:t>
      </w:r>
    </w:p>
    <w:p>
      <w:pPr>
        <w:spacing w:before="226" w:line="272"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6"/>
          <w:sz w:val="24"/>
          <w:szCs w:val="24"/>
          <w:highlight w:val="none"/>
        </w:rPr>
        <w:t>若投标人为联合体，除责任方外，其他各方的法定代表人(或委托代理人)也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均应在本协议书上签名并盖单位公章。</w:t>
      </w:r>
    </w:p>
    <w:p>
      <w:pPr>
        <w:spacing w:line="194" w:lineRule="exact"/>
        <w:rPr>
          <w:rFonts w:hint="eastAsia" w:ascii="宋体" w:hAnsi="宋体" w:eastAsia="宋体" w:cs="宋体"/>
          <w:color w:val="auto"/>
          <w:highlight w:val="none"/>
        </w:rPr>
      </w:pPr>
    </w:p>
    <w:p>
      <w:pP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br w:type="page"/>
      </w:r>
    </w:p>
    <w:p>
      <w:pPr>
        <w:spacing w:before="67" w:line="184"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4.2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工程预付款保函</w:t>
      </w:r>
    </w:p>
    <w:p>
      <w:pPr>
        <w:spacing w:before="259" w:line="184" w:lineRule="auto"/>
        <w:ind w:firstLine="36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工程预付款保函(格式)</w:t>
      </w:r>
    </w:p>
    <w:p>
      <w:pPr>
        <w:spacing w:before="101" w:line="184"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(招标人名称)：</w:t>
      </w:r>
    </w:p>
    <w:p>
      <w:pPr>
        <w:spacing w:before="227" w:line="359" w:lineRule="auto"/>
        <w:ind w:left="3" w:firstLine="49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因被保证人(承包人名称)</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(以下称被保证人)与你方签订了合同(合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7"/>
          <w:sz w:val="24"/>
          <w:szCs w:val="24"/>
          <w:highlight w:val="none"/>
        </w:rPr>
        <w:t>同编号：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7"/>
          <w:sz w:val="24"/>
          <w:szCs w:val="24"/>
          <w:highlight w:val="none"/>
        </w:rPr>
        <w:t>)，并按该合同约定在取得第一次工程预付款前应向你方提交</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工程预付款保函。我方已接受被保证人的请求，愿就被保证人按上述合同约定使用并</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按期退还预付款向你方提供如下保证：</w:t>
      </w:r>
    </w:p>
    <w:p>
      <w:pPr>
        <w:spacing w:before="1" w:line="202" w:lineRule="auto"/>
        <w:ind w:firstLine="4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1.本保函担保的范围(担保金额)为人民币</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2"/>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元。</w:t>
      </w:r>
    </w:p>
    <w:p>
      <w:pPr>
        <w:spacing w:before="203" w:line="360" w:lineRule="auto"/>
        <w:ind w:left="1" w:right="76"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2.本保函的有效期自工程预付之日起至你方按合同约定向承包人收回全部工程预</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付款之日止。</w:t>
      </w:r>
    </w:p>
    <w:p>
      <w:pPr>
        <w:spacing w:before="1" w:line="358" w:lineRule="auto"/>
        <w:ind w:left="2" w:right="7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3.在本保函的有效期内，若被保证人未将工程预付款用于上述合同项下的工程或</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发生其它违约情况，我方将在收到你方符合下列条件的提款通知后</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天(日历天)凭本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保函向你方支付本保函担保范围内你方要求提款的金额。</w:t>
      </w:r>
    </w:p>
    <w:p>
      <w:pPr>
        <w:spacing w:before="2" w:line="359"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(1)你方的提款通知必须在本保函有效期内以书面形式(包括信函、电传、电报、</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传真和电子邮件)提出，提款通知应由你方法定代表人或委托代理人签字并加盖单位公</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章。</w:t>
      </w:r>
    </w:p>
    <w:p>
      <w:pPr>
        <w:spacing w:before="1" w:line="202" w:lineRule="auto"/>
        <w:ind w:firstLine="5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(2)你方的提款通知应说明被保证人的违约情况和要求提款的金额。</w:t>
      </w:r>
    </w:p>
    <w:p>
      <w:pPr>
        <w:spacing w:before="203" w:line="360" w:lineRule="auto"/>
        <w:ind w:left="23" w:firstLine="45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你方和被保证人双方经协商同意在上述合同的《通知合同条款》</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5"/>
          <w:sz w:val="24"/>
          <w:szCs w:val="24"/>
          <w:highlight w:val="none"/>
        </w:rPr>
        <w:t>39</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5"/>
          <w:sz w:val="24"/>
          <w:szCs w:val="24"/>
          <w:highlight w:val="none"/>
        </w:rPr>
        <w:t>条规定的范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围内变更合同内容时，我方承担本保函规定的责任不变。</w:t>
      </w: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78" w:line="184" w:lineRule="auto"/>
        <w:ind w:firstLine="390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保证人：</w:t>
      </w:r>
    </w:p>
    <w:p>
      <w:pPr>
        <w:spacing w:line="299" w:lineRule="auto"/>
        <w:rPr>
          <w:rFonts w:hint="eastAsia" w:ascii="宋体" w:hAnsi="宋体" w:eastAsia="宋体" w:cs="宋体"/>
          <w:color w:val="auto"/>
          <w:sz w:val="21"/>
          <w:highlight w:val="none"/>
        </w:rPr>
      </w:pPr>
    </w:p>
    <w:p>
      <w:pPr>
        <w:spacing w:line="299" w:lineRule="auto"/>
        <w:rPr>
          <w:rFonts w:hint="eastAsia" w:ascii="宋体" w:hAnsi="宋体" w:eastAsia="宋体" w:cs="宋体"/>
          <w:color w:val="auto"/>
          <w:sz w:val="21"/>
          <w:highlight w:val="none"/>
        </w:rPr>
      </w:pPr>
    </w:p>
    <w:p>
      <w:pPr>
        <w:spacing w:before="79" w:line="184" w:lineRule="auto"/>
        <w:ind w:firstLine="394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(盖单位章)</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80" w:line="184" w:lineRule="auto"/>
        <w:ind w:firstLine="3886"/>
        <w:rPr>
          <w:rFonts w:hint="eastAsia" w:ascii="宋体" w:hAnsi="宋体" w:eastAsia="宋体" w:cs="宋体"/>
          <w:color w:val="auto"/>
          <w:sz w:val="24"/>
          <w:szCs w:val="24"/>
          <w:highlight w:val="none"/>
        </w:rPr>
      </w:pPr>
      <w:r>
        <w:rPr>
          <w:rFonts w:hint="eastAsia" w:ascii="宋体" w:hAnsi="宋体" w:eastAsia="宋体" w:cs="宋体"/>
          <w:color w:val="auto"/>
          <w:spacing w:val="-12"/>
          <w:w w:val="99"/>
          <w:sz w:val="24"/>
          <w:szCs w:val="24"/>
          <w:highlight w:val="none"/>
        </w:rPr>
        <w:t>法定代表人(或委托代理人)：</w:t>
      </w:r>
      <w:r>
        <w:rPr>
          <w:rFonts w:hint="eastAsia" w:ascii="宋体" w:hAnsi="宋体" w:eastAsia="宋体" w:cs="宋体"/>
          <w:color w:val="auto"/>
          <w:spacing w:val="124"/>
          <w:sz w:val="24"/>
          <w:szCs w:val="24"/>
          <w:highlight w:val="none"/>
        </w:rPr>
        <w:t xml:space="preserve"> </w:t>
      </w:r>
      <w:r>
        <w:rPr>
          <w:rFonts w:hint="eastAsia" w:ascii="宋体" w:hAnsi="宋体" w:eastAsia="宋体" w:cs="宋体"/>
          <w:color w:val="auto"/>
          <w:spacing w:val="-12"/>
          <w:w w:val="99"/>
          <w:sz w:val="24"/>
          <w:szCs w:val="24"/>
          <w:highlight w:val="none"/>
        </w:rPr>
        <w:t>(签名)</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44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bookmarkStart w:id="254" w:name="_bookmark9"/>
      <w:bookmarkEnd w:id="254"/>
    </w:p>
    <w:p>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outlineLvl w:val="9"/>
        <w:rPr>
          <w:rFonts w:hint="eastAsia" w:ascii="宋体" w:hAnsi="宋体" w:eastAsia="宋体" w:cs="宋体"/>
          <w:color w:val="auto"/>
          <w:sz w:val="30"/>
          <w:highlight w:val="none"/>
          <w:lang w:eastAsia="zh-CN"/>
        </w:rPr>
      </w:pPr>
    </w:p>
    <w:p>
      <w:pPr>
        <w:rPr>
          <w:rFonts w:hint="eastAsia" w:ascii="宋体" w:hAnsi="宋体" w:eastAsia="宋体" w:cs="宋体"/>
          <w:color w:val="auto"/>
          <w:highlight w:val="none"/>
        </w:rPr>
      </w:pPr>
    </w:p>
    <w:p>
      <w:pPr>
        <w:spacing w:before="118" w:line="184" w:lineRule="auto"/>
        <w:ind w:firstLine="3276"/>
        <w:outlineLvl w:val="0"/>
        <w:rPr>
          <w:rFonts w:hint="eastAsia" w:ascii="宋体" w:hAnsi="宋体" w:eastAsia="宋体" w:cs="宋体"/>
          <w:color w:val="auto"/>
          <w:sz w:val="32"/>
          <w:szCs w:val="32"/>
          <w:highlight w:val="none"/>
        </w:rPr>
      </w:pPr>
      <w:bookmarkStart w:id="255" w:name="_Toc3449"/>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第</w:t>
      </w:r>
      <w:r>
        <w:rPr>
          <w:rFonts w:hint="eastAsia" w:ascii="宋体" w:hAnsi="宋体" w:eastAsia="宋体" w:cs="宋体"/>
          <w:color w:val="auto"/>
          <w:spacing w:val="-3"/>
          <w:sz w:val="32"/>
          <w:szCs w:val="32"/>
          <w:highlight w:val="none"/>
          <w:lang w:eastAsia="zh-CN"/>
          <w14:textOutline w14:w="5793" w14:cap="flat" w14:cmpd="sng">
            <w14:solidFill>
              <w14:srgbClr w14:val="000000"/>
            </w14:solidFill>
            <w14:prstDash w14:val="solid"/>
            <w14:miter w14:val="0"/>
          </w14:textOutline>
        </w:rPr>
        <w:t>五</w:t>
      </w:r>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章</w:t>
      </w:r>
      <w:r>
        <w:rPr>
          <w:rFonts w:hint="eastAsia" w:ascii="宋体" w:hAnsi="宋体" w:eastAsia="宋体" w:cs="宋体"/>
          <w:color w:val="auto"/>
          <w:spacing w:val="20"/>
          <w:sz w:val="32"/>
          <w:szCs w:val="32"/>
          <w:highlight w:val="none"/>
        </w:rPr>
        <w:t xml:space="preserve"> </w:t>
      </w:r>
      <w:r>
        <w:rPr>
          <w:rFonts w:hint="eastAsia" w:ascii="宋体" w:hAnsi="宋体" w:eastAsia="宋体" w:cs="宋体"/>
          <w:color w:val="auto"/>
          <w:spacing w:val="-3"/>
          <w:sz w:val="32"/>
          <w:szCs w:val="32"/>
          <w:highlight w:val="none"/>
          <w14:textOutline w14:w="5793" w14:cap="flat" w14:cmpd="sng">
            <w14:solidFill>
              <w14:srgbClr w14:val="000000"/>
            </w14:solidFill>
            <w14:prstDash w14:val="solid"/>
            <w14:miter w14:val="0"/>
          </w14:textOutline>
        </w:rPr>
        <w:t>评标办法</w:t>
      </w:r>
      <w:bookmarkEnd w:id="255"/>
    </w:p>
    <w:p>
      <w:pPr>
        <w:spacing w:before="266" w:line="184" w:lineRule="auto"/>
        <w:ind w:firstLine="2788"/>
        <w:rPr>
          <w:rFonts w:hint="eastAsia" w:ascii="宋体" w:hAnsi="宋体" w:eastAsia="宋体" w:cs="宋体"/>
          <w:color w:val="auto"/>
          <w:sz w:val="36"/>
          <w:szCs w:val="36"/>
          <w:highlight w:val="none"/>
        </w:rPr>
      </w:pPr>
      <w:r>
        <w:rPr>
          <w:rFonts w:hint="eastAsia" w:ascii="宋体" w:hAnsi="宋体" w:eastAsia="宋体" w:cs="宋体"/>
          <w:color w:val="auto"/>
          <w:spacing w:val="-3"/>
          <w:sz w:val="36"/>
          <w:szCs w:val="36"/>
          <w:highlight w:val="none"/>
          <w14:textOutline w14:w="6537" w14:cap="flat" w14:cmpd="sng">
            <w14:solidFill>
              <w14:srgbClr w14:val="000000"/>
            </w14:solidFill>
            <w14:prstDash w14:val="solid"/>
            <w14:miter w14:val="0"/>
          </w14:textOutline>
        </w:rPr>
        <w:t>第一部分</w:t>
      </w:r>
      <w:r>
        <w:rPr>
          <w:rFonts w:hint="eastAsia" w:ascii="宋体" w:hAnsi="宋体" w:eastAsia="宋体" w:cs="宋体"/>
          <w:color w:val="auto"/>
          <w:spacing w:val="4"/>
          <w:sz w:val="36"/>
          <w:szCs w:val="36"/>
          <w:highlight w:val="none"/>
        </w:rPr>
        <w:t xml:space="preserve">    </w:t>
      </w:r>
      <w:r>
        <w:rPr>
          <w:rFonts w:hint="eastAsia" w:ascii="宋体" w:hAnsi="宋体" w:eastAsia="宋体" w:cs="宋体"/>
          <w:color w:val="auto"/>
          <w:spacing w:val="-3"/>
          <w:sz w:val="36"/>
          <w:szCs w:val="36"/>
          <w:highlight w:val="none"/>
          <w14:textOutline w14:w="6537" w14:cap="flat" w14:cmpd="sng">
            <w14:solidFill>
              <w14:srgbClr w14:val="000000"/>
            </w14:solidFill>
            <w14:prstDash w14:val="solid"/>
            <w14:miter w14:val="0"/>
          </w14:textOutline>
        </w:rPr>
        <w:t>评标办法</w:t>
      </w:r>
    </w:p>
    <w:p>
      <w:pPr>
        <w:spacing w:line="324" w:lineRule="auto"/>
        <w:rPr>
          <w:rFonts w:hint="eastAsia" w:ascii="宋体" w:hAnsi="宋体" w:eastAsia="宋体" w:cs="宋体"/>
          <w:color w:val="auto"/>
          <w:sz w:val="21"/>
          <w:highlight w:val="none"/>
        </w:rPr>
      </w:pPr>
    </w:p>
    <w:p>
      <w:pPr>
        <w:spacing w:before="78" w:line="359" w:lineRule="auto"/>
        <w:ind w:left="5" w:right="8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为保证评标的公平、公正，维护招标投标活动当事人的合法权益，依照《中华人</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民共和国采购法》</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7"/>
          <w:sz w:val="24"/>
          <w:szCs w:val="24"/>
          <w:highlight w:val="none"/>
        </w:rPr>
        <w:t>和国家七部委颁布的《评标委员会和评标方法暂行规定》</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及有关规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定，制定本办法。</w:t>
      </w:r>
    </w:p>
    <w:p>
      <w:pPr>
        <w:spacing w:before="1" w:line="202" w:lineRule="auto"/>
        <w:ind w:firstLine="483"/>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一、评标原则</w:t>
      </w:r>
    </w:p>
    <w:p>
      <w:pPr>
        <w:spacing w:before="203" w:line="184" w:lineRule="auto"/>
        <w:ind w:firstLine="4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1、谈判活动遵循公平、公正、科学、择优的原则。</w:t>
      </w:r>
    </w:p>
    <w:p>
      <w:pPr>
        <w:spacing w:before="226" w:line="272" w:lineRule="auto"/>
        <w:ind w:left="3" w:right="8" w:firstLine="4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2、谈判小组成员应当客观、公正地履行职责，遵守职业道德，对所提出的评审意</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见承担个人责任。</w:t>
      </w:r>
    </w:p>
    <w:p>
      <w:pPr>
        <w:spacing w:before="226"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3、谈判小组应认真执行国家有关政策和法令，维护招标人和投标人的合法权益。</w:t>
      </w:r>
    </w:p>
    <w:p>
      <w:pPr>
        <w:spacing w:before="229" w:line="184" w:lineRule="auto"/>
        <w:ind w:firstLine="483"/>
        <w:outlineLvl w:val="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flat" w14:cmpd="sng">
            <w14:solidFill>
              <w14:srgbClr w14:val="000000"/>
            </w14:solidFill>
            <w14:prstDash w14:val="solid"/>
            <w14:miter w14:val="0"/>
          </w14:textOutline>
        </w:rPr>
        <w:t>二、组建谈判小组</w:t>
      </w:r>
    </w:p>
    <w:p>
      <w:pPr>
        <w:spacing w:before="229" w:line="358" w:lineRule="auto"/>
        <w:ind w:left="1" w:right="8"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谈判小组由招标人的代表和有关专家共</w:t>
      </w:r>
      <w:r>
        <w:rPr>
          <w:rFonts w:hint="eastAsia" w:ascii="宋体" w:hAnsi="宋体" w:eastAsia="宋体" w:cs="宋体"/>
          <w:color w:val="auto"/>
          <w:spacing w:val="-5"/>
          <w:sz w:val="24"/>
          <w:szCs w:val="24"/>
          <w:highlight w:val="none"/>
          <w:lang w:eastAsia="zh-CN"/>
        </w:rPr>
        <w:t>三</w:t>
      </w:r>
      <w:r>
        <w:rPr>
          <w:rFonts w:hint="eastAsia" w:ascii="宋体" w:hAnsi="宋体" w:eastAsia="宋体" w:cs="宋体"/>
          <w:color w:val="auto"/>
          <w:spacing w:val="-5"/>
          <w:sz w:val="24"/>
          <w:szCs w:val="24"/>
          <w:highlight w:val="none"/>
        </w:rPr>
        <w:t>人以上的单数组成，其中专家的人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数不得少于成员总数的三分之二。</w:t>
      </w:r>
    </w:p>
    <w:p>
      <w:pPr>
        <w:spacing w:before="2" w:line="202"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（2）</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sz w:val="24"/>
          <w:szCs w:val="24"/>
          <w:highlight w:val="none"/>
          <w14:textOutline w14:w="4358" w14:cap="flat" w14:cmpd="sng">
            <w14:solidFill>
              <w14:srgbClr w14:val="000000"/>
            </w14:solidFill>
            <w14:prstDash w14:val="solid"/>
            <w14:miter w14:val="0"/>
          </w14:textOutline>
        </w:rPr>
        <w:t>谈判响应文件鉴定</w:t>
      </w:r>
    </w:p>
    <w:p>
      <w:pPr>
        <w:spacing w:before="201" w:line="316" w:lineRule="auto"/>
        <w:ind w:right="85"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谈判小组对谈判响应文件进行初步审查审查检查谈判响应文件内容是否提交了应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标保证金、文件签署是否规范以及谈判响应方资格是否符合要求等。不符合要求的谈</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判响应性文件，为无效的文件，做废标处理。如谈判响应文件被确认为无效，采购代</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理机构将及时通知该谈判响应方。</w:t>
      </w:r>
    </w:p>
    <w:p>
      <w:pPr>
        <w:spacing w:before="227"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（3）</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评审办法</w:t>
      </w:r>
    </w:p>
    <w:p>
      <w:pPr>
        <w:spacing w:before="228" w:line="358" w:lineRule="auto"/>
        <w:ind w:left="3" w:right="8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本项目比照最低评标价法确定成交单位，即在符合采购需求、质量和服务相等的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前提下，以提出最低报价的投标单位作为成交单位。</w:t>
      </w:r>
    </w:p>
    <w:p>
      <w:pPr>
        <w:spacing w:before="2" w:line="301" w:lineRule="auto"/>
        <w:ind w:right="85"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谈判小组先对谈判性响应文件进行初步评审的评审，符合条件的投标企业进入谈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判阶段，谈判结束后，报价由低到高进行排序，报价最低的投标企业为第一中标候选</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5"/>
          <w:sz w:val="24"/>
          <w:szCs w:val="24"/>
          <w:highlight w:val="none"/>
        </w:rPr>
        <w:t>人。</w:t>
      </w:r>
    </w:p>
    <w:p>
      <w:pPr>
        <w:spacing w:before="226"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（4）</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w w:val="97"/>
          <w:sz w:val="24"/>
          <w:szCs w:val="24"/>
          <w:highlight w:val="none"/>
          <w14:textOutline w14:w="4358" w14:cap="flat" w14:cmpd="sng">
            <w14:solidFill>
              <w14:srgbClr w14:val="000000"/>
            </w14:solidFill>
            <w14:prstDash w14:val="solid"/>
            <w14:miter w14:val="0"/>
          </w14:textOutline>
        </w:rPr>
        <w:t>谈判流程</w:t>
      </w:r>
    </w:p>
    <w:p>
      <w:pPr>
        <w:spacing w:before="229" w:line="184" w:lineRule="auto"/>
        <w:ind w:firstLine="444"/>
        <w:rPr>
          <w:rFonts w:hint="eastAsia" w:ascii="宋体" w:hAnsi="宋体" w:eastAsia="宋体" w:cs="宋体"/>
          <w:color w:val="auto"/>
          <w:sz w:val="24"/>
          <w:szCs w:val="24"/>
          <w:highlight w:val="none"/>
        </w:rPr>
      </w:pP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4"/>
          <w:szCs w:val="24"/>
          <w:highlight w:val="none"/>
        </w:rPr>
        <w:t>1）</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7"/>
          <w:sz w:val="24"/>
          <w:szCs w:val="24"/>
          <w:highlight w:val="none"/>
        </w:rPr>
        <w:t>、谈判小组讨论、通过谈判评审工作流程和谈判要点；</w:t>
      </w:r>
    </w:p>
    <w:p>
      <w:pPr>
        <w:spacing w:before="229"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、谈判小组审阅谈判文件和谈判响应文件；</w:t>
      </w:r>
    </w:p>
    <w:p>
      <w:pPr>
        <w:spacing w:before="226"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、谈判响应方根据递交响应文件的逆顺序逐家与谈判小组谈判。</w:t>
      </w:r>
    </w:p>
    <w:p>
      <w:pPr>
        <w:spacing w:before="229"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、围绕谈判要点谈判小组全体成员集中与各个谈判响应方分别进行谈判。逐</w:t>
      </w:r>
    </w:p>
    <w:p>
      <w:pPr>
        <w:spacing w:before="48" w:line="184"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家谈判一次为一个轮次，谈判轮次由谈判小组视情况决定。谈判轮次最多不超过</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轮。</w:t>
      </w:r>
    </w:p>
    <w:p>
      <w:pPr>
        <w:spacing w:before="226" w:line="358" w:lineRule="auto"/>
        <w:ind w:right="85" w:firstLine="4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、谈判文件有实质性变动的，谈判小组将以书面形式通知所有参加谈判的谈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判响应方。</w:t>
      </w:r>
    </w:p>
    <w:p>
      <w:pPr>
        <w:spacing w:before="2" w:line="272" w:lineRule="auto"/>
        <w:ind w:left="13" w:right="85" w:firstLine="4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、最终报价。谈判结束后，谈判小组将要求所有实质性响应谈判文件的谈判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响应方在规定时间内确定最终报价。</w:t>
      </w:r>
    </w:p>
    <w:p>
      <w:pPr>
        <w:spacing w:before="226" w:line="184" w:lineRule="auto"/>
        <w:ind w:firstLine="480"/>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三、确定中标人</w:t>
      </w:r>
    </w:p>
    <w:p>
      <w:pPr>
        <w:spacing w:before="228" w:line="184" w:lineRule="auto"/>
        <w:ind w:firstLine="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1、中标人确定后，招标人向中标人发出中标通知书，同时通知未中标人。</w:t>
      </w:r>
    </w:p>
    <w:p>
      <w:pPr>
        <w:spacing w:before="227" w:line="359" w:lineRule="auto"/>
        <w:ind w:right="85"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2、招标人根据评标委员会的评标报告，应以排名第一的中标候选人为中标人。排</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名第一的中标候选人放弃中标或因不可抗力提出不能履行合同，或者谈判文件规定应</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当提交履约保证金而在规定的期限内未能提交的，招标人可以确定排名第二的中标候</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选人为中标人。排名第二的中标候选人因前款规定的同样原因不能签订合同的，招标</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人可以确定排名第三的中标候选人为中标人。</w:t>
      </w:r>
    </w:p>
    <w:p>
      <w:pP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br w:type="page"/>
      </w:r>
    </w:p>
    <w:p>
      <w:pPr>
        <w:spacing w:before="79" w:line="185" w:lineRule="auto"/>
        <w:ind w:firstLine="3575"/>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136"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11"/>
          <w:w w:val="94"/>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w w:val="94"/>
          <w:sz w:val="24"/>
          <w:szCs w:val="24"/>
          <w:highlight w:val="none"/>
        </w:rPr>
        <w:t>共</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1"/>
          <w:w w:val="94"/>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4"/>
          <w:sz w:val="24"/>
          <w:szCs w:val="24"/>
          <w:highlight w:val="none"/>
        </w:rPr>
        <w:t>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w w:val="94"/>
          <w:sz w:val="24"/>
          <w:szCs w:val="24"/>
          <w:highlight w:val="none"/>
        </w:rPr>
        <w:t>第</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w w:val="94"/>
          <w:sz w:val="24"/>
          <w:szCs w:val="24"/>
          <w:highlight w:val="none"/>
        </w:rPr>
        <w:t>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4"/>
          <w:sz w:val="24"/>
          <w:szCs w:val="24"/>
          <w:highlight w:val="none"/>
        </w:rPr>
        <w:t>页</w:t>
      </w:r>
    </w:p>
    <w:p>
      <w:pPr>
        <w:spacing w:line="83" w:lineRule="exact"/>
        <w:rPr>
          <w:rFonts w:hint="eastAsia" w:ascii="宋体" w:hAnsi="宋体" w:eastAsia="宋体" w:cs="宋体"/>
          <w:color w:val="auto"/>
          <w:highlight w:val="none"/>
        </w:rPr>
      </w:pPr>
    </w:p>
    <w:tbl>
      <w:tblPr>
        <w:tblStyle w:val="17"/>
        <w:tblW w:w="951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9"/>
        <w:gridCol w:w="539"/>
        <w:gridCol w:w="4943"/>
        <w:gridCol w:w="562"/>
        <w:gridCol w:w="562"/>
        <w:gridCol w:w="562"/>
        <w:gridCol w:w="563"/>
        <w:gridCol w:w="563"/>
        <w:gridCol w:w="5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39" w:type="dxa"/>
            <w:vMerge w:val="restart"/>
            <w:tcBorders>
              <w:top w:val="single" w:color="000000" w:sz="10" w:space="0"/>
              <w:left w:val="single" w:color="000000" w:sz="10" w:space="0"/>
              <w:bottom w:val="nil"/>
            </w:tcBorders>
            <w:textDirection w:val="tbRlV"/>
            <w:vAlign w:val="top"/>
          </w:tcPr>
          <w:p>
            <w:pPr>
              <w:spacing w:before="214" w:line="180" w:lineRule="auto"/>
              <w:ind w:firstLine="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82" w:type="dxa"/>
            <w:gridSpan w:val="2"/>
            <w:vMerge w:val="restart"/>
            <w:tcBorders>
              <w:top w:val="single" w:color="000000" w:sz="10" w:space="0"/>
              <w:bottom w:val="nil"/>
            </w:tcBorders>
            <w:vAlign w:val="top"/>
          </w:tcPr>
          <w:p>
            <w:pPr>
              <w:spacing w:line="426" w:lineRule="auto"/>
              <w:rPr>
                <w:rFonts w:hint="eastAsia" w:ascii="宋体" w:hAnsi="宋体" w:eastAsia="宋体" w:cs="宋体"/>
                <w:color w:val="auto"/>
                <w:sz w:val="21"/>
                <w:highlight w:val="none"/>
              </w:rPr>
            </w:pPr>
          </w:p>
          <w:p>
            <w:pPr>
              <w:spacing w:before="68" w:line="184" w:lineRule="auto"/>
              <w:ind w:firstLine="23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389" w:type="dxa"/>
            <w:gridSpan w:val="6"/>
            <w:tcBorders>
              <w:top w:val="single" w:color="000000" w:sz="10" w:space="0"/>
              <w:right w:val="single" w:color="000000" w:sz="10" w:space="0"/>
            </w:tcBorders>
            <w:vAlign w:val="top"/>
          </w:tcPr>
          <w:p>
            <w:pPr>
              <w:spacing w:before="111" w:line="184" w:lineRule="auto"/>
              <w:ind w:firstLine="12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482"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24" w:type="dxa"/>
            <w:gridSpan w:val="2"/>
            <w:vAlign w:val="top"/>
          </w:tcPr>
          <w:p>
            <w:pPr>
              <w:rPr>
                <w:rFonts w:hint="eastAsia" w:ascii="宋体" w:hAnsi="宋体" w:eastAsia="宋体" w:cs="宋体"/>
                <w:color w:val="auto"/>
                <w:sz w:val="21"/>
                <w:highlight w:val="none"/>
              </w:rPr>
            </w:pPr>
          </w:p>
        </w:tc>
        <w:tc>
          <w:tcPr>
            <w:tcW w:w="1125" w:type="dxa"/>
            <w:gridSpan w:val="2"/>
            <w:vAlign w:val="top"/>
          </w:tcPr>
          <w:p>
            <w:pPr>
              <w:rPr>
                <w:rFonts w:hint="eastAsia" w:ascii="宋体" w:hAnsi="宋体" w:eastAsia="宋体" w:cs="宋体"/>
                <w:color w:val="auto"/>
                <w:sz w:val="21"/>
                <w:highlight w:val="none"/>
              </w:rPr>
            </w:pPr>
          </w:p>
        </w:tc>
        <w:tc>
          <w:tcPr>
            <w:tcW w:w="1140" w:type="dxa"/>
            <w:gridSpan w:val="2"/>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39" w:type="dxa"/>
            <w:vMerge w:val="continue"/>
            <w:tcBorders>
              <w:top w:val="nil"/>
              <w:left w:val="single" w:color="000000" w:sz="10" w:space="0"/>
            </w:tcBorders>
            <w:textDirection w:val="tbRlV"/>
            <w:vAlign w:val="top"/>
          </w:tcPr>
          <w:p>
            <w:pPr>
              <w:rPr>
                <w:rFonts w:hint="eastAsia" w:ascii="宋体" w:hAnsi="宋体" w:eastAsia="宋体" w:cs="宋体"/>
                <w:color w:val="auto"/>
                <w:sz w:val="21"/>
                <w:highlight w:val="none"/>
              </w:rPr>
            </w:pPr>
          </w:p>
        </w:tc>
        <w:tc>
          <w:tcPr>
            <w:tcW w:w="5482" w:type="dxa"/>
            <w:gridSpan w:val="2"/>
            <w:vMerge w:val="continue"/>
            <w:tcBorders>
              <w:top w:val="nil"/>
            </w:tcBorders>
            <w:vAlign w:val="top"/>
          </w:tcPr>
          <w:p>
            <w:pPr>
              <w:rPr>
                <w:rFonts w:hint="eastAsia" w:ascii="宋体" w:hAnsi="宋体" w:eastAsia="宋体" w:cs="宋体"/>
                <w:color w:val="auto"/>
                <w:sz w:val="21"/>
                <w:highlight w:val="none"/>
              </w:rPr>
            </w:pPr>
          </w:p>
        </w:tc>
        <w:tc>
          <w:tcPr>
            <w:tcW w:w="562" w:type="dxa"/>
            <w:vAlign w:val="top"/>
          </w:tcPr>
          <w:p>
            <w:pPr>
              <w:spacing w:before="77" w:line="184" w:lineRule="auto"/>
              <w:ind w:firstLine="1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2" w:type="dxa"/>
            <w:vAlign w:val="top"/>
          </w:tcPr>
          <w:p>
            <w:pPr>
              <w:spacing w:before="77"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2" w:type="dxa"/>
            <w:vAlign w:val="top"/>
          </w:tcPr>
          <w:p>
            <w:pPr>
              <w:spacing w:before="77" w:line="184" w:lineRule="auto"/>
              <w:ind w:firstLine="1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77"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77"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77" w:type="dxa"/>
            <w:tcBorders>
              <w:right w:val="single" w:color="000000" w:sz="10" w:space="0"/>
            </w:tcBorders>
            <w:vAlign w:val="top"/>
          </w:tcPr>
          <w:p>
            <w:pPr>
              <w:spacing w:before="77" w:line="184" w:lineRule="auto"/>
              <w:ind w:firstLine="1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639" w:type="dxa"/>
            <w:vMerge w:val="restart"/>
            <w:tcBorders>
              <w:left w:val="single" w:color="000000" w:sz="10" w:space="0"/>
              <w:bottom w:val="nil"/>
            </w:tcBorders>
            <w:textDirection w:val="tbRlV"/>
            <w:vAlign w:val="top"/>
          </w:tcPr>
          <w:p>
            <w:pPr>
              <w:spacing w:before="213" w:line="180" w:lineRule="auto"/>
              <w:ind w:firstLine="226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形</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式</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审</w:t>
            </w:r>
          </w:p>
        </w:tc>
        <w:tc>
          <w:tcPr>
            <w:tcW w:w="539" w:type="dxa"/>
            <w:vAlign w:val="top"/>
          </w:tcPr>
          <w:p>
            <w:pPr>
              <w:spacing w:before="312" w:line="180" w:lineRule="auto"/>
              <w:ind w:firstLine="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43" w:type="dxa"/>
            <w:vAlign w:val="top"/>
          </w:tcPr>
          <w:p>
            <w:pPr>
              <w:spacing w:before="24" w:line="221" w:lineRule="auto"/>
              <w:ind w:left="98" w:right="99" w:firstLine="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投标保证金的缴纳主体与投标人不一致的，没有按照谈</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3"/>
                <w:sz w:val="20"/>
                <w:szCs w:val="20"/>
                <w:highlight w:val="none"/>
              </w:rPr>
              <w:t>判文件要求提供投标担保，或者所提供的投标担保有瑕</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4"/>
                <w:sz w:val="20"/>
                <w:szCs w:val="20"/>
                <w:highlight w:val="none"/>
              </w:rPr>
              <w:t>疵的；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1" w:line="180"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43" w:type="dxa"/>
            <w:vAlign w:val="top"/>
          </w:tcPr>
          <w:p>
            <w:pPr>
              <w:spacing w:before="46" w:line="211" w:lineRule="auto"/>
              <w:ind w:left="97" w:right="10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谈判响应文件没有投标单位法定代表人或其授权代表</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签字或（章）</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6"/>
                <w:sz w:val="20"/>
                <w:szCs w:val="20"/>
                <w:highlight w:val="none"/>
              </w:rPr>
              <w:t>和加盖投标单位公章的；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4"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43" w:type="dxa"/>
            <w:vAlign w:val="top"/>
          </w:tcPr>
          <w:p>
            <w:pPr>
              <w:spacing w:before="48" w:line="211"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投标人的项目负责人不是投标人的注册人员，或者不具</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pacing w:val="-1"/>
                <w:sz w:val="20"/>
                <w:szCs w:val="20"/>
                <w:highlight w:val="none"/>
              </w:rPr>
              <w:t>备项目负责人资格条件的</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2" w:line="180" w:lineRule="auto"/>
              <w:ind w:firstLine="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43" w:type="dxa"/>
            <w:vAlign w:val="top"/>
          </w:tcPr>
          <w:p>
            <w:pPr>
              <w:spacing w:before="47" w:line="239" w:lineRule="auto"/>
              <w:ind w:left="98" w:right="99" w:firstLine="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未按谈判文件规定的格式填写，内容不全或关键字迹模</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2"/>
                <w:sz w:val="20"/>
                <w:szCs w:val="20"/>
                <w:highlight w:val="none"/>
              </w:rPr>
              <w:t>糊、无法辨认的；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4"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943" w:type="dxa"/>
            <w:vAlign w:val="top"/>
          </w:tcPr>
          <w:p>
            <w:pPr>
              <w:spacing w:before="48" w:line="211"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投标的施工完成</w:t>
            </w:r>
            <w:r>
              <w:rPr>
                <w:rFonts w:hint="eastAsia" w:ascii="宋体" w:hAnsi="宋体" w:eastAsia="宋体" w:cs="宋体"/>
                <w:color w:val="auto"/>
                <w:spacing w:val="-1"/>
                <w:sz w:val="20"/>
                <w:szCs w:val="20"/>
                <w:highlight w:val="none"/>
              </w:rPr>
              <w:t>期限超过</w:t>
            </w:r>
            <w:r>
              <w:rPr>
                <w:rFonts w:hint="eastAsia" w:ascii="宋体" w:hAnsi="宋体" w:eastAsia="宋体" w:cs="宋体"/>
                <w:color w:val="auto"/>
                <w:spacing w:val="-1"/>
                <w:sz w:val="20"/>
                <w:szCs w:val="20"/>
                <w:highlight w:val="none"/>
                <w:lang w:eastAsia="zh-CN"/>
              </w:rPr>
              <w:t>谈判</w:t>
            </w:r>
            <w:r>
              <w:rPr>
                <w:rFonts w:hint="eastAsia" w:ascii="宋体" w:hAnsi="宋体" w:eastAsia="宋体" w:cs="宋体"/>
                <w:color w:val="auto"/>
                <w:spacing w:val="-1"/>
                <w:sz w:val="20"/>
                <w:szCs w:val="20"/>
                <w:highlight w:val="none"/>
              </w:rPr>
              <w:t>文件规定期限的;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10" w:line="180" w:lineRule="auto"/>
              <w:ind w:firstLine="2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943" w:type="dxa"/>
            <w:vAlign w:val="top"/>
          </w:tcPr>
          <w:p>
            <w:pPr>
              <w:spacing w:before="83"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没有按</w:t>
            </w:r>
            <w:r>
              <w:rPr>
                <w:rFonts w:hint="eastAsia" w:ascii="宋体" w:hAnsi="宋体" w:eastAsia="宋体" w:cs="宋体"/>
                <w:color w:val="auto"/>
                <w:spacing w:val="-1"/>
                <w:sz w:val="20"/>
                <w:szCs w:val="20"/>
                <w:highlight w:val="none"/>
                <w:lang w:eastAsia="zh-CN"/>
              </w:rPr>
              <w:t>谈判</w:t>
            </w:r>
            <w:r>
              <w:rPr>
                <w:rFonts w:hint="eastAsia" w:ascii="宋体" w:hAnsi="宋体" w:eastAsia="宋体" w:cs="宋体"/>
                <w:color w:val="auto"/>
                <w:spacing w:val="-1"/>
                <w:sz w:val="20"/>
                <w:szCs w:val="20"/>
                <w:highlight w:val="none"/>
              </w:rPr>
              <w:t>文件要求提供电子版谈判响应文件的：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5"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943" w:type="dxa"/>
            <w:vAlign w:val="top"/>
          </w:tcPr>
          <w:p>
            <w:pPr>
              <w:spacing w:before="49" w:line="211" w:lineRule="auto"/>
              <w:ind w:left="101" w:right="102" w:hanging="4"/>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谈判响应文件载明的技术规格、技术标准、货物包装方</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rPr>
              <w:t>式、检验标准和方法等，不符合谈判文件要求的；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85" w:line="180" w:lineRule="auto"/>
              <w:ind w:firstLine="2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943" w:type="dxa"/>
            <w:vAlign w:val="top"/>
          </w:tcPr>
          <w:p>
            <w:pPr>
              <w:spacing w:before="58" w:line="184" w:lineRule="auto"/>
              <w:ind w:firstLine="97"/>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谈判响应文件附有招标人不能接受条件的</w:t>
            </w:r>
            <w:r>
              <w:rPr>
                <w:rFonts w:hint="eastAsia" w:ascii="宋体" w:hAnsi="宋体" w:eastAsia="宋体" w:cs="宋体"/>
                <w:color w:val="auto"/>
                <w:spacing w:val="-4"/>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39" w:type="dxa"/>
            <w:vMerge w:val="continue"/>
            <w:tcBorders>
              <w:top w:val="nil"/>
              <w:left w:val="single" w:color="000000" w:sz="10" w:space="0"/>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205" w:line="180" w:lineRule="auto"/>
              <w:ind w:firstLine="17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w w:val="98"/>
                <w:sz w:val="21"/>
                <w:szCs w:val="21"/>
                <w:highlight w:val="none"/>
                <w:lang w:val="en-US" w:eastAsia="zh-CN"/>
              </w:rPr>
              <w:t>9</w:t>
            </w:r>
          </w:p>
        </w:tc>
        <w:tc>
          <w:tcPr>
            <w:tcW w:w="4943" w:type="dxa"/>
            <w:vAlign w:val="top"/>
          </w:tcPr>
          <w:p>
            <w:pPr>
              <w:spacing w:before="51" w:line="211" w:lineRule="auto"/>
              <w:ind w:left="100" w:right="10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投标人未提供不参与围标串标承诺书且未按承诺书要 </w:t>
            </w:r>
            <w:r>
              <w:rPr>
                <w:rFonts w:hint="eastAsia" w:ascii="宋体" w:hAnsi="宋体" w:eastAsia="宋体" w:cs="宋体"/>
                <w:color w:val="auto"/>
                <w:spacing w:val="-1"/>
                <w:sz w:val="20"/>
                <w:szCs w:val="20"/>
                <w:highlight w:val="none"/>
              </w:rPr>
              <w:t>求及格式进行承诺的;</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639" w:type="dxa"/>
            <w:vMerge w:val="restart"/>
            <w:tcBorders>
              <w:left w:val="single" w:color="000000" w:sz="10" w:space="0"/>
              <w:bottom w:val="nil"/>
            </w:tcBorders>
            <w:textDirection w:val="tbRlV"/>
            <w:vAlign w:val="top"/>
          </w:tcPr>
          <w:p>
            <w:pPr>
              <w:spacing w:before="213" w:line="180" w:lineRule="auto"/>
              <w:ind w:firstLine="206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资</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格</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审</w:t>
            </w:r>
          </w:p>
        </w:tc>
        <w:tc>
          <w:tcPr>
            <w:tcW w:w="539" w:type="dxa"/>
            <w:vAlign w:val="top"/>
          </w:tcPr>
          <w:p>
            <w:pPr>
              <w:spacing w:before="88" w:line="180" w:lineRule="auto"/>
              <w:ind w:firstLine="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43" w:type="dxa"/>
            <w:vAlign w:val="top"/>
          </w:tcPr>
          <w:p>
            <w:pPr>
              <w:spacing w:before="62"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是否提供合格的营业执照;</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21" w:line="180"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43" w:type="dxa"/>
            <w:vAlign w:val="top"/>
          </w:tcPr>
          <w:p>
            <w:pPr>
              <w:spacing w:before="94"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是否具备合格的安全生产许可证;</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09" w:line="18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43" w:type="dxa"/>
            <w:vAlign w:val="top"/>
          </w:tcPr>
          <w:p>
            <w:pPr>
              <w:spacing w:before="82"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是否具有满足招标项目需要的资质等级</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1"/>
                <w:sz w:val="20"/>
                <w:szCs w:val="20"/>
                <w:highlight w:val="none"/>
              </w:rPr>
              <w:t>∶</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31" w:line="180" w:lineRule="auto"/>
              <w:ind w:firstLine="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43" w:type="dxa"/>
            <w:vAlign w:val="top"/>
          </w:tcPr>
          <w:p>
            <w:pPr>
              <w:spacing w:before="106"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提供的财务报表是否满足招标文件的要求;</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105" w:line="180" w:lineRule="auto"/>
              <w:ind w:firstLine="20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943" w:type="dxa"/>
            <w:vAlign w:val="top"/>
          </w:tcPr>
          <w:p>
            <w:pPr>
              <w:spacing w:before="78" w:line="184" w:lineRule="auto"/>
              <w:ind w:firstLine="10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企业信誉是否满足谈判文件的要求</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0"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line="357" w:lineRule="auto"/>
              <w:rPr>
                <w:rFonts w:hint="eastAsia" w:ascii="宋体" w:hAnsi="宋体" w:eastAsia="宋体" w:cs="宋体"/>
                <w:color w:val="auto"/>
                <w:sz w:val="21"/>
                <w:highlight w:val="none"/>
              </w:rPr>
            </w:pPr>
          </w:p>
          <w:p>
            <w:pPr>
              <w:spacing w:before="68" w:line="180" w:lineRule="auto"/>
              <w:ind w:firstLine="2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943" w:type="dxa"/>
            <w:vAlign w:val="top"/>
          </w:tcPr>
          <w:p>
            <w:pPr>
              <w:spacing w:before="59" w:line="225" w:lineRule="auto"/>
              <w:ind w:left="97" w:right="37" w:firstLine="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项目负责人（建造师）</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条件是否满足招标文件的要求</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疆外投标人拟派的项目负责人及项目主要管理人员均</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必须为《（2022）</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6"/>
                <w:sz w:val="20"/>
                <w:szCs w:val="20"/>
                <w:highlight w:val="none"/>
              </w:rPr>
              <w:t>年新疆维吾尔自治区区外进疆建筑企</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业信息报送册》</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8"/>
                <w:sz w:val="20"/>
                <w:szCs w:val="20"/>
                <w:highlight w:val="none"/>
              </w:rPr>
              <w:t>中相对应的已登记人员；</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line="382" w:lineRule="auto"/>
              <w:rPr>
                <w:rFonts w:hint="eastAsia" w:ascii="宋体" w:hAnsi="宋体" w:eastAsia="宋体" w:cs="宋体"/>
                <w:color w:val="auto"/>
                <w:sz w:val="21"/>
                <w:highlight w:val="none"/>
              </w:rPr>
            </w:pPr>
          </w:p>
          <w:p>
            <w:pPr>
              <w:spacing w:before="69" w:line="180" w:lineRule="auto"/>
              <w:ind w:firstLine="20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943" w:type="dxa"/>
            <w:vAlign w:val="top"/>
          </w:tcPr>
          <w:p>
            <w:pPr>
              <w:spacing w:before="91" w:line="239" w:lineRule="auto"/>
              <w:ind w:left="100" w:right="9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疆外投标人应具有新疆维吾尔自治区住房和城乡建设 </w:t>
            </w:r>
            <w:r>
              <w:rPr>
                <w:rFonts w:hint="eastAsia" w:ascii="宋体" w:hAnsi="宋体" w:eastAsia="宋体" w:cs="宋体"/>
                <w:color w:val="auto"/>
                <w:spacing w:val="-6"/>
                <w:sz w:val="20"/>
                <w:szCs w:val="20"/>
                <w:highlight w:val="none"/>
              </w:rPr>
              <w:t>厅出具的有效期内的《（2022）</w:t>
            </w:r>
            <w:r>
              <w:rPr>
                <w:rFonts w:hint="eastAsia" w:ascii="宋体" w:hAnsi="宋体" w:eastAsia="宋体" w:cs="宋体"/>
                <w:color w:val="auto"/>
                <w:spacing w:val="-18"/>
                <w:sz w:val="20"/>
                <w:szCs w:val="20"/>
                <w:highlight w:val="none"/>
              </w:rPr>
              <w:t xml:space="preserve"> </w:t>
            </w:r>
            <w:r>
              <w:rPr>
                <w:rFonts w:hint="eastAsia" w:ascii="宋体" w:hAnsi="宋体" w:eastAsia="宋体" w:cs="宋体"/>
                <w:color w:val="auto"/>
                <w:spacing w:val="-6"/>
                <w:sz w:val="20"/>
                <w:szCs w:val="20"/>
                <w:highlight w:val="none"/>
              </w:rPr>
              <w:t>年新疆维吾尔自治区区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外进疆建筑企业信息报送册》且报送册中具备本招标公</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2"/>
                <w:sz w:val="20"/>
                <w:szCs w:val="20"/>
                <w:highlight w:val="none"/>
              </w:rPr>
              <w:t>告要求的相应施工资质</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39"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39" w:type="dxa"/>
            <w:vAlign w:val="top"/>
          </w:tcPr>
          <w:p>
            <w:pPr>
              <w:spacing w:before="69" w:line="180" w:lineRule="auto"/>
              <w:ind w:firstLine="20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943" w:type="dxa"/>
            <w:vAlign w:val="top"/>
          </w:tcPr>
          <w:p>
            <w:pPr>
              <w:spacing w:before="91" w:line="239" w:lineRule="auto"/>
              <w:ind w:left="100" w:right="99"/>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eastAsia="zh-CN"/>
              </w:rPr>
              <w:t>是否为中小企业（提供中小企业声明函）</w:t>
            </w: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2"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7" w:type="dxa"/>
            <w:tcBorders>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639" w:type="dxa"/>
            <w:vMerge w:val="continue"/>
            <w:tcBorders>
              <w:top w:val="nil"/>
              <w:left w:val="single" w:color="000000" w:sz="10" w:space="0"/>
              <w:bottom w:val="single" w:color="000000" w:sz="2" w:space="0"/>
            </w:tcBorders>
            <w:textDirection w:val="tbRlV"/>
            <w:vAlign w:val="top"/>
          </w:tcPr>
          <w:p>
            <w:pPr>
              <w:rPr>
                <w:rFonts w:hint="eastAsia" w:ascii="宋体" w:hAnsi="宋体" w:eastAsia="宋体" w:cs="宋体"/>
                <w:color w:val="auto"/>
                <w:sz w:val="21"/>
                <w:highlight w:val="none"/>
              </w:rPr>
            </w:pPr>
          </w:p>
        </w:tc>
        <w:tc>
          <w:tcPr>
            <w:tcW w:w="539" w:type="dxa"/>
            <w:tcBorders>
              <w:bottom w:val="single" w:color="000000" w:sz="2" w:space="0"/>
            </w:tcBorders>
            <w:vAlign w:val="top"/>
          </w:tcPr>
          <w:p>
            <w:pPr>
              <w:spacing w:before="214" w:line="180" w:lineRule="auto"/>
              <w:ind w:firstLine="20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943" w:type="dxa"/>
            <w:tcBorders>
              <w:bottom w:val="single" w:color="000000" w:sz="2" w:space="0"/>
            </w:tcBorders>
            <w:vAlign w:val="top"/>
          </w:tcPr>
          <w:p>
            <w:pPr>
              <w:spacing w:before="187"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本次招标不接受联合体投标人</w:t>
            </w: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2" w:type="dxa"/>
            <w:tcBorders>
              <w:bottom w:val="single" w:color="000000" w:sz="2" w:space="0"/>
            </w:tcBorders>
            <w:vAlign w:val="top"/>
          </w:tcPr>
          <w:p>
            <w:pPr>
              <w:rPr>
                <w:rFonts w:hint="eastAsia" w:ascii="宋体" w:hAnsi="宋体" w:eastAsia="宋体" w:cs="宋体"/>
                <w:color w:val="auto"/>
                <w:sz w:val="21"/>
                <w:highlight w:val="none"/>
              </w:rPr>
            </w:pPr>
          </w:p>
        </w:tc>
        <w:tc>
          <w:tcPr>
            <w:tcW w:w="563" w:type="dxa"/>
            <w:tcBorders>
              <w:bottom w:val="single" w:color="000000" w:sz="2" w:space="0"/>
            </w:tcBorders>
            <w:vAlign w:val="top"/>
          </w:tcPr>
          <w:p>
            <w:pPr>
              <w:rPr>
                <w:rFonts w:hint="eastAsia" w:ascii="宋体" w:hAnsi="宋体" w:eastAsia="宋体" w:cs="宋体"/>
                <w:color w:val="auto"/>
                <w:sz w:val="21"/>
                <w:highlight w:val="none"/>
              </w:rPr>
            </w:pPr>
          </w:p>
        </w:tc>
        <w:tc>
          <w:tcPr>
            <w:tcW w:w="563" w:type="dxa"/>
            <w:tcBorders>
              <w:bottom w:val="single" w:color="000000" w:sz="2" w:space="0"/>
            </w:tcBorders>
            <w:vAlign w:val="top"/>
          </w:tcPr>
          <w:p>
            <w:pPr>
              <w:rPr>
                <w:rFonts w:hint="eastAsia" w:ascii="宋体" w:hAnsi="宋体" w:eastAsia="宋体" w:cs="宋体"/>
                <w:color w:val="auto"/>
                <w:sz w:val="21"/>
                <w:highlight w:val="none"/>
              </w:rPr>
            </w:pPr>
          </w:p>
        </w:tc>
        <w:tc>
          <w:tcPr>
            <w:tcW w:w="577" w:type="dxa"/>
            <w:tcBorders>
              <w:bottom w:val="single" w:color="000000" w:sz="2" w:space="0"/>
              <w:right w:val="single" w:color="000000" w:sz="10"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121" w:type="dxa"/>
            <w:gridSpan w:val="3"/>
            <w:tcBorders>
              <w:top w:val="single" w:color="000000" w:sz="2" w:space="0"/>
              <w:left w:val="single" w:color="000000" w:sz="10" w:space="0"/>
              <w:right w:val="nil"/>
            </w:tcBorders>
            <w:vAlign w:val="top"/>
          </w:tcPr>
          <w:p>
            <w:pPr>
              <w:spacing w:before="48" w:line="184" w:lineRule="auto"/>
              <w:ind w:firstLine="105"/>
              <w:rPr>
                <w:rFonts w:hint="eastAsia" w:ascii="宋体" w:hAnsi="宋体" w:eastAsia="宋体" w:cs="宋体"/>
                <w:color w:val="auto"/>
                <w:sz w:val="21"/>
                <w:szCs w:val="21"/>
                <w:highlight w:val="none"/>
              </w:rPr>
            </w:pPr>
            <w:r>
              <w:rPr>
                <w:rFonts w:hint="eastAsia" w:ascii="宋体" w:hAnsi="宋体" w:eastAsia="宋体" w:cs="宋体"/>
                <w:color w:val="auto"/>
                <w:spacing w:val="-2"/>
                <w:sz w:val="24"/>
                <w:szCs w:val="24"/>
                <w:highlight w:val="none"/>
              </w:rPr>
              <w:t>谈判小组</w:t>
            </w:r>
            <w:r>
              <w:rPr>
                <w:rFonts w:hint="eastAsia" w:ascii="宋体" w:hAnsi="宋体" w:eastAsia="宋体" w:cs="宋体"/>
                <w:color w:val="auto"/>
                <w:spacing w:val="-2"/>
                <w:sz w:val="21"/>
                <w:szCs w:val="21"/>
                <w:highlight w:val="none"/>
              </w:rPr>
              <w:t>签名：</w:t>
            </w:r>
          </w:p>
        </w:tc>
        <w:tc>
          <w:tcPr>
            <w:tcW w:w="3389" w:type="dxa"/>
            <w:gridSpan w:val="6"/>
            <w:tcBorders>
              <w:top w:val="single" w:color="000000" w:sz="2" w:space="0"/>
              <w:left w:val="nil"/>
              <w:right w:val="single" w:color="000000" w:sz="10" w:space="0"/>
            </w:tcBorders>
            <w:vAlign w:val="top"/>
          </w:tcPr>
          <w:p>
            <w:pPr>
              <w:spacing w:line="282" w:lineRule="auto"/>
              <w:rPr>
                <w:rFonts w:hint="eastAsia" w:ascii="宋体" w:hAnsi="宋体" w:eastAsia="宋体" w:cs="宋体"/>
                <w:color w:val="auto"/>
                <w:sz w:val="21"/>
                <w:highlight w:val="none"/>
              </w:rPr>
            </w:pPr>
          </w:p>
          <w:p>
            <w:pPr>
              <w:spacing w:line="283" w:lineRule="auto"/>
              <w:rPr>
                <w:rFonts w:hint="eastAsia" w:ascii="宋体" w:hAnsi="宋体" w:eastAsia="宋体" w:cs="宋体"/>
                <w:color w:val="auto"/>
                <w:sz w:val="21"/>
                <w:highlight w:val="none"/>
              </w:rPr>
            </w:pPr>
          </w:p>
          <w:p>
            <w:pPr>
              <w:spacing w:before="78" w:line="184" w:lineRule="auto"/>
              <w:ind w:firstLine="172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r>
    </w:tbl>
    <w:p>
      <w:pPr>
        <w:rPr>
          <w:rFonts w:hint="eastAsia" w:ascii="宋体" w:hAnsi="宋体" w:eastAsia="宋体" w:cs="宋体"/>
          <w:color w:val="auto"/>
          <w:sz w:val="21"/>
          <w:highlight w:val="none"/>
        </w:rPr>
      </w:pPr>
    </w:p>
    <w:p>
      <w:pPr>
        <w:spacing w:before="79" w:line="185" w:lineRule="auto"/>
        <w:ind w:firstLine="3587"/>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p>
    <w:p>
      <w:pPr>
        <w:spacing w:before="79" w:line="185" w:lineRule="auto"/>
        <w:ind w:firstLine="3587"/>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p>
    <w:p>
      <w:pPr>
        <w:spacing w:before="79" w:line="185" w:lineRule="auto"/>
        <w:ind w:firstLine="3587"/>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242"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11"/>
          <w:w w:val="95"/>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w w:val="95"/>
          <w:sz w:val="24"/>
          <w:szCs w:val="24"/>
          <w:highlight w:val="none"/>
        </w:rPr>
        <w:t>共</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5"/>
          <w:sz w:val="24"/>
          <w:szCs w:val="24"/>
          <w:highlight w:val="none"/>
        </w:rPr>
        <w:t>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w w:val="95"/>
          <w:sz w:val="24"/>
          <w:szCs w:val="24"/>
          <w:highlight w:val="none"/>
        </w:rPr>
        <w:t>第</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1"/>
          <w:w w:val="95"/>
          <w:sz w:val="24"/>
          <w:szCs w:val="24"/>
          <w:highlight w:val="none"/>
        </w:rPr>
        <w:t>2</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w w:val="95"/>
          <w:sz w:val="24"/>
          <w:szCs w:val="24"/>
          <w:highlight w:val="none"/>
        </w:rPr>
        <w:t>页</w:t>
      </w:r>
    </w:p>
    <w:p>
      <w:pPr>
        <w:spacing w:line="163" w:lineRule="exact"/>
        <w:rPr>
          <w:rFonts w:hint="eastAsia" w:ascii="宋体" w:hAnsi="宋体" w:eastAsia="宋体" w:cs="宋体"/>
          <w:color w:val="auto"/>
          <w:highlight w:val="none"/>
        </w:rPr>
      </w:pPr>
    </w:p>
    <w:tbl>
      <w:tblPr>
        <w:tblStyle w:val="17"/>
        <w:tblW w:w="953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4"/>
        <w:gridCol w:w="516"/>
        <w:gridCol w:w="4936"/>
        <w:gridCol w:w="598"/>
        <w:gridCol w:w="547"/>
        <w:gridCol w:w="598"/>
        <w:gridCol w:w="543"/>
        <w:gridCol w:w="547"/>
        <w:gridCol w:w="598"/>
        <w:gridCol w:w="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24" w:type="dxa"/>
            <w:vMerge w:val="restart"/>
            <w:tcBorders>
              <w:top w:val="single" w:color="000000" w:sz="10" w:space="0"/>
              <w:left w:val="single" w:color="000000" w:sz="10" w:space="0"/>
              <w:bottom w:val="nil"/>
            </w:tcBorders>
            <w:textDirection w:val="tbRlV"/>
            <w:vAlign w:val="top"/>
          </w:tcPr>
          <w:p>
            <w:pPr>
              <w:spacing w:before="206" w:line="18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52" w:type="dxa"/>
            <w:gridSpan w:val="2"/>
            <w:vMerge w:val="restart"/>
            <w:tcBorders>
              <w:top w:val="single" w:color="000000" w:sz="10" w:space="0"/>
              <w:bottom w:val="nil"/>
            </w:tcBorders>
            <w:vAlign w:val="top"/>
          </w:tcPr>
          <w:p>
            <w:pPr>
              <w:spacing w:line="307" w:lineRule="auto"/>
              <w:rPr>
                <w:rFonts w:hint="eastAsia" w:ascii="宋体" w:hAnsi="宋体" w:eastAsia="宋体" w:cs="宋体"/>
                <w:color w:val="auto"/>
                <w:sz w:val="21"/>
                <w:highlight w:val="none"/>
              </w:rPr>
            </w:pPr>
          </w:p>
          <w:p>
            <w:pPr>
              <w:spacing w:line="307" w:lineRule="auto"/>
              <w:rPr>
                <w:rFonts w:hint="eastAsia" w:ascii="宋体" w:hAnsi="宋体" w:eastAsia="宋体" w:cs="宋体"/>
                <w:color w:val="auto"/>
                <w:sz w:val="21"/>
                <w:highlight w:val="none"/>
              </w:rPr>
            </w:pPr>
          </w:p>
          <w:p>
            <w:pPr>
              <w:spacing w:before="68" w:line="184" w:lineRule="auto"/>
              <w:ind w:firstLine="23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455" w:type="dxa"/>
            <w:gridSpan w:val="7"/>
            <w:tcBorders>
              <w:top w:val="single" w:color="000000" w:sz="10" w:space="0"/>
              <w:right w:val="single" w:color="000000" w:sz="10" w:space="0"/>
            </w:tcBorders>
            <w:vAlign w:val="top"/>
          </w:tcPr>
          <w:p>
            <w:pPr>
              <w:spacing w:before="176" w:line="184" w:lineRule="auto"/>
              <w:ind w:firstLine="1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624" w:type="dxa"/>
            <w:vMerge w:val="continue"/>
            <w:tcBorders>
              <w:top w:val="nil"/>
              <w:left w:val="single" w:color="000000" w:sz="10" w:space="0"/>
              <w:bottom w:val="nil"/>
            </w:tcBorders>
            <w:textDirection w:val="tbRlV"/>
            <w:vAlign w:val="top"/>
          </w:tcPr>
          <w:p>
            <w:pPr>
              <w:rPr>
                <w:rFonts w:hint="eastAsia" w:ascii="宋体" w:hAnsi="宋体" w:eastAsia="宋体" w:cs="宋体"/>
                <w:color w:val="auto"/>
                <w:sz w:val="21"/>
                <w:highlight w:val="none"/>
              </w:rPr>
            </w:pPr>
          </w:p>
        </w:tc>
        <w:tc>
          <w:tcPr>
            <w:tcW w:w="5452"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45" w:type="dxa"/>
            <w:gridSpan w:val="2"/>
            <w:vAlign w:val="top"/>
          </w:tcPr>
          <w:p>
            <w:pPr>
              <w:rPr>
                <w:rFonts w:hint="eastAsia" w:ascii="宋体" w:hAnsi="宋体" w:eastAsia="宋体" w:cs="宋体"/>
                <w:color w:val="auto"/>
                <w:sz w:val="21"/>
                <w:highlight w:val="none"/>
              </w:rPr>
            </w:pPr>
          </w:p>
        </w:tc>
        <w:tc>
          <w:tcPr>
            <w:tcW w:w="1141" w:type="dxa"/>
            <w:gridSpan w:val="2"/>
            <w:vAlign w:val="top"/>
          </w:tcPr>
          <w:p>
            <w:pPr>
              <w:rPr>
                <w:rFonts w:hint="eastAsia" w:ascii="宋体" w:hAnsi="宋体" w:eastAsia="宋体" w:cs="宋体"/>
                <w:color w:val="auto"/>
                <w:sz w:val="21"/>
                <w:highlight w:val="none"/>
              </w:rPr>
            </w:pPr>
          </w:p>
        </w:tc>
        <w:tc>
          <w:tcPr>
            <w:tcW w:w="1145" w:type="dxa"/>
            <w:gridSpan w:val="2"/>
            <w:vAlign w:val="top"/>
          </w:tcPr>
          <w:p>
            <w:pPr>
              <w:rPr>
                <w:rFonts w:hint="eastAsia" w:ascii="宋体" w:hAnsi="宋体" w:eastAsia="宋体" w:cs="宋体"/>
                <w:color w:val="auto"/>
                <w:sz w:val="21"/>
                <w:highlight w:val="none"/>
              </w:rPr>
            </w:pPr>
          </w:p>
        </w:tc>
        <w:tc>
          <w:tcPr>
            <w:tcW w:w="24" w:type="dxa"/>
            <w:tcBorders>
              <w:top w:val="nil"/>
              <w:left w:val="nil"/>
              <w:bottom w:val="nil"/>
              <w:right w:val="nil"/>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24" w:type="dxa"/>
            <w:vMerge w:val="continue"/>
            <w:tcBorders>
              <w:top w:val="nil"/>
              <w:left w:val="single" w:color="000000" w:sz="10" w:space="0"/>
              <w:bottom w:val="single" w:color="auto" w:sz="4" w:space="0"/>
            </w:tcBorders>
            <w:textDirection w:val="tbRlV"/>
            <w:vAlign w:val="top"/>
          </w:tcPr>
          <w:p>
            <w:pPr>
              <w:rPr>
                <w:rFonts w:hint="eastAsia" w:ascii="宋体" w:hAnsi="宋体" w:eastAsia="宋体" w:cs="宋体"/>
                <w:color w:val="auto"/>
                <w:sz w:val="21"/>
                <w:highlight w:val="none"/>
              </w:rPr>
            </w:pPr>
          </w:p>
        </w:tc>
        <w:tc>
          <w:tcPr>
            <w:tcW w:w="5452" w:type="dxa"/>
            <w:gridSpan w:val="2"/>
            <w:vMerge w:val="continue"/>
            <w:tcBorders>
              <w:top w:val="nil"/>
              <w:bottom w:val="single" w:color="auto" w:sz="4" w:space="0"/>
            </w:tcBorders>
            <w:vAlign w:val="top"/>
          </w:tcPr>
          <w:p>
            <w:pPr>
              <w:rPr>
                <w:rFonts w:hint="eastAsia" w:ascii="宋体" w:hAnsi="宋体" w:eastAsia="宋体" w:cs="宋体"/>
                <w:color w:val="auto"/>
                <w:sz w:val="21"/>
                <w:highlight w:val="none"/>
              </w:rPr>
            </w:pPr>
          </w:p>
        </w:tc>
        <w:tc>
          <w:tcPr>
            <w:tcW w:w="598" w:type="dxa"/>
            <w:tcBorders>
              <w:bottom w:val="single" w:color="auto" w:sz="4" w:space="0"/>
            </w:tcBorders>
            <w:vAlign w:val="top"/>
          </w:tcPr>
          <w:p>
            <w:pPr>
              <w:spacing w:before="178" w:line="184" w:lineRule="auto"/>
              <w:ind w:firstLine="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47" w:type="dxa"/>
            <w:tcBorders>
              <w:bottom w:val="single" w:color="auto" w:sz="4" w:space="0"/>
            </w:tcBorders>
            <w:vAlign w:val="top"/>
          </w:tcPr>
          <w:p>
            <w:pPr>
              <w:spacing w:before="178"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98" w:type="dxa"/>
            <w:tcBorders>
              <w:bottom w:val="single" w:color="auto" w:sz="4" w:space="0"/>
            </w:tcBorders>
            <w:vAlign w:val="top"/>
          </w:tcPr>
          <w:p>
            <w:pPr>
              <w:spacing w:before="178" w:line="184"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43" w:type="dxa"/>
            <w:tcBorders>
              <w:bottom w:val="single" w:color="auto" w:sz="4" w:space="0"/>
            </w:tcBorders>
            <w:vAlign w:val="top"/>
          </w:tcPr>
          <w:p>
            <w:pPr>
              <w:spacing w:before="178"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47" w:type="dxa"/>
            <w:tcBorders>
              <w:bottom w:val="single" w:color="auto" w:sz="4" w:space="0"/>
            </w:tcBorders>
            <w:vAlign w:val="top"/>
          </w:tcPr>
          <w:p>
            <w:pPr>
              <w:spacing w:before="178" w:line="184" w:lineRule="auto"/>
              <w:ind w:firstLine="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622" w:type="dxa"/>
            <w:gridSpan w:val="2"/>
            <w:tcBorders>
              <w:bottom w:val="single" w:color="auto" w:sz="4" w:space="0"/>
              <w:right w:val="single" w:color="000000" w:sz="10" w:space="0"/>
            </w:tcBorders>
            <w:vAlign w:val="top"/>
          </w:tcPr>
          <w:p>
            <w:pPr>
              <w:spacing w:before="178" w:line="184" w:lineRule="auto"/>
              <w:ind w:firstLine="2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624" w:type="dxa"/>
            <w:vMerge w:val="restart"/>
            <w:tcBorders>
              <w:top w:val="single" w:color="auto" w:sz="4" w:space="0"/>
              <w:left w:val="single" w:color="auto" w:sz="4" w:space="0"/>
              <w:bottom w:val="single" w:color="auto" w:sz="4" w:space="0"/>
              <w:right w:val="single" w:color="auto" w:sz="4" w:space="0"/>
            </w:tcBorders>
            <w:textDirection w:val="tbRlV"/>
            <w:vAlign w:val="top"/>
          </w:tcPr>
          <w:p>
            <w:pPr>
              <w:spacing w:before="205" w:line="18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术</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评</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审</w:t>
            </w:r>
          </w:p>
        </w:tc>
        <w:tc>
          <w:tcPr>
            <w:tcW w:w="516" w:type="dxa"/>
            <w:tcBorders>
              <w:top w:val="single" w:color="auto" w:sz="4" w:space="0"/>
              <w:left w:val="single" w:color="auto" w:sz="4" w:space="0"/>
              <w:bottom w:val="single" w:color="auto" w:sz="4" w:space="0"/>
              <w:right w:val="single" w:color="auto" w:sz="4" w:space="0"/>
            </w:tcBorders>
            <w:vAlign w:val="center"/>
          </w:tcPr>
          <w:p>
            <w:pPr>
              <w:spacing w:before="148"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6" w:type="dxa"/>
            <w:tcBorders>
              <w:top w:val="single" w:color="auto" w:sz="4" w:space="0"/>
              <w:left w:val="single" w:color="auto" w:sz="4" w:space="0"/>
              <w:bottom w:val="single" w:color="auto" w:sz="4" w:space="0"/>
              <w:right w:val="single" w:color="auto" w:sz="4" w:space="0"/>
            </w:tcBorders>
            <w:vAlign w:val="top"/>
          </w:tcPr>
          <w:p>
            <w:pPr>
              <w:spacing w:before="120"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工程质量管理方案是否全面有效，措施是否得力可行；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24" w:line="180" w:lineRule="auto"/>
              <w:ind w:firstLine="19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936" w:type="dxa"/>
            <w:tcBorders>
              <w:top w:val="single" w:color="auto" w:sz="4" w:space="0"/>
              <w:left w:val="single" w:color="auto" w:sz="4" w:space="0"/>
              <w:bottom w:val="single" w:color="auto" w:sz="4" w:space="0"/>
              <w:right w:val="single" w:color="auto" w:sz="4" w:space="0"/>
            </w:tcBorders>
            <w:vAlign w:val="top"/>
          </w:tcPr>
          <w:p>
            <w:pPr>
              <w:spacing w:before="97" w:line="184" w:lineRule="auto"/>
              <w:ind w:firstLine="104"/>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安全生产管理方案是否全面有效，措施是否得力可行；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42"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936" w:type="dxa"/>
            <w:tcBorders>
              <w:top w:val="single" w:color="auto" w:sz="4" w:space="0"/>
              <w:left w:val="single" w:color="auto" w:sz="4" w:space="0"/>
              <w:bottom w:val="single" w:color="auto" w:sz="4" w:space="0"/>
              <w:right w:val="single" w:color="auto" w:sz="4" w:space="0"/>
            </w:tcBorders>
            <w:vAlign w:val="top"/>
          </w:tcPr>
          <w:p>
            <w:pPr>
              <w:spacing w:before="113"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文明施工措施是否有可信度</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67" w:line="180" w:lineRule="auto"/>
              <w:ind w:firstLine="20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936" w:type="dxa"/>
            <w:tcBorders>
              <w:top w:val="single" w:color="auto" w:sz="4" w:space="0"/>
              <w:left w:val="single" w:color="auto" w:sz="4" w:space="0"/>
              <w:bottom w:val="single" w:color="auto" w:sz="4" w:space="0"/>
              <w:right w:val="single" w:color="auto" w:sz="4" w:space="0"/>
            </w:tcBorders>
            <w:vAlign w:val="top"/>
          </w:tcPr>
          <w:p>
            <w:pPr>
              <w:spacing w:before="111" w:line="239" w:lineRule="auto"/>
              <w:ind w:left="102" w:righ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水土保持、环境保护管理方案否全面有效，措施是否得</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3"/>
                <w:sz w:val="20"/>
                <w:szCs w:val="20"/>
                <w:highlight w:val="none"/>
              </w:rPr>
              <w:t>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135" w:line="180" w:lineRule="auto"/>
              <w:ind w:firstLine="19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936" w:type="dxa"/>
            <w:tcBorders>
              <w:top w:val="single" w:color="auto" w:sz="4" w:space="0"/>
              <w:left w:val="single" w:color="auto" w:sz="4" w:space="0"/>
              <w:bottom w:val="single" w:color="auto" w:sz="4" w:space="0"/>
              <w:right w:val="single" w:color="auto" w:sz="4" w:space="0"/>
            </w:tcBorders>
            <w:vAlign w:val="top"/>
          </w:tcPr>
          <w:p>
            <w:pPr>
              <w:spacing w:before="108" w:line="184" w:lineRule="auto"/>
              <w:ind w:firstLine="9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施工人员、机械是否满足项目施工需求；</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36"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936" w:type="dxa"/>
            <w:tcBorders>
              <w:top w:val="single" w:color="auto" w:sz="4" w:space="0"/>
              <w:left w:val="single" w:color="auto" w:sz="4" w:space="0"/>
              <w:bottom w:val="single" w:color="auto" w:sz="4" w:space="0"/>
              <w:right w:val="single" w:color="auto" w:sz="4" w:space="0"/>
            </w:tcBorders>
            <w:vAlign w:val="top"/>
          </w:tcPr>
          <w:p>
            <w:pPr>
              <w:spacing w:before="81" w:line="239" w:lineRule="auto"/>
              <w:ind w:left="99" w:right="56"/>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在确保工程质量前提下，是否有降低成本、缩短工期、</w:t>
            </w:r>
            <w:r>
              <w:rPr>
                <w:rFonts w:hint="eastAsia" w:ascii="宋体" w:hAnsi="宋体" w:eastAsia="宋体" w:cs="宋体"/>
                <w:color w:val="auto"/>
                <w:spacing w:val="12"/>
                <w:sz w:val="20"/>
                <w:szCs w:val="20"/>
                <w:highlight w:val="none"/>
              </w:rPr>
              <w:t xml:space="preserve"> </w:t>
            </w:r>
            <w:r>
              <w:rPr>
                <w:rFonts w:hint="eastAsia" w:ascii="宋体" w:hAnsi="宋体" w:eastAsia="宋体" w:cs="宋体"/>
                <w:color w:val="auto"/>
                <w:spacing w:val="-1"/>
                <w:sz w:val="20"/>
                <w:szCs w:val="20"/>
                <w:highlight w:val="none"/>
              </w:rPr>
              <w:t>减轻劳动强度提高进度提案</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286"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936" w:type="dxa"/>
            <w:tcBorders>
              <w:top w:val="single" w:color="auto" w:sz="4" w:space="0"/>
              <w:left w:val="single" w:color="auto" w:sz="4" w:space="0"/>
              <w:bottom w:val="single" w:color="auto" w:sz="4" w:space="0"/>
              <w:right w:val="single" w:color="auto" w:sz="4" w:space="0"/>
            </w:tcBorders>
            <w:vAlign w:val="top"/>
          </w:tcPr>
          <w:p>
            <w:pPr>
              <w:spacing w:before="260" w:line="184" w:lineRule="auto"/>
              <w:ind w:firstLine="10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文明施工措施是否得力可行；</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68"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936" w:type="dxa"/>
            <w:tcBorders>
              <w:top w:val="single" w:color="auto" w:sz="4" w:space="0"/>
              <w:left w:val="single" w:color="auto" w:sz="4" w:space="0"/>
              <w:bottom w:val="single" w:color="auto" w:sz="4" w:space="0"/>
              <w:right w:val="single" w:color="auto" w:sz="4" w:space="0"/>
            </w:tcBorders>
            <w:vAlign w:val="top"/>
          </w:tcPr>
          <w:p>
            <w:pPr>
              <w:spacing w:before="275" w:line="237" w:lineRule="auto"/>
              <w:ind w:left="99" w:righ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施工总进度计划是否合理，是否</w:t>
            </w:r>
            <w:r>
              <w:rPr>
                <w:rFonts w:hint="eastAsia" w:ascii="宋体" w:hAnsi="宋体" w:eastAsia="宋体" w:cs="宋体"/>
                <w:color w:val="auto"/>
                <w:spacing w:val="-3"/>
                <w:sz w:val="20"/>
                <w:szCs w:val="20"/>
                <w:highlight w:val="none"/>
                <w:lang w:eastAsia="zh-CN"/>
              </w:rPr>
              <w:t>响应</w:t>
            </w:r>
            <w:r>
              <w:rPr>
                <w:rFonts w:hint="eastAsia" w:ascii="宋体" w:hAnsi="宋体" w:eastAsia="宋体" w:cs="宋体"/>
                <w:color w:val="auto"/>
                <w:spacing w:val="-3"/>
                <w:sz w:val="20"/>
                <w:szCs w:val="20"/>
                <w:highlight w:val="none"/>
              </w:rPr>
              <w:t>竞争性谈判</w:t>
            </w:r>
            <w:r>
              <w:rPr>
                <w:rFonts w:hint="eastAsia" w:ascii="宋体" w:hAnsi="宋体" w:eastAsia="宋体" w:cs="宋体"/>
                <w:color w:val="auto"/>
                <w:spacing w:val="-3"/>
                <w:sz w:val="20"/>
                <w:szCs w:val="20"/>
                <w:highlight w:val="none"/>
                <w:lang w:eastAsia="zh-CN"/>
              </w:rPr>
              <w:t>文件要求</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624"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hint="eastAsia" w:ascii="宋体" w:hAnsi="宋体" w:eastAsia="宋体" w:cs="宋体"/>
                <w:color w:val="auto"/>
                <w:sz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pPr>
              <w:spacing w:before="68" w:line="180" w:lineRule="auto"/>
              <w:ind w:firstLine="1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936" w:type="dxa"/>
            <w:tcBorders>
              <w:top w:val="single" w:color="auto" w:sz="4" w:space="0"/>
              <w:left w:val="single" w:color="auto" w:sz="4" w:space="0"/>
              <w:bottom w:val="single" w:color="auto" w:sz="4" w:space="0"/>
              <w:right w:val="single" w:color="auto" w:sz="4" w:space="0"/>
            </w:tcBorders>
            <w:vAlign w:val="top"/>
          </w:tcPr>
          <w:p>
            <w:pPr>
              <w:spacing w:before="330" w:line="184" w:lineRule="auto"/>
              <w:ind w:firstLine="103"/>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不满足谈判文件实质性要求的其他情形；</w:t>
            </w: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54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c>
          <w:tcPr>
            <w:tcW w:w="622"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2" w:hRule="atLeast"/>
        </w:trPr>
        <w:tc>
          <w:tcPr>
            <w:tcW w:w="9507" w:type="dxa"/>
            <w:gridSpan w:val="9"/>
            <w:tcBorders>
              <w:top w:val="single" w:color="auto" w:sz="4" w:space="0"/>
              <w:left w:val="single" w:color="auto" w:sz="4" w:space="0"/>
              <w:bottom w:val="single" w:color="auto" w:sz="4" w:space="0"/>
              <w:right w:val="single" w:color="auto" w:sz="4" w:space="0"/>
            </w:tcBorders>
            <w:vAlign w:val="top"/>
          </w:tcPr>
          <w:p>
            <w:pPr>
              <w:spacing w:before="88" w:line="184" w:lineRule="auto"/>
              <w:ind w:firstLine="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谈判小组签名：</w:t>
            </w:r>
          </w:p>
          <w:p>
            <w:pPr>
              <w:spacing w:before="307" w:line="184" w:lineRule="auto"/>
              <w:ind w:firstLine="786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c>
          <w:tcPr>
            <w:tcW w:w="24" w:type="dxa"/>
            <w:tcBorders>
              <w:top w:val="nil"/>
              <w:left w:val="single" w:color="auto" w:sz="4" w:space="0"/>
              <w:bottom w:val="nil"/>
              <w:right w:val="nil"/>
            </w:tcBorders>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br w:type="page"/>
      </w:r>
    </w:p>
    <w:p>
      <w:pPr>
        <w:spacing w:before="79" w:line="185" w:lineRule="auto"/>
        <w:ind w:firstLine="3568"/>
        <w:rPr>
          <w:rFonts w:hint="eastAsia" w:ascii="宋体" w:hAnsi="宋体" w:eastAsia="宋体" w:cs="宋体"/>
          <w:color w:val="auto"/>
          <w:sz w:val="40"/>
          <w:szCs w:val="40"/>
          <w:highlight w:val="none"/>
        </w:rPr>
      </w:pPr>
      <w:r>
        <w:rPr>
          <w:rFonts w:hint="eastAsia" w:ascii="宋体" w:hAnsi="宋体" w:eastAsia="宋体" w:cs="宋体"/>
          <w:color w:val="auto"/>
          <w:spacing w:val="-1"/>
          <w:sz w:val="40"/>
          <w:szCs w:val="40"/>
          <w:highlight w:val="none"/>
          <w14:textOutline w14:w="7282" w14:cap="flat" w14:cmpd="sng">
            <w14:solidFill>
              <w14:srgbClr w14:val="000000"/>
            </w14:solidFill>
            <w14:prstDash w14:val="solid"/>
            <w14:miter w14:val="0"/>
          </w14:textOutline>
        </w:rPr>
        <w:t>初步评审标准</w:t>
      </w:r>
    </w:p>
    <w:p>
      <w:pPr>
        <w:spacing w:before="311" w:line="184" w:lineRule="auto"/>
        <w:ind w:firstLine="130"/>
        <w:rPr>
          <w:rFonts w:hint="eastAsia" w:ascii="宋体" w:hAnsi="宋体" w:eastAsia="宋体" w:cs="宋体"/>
          <w:color w:val="auto"/>
          <w:sz w:val="24"/>
          <w:szCs w:val="24"/>
          <w:highlight w:val="none"/>
        </w:rPr>
      </w:pPr>
      <w:r>
        <w:rPr>
          <w:rFonts w:hint="eastAsia" w:ascii="宋体" w:hAnsi="宋体" w:eastAsia="宋体" w:cs="宋体"/>
          <w:color w:val="auto"/>
          <w:spacing w:val="-11"/>
          <w:w w:val="95"/>
          <w:sz w:val="24"/>
          <w:szCs w:val="24"/>
          <w:highlight w:val="none"/>
          <w14:textOutline w14:w="4358" w14:cap="flat" w14:cmpd="sng">
            <w14:solidFill>
              <w14:srgbClr w14:val="000000"/>
            </w14:solidFill>
            <w14:prstDash w14:val="solid"/>
            <w14:miter w14:val="0"/>
          </w14:textOutli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w w:val="95"/>
          <w:sz w:val="24"/>
          <w:szCs w:val="24"/>
          <w:highlight w:val="none"/>
        </w:rPr>
        <w:t>共</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w w:val="95"/>
          <w:sz w:val="24"/>
          <w:szCs w:val="24"/>
          <w:highlight w:val="none"/>
        </w:rPr>
        <w:t>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1"/>
          <w:w w:val="95"/>
          <w:sz w:val="24"/>
          <w:szCs w:val="24"/>
          <w:highlight w:val="none"/>
        </w:rPr>
        <w:t>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1"/>
          <w:w w:val="95"/>
          <w:sz w:val="24"/>
          <w:szCs w:val="24"/>
          <w:highlight w:val="none"/>
        </w:rPr>
        <w:t>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w w:val="95"/>
          <w:sz w:val="24"/>
          <w:szCs w:val="24"/>
          <w:highlight w:val="none"/>
        </w:rPr>
        <w:t>页</w:t>
      </w:r>
    </w:p>
    <w:p>
      <w:pPr>
        <w:spacing w:line="163" w:lineRule="exact"/>
        <w:rPr>
          <w:rFonts w:hint="eastAsia" w:ascii="宋体" w:hAnsi="宋体" w:eastAsia="宋体" w:cs="宋体"/>
          <w:color w:val="auto"/>
          <w:highlight w:val="none"/>
        </w:rPr>
      </w:pPr>
    </w:p>
    <w:tbl>
      <w:tblPr>
        <w:tblStyle w:val="17"/>
        <w:tblW w:w="95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587"/>
        <w:gridCol w:w="4909"/>
        <w:gridCol w:w="563"/>
        <w:gridCol w:w="563"/>
        <w:gridCol w:w="563"/>
        <w:gridCol w:w="563"/>
        <w:gridCol w:w="563"/>
        <w:gridCol w:w="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620" w:type="dxa"/>
            <w:vMerge w:val="restart"/>
            <w:tcBorders>
              <w:bottom w:val="nil"/>
            </w:tcBorders>
            <w:textDirection w:val="tbRlV"/>
            <w:vAlign w:val="top"/>
          </w:tcPr>
          <w:p>
            <w:pPr>
              <w:spacing w:before="202" w:line="180" w:lineRule="auto"/>
              <w:ind w:firstLine="6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795" w14:cap="flat" w14:cmpd="sng">
                  <w14:solidFill>
                    <w14:srgbClr w14:val="000000"/>
                  </w14:solidFill>
                  <w14:prstDash w14:val="solid"/>
                  <w14:miter w14:val="0"/>
                </w14:textOutline>
              </w:rPr>
              <w:t>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position w:val="1"/>
                <w:sz w:val="21"/>
                <w:szCs w:val="21"/>
                <w:highlight w:val="none"/>
                <w14:textOutline w14:w="3795" w14:cap="flat" w14:cmpd="sng">
                  <w14:solidFill>
                    <w14:srgbClr w14:val="000000"/>
                  </w14:solidFill>
                  <w14:prstDash w14:val="solid"/>
                  <w14:miter w14:val="0"/>
                </w14:textOutline>
              </w:rPr>
              <w:t>目</w:t>
            </w:r>
          </w:p>
        </w:tc>
        <w:tc>
          <w:tcPr>
            <w:tcW w:w="5496" w:type="dxa"/>
            <w:gridSpan w:val="2"/>
            <w:vMerge w:val="restart"/>
            <w:tcBorders>
              <w:bottom w:val="nil"/>
            </w:tcBorders>
            <w:vAlign w:val="top"/>
          </w:tcPr>
          <w:p>
            <w:pPr>
              <w:spacing w:line="303" w:lineRule="auto"/>
              <w:rPr>
                <w:rFonts w:hint="eastAsia" w:ascii="宋体" w:hAnsi="宋体" w:eastAsia="宋体" w:cs="宋体"/>
                <w:color w:val="auto"/>
                <w:sz w:val="21"/>
                <w:highlight w:val="none"/>
              </w:rPr>
            </w:pPr>
          </w:p>
          <w:p>
            <w:pPr>
              <w:spacing w:line="303" w:lineRule="auto"/>
              <w:rPr>
                <w:rFonts w:hint="eastAsia" w:ascii="宋体" w:hAnsi="宋体" w:eastAsia="宋体" w:cs="宋体"/>
                <w:color w:val="auto"/>
                <w:sz w:val="21"/>
                <w:highlight w:val="none"/>
              </w:rPr>
            </w:pPr>
          </w:p>
          <w:p>
            <w:pPr>
              <w:spacing w:before="68" w:line="184" w:lineRule="auto"/>
              <w:ind w:firstLine="23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评审内容</w:t>
            </w:r>
          </w:p>
        </w:tc>
        <w:tc>
          <w:tcPr>
            <w:tcW w:w="3387" w:type="dxa"/>
            <w:gridSpan w:val="6"/>
            <w:tcBorders>
              <w:right w:val="single" w:color="000000" w:sz="10" w:space="0"/>
            </w:tcBorders>
            <w:vAlign w:val="top"/>
          </w:tcPr>
          <w:p>
            <w:pPr>
              <w:spacing w:before="176" w:line="184" w:lineRule="auto"/>
              <w:ind w:firstLine="12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795" w14:cap="flat" w14:cmpd="sng">
                  <w14:solidFill>
                    <w14:srgbClr w14:val="000000"/>
                  </w14:solidFill>
                  <w14:prstDash w14:val="solid"/>
                  <w14:miter w14:val="0"/>
                </w14:textOutline>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496"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1126" w:type="dxa"/>
            <w:gridSpan w:val="2"/>
            <w:vAlign w:val="top"/>
          </w:tcPr>
          <w:p>
            <w:pPr>
              <w:rPr>
                <w:rFonts w:hint="eastAsia" w:ascii="宋体" w:hAnsi="宋体" w:eastAsia="宋体" w:cs="宋体"/>
                <w:color w:val="auto"/>
                <w:sz w:val="21"/>
                <w:highlight w:val="none"/>
              </w:rPr>
            </w:pPr>
          </w:p>
        </w:tc>
        <w:tc>
          <w:tcPr>
            <w:tcW w:w="1126" w:type="dxa"/>
            <w:gridSpan w:val="2"/>
            <w:vAlign w:val="top"/>
          </w:tcPr>
          <w:p>
            <w:pPr>
              <w:rPr>
                <w:rFonts w:hint="eastAsia" w:ascii="宋体" w:hAnsi="宋体" w:eastAsia="宋体" w:cs="宋体"/>
                <w:color w:val="auto"/>
                <w:sz w:val="21"/>
                <w:highlight w:val="none"/>
              </w:rPr>
            </w:pPr>
          </w:p>
        </w:tc>
        <w:tc>
          <w:tcPr>
            <w:tcW w:w="1135" w:type="dxa"/>
            <w:gridSpan w:val="2"/>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20" w:type="dxa"/>
            <w:vMerge w:val="continue"/>
            <w:tcBorders>
              <w:top w:val="nil"/>
            </w:tcBorders>
            <w:textDirection w:val="tbRlV"/>
            <w:vAlign w:val="top"/>
          </w:tcPr>
          <w:p>
            <w:pPr>
              <w:rPr>
                <w:rFonts w:hint="eastAsia" w:ascii="宋体" w:hAnsi="宋体" w:eastAsia="宋体" w:cs="宋体"/>
                <w:color w:val="auto"/>
                <w:sz w:val="21"/>
                <w:highlight w:val="none"/>
              </w:rPr>
            </w:pPr>
          </w:p>
        </w:tc>
        <w:tc>
          <w:tcPr>
            <w:tcW w:w="5496" w:type="dxa"/>
            <w:gridSpan w:val="2"/>
            <w:vMerge w:val="continue"/>
            <w:tcBorders>
              <w:top w:val="nil"/>
            </w:tcBorders>
            <w:vAlign w:val="top"/>
          </w:tcPr>
          <w:p>
            <w:pPr>
              <w:rPr>
                <w:rFonts w:hint="eastAsia" w:ascii="宋体" w:hAnsi="宋体" w:eastAsia="宋体" w:cs="宋体"/>
                <w:color w:val="auto"/>
                <w:sz w:val="21"/>
                <w:highlight w:val="none"/>
              </w:rPr>
            </w:pPr>
          </w:p>
        </w:tc>
        <w:tc>
          <w:tcPr>
            <w:tcW w:w="563" w:type="dxa"/>
            <w:vAlign w:val="top"/>
          </w:tcPr>
          <w:p>
            <w:pPr>
              <w:spacing w:before="169" w:line="184" w:lineRule="auto"/>
              <w:ind w:firstLine="1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169"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169" w:line="184" w:lineRule="auto"/>
              <w:ind w:firstLine="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63" w:type="dxa"/>
            <w:vAlign w:val="top"/>
          </w:tcPr>
          <w:p>
            <w:pPr>
              <w:spacing w:before="169"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c>
          <w:tcPr>
            <w:tcW w:w="563" w:type="dxa"/>
            <w:vAlign w:val="top"/>
          </w:tcPr>
          <w:p>
            <w:pPr>
              <w:spacing w:before="169" w:line="184" w:lineRule="auto"/>
              <w:ind w:firstLine="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是</w:t>
            </w:r>
          </w:p>
        </w:tc>
        <w:tc>
          <w:tcPr>
            <w:tcW w:w="572" w:type="dxa"/>
            <w:vAlign w:val="top"/>
          </w:tcPr>
          <w:p>
            <w:pPr>
              <w:spacing w:before="169" w:line="184" w:lineRule="auto"/>
              <w:ind w:firstLine="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3795" w14:cap="flat" w14:cmpd="sng">
                  <w14:solidFill>
                    <w14:srgbClr w14:val="000000"/>
                  </w14:solidFill>
                  <w14:prstDash w14:val="solid"/>
                  <w14:miter w14:val="0"/>
                </w14:textOutli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restart"/>
            <w:tcBorders>
              <w:bottom w:val="nil"/>
            </w:tcBorders>
            <w:textDirection w:val="tbRlV"/>
            <w:vAlign w:val="top"/>
          </w:tcPr>
          <w:p>
            <w:pPr>
              <w:spacing w:before="201" w:line="180" w:lineRule="auto"/>
              <w:ind w:firstLine="30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重</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大</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偏</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差</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评</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审</w:t>
            </w:r>
          </w:p>
        </w:tc>
        <w:tc>
          <w:tcPr>
            <w:tcW w:w="587" w:type="dxa"/>
            <w:vAlign w:val="top"/>
          </w:tcPr>
          <w:p>
            <w:pPr>
              <w:spacing w:before="281" w:line="180" w:lineRule="auto"/>
              <w:ind w:firstLine="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09" w:type="dxa"/>
            <w:vAlign w:val="top"/>
          </w:tcPr>
          <w:p>
            <w:pPr>
              <w:spacing w:before="126" w:line="239" w:lineRule="auto"/>
              <w:ind w:left="119" w:right="96" w:firstLine="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由政府立项核准、审批的建筑工程，投标报价高于设定</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3"/>
                <w:sz w:val="20"/>
                <w:szCs w:val="20"/>
                <w:highlight w:val="none"/>
              </w:rPr>
              <w:t>的工程预算招标控制价的;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6" w:line="180" w:lineRule="auto"/>
              <w:ind w:firstLine="2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09" w:type="dxa"/>
            <w:vAlign w:val="top"/>
          </w:tcPr>
          <w:p>
            <w:pPr>
              <w:spacing w:before="129" w:line="237" w:lineRule="auto"/>
              <w:ind w:left="118" w:right="97" w:hanging="1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投标人对同一招标项目作出两个以上报价未明确效力</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13"/>
                <w:sz w:val="20"/>
                <w:szCs w:val="20"/>
                <w:highlight w:val="none"/>
              </w:rPr>
              <w:t>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line="251" w:lineRule="auto"/>
              <w:rPr>
                <w:rFonts w:hint="eastAsia" w:ascii="宋体" w:hAnsi="宋体" w:eastAsia="宋体" w:cs="宋体"/>
                <w:color w:val="auto"/>
                <w:sz w:val="21"/>
                <w:highlight w:val="none"/>
              </w:rPr>
            </w:pPr>
          </w:p>
          <w:p>
            <w:pPr>
              <w:spacing w:before="68" w:line="180" w:lineRule="auto"/>
              <w:ind w:firstLine="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09" w:type="dxa"/>
            <w:vAlign w:val="top"/>
          </w:tcPr>
          <w:p>
            <w:pPr>
              <w:spacing w:before="68" w:line="239" w:lineRule="auto"/>
              <w:ind w:left="103" w:right="24" w:firstLine="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未按招标文件规定的格式填写，内容不全或关键字迹模</w:t>
            </w:r>
            <w:r>
              <w:rPr>
                <w:rFonts w:hint="eastAsia" w:ascii="宋体" w:hAnsi="宋体" w:eastAsia="宋体" w:cs="宋体"/>
                <w:color w:val="auto"/>
                <w:spacing w:val="10"/>
                <w:sz w:val="20"/>
                <w:szCs w:val="20"/>
                <w:highlight w:val="none"/>
              </w:rPr>
              <w:t xml:space="preserve"> </w:t>
            </w:r>
            <w:r>
              <w:rPr>
                <w:rFonts w:hint="eastAsia" w:ascii="宋体" w:hAnsi="宋体" w:eastAsia="宋体" w:cs="宋体"/>
                <w:color w:val="auto"/>
                <w:spacing w:val="-6"/>
                <w:sz w:val="20"/>
                <w:szCs w:val="20"/>
                <w:highlight w:val="none"/>
              </w:rPr>
              <w:t>糊、无法辨认的;（包括分部分项工程量清单中暂估价、</w:t>
            </w:r>
            <w:r>
              <w:rPr>
                <w:rFonts w:hint="eastAsia" w:ascii="宋体" w:hAnsi="宋体" w:eastAsia="宋体" w:cs="宋体"/>
                <w:color w:val="auto"/>
                <w:spacing w:val="16"/>
                <w:sz w:val="20"/>
                <w:szCs w:val="20"/>
                <w:highlight w:val="none"/>
              </w:rPr>
              <w:t xml:space="preserve"> </w:t>
            </w:r>
            <w:r>
              <w:rPr>
                <w:rFonts w:hint="eastAsia" w:ascii="宋体" w:hAnsi="宋体" w:eastAsia="宋体" w:cs="宋体"/>
                <w:color w:val="auto"/>
                <w:spacing w:val="-2"/>
                <w:sz w:val="20"/>
                <w:szCs w:val="20"/>
                <w:highlight w:val="none"/>
              </w:rPr>
              <w:t>暂列金额的改动）</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8" w:line="18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909" w:type="dxa"/>
            <w:vAlign w:val="top"/>
          </w:tcPr>
          <w:p>
            <w:pPr>
              <w:spacing w:before="260" w:line="184" w:lineRule="auto"/>
              <w:ind w:firstLine="110"/>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改变谈判文件提供的工程量清单量的；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90" w:line="180" w:lineRule="auto"/>
              <w:ind w:firstLine="2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909" w:type="dxa"/>
            <w:vAlign w:val="top"/>
          </w:tcPr>
          <w:p>
            <w:pPr>
              <w:spacing w:before="133" w:line="237" w:lineRule="auto"/>
              <w:ind w:left="105" w:right="9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投标人名称、组织机构与资格预审时不符，涉嫌以他人</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3"/>
                <w:sz w:val="20"/>
                <w:szCs w:val="20"/>
                <w:highlight w:val="none"/>
              </w:rPr>
              <w:t>名义投标的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9" w:line="180" w:lineRule="auto"/>
              <w:ind w:firstLine="23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909" w:type="dxa"/>
            <w:vAlign w:val="top"/>
          </w:tcPr>
          <w:p>
            <w:pPr>
              <w:spacing w:before="261" w:line="184" w:lineRule="auto"/>
              <w:ind w:firstLine="105"/>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投标人之间或者投标人与招标人串通投标的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620"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587" w:type="dxa"/>
            <w:vAlign w:val="top"/>
          </w:tcPr>
          <w:p>
            <w:pPr>
              <w:spacing w:before="289" w:line="180" w:lineRule="auto"/>
              <w:ind w:firstLine="23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909" w:type="dxa"/>
            <w:vAlign w:val="top"/>
          </w:tcPr>
          <w:p>
            <w:pPr>
              <w:spacing w:before="262" w:line="184" w:lineRule="auto"/>
              <w:ind w:firstLine="125"/>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以行贿手段谋取中标或者以其他弄虚作假方式投标的</w:t>
            </w: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207" w:type="dxa"/>
            <w:gridSpan w:val="2"/>
            <w:tcBorders>
              <w:right w:val="single" w:color="000000" w:sz="2" w:space="0"/>
            </w:tcBorders>
            <w:vAlign w:val="top"/>
          </w:tcPr>
          <w:p>
            <w:pPr>
              <w:spacing w:before="259" w:line="184" w:lineRule="auto"/>
              <w:ind w:firstLine="29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3795" w14:cap="flat" w14:cmpd="sng">
                  <w14:solidFill>
                    <w14:srgbClr w14:val="000000"/>
                  </w14:solidFill>
                  <w14:prstDash w14:val="solid"/>
                  <w14:miter w14:val="0"/>
                </w14:textOutline>
              </w:rPr>
              <w:t>结论：</w:t>
            </w:r>
          </w:p>
        </w:tc>
        <w:tc>
          <w:tcPr>
            <w:tcW w:w="4909" w:type="dxa"/>
            <w:tcBorders>
              <w:left w:val="single" w:color="000000" w:sz="2" w:space="0"/>
            </w:tcBorders>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63" w:type="dxa"/>
            <w:vAlign w:val="top"/>
          </w:tcPr>
          <w:p>
            <w:pPr>
              <w:rPr>
                <w:rFonts w:hint="eastAsia" w:ascii="宋体" w:hAnsi="宋体" w:eastAsia="宋体" w:cs="宋体"/>
                <w:color w:val="auto"/>
                <w:sz w:val="21"/>
                <w:highlight w:val="none"/>
              </w:rPr>
            </w:pPr>
          </w:p>
        </w:tc>
        <w:tc>
          <w:tcPr>
            <w:tcW w:w="572" w:type="dxa"/>
            <w:vAlign w:val="top"/>
          </w:tcPr>
          <w:p>
            <w:pPr>
              <w:rPr>
                <w:rFonts w:hint="eastAsia" w:ascii="宋体" w:hAnsi="宋体" w:eastAsia="宋体" w:cs="宋体"/>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503" w:type="dxa"/>
            <w:gridSpan w:val="9"/>
            <w:tcBorders>
              <w:bottom w:val="nil"/>
            </w:tcBorders>
            <w:vAlign w:val="top"/>
          </w:tcPr>
          <w:p>
            <w:pPr>
              <w:spacing w:before="249" w:line="184" w:lineRule="auto"/>
              <w:ind w:firstLine="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flat" w14:cmpd="sng">
                  <w14:solidFill>
                    <w14:srgbClr w14:val="000000"/>
                  </w14:solidFill>
                  <w14:prstDash w14:val="solid"/>
                  <w14:miter w14:val="0"/>
                </w14:textOutline>
              </w:rPr>
              <w:t>谈判小组签名：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9503" w:type="dxa"/>
            <w:gridSpan w:val="9"/>
            <w:tcBorders>
              <w:top w:val="nil"/>
            </w:tcBorders>
            <w:vAlign w:val="top"/>
          </w:tcPr>
          <w:p>
            <w:pPr>
              <w:spacing w:before="308" w:line="184" w:lineRule="auto"/>
              <w:ind w:firstLine="783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14:textOutline w14:w="4358" w14:cap="flat" w14:cmpd="sng">
                  <w14:solidFill>
                    <w14:srgbClr w14:val="000000"/>
                  </w14:solidFill>
                  <w14:prstDash w14:val="solid"/>
                  <w14:miter w14:val="0"/>
                </w14:textOutline>
              </w:rPr>
              <w:t>日</w:t>
            </w:r>
          </w:p>
        </w:tc>
      </w:tr>
    </w:tbl>
    <w:p>
      <w:pPr>
        <w:rPr>
          <w:rFonts w:hint="eastAsia" w:ascii="宋体" w:hAnsi="宋体" w:eastAsia="宋体" w:cs="宋体"/>
          <w:color w:val="auto"/>
          <w:sz w:val="21"/>
          <w:highlight w:val="none"/>
        </w:rPr>
      </w:pPr>
    </w:p>
    <w:p>
      <w:pPr>
        <w:widowControl w:val="0"/>
        <w:spacing w:line="1" w:lineRule="exact"/>
        <w:outlineLvl w:val="0"/>
        <w:rPr>
          <w:rFonts w:hint="eastAsia" w:ascii="宋体" w:hAnsi="宋体" w:eastAsia="宋体" w:cs="宋体"/>
          <w:color w:val="auto"/>
          <w:sz w:val="44"/>
          <w:szCs w:val="44"/>
          <w:highlight w:val="none"/>
        </w:rPr>
      </w:pPr>
      <w:bookmarkStart w:id="256" w:name="bookmark136"/>
      <w:bookmarkStart w:id="257" w:name="bookmark135"/>
      <w:bookmarkStart w:id="258" w:name="bookmark134"/>
      <w:bookmarkStart w:id="259" w:name="bookmark137"/>
      <w:bookmarkStart w:id="260" w:name="_Toc5149"/>
      <w:r>
        <w:rPr>
          <w:rFonts w:hint="eastAsia" w:ascii="宋体" w:hAnsi="宋体" w:eastAsia="宋体" w:cs="宋体"/>
          <w:b/>
          <w:bCs/>
          <w:color w:val="auto"/>
          <w:spacing w:val="0"/>
          <w:w w:val="100"/>
          <w:position w:val="0"/>
          <w:sz w:val="44"/>
          <w:szCs w:val="44"/>
          <w:highlight w:val="none"/>
        </w:rPr>
        <w:t>第</w:t>
      </w:r>
      <w:r>
        <w:rPr>
          <w:rFonts w:hint="eastAsia" w:ascii="宋体" w:hAnsi="宋体" w:eastAsia="宋体" w:cs="宋体"/>
          <w:b/>
          <w:bCs/>
          <w:color w:val="auto"/>
          <w:spacing w:val="0"/>
          <w:w w:val="100"/>
          <w:position w:val="0"/>
          <w:sz w:val="44"/>
          <w:szCs w:val="44"/>
          <w:highlight w:val="none"/>
          <w:lang w:eastAsia="zh-CN"/>
        </w:rPr>
        <w:t>六</w:t>
      </w:r>
      <w:r>
        <w:rPr>
          <w:rFonts w:hint="eastAsia" w:ascii="宋体" w:hAnsi="宋体" w:eastAsia="宋体" w:cs="宋体"/>
          <w:b/>
          <w:bCs/>
          <w:color w:val="auto"/>
          <w:spacing w:val="0"/>
          <w:w w:val="100"/>
          <w:position w:val="0"/>
          <w:sz w:val="44"/>
          <w:szCs w:val="44"/>
          <w:highlight w:val="none"/>
        </w:rPr>
        <w:t>章项目情况</w:t>
      </w:r>
      <w:bookmarkEnd w:id="256"/>
      <w:bookmarkEnd w:id="257"/>
      <w:bookmarkEnd w:id="258"/>
      <w:bookmarkEnd w:id="259"/>
      <w:bookmarkEnd w:id="260"/>
    </w:p>
    <w:p>
      <w:pPr>
        <w:rPr>
          <w:rFonts w:hint="eastAsia" w:ascii="宋体" w:hAnsi="宋体" w:eastAsia="宋体" w:cs="宋体"/>
          <w:b/>
          <w:bCs/>
          <w:color w:val="auto"/>
          <w:spacing w:val="0"/>
          <w:w w:val="100"/>
          <w:position w:val="0"/>
          <w:sz w:val="44"/>
          <w:szCs w:val="44"/>
          <w:highlight w:val="none"/>
        </w:rPr>
      </w:pPr>
      <w:bookmarkStart w:id="261" w:name="_Toc8924"/>
      <w:bookmarkStart w:id="262" w:name="bookmark140"/>
      <w:bookmarkStart w:id="263" w:name="bookmark138"/>
      <w:bookmarkStart w:id="264" w:name="bookmark139"/>
      <w:bookmarkStart w:id="265" w:name="bookmark141"/>
      <w:r>
        <w:rPr>
          <w:rFonts w:hint="eastAsia" w:ascii="宋体" w:hAnsi="宋体" w:eastAsia="宋体" w:cs="宋体"/>
          <w:b/>
          <w:bCs/>
          <w:color w:val="auto"/>
          <w:spacing w:val="0"/>
          <w:w w:val="100"/>
          <w:position w:val="0"/>
          <w:sz w:val="44"/>
          <w:szCs w:val="44"/>
          <w:highlight w:val="none"/>
        </w:rPr>
        <w:br w:type="page"/>
      </w:r>
    </w:p>
    <w:p>
      <w:pPr>
        <w:pStyle w:val="23"/>
        <w:keepNext/>
        <w:keepLines/>
        <w:widowControl w:val="0"/>
        <w:shd w:val="clear" w:color="auto" w:fill="auto"/>
        <w:bidi w:val="0"/>
        <w:spacing w:before="0" w:after="360" w:line="240" w:lineRule="auto"/>
        <w:ind w:left="0" w:right="0" w:firstLine="0"/>
        <w:jc w:val="center"/>
        <w:rPr>
          <w:rFonts w:hint="eastAsia" w:ascii="宋体" w:hAnsi="宋体" w:eastAsia="宋体" w:cs="宋体"/>
          <w:color w:val="auto"/>
          <w:sz w:val="44"/>
          <w:szCs w:val="44"/>
          <w:highlight w:val="none"/>
        </w:rPr>
      </w:pPr>
      <w:r>
        <w:rPr>
          <w:rFonts w:hint="eastAsia" w:ascii="宋体" w:hAnsi="宋体" w:eastAsia="宋体" w:cs="宋体"/>
          <w:b/>
          <w:bCs/>
          <w:color w:val="auto"/>
          <w:spacing w:val="0"/>
          <w:w w:val="100"/>
          <w:position w:val="0"/>
          <w:sz w:val="44"/>
          <w:szCs w:val="44"/>
          <w:highlight w:val="none"/>
        </w:rPr>
        <w:t>第</w:t>
      </w:r>
      <w:r>
        <w:rPr>
          <w:rFonts w:hint="eastAsia" w:ascii="宋体" w:hAnsi="宋体" w:eastAsia="宋体" w:cs="宋体"/>
          <w:b/>
          <w:bCs/>
          <w:color w:val="auto"/>
          <w:spacing w:val="0"/>
          <w:w w:val="100"/>
          <w:position w:val="0"/>
          <w:sz w:val="44"/>
          <w:szCs w:val="44"/>
          <w:highlight w:val="none"/>
          <w:lang w:eastAsia="zh-CN"/>
        </w:rPr>
        <w:t>六年</w:t>
      </w:r>
      <w:r>
        <w:rPr>
          <w:rFonts w:hint="eastAsia" w:ascii="宋体" w:hAnsi="宋体" w:eastAsia="宋体" w:cs="宋体"/>
          <w:b/>
          <w:bCs/>
          <w:color w:val="auto"/>
          <w:spacing w:val="0"/>
          <w:w w:val="100"/>
          <w:position w:val="0"/>
          <w:sz w:val="44"/>
          <w:szCs w:val="44"/>
          <w:highlight w:val="none"/>
        </w:rPr>
        <w:t>章项目情况</w:t>
      </w:r>
      <w:bookmarkEnd w:id="261"/>
    </w:p>
    <w:bookmarkEnd w:id="262"/>
    <w:bookmarkEnd w:id="263"/>
    <w:bookmarkEnd w:id="264"/>
    <w:bookmarkEnd w:id="265"/>
    <w:p>
      <w:pPr>
        <w:keepNext w:val="0"/>
        <w:keepLines w:val="0"/>
        <w:widowControl/>
        <w:suppressLineNumbers w:val="0"/>
        <w:jc w:val="left"/>
        <w:rPr>
          <w:color w:val="auto"/>
          <w:highlight w:val="none"/>
        </w:rPr>
      </w:pPr>
      <w:bookmarkStart w:id="266" w:name="_Toc10722"/>
      <w:r>
        <w:rPr>
          <w:rFonts w:hint="eastAsia" w:ascii="宋体" w:hAnsi="宋体" w:eastAsia="宋体" w:cs="宋体"/>
          <w:b/>
          <w:bCs/>
          <w:snapToGrid w:val="0"/>
          <w:color w:val="auto"/>
          <w:kern w:val="0"/>
          <w:sz w:val="28"/>
          <w:szCs w:val="28"/>
          <w:highlight w:val="none"/>
          <w:lang w:val="en-US" w:eastAsia="zh-CN" w:bidi="ar"/>
        </w:rPr>
        <w:t xml:space="preserve">2 基本情况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 自然概况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2.1.1 地理位置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青河县位于准噶尔盆地东北边缘，阿尔泰山东南麓、东北两面同蒙古国交界，西邻富蕴县，南与昌吉回族自治州奇台县为邻，是阿勒泰地区最东边的一个县，位于东经 89°47′～91°04′，北纬 45°00′～47°20′，南北最长 258km，东西最宽 110km，总面积为 15579.5km。占全疆面积近 1%，边界线长达 280km。县城距新疆首府乌鲁木齐市 530km，距离伊犁州府 1200km，距离阿勒泰市 310km，省道 228 线、S320 线横穿境内。塔克什肯镇地处东经 90°48′，北纬 46°11′。塔克什肯镇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距青河县城 101km，距阿勒泰市 380km，距乌鲁木齐市 570km。东部与蒙古国科布多省的布尔干县接壤，距青河县城 88km，距科布多省会科布多市约 420km。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2.1.2 气象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〈1〉气温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全年平均温度 0℃左右，大于等于 10℃的生物学积温少，仅为 2016℃，持续天数 123 天，大于等于 0℃的积温为 2519.3℃，持续天数 195 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〈2〉日照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全年平均日照数 3165.3 小时。年最长日照时数 3340.8 小时，最短日照时数 2927.9 小时。是全地区日照时数最短的县。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〈3〉降水量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塔克什肯镇属于中纬度大陆性温寒带气候区，降水少，历年平均降水量 173.9mm（北部山区为 300～400mm，南部不到 80mm）。年蒸发量大于水量近十倍。降雪约占全年降水量的 30%以上，山区降水量一般为 300～400mm。深山积雪是最重要的水利资源。稳定积雪每年 11 月上旬开始出现，次年 4 月初积雪融化完毕，平均稳定积雪日数达 150 天左右，最长达 170 天，最短也有 92 天，最大积雪达 81cm，冻土深度 247cm，平均 108cm。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〈4〉蒸发量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塔克什肯镇水分蒸发量大，日照资源较为丰富，空气清晰，浮沉较少，夏季蒸发量大，冬季蒸发量小。最大蒸发量出现于 6月，最小蒸发量出现于 12 月。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〈5〉积雪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河谷盆地降雪期初日一般为 10 月 9 日，最早 9 月 11 日，最晚 10 月 26 日；终日平均为 4 月 30 日，最早 3 月 22 日，最迟 5月 30 日。平均间隔 209 天，最长 231 天。丘陵平原降雪期最短， 较河谷盆地少 10 天左右；而北部山区较河谷盆地稍长一些。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〈6〉霜冻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晚霜迟至 6 月才结束，初霜有时在八月初出现，使春小麦不能很好成熟，产量降低。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〈7〉冻土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塔克什肯镇冬季漫长，冻土时间长，封冻期为 130～180 天，南部丘陵地区 150 天左右，一般在 10 月 20 日开始封冻，次年 4月 20 日解冻，最大冻土深度 242cm。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〈8〉风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青河县干热风主要发生在南部丘陵平原地区，以萨尔托海一带为最重，时间一般为 6 月下旬至 7 月中旬。这时，正值春小麦开花乳熟时期，对于干热风最为敏感，一有干热风就会使不孕小穗增多和籽粒干瘪而减产。塔克什肯镇主导风向为东风，风速 4～ 5 级，偶遇 8 级大风。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2.1.3 地形、地貌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塔克什肯镇为阿勒泰地槽褶皱系中的喀拉额尔齐斯褶皱带。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〈1〉地层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地层有元古界的震旦系库卫群，古生界有奥陶系中上统喀拉乔拉群、泥盆系下统康铁堡组、石炭系下统红山组，以及新生界全新统。</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〈2〉岩浆岩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最早期的岩浆岩是加里东期，次为华力西期，最新是喜玛拉雅山期（喜山期）。 据《中国地震动参数区划图》GB18306-2015，该区的地震动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峰值加速度为 0.05g，地震动反应谱特征周期为 0.40，对应的地震烈度为 VI 度。总体而言，该区域地质构造相对稳定。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2.1.4 水文地质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塔克什肯镇位于布尔根河谷，布尔根河自东向西出青河县入乌伦古河，河谷两侧为中、低山，河谷宽 500m，为第四系覆盖，厚度由两侧至中央渐深。 根据布尔根河引水工程《工程地质报告》中，ZK1，ZK2，ZK3 三孔钻探成果资料，含水深厚大于 15m，渗透系数 20m/天，经对布尔根村几口土井实测，地下水埋深 6～7m，根据对几口土井水样化验，水质符合饮用水标准。综观本区，水文地质条件简单，水资源贫乏，制约着工、农、牧业的发展。</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2.1.5 水资源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青河县境内有大青河、小青河、查干河、布尔根河和乌伦古河五条河流横贯境内，年径流量 10.7 亿 m</w:t>
      </w:r>
      <w:r>
        <w:rPr>
          <w:rFonts w:hint="eastAsia" w:ascii="宋体" w:hAnsi="宋体" w:eastAsia="宋体" w:cs="宋体"/>
          <w:snapToGrid w:val="0"/>
          <w:color w:val="auto"/>
          <w:kern w:val="0"/>
          <w:sz w:val="13"/>
          <w:szCs w:val="13"/>
          <w:highlight w:val="none"/>
          <w:lang w:val="en-US" w:eastAsia="zh-CN" w:bidi="ar"/>
        </w:rPr>
        <w:t>3</w:t>
      </w:r>
      <w:r>
        <w:rPr>
          <w:rFonts w:hint="eastAsia" w:ascii="宋体" w:hAnsi="宋体" w:eastAsia="宋体" w:cs="宋体"/>
          <w:snapToGrid w:val="0"/>
          <w:color w:val="auto"/>
          <w:kern w:val="0"/>
          <w:sz w:val="28"/>
          <w:szCs w:val="28"/>
          <w:highlight w:val="none"/>
          <w:lang w:val="en-US" w:eastAsia="zh-CN" w:bidi="ar"/>
        </w:rPr>
        <w:t xml:space="preserve">。引水灌溉主要水源为布尔根河河水，布尔根河水源主要是山地降水和积雪水供应，平原地区年降水量 130～200mm。降雪约占全年降水量的 30%，雪深可达 87cm。全年降水量的 46%都集中在 6～9 月份，河流量为12m3/s，河长在青河县境内为 75km，落差 36m，理论电力 0.4万 KW，水能资源较为丰富。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2.2 社会经济概况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青河县总人口 6 万人，有哈、汉、蒙、回、维等 12 个民族，其中哈萨克族占约占总人口的 76%，汉族约占 18%。现辖 2 个镇、5 个乡：青河镇、塔克什肯镇、阿热勒乡、阿热勒托别乡、萨尔托海乡、查干郭勒乡、阿尕什敖包乡。2019 年全县完成国内生产总值 10.34 亿元，年均递增 21.1%；地方财政收入 7588 万元，年均递增 52%；社会固定资产投资 11 亿元，年均递增 37.2%；招商引资到位资金 7.56 亿元，年均递增 81.9%；乡及乡以上工业增加值 3.1 亿元，年均递增 78.7%；农牧民人均纯收入 3938 元，比 2005 年人均增收 960 元。塔克什肯镇区总人口 4400 人，其中常住人口 1400 人，暂住半年以上人口 3000 人。境内水资源较为丰富，有布尔根河流经。年牲畜存栏 12 万头（只）。</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 工程设计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3.1 工程设计依据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⑴《防洪标准》（</w:t>
      </w:r>
      <w:r>
        <w:rPr>
          <w:rFonts w:hint="default" w:ascii="Times New Roman" w:hAnsi="Times New Roman" w:eastAsia="宋体" w:cs="Times New Roman"/>
          <w:snapToGrid w:val="0"/>
          <w:color w:val="auto"/>
          <w:kern w:val="0"/>
          <w:sz w:val="28"/>
          <w:szCs w:val="28"/>
          <w:highlight w:val="none"/>
          <w:lang w:val="en-US" w:eastAsia="zh-CN" w:bidi="ar"/>
        </w:rPr>
        <w:t>GB50201</w:t>
      </w:r>
      <w:r>
        <w:rPr>
          <w:rFonts w:hint="eastAsia" w:ascii="宋体" w:hAnsi="宋体" w:eastAsia="宋体" w:cs="宋体"/>
          <w:snapToGrid w:val="0"/>
          <w:color w:val="auto"/>
          <w:kern w:val="0"/>
          <w:sz w:val="28"/>
          <w:szCs w:val="28"/>
          <w:highlight w:val="none"/>
          <w:lang w:val="en-US" w:eastAsia="zh-CN" w:bidi="ar"/>
        </w:rPr>
        <w:t>—</w:t>
      </w:r>
      <w:r>
        <w:rPr>
          <w:rFonts w:hint="default" w:ascii="Times New Roman" w:hAnsi="Times New Roman" w:eastAsia="宋体" w:cs="Times New Roman"/>
          <w:snapToGrid w:val="0"/>
          <w:color w:val="auto"/>
          <w:kern w:val="0"/>
          <w:sz w:val="28"/>
          <w:szCs w:val="28"/>
          <w:highlight w:val="none"/>
          <w:lang w:val="en-US" w:eastAsia="zh-CN" w:bidi="ar"/>
        </w:rPr>
        <w:t>94</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⑵《城市防洪工程设计规范》JJ50-92；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⑶《水利水电工程等级划分及洪水标准》（SL252—2000）；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⑷《堤防工程设计规范》（GB50286-2013）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⑸《水闸设计规范》(SL265—2001)；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⑹《水利水电工程施工组织设计规范》（SL303-2004）；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3.2 工程布置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本次工程的任务是：对塔克什肯镇布尔根河人工模拟河狸建设生态透水坝，减缓河道区域流速，形成缓流区，恢复河狸生存环境，给自然生态留下休养生息的时间和空间，保护河狸生存环境，给自然生态留下休养生息的时间和空间。采取的主要工程措施是对两座临时堆砌的透水坝进行重新修建，总长度 225m，生态透水坝建设采取的原则是：</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（1）新建透水坝应尽量沿多年来临时堆砌石头坝布置，如有改线，布置以利于河狸使用要求；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（2）透水坝布置的位置要确保河床稳定宽度和深度，满足河道行洪高度；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（3）透水坝布置要充分考虑河流走势，尽量利用已有地形；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（4）透水坝布置应尽量少占地，同时尽量不破坏生态的原则。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3.3 透水坝设计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本次工程对查干布尔根河两处进行生态透水坝建设，总长度</w:t>
      </w:r>
      <w:r>
        <w:rPr>
          <w:rFonts w:hint="default" w:ascii="Times New Roman" w:hAnsi="Times New Roman" w:eastAsia="宋体" w:cs="Times New Roman"/>
          <w:snapToGrid w:val="0"/>
          <w:color w:val="auto"/>
          <w:kern w:val="0"/>
          <w:sz w:val="28"/>
          <w:szCs w:val="28"/>
          <w:highlight w:val="none"/>
          <w:lang w:val="en-US" w:eastAsia="zh-CN" w:bidi="ar"/>
        </w:rPr>
        <w:t>225m</w:t>
      </w:r>
      <w:r>
        <w:rPr>
          <w:rFonts w:hint="eastAsia" w:ascii="宋体" w:hAnsi="宋体" w:eastAsia="宋体" w:cs="宋体"/>
          <w:snapToGrid w:val="0"/>
          <w:color w:val="auto"/>
          <w:kern w:val="0"/>
          <w:sz w:val="28"/>
          <w:szCs w:val="28"/>
          <w:highlight w:val="none"/>
          <w:lang w:val="en-US" w:eastAsia="zh-CN" w:bidi="ar"/>
        </w:rPr>
        <w:t xml:space="preserve">。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3.3.1 </w:t>
      </w:r>
      <w:r>
        <w:rPr>
          <w:rFonts w:hint="eastAsia" w:ascii="宋体" w:hAnsi="宋体" w:eastAsia="宋体" w:cs="宋体"/>
          <w:b/>
          <w:bCs/>
          <w:snapToGrid w:val="0"/>
          <w:color w:val="auto"/>
          <w:kern w:val="0"/>
          <w:sz w:val="30"/>
          <w:szCs w:val="30"/>
          <w:highlight w:val="none"/>
          <w:lang w:val="en-US" w:eastAsia="zh-CN" w:bidi="ar"/>
        </w:rPr>
        <w:t>透水坝</w:t>
      </w:r>
      <w:r>
        <w:rPr>
          <w:rFonts w:hint="eastAsia" w:ascii="宋体" w:hAnsi="宋体" w:eastAsia="宋体" w:cs="宋体"/>
          <w:b/>
          <w:bCs/>
          <w:snapToGrid w:val="0"/>
          <w:color w:val="auto"/>
          <w:kern w:val="0"/>
          <w:sz w:val="28"/>
          <w:szCs w:val="28"/>
          <w:highlight w:val="none"/>
          <w:lang w:val="en-US" w:eastAsia="zh-CN" w:bidi="ar"/>
        </w:rPr>
        <w:t xml:space="preserve">材料选择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根据当地的建筑材料，结合河道河岸土质特点，本次生态透水坝材料选择格宾垒筑式挡墙。它最更适合河流生态治理工程，其具有以下优点：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⑴柔性结构设计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格宾特有的柔性结构设计及高效延伸的低碳钢丝使得其具有很强的柔韧性及变形能力，尤其适应基础的不均匀沉降。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⑵生态保护性首先整体结构并没有采用任何污染性材料，结构主材料石材为自然界中寻找，附加的限制性材料钢丝网对于自然也没有任何污染。而由于结构内存在较多的填石孔隙，这样一来可以实现河水和结构后土 体的自由水交换，增强水体的自我净化能力，改善水质；二来为各类水生动植物提供生存空间，维持生态系统的平衡，建设生态水利工程。三来不需要水泥等污染水质和环境的人工材料，对环境不会造成太大的破坏，且自然界易于修复这种工程破坏。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⑶美观性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无论是内部的填石还是后期生长出来的绿色植被，都能够很好的与周围的自然环境相互融合。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⑷耐久性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采用重镀高尔凡覆塑方式进行防蚀处理的钢丝具有较强的耐久性能。格宾由具有优良防腐性能的钢丝经过机械编织，组装而成，优良的镀层工艺和编织技术，保证了镀层厚度的均匀性和抗腐蚀性，一般情况下，使用寿命达到 50-60 年，覆塑钢丝的使用寿命达到 100-120年。由于结构的整体性，以及和自然环境融为整体，所以在镀层损失的情况下，不影响结构的稳定性。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⑸自透水性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格宾具有天然的透水性，一来可以迅速降低结构后填土内由于降 雨等原因而导致的过高地下水位，消散空隙水压力，维持土体强度，降低发生滑坡的危险；二来可以加强水体交换能力，促进植被生长和生态系统的恢复。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⑹独立性和整体性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格宾单元在工地现场组装成型，相互绑扎成整体，属于典型的柔性防护结构，所以既可适应河床的变形，又可以适应地基的不均匀沉降，体现了其对工程场地的优越适应性。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⑺抗冲刷性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多空隙结构一方面在风浪打在结构上时，真空压力被化解，风浪退时产生的真空吸力也被破坏，能有效的达到防浪效果，并且结构本身的抗水流冲刷能力较强，能抵抗最高达 6m/s 的流速冲刷；另一方面可以迅速沉积土壤，促进植被生长，利用绿色植被降低水流对结构的冲刷。</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⑻施工便捷、效率高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格宾可按设计意图，工厂化生产制作出半成品，施工现场按施工图进行组装定型。整体工法操作简便、工序少、无需特殊的技术工人、受气候干扰小，整体施工效率高且效果易于保证，可以大大减少施工周期。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3.3.2 生态透水坝设计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本次生态透水坝设计，透水坝采用格宾垒筑挡墙，格宾网，基础埋深为 1.0m，通过墙体自身重量来维持在土压力下的稳定。本次格宾重力式挡墙的外形为有外台阶形式。</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（1）格宾规格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① 格宾是将低碳钢丝经机器编制而成的双绞合六边形金属网格组合的工程构件，在构件中填石构成主要用于支挡防护的结构。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② 格宾规格为 GG2×1×1/0.5 GF，即长 2m，宽 1m，厚 0.5m，钢丝镀高尔凡防腐处理，内部采用隔板隔成独立单元；长度、宽度、高度公差为±5％；网孔规格为 8×10。具体见构件大样图。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③ 钢丝标准及技术参数：钢丝抗拉强度 350~550N/mm2，未经拉伸钢丝的延伸率不能低于 12%（经过拉伸加工的成品钢丝延伸率不能低于 7%）；网面钢丝直径φ2.7 mm，公差±0.06 mm，最小镀层量为245 g/m2；为加强构件刚度，钢丝面板边端采用直径为φ3.4 mm 的边端钢丝，镀层钢丝公差±0.07mm，最小镀层量为 265g/m2；绑扎钢丝直径φ2.2 mm，公差±0.06 mm，最小镀层量为 230g/m2。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④ 网面抗拉强度 50KN/m,符合 EN10223-3 标准。格宾供货厂家需提供至少国家一级实验室出具的网面抗拉强度检测报告。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⑤ 镀层附着性要求：镀高尔凡层附着力检验采用缠绕试验方法，并应达到如下标准，当镀高尔凡钢丝绕相当于自身直径 2 倍的芯轴紧密缠绕 6 圈时，用手指摩擦钢丝，其镀层不会剥落或开裂。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⑥ 边端钢丝缠绕标准：网面裁剪后末端与边端钢丝的联接处是整个结构的薄弱环节，为加强网面与边端钢丝的连接强度，需采用专业的翻边机将网面钢丝缠绕在边端钢丝上≥2.5 圈，不能采用手工绞。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⑦ 绞边技术要求：钢丝必须采用与网面钢丝一样材质的钢丝，为保证联接强度需严格按照间隔 10～15cm 单圈－双圈交替绞合。</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（2）装填石料要求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① 填充物采用卵石、片石或块石，格宾要求石料粒径 D100～300mm 为宜,容许不超过 15%的粒径&lt;100mm,但其不得用于格宾网格的外露面，空隙率不超过 30％，要求石料质地坚硬，强度等级 MU30，比重不小于 2.5t/m3，遇水不易崩解和水解，抗风化。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② 薄片、条状等形状的石料不宜采用。风化岩石、泥岩等亦不得用作充填石料</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 施工组织设计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4.1 施工条件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4.1.1 交通条件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塔克什肯镇境内驻有塔克什肯口岸，塔克什肯口岸是自治区对蒙开放中规模最大的一个国家一类口岸，口岸经 320 省道与 216 国道相连，项目区与省道 320 公路之间有公路连接，项目区交通十分便利。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4.1.2 气候条件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项目区属于大陆性温寒带气候区，冬季漫长而寒冷，夏季短暂，秋季凉爽，年平均气温在 0℃左右，年降水量 130～200mm，蒸发量为1476mm，无霜期短，最长为 115 天，最短为 87 天，平均为 103 天， 全年太阳总辐射量为 141.6 KJ/cm</w:t>
      </w:r>
      <w:r>
        <w:rPr>
          <w:rFonts w:hint="eastAsia" w:ascii="宋体" w:hAnsi="宋体" w:eastAsia="宋体" w:cs="宋体"/>
          <w:snapToGrid w:val="0"/>
          <w:color w:val="auto"/>
          <w:kern w:val="0"/>
          <w:sz w:val="13"/>
          <w:szCs w:val="13"/>
          <w:highlight w:val="none"/>
          <w:lang w:val="en-US" w:eastAsia="zh-CN" w:bidi="ar"/>
        </w:rPr>
        <w:t>2</w:t>
      </w:r>
      <w:r>
        <w:rPr>
          <w:rFonts w:hint="eastAsia" w:ascii="宋体" w:hAnsi="宋体" w:eastAsia="宋体" w:cs="宋体"/>
          <w:snapToGrid w:val="0"/>
          <w:color w:val="auto"/>
          <w:kern w:val="0"/>
          <w:sz w:val="28"/>
          <w:szCs w:val="28"/>
          <w:highlight w:val="none"/>
          <w:lang w:val="en-US" w:eastAsia="zh-CN" w:bidi="ar"/>
        </w:rPr>
        <w:t>·m，生理辐射量为 63 KJ/cm</w:t>
      </w:r>
      <w:r>
        <w:rPr>
          <w:rFonts w:hint="eastAsia" w:ascii="宋体" w:hAnsi="宋体" w:eastAsia="宋体" w:cs="宋体"/>
          <w:snapToGrid w:val="0"/>
          <w:color w:val="auto"/>
          <w:kern w:val="0"/>
          <w:sz w:val="13"/>
          <w:szCs w:val="13"/>
          <w:highlight w:val="none"/>
          <w:lang w:val="en-US" w:eastAsia="zh-CN" w:bidi="ar"/>
        </w:rPr>
        <w:t>2</w:t>
      </w:r>
      <w:r>
        <w:rPr>
          <w:rFonts w:hint="eastAsia" w:ascii="宋体" w:hAnsi="宋体" w:eastAsia="宋体" w:cs="宋体"/>
          <w:snapToGrid w:val="0"/>
          <w:color w:val="auto"/>
          <w:kern w:val="0"/>
          <w:sz w:val="28"/>
          <w:szCs w:val="28"/>
          <w:highlight w:val="none"/>
          <w:lang w:val="en-US" w:eastAsia="zh-CN" w:bidi="ar"/>
        </w:rPr>
        <w:t xml:space="preserve">·m ， 年平均日照时数 3157 小时。该地区历年施工时间，一般都在 4 月低开始，到 11 月初终止，春秋两季施工时需要预防寒冷天气，准备防冻设施。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4.1.3 水电条件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本工程格宾金属网格可直接从乌鲁木齐市购买，基本不需要电力供应，如有需要用电可采用由 40kw 柴油发电机发电。 施工用水可用水车拉水。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4.2 施工方法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该工程主要格宾垒筑式挡墙修建，其施工采取下列程序和办法：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4.2.1 基础土方开挖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采用 1m³反铲挖掘机挖甩，人工辅助，一次成型。在过水位较高的段落，可采用分段开挖，在每段较低处设积水坑，架设大口径水泵排水。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4.2.2 土方填筑</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施工工序：①1m³挖掘机挖装料②8T 自卸汽车运料；③进占法卸料；④压实。 施工方法及控制指标：清基厚度 0.3～0.5m，采用 1m³挖掘机挖 挖至内坡脚处，人工辅助。填筑主料要求级配良好，耐风化，水稳定性好，含泥量小于 8%。采用 1m³挖掘机挖装料 8T 自卸汽车运输，压实采用拖拉机压实，相对密度不小于 0.75。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4.2.3 基础抛石施工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施工工序：①砂石料场购买卵石；—②1m³装载机装 8t 自卸汽车运输至工作面；—③挖掘机下抛石（人工辅助）；施工方法及控制指标：施工采用挖掘机下抛石，人工辅助。抛投的石料要求粒径为 40mm～100mm，表面无裂缝，抗风化，不水解，填充石料容重应≥1.70t/m³。 </w:t>
      </w:r>
    </w:p>
    <w:p>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8"/>
          <w:szCs w:val="28"/>
          <w:highlight w:val="none"/>
          <w:lang w:val="en-US" w:eastAsia="zh-CN" w:bidi="ar"/>
        </w:rPr>
        <w:t xml:space="preserve">4.2.4 格宾重力式挡墙施工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① 石料制备：石料厂为清河县矿场，开采石料施工方法，储量能够满足本工程格宾网护坡所需石料，用 8t 自卸汽车运至施工现场。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② 测量放线：依据设计图纸进行测量放线，成果必须符合施工规范要求。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 xml:space="preserve">③ 格宾网安装：依据测量放线成果安装格宾网及无纺布，必须达到设计及施工规范要求。 </w:t>
      </w:r>
    </w:p>
    <w:p>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8"/>
          <w:szCs w:val="28"/>
          <w:highlight w:val="none"/>
          <w:lang w:val="en-US" w:eastAsia="zh-CN" w:bidi="ar"/>
        </w:rPr>
        <w:t>④ 网内填石料：网内填充符合设计粒径要求的合格石料，杜绝网中部填充不符合设计粒径要求的石料或其他填充物；格宾网内填充的全部石料必须密实、粒径符合设计要求，不允许架空现象的发生。保证每块格宾网自身稳定；施工方法：1m</w:t>
      </w:r>
      <w:r>
        <w:rPr>
          <w:rFonts w:hint="eastAsia" w:ascii="宋体" w:hAnsi="宋体" w:eastAsia="宋体" w:cs="宋体"/>
          <w:snapToGrid w:val="0"/>
          <w:color w:val="auto"/>
          <w:kern w:val="0"/>
          <w:sz w:val="13"/>
          <w:szCs w:val="13"/>
          <w:highlight w:val="none"/>
          <w:lang w:val="en-US" w:eastAsia="zh-CN" w:bidi="ar"/>
        </w:rPr>
        <w:t>3</w:t>
      </w:r>
      <w:r>
        <w:rPr>
          <w:rFonts w:hint="eastAsia" w:ascii="宋体" w:hAnsi="宋体" w:eastAsia="宋体" w:cs="宋体"/>
          <w:snapToGrid w:val="0"/>
          <w:color w:val="auto"/>
          <w:kern w:val="0"/>
          <w:sz w:val="28"/>
          <w:szCs w:val="28"/>
          <w:highlight w:val="none"/>
          <w:lang w:val="en-US" w:eastAsia="zh-CN" w:bidi="ar"/>
        </w:rPr>
        <w:t xml:space="preserve">挖掘机配合人工辅助。 </w:t>
      </w:r>
    </w:p>
    <w:p>
      <w:pPr>
        <w:keepNext w:val="0"/>
        <w:keepLines w:val="0"/>
        <w:widowControl/>
        <w:suppressLineNumbers w:val="0"/>
        <w:jc w:val="left"/>
        <w:rPr>
          <w:color w:val="auto"/>
          <w:highlight w:val="none"/>
        </w:rPr>
      </w:pPr>
    </w:p>
    <w:p>
      <w:pPr>
        <w:keepNext w:val="0"/>
        <w:keepLines w:val="0"/>
        <w:widowControl/>
        <w:suppressLineNumbers w:val="0"/>
        <w:jc w:val="left"/>
        <w:rPr>
          <w:color w:val="auto"/>
          <w:highlight w:val="none"/>
        </w:rPr>
      </w:pPr>
    </w:p>
    <w:p>
      <w:pP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br w:type="page"/>
      </w:r>
    </w:p>
    <w:p>
      <w:pPr>
        <w:pStyle w:val="25"/>
        <w:keepNext w:val="0"/>
        <w:keepLines w:val="0"/>
        <w:widowControl w:val="0"/>
        <w:shd w:val="clear" w:color="auto" w:fill="auto"/>
        <w:bidi w:val="0"/>
        <w:spacing w:before="0" w:after="400" w:line="584" w:lineRule="exact"/>
        <w:ind w:left="0" w:right="0" w:firstLine="600"/>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t>第</w:t>
      </w:r>
      <w:r>
        <w:rPr>
          <w:rFonts w:hint="eastAsia" w:ascii="宋体" w:hAnsi="宋体" w:eastAsia="宋体" w:cs="宋体"/>
          <w:color w:val="auto"/>
          <w:spacing w:val="-1"/>
          <w:sz w:val="36"/>
          <w:szCs w:val="36"/>
          <w:highlight w:val="none"/>
          <w:lang w:eastAsia="zh-CN"/>
          <w14:textOutline w14:w="6537" w14:cap="flat" w14:cmpd="sng">
            <w14:solidFill>
              <w14:srgbClr w14:val="000000"/>
            </w14:solidFill>
            <w14:prstDash w14:val="solid"/>
            <w14:miter w14:val="0"/>
          </w14:textOutline>
        </w:rPr>
        <w:t>八</w:t>
      </w:r>
      <w:r>
        <w:rPr>
          <w:rFonts w:hint="eastAsia" w:ascii="宋体" w:hAnsi="宋体" w:eastAsia="宋体" w:cs="宋体"/>
          <w:color w:val="auto"/>
          <w:spacing w:val="-1"/>
          <w:sz w:val="36"/>
          <w:szCs w:val="36"/>
          <w:highlight w:val="none"/>
          <w14:textOutline w14:w="6537" w14:cap="flat" w14:cmpd="sng">
            <w14:solidFill>
              <w14:srgbClr w14:val="000000"/>
            </w14:solidFill>
            <w14:prstDash w14:val="solid"/>
            <w14:miter w14:val="0"/>
          </w14:textOutline>
        </w:rPr>
        <w:t>章工程量清单</w:t>
      </w:r>
      <w:bookmarkEnd w:id="266"/>
    </w:p>
    <w:p>
      <w:pPr>
        <w:rPr>
          <w:rFonts w:hint="eastAsia" w:eastAsia="宋体"/>
          <w:color w:val="auto"/>
          <w:highlight w:val="none"/>
          <w:lang w:eastAsia="zh-CN"/>
        </w:rPr>
      </w:pPr>
      <w:r>
        <w:rPr>
          <w:rFonts w:hint="eastAsia" w:ascii="宋体" w:hAnsi="宋体" w:eastAsia="宋体" w:cs="宋体"/>
          <w:color w:val="auto"/>
          <w:sz w:val="36"/>
          <w:szCs w:val="36"/>
          <w:highlight w:val="none"/>
          <w:lang w:eastAsia="zh-CN"/>
          <w14:textOutline w14:w="6537" w14:cap="flat" w14:cmpd="sng">
            <w14:solidFill>
              <w14:srgbClr w14:val="000000"/>
            </w14:solidFill>
            <w14:prstDash w14:val="solid"/>
            <w14:miter w14:val="0"/>
          </w14:textOutline>
        </w:rPr>
        <w:t>另册</w:t>
      </w:r>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bookmarkStart w:id="267" w:name="_Toc12197"/>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br w:type="page"/>
      </w:r>
    </w:p>
    <w:p>
      <w:pPr>
        <w:keepNext w:val="0"/>
        <w:keepLines w:val="0"/>
        <w:pageBreakBefore w:val="0"/>
        <w:widowControl/>
        <w:kinsoku w:val="0"/>
        <w:wordWrap/>
        <w:overflowPunct/>
        <w:topLinePunct w:val="0"/>
        <w:autoSpaceDE w:val="0"/>
        <w:autoSpaceDN w:val="0"/>
        <w:bidi w:val="0"/>
        <w:adjustRightInd w:val="0"/>
        <w:snapToGrid w:val="0"/>
        <w:spacing w:before="302" w:line="384" w:lineRule="auto"/>
        <w:ind w:firstLine="2494"/>
        <w:textAlignment w:val="baseline"/>
        <w:outlineLvl w:val="0"/>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第</w:t>
      </w:r>
      <w:r>
        <w:rPr>
          <w:rFonts w:hint="eastAsia" w:ascii="宋体" w:hAnsi="宋体" w:eastAsia="宋体" w:cs="宋体"/>
          <w:color w:val="auto"/>
          <w:sz w:val="36"/>
          <w:szCs w:val="36"/>
          <w:highlight w:val="none"/>
          <w:lang w:eastAsia="zh-CN"/>
          <w14:textOutline w14:w="6537" w14:cap="flat" w14:cmpd="sng">
            <w14:solidFill>
              <w14:srgbClr w14:val="000000"/>
            </w14:solidFill>
            <w14:prstDash w14:val="solid"/>
            <w14:miter w14:val="0"/>
          </w14:textOutline>
        </w:rPr>
        <w:t>九</w:t>
      </w:r>
      <w: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t>章谈判响应文件格式</w:t>
      </w:r>
      <w:bookmarkEnd w:id="267"/>
    </w:p>
    <w:p>
      <w:pPr>
        <w:pStyle w:val="15"/>
        <w:rPr>
          <w:rFonts w:hint="eastAsia" w:ascii="宋体" w:hAnsi="宋体" w:eastAsia="宋体" w:cs="宋体"/>
          <w:color w:val="auto"/>
          <w:highlight w:val="none"/>
        </w:rPr>
      </w:pPr>
    </w:p>
    <w:p>
      <w:pPr>
        <w:spacing w:before="0"/>
        <w:ind w:left="0" w:right="106" w:firstLine="0"/>
        <w:jc w:val="center"/>
        <w:outlineLvl w:val="0"/>
        <w:rPr>
          <w:rFonts w:hint="eastAsia" w:ascii="宋体" w:hAnsi="宋体" w:eastAsia="宋体" w:cs="宋体"/>
          <w:b/>
          <w:color w:val="auto"/>
          <w:sz w:val="52"/>
          <w:szCs w:val="16"/>
          <w:highlight w:val="none"/>
          <w:lang w:eastAsia="zh-CN"/>
        </w:rPr>
      </w:pPr>
      <w:r>
        <w:rPr>
          <w:rFonts w:hint="eastAsia" w:ascii="宋体" w:hAnsi="宋体" w:eastAsia="宋体" w:cs="宋体"/>
          <w:b/>
          <w:color w:val="auto"/>
          <w:sz w:val="52"/>
          <w:szCs w:val="16"/>
          <w:highlight w:val="none"/>
          <w:lang w:eastAsia="zh-CN"/>
        </w:rPr>
        <w:t>新疆布尔根河狸国家级自然保护区一期河狸栖息地水位保障透水闸项目</w:t>
      </w:r>
    </w:p>
    <w:p>
      <w:pPr>
        <w:pStyle w:val="15"/>
        <w:rPr>
          <w:rFonts w:hint="eastAsia" w:ascii="宋体" w:hAnsi="宋体" w:eastAsia="宋体" w:cs="宋体"/>
          <w:color w:val="auto"/>
          <w:highlight w:val="none"/>
        </w:rPr>
      </w:pPr>
    </w:p>
    <w:p>
      <w:pPr>
        <w:spacing w:before="0"/>
        <w:ind w:left="0" w:right="106" w:firstLine="0"/>
        <w:jc w:val="center"/>
        <w:outlineLvl w:val="0"/>
        <w:rPr>
          <w:rFonts w:hint="eastAsia" w:ascii="宋体" w:hAnsi="宋体" w:eastAsia="宋体" w:cs="宋体"/>
          <w:b/>
          <w:color w:val="auto"/>
          <w:sz w:val="84"/>
          <w:highlight w:val="none"/>
        </w:rPr>
      </w:pPr>
      <w:bookmarkStart w:id="268" w:name="_Toc1299"/>
      <w:r>
        <w:rPr>
          <w:rFonts w:hint="eastAsia" w:ascii="宋体" w:hAnsi="宋体" w:eastAsia="宋体" w:cs="宋体"/>
          <w:b/>
          <w:color w:val="auto"/>
          <w:sz w:val="84"/>
          <w:highlight w:val="none"/>
          <w:lang w:eastAsia="zh-CN"/>
        </w:rPr>
        <w:t>谈判响应</w:t>
      </w:r>
      <w:r>
        <w:rPr>
          <w:rFonts w:hint="eastAsia" w:ascii="宋体" w:hAnsi="宋体" w:eastAsia="宋体" w:cs="宋体"/>
          <w:b/>
          <w:color w:val="auto"/>
          <w:sz w:val="84"/>
          <w:highlight w:val="none"/>
        </w:rPr>
        <w:t>文件</w:t>
      </w:r>
      <w:bookmarkEnd w:id="268"/>
    </w:p>
    <w:p>
      <w:pPr>
        <w:pStyle w:val="9"/>
        <w:rPr>
          <w:rFonts w:hint="eastAsia" w:ascii="宋体" w:hAnsi="宋体" w:eastAsia="宋体" w:cs="宋体"/>
          <w:b/>
          <w:color w:val="auto"/>
          <w:sz w:val="92"/>
          <w:highlight w:val="none"/>
        </w:rPr>
      </w:pPr>
    </w:p>
    <w:p>
      <w:pPr>
        <w:tabs>
          <w:tab w:val="left" w:pos="5785"/>
        </w:tabs>
        <w:spacing w:before="0"/>
        <w:ind w:left="823" w:right="0" w:firstLine="0"/>
        <w:jc w:val="left"/>
        <w:outlineLvl w:val="0"/>
        <w:rPr>
          <w:rFonts w:hint="eastAsia" w:ascii="宋体" w:hAnsi="宋体" w:eastAsia="宋体" w:cs="宋体"/>
          <w:color w:val="auto"/>
          <w:sz w:val="32"/>
          <w:highlight w:val="none"/>
        </w:rPr>
      </w:pPr>
      <w:bookmarkStart w:id="269" w:name="_Toc8760"/>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（盖单位章）</w:t>
      </w:r>
      <w:bookmarkEnd w:id="269"/>
    </w:p>
    <w:p>
      <w:pPr>
        <w:pStyle w:val="9"/>
        <w:rPr>
          <w:rFonts w:hint="eastAsia" w:ascii="宋体" w:hAnsi="宋体" w:eastAsia="宋体" w:cs="宋体"/>
          <w:color w:val="auto"/>
          <w:sz w:val="34"/>
          <w:highlight w:val="none"/>
        </w:rPr>
      </w:pPr>
    </w:p>
    <w:p>
      <w:pPr>
        <w:pStyle w:val="9"/>
        <w:spacing w:before="3"/>
        <w:rPr>
          <w:rFonts w:hint="eastAsia" w:ascii="宋体" w:hAnsi="宋体" w:eastAsia="宋体" w:cs="宋体"/>
          <w:color w:val="auto"/>
          <w:sz w:val="31"/>
          <w:highlight w:val="none"/>
        </w:rPr>
      </w:pPr>
    </w:p>
    <w:p>
      <w:pPr>
        <w:spacing w:before="0"/>
        <w:ind w:left="823" w:right="0" w:firstLine="0"/>
        <w:jc w:val="left"/>
        <w:outlineLvl w:val="0"/>
        <w:rPr>
          <w:rFonts w:hint="eastAsia" w:ascii="宋体" w:hAnsi="宋体" w:eastAsia="宋体" w:cs="宋体"/>
          <w:color w:val="auto"/>
          <w:sz w:val="32"/>
          <w:highlight w:val="none"/>
        </w:rPr>
      </w:pPr>
      <w:bookmarkStart w:id="270" w:name="_Toc22874"/>
      <w:r>
        <w:rPr>
          <w:rFonts w:hint="eastAsia" w:ascii="宋体" w:hAnsi="宋体" w:eastAsia="宋体" w:cs="宋体"/>
          <w:color w:val="auto"/>
          <w:sz w:val="32"/>
          <w:highlight w:val="none"/>
        </w:rPr>
        <w:t>联系人：</w:t>
      </w:r>
      <w:bookmarkEnd w:id="270"/>
    </w:p>
    <w:p>
      <w:pPr>
        <w:pStyle w:val="9"/>
        <w:rPr>
          <w:rFonts w:hint="eastAsia" w:ascii="宋体" w:hAnsi="宋体" w:eastAsia="宋体" w:cs="宋体"/>
          <w:color w:val="auto"/>
          <w:sz w:val="32"/>
          <w:highlight w:val="none"/>
        </w:rPr>
      </w:pPr>
    </w:p>
    <w:p>
      <w:pPr>
        <w:pStyle w:val="9"/>
        <w:spacing w:before="3"/>
        <w:rPr>
          <w:rFonts w:hint="eastAsia" w:ascii="宋体" w:hAnsi="宋体" w:eastAsia="宋体" w:cs="宋体"/>
          <w:color w:val="auto"/>
          <w:sz w:val="33"/>
          <w:highlight w:val="none"/>
        </w:rPr>
      </w:pPr>
    </w:p>
    <w:p>
      <w:pPr>
        <w:spacing w:before="1"/>
        <w:ind w:left="823" w:right="0" w:firstLine="0"/>
        <w:jc w:val="left"/>
        <w:outlineLvl w:val="0"/>
        <w:rPr>
          <w:rFonts w:hint="eastAsia" w:ascii="宋体" w:hAnsi="宋体" w:eastAsia="宋体" w:cs="宋体"/>
          <w:color w:val="auto"/>
          <w:sz w:val="32"/>
          <w:highlight w:val="none"/>
        </w:rPr>
      </w:pPr>
      <w:bookmarkStart w:id="271" w:name="_Toc23860"/>
      <w:r>
        <w:rPr>
          <w:rFonts w:hint="eastAsia" w:ascii="宋体" w:hAnsi="宋体" w:eastAsia="宋体" w:cs="宋体"/>
          <w:color w:val="auto"/>
          <w:sz w:val="32"/>
          <w:highlight w:val="none"/>
        </w:rPr>
        <w:t>联系电话：</w:t>
      </w:r>
      <w:bookmarkEnd w:id="271"/>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spacing w:before="10"/>
        <w:rPr>
          <w:rFonts w:hint="eastAsia" w:ascii="宋体" w:hAnsi="宋体" w:eastAsia="宋体" w:cs="宋体"/>
          <w:color w:val="auto"/>
          <w:sz w:val="20"/>
          <w:highlight w:val="none"/>
        </w:rPr>
      </w:pPr>
    </w:p>
    <w:p>
      <w:pPr>
        <w:spacing w:before="54"/>
        <w:ind w:left="823" w:right="0" w:firstLine="0"/>
        <w:jc w:val="left"/>
        <w:outlineLvl w:val="0"/>
        <w:rPr>
          <w:rFonts w:hint="eastAsia" w:ascii="宋体" w:hAnsi="宋体" w:eastAsia="宋体" w:cs="宋体"/>
          <w:color w:val="auto"/>
          <w:sz w:val="32"/>
          <w:highlight w:val="none"/>
        </w:rPr>
      </w:pPr>
      <w:bookmarkStart w:id="272" w:name="_Toc5912"/>
      <w:r>
        <w:rPr>
          <w:rFonts w:hint="eastAsia" w:ascii="宋体" w:hAnsi="宋体" w:eastAsia="宋体" w:cs="宋体"/>
          <w:color w:val="auto"/>
          <w:spacing w:val="-4"/>
          <w:sz w:val="32"/>
          <w:highlight w:val="none"/>
        </w:rPr>
        <w:t>单位地址：</w:t>
      </w:r>
      <w:bookmarkEnd w:id="272"/>
    </w:p>
    <w:p>
      <w:pPr>
        <w:pStyle w:val="9"/>
        <w:rPr>
          <w:rFonts w:hint="eastAsia" w:ascii="宋体" w:hAnsi="宋体" w:eastAsia="宋体" w:cs="宋体"/>
          <w:color w:val="auto"/>
          <w:sz w:val="34"/>
          <w:highlight w:val="none"/>
        </w:rPr>
      </w:pPr>
    </w:p>
    <w:p>
      <w:pPr>
        <w:tabs>
          <w:tab w:val="left" w:pos="1791"/>
          <w:tab w:val="left" w:pos="3071"/>
          <w:tab w:val="left" w:pos="4352"/>
        </w:tabs>
        <w:spacing w:before="242"/>
        <w:ind w:left="510" w:right="0" w:firstLine="0"/>
        <w:jc w:val="left"/>
        <w:outlineLvl w:val="0"/>
        <w:rPr>
          <w:rFonts w:hint="eastAsia" w:ascii="宋体" w:hAnsi="宋体" w:eastAsia="宋体" w:cs="宋体"/>
          <w:color w:val="auto"/>
          <w:sz w:val="32"/>
          <w:highlight w:val="none"/>
        </w:rPr>
      </w:pPr>
      <w:r>
        <w:rPr>
          <w:rFonts w:hint="eastAsia" w:ascii="宋体" w:hAnsi="宋体" w:eastAsia="宋体" w:cs="宋体"/>
          <w:color w:val="auto"/>
          <w:w w:val="99"/>
          <w:sz w:val="32"/>
          <w:highlight w:val="none"/>
          <w:u w:val="single"/>
        </w:rPr>
        <w:t xml:space="preserve"> </w:t>
      </w:r>
      <w:r>
        <w:rPr>
          <w:rFonts w:hint="eastAsia" w:ascii="宋体" w:hAnsi="宋体" w:eastAsia="宋体" w:cs="宋体"/>
          <w:color w:val="auto"/>
          <w:sz w:val="32"/>
          <w:highlight w:val="none"/>
          <w:u w:val="single"/>
        </w:rPr>
        <w:tab/>
      </w:r>
      <w:bookmarkStart w:id="273" w:name="_Toc5503"/>
      <w:r>
        <w:rPr>
          <w:rFonts w:hint="eastAsia" w:ascii="宋体" w:hAnsi="宋体" w:eastAsia="宋体" w:cs="宋体"/>
          <w:color w:val="auto"/>
          <w:sz w:val="32"/>
          <w:highlight w:val="none"/>
        </w:rPr>
        <w:t>年</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月</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u w:val="single"/>
        </w:rPr>
        <w:tab/>
      </w:r>
      <w:r>
        <w:rPr>
          <w:rFonts w:hint="eastAsia" w:ascii="宋体" w:hAnsi="宋体" w:eastAsia="宋体" w:cs="宋体"/>
          <w:color w:val="auto"/>
          <w:sz w:val="32"/>
          <w:highlight w:val="none"/>
        </w:rPr>
        <w:t>日</w:t>
      </w:r>
      <w:bookmarkEnd w:id="273"/>
    </w:p>
    <w:p>
      <w:pPr>
        <w:rPr>
          <w:rFonts w:hint="eastAsia" w:ascii="宋体" w:hAnsi="宋体" w:eastAsia="宋体" w:cs="宋体"/>
          <w:color w:val="auto"/>
          <w:sz w:val="36"/>
          <w:szCs w:val="36"/>
          <w:highlight w:val="none"/>
          <w14:textOutline w14:w="6537" w14:cap="flat" w14:cmpd="sng">
            <w14:solidFill>
              <w14:srgbClr w14:val="000000"/>
            </w14:solidFill>
            <w14:prstDash w14:val="solid"/>
            <w14:miter w14:val="0"/>
          </w14:textOutli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15"/>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74" w:name="_Toc24771"/>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.1  投标报价书</w:t>
      </w:r>
      <w:bookmarkEnd w:id="274"/>
    </w:p>
    <w:p>
      <w:pPr>
        <w:spacing w:before="98"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合同名称：</w:t>
      </w:r>
    </w:p>
    <w:p>
      <w:pPr>
        <w:spacing w:before="226" w:line="184"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合同编号：</w:t>
      </w:r>
    </w:p>
    <w:p>
      <w:pPr>
        <w:spacing w:before="226" w:line="184" w:lineRule="auto"/>
        <w:ind w:firstLine="48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(招标人名称)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w:t>
      </w:r>
    </w:p>
    <w:p>
      <w:pPr>
        <w:spacing w:before="226" w:line="316" w:lineRule="auto"/>
        <w:ind w:right="76" w:firstLine="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1.我方已仔细研究了竞争性谈判文件(包括补充通知)的全部内容并察勘了现场，</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愿意以人民币</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元(大写)</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元的投标总报价(分项</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报价见已标价的工程量清单)工期</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日历天，按上述竞争性谈判文件规定的条件和要求承包合同规定的全部工作，并承担相关的责任</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工程质量达到</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none"/>
          <w:lang w:eastAsia="zh-CN"/>
        </w:rPr>
        <w:t>。</w:t>
      </w:r>
    </w:p>
    <w:p>
      <w:pPr>
        <w:spacing w:before="224" w:line="316"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2.我方提交的谈判响应文件(包括投标报价书、已标价的工程量清单和其它谈判响</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应文件)在投标截止时间后的</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60 </w:t>
      </w:r>
      <w:r>
        <w:rPr>
          <w:rFonts w:hint="eastAsia" w:ascii="宋体" w:hAnsi="宋体" w:eastAsia="宋体" w:cs="宋体"/>
          <w:color w:val="auto"/>
          <w:spacing w:val="-1"/>
          <w:sz w:val="24"/>
          <w:szCs w:val="24"/>
          <w:highlight w:val="none"/>
        </w:rPr>
        <w:t>天内有效，在此期间被你方接受的上述文件对我方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一直具有约束力。我方保证在谈判响应文件有效期内不撤回谈判响应文件，除竞争性</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谈判文件另有规定外，不修改谈判响应文件。</w:t>
      </w:r>
    </w:p>
    <w:p>
      <w:pPr>
        <w:spacing w:before="227" w:line="184"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3.随同本投标报价书附上投标保函一份，作为我方投标的担保。</w:t>
      </w:r>
    </w:p>
    <w:p>
      <w:pPr>
        <w:spacing w:before="229" w:line="1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4.若我方中标：</w:t>
      </w:r>
    </w:p>
    <w:p>
      <w:pPr>
        <w:spacing w:before="226" w:line="272" w:lineRule="auto"/>
        <w:ind w:firstLine="5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(1)我方保证在收到你方的中标通知书后，按竞争性谈判文件规定的期限，及时派</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代表前去签订合同。</w:t>
      </w:r>
    </w:p>
    <w:p>
      <w:pPr>
        <w:spacing w:before="226" w:line="272" w:lineRule="auto"/>
        <w:ind w:left="25" w:firstLine="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(2)随同本投标报价书提交的投标辅助资料中的任何部分，经你方确认后可作为合</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同文件的组成部分。</w:t>
      </w:r>
    </w:p>
    <w:p>
      <w:pPr>
        <w:spacing w:before="227" w:line="272" w:lineRule="auto"/>
        <w:ind w:left="2" w:firstLine="5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(3)我方保证向你方按时交纳竞争性谈判文件规定的履约保证金，作为我方的履约</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担保。</w:t>
      </w:r>
    </w:p>
    <w:p>
      <w:pPr>
        <w:spacing w:before="226" w:line="272" w:lineRule="auto"/>
        <w:ind w:left="4" w:firstLine="5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(4)我方保证接到开工通知后尽快调遣人员和调配施工设备、材料进入工地进行施</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工准备，并保证在合同规定的期限内完成合同规定的全部工作。</w:t>
      </w:r>
    </w:p>
    <w:p>
      <w:pPr>
        <w:spacing w:before="226" w:line="272" w:lineRule="auto"/>
        <w:ind w:left="25" w:firstLine="498"/>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5.我方完全理解你方不保证投标价最低的投标人中标。</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 (盖单位章)</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法定代表人(或委托代理人)： (签名)</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电传：                 传真：</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地址：</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电话：</w:t>
      </w:r>
    </w:p>
    <w:p>
      <w:pPr>
        <w:spacing w:before="226" w:line="272" w:lineRule="auto"/>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邮政编码：</w:t>
      </w:r>
    </w:p>
    <w:p>
      <w:pPr>
        <w:spacing w:before="226" w:line="272" w:lineRule="auto"/>
        <w:ind w:left="25" w:firstLine="498"/>
        <w:jc w:val="righ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年     月     日</w:t>
      </w:r>
    </w:p>
    <w:p>
      <w:pPr>
        <w:spacing w:before="56" w:line="185" w:lineRule="auto"/>
        <w:ind w:firstLine="3235"/>
        <w:outlineLvl w:val="0"/>
        <w:rPr>
          <w:rFonts w:hint="eastAsia" w:ascii="宋体" w:hAnsi="宋体" w:eastAsia="宋体" w:cs="宋体"/>
          <w:b/>
          <w:snapToGrid w:val="0"/>
          <w:color w:val="auto"/>
          <w:kern w:val="0"/>
          <w:sz w:val="28"/>
          <w:szCs w:val="21"/>
          <w:highlight w:val="none"/>
          <w:lang w:val="en-US" w:eastAsia="zh-CN" w:bidi="zh-CN"/>
        </w:rPr>
      </w:pPr>
      <w:bookmarkStart w:id="275" w:name="_bookmark13"/>
      <w:bookmarkEnd w:id="275"/>
      <w:bookmarkStart w:id="276" w:name="_bookmark12"/>
      <w:bookmarkEnd w:id="276"/>
      <w:bookmarkStart w:id="277" w:name="_Toc2945"/>
    </w:p>
    <w:p>
      <w:pPr>
        <w:spacing w:before="56" w:line="185" w:lineRule="auto"/>
        <w:ind w:firstLine="3235"/>
        <w:outlineLvl w:val="0"/>
        <w:rPr>
          <w:rFonts w:hint="eastAsia" w:ascii="宋体" w:hAnsi="宋体" w:eastAsia="宋体" w:cs="宋体"/>
          <w:color w:val="auto"/>
          <w:sz w:val="28"/>
          <w:szCs w:val="28"/>
          <w:highlight w:val="none"/>
        </w:rPr>
      </w:pPr>
      <w:r>
        <w:rPr>
          <w:rFonts w:hint="eastAsia" w:ascii="宋体" w:hAnsi="宋体" w:eastAsia="宋体" w:cs="宋体"/>
          <w:b/>
          <w:snapToGrid w:val="0"/>
          <w:color w:val="auto"/>
          <w:kern w:val="0"/>
          <w:sz w:val="28"/>
          <w:szCs w:val="21"/>
          <w:highlight w:val="none"/>
          <w:lang w:val="en-US" w:eastAsia="zh-CN" w:bidi="zh-CN"/>
        </w:rPr>
        <w:t>9</w:t>
      </w:r>
      <w:r>
        <w:rPr>
          <w:rFonts w:hint="eastAsia" w:ascii="宋体" w:hAnsi="宋体" w:eastAsia="宋体" w:cs="宋体"/>
          <w:b/>
          <w:snapToGrid w:val="0"/>
          <w:color w:val="auto"/>
          <w:kern w:val="0"/>
          <w:sz w:val="28"/>
          <w:szCs w:val="21"/>
          <w:highlight w:val="none"/>
          <w:lang w:val="zh-CN" w:eastAsia="zh-CN" w:bidi="zh-CN"/>
        </w:rPr>
        <w:t>.2 投标保证金</w:t>
      </w:r>
      <w:bookmarkEnd w:id="277"/>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before="69" w:line="184" w:lineRule="auto"/>
        <w:ind w:firstLine="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51"/>
          <w:sz w:val="21"/>
          <w:szCs w:val="21"/>
          <w:highlight w:val="none"/>
          <w:lang w:eastAsia="zh-CN"/>
        </w:rPr>
        <w:t>保证金收据、</w:t>
      </w:r>
      <w:r>
        <w:rPr>
          <w:rFonts w:hint="eastAsia" w:ascii="宋体" w:hAnsi="宋体" w:eastAsia="宋体" w:cs="宋体"/>
          <w:color w:val="auto"/>
          <w:spacing w:val="-7"/>
          <w:sz w:val="21"/>
          <w:szCs w:val="21"/>
          <w:highlight w:val="none"/>
        </w:rPr>
        <w:t>汇款回单凭证、开户许可证或者银行出具的开户证明。</w:t>
      </w: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bookmarkStart w:id="278" w:name="_bookmark14"/>
      <w:bookmarkEnd w:id="278"/>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79" w:name="_Toc1496"/>
      <w:r>
        <w:rPr>
          <w:rFonts w:hint="eastAsia" w:ascii="宋体" w:hAnsi="宋体" w:eastAsia="宋体" w:cs="宋体"/>
          <w:b/>
          <w:color w:val="auto"/>
          <w:sz w:val="28"/>
          <w:highlight w:val="none"/>
          <w:lang w:val="en-US" w:eastAsia="zh-CN"/>
        </w:rPr>
        <w:t xml:space="preserve">9.3 </w:t>
      </w:r>
      <w:r>
        <w:rPr>
          <w:rFonts w:hint="eastAsia" w:ascii="宋体" w:hAnsi="宋体" w:eastAsia="宋体" w:cs="宋体"/>
          <w:b/>
          <w:color w:val="auto"/>
          <w:sz w:val="28"/>
          <w:highlight w:val="none"/>
        </w:rPr>
        <w:t>法定代表人身份证明</w:t>
      </w:r>
      <w:bookmarkEnd w:id="279"/>
    </w:p>
    <w:p>
      <w:pPr>
        <w:pStyle w:val="9"/>
        <w:rPr>
          <w:rFonts w:hint="eastAsia" w:ascii="宋体" w:hAnsi="宋体" w:eastAsia="宋体" w:cs="宋体"/>
          <w:b/>
          <w:color w:val="auto"/>
          <w:sz w:val="20"/>
          <w:highlight w:val="none"/>
        </w:rPr>
      </w:pPr>
    </w:p>
    <w:p>
      <w:pPr>
        <w:pStyle w:val="9"/>
        <w:rPr>
          <w:rFonts w:hint="eastAsia" w:ascii="宋体" w:hAnsi="宋体" w:eastAsia="宋体" w:cs="宋体"/>
          <w:b/>
          <w:color w:val="auto"/>
          <w:sz w:val="20"/>
          <w:highlight w:val="none"/>
        </w:rPr>
      </w:pPr>
    </w:p>
    <w:p>
      <w:pPr>
        <w:spacing w:before="218"/>
        <w:ind w:left="0" w:right="101"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法定代表人身份证明（格式）</w:t>
      </w:r>
    </w:p>
    <w:p>
      <w:pPr>
        <w:pStyle w:val="9"/>
        <w:rPr>
          <w:rFonts w:hint="eastAsia" w:ascii="宋体" w:hAnsi="宋体" w:eastAsia="宋体" w:cs="宋体"/>
          <w:b/>
          <w:color w:val="auto"/>
          <w:sz w:val="20"/>
          <w:highlight w:val="none"/>
        </w:rPr>
      </w:pPr>
    </w:p>
    <w:p>
      <w:pPr>
        <w:pStyle w:val="9"/>
        <w:spacing w:before="10"/>
        <w:rPr>
          <w:rFonts w:hint="eastAsia" w:ascii="宋体" w:hAnsi="宋体" w:eastAsia="宋体" w:cs="宋体"/>
          <w:b/>
          <w:color w:val="auto"/>
          <w:sz w:val="25"/>
          <w:highlight w:val="none"/>
        </w:rPr>
      </w:pPr>
    </w:p>
    <w:p>
      <w:pPr>
        <w:pStyle w:val="6"/>
        <w:spacing w:before="67"/>
        <w:rPr>
          <w:rFonts w:hint="eastAsia" w:ascii="宋体" w:hAnsi="宋体" w:eastAsia="宋体" w:cs="宋体"/>
          <w:color w:val="auto"/>
          <w:highlight w:val="none"/>
        </w:rPr>
      </w:pPr>
      <w:r>
        <w:rPr>
          <w:rFonts w:hint="eastAsia" w:ascii="宋体" w:hAnsi="宋体" w:eastAsia="宋体" w:cs="宋体"/>
          <w:color w:val="auto"/>
          <w:highlight w:val="none"/>
        </w:rPr>
        <w:t>投标人名称：</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单位性质：</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地址：</w:t>
      </w:r>
    </w:p>
    <w:p>
      <w:pPr>
        <w:pStyle w:val="9"/>
        <w:rPr>
          <w:rFonts w:hint="eastAsia" w:ascii="宋体" w:hAnsi="宋体" w:eastAsia="宋体" w:cs="宋体"/>
          <w:color w:val="auto"/>
          <w:sz w:val="24"/>
          <w:highlight w:val="none"/>
        </w:rPr>
      </w:pPr>
    </w:p>
    <w:p>
      <w:pPr>
        <w:pStyle w:val="9"/>
        <w:spacing w:before="1"/>
        <w:rPr>
          <w:rFonts w:hint="eastAsia" w:ascii="宋体" w:hAnsi="宋体" w:eastAsia="宋体" w:cs="宋体"/>
          <w:color w:val="auto"/>
          <w:sz w:val="25"/>
          <w:highlight w:val="none"/>
        </w:rPr>
      </w:pPr>
    </w:p>
    <w:p>
      <w:pPr>
        <w:pStyle w:val="6"/>
        <w:tabs>
          <w:tab w:val="left" w:pos="2517"/>
          <w:tab w:val="left" w:pos="3598"/>
          <w:tab w:val="left" w:pos="4798"/>
        </w:tabs>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9"/>
        <w:rPr>
          <w:rFonts w:hint="eastAsia" w:ascii="宋体" w:hAnsi="宋体" w:eastAsia="宋体" w:cs="宋体"/>
          <w:color w:val="auto"/>
          <w:sz w:val="26"/>
          <w:highlight w:val="none"/>
        </w:rPr>
      </w:pPr>
    </w:p>
    <w:p>
      <w:pPr>
        <w:pStyle w:val="9"/>
        <w:spacing w:before="11"/>
        <w:rPr>
          <w:rFonts w:hint="eastAsia" w:ascii="宋体" w:hAnsi="宋体" w:eastAsia="宋体" w:cs="宋体"/>
          <w:color w:val="auto"/>
          <w:sz w:val="22"/>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经营期限：</w:t>
      </w:r>
    </w:p>
    <w:p>
      <w:pPr>
        <w:pStyle w:val="9"/>
        <w:rPr>
          <w:rFonts w:hint="eastAsia" w:ascii="宋体" w:hAnsi="宋体" w:eastAsia="宋体" w:cs="宋体"/>
          <w:color w:val="auto"/>
          <w:sz w:val="24"/>
          <w:highlight w:val="none"/>
        </w:rPr>
      </w:pPr>
    </w:p>
    <w:p>
      <w:pPr>
        <w:pStyle w:val="9"/>
        <w:spacing w:before="12"/>
        <w:rPr>
          <w:rFonts w:hint="eastAsia" w:ascii="宋体" w:hAnsi="宋体" w:eastAsia="宋体" w:cs="宋体"/>
          <w:color w:val="auto"/>
          <w:sz w:val="24"/>
          <w:highlight w:val="none"/>
        </w:rPr>
      </w:pPr>
    </w:p>
    <w:p>
      <w:pPr>
        <w:pStyle w:val="6"/>
        <w:tabs>
          <w:tab w:val="left" w:pos="2157"/>
          <w:tab w:val="left" w:pos="3598"/>
          <w:tab w:val="left" w:pos="4918"/>
        </w:tabs>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身份证号：</w:t>
      </w:r>
    </w:p>
    <w:p>
      <w:pPr>
        <w:pStyle w:val="9"/>
        <w:rPr>
          <w:rFonts w:hint="eastAsia" w:ascii="宋体" w:hAnsi="宋体" w:eastAsia="宋体" w:cs="宋体"/>
          <w:color w:val="auto"/>
          <w:sz w:val="26"/>
          <w:highlight w:val="none"/>
        </w:rPr>
      </w:pPr>
    </w:p>
    <w:p>
      <w:pPr>
        <w:pStyle w:val="9"/>
        <w:spacing w:before="11"/>
        <w:rPr>
          <w:rFonts w:hint="eastAsia" w:ascii="宋体" w:hAnsi="宋体" w:eastAsia="宋体" w:cs="宋体"/>
          <w:color w:val="auto"/>
          <w:sz w:val="22"/>
          <w:highlight w:val="none"/>
        </w:rPr>
      </w:pPr>
    </w:p>
    <w:p>
      <w:pPr>
        <w:pStyle w:val="6"/>
        <w:tabs>
          <w:tab w:val="left" w:pos="3238"/>
          <w:tab w:val="left" w:pos="6478"/>
        </w:tabs>
        <w:rPr>
          <w:rFonts w:hint="eastAsia" w:ascii="宋体" w:hAnsi="宋体" w:eastAsia="宋体" w:cs="宋体"/>
          <w:color w:val="auto"/>
          <w:highlight w:val="non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w:t>
      </w:r>
    </w:p>
    <w:p>
      <w:pPr>
        <w:pStyle w:val="9"/>
        <w:rPr>
          <w:rFonts w:hint="eastAsia" w:ascii="宋体" w:hAnsi="宋体" w:eastAsia="宋体" w:cs="宋体"/>
          <w:color w:val="auto"/>
          <w:sz w:val="26"/>
          <w:highlight w:val="none"/>
        </w:rPr>
      </w:pPr>
    </w:p>
    <w:p>
      <w:pPr>
        <w:pStyle w:val="9"/>
        <w:rPr>
          <w:rFonts w:hint="eastAsia" w:ascii="宋体" w:hAnsi="宋体" w:eastAsia="宋体" w:cs="宋体"/>
          <w:color w:val="auto"/>
          <w:sz w:val="26"/>
          <w:highlight w:val="none"/>
        </w:rPr>
      </w:pPr>
    </w:p>
    <w:p>
      <w:pPr>
        <w:pStyle w:val="9"/>
        <w:spacing w:before="2"/>
        <w:rPr>
          <w:rFonts w:hint="eastAsia" w:ascii="宋体" w:hAnsi="宋体" w:eastAsia="宋体" w:cs="宋体"/>
          <w:color w:val="auto"/>
          <w:sz w:val="33"/>
          <w:highlight w:val="none"/>
        </w:rPr>
      </w:pPr>
    </w:p>
    <w:p>
      <w:pPr>
        <w:pStyle w:val="6"/>
        <w:ind w:left="662"/>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pStyle w:val="9"/>
        <w:rPr>
          <w:rFonts w:hint="eastAsia" w:ascii="宋体" w:hAnsi="宋体" w:eastAsia="宋体" w:cs="宋体"/>
          <w:color w:val="auto"/>
          <w:sz w:val="24"/>
          <w:highlight w:val="none"/>
        </w:rPr>
      </w:pPr>
    </w:p>
    <w:p>
      <w:pPr>
        <w:pStyle w:val="9"/>
        <w:spacing w:before="12"/>
        <w:rPr>
          <w:rFonts w:hint="eastAsia" w:ascii="宋体" w:hAnsi="宋体" w:eastAsia="宋体" w:cs="宋体"/>
          <w:color w:val="auto"/>
          <w:sz w:val="24"/>
          <w:highlight w:val="none"/>
        </w:rPr>
      </w:pPr>
    </w:p>
    <w:p>
      <w:pPr>
        <w:pStyle w:val="6"/>
        <w:tabs>
          <w:tab w:val="left" w:pos="8418"/>
        </w:tabs>
        <w:ind w:left="3922"/>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（盖单位章）</w:t>
      </w:r>
    </w:p>
    <w:p>
      <w:pPr>
        <w:pStyle w:val="9"/>
        <w:rPr>
          <w:rFonts w:hint="eastAsia" w:ascii="宋体" w:hAnsi="宋体" w:eastAsia="宋体" w:cs="宋体"/>
          <w:color w:val="auto"/>
          <w:sz w:val="20"/>
          <w:highlight w:val="none"/>
        </w:rPr>
      </w:pPr>
    </w:p>
    <w:p>
      <w:pPr>
        <w:pStyle w:val="9"/>
        <w:spacing w:before="1"/>
        <w:rPr>
          <w:rFonts w:hint="eastAsia" w:ascii="宋体" w:hAnsi="宋体" w:eastAsia="宋体" w:cs="宋体"/>
          <w:color w:val="auto"/>
          <w:sz w:val="23"/>
          <w:highlight w:val="none"/>
        </w:rPr>
      </w:pPr>
    </w:p>
    <w:p>
      <w:pPr>
        <w:pStyle w:val="6"/>
        <w:tabs>
          <w:tab w:val="left" w:pos="7643"/>
          <w:tab w:val="left" w:pos="8538"/>
          <w:tab w:val="left" w:pos="9683"/>
        </w:tabs>
        <w:spacing w:before="74"/>
        <w:ind w:left="6443"/>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rPr>
          <w:rFonts w:hint="eastAsia" w:ascii="宋体" w:hAnsi="宋体" w:eastAsia="宋体" w:cs="宋体"/>
          <w:color w:val="auto"/>
          <w:sz w:val="20"/>
          <w:highlight w:val="none"/>
        </w:rPr>
      </w:pPr>
    </w:p>
    <w:p>
      <w:pPr>
        <w:pStyle w:val="9"/>
        <w:spacing w:before="11"/>
        <w:rPr>
          <w:rFonts w:hint="eastAsia" w:ascii="宋体" w:hAnsi="宋体" w:eastAsia="宋体" w:cs="宋体"/>
          <w:color w:val="auto"/>
          <w:sz w:val="27"/>
          <w:highlight w:val="none"/>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left"/>
        <w:rPr>
          <w:rFonts w:hint="eastAsia" w:ascii="宋体" w:hAnsi="宋体" w:eastAsia="宋体" w:cs="宋体"/>
          <w:b/>
          <w:color w:val="auto"/>
          <w:sz w:val="28"/>
          <w:highlight w:val="none"/>
          <w:lang w:val="en-US" w:eastAsia="zh-CN"/>
        </w:rPr>
      </w:pPr>
    </w:p>
    <w:p>
      <w:pPr>
        <w:pStyle w:val="18"/>
        <w:numPr>
          <w:ilvl w:val="0"/>
          <w:numId w:val="0"/>
        </w:numPr>
        <w:tabs>
          <w:tab w:val="left" w:pos="678"/>
        </w:tabs>
        <w:spacing w:before="61" w:after="0" w:line="240" w:lineRule="auto"/>
        <w:ind w:leftChars="0" w:right="0" w:rightChars="0"/>
        <w:jc w:val="center"/>
        <w:outlineLvl w:val="0"/>
        <w:rPr>
          <w:rFonts w:hint="eastAsia" w:ascii="宋体" w:hAnsi="宋体" w:eastAsia="宋体" w:cs="宋体"/>
          <w:b/>
          <w:color w:val="auto"/>
          <w:sz w:val="32"/>
          <w:highlight w:val="none"/>
        </w:rPr>
      </w:pPr>
      <w:bookmarkStart w:id="280" w:name="_Toc1678"/>
      <w:r>
        <w:rPr>
          <w:rFonts w:hint="eastAsia" w:ascii="宋体" w:hAnsi="宋体" w:eastAsia="宋体" w:cs="宋体"/>
          <w:b/>
          <w:color w:val="auto"/>
          <w:sz w:val="28"/>
          <w:highlight w:val="none"/>
          <w:lang w:val="en-US" w:eastAsia="zh-CN"/>
        </w:rPr>
        <w:t xml:space="preserve">9.4 </w:t>
      </w:r>
      <w:r>
        <w:rPr>
          <w:rFonts w:hint="eastAsia" w:ascii="宋体" w:hAnsi="宋体" w:eastAsia="宋体" w:cs="宋体"/>
          <w:b/>
          <w:color w:val="auto"/>
          <w:sz w:val="28"/>
          <w:highlight w:val="none"/>
        </w:rPr>
        <w:t>法人授权委托</w:t>
      </w:r>
      <w:bookmarkEnd w:id="280"/>
    </w:p>
    <w:p>
      <w:pPr>
        <w:pStyle w:val="18"/>
        <w:numPr>
          <w:ilvl w:val="0"/>
          <w:numId w:val="0"/>
        </w:numPr>
        <w:tabs>
          <w:tab w:val="left" w:pos="678"/>
        </w:tabs>
        <w:spacing w:before="61" w:after="0" w:line="240" w:lineRule="auto"/>
        <w:ind w:left="181" w:leftChars="0" w:right="0" w:rightChars="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w:t>
      </w:r>
    </w:p>
    <w:p>
      <w:pPr>
        <w:pStyle w:val="9"/>
        <w:spacing w:before="5"/>
        <w:rPr>
          <w:rFonts w:hint="eastAsia" w:ascii="宋体" w:hAnsi="宋体" w:eastAsia="宋体" w:cs="宋体"/>
          <w:b/>
          <w:color w:val="auto"/>
          <w:sz w:val="11"/>
          <w:highlight w:val="none"/>
        </w:rPr>
      </w:pPr>
    </w:p>
    <w:p>
      <w:pPr>
        <w:spacing w:before="67"/>
        <w:ind w:left="182" w:right="0" w:firstLine="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新疆布尔根河狸国家级自然保护区管理局</w:t>
      </w:r>
      <w:r>
        <w:rPr>
          <w:rFonts w:hint="eastAsia" w:ascii="宋体" w:hAnsi="宋体" w:eastAsia="宋体" w:cs="宋体"/>
          <w:color w:val="auto"/>
          <w:sz w:val="24"/>
          <w:highlight w:val="none"/>
        </w:rPr>
        <w:t>：</w:t>
      </w:r>
    </w:p>
    <w:p>
      <w:pPr>
        <w:pStyle w:val="9"/>
        <w:spacing w:before="10"/>
        <w:rPr>
          <w:rFonts w:hint="eastAsia" w:ascii="宋体" w:hAnsi="宋体" w:eastAsia="宋体" w:cs="宋体"/>
          <w:color w:val="auto"/>
          <w:sz w:val="24"/>
          <w:highlight w:val="none"/>
        </w:rPr>
      </w:pPr>
    </w:p>
    <w:p>
      <w:pPr>
        <w:tabs>
          <w:tab w:val="left" w:pos="2462"/>
          <w:tab w:val="left" w:pos="6253"/>
        </w:tabs>
        <w:spacing w:before="1" w:line="364" w:lineRule="auto"/>
        <w:ind w:left="182" w:right="278"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兹委托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(被委托人姓名</w:t>
      </w:r>
      <w:r>
        <w:rPr>
          <w:rFonts w:hint="eastAsia" w:ascii="宋体" w:hAnsi="宋体" w:eastAsia="宋体" w:cs="宋体"/>
          <w:color w:val="auto"/>
          <w:spacing w:val="-51"/>
          <w:sz w:val="24"/>
          <w:highlight w:val="none"/>
        </w:rPr>
        <w:t>、</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(居民身份证编号：</w:t>
      </w:r>
      <w:r>
        <w:rPr>
          <w:rFonts w:hint="eastAsia" w:ascii="宋体" w:hAnsi="宋体" w:eastAsia="宋体" w:cs="宋体"/>
          <w:color w:val="auto"/>
          <w:spacing w:val="-50"/>
          <w:sz w:val="24"/>
          <w:highlight w:val="none"/>
        </w:rPr>
        <w:t xml:space="preserve"> </w:t>
      </w:r>
      <w:r>
        <w:rPr>
          <w:rFonts w:hint="eastAsia" w:ascii="宋体" w:hAnsi="宋体" w:eastAsia="宋体" w:cs="宋体"/>
          <w:color w:val="auto"/>
          <w:sz w:val="24"/>
          <w:highlight w:val="none"/>
        </w:rPr>
        <w:t>)为我单位的</w:t>
      </w:r>
      <w:r>
        <w:rPr>
          <w:rFonts w:hint="eastAsia" w:ascii="宋体" w:hAnsi="宋体" w:eastAsia="宋体" w:cs="宋体"/>
          <w:color w:val="auto"/>
          <w:spacing w:val="-15"/>
          <w:sz w:val="24"/>
          <w:highlight w:val="none"/>
        </w:rPr>
        <w:t>委</w:t>
      </w:r>
      <w:r>
        <w:rPr>
          <w:rFonts w:hint="eastAsia" w:ascii="宋体" w:hAnsi="宋体" w:eastAsia="宋体" w:cs="宋体"/>
          <w:color w:val="auto"/>
          <w:sz w:val="24"/>
          <w:highlight w:val="none"/>
        </w:rPr>
        <w:t>托代理人</w:t>
      </w:r>
      <w:r>
        <w:rPr>
          <w:rFonts w:hint="eastAsia" w:ascii="宋体" w:hAnsi="宋体" w:eastAsia="宋体" w:cs="宋体"/>
          <w:color w:val="auto"/>
          <w:spacing w:val="-8"/>
          <w:sz w:val="24"/>
          <w:highlight w:val="none"/>
        </w:rPr>
        <w:t>，</w:t>
      </w:r>
      <w:r>
        <w:rPr>
          <w:rFonts w:hint="eastAsia" w:ascii="宋体" w:hAnsi="宋体" w:eastAsia="宋体" w:cs="宋体"/>
          <w:color w:val="auto"/>
          <w:sz w:val="24"/>
          <w:highlight w:val="none"/>
        </w:rPr>
        <w:t>代表我单位</w:t>
      </w:r>
      <w:r>
        <w:rPr>
          <w:rFonts w:hint="eastAsia" w:ascii="宋体" w:hAnsi="宋体" w:eastAsia="宋体" w:cs="宋体"/>
          <w:b/>
          <w:bCs/>
          <w:color w:val="auto"/>
          <w:sz w:val="24"/>
          <w:highlight w:val="none"/>
          <w:u w:val="single"/>
          <w:lang w:eastAsia="zh-CN"/>
        </w:rPr>
        <w:t>新疆布尔根河狸国家级自然保护区一期河狸栖息地水位保障透水闸项目</w:t>
      </w:r>
      <w:r>
        <w:rPr>
          <w:rFonts w:hint="eastAsia" w:ascii="宋体" w:hAnsi="宋体" w:eastAsia="宋体" w:cs="宋体"/>
          <w:color w:val="auto"/>
          <w:sz w:val="24"/>
          <w:highlight w:val="none"/>
        </w:rPr>
        <w:t>（合</w:t>
      </w:r>
      <w:r>
        <w:rPr>
          <w:rFonts w:hint="eastAsia" w:ascii="宋体" w:hAnsi="宋体" w:eastAsia="宋体" w:cs="宋体"/>
          <w:color w:val="auto"/>
          <w:spacing w:val="-3"/>
          <w:sz w:val="24"/>
          <w:highlight w:val="none"/>
        </w:rPr>
        <w:t>同</w:t>
      </w:r>
      <w:r>
        <w:rPr>
          <w:rFonts w:hint="eastAsia" w:ascii="宋体" w:hAnsi="宋体" w:eastAsia="宋体" w:cs="宋体"/>
          <w:color w:val="auto"/>
          <w:sz w:val="24"/>
          <w:highlight w:val="none"/>
        </w:rPr>
        <w:t>编号：)签署</w:t>
      </w:r>
      <w:r>
        <w:rPr>
          <w:rFonts w:hint="eastAsia" w:ascii="宋体" w:hAnsi="宋体" w:eastAsia="宋体" w:cs="宋体"/>
          <w:color w:val="auto"/>
          <w:spacing w:val="-3"/>
          <w:sz w:val="24"/>
          <w:highlight w:val="none"/>
        </w:rPr>
        <w:t>投</w:t>
      </w:r>
      <w:r>
        <w:rPr>
          <w:rFonts w:hint="eastAsia" w:ascii="宋体" w:hAnsi="宋体" w:eastAsia="宋体" w:cs="宋体"/>
          <w:color w:val="auto"/>
          <w:sz w:val="24"/>
          <w:highlight w:val="none"/>
        </w:rPr>
        <w:t>标文件、进行谈判、签订合同和处理与之有关的一切事务，其签名真迹如本授权委托书末尾所示，特此证明。</w:t>
      </w:r>
    </w:p>
    <w:p>
      <w:pPr>
        <w:pStyle w:val="6"/>
        <w:spacing w:line="306" w:lineRule="exact"/>
        <w:ind w:left="662"/>
        <w:rPr>
          <w:rFonts w:hint="eastAsia" w:ascii="宋体" w:hAnsi="宋体" w:eastAsia="宋体" w:cs="宋体"/>
          <w:color w:val="auto"/>
          <w:highlight w:val="none"/>
        </w:rPr>
      </w:pPr>
      <w:r>
        <w:rPr>
          <w:rFonts w:hint="eastAsia" w:ascii="宋体" w:hAnsi="宋体" w:eastAsia="宋体" w:cs="宋体"/>
          <w:color w:val="auto"/>
          <w:highlight w:val="none"/>
        </w:rPr>
        <w:t>附：法定代表人身份证明</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tabs>
          <w:tab w:val="left" w:pos="5823"/>
        </w:tabs>
        <w:ind w:left="782"/>
        <w:rPr>
          <w:rFonts w:hint="eastAsia" w:ascii="宋体" w:hAnsi="宋体" w:eastAsia="宋体" w:cs="宋体"/>
          <w:color w:val="auto"/>
          <w:highlight w:val="none"/>
        </w:rPr>
      </w:pPr>
      <w:r>
        <w:rPr>
          <w:rFonts w:hint="eastAsia" w:ascii="宋体" w:hAnsi="宋体" w:eastAsia="宋体" w:cs="宋体"/>
          <w:color w:val="auto"/>
          <w:highlight w:val="none"/>
        </w:rPr>
        <w:t>法定代表人身份证</w:t>
      </w:r>
      <w:r>
        <w:rPr>
          <w:rFonts w:hint="eastAsia" w:ascii="宋体" w:hAnsi="宋体" w:eastAsia="宋体" w:cs="宋体"/>
          <w:color w:val="auto"/>
          <w:highlight w:val="none"/>
        </w:rPr>
        <w:tab/>
      </w:r>
      <w:r>
        <w:rPr>
          <w:rFonts w:hint="eastAsia" w:ascii="宋体" w:hAnsi="宋体" w:eastAsia="宋体" w:cs="宋体"/>
          <w:color w:val="auto"/>
          <w:highlight w:val="none"/>
        </w:rPr>
        <w:t>授权委托人身份证</w:t>
      </w:r>
    </w:p>
    <w:p>
      <w:pPr>
        <w:pStyle w:val="9"/>
        <w:rPr>
          <w:rFonts w:hint="eastAsia" w:ascii="宋体" w:hAnsi="宋体" w:eastAsia="宋体" w:cs="宋体"/>
          <w:color w:val="auto"/>
          <w:sz w:val="24"/>
          <w:highlight w:val="none"/>
        </w:rPr>
      </w:pPr>
    </w:p>
    <w:p>
      <w:pPr>
        <w:pStyle w:val="9"/>
        <w:spacing w:before="11"/>
        <w:rPr>
          <w:rFonts w:hint="eastAsia" w:ascii="宋体" w:hAnsi="宋体" w:eastAsia="宋体" w:cs="宋体"/>
          <w:color w:val="auto"/>
          <w:sz w:val="24"/>
          <w:highlight w:val="none"/>
        </w:rPr>
      </w:pPr>
    </w:p>
    <w:p>
      <w:pPr>
        <w:pStyle w:val="6"/>
        <w:tabs>
          <w:tab w:val="left" w:pos="5823"/>
        </w:tabs>
        <w:ind w:left="662"/>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A 面）</w:t>
      </w:r>
      <w:r>
        <w:rPr>
          <w:rFonts w:hint="eastAsia" w:ascii="宋体" w:hAnsi="宋体" w:eastAsia="宋体" w:cs="宋体"/>
          <w:color w:val="auto"/>
          <w:highlight w:val="none"/>
        </w:rPr>
        <w:tab/>
      </w:r>
      <w:r>
        <w:rPr>
          <w:rFonts w:hint="eastAsia" w:ascii="宋体" w:hAnsi="宋体" w:eastAsia="宋体" w:cs="宋体"/>
          <w:color w:val="auto"/>
          <w:highlight w:val="none"/>
        </w:rPr>
        <w:t>（身份证 A 面）</w:t>
      </w: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6"/>
        <w:tabs>
          <w:tab w:val="left" w:pos="5943"/>
        </w:tabs>
        <w:spacing w:before="169"/>
        <w:ind w:left="662"/>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B 面）</w:t>
      </w:r>
      <w:r>
        <w:rPr>
          <w:rFonts w:hint="eastAsia" w:ascii="宋体" w:hAnsi="宋体" w:eastAsia="宋体" w:cs="宋体"/>
          <w:color w:val="auto"/>
          <w:highlight w:val="none"/>
        </w:rPr>
        <w:tab/>
      </w:r>
      <w:r>
        <w:rPr>
          <w:rFonts w:hint="eastAsia" w:ascii="宋体" w:hAnsi="宋体" w:eastAsia="宋体" w:cs="宋体"/>
          <w:color w:val="auto"/>
          <w:highlight w:val="none"/>
        </w:rPr>
        <w:t>（身份证 B 面）</w:t>
      </w: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9"/>
        <w:rPr>
          <w:rFonts w:hint="eastAsia" w:ascii="宋体" w:hAnsi="宋体" w:eastAsia="宋体" w:cs="宋体"/>
          <w:color w:val="auto"/>
          <w:sz w:val="24"/>
          <w:highlight w:val="none"/>
        </w:rPr>
      </w:pPr>
    </w:p>
    <w:p>
      <w:pPr>
        <w:pStyle w:val="6"/>
        <w:spacing w:before="172"/>
        <w:ind w:right="101"/>
        <w:jc w:val="center"/>
        <w:rPr>
          <w:rFonts w:hint="eastAsia" w:ascii="宋体" w:hAnsi="宋体" w:eastAsia="宋体" w:cs="宋体"/>
          <w:color w:val="auto"/>
          <w:highlight w:val="none"/>
        </w:rPr>
      </w:pPr>
      <w:r>
        <w:rPr>
          <w:rFonts w:hint="eastAsia" w:ascii="宋体" w:hAnsi="宋体" w:eastAsia="宋体" w:cs="宋体"/>
          <w:color w:val="auto"/>
          <w:highlight w:val="none"/>
        </w:rPr>
        <w:t>授权委托单位： (盖单位章)</w:t>
      </w:r>
    </w:p>
    <w:p>
      <w:pPr>
        <w:pStyle w:val="9"/>
        <w:jc w:val="right"/>
        <w:rPr>
          <w:rFonts w:hint="eastAsia" w:ascii="宋体" w:hAnsi="宋体" w:eastAsia="宋体" w:cs="宋体"/>
          <w:color w:val="auto"/>
          <w:sz w:val="24"/>
          <w:highlight w:val="none"/>
        </w:rPr>
      </w:pPr>
    </w:p>
    <w:p>
      <w:pPr>
        <w:pStyle w:val="9"/>
        <w:spacing w:before="11"/>
        <w:jc w:val="right"/>
        <w:rPr>
          <w:rFonts w:hint="eastAsia" w:ascii="宋体" w:hAnsi="宋体" w:eastAsia="宋体" w:cs="宋体"/>
          <w:color w:val="auto"/>
          <w:sz w:val="24"/>
          <w:highlight w:val="none"/>
        </w:rPr>
      </w:pPr>
    </w:p>
    <w:p>
      <w:pPr>
        <w:pStyle w:val="6"/>
        <w:ind w:right="101"/>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 名)</w:t>
      </w:r>
    </w:p>
    <w:p>
      <w:pPr>
        <w:pStyle w:val="9"/>
        <w:jc w:val="right"/>
        <w:rPr>
          <w:rFonts w:hint="eastAsia" w:ascii="宋体" w:hAnsi="宋体" w:eastAsia="宋体" w:cs="宋体"/>
          <w:color w:val="auto"/>
          <w:sz w:val="24"/>
          <w:highlight w:val="none"/>
        </w:rPr>
      </w:pPr>
    </w:p>
    <w:p>
      <w:pPr>
        <w:pStyle w:val="9"/>
        <w:spacing w:before="11"/>
        <w:jc w:val="right"/>
        <w:rPr>
          <w:rFonts w:hint="eastAsia" w:ascii="宋体" w:hAnsi="宋体" w:eastAsia="宋体" w:cs="宋体"/>
          <w:color w:val="auto"/>
          <w:sz w:val="24"/>
          <w:highlight w:val="none"/>
        </w:rPr>
      </w:pPr>
    </w:p>
    <w:p>
      <w:pPr>
        <w:pStyle w:val="6"/>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 名)</w:t>
      </w:r>
    </w:p>
    <w:p>
      <w:pPr>
        <w:pStyle w:val="9"/>
        <w:rPr>
          <w:rFonts w:hint="eastAsia" w:ascii="宋体" w:hAnsi="宋体" w:eastAsia="宋体" w:cs="宋体"/>
          <w:color w:val="auto"/>
          <w:sz w:val="24"/>
          <w:highlight w:val="none"/>
        </w:rPr>
      </w:pPr>
    </w:p>
    <w:p>
      <w:pPr>
        <w:rPr>
          <w:rFonts w:hint="eastAsia" w:ascii="宋体" w:hAnsi="宋体" w:eastAsia="宋体" w:cs="宋体"/>
          <w:color w:val="auto"/>
          <w:spacing w:val="-3"/>
          <w:sz w:val="28"/>
          <w:szCs w:val="28"/>
          <w:highlight w:val="none"/>
          <w14:textOutline w14:w="5103" w14:cap="flat" w14:cmpd="sng">
            <w14:solidFill>
              <w14:srgbClr w14:val="000000"/>
            </w14:solidFill>
            <w14:prstDash w14:val="solid"/>
            <w14:miter w14:val="0"/>
          </w14:textOutline>
        </w:rPr>
      </w:pPr>
      <w:r>
        <w:rPr>
          <w:rFonts w:hint="eastAsia" w:ascii="宋体" w:hAnsi="宋体" w:eastAsia="宋体" w:cs="宋体"/>
          <w:color w:val="auto"/>
          <w:spacing w:val="-3"/>
          <w:sz w:val="28"/>
          <w:szCs w:val="28"/>
          <w:highlight w:val="none"/>
          <w14:textOutline w14:w="5103" w14:cap="flat" w14:cmpd="sng">
            <w14:solidFill>
              <w14:srgbClr w14:val="000000"/>
            </w14:solidFill>
            <w14:prstDash w14:val="solid"/>
            <w14:miter w14:val="0"/>
          </w14:textOutline>
        </w:rPr>
        <w:br w:type="page"/>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281" w:name="_Toc22246"/>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5</w:t>
      </w:r>
      <w:r>
        <w:rPr>
          <w:rFonts w:hint="eastAsia" w:ascii="宋体" w:hAnsi="宋体" w:eastAsia="宋体" w:cs="宋体"/>
          <w:b/>
          <w:color w:val="auto"/>
          <w:sz w:val="28"/>
          <w:highlight w:val="none"/>
        </w:rPr>
        <w:t xml:space="preserve"> 工程量清单格式</w:t>
      </w:r>
      <w:bookmarkEnd w:id="281"/>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143" w:line="184" w:lineRule="auto"/>
        <w:ind w:firstLine="3307"/>
        <w:rPr>
          <w:rFonts w:hint="eastAsia" w:ascii="宋体" w:hAnsi="宋体" w:eastAsia="宋体" w:cs="宋体"/>
          <w:color w:val="auto"/>
          <w:sz w:val="44"/>
          <w:szCs w:val="44"/>
          <w:highlight w:val="none"/>
        </w:rPr>
      </w:pPr>
      <w:r>
        <w:rPr>
          <w:rFonts w:hint="eastAsia" w:ascii="宋体" w:hAnsi="宋体" w:eastAsia="宋体" w:cs="宋体"/>
          <w:color w:val="auto"/>
          <w:spacing w:val="-6"/>
          <w:sz w:val="44"/>
          <w:szCs w:val="44"/>
          <w:highlight w:val="none"/>
        </w:rPr>
        <w:t>投标总价</w:t>
      </w: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工</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9"/>
          <w:sz w:val="28"/>
          <w:szCs w:val="28"/>
          <w:highlight w:val="none"/>
        </w:rPr>
        <w:t>程</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9"/>
          <w:sz w:val="28"/>
          <w:szCs w:val="28"/>
          <w:highlight w:val="none"/>
        </w:rPr>
        <w:t>名</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9"/>
          <w:sz w:val="28"/>
          <w:szCs w:val="28"/>
          <w:highlight w:val="none"/>
        </w:rPr>
        <w:t>称：</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59"/>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合</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6"/>
          <w:sz w:val="28"/>
          <w:szCs w:val="28"/>
          <w:highlight w:val="none"/>
        </w:rPr>
        <w:t>同</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16"/>
          <w:sz w:val="28"/>
          <w:szCs w:val="28"/>
          <w:highlight w:val="none"/>
        </w:rPr>
        <w:t>编</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6"/>
          <w:sz w:val="28"/>
          <w:szCs w:val="28"/>
          <w:highlight w:val="none"/>
        </w:rPr>
        <w:t>号：</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投标总价人民币（小写</w:t>
      </w:r>
      <w:r>
        <w:rPr>
          <w:rFonts w:hint="eastAsia" w:ascii="宋体" w:hAnsi="宋体" w:eastAsia="宋体" w:cs="宋体"/>
          <w:color w:val="auto"/>
          <w:spacing w:val="-76"/>
          <w:sz w:val="28"/>
          <w:szCs w:val="28"/>
          <w:highlight w:val="none"/>
        </w:rPr>
        <w:t>）</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76"/>
          <w:sz w:val="28"/>
          <w:szCs w:val="28"/>
          <w:highlight w:val="none"/>
        </w:rPr>
        <w:t>：</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212"/>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（大写</w:t>
      </w:r>
      <w:r>
        <w:rPr>
          <w:rFonts w:hint="eastAsia" w:ascii="宋体" w:hAnsi="宋体" w:eastAsia="宋体" w:cs="宋体"/>
          <w:color w:val="auto"/>
          <w:spacing w:val="-79"/>
          <w:sz w:val="28"/>
          <w:szCs w:val="28"/>
          <w:highlight w:val="none"/>
        </w:rPr>
        <w:t>）</w:t>
      </w:r>
      <w:r>
        <w:rPr>
          <w:rFonts w:hint="eastAsia" w:ascii="宋体" w:hAnsi="宋体" w:eastAsia="宋体" w:cs="宋体"/>
          <w:color w:val="auto"/>
          <w:spacing w:val="-22"/>
          <w:sz w:val="28"/>
          <w:szCs w:val="28"/>
          <w:highlight w:val="none"/>
        </w:rPr>
        <w:t xml:space="preserve"> </w:t>
      </w:r>
      <w:r>
        <w:rPr>
          <w:rFonts w:hint="eastAsia" w:ascii="宋体" w:hAnsi="宋体" w:eastAsia="宋体" w:cs="宋体"/>
          <w:color w:val="auto"/>
          <w:spacing w:val="-79"/>
          <w:sz w:val="28"/>
          <w:szCs w:val="28"/>
          <w:highlight w:val="none"/>
        </w:rPr>
        <w:t>：</w:t>
      </w:r>
    </w:p>
    <w:p>
      <w:pPr>
        <w:spacing w:line="275" w:lineRule="auto"/>
        <w:rPr>
          <w:rFonts w:hint="eastAsia" w:ascii="宋体" w:hAnsi="宋体" w:eastAsia="宋体" w:cs="宋体"/>
          <w:color w:val="auto"/>
          <w:sz w:val="21"/>
          <w:highlight w:val="none"/>
        </w:rPr>
      </w:pPr>
    </w:p>
    <w:p>
      <w:pPr>
        <w:spacing w:line="276" w:lineRule="auto"/>
        <w:rPr>
          <w:rFonts w:hint="eastAsia" w:ascii="宋体" w:hAnsi="宋体" w:eastAsia="宋体" w:cs="宋体"/>
          <w:color w:val="auto"/>
          <w:sz w:val="21"/>
          <w:highlight w:val="none"/>
        </w:rPr>
      </w:pPr>
    </w:p>
    <w:p>
      <w:pPr>
        <w:spacing w:before="91" w:line="185" w:lineRule="auto"/>
        <w:ind w:firstLine="26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    标</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2"/>
          <w:sz w:val="28"/>
          <w:szCs w:val="28"/>
          <w:highlight w:val="none"/>
        </w:rPr>
        <w:t>人</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122"/>
          <w:sz w:val="28"/>
          <w:szCs w:val="28"/>
          <w:highlight w:val="none"/>
          <w:lang w:val="en-US" w:eastAsia="zh-CN"/>
        </w:rPr>
        <w:t xml:space="preserve">       </w:t>
      </w:r>
      <w:r>
        <w:rPr>
          <w:rFonts w:hint="eastAsia" w:ascii="宋体" w:hAnsi="宋体" w:eastAsia="宋体" w:cs="宋体"/>
          <w:color w:val="auto"/>
          <w:spacing w:val="2"/>
          <w:sz w:val="28"/>
          <w:szCs w:val="28"/>
          <w:highlight w:val="none"/>
        </w:rPr>
        <w:t>单位盖章）</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91" w:line="185" w:lineRule="auto"/>
        <w:ind w:firstLine="259"/>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法</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定</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10"/>
          <w:sz w:val="28"/>
          <w:szCs w:val="28"/>
          <w:highlight w:val="none"/>
        </w:rPr>
        <w:t>代</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0"/>
          <w:sz w:val="28"/>
          <w:szCs w:val="28"/>
          <w:highlight w:val="none"/>
        </w:rPr>
        <w:t>表</w:t>
      </w:r>
      <w:r>
        <w:rPr>
          <w:rFonts w:hint="eastAsia" w:ascii="宋体" w:hAnsi="宋体" w:eastAsia="宋体" w:cs="宋体"/>
          <w:color w:val="auto"/>
          <w:spacing w:val="13"/>
          <w:sz w:val="28"/>
          <w:szCs w:val="28"/>
          <w:highlight w:val="none"/>
        </w:rPr>
        <w:t xml:space="preserve"> </w:t>
      </w:r>
      <w:r>
        <w:rPr>
          <w:rFonts w:hint="eastAsia" w:ascii="宋体" w:hAnsi="宋体" w:eastAsia="宋体" w:cs="宋体"/>
          <w:color w:val="auto"/>
          <w:spacing w:val="-10"/>
          <w:sz w:val="28"/>
          <w:szCs w:val="28"/>
          <w:highlight w:val="none"/>
        </w:rPr>
        <w:t>人</w:t>
      </w:r>
    </w:p>
    <w:p>
      <w:pPr>
        <w:spacing w:before="221" w:line="185" w:lineRule="auto"/>
        <w:ind w:firstLine="266"/>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（或委托代理人</w:t>
      </w:r>
      <w:r>
        <w:rPr>
          <w:rFonts w:hint="eastAsia" w:ascii="宋体" w:hAnsi="宋体" w:eastAsia="宋体" w:cs="宋体"/>
          <w:color w:val="auto"/>
          <w:spacing w:val="-77"/>
          <w:sz w:val="28"/>
          <w:szCs w:val="28"/>
          <w:highlight w:val="none"/>
        </w:rPr>
        <w:t>）</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77"/>
          <w:sz w:val="28"/>
          <w:szCs w:val="28"/>
          <w:highlight w:val="none"/>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77"/>
          <w:sz w:val="28"/>
          <w:szCs w:val="28"/>
          <w:highlight w:val="none"/>
        </w:rPr>
        <w:t>（</w:t>
      </w:r>
      <w:r>
        <w:rPr>
          <w:rFonts w:hint="eastAsia" w:ascii="宋体" w:hAnsi="宋体" w:eastAsia="宋体" w:cs="宋体"/>
          <w:color w:val="auto"/>
          <w:spacing w:val="-77"/>
          <w:sz w:val="28"/>
          <w:szCs w:val="28"/>
          <w:highlight w:val="none"/>
          <w:lang w:val="en-US" w:eastAsia="zh-CN"/>
        </w:rPr>
        <w:t xml:space="preserve">   </w:t>
      </w:r>
      <w:r>
        <w:rPr>
          <w:rFonts w:hint="eastAsia" w:ascii="宋体" w:hAnsi="宋体" w:eastAsia="宋体" w:cs="宋体"/>
          <w:color w:val="auto"/>
          <w:spacing w:val="5"/>
          <w:sz w:val="28"/>
          <w:szCs w:val="28"/>
          <w:highlight w:val="none"/>
        </w:rPr>
        <w:t>签字盖章）</w:t>
      </w:r>
    </w:p>
    <w:p>
      <w:pPr>
        <w:spacing w:line="275" w:lineRule="auto"/>
        <w:rPr>
          <w:rFonts w:hint="eastAsia" w:ascii="宋体" w:hAnsi="宋体" w:eastAsia="宋体" w:cs="宋体"/>
          <w:color w:val="auto"/>
          <w:sz w:val="21"/>
          <w:highlight w:val="none"/>
        </w:rPr>
      </w:pPr>
    </w:p>
    <w:p>
      <w:pPr>
        <w:spacing w:line="276" w:lineRule="auto"/>
        <w:rPr>
          <w:rFonts w:hint="eastAsia" w:ascii="宋体" w:hAnsi="宋体" w:eastAsia="宋体" w:cs="宋体"/>
          <w:color w:val="auto"/>
          <w:sz w:val="21"/>
          <w:highlight w:val="none"/>
        </w:rPr>
      </w:pPr>
    </w:p>
    <w:p>
      <w:pPr>
        <w:spacing w:before="91" w:line="185" w:lineRule="auto"/>
        <w:ind w:firstLine="3339"/>
        <w:rPr>
          <w:rFonts w:hint="eastAsia" w:ascii="宋体" w:hAnsi="宋体" w:eastAsia="宋体" w:cs="宋体"/>
          <w:color w:val="auto"/>
          <w:spacing w:val="-16"/>
          <w:sz w:val="28"/>
          <w:szCs w:val="28"/>
          <w:highlight w:val="none"/>
        </w:rPr>
      </w:pPr>
      <w:r>
        <w:rPr>
          <w:rFonts w:hint="eastAsia" w:ascii="宋体" w:hAnsi="宋体" w:eastAsia="宋体" w:cs="宋体"/>
          <w:color w:val="auto"/>
          <w:spacing w:val="-16"/>
          <w:sz w:val="28"/>
          <w:szCs w:val="28"/>
          <w:highlight w:val="none"/>
        </w:rPr>
        <w:t>编</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16"/>
          <w:sz w:val="28"/>
          <w:szCs w:val="28"/>
          <w:highlight w:val="none"/>
        </w:rPr>
        <w:t>制</w:t>
      </w:r>
      <w:r>
        <w:rPr>
          <w:rFonts w:hint="eastAsia" w:ascii="宋体" w:hAnsi="宋体" w:eastAsia="宋体" w:cs="宋体"/>
          <w:color w:val="auto"/>
          <w:spacing w:val="13"/>
          <w:sz w:val="28"/>
          <w:szCs w:val="28"/>
          <w:highlight w:val="none"/>
        </w:rPr>
        <w:t xml:space="preserve">  </w:t>
      </w:r>
      <w:r>
        <w:rPr>
          <w:rFonts w:hint="eastAsia" w:ascii="宋体" w:hAnsi="宋体" w:eastAsia="宋体" w:cs="宋体"/>
          <w:color w:val="auto"/>
          <w:spacing w:val="-16"/>
          <w:sz w:val="28"/>
          <w:szCs w:val="28"/>
          <w:highlight w:val="none"/>
        </w:rPr>
        <w:t>时</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16"/>
          <w:sz w:val="28"/>
          <w:szCs w:val="28"/>
          <w:highlight w:val="none"/>
        </w:rPr>
        <w:t>间：</w:t>
      </w:r>
    </w:p>
    <w:p>
      <w:pPr>
        <w:pStyle w:val="2"/>
        <w:rPr>
          <w:rFonts w:hint="eastAsia" w:ascii="宋体" w:hAnsi="宋体" w:eastAsia="宋体" w:cs="宋体"/>
          <w:color w:val="auto"/>
          <w:spacing w:val="-16"/>
          <w:sz w:val="28"/>
          <w:szCs w:val="28"/>
          <w:highlight w:val="none"/>
        </w:rPr>
      </w:pPr>
    </w:p>
    <w:p>
      <w:pPr>
        <w:pStyle w:val="2"/>
        <w:rPr>
          <w:rFonts w:hint="eastAsia" w:ascii="宋体" w:hAnsi="宋体" w:eastAsia="宋体" w:cs="宋体"/>
          <w:color w:val="auto"/>
          <w:spacing w:val="-16"/>
          <w:sz w:val="28"/>
          <w:szCs w:val="28"/>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6"/>
        <w:gridCol w:w="5663"/>
        <w:gridCol w:w="811"/>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80"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960"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140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56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工程项目名称</w:t>
            </w:r>
          </w:p>
        </w:tc>
        <w:tc>
          <w:tcPr>
            <w:tcW w:w="277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分类分项工程量清单项目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措施项目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安全文明施工费用</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临时工程</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其他项目</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四</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零星工作</w:t>
            </w: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0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77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bl>
    <w:p>
      <w:pPr>
        <w:spacing w:line="269"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before="78" w:line="184" w:lineRule="auto"/>
        <w:ind w:firstLine="440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86"/>
          <w:sz w:val="24"/>
          <w:szCs w:val="24"/>
          <w:highlight w:val="none"/>
          <w:u w:val="single" w:color="auto"/>
          <w:lang w:val="en-US" w:eastAsia="zh-CN"/>
        </w:rPr>
        <w:t xml:space="preserve">  </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3" w:line="184" w:lineRule="auto"/>
        <w:ind w:firstLine="44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63"/>
          <w:sz w:val="24"/>
          <w:szCs w:val="24"/>
          <w:highlight w:val="none"/>
          <w:lang w:val="en-US" w:eastAsia="zh-CN"/>
        </w:rPr>
        <w:t xml:space="preserve">  </w:t>
      </w:r>
      <w:r>
        <w:rPr>
          <w:rFonts w:hint="eastAsia" w:ascii="宋体" w:hAnsi="宋体" w:eastAsia="宋体" w:cs="宋体"/>
          <w:color w:val="auto"/>
          <w:spacing w:val="3"/>
          <w:sz w:val="24"/>
          <w:szCs w:val="24"/>
          <w:highlight w:val="none"/>
        </w:rPr>
        <w:t>签名）</w:t>
      </w:r>
    </w:p>
    <w:p>
      <w:pPr>
        <w:spacing w:before="260" w:line="184" w:lineRule="auto"/>
        <w:ind w:firstLine="44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102"/>
          <w:sz w:val="24"/>
          <w:szCs w:val="24"/>
          <w:highlight w:val="none"/>
          <w:lang w:val="en-US" w:eastAsia="zh-CN"/>
        </w:rPr>
        <w:t xml:space="preserve">     </w:t>
      </w:r>
      <w:r>
        <w:rPr>
          <w:rFonts w:hint="eastAsia" w:ascii="宋体" w:hAnsi="宋体" w:eastAsia="宋体" w:cs="宋体"/>
          <w:color w:val="auto"/>
          <w:spacing w:val="2"/>
          <w:sz w:val="24"/>
          <w:szCs w:val="24"/>
          <w:highlight w:val="none"/>
        </w:rPr>
        <w:t>签字或加盖执业章）</w:t>
      </w:r>
    </w:p>
    <w:p>
      <w:pPr>
        <w:spacing w:before="260" w:line="184" w:lineRule="auto"/>
        <w:ind w:firstLine="4404"/>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tbl>
      <w:tblPr>
        <w:tblStyle w:val="12"/>
        <w:tblW w:w="9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360"/>
        <w:gridCol w:w="1348"/>
        <w:gridCol w:w="1348"/>
        <w:gridCol w:w="747"/>
        <w:gridCol w:w="1263"/>
        <w:gridCol w:w="1069"/>
        <w:gridCol w:w="93"/>
        <w:gridCol w:w="97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992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分类分项工程量清单计价表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8044" w:type="dxa"/>
            <w:gridSpan w:val="8"/>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876"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3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项目编码</w:t>
            </w:r>
          </w:p>
        </w:tc>
        <w:tc>
          <w:tcPr>
            <w:tcW w:w="13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3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清单特征</w:t>
            </w:r>
          </w:p>
        </w:tc>
        <w:tc>
          <w:tcPr>
            <w:tcW w:w="7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12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工程数量</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w:t>
            </w:r>
          </w:p>
        </w:tc>
        <w:tc>
          <w:tcPr>
            <w:tcW w:w="10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合价（元）</w:t>
            </w:r>
          </w:p>
        </w:tc>
        <w:tc>
          <w:tcPr>
            <w:tcW w:w="9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81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71" w:lineRule="auto"/>
        <w:rPr>
          <w:rFonts w:hint="eastAsia" w:ascii="宋体" w:hAnsi="宋体" w:eastAsia="宋体" w:cs="宋体"/>
          <w:color w:val="auto"/>
          <w:sz w:val="21"/>
          <w:highlight w:val="none"/>
        </w:rPr>
      </w:pPr>
    </w:p>
    <w:p>
      <w:pPr>
        <w:spacing w:before="79" w:line="184" w:lineRule="auto"/>
        <w:ind w:firstLine="442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184" w:lineRule="auto"/>
        <w:ind w:firstLine="4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59" w:line="386" w:lineRule="auto"/>
        <w:ind w:left="5560" w:right="906" w:hanging="1142"/>
        <w:rPr>
          <w:rFonts w:hint="eastAsia" w:ascii="宋体" w:hAnsi="宋体" w:eastAsia="宋体" w:cs="宋体"/>
          <w:color w:val="auto"/>
          <w:spacing w:val="-9"/>
          <w:sz w:val="24"/>
          <w:szCs w:val="24"/>
          <w:highlight w:val="none"/>
        </w:rPr>
      </w:pPr>
      <w:r>
        <w:rPr>
          <w:rFonts w:hint="eastAsia" w:ascii="宋体" w:hAnsi="宋体" w:eastAsia="宋体" w:cs="宋体"/>
          <w:color w:val="auto"/>
          <w:spacing w:val="1"/>
          <w:sz w:val="24"/>
          <w:szCs w:val="24"/>
          <w:highlight w:val="none"/>
        </w:rPr>
        <w:t>报价编制人</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103"/>
          <w:sz w:val="24"/>
          <w:szCs w:val="24"/>
          <w:highlight w:val="none"/>
          <w:lang w:val="en-US" w:eastAsia="zh-CN"/>
        </w:rPr>
        <w:t xml:space="preserve">    </w:t>
      </w:r>
      <w:r>
        <w:rPr>
          <w:rFonts w:hint="eastAsia" w:ascii="宋体" w:hAnsi="宋体" w:eastAsia="宋体" w:cs="宋体"/>
          <w:color w:val="auto"/>
          <w:spacing w:val="1"/>
          <w:sz w:val="24"/>
          <w:szCs w:val="24"/>
          <w:highlight w:val="none"/>
        </w:rPr>
        <w:t>签字或加盖执业章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3555"/>
        <w:gridCol w:w="1054"/>
        <w:gridCol w:w="1054"/>
        <w:gridCol w:w="1054"/>
        <w:gridCol w:w="500"/>
        <w:gridCol w:w="555"/>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79" w:type="dxa"/>
            <w:gridSpan w:val="6"/>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96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35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单位</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工程量</w:t>
            </w:r>
          </w:p>
        </w:tc>
        <w:tc>
          <w:tcPr>
            <w:tcW w:w="1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w:t>
            </w:r>
          </w:p>
        </w:tc>
        <w:tc>
          <w:tcPr>
            <w:tcW w:w="10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合价(元)</w:t>
            </w:r>
          </w:p>
        </w:tc>
        <w:tc>
          <w:tcPr>
            <w:tcW w:w="140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406"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before="78" w:line="184" w:lineRule="auto"/>
        <w:ind w:firstLine="435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line="269" w:lineRule="auto"/>
        <w:rPr>
          <w:rFonts w:hint="eastAsia" w:ascii="宋体" w:hAnsi="宋体" w:eastAsia="宋体" w:cs="宋体"/>
          <w:color w:val="auto"/>
          <w:sz w:val="21"/>
          <w:highlight w:val="none"/>
        </w:rPr>
      </w:pP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2"/>
          <w:sz w:val="24"/>
          <w:szCs w:val="24"/>
          <w:highlight w:val="none"/>
        </w:rPr>
        <w:t>签名</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line="204" w:lineRule="auto"/>
        <w:ind w:firstLine="5491"/>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pStyle w:val="2"/>
        <w:rPr>
          <w:rFonts w:hint="eastAsia" w:ascii="宋体" w:hAnsi="宋体" w:eastAsia="宋体" w:cs="宋体"/>
          <w:color w:val="auto"/>
          <w:spacing w:val="-9"/>
          <w:sz w:val="24"/>
          <w:szCs w:val="24"/>
          <w:highlight w:val="none"/>
        </w:rPr>
      </w:pPr>
    </w:p>
    <w:p>
      <w:pPr>
        <w:rPr>
          <w:rFonts w:hint="eastAsia" w:ascii="宋体" w:hAnsi="宋体" w:eastAsia="宋体" w:cs="宋体"/>
          <w:color w:val="auto"/>
          <w:highlight w:val="none"/>
        </w:rPr>
      </w:pPr>
    </w:p>
    <w:tbl>
      <w:tblPr>
        <w:tblStyle w:val="12"/>
        <w:tblW w:w="9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5312"/>
        <w:gridCol w:w="1608"/>
        <w:gridCol w:w="217"/>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其他项目清单计价表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80"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96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53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项目名称</w:t>
            </w:r>
          </w:p>
        </w:tc>
        <w:tc>
          <w:tcPr>
            <w:tcW w:w="18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金额（元）</w:t>
            </w:r>
          </w:p>
        </w:tc>
        <w:tc>
          <w:tcPr>
            <w:tcW w:w="174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before="78" w:line="184" w:lineRule="auto"/>
        <w:ind w:firstLine="4353"/>
        <w:rPr>
          <w:rFonts w:hint="eastAsia" w:ascii="宋体" w:hAnsi="宋体" w:eastAsia="宋体" w:cs="宋体"/>
          <w:color w:val="auto"/>
          <w:spacing w:val="-11"/>
          <w:sz w:val="24"/>
          <w:szCs w:val="24"/>
          <w:highlight w:val="none"/>
        </w:rPr>
      </w:pPr>
    </w:p>
    <w:p>
      <w:pPr>
        <w:spacing w:before="78" w:line="184" w:lineRule="auto"/>
        <w:ind w:firstLine="435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line="269" w:lineRule="auto"/>
        <w:rPr>
          <w:rFonts w:hint="eastAsia" w:ascii="宋体" w:hAnsi="宋体" w:eastAsia="宋体" w:cs="宋体"/>
          <w:color w:val="auto"/>
          <w:sz w:val="21"/>
          <w:highlight w:val="none"/>
        </w:rPr>
      </w:pP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63"/>
          <w:sz w:val="24"/>
          <w:szCs w:val="24"/>
          <w:highlight w:val="none"/>
          <w:lang w:eastAsia="zh-CN"/>
        </w:rPr>
        <w:t>（签名）</w:t>
      </w:r>
      <w:r>
        <w:rPr>
          <w:rFonts w:hint="eastAsia" w:ascii="宋体" w:hAnsi="宋体" w:eastAsia="宋体" w:cs="宋体"/>
          <w:color w:val="auto"/>
          <w:sz w:val="24"/>
          <w:szCs w:val="24"/>
          <w:highlight w:val="none"/>
        </w:rPr>
        <w:t xml:space="preserve"> </w:t>
      </w:r>
    </w:p>
    <w:p>
      <w:pPr>
        <w:spacing w:before="78" w:line="478" w:lineRule="auto"/>
        <w:ind w:left="4349" w:right="414"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line="204" w:lineRule="auto"/>
        <w:ind w:firstLine="549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日</w:t>
      </w: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pPr>
    </w:p>
    <w:p>
      <w:pPr>
        <w:spacing w:before="56" w:line="185" w:lineRule="auto"/>
        <w:ind w:firstLine="2877"/>
        <w:rPr>
          <w:rFonts w:hint="eastAsia" w:ascii="宋体" w:hAnsi="宋体" w:eastAsia="宋体" w:cs="宋体"/>
          <w:color w:val="auto"/>
          <w:sz w:val="28"/>
          <w:szCs w:val="28"/>
          <w:highlight w:val="none"/>
        </w:rPr>
      </w:pPr>
      <w:r>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t>工程单价费（税）</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11"/>
          <w:sz w:val="28"/>
          <w:szCs w:val="28"/>
          <w:highlight w:val="none"/>
          <w14:textOutline w14:w="5103" w14:cap="flat" w14:cmpd="sng">
            <w14:solidFill>
              <w14:srgbClr w14:val="000000"/>
            </w14:solidFill>
            <w14:prstDash w14:val="solid"/>
            <w14:miter w14:val="0"/>
          </w14:textOutline>
        </w:rPr>
        <w:t>率汇总表</w:t>
      </w:r>
    </w:p>
    <w:p>
      <w:pPr>
        <w:spacing w:line="297" w:lineRule="auto"/>
        <w:rPr>
          <w:rFonts w:hint="eastAsia" w:ascii="宋体" w:hAnsi="宋体" w:eastAsia="宋体" w:cs="宋体"/>
          <w:color w:val="auto"/>
          <w:sz w:val="21"/>
          <w:highlight w:val="none"/>
        </w:rPr>
      </w:pPr>
    </w:p>
    <w:p>
      <w:pPr>
        <w:spacing w:line="298" w:lineRule="auto"/>
        <w:rPr>
          <w:rFonts w:hint="eastAsia" w:ascii="宋体" w:hAnsi="宋体" w:eastAsia="宋体" w:cs="宋体"/>
          <w:color w:val="auto"/>
          <w:sz w:val="21"/>
          <w:highlight w:val="none"/>
        </w:rPr>
      </w:pPr>
    </w:p>
    <w:p>
      <w:pPr>
        <w:spacing w:before="78" w:line="499" w:lineRule="exact"/>
        <w:ind w:firstLine="82"/>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合同编号：</w:t>
      </w:r>
    </w:p>
    <w:p>
      <w:pPr>
        <w:spacing w:line="204" w:lineRule="auto"/>
        <w:ind w:firstLine="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工程名称：</w:t>
      </w:r>
    </w:p>
    <w:p>
      <w:pPr>
        <w:spacing w:line="41" w:lineRule="exact"/>
        <w:rPr>
          <w:rFonts w:hint="eastAsia" w:ascii="宋体" w:hAnsi="宋体" w:eastAsia="宋体" w:cs="宋体"/>
          <w:color w:val="auto"/>
          <w:highlight w:val="none"/>
        </w:rPr>
      </w:pPr>
    </w:p>
    <w:tbl>
      <w:tblPr>
        <w:tblStyle w:val="17"/>
        <w:tblW w:w="90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44"/>
        <w:gridCol w:w="1480"/>
        <w:gridCol w:w="1446"/>
        <w:gridCol w:w="1595"/>
        <w:gridCol w:w="911"/>
        <w:gridCol w:w="1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5" w:type="dxa"/>
            <w:vMerge w:val="restart"/>
            <w:tcBorders>
              <w:bottom w:val="nil"/>
            </w:tcBorders>
            <w:vAlign w:val="top"/>
          </w:tcPr>
          <w:p>
            <w:pPr>
              <w:spacing w:line="359" w:lineRule="auto"/>
              <w:rPr>
                <w:rFonts w:hint="eastAsia" w:ascii="宋体" w:hAnsi="宋体" w:eastAsia="宋体" w:cs="宋体"/>
                <w:color w:val="auto"/>
                <w:sz w:val="21"/>
                <w:highlight w:val="none"/>
              </w:rPr>
            </w:pPr>
          </w:p>
          <w:p>
            <w:pPr>
              <w:spacing w:before="68" w:line="184" w:lineRule="auto"/>
              <w:ind w:firstLine="17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744" w:type="dxa"/>
            <w:vMerge w:val="restart"/>
            <w:tcBorders>
              <w:bottom w:val="nil"/>
            </w:tcBorders>
            <w:vAlign w:val="top"/>
          </w:tcPr>
          <w:p>
            <w:pPr>
              <w:spacing w:line="359" w:lineRule="auto"/>
              <w:rPr>
                <w:rFonts w:hint="eastAsia" w:ascii="宋体" w:hAnsi="宋体" w:eastAsia="宋体" w:cs="宋体"/>
                <w:color w:val="auto"/>
                <w:sz w:val="21"/>
                <w:highlight w:val="none"/>
              </w:rPr>
            </w:pPr>
          </w:p>
          <w:p>
            <w:pPr>
              <w:spacing w:before="68" w:line="184" w:lineRule="auto"/>
              <w:ind w:firstLine="45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工程类别</w:t>
            </w:r>
          </w:p>
        </w:tc>
        <w:tc>
          <w:tcPr>
            <w:tcW w:w="5432" w:type="dxa"/>
            <w:gridSpan w:val="4"/>
            <w:vAlign w:val="top"/>
          </w:tcPr>
          <w:p>
            <w:pPr>
              <w:spacing w:before="222" w:line="184" w:lineRule="auto"/>
              <w:ind w:firstLine="151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工程单价费（税）</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
                <w:sz w:val="21"/>
                <w:szCs w:val="21"/>
                <w:highlight w:val="none"/>
              </w:rPr>
              <w:t>率（%）</w:t>
            </w:r>
          </w:p>
        </w:tc>
        <w:tc>
          <w:tcPr>
            <w:tcW w:w="1154" w:type="dxa"/>
            <w:vAlign w:val="top"/>
          </w:tcPr>
          <w:p>
            <w:pPr>
              <w:spacing w:before="222" w:line="184" w:lineRule="auto"/>
              <w:ind w:firstLine="37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Merge w:val="continue"/>
            <w:tcBorders>
              <w:top w:val="nil"/>
            </w:tcBorders>
            <w:vAlign w:val="top"/>
          </w:tcPr>
          <w:p>
            <w:pPr>
              <w:rPr>
                <w:rFonts w:hint="eastAsia" w:ascii="宋体" w:hAnsi="宋体" w:eastAsia="宋体" w:cs="宋体"/>
                <w:color w:val="auto"/>
                <w:sz w:val="21"/>
                <w:highlight w:val="none"/>
              </w:rPr>
            </w:pPr>
          </w:p>
        </w:tc>
        <w:tc>
          <w:tcPr>
            <w:tcW w:w="1744" w:type="dxa"/>
            <w:vMerge w:val="continue"/>
            <w:tcBorders>
              <w:top w:val="nil"/>
            </w:tcBorders>
            <w:vAlign w:val="top"/>
          </w:tcPr>
          <w:p>
            <w:pPr>
              <w:rPr>
                <w:rFonts w:hint="eastAsia" w:ascii="宋体" w:hAnsi="宋体" w:eastAsia="宋体" w:cs="宋体"/>
                <w:color w:val="auto"/>
                <w:sz w:val="21"/>
                <w:highlight w:val="none"/>
              </w:rPr>
            </w:pPr>
          </w:p>
        </w:tc>
        <w:tc>
          <w:tcPr>
            <w:tcW w:w="1480" w:type="dxa"/>
            <w:vAlign w:val="top"/>
          </w:tcPr>
          <w:p>
            <w:pPr>
              <w:spacing w:before="219" w:line="184" w:lineRule="auto"/>
              <w:ind w:firstLine="2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其他直接费</w:t>
            </w:r>
          </w:p>
        </w:tc>
        <w:tc>
          <w:tcPr>
            <w:tcW w:w="1446" w:type="dxa"/>
            <w:vAlign w:val="top"/>
          </w:tcPr>
          <w:p>
            <w:pPr>
              <w:spacing w:before="219" w:line="184" w:lineRule="auto"/>
              <w:ind w:firstLine="42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间接费</w:t>
            </w:r>
          </w:p>
        </w:tc>
        <w:tc>
          <w:tcPr>
            <w:tcW w:w="1595" w:type="dxa"/>
            <w:vAlign w:val="top"/>
          </w:tcPr>
          <w:p>
            <w:pPr>
              <w:spacing w:before="219" w:line="184" w:lineRule="auto"/>
              <w:ind w:firstLine="5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利润</w:t>
            </w:r>
          </w:p>
        </w:tc>
        <w:tc>
          <w:tcPr>
            <w:tcW w:w="911" w:type="dxa"/>
            <w:vAlign w:val="top"/>
          </w:tcPr>
          <w:p>
            <w:pPr>
              <w:spacing w:before="219" w:line="184" w:lineRule="auto"/>
              <w:ind w:firstLine="25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税金</w:t>
            </w: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65" w:type="dxa"/>
            <w:vAlign w:val="top"/>
          </w:tcPr>
          <w:p>
            <w:pPr>
              <w:spacing w:before="298" w:line="187" w:lineRule="auto"/>
              <w:ind w:firstLine="284"/>
              <w:rPr>
                <w:rFonts w:hint="eastAsia" w:ascii="宋体" w:hAnsi="宋体" w:eastAsia="宋体" w:cs="宋体"/>
                <w:color w:val="auto"/>
                <w:sz w:val="10"/>
                <w:szCs w:val="10"/>
                <w:highlight w:val="none"/>
              </w:rPr>
            </w:pPr>
            <w:r>
              <w:rPr>
                <w:rFonts w:hint="eastAsia" w:ascii="宋体" w:hAnsi="宋体" w:eastAsia="宋体" w:cs="宋体"/>
                <w:color w:val="auto"/>
                <w:spacing w:val="30"/>
                <w:w w:val="167"/>
                <w:sz w:val="10"/>
                <w:szCs w:val="10"/>
                <w:highlight w:val="none"/>
              </w:rPr>
              <w:t>一</w:t>
            </w:r>
          </w:p>
        </w:tc>
        <w:tc>
          <w:tcPr>
            <w:tcW w:w="1744" w:type="dxa"/>
            <w:vAlign w:val="top"/>
          </w:tcPr>
          <w:p>
            <w:pPr>
              <w:spacing w:before="219" w:line="184" w:lineRule="auto"/>
              <w:ind w:firstLine="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建筑工程</w:t>
            </w: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765" w:type="dxa"/>
            <w:vAlign w:val="top"/>
          </w:tcPr>
          <w:p>
            <w:pPr>
              <w:spacing w:before="260" w:line="180" w:lineRule="auto"/>
              <w:ind w:firstLine="2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744" w:type="dxa"/>
            <w:vAlign w:val="top"/>
          </w:tcPr>
          <w:p>
            <w:pPr>
              <w:spacing w:before="221" w:line="184"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安装工程</w:t>
            </w: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5" w:type="dxa"/>
            <w:vAlign w:val="top"/>
          </w:tcPr>
          <w:p>
            <w:pPr>
              <w:rPr>
                <w:rFonts w:hint="eastAsia" w:ascii="宋体" w:hAnsi="宋体" w:eastAsia="宋体" w:cs="宋体"/>
                <w:color w:val="auto"/>
                <w:sz w:val="21"/>
                <w:highlight w:val="none"/>
              </w:rPr>
            </w:pPr>
          </w:p>
        </w:tc>
        <w:tc>
          <w:tcPr>
            <w:tcW w:w="1744" w:type="dxa"/>
            <w:vAlign w:val="top"/>
          </w:tcPr>
          <w:p>
            <w:pPr>
              <w:rPr>
                <w:rFonts w:hint="eastAsia" w:ascii="宋体" w:hAnsi="宋体" w:eastAsia="宋体" w:cs="宋体"/>
                <w:color w:val="auto"/>
                <w:sz w:val="21"/>
                <w:highlight w:val="none"/>
              </w:rPr>
            </w:pPr>
          </w:p>
        </w:tc>
        <w:tc>
          <w:tcPr>
            <w:tcW w:w="1480" w:type="dxa"/>
            <w:vAlign w:val="top"/>
          </w:tcPr>
          <w:p>
            <w:pPr>
              <w:rPr>
                <w:rFonts w:hint="eastAsia" w:ascii="宋体" w:hAnsi="宋体" w:eastAsia="宋体" w:cs="宋体"/>
                <w:color w:val="auto"/>
                <w:sz w:val="21"/>
                <w:highlight w:val="none"/>
              </w:rPr>
            </w:pPr>
          </w:p>
        </w:tc>
        <w:tc>
          <w:tcPr>
            <w:tcW w:w="1446"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911" w:type="dxa"/>
            <w:vAlign w:val="top"/>
          </w:tcPr>
          <w:p>
            <w:pPr>
              <w:rPr>
                <w:rFonts w:hint="eastAsia" w:ascii="宋体" w:hAnsi="宋体" w:eastAsia="宋体" w:cs="宋体"/>
                <w:color w:val="auto"/>
                <w:sz w:val="21"/>
                <w:highlight w:val="none"/>
              </w:rPr>
            </w:pPr>
          </w:p>
        </w:tc>
        <w:tc>
          <w:tcPr>
            <w:tcW w:w="1154" w:type="dxa"/>
            <w:vAlign w:val="top"/>
          </w:tcPr>
          <w:p>
            <w:pPr>
              <w:rPr>
                <w:rFonts w:hint="eastAsia" w:ascii="宋体" w:hAnsi="宋体" w:eastAsia="宋体" w:cs="宋体"/>
                <w:color w:val="auto"/>
                <w:sz w:val="21"/>
                <w:highlight w:val="none"/>
              </w:rPr>
            </w:pPr>
          </w:p>
        </w:tc>
      </w:tr>
    </w:tbl>
    <w:p>
      <w:pPr>
        <w:spacing w:before="192" w:line="184" w:lineRule="auto"/>
        <w:ind w:firstLine="440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2" w:line="184" w:lineRule="auto"/>
        <w:ind w:firstLine="440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0" w:line="184" w:lineRule="auto"/>
        <w:ind w:firstLine="43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40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pStyle w:val="2"/>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pPr>
        <w:pStyle w:val="2"/>
        <w:rPr>
          <w:rFonts w:hint="eastAsia" w:ascii="宋体" w:hAnsi="宋体" w:eastAsia="宋体" w:cs="宋体"/>
          <w:color w:val="auto"/>
          <w:spacing w:val="-4"/>
          <w:sz w:val="24"/>
          <w:szCs w:val="24"/>
          <w:highlight w:val="none"/>
        </w:rPr>
      </w:pPr>
    </w:p>
    <w:tbl>
      <w:tblPr>
        <w:tblStyle w:val="1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1176"/>
        <w:gridCol w:w="960"/>
        <w:gridCol w:w="946"/>
        <w:gridCol w:w="946"/>
        <w:gridCol w:w="946"/>
        <w:gridCol w:w="946"/>
        <w:gridCol w:w="946"/>
        <w:gridCol w:w="419"/>
        <w:gridCol w:w="771"/>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投标人生产电、风、水、砂石基础单价汇总表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80" w:type="dxa"/>
            <w:gridSpan w:val="9"/>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960"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1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名称</w:t>
            </w:r>
          </w:p>
        </w:tc>
        <w:tc>
          <w:tcPr>
            <w:tcW w:w="9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人工费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材料费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机械使用费</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其他费用</w:t>
            </w:r>
          </w:p>
        </w:tc>
        <w:tc>
          <w:tcPr>
            <w:tcW w:w="11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合计</w:t>
            </w:r>
          </w:p>
        </w:tc>
        <w:tc>
          <w:tcPr>
            <w:tcW w:w="118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施工用电价格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施工用水价格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施工用风价格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18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line="270"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before="79" w:line="184" w:lineRule="auto"/>
        <w:ind w:firstLine="433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184" w:lineRule="auto"/>
        <w:ind w:firstLine="433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2" w:line="184" w:lineRule="auto"/>
        <w:ind w:firstLine="43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33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年月日</w:t>
      </w:r>
    </w:p>
    <w:p>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pPr>
        <w:pStyle w:val="2"/>
        <w:rPr>
          <w:rFonts w:hint="eastAsia"/>
          <w:color w:val="auto"/>
          <w:highlight w:val="none"/>
        </w:rPr>
      </w:pPr>
    </w:p>
    <w:tbl>
      <w:tblPr>
        <w:tblStyle w:val="12"/>
        <w:tblW w:w="9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744"/>
        <w:gridCol w:w="865"/>
        <w:gridCol w:w="1176"/>
        <w:gridCol w:w="514"/>
        <w:gridCol w:w="851"/>
        <w:gridCol w:w="636"/>
        <w:gridCol w:w="636"/>
        <w:gridCol w:w="636"/>
        <w:gridCol w:w="328"/>
        <w:gridCol w:w="308"/>
        <w:gridCol w:w="811"/>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91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投标人生产混凝土配合比材料费表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54" w:type="dxa"/>
            <w:gridSpan w:val="10"/>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1957"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工程部位</w:t>
            </w:r>
          </w:p>
        </w:tc>
        <w:tc>
          <w:tcPr>
            <w:tcW w:w="8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混凝土强度等级</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水泥强度等级</w:t>
            </w:r>
          </w:p>
        </w:tc>
        <w:tc>
          <w:tcPr>
            <w:tcW w:w="5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级配</w:t>
            </w:r>
          </w:p>
        </w:tc>
        <w:tc>
          <w:tcPr>
            <w:tcW w:w="8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水灰比</w:t>
            </w:r>
          </w:p>
        </w:tc>
        <w:tc>
          <w:tcPr>
            <w:tcW w:w="254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预算材料量</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单价(元/m3)</w:t>
            </w:r>
          </w:p>
        </w:tc>
        <w:tc>
          <w:tcPr>
            <w:tcW w:w="838"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水泥(kg)</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砂(m3)</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石(m3)</w:t>
            </w:r>
          </w:p>
        </w:tc>
        <w:tc>
          <w:tcPr>
            <w:tcW w:w="6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水(m3)</w:t>
            </w: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83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6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83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192" w:line="384" w:lineRule="auto"/>
        <w:ind w:firstLine="38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62" w:line="384" w:lineRule="auto"/>
        <w:ind w:firstLine="38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keepNext w:val="0"/>
        <w:keepLines w:val="0"/>
        <w:pageBreakBefore w:val="0"/>
        <w:widowControl/>
        <w:kinsoku w:val="0"/>
        <w:wordWrap/>
        <w:overflowPunct/>
        <w:topLinePunct w:val="0"/>
        <w:autoSpaceDE w:val="0"/>
        <w:autoSpaceDN w:val="0"/>
        <w:bidi w:val="0"/>
        <w:adjustRightInd w:val="0"/>
        <w:snapToGrid w:val="0"/>
        <w:spacing w:before="260" w:line="384" w:lineRule="auto"/>
        <w:ind w:firstLine="3833"/>
        <w:jc w:val="righ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报价编制人</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8"/>
          <w:sz w:val="24"/>
          <w:szCs w:val="24"/>
          <w:highlight w:val="none"/>
        </w:rPr>
        <w:t>签字或加盖执业章）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日</w:t>
      </w:r>
    </w:p>
    <w:p>
      <w:pP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br w:type="page"/>
      </w:r>
    </w:p>
    <w:p>
      <w:pPr>
        <w:pStyle w:val="2"/>
        <w:rPr>
          <w:rFonts w:hint="eastAsia"/>
          <w:color w:val="auto"/>
          <w:highlight w:val="none"/>
        </w:rPr>
      </w:pPr>
    </w:p>
    <w:tbl>
      <w:tblPr>
        <w:tblStyle w:val="12"/>
        <w:tblW w:w="9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2690"/>
        <w:gridCol w:w="2028"/>
        <w:gridCol w:w="487"/>
        <w:gridCol w:w="595"/>
        <w:gridCol w:w="13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1"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投标人自行采购主要材料预算价格汇总表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6"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3285"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3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2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材料名称</w:t>
            </w:r>
          </w:p>
        </w:tc>
        <w:tc>
          <w:tcPr>
            <w:tcW w:w="20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10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计量单位</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预算价（元）</w:t>
            </w:r>
          </w:p>
        </w:tc>
        <w:tc>
          <w:tcPr>
            <w:tcW w:w="135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5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135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before="195" w:line="184" w:lineRule="auto"/>
        <w:ind w:firstLine="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备注：</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7"/>
          <w:sz w:val="24"/>
          <w:szCs w:val="24"/>
          <w:highlight w:val="none"/>
          <w14:textOutline w14:w="4358" w14:cap="flat" w14:cmpd="sng">
            <w14:solidFill>
              <w14:srgbClr w14:val="000000"/>
            </w14:solidFill>
            <w14:prstDash w14:val="solid"/>
            <w14:miter w14:val="0"/>
          </w14:textOutline>
        </w:rPr>
        <w:t>材料原价，为不含增值税进项税额的材料价格。</w:t>
      </w:r>
    </w:p>
    <w:p>
      <w:pPr>
        <w:spacing w:before="260" w:line="184" w:lineRule="auto"/>
        <w:ind w:firstLine="4341"/>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59" w:line="502" w:lineRule="exact"/>
        <w:ind w:firstLine="4339"/>
        <w:rPr>
          <w:rFonts w:hint="eastAsia" w:ascii="宋体" w:hAnsi="宋体" w:eastAsia="宋体" w:cs="宋体"/>
          <w:color w:val="auto"/>
          <w:sz w:val="24"/>
          <w:szCs w:val="24"/>
          <w:highlight w:val="none"/>
        </w:rPr>
      </w:pPr>
      <w:r>
        <w:rPr>
          <w:rFonts w:hint="eastAsia" w:ascii="宋体" w:hAnsi="宋体" w:eastAsia="宋体" w:cs="宋体"/>
          <w:color w:val="auto"/>
          <w:spacing w:val="3"/>
          <w:position w:val="19"/>
          <w:sz w:val="24"/>
          <w:szCs w:val="24"/>
          <w:highlight w:val="none"/>
        </w:rPr>
        <w:t>法定代表人（或委托代理人</w:t>
      </w:r>
      <w:r>
        <w:rPr>
          <w:rFonts w:hint="eastAsia" w:ascii="宋体" w:hAnsi="宋体" w:eastAsia="宋体" w:cs="宋体"/>
          <w:color w:val="auto"/>
          <w:spacing w:val="-63"/>
          <w:position w:val="19"/>
          <w:sz w:val="24"/>
          <w:szCs w:val="24"/>
          <w:highlight w:val="none"/>
        </w:rPr>
        <w:t>）</w:t>
      </w:r>
      <w:r>
        <w:rPr>
          <w:rFonts w:hint="eastAsia" w:ascii="宋体" w:hAnsi="宋体" w:eastAsia="宋体" w:cs="宋体"/>
          <w:color w:val="auto"/>
          <w:spacing w:val="13"/>
          <w:position w:val="19"/>
          <w:sz w:val="24"/>
          <w:szCs w:val="24"/>
          <w:highlight w:val="none"/>
        </w:rPr>
        <w:t xml:space="preserve"> </w:t>
      </w:r>
      <w:r>
        <w:rPr>
          <w:rFonts w:hint="eastAsia" w:ascii="宋体" w:hAnsi="宋体" w:eastAsia="宋体" w:cs="宋体"/>
          <w:color w:val="auto"/>
          <w:spacing w:val="-63"/>
          <w:position w:val="19"/>
          <w:sz w:val="24"/>
          <w:szCs w:val="24"/>
          <w:highlight w:val="none"/>
        </w:rPr>
        <w:t>：（</w:t>
      </w:r>
      <w:r>
        <w:rPr>
          <w:rFonts w:hint="eastAsia" w:ascii="宋体" w:hAnsi="宋体" w:eastAsia="宋体" w:cs="宋体"/>
          <w:color w:val="auto"/>
          <w:spacing w:val="3"/>
          <w:position w:val="19"/>
          <w:sz w:val="24"/>
          <w:szCs w:val="24"/>
          <w:highlight w:val="none"/>
        </w:rPr>
        <w:t>签名）</w:t>
      </w:r>
    </w:p>
    <w:p>
      <w:pPr>
        <w:spacing w:line="204" w:lineRule="auto"/>
        <w:ind w:firstLine="43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34" w:line="184" w:lineRule="auto"/>
        <w:ind w:firstLine="589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rPr>
          <w:rFonts w:hint="eastAsia"/>
          <w:color w:val="auto"/>
          <w:highlight w:val="none"/>
        </w:rPr>
      </w:pPr>
      <w:r>
        <w:rPr>
          <w:rFonts w:hint="eastAsia" w:ascii="宋体" w:hAnsi="宋体" w:eastAsia="宋体" w:cs="宋体"/>
          <w:color w:val="auto"/>
          <w:spacing w:val="-9"/>
          <w:sz w:val="24"/>
          <w:szCs w:val="24"/>
          <w:highlight w:val="none"/>
        </w:rPr>
        <w:br w:type="page"/>
      </w:r>
    </w:p>
    <w:p>
      <w:pPr>
        <w:spacing w:line="284" w:lineRule="auto"/>
        <w:rPr>
          <w:rFonts w:hint="eastAsia" w:ascii="宋体" w:hAnsi="宋体" w:eastAsia="宋体" w:cs="宋体"/>
          <w:color w:val="auto"/>
          <w:sz w:val="21"/>
          <w:highlight w:val="none"/>
          <w:lang w:eastAsia="zh-CN"/>
        </w:rPr>
      </w:pPr>
    </w:p>
    <w:p>
      <w:pPr>
        <w:spacing w:line="285" w:lineRule="auto"/>
        <w:rPr>
          <w:rFonts w:hint="eastAsia" w:ascii="宋体" w:hAnsi="宋体" w:eastAsia="宋体" w:cs="宋体"/>
          <w:color w:val="auto"/>
          <w:sz w:val="21"/>
          <w:highlight w:val="none"/>
        </w:rPr>
      </w:pPr>
    </w:p>
    <w:p>
      <w:pPr>
        <w:spacing w:line="285" w:lineRule="auto"/>
        <w:rPr>
          <w:rFonts w:hint="eastAsia" w:ascii="宋体" w:hAnsi="宋体" w:eastAsia="宋体" w:cs="宋体"/>
          <w:color w:val="auto"/>
          <w:sz w:val="21"/>
          <w:highlight w:val="none"/>
        </w:rPr>
      </w:pPr>
    </w:p>
    <w:tbl>
      <w:tblPr>
        <w:tblStyle w:val="12"/>
        <w:tblW w:w="9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568"/>
        <w:gridCol w:w="933"/>
        <w:gridCol w:w="621"/>
        <w:gridCol w:w="622"/>
        <w:gridCol w:w="622"/>
        <w:gridCol w:w="622"/>
        <w:gridCol w:w="622"/>
        <w:gridCol w:w="622"/>
        <w:gridCol w:w="13"/>
        <w:gridCol w:w="494"/>
        <w:gridCol w:w="622"/>
        <w:gridCol w:w="622"/>
        <w:gridCol w:w="635"/>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2"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snapToGrid w:val="0"/>
                <w:color w:val="auto"/>
                <w:kern w:val="0"/>
                <w:sz w:val="32"/>
                <w:szCs w:val="32"/>
                <w:highlight w:val="none"/>
                <w:u w:val="none"/>
                <w:lang w:val="en-US" w:eastAsia="zh-CN" w:bidi="ar"/>
              </w:rPr>
              <w:t>招标人提供施工机械台时(班)费汇总表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71" w:type="dxa"/>
            <w:gridSpan w:val="10"/>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合同编号：</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工程名称：新疆布尔根河狸国家级自然保护区一期河狸栖息地水位保障透水闸项目</w:t>
            </w:r>
          </w:p>
        </w:tc>
        <w:tc>
          <w:tcPr>
            <w:tcW w:w="3171"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第1页 共1页</w:t>
            </w:r>
          </w:p>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单位:元/台时(班)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序号</w:t>
            </w:r>
          </w:p>
        </w:tc>
        <w:tc>
          <w:tcPr>
            <w:tcW w:w="1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机械名称</w:t>
            </w:r>
          </w:p>
        </w:tc>
        <w:tc>
          <w:tcPr>
            <w:tcW w:w="9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型号规格</w:t>
            </w:r>
          </w:p>
        </w:tc>
        <w:tc>
          <w:tcPr>
            <w:tcW w:w="6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招标人收取的折旧费</w:t>
            </w:r>
          </w:p>
        </w:tc>
        <w:tc>
          <w:tcPr>
            <w:tcW w:w="5496"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投标人应计算的费用</w:t>
            </w:r>
          </w:p>
        </w:tc>
        <w:tc>
          <w:tcPr>
            <w:tcW w:w="798"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9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维修费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安拆费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人工</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柴油</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w:t>
            </w:r>
          </w:p>
        </w:tc>
        <w:tc>
          <w:tcPr>
            <w:tcW w:w="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风</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水</w:t>
            </w:r>
          </w:p>
        </w:tc>
        <w:tc>
          <w:tcPr>
            <w:tcW w:w="6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汽油</w:t>
            </w: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小计</w:t>
            </w:r>
          </w:p>
        </w:tc>
        <w:tc>
          <w:tcPr>
            <w:tcW w:w="798"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79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c>
          <w:tcPr>
            <w:tcW w:w="79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auto"/>
                <w:sz w:val="21"/>
                <w:szCs w:val="21"/>
                <w:highlight w:val="none"/>
                <w:u w:val="none"/>
              </w:rPr>
            </w:pPr>
          </w:p>
        </w:tc>
      </w:tr>
    </w:tbl>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before="79" w:line="184" w:lineRule="auto"/>
        <w:ind w:firstLine="435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pPr>
        <w:spacing w:before="260" w:line="184" w:lineRule="auto"/>
        <w:ind w:firstLine="43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0" w:line="184" w:lineRule="auto"/>
        <w:ind w:firstLine="435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报价编制人</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2"/>
          <w:sz w:val="24"/>
          <w:szCs w:val="24"/>
          <w:highlight w:val="none"/>
        </w:rPr>
        <w:t>（</w:t>
      </w:r>
      <w:r>
        <w:rPr>
          <w:rFonts w:hint="eastAsia" w:ascii="宋体" w:hAnsi="宋体" w:eastAsia="宋体" w:cs="宋体"/>
          <w:color w:val="auto"/>
          <w:spacing w:val="2"/>
          <w:sz w:val="24"/>
          <w:szCs w:val="24"/>
          <w:highlight w:val="none"/>
        </w:rPr>
        <w:t>签字或加盖执业章）</w:t>
      </w:r>
    </w:p>
    <w:p>
      <w:pPr>
        <w:spacing w:before="260" w:line="184" w:lineRule="auto"/>
        <w:ind w:firstLine="435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spacing w:line="11044" w:lineRule="exact"/>
        <w:textAlignment w:val="center"/>
        <w:rPr>
          <w:rFonts w:hint="eastAsia" w:ascii="宋体" w:hAnsi="宋体" w:eastAsia="宋体" w:cs="宋体"/>
          <w:color w:val="auto"/>
          <w:highlight w:val="none"/>
        </w:rPr>
      </w:pPr>
      <w:r>
        <w:rPr>
          <w:rFonts w:hint="eastAsia" w:ascii="宋体" w:hAnsi="宋体" w:eastAsia="宋体" w:cs="宋体"/>
          <w:color w:val="auto"/>
          <w:highlight w:val="none"/>
        </w:rPr>
        <w:pict>
          <v:group id="_x0000_s2053" o:spid="_x0000_s2053" o:spt="203" style="height:552.25pt;width:471.5pt;" coordsize="9430,11045">
            <o:lock v:ext="edit"/>
            <v:rect id="_x0000_s2054" o:spid="_x0000_s2054" o:spt="1" style="position:absolute;left:0;top:0;height:11038;width:9425;" fillcolor="#FFFFFF" filled="t" stroked="f" coordsize="21600,21600">
              <v:path/>
              <v:fill on="t" focussize="0,0"/>
              <v:stroke on="f"/>
              <v:imagedata o:title=""/>
              <o:lock v:ext="edit"/>
            </v:rect>
            <v:shape id="_x0000_s2055" o:spid="_x0000_s2055" o:spt="202" type="#_x0000_t202" style="position:absolute;left:-20;top:73;height:10991;width:9470;" filled="f" stroked="f" coordsize="21600,21600">
              <v:path/>
              <v:fill on="f" focussize="0,0"/>
              <v:stroke on="f"/>
              <v:imagedata o:title=""/>
              <o:lock v:ext="edit" aspectratio="f"/>
              <v:textbox inset="0mm,0mm,0mm,0mm">
                <w:txbxContent>
                  <w:p>
                    <w:pPr>
                      <w:spacing w:before="20" w:line="194" w:lineRule="auto"/>
                      <w:ind w:firstLine="3212"/>
                      <w:rPr>
                        <w:rFonts w:ascii="宋体" w:hAnsi="宋体" w:eastAsia="宋体" w:cs="宋体"/>
                        <w:sz w:val="44"/>
                        <w:szCs w:val="44"/>
                      </w:rPr>
                    </w:pPr>
                    <w:bookmarkStart w:id="334" w:name="_bookmark15"/>
                    <w:bookmarkEnd w:id="334"/>
                    <w:r>
                      <w:rPr>
                        <w:rFonts w:ascii="宋体" w:hAnsi="宋体" w:eastAsia="宋体" w:cs="宋体"/>
                        <w:spacing w:val="-2"/>
                        <w:sz w:val="44"/>
                        <w:szCs w:val="44"/>
                        <w14:textOutline w14:w="7972" w14:cap="flat" w14:cmpd="sng">
                          <w14:solidFill>
                            <w14:srgbClr w14:val="000000"/>
                          </w14:solidFill>
                          <w14:prstDash w14:val="solid"/>
                          <w14:miter w14:val="0"/>
                        </w14:textOutline>
                      </w:rPr>
                      <w:t>工程单价计算表</w:t>
                    </w:r>
                  </w:p>
                  <w:p>
                    <w:pPr>
                      <w:spacing w:before="143" w:line="184" w:lineRule="auto"/>
                      <w:ind w:firstLine="272"/>
                      <w:rPr>
                        <w:rFonts w:ascii="宋体" w:hAnsi="宋体" w:eastAsia="宋体" w:cs="宋体"/>
                        <w:sz w:val="20"/>
                        <w:szCs w:val="20"/>
                      </w:rPr>
                    </w:pPr>
                    <w:r>
                      <w:rPr>
                        <w:rFonts w:ascii="宋体" w:hAnsi="宋体" w:eastAsia="宋体" w:cs="宋体"/>
                        <w:spacing w:val="-3"/>
                        <w:sz w:val="20"/>
                        <w:szCs w:val="20"/>
                      </w:rPr>
                      <w:t>工作内容</w:t>
                    </w:r>
                  </w:p>
                  <w:p>
                    <w:pPr>
                      <w:spacing w:before="148" w:line="184" w:lineRule="auto"/>
                      <w:ind w:firstLine="170"/>
                      <w:rPr>
                        <w:rFonts w:ascii="宋体" w:hAnsi="宋体" w:eastAsia="宋体" w:cs="宋体"/>
                        <w:sz w:val="20"/>
                        <w:szCs w:val="20"/>
                      </w:rPr>
                    </w:pPr>
                    <w:r>
                      <w:rPr>
                        <w:rFonts w:ascii="宋体" w:hAnsi="宋体" w:eastAsia="宋体" w:cs="宋体"/>
                        <w:spacing w:val="-14"/>
                        <w:sz w:val="20"/>
                        <w:szCs w:val="20"/>
                      </w:rPr>
                      <w:t>单价编号：</w:t>
                    </w:r>
                    <w:r>
                      <w:rPr>
                        <w:rFonts w:ascii="宋体" w:hAnsi="宋体" w:eastAsia="宋体" w:cs="宋体"/>
                        <w:spacing w:val="1"/>
                        <w:sz w:val="20"/>
                        <w:szCs w:val="20"/>
                      </w:rPr>
                      <w:t xml:space="preserve">                                                                    </w:t>
                    </w:r>
                    <w:r>
                      <w:rPr>
                        <w:rFonts w:ascii="宋体" w:hAnsi="宋体" w:eastAsia="宋体" w:cs="宋体"/>
                        <w:spacing w:val="-14"/>
                        <w:sz w:val="20"/>
                        <w:szCs w:val="20"/>
                      </w:rPr>
                      <w:t>定额单位:m3</w:t>
                    </w:r>
                  </w:p>
                  <w:p>
                    <w:pPr>
                      <w:spacing w:line="70" w:lineRule="exact"/>
                    </w:pPr>
                  </w:p>
                  <w:tbl>
                    <w:tblPr>
                      <w:tblStyle w:val="17"/>
                      <w:tblW w:w="942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648"/>
                      <w:gridCol w:w="888"/>
                      <w:gridCol w:w="1391"/>
                      <w:gridCol w:w="1535"/>
                      <w:gridCol w:w="1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83" w:type="dxa"/>
                          <w:vAlign w:val="top"/>
                        </w:tcPr>
                        <w:p>
                          <w:pPr>
                            <w:spacing w:before="133" w:line="184" w:lineRule="auto"/>
                            <w:ind w:firstLine="143"/>
                            <w:rPr>
                              <w:rFonts w:ascii="宋体" w:hAnsi="宋体" w:eastAsia="宋体" w:cs="宋体"/>
                              <w:sz w:val="20"/>
                              <w:szCs w:val="20"/>
                            </w:rPr>
                          </w:pPr>
                          <w:r>
                            <w:rPr>
                              <w:rFonts w:ascii="宋体" w:hAnsi="宋体" w:eastAsia="宋体" w:cs="宋体"/>
                              <w:spacing w:val="-2"/>
                              <w:sz w:val="20"/>
                              <w:szCs w:val="20"/>
                            </w:rPr>
                            <w:t>施工方法：</w:t>
                          </w:r>
                        </w:p>
                      </w:tc>
                      <w:tc>
                        <w:tcPr>
                          <w:tcW w:w="8141"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0" w:line="184" w:lineRule="auto"/>
                            <w:ind w:firstLine="445"/>
                            <w:rPr>
                              <w:rFonts w:ascii="宋体" w:hAnsi="宋体" w:eastAsia="宋体" w:cs="宋体"/>
                              <w:sz w:val="20"/>
                              <w:szCs w:val="20"/>
                            </w:rPr>
                          </w:pPr>
                          <w:r>
                            <w:rPr>
                              <w:rFonts w:ascii="宋体" w:hAnsi="宋体" w:eastAsia="宋体" w:cs="宋体"/>
                              <w:spacing w:val="-6"/>
                              <w:sz w:val="20"/>
                              <w:szCs w:val="20"/>
                            </w:rPr>
                            <w:t>编号</w:t>
                          </w:r>
                        </w:p>
                      </w:tc>
                      <w:tc>
                        <w:tcPr>
                          <w:tcW w:w="2648" w:type="dxa"/>
                          <w:vAlign w:val="top"/>
                        </w:tcPr>
                        <w:p>
                          <w:pPr>
                            <w:spacing w:before="80" w:line="184" w:lineRule="auto"/>
                            <w:ind w:firstLine="829"/>
                            <w:rPr>
                              <w:rFonts w:ascii="宋体" w:hAnsi="宋体" w:eastAsia="宋体" w:cs="宋体"/>
                              <w:sz w:val="20"/>
                              <w:szCs w:val="20"/>
                            </w:rPr>
                          </w:pPr>
                          <w:r>
                            <w:rPr>
                              <w:rFonts w:ascii="宋体" w:hAnsi="宋体" w:eastAsia="宋体" w:cs="宋体"/>
                              <w:spacing w:val="-3"/>
                              <w:sz w:val="20"/>
                              <w:szCs w:val="20"/>
                            </w:rPr>
                            <w:t>名称及规格</w:t>
                          </w:r>
                        </w:p>
                      </w:tc>
                      <w:tc>
                        <w:tcPr>
                          <w:tcW w:w="888" w:type="dxa"/>
                          <w:vAlign w:val="top"/>
                        </w:tcPr>
                        <w:p>
                          <w:pPr>
                            <w:spacing w:before="80" w:line="184" w:lineRule="auto"/>
                            <w:ind w:firstLine="251"/>
                            <w:rPr>
                              <w:rFonts w:ascii="宋体" w:hAnsi="宋体" w:eastAsia="宋体" w:cs="宋体"/>
                              <w:sz w:val="20"/>
                              <w:szCs w:val="20"/>
                            </w:rPr>
                          </w:pPr>
                          <w:r>
                            <w:rPr>
                              <w:rFonts w:ascii="宋体" w:hAnsi="宋体" w:eastAsia="宋体" w:cs="宋体"/>
                              <w:spacing w:val="-6"/>
                              <w:sz w:val="20"/>
                              <w:szCs w:val="20"/>
                            </w:rPr>
                            <w:t>单位</w:t>
                          </w:r>
                        </w:p>
                      </w:tc>
                      <w:tc>
                        <w:tcPr>
                          <w:tcW w:w="1391" w:type="dxa"/>
                          <w:vAlign w:val="top"/>
                        </w:tcPr>
                        <w:p>
                          <w:pPr>
                            <w:spacing w:before="80" w:line="184" w:lineRule="auto"/>
                            <w:ind w:firstLine="503"/>
                            <w:rPr>
                              <w:rFonts w:ascii="宋体" w:hAnsi="宋体" w:eastAsia="宋体" w:cs="宋体"/>
                              <w:sz w:val="20"/>
                              <w:szCs w:val="20"/>
                            </w:rPr>
                          </w:pPr>
                          <w:r>
                            <w:rPr>
                              <w:rFonts w:ascii="宋体" w:hAnsi="宋体" w:eastAsia="宋体" w:cs="宋体"/>
                              <w:spacing w:val="-6"/>
                              <w:sz w:val="20"/>
                              <w:szCs w:val="20"/>
                            </w:rPr>
                            <w:t>数量</w:t>
                          </w:r>
                        </w:p>
                      </w:tc>
                      <w:tc>
                        <w:tcPr>
                          <w:tcW w:w="1535" w:type="dxa"/>
                          <w:vAlign w:val="top"/>
                        </w:tcPr>
                        <w:p>
                          <w:pPr>
                            <w:spacing w:before="80" w:line="184" w:lineRule="auto"/>
                            <w:ind w:firstLine="576"/>
                            <w:rPr>
                              <w:rFonts w:ascii="宋体" w:hAnsi="宋体" w:eastAsia="宋体" w:cs="宋体"/>
                              <w:sz w:val="20"/>
                              <w:szCs w:val="20"/>
                            </w:rPr>
                          </w:pPr>
                          <w:r>
                            <w:rPr>
                              <w:rFonts w:ascii="宋体" w:hAnsi="宋体" w:eastAsia="宋体" w:cs="宋体"/>
                              <w:spacing w:val="-6"/>
                              <w:sz w:val="20"/>
                              <w:szCs w:val="20"/>
                            </w:rPr>
                            <w:t>单价</w:t>
                          </w:r>
                        </w:p>
                      </w:tc>
                      <w:tc>
                        <w:tcPr>
                          <w:tcW w:w="1679" w:type="dxa"/>
                          <w:vAlign w:val="top"/>
                        </w:tcPr>
                        <w:p>
                          <w:pPr>
                            <w:spacing w:before="80" w:line="184" w:lineRule="auto"/>
                            <w:ind w:firstLine="644"/>
                            <w:rPr>
                              <w:rFonts w:ascii="宋体" w:hAnsi="宋体" w:eastAsia="宋体" w:cs="宋体"/>
                              <w:sz w:val="20"/>
                              <w:szCs w:val="20"/>
                            </w:rPr>
                          </w:pPr>
                          <w:r>
                            <w:rPr>
                              <w:rFonts w:ascii="宋体" w:hAnsi="宋体" w:eastAsia="宋体" w:cs="宋体"/>
                              <w:spacing w:val="-5"/>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54" w:line="180" w:lineRule="auto"/>
                            <w:ind w:firstLine="548"/>
                            <w:rPr>
                              <w:rFonts w:ascii="宋体" w:hAnsi="宋体" w:eastAsia="宋体" w:cs="宋体"/>
                              <w:sz w:val="10"/>
                              <w:szCs w:val="10"/>
                            </w:rPr>
                          </w:pPr>
                          <w:r>
                            <w:rPr>
                              <w:rFonts w:ascii="宋体" w:hAnsi="宋体" w:eastAsia="宋体" w:cs="宋体"/>
                              <w:spacing w:val="30"/>
                              <w:w w:val="158"/>
                              <w:sz w:val="10"/>
                              <w:szCs w:val="10"/>
                            </w:rPr>
                            <w:t>一</w:t>
                          </w:r>
                        </w:p>
                      </w:tc>
                      <w:tc>
                        <w:tcPr>
                          <w:tcW w:w="2648" w:type="dxa"/>
                          <w:vAlign w:val="top"/>
                        </w:tcPr>
                        <w:p>
                          <w:pPr>
                            <w:spacing w:before="79" w:line="184" w:lineRule="auto"/>
                            <w:ind w:firstLine="110"/>
                            <w:rPr>
                              <w:rFonts w:ascii="宋体" w:hAnsi="宋体" w:eastAsia="宋体" w:cs="宋体"/>
                              <w:sz w:val="20"/>
                              <w:szCs w:val="20"/>
                            </w:rPr>
                          </w:pPr>
                          <w:r>
                            <w:rPr>
                              <w:rFonts w:ascii="宋体" w:hAnsi="宋体" w:eastAsia="宋体" w:cs="宋体"/>
                              <w:spacing w:val="-4"/>
                              <w:sz w:val="20"/>
                              <w:szCs w:val="20"/>
                            </w:rPr>
                            <w:t>直接费</w:t>
                          </w:r>
                        </w:p>
                      </w:tc>
                      <w:tc>
                        <w:tcPr>
                          <w:tcW w:w="888" w:type="dxa"/>
                          <w:vAlign w:val="top"/>
                        </w:tcPr>
                        <w:p>
                          <w:pPr>
                            <w:spacing w:before="79"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10" w:line="180" w:lineRule="auto"/>
                            <w:ind w:firstLine="610"/>
                            <w:rPr>
                              <w:rFonts w:ascii="宋体" w:hAnsi="宋体" w:eastAsia="宋体" w:cs="宋体"/>
                              <w:sz w:val="20"/>
                              <w:szCs w:val="20"/>
                            </w:rPr>
                          </w:pPr>
                          <w:r>
                            <w:rPr>
                              <w:rFonts w:ascii="宋体" w:hAnsi="宋体" w:eastAsia="宋体" w:cs="宋体"/>
                              <w:sz w:val="20"/>
                              <w:szCs w:val="20"/>
                            </w:rPr>
                            <w:t>1</w:t>
                          </w:r>
                        </w:p>
                      </w:tc>
                      <w:tc>
                        <w:tcPr>
                          <w:tcW w:w="2648" w:type="dxa"/>
                          <w:vAlign w:val="top"/>
                        </w:tcPr>
                        <w:p>
                          <w:pPr>
                            <w:spacing w:before="80" w:line="184" w:lineRule="auto"/>
                            <w:ind w:firstLine="109"/>
                            <w:rPr>
                              <w:rFonts w:ascii="宋体" w:hAnsi="宋体" w:eastAsia="宋体" w:cs="宋体"/>
                              <w:sz w:val="20"/>
                              <w:szCs w:val="20"/>
                            </w:rPr>
                          </w:pPr>
                          <w:r>
                            <w:rPr>
                              <w:rFonts w:ascii="宋体" w:hAnsi="宋体" w:eastAsia="宋体" w:cs="宋体"/>
                              <w:spacing w:val="-2"/>
                              <w:sz w:val="20"/>
                              <w:szCs w:val="20"/>
                            </w:rPr>
                            <w:t>基本直接费</w:t>
                          </w:r>
                        </w:p>
                      </w:tc>
                      <w:tc>
                        <w:tcPr>
                          <w:tcW w:w="888" w:type="dxa"/>
                          <w:vAlign w:val="top"/>
                        </w:tcPr>
                        <w:p>
                          <w:pPr>
                            <w:spacing w:before="80"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1" w:line="180" w:lineRule="auto"/>
                            <w:ind w:firstLine="509"/>
                            <w:rPr>
                              <w:rFonts w:ascii="宋体" w:hAnsi="宋体" w:eastAsia="宋体" w:cs="宋体"/>
                              <w:sz w:val="20"/>
                              <w:szCs w:val="20"/>
                            </w:rPr>
                          </w:pPr>
                          <w:r>
                            <w:rPr>
                              <w:rFonts w:ascii="宋体" w:hAnsi="宋体" w:eastAsia="宋体" w:cs="宋体"/>
                              <w:sz w:val="20"/>
                              <w:szCs w:val="20"/>
                            </w:rPr>
                            <w:t>1.1</w:t>
                          </w:r>
                        </w:p>
                      </w:tc>
                      <w:tc>
                        <w:tcPr>
                          <w:tcW w:w="2648" w:type="dxa"/>
                          <w:vAlign w:val="top"/>
                        </w:tcPr>
                        <w:p>
                          <w:pPr>
                            <w:spacing w:before="80" w:line="184" w:lineRule="auto"/>
                            <w:ind w:firstLine="110"/>
                            <w:rPr>
                              <w:rFonts w:ascii="宋体" w:hAnsi="宋体" w:eastAsia="宋体" w:cs="宋体"/>
                              <w:sz w:val="20"/>
                              <w:szCs w:val="20"/>
                            </w:rPr>
                          </w:pPr>
                          <w:r>
                            <w:rPr>
                              <w:rFonts w:ascii="宋体" w:hAnsi="宋体" w:eastAsia="宋体" w:cs="宋体"/>
                              <w:spacing w:val="-4"/>
                              <w:sz w:val="20"/>
                              <w:szCs w:val="20"/>
                            </w:rPr>
                            <w:t>人工费</w:t>
                          </w:r>
                        </w:p>
                      </w:tc>
                      <w:tc>
                        <w:tcPr>
                          <w:tcW w:w="888" w:type="dxa"/>
                          <w:vAlign w:val="top"/>
                        </w:tcPr>
                        <w:p>
                          <w:pPr>
                            <w:spacing w:before="80"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78" w:line="184" w:lineRule="auto"/>
                            <w:ind w:firstLine="252"/>
                            <w:rPr>
                              <w:rFonts w:ascii="宋体" w:hAnsi="宋体" w:eastAsia="宋体" w:cs="宋体"/>
                              <w:sz w:val="20"/>
                              <w:szCs w:val="20"/>
                            </w:rPr>
                          </w:pPr>
                          <w:r>
                            <w:rPr>
                              <w:rFonts w:ascii="宋体" w:hAnsi="宋体" w:eastAsia="宋体" w:cs="宋体"/>
                              <w:spacing w:val="-6"/>
                              <w:sz w:val="20"/>
                              <w:szCs w:val="20"/>
                            </w:rPr>
                            <w:t>工时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79" w:line="184" w:lineRule="auto"/>
                            <w:ind w:firstLine="252"/>
                            <w:rPr>
                              <w:rFonts w:ascii="宋体" w:hAnsi="宋体" w:eastAsia="宋体" w:cs="宋体"/>
                              <w:sz w:val="20"/>
                              <w:szCs w:val="20"/>
                            </w:rPr>
                          </w:pPr>
                          <w:r>
                            <w:rPr>
                              <w:rFonts w:ascii="宋体" w:hAnsi="宋体" w:eastAsia="宋体" w:cs="宋体"/>
                              <w:spacing w:val="-6"/>
                              <w:sz w:val="20"/>
                              <w:szCs w:val="20"/>
                            </w:rPr>
                            <w:t>工时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112" w:line="180" w:lineRule="auto"/>
                            <w:ind w:firstLine="509"/>
                            <w:rPr>
                              <w:rFonts w:ascii="宋体" w:hAnsi="宋体" w:eastAsia="宋体" w:cs="宋体"/>
                              <w:sz w:val="20"/>
                              <w:szCs w:val="20"/>
                            </w:rPr>
                          </w:pPr>
                          <w:r>
                            <w:rPr>
                              <w:rFonts w:ascii="宋体" w:hAnsi="宋体" w:eastAsia="宋体" w:cs="宋体"/>
                              <w:spacing w:val="-4"/>
                              <w:sz w:val="20"/>
                              <w:szCs w:val="20"/>
                            </w:rPr>
                            <w:t>1.2</w:t>
                          </w:r>
                        </w:p>
                      </w:tc>
                      <w:tc>
                        <w:tcPr>
                          <w:tcW w:w="2648" w:type="dxa"/>
                          <w:vAlign w:val="top"/>
                        </w:tcPr>
                        <w:p>
                          <w:pPr>
                            <w:spacing w:before="82" w:line="184" w:lineRule="auto"/>
                            <w:ind w:firstLine="109"/>
                            <w:rPr>
                              <w:rFonts w:ascii="宋体" w:hAnsi="宋体" w:eastAsia="宋体" w:cs="宋体"/>
                              <w:sz w:val="20"/>
                              <w:szCs w:val="20"/>
                            </w:rPr>
                          </w:pPr>
                          <w:r>
                            <w:rPr>
                              <w:rFonts w:ascii="宋体" w:hAnsi="宋体" w:eastAsia="宋体" w:cs="宋体"/>
                              <w:spacing w:val="-3"/>
                              <w:sz w:val="20"/>
                              <w:szCs w:val="20"/>
                            </w:rPr>
                            <w:t>材料费</w:t>
                          </w:r>
                        </w:p>
                      </w:tc>
                      <w:tc>
                        <w:tcPr>
                          <w:tcW w:w="888" w:type="dxa"/>
                          <w:vAlign w:val="top"/>
                        </w:tcPr>
                        <w:p>
                          <w:pPr>
                            <w:spacing w:before="82"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1"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2"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3" w:line="180" w:lineRule="auto"/>
                            <w:ind w:firstLine="509"/>
                            <w:rPr>
                              <w:rFonts w:ascii="宋体" w:hAnsi="宋体" w:eastAsia="宋体" w:cs="宋体"/>
                              <w:sz w:val="20"/>
                              <w:szCs w:val="20"/>
                            </w:rPr>
                          </w:pPr>
                          <w:r>
                            <w:rPr>
                              <w:rFonts w:ascii="宋体" w:hAnsi="宋体" w:eastAsia="宋体" w:cs="宋体"/>
                              <w:spacing w:val="-4"/>
                              <w:sz w:val="20"/>
                              <w:szCs w:val="20"/>
                            </w:rPr>
                            <w:t>1.3</w:t>
                          </w:r>
                        </w:p>
                      </w:tc>
                      <w:tc>
                        <w:tcPr>
                          <w:tcW w:w="2648" w:type="dxa"/>
                          <w:vAlign w:val="top"/>
                        </w:tcPr>
                        <w:p>
                          <w:pPr>
                            <w:spacing w:before="82" w:line="184" w:lineRule="auto"/>
                            <w:ind w:firstLine="108"/>
                            <w:rPr>
                              <w:rFonts w:ascii="宋体" w:hAnsi="宋体" w:eastAsia="宋体" w:cs="宋体"/>
                              <w:sz w:val="20"/>
                              <w:szCs w:val="20"/>
                            </w:rPr>
                          </w:pPr>
                          <w:r>
                            <w:rPr>
                              <w:rFonts w:ascii="宋体" w:hAnsi="宋体" w:eastAsia="宋体" w:cs="宋体"/>
                              <w:spacing w:val="-2"/>
                              <w:sz w:val="20"/>
                              <w:szCs w:val="20"/>
                            </w:rPr>
                            <w:t>机械使用费</w:t>
                          </w:r>
                        </w:p>
                      </w:tc>
                      <w:tc>
                        <w:tcPr>
                          <w:tcW w:w="888" w:type="dxa"/>
                          <w:vAlign w:val="top"/>
                        </w:tcPr>
                        <w:p>
                          <w:pPr>
                            <w:spacing w:before="82"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0"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1"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4"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spacing w:before="84" w:line="184" w:lineRule="auto"/>
                            <w:ind w:firstLine="265"/>
                            <w:rPr>
                              <w:rFonts w:ascii="宋体" w:hAnsi="宋体" w:eastAsia="宋体" w:cs="宋体"/>
                              <w:sz w:val="20"/>
                              <w:szCs w:val="20"/>
                            </w:rPr>
                          </w:pPr>
                          <w:r>
                            <w:rPr>
                              <w:rFonts w:ascii="宋体" w:hAnsi="宋体" w:eastAsia="宋体" w:cs="宋体"/>
                              <w:spacing w:val="-13"/>
                              <w:sz w:val="20"/>
                              <w:szCs w:val="20"/>
                            </w:rPr>
                            <w:t>台时</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115" w:line="180" w:lineRule="auto"/>
                            <w:ind w:firstLine="509"/>
                            <w:rPr>
                              <w:rFonts w:ascii="宋体" w:hAnsi="宋体" w:eastAsia="宋体" w:cs="宋体"/>
                              <w:sz w:val="20"/>
                              <w:szCs w:val="20"/>
                            </w:rPr>
                          </w:pPr>
                          <w:r>
                            <w:rPr>
                              <w:rFonts w:ascii="宋体" w:hAnsi="宋体" w:eastAsia="宋体" w:cs="宋体"/>
                              <w:spacing w:val="-5"/>
                              <w:sz w:val="20"/>
                              <w:szCs w:val="20"/>
                            </w:rPr>
                            <w:t>1.4</w:t>
                          </w:r>
                        </w:p>
                      </w:tc>
                      <w:tc>
                        <w:tcPr>
                          <w:tcW w:w="2648" w:type="dxa"/>
                          <w:vAlign w:val="top"/>
                        </w:tcPr>
                        <w:p>
                          <w:pPr>
                            <w:spacing w:before="85" w:line="184" w:lineRule="auto"/>
                            <w:ind w:firstLine="110"/>
                            <w:rPr>
                              <w:rFonts w:ascii="宋体" w:hAnsi="宋体" w:eastAsia="宋体" w:cs="宋体"/>
                              <w:sz w:val="20"/>
                              <w:szCs w:val="20"/>
                            </w:rPr>
                          </w:pPr>
                          <w:r>
                            <w:rPr>
                              <w:rFonts w:ascii="宋体" w:hAnsi="宋体" w:eastAsia="宋体" w:cs="宋体"/>
                              <w:spacing w:val="-3"/>
                              <w:sz w:val="20"/>
                              <w:szCs w:val="20"/>
                            </w:rPr>
                            <w:t>其他费用</w:t>
                          </w:r>
                        </w:p>
                      </w:tc>
                      <w:tc>
                        <w:tcPr>
                          <w:tcW w:w="888" w:type="dxa"/>
                          <w:vAlign w:val="top"/>
                        </w:tcPr>
                        <w:p>
                          <w:pPr>
                            <w:spacing w:before="85"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116" w:line="180" w:lineRule="auto"/>
                            <w:ind w:firstLine="597"/>
                            <w:rPr>
                              <w:rFonts w:ascii="宋体" w:hAnsi="宋体" w:eastAsia="宋体" w:cs="宋体"/>
                              <w:sz w:val="20"/>
                              <w:szCs w:val="20"/>
                            </w:rPr>
                          </w:pPr>
                          <w:r>
                            <w:rPr>
                              <w:rFonts w:ascii="宋体" w:hAnsi="宋体" w:eastAsia="宋体" w:cs="宋体"/>
                              <w:sz w:val="20"/>
                              <w:szCs w:val="20"/>
                            </w:rPr>
                            <w:t>2</w:t>
                          </w:r>
                        </w:p>
                      </w:tc>
                      <w:tc>
                        <w:tcPr>
                          <w:tcW w:w="2648" w:type="dxa"/>
                          <w:vAlign w:val="top"/>
                        </w:tcPr>
                        <w:p>
                          <w:pPr>
                            <w:spacing w:before="84" w:line="184" w:lineRule="auto"/>
                            <w:ind w:firstLine="110"/>
                            <w:rPr>
                              <w:rFonts w:ascii="宋体" w:hAnsi="宋体" w:eastAsia="宋体" w:cs="宋体"/>
                              <w:sz w:val="20"/>
                              <w:szCs w:val="20"/>
                            </w:rPr>
                          </w:pPr>
                          <w:r>
                            <w:rPr>
                              <w:rFonts w:ascii="宋体" w:hAnsi="宋体" w:eastAsia="宋体" w:cs="宋体"/>
                              <w:spacing w:val="-2"/>
                              <w:sz w:val="20"/>
                              <w:szCs w:val="20"/>
                            </w:rPr>
                            <w:t>其他直接费</w:t>
                          </w:r>
                        </w:p>
                      </w:tc>
                      <w:tc>
                        <w:tcPr>
                          <w:tcW w:w="888" w:type="dxa"/>
                          <w:vAlign w:val="top"/>
                        </w:tcPr>
                        <w:p>
                          <w:pPr>
                            <w:spacing w:before="84"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119" w:line="180" w:lineRule="auto"/>
                            <w:ind w:firstLine="548"/>
                            <w:rPr>
                              <w:rFonts w:ascii="宋体" w:hAnsi="宋体" w:eastAsia="宋体" w:cs="宋体"/>
                              <w:sz w:val="20"/>
                              <w:szCs w:val="20"/>
                            </w:rPr>
                          </w:pPr>
                          <w:r>
                            <w:rPr>
                              <w:rFonts w:ascii="宋体" w:hAnsi="宋体" w:eastAsia="宋体" w:cs="宋体"/>
                              <w:sz w:val="20"/>
                              <w:szCs w:val="20"/>
                            </w:rPr>
                            <w:t>二</w:t>
                          </w:r>
                        </w:p>
                      </w:tc>
                      <w:tc>
                        <w:tcPr>
                          <w:tcW w:w="2648" w:type="dxa"/>
                          <w:vAlign w:val="top"/>
                        </w:tcPr>
                        <w:p>
                          <w:pPr>
                            <w:spacing w:before="82" w:line="184" w:lineRule="auto"/>
                            <w:ind w:firstLine="124"/>
                            <w:rPr>
                              <w:rFonts w:ascii="宋体" w:hAnsi="宋体" w:eastAsia="宋体" w:cs="宋体"/>
                              <w:sz w:val="20"/>
                              <w:szCs w:val="20"/>
                            </w:rPr>
                          </w:pPr>
                          <w:r>
                            <w:rPr>
                              <w:rFonts w:ascii="宋体" w:hAnsi="宋体" w:eastAsia="宋体" w:cs="宋体"/>
                              <w:spacing w:val="-8"/>
                              <w:sz w:val="20"/>
                              <w:szCs w:val="20"/>
                            </w:rPr>
                            <w:t>间接费</w:t>
                          </w:r>
                        </w:p>
                      </w:tc>
                      <w:tc>
                        <w:tcPr>
                          <w:tcW w:w="888" w:type="dxa"/>
                          <w:vAlign w:val="top"/>
                        </w:tcPr>
                        <w:p>
                          <w:pPr>
                            <w:spacing w:before="82"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3" w:line="184" w:lineRule="auto"/>
                            <w:ind w:firstLine="545"/>
                            <w:rPr>
                              <w:rFonts w:ascii="宋体" w:hAnsi="宋体" w:eastAsia="宋体" w:cs="宋体"/>
                              <w:sz w:val="20"/>
                              <w:szCs w:val="20"/>
                            </w:rPr>
                          </w:pPr>
                          <w:r>
                            <w:rPr>
                              <w:rFonts w:ascii="宋体" w:hAnsi="宋体" w:eastAsia="宋体" w:cs="宋体"/>
                              <w:sz w:val="20"/>
                              <w:szCs w:val="20"/>
                            </w:rPr>
                            <w:t>三</w:t>
                          </w:r>
                        </w:p>
                      </w:tc>
                      <w:tc>
                        <w:tcPr>
                          <w:tcW w:w="2648" w:type="dxa"/>
                          <w:vAlign w:val="top"/>
                        </w:tcPr>
                        <w:p>
                          <w:pPr>
                            <w:spacing w:before="83" w:line="184" w:lineRule="auto"/>
                            <w:ind w:firstLine="110"/>
                            <w:rPr>
                              <w:rFonts w:ascii="宋体" w:hAnsi="宋体" w:eastAsia="宋体" w:cs="宋体"/>
                              <w:sz w:val="20"/>
                              <w:szCs w:val="20"/>
                            </w:rPr>
                          </w:pPr>
                          <w:r>
                            <w:rPr>
                              <w:rFonts w:ascii="宋体" w:hAnsi="宋体" w:eastAsia="宋体" w:cs="宋体"/>
                              <w:spacing w:val="-5"/>
                              <w:sz w:val="20"/>
                              <w:szCs w:val="20"/>
                            </w:rPr>
                            <w:t>利润</w:t>
                          </w:r>
                        </w:p>
                      </w:tc>
                      <w:tc>
                        <w:tcPr>
                          <w:tcW w:w="888" w:type="dxa"/>
                          <w:vAlign w:val="top"/>
                        </w:tcPr>
                        <w:p>
                          <w:pPr>
                            <w:spacing w:before="83"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5" w:line="184" w:lineRule="auto"/>
                            <w:ind w:firstLine="563"/>
                            <w:rPr>
                              <w:rFonts w:ascii="宋体" w:hAnsi="宋体" w:eastAsia="宋体" w:cs="宋体"/>
                              <w:sz w:val="20"/>
                              <w:szCs w:val="20"/>
                            </w:rPr>
                          </w:pPr>
                          <w:r>
                            <w:rPr>
                              <w:rFonts w:ascii="宋体" w:hAnsi="宋体" w:eastAsia="宋体" w:cs="宋体"/>
                              <w:sz w:val="20"/>
                              <w:szCs w:val="20"/>
                            </w:rPr>
                            <w:t>四</w:t>
                          </w:r>
                        </w:p>
                      </w:tc>
                      <w:tc>
                        <w:tcPr>
                          <w:tcW w:w="2648" w:type="dxa"/>
                          <w:vAlign w:val="top"/>
                        </w:tcPr>
                        <w:p>
                          <w:pPr>
                            <w:spacing w:before="85" w:line="184" w:lineRule="auto"/>
                            <w:ind w:firstLine="112"/>
                            <w:rPr>
                              <w:rFonts w:ascii="宋体" w:hAnsi="宋体" w:eastAsia="宋体" w:cs="宋体"/>
                              <w:sz w:val="20"/>
                              <w:szCs w:val="20"/>
                            </w:rPr>
                          </w:pPr>
                          <w:r>
                            <w:rPr>
                              <w:rFonts w:ascii="宋体" w:hAnsi="宋体" w:eastAsia="宋体" w:cs="宋体"/>
                              <w:spacing w:val="-3"/>
                              <w:sz w:val="20"/>
                              <w:szCs w:val="20"/>
                            </w:rPr>
                            <w:t>未计价材料</w:t>
                          </w:r>
                        </w:p>
                      </w:tc>
                      <w:tc>
                        <w:tcPr>
                          <w:tcW w:w="888" w:type="dxa"/>
                          <w:vAlign w:val="top"/>
                        </w:tcPr>
                        <w:p>
                          <w:pPr>
                            <w:spacing w:before="85"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spacing w:before="84" w:line="184" w:lineRule="auto"/>
                            <w:ind w:firstLine="548"/>
                            <w:rPr>
                              <w:rFonts w:ascii="宋体" w:hAnsi="宋体" w:eastAsia="宋体" w:cs="宋体"/>
                              <w:sz w:val="20"/>
                              <w:szCs w:val="20"/>
                            </w:rPr>
                          </w:pPr>
                          <w:r>
                            <w:rPr>
                              <w:rFonts w:ascii="宋体" w:hAnsi="宋体" w:eastAsia="宋体" w:cs="宋体"/>
                              <w:sz w:val="20"/>
                              <w:szCs w:val="20"/>
                            </w:rPr>
                            <w:t>五</w:t>
                          </w:r>
                        </w:p>
                      </w:tc>
                      <w:tc>
                        <w:tcPr>
                          <w:tcW w:w="2648" w:type="dxa"/>
                          <w:vAlign w:val="top"/>
                        </w:tcPr>
                        <w:p>
                          <w:pPr>
                            <w:spacing w:before="84" w:line="184" w:lineRule="auto"/>
                            <w:ind w:firstLine="109"/>
                            <w:rPr>
                              <w:rFonts w:ascii="宋体" w:hAnsi="宋体" w:eastAsia="宋体" w:cs="宋体"/>
                              <w:sz w:val="20"/>
                              <w:szCs w:val="20"/>
                            </w:rPr>
                          </w:pPr>
                          <w:r>
                            <w:rPr>
                              <w:rFonts w:ascii="宋体" w:hAnsi="宋体" w:eastAsia="宋体" w:cs="宋体"/>
                              <w:spacing w:val="-2"/>
                              <w:sz w:val="20"/>
                              <w:szCs w:val="20"/>
                            </w:rPr>
                            <w:t>材料补差</w:t>
                          </w:r>
                        </w:p>
                      </w:tc>
                      <w:tc>
                        <w:tcPr>
                          <w:tcW w:w="888" w:type="dxa"/>
                          <w:vAlign w:val="top"/>
                        </w:tcPr>
                        <w:p>
                          <w:pPr>
                            <w:spacing w:before="84"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spacing w:before="85" w:line="184" w:lineRule="auto"/>
                            <w:ind w:firstLine="546"/>
                            <w:rPr>
                              <w:rFonts w:ascii="宋体" w:hAnsi="宋体" w:eastAsia="宋体" w:cs="宋体"/>
                              <w:sz w:val="20"/>
                              <w:szCs w:val="20"/>
                            </w:rPr>
                          </w:pPr>
                          <w:r>
                            <w:rPr>
                              <w:rFonts w:ascii="宋体" w:hAnsi="宋体" w:eastAsia="宋体" w:cs="宋体"/>
                              <w:sz w:val="20"/>
                              <w:szCs w:val="20"/>
                            </w:rPr>
                            <w:t>六</w:t>
                          </w:r>
                        </w:p>
                      </w:tc>
                      <w:tc>
                        <w:tcPr>
                          <w:tcW w:w="2648" w:type="dxa"/>
                          <w:vAlign w:val="top"/>
                        </w:tcPr>
                        <w:p>
                          <w:pPr>
                            <w:spacing w:before="85" w:line="184" w:lineRule="auto"/>
                            <w:ind w:firstLine="108"/>
                            <w:rPr>
                              <w:rFonts w:ascii="宋体" w:hAnsi="宋体" w:eastAsia="宋体" w:cs="宋体"/>
                              <w:sz w:val="20"/>
                              <w:szCs w:val="20"/>
                            </w:rPr>
                          </w:pPr>
                          <w:r>
                            <w:rPr>
                              <w:rFonts w:ascii="宋体" w:hAnsi="宋体" w:eastAsia="宋体" w:cs="宋体"/>
                              <w:spacing w:val="-4"/>
                              <w:sz w:val="20"/>
                              <w:szCs w:val="20"/>
                            </w:rPr>
                            <w:t>税金</w:t>
                          </w:r>
                        </w:p>
                      </w:tc>
                      <w:tc>
                        <w:tcPr>
                          <w:tcW w:w="888" w:type="dxa"/>
                          <w:vAlign w:val="top"/>
                        </w:tcPr>
                        <w:p>
                          <w:pPr>
                            <w:spacing w:before="85" w:line="184" w:lineRule="auto"/>
                            <w:ind w:firstLine="393"/>
                            <w:rPr>
                              <w:rFonts w:ascii="宋体" w:hAnsi="宋体" w:eastAsia="宋体" w:cs="宋体"/>
                              <w:sz w:val="20"/>
                              <w:szCs w:val="20"/>
                            </w:rPr>
                          </w:pPr>
                          <w:r>
                            <w:rPr>
                              <w:rFonts w:ascii="宋体" w:hAnsi="宋体" w:eastAsia="宋体" w:cs="宋体"/>
                              <w:sz w:val="20"/>
                              <w:szCs w:val="20"/>
                            </w:rPr>
                            <w:t>%</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83" w:type="dxa"/>
                          <w:vAlign w:val="top"/>
                        </w:tcPr>
                        <w:p>
                          <w:pPr>
                            <w:spacing w:before="84" w:line="184" w:lineRule="auto"/>
                            <w:ind w:firstLine="544"/>
                            <w:rPr>
                              <w:rFonts w:ascii="宋体" w:hAnsi="宋体" w:eastAsia="宋体" w:cs="宋体"/>
                              <w:sz w:val="20"/>
                              <w:szCs w:val="20"/>
                            </w:rPr>
                          </w:pPr>
                          <w:r>
                            <w:rPr>
                              <w:rFonts w:ascii="宋体" w:hAnsi="宋体" w:eastAsia="宋体" w:cs="宋体"/>
                              <w:sz w:val="20"/>
                              <w:szCs w:val="20"/>
                            </w:rPr>
                            <w:t>七</w:t>
                          </w:r>
                        </w:p>
                      </w:tc>
                      <w:tc>
                        <w:tcPr>
                          <w:tcW w:w="2648" w:type="dxa"/>
                          <w:vAlign w:val="top"/>
                        </w:tcPr>
                        <w:p>
                          <w:pPr>
                            <w:spacing w:before="84" w:line="184" w:lineRule="auto"/>
                            <w:ind w:firstLine="110"/>
                            <w:rPr>
                              <w:rFonts w:ascii="宋体" w:hAnsi="宋体" w:eastAsia="宋体" w:cs="宋体"/>
                              <w:sz w:val="20"/>
                              <w:szCs w:val="20"/>
                            </w:rPr>
                          </w:pPr>
                          <w:r>
                            <w:rPr>
                              <w:rFonts w:ascii="宋体" w:hAnsi="宋体" w:eastAsia="宋体" w:cs="宋体"/>
                              <w:spacing w:val="-5"/>
                              <w:sz w:val="20"/>
                              <w:szCs w:val="20"/>
                            </w:rPr>
                            <w:t>合计</w:t>
                          </w:r>
                        </w:p>
                      </w:tc>
                      <w:tc>
                        <w:tcPr>
                          <w:tcW w:w="888" w:type="dxa"/>
                          <w:vAlign w:val="top"/>
                        </w:tcPr>
                        <w:p>
                          <w:pPr>
                            <w:spacing w:before="84" w:line="184" w:lineRule="auto"/>
                            <w:ind w:firstLine="350"/>
                            <w:rPr>
                              <w:rFonts w:ascii="宋体" w:hAnsi="宋体" w:eastAsia="宋体" w:cs="宋体"/>
                              <w:sz w:val="20"/>
                              <w:szCs w:val="20"/>
                            </w:rPr>
                          </w:pPr>
                          <w:r>
                            <w:rPr>
                              <w:rFonts w:ascii="宋体" w:hAnsi="宋体" w:eastAsia="宋体" w:cs="宋体"/>
                              <w:sz w:val="20"/>
                              <w:szCs w:val="20"/>
                            </w:rPr>
                            <w:t>元</w:t>
                          </w: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83" w:type="dxa"/>
                          <w:vAlign w:val="top"/>
                        </w:tcPr>
                        <w:p>
                          <w:pPr>
                            <w:rPr>
                              <w:rFonts w:ascii="宋体"/>
                              <w:sz w:val="21"/>
                            </w:rPr>
                          </w:pPr>
                        </w:p>
                      </w:tc>
                      <w:tc>
                        <w:tcPr>
                          <w:tcW w:w="2648" w:type="dxa"/>
                          <w:vAlign w:val="top"/>
                        </w:tcPr>
                        <w:p>
                          <w:pPr>
                            <w:rPr>
                              <w:rFonts w:ascii="宋体"/>
                              <w:sz w:val="21"/>
                            </w:rPr>
                          </w:pPr>
                        </w:p>
                      </w:tc>
                      <w:tc>
                        <w:tcPr>
                          <w:tcW w:w="888" w:type="dxa"/>
                          <w:vAlign w:val="top"/>
                        </w:tcPr>
                        <w:p>
                          <w:pPr>
                            <w:rPr>
                              <w:rFonts w:ascii="宋体"/>
                              <w:sz w:val="21"/>
                            </w:rPr>
                          </w:pPr>
                        </w:p>
                      </w:tc>
                      <w:tc>
                        <w:tcPr>
                          <w:tcW w:w="1391" w:type="dxa"/>
                          <w:vAlign w:val="top"/>
                        </w:tcPr>
                        <w:p>
                          <w:pPr>
                            <w:rPr>
                              <w:rFonts w:ascii="宋体"/>
                              <w:sz w:val="21"/>
                            </w:rPr>
                          </w:pPr>
                        </w:p>
                      </w:tc>
                      <w:tc>
                        <w:tcPr>
                          <w:tcW w:w="1535" w:type="dxa"/>
                          <w:vAlign w:val="top"/>
                        </w:tcPr>
                        <w:p>
                          <w:pPr>
                            <w:rPr>
                              <w:rFonts w:ascii="宋体"/>
                              <w:sz w:val="21"/>
                            </w:rPr>
                          </w:pPr>
                        </w:p>
                      </w:tc>
                      <w:tc>
                        <w:tcPr>
                          <w:tcW w:w="1679" w:type="dxa"/>
                          <w:vAlign w:val="top"/>
                        </w:tcPr>
                        <w:p>
                          <w:pPr>
                            <w:rPr>
                              <w:rFonts w:ascii="宋体"/>
                              <w:sz w:val="21"/>
                            </w:rPr>
                          </w:pPr>
                        </w:p>
                      </w:tc>
                    </w:tr>
                  </w:tbl>
                  <w:p>
                    <w:pPr>
                      <w:rPr>
                        <w:rFonts w:ascii="宋体"/>
                        <w:sz w:val="21"/>
                      </w:rPr>
                    </w:pPr>
                  </w:p>
                </w:txbxContent>
              </v:textbox>
            </v:shape>
            <w10:wrap type="none"/>
            <w10:anchorlock/>
          </v:group>
        </w:pict>
      </w:r>
    </w:p>
    <w:p>
      <w:pPr>
        <w:spacing w:line="245" w:lineRule="auto"/>
        <w:rPr>
          <w:rFonts w:hint="eastAsia" w:ascii="宋体" w:hAnsi="宋体" w:eastAsia="宋体" w:cs="宋体"/>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投标人</w:t>
      </w:r>
      <w:r>
        <w:rPr>
          <w:rFonts w:hint="eastAsia" w:ascii="宋体" w:hAnsi="宋体" w:eastAsia="宋体" w:cs="宋体"/>
          <w:color w:val="auto"/>
          <w:spacing w:val="-8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6"/>
          <w:sz w:val="24"/>
          <w:szCs w:val="24"/>
          <w:highlight w:val="none"/>
          <w:u w:val="single" w:color="auto"/>
        </w:rPr>
        <w:t>（</w:t>
      </w:r>
      <w:r>
        <w:rPr>
          <w:rFonts w:hint="eastAsia" w:ascii="宋体" w:hAnsi="宋体" w:eastAsia="宋体" w:cs="宋体"/>
          <w:color w:val="auto"/>
          <w:spacing w:val="-11"/>
          <w:sz w:val="24"/>
          <w:szCs w:val="24"/>
          <w:highlight w:val="none"/>
          <w:u w:val="single" w:color="auto"/>
        </w:rPr>
        <w:t>加盖单位公章）</w:t>
      </w:r>
    </w:p>
    <w:p>
      <w:pPr>
        <w:keepNext w:val="0"/>
        <w:keepLines w:val="0"/>
        <w:pageBreakBefore w:val="0"/>
        <w:widowControl/>
        <w:kinsoku w:val="0"/>
        <w:wordWrap/>
        <w:overflowPunct/>
        <w:topLinePunct w:val="0"/>
        <w:autoSpaceDE w:val="0"/>
        <w:autoSpaceDN w:val="0"/>
        <w:bidi w:val="0"/>
        <w:adjustRightInd w:val="0"/>
        <w:snapToGrid w:val="0"/>
        <w:spacing w:before="26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keepNext w:val="0"/>
        <w:keepLines w:val="0"/>
        <w:pageBreakBefore w:val="0"/>
        <w:widowControl/>
        <w:kinsoku w:val="0"/>
        <w:wordWrap/>
        <w:overflowPunct/>
        <w:topLinePunct w:val="0"/>
        <w:autoSpaceDE w:val="0"/>
        <w:autoSpaceDN w:val="0"/>
        <w:bidi w:val="0"/>
        <w:adjustRightInd w:val="0"/>
        <w:snapToGrid w:val="0"/>
        <w:spacing w:before="261" w:line="240" w:lineRule="auto"/>
        <w:ind w:right="1271"/>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报价编制人</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3"/>
          <w:sz w:val="24"/>
          <w:szCs w:val="24"/>
          <w:highlight w:val="none"/>
        </w:rPr>
        <w:t>（</w:t>
      </w:r>
      <w:r>
        <w:rPr>
          <w:rFonts w:hint="eastAsia" w:ascii="宋体" w:hAnsi="宋体" w:eastAsia="宋体" w:cs="宋体"/>
          <w:color w:val="auto"/>
          <w:spacing w:val="1"/>
          <w:sz w:val="24"/>
          <w:szCs w:val="24"/>
          <w:highlight w:val="none"/>
        </w:rPr>
        <w:t>签字或加盖执业</w:t>
      </w:r>
      <w:r>
        <w:rPr>
          <w:rFonts w:hint="eastAsia" w:ascii="宋体" w:hAnsi="宋体" w:eastAsia="宋体" w:cs="宋体"/>
          <w:color w:val="auto"/>
          <w:spacing w:val="1"/>
          <w:sz w:val="24"/>
          <w:szCs w:val="24"/>
          <w:highlight w:val="none"/>
          <w:lang w:eastAsia="zh-CN"/>
        </w:rPr>
        <w:t>章）</w:t>
      </w:r>
    </w:p>
    <w:p>
      <w:pPr>
        <w:keepNext w:val="0"/>
        <w:keepLines w:val="0"/>
        <w:pageBreakBefore w:val="0"/>
        <w:widowControl/>
        <w:kinsoku w:val="0"/>
        <w:wordWrap/>
        <w:overflowPunct/>
        <w:topLinePunct w:val="0"/>
        <w:autoSpaceDE w:val="0"/>
        <w:autoSpaceDN w:val="0"/>
        <w:bidi w:val="0"/>
        <w:adjustRightInd w:val="0"/>
        <w:snapToGrid w:val="0"/>
        <w:spacing w:before="261" w:line="240" w:lineRule="auto"/>
        <w:ind w:left="5483" w:right="1271" w:hanging="11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日</w:t>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282" w:name="_Toc18784"/>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 xml:space="preserve">9.6 </w:t>
      </w:r>
      <w:r>
        <w:rPr>
          <w:rFonts w:hint="eastAsia" w:ascii="宋体" w:hAnsi="宋体" w:eastAsia="宋体" w:cs="宋体"/>
          <w:b/>
          <w:color w:val="auto"/>
          <w:sz w:val="28"/>
          <w:highlight w:val="none"/>
        </w:rPr>
        <w:t>项目管理机构</w:t>
      </w:r>
      <w:bookmarkEnd w:id="282"/>
    </w:p>
    <w:p>
      <w:pPr>
        <w:spacing w:line="360" w:lineRule="auto"/>
        <w:jc w:val="center"/>
        <w:rPr>
          <w:rFonts w:hint="eastAsia" w:ascii="宋体" w:hAnsi="宋体" w:eastAsia="宋体" w:cs="宋体"/>
          <w:color w:val="auto"/>
          <w:sz w:val="23"/>
          <w:szCs w:val="23"/>
          <w:highlight w:val="none"/>
        </w:rPr>
      </w:pPr>
    </w:p>
    <w:p>
      <w:pPr>
        <w:pStyle w:val="20"/>
        <w:jc w:val="center"/>
        <w:outlineLvl w:val="0"/>
        <w:rPr>
          <w:rFonts w:hint="eastAsia" w:ascii="宋体" w:hAnsi="宋体" w:eastAsia="宋体" w:cs="宋体"/>
          <w:color w:val="auto"/>
          <w:highlight w:val="none"/>
        </w:rPr>
      </w:pPr>
      <w:bookmarkStart w:id="283" w:name="_Toc462457024"/>
      <w:bookmarkStart w:id="284" w:name="_Toc221952116"/>
      <w:bookmarkStart w:id="285" w:name="_Toc144974872"/>
      <w:bookmarkStart w:id="286" w:name="_Toc168476334"/>
      <w:bookmarkStart w:id="287" w:name="_Toc168475931"/>
      <w:bookmarkStart w:id="288" w:name="_Toc30364"/>
      <w:r>
        <w:rPr>
          <w:rFonts w:hint="eastAsia" w:ascii="宋体" w:hAnsi="宋体" w:eastAsia="宋体" w:cs="宋体"/>
          <w:color w:val="auto"/>
          <w:highlight w:val="none"/>
        </w:rPr>
        <w:t>（一）项目管理机构组成表</w:t>
      </w:r>
      <w:bookmarkEnd w:id="283"/>
      <w:bookmarkEnd w:id="284"/>
      <w:bookmarkEnd w:id="285"/>
      <w:bookmarkEnd w:id="286"/>
      <w:bookmarkEnd w:id="287"/>
      <w:bookmarkEnd w:id="288"/>
    </w:p>
    <w:p>
      <w:pPr>
        <w:spacing w:line="360" w:lineRule="auto"/>
        <w:jc w:val="center"/>
        <w:rPr>
          <w:rFonts w:hint="eastAsia" w:ascii="宋体" w:hAnsi="宋体" w:eastAsia="宋体" w:cs="宋体"/>
          <w:color w:val="auto"/>
          <w:sz w:val="23"/>
          <w:szCs w:val="23"/>
          <w:highlight w:val="none"/>
        </w:rPr>
      </w:pP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5"/>
        <w:gridCol w:w="784"/>
        <w:gridCol w:w="1177"/>
        <w:gridCol w:w="784"/>
        <w:gridCol w:w="786"/>
        <w:gridCol w:w="784"/>
        <w:gridCol w:w="274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spacing w:line="360" w:lineRule="auto"/>
              <w:jc w:val="center"/>
              <w:rPr>
                <w:rFonts w:hint="eastAsia" w:ascii="宋体" w:hAnsi="宋体" w:eastAsia="宋体" w:cs="宋体"/>
                <w:color w:val="auto"/>
                <w:highlight w:val="none"/>
              </w:rPr>
            </w:pPr>
            <w:bookmarkStart w:id="289" w:name="_Toc221952117"/>
            <w:r>
              <w:rPr>
                <w:rFonts w:hint="eastAsia" w:ascii="宋体" w:hAnsi="宋体" w:eastAsia="宋体" w:cs="宋体"/>
                <w:color w:val="auto"/>
                <w:highlight w:val="none"/>
              </w:rPr>
              <w:t>职务</w:t>
            </w:r>
            <w:bookmarkEnd w:id="289"/>
          </w:p>
        </w:tc>
        <w:tc>
          <w:tcPr>
            <w:tcW w:w="785" w:type="dxa"/>
            <w:vMerge w:val="restart"/>
            <w:vAlign w:val="center"/>
          </w:tcPr>
          <w:p>
            <w:pPr>
              <w:spacing w:line="360" w:lineRule="auto"/>
              <w:jc w:val="center"/>
              <w:rPr>
                <w:rFonts w:hint="eastAsia" w:ascii="宋体" w:hAnsi="宋体" w:eastAsia="宋体" w:cs="宋体"/>
                <w:color w:val="auto"/>
                <w:highlight w:val="none"/>
              </w:rPr>
            </w:pPr>
            <w:bookmarkStart w:id="290" w:name="_Toc221952118"/>
            <w:r>
              <w:rPr>
                <w:rFonts w:hint="eastAsia" w:ascii="宋体" w:hAnsi="宋体" w:eastAsia="宋体" w:cs="宋体"/>
                <w:color w:val="auto"/>
                <w:highlight w:val="none"/>
              </w:rPr>
              <w:t>姓名</w:t>
            </w:r>
            <w:bookmarkEnd w:id="290"/>
          </w:p>
        </w:tc>
        <w:tc>
          <w:tcPr>
            <w:tcW w:w="784" w:type="dxa"/>
            <w:vMerge w:val="restart"/>
            <w:vAlign w:val="center"/>
          </w:tcPr>
          <w:p>
            <w:pPr>
              <w:spacing w:line="360" w:lineRule="auto"/>
              <w:jc w:val="center"/>
              <w:rPr>
                <w:rFonts w:hint="eastAsia" w:ascii="宋体" w:hAnsi="宋体" w:eastAsia="宋体" w:cs="宋体"/>
                <w:color w:val="auto"/>
                <w:highlight w:val="none"/>
              </w:rPr>
            </w:pPr>
            <w:bookmarkStart w:id="291" w:name="_Toc221952119"/>
            <w:r>
              <w:rPr>
                <w:rFonts w:hint="eastAsia" w:ascii="宋体" w:hAnsi="宋体" w:eastAsia="宋体" w:cs="宋体"/>
                <w:color w:val="auto"/>
                <w:highlight w:val="none"/>
              </w:rPr>
              <w:t>职称</w:t>
            </w:r>
            <w:bookmarkEnd w:id="291"/>
          </w:p>
        </w:tc>
        <w:tc>
          <w:tcPr>
            <w:tcW w:w="6280" w:type="dxa"/>
            <w:gridSpan w:val="5"/>
            <w:vAlign w:val="center"/>
          </w:tcPr>
          <w:p>
            <w:pPr>
              <w:spacing w:line="360" w:lineRule="auto"/>
              <w:jc w:val="center"/>
              <w:rPr>
                <w:rFonts w:hint="eastAsia" w:ascii="宋体" w:hAnsi="宋体" w:eastAsia="宋体" w:cs="宋体"/>
                <w:color w:val="auto"/>
                <w:highlight w:val="none"/>
              </w:rPr>
            </w:pPr>
            <w:bookmarkStart w:id="292" w:name="_Toc221952120"/>
            <w:r>
              <w:rPr>
                <w:rFonts w:hint="eastAsia" w:ascii="宋体" w:hAnsi="宋体" w:eastAsia="宋体" w:cs="宋体"/>
                <w:color w:val="auto"/>
                <w:highlight w:val="none"/>
              </w:rPr>
              <w:t>执业或职业资格证明</w:t>
            </w:r>
            <w:bookmarkEnd w:id="292"/>
          </w:p>
        </w:tc>
        <w:tc>
          <w:tcPr>
            <w:tcW w:w="732" w:type="dxa"/>
            <w:vAlign w:val="center"/>
          </w:tcPr>
          <w:p>
            <w:pPr>
              <w:spacing w:line="360" w:lineRule="auto"/>
              <w:jc w:val="center"/>
              <w:rPr>
                <w:rFonts w:hint="eastAsia" w:ascii="宋体" w:hAnsi="宋体" w:eastAsia="宋体" w:cs="宋体"/>
                <w:color w:val="auto"/>
                <w:highlight w:val="none"/>
              </w:rPr>
            </w:pPr>
            <w:bookmarkStart w:id="293" w:name="_Toc221952121"/>
            <w:r>
              <w:rPr>
                <w:rFonts w:hint="eastAsia" w:ascii="宋体" w:hAnsi="宋体" w:eastAsia="宋体" w:cs="宋体"/>
                <w:color w:val="auto"/>
                <w:highlight w:val="none"/>
              </w:rPr>
              <w:t>备注</w:t>
            </w:r>
            <w:bookmarkEnd w:id="2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spacing w:line="360" w:lineRule="auto"/>
              <w:jc w:val="center"/>
              <w:rPr>
                <w:rFonts w:hint="eastAsia" w:ascii="宋体" w:hAnsi="宋体" w:eastAsia="宋体" w:cs="宋体"/>
                <w:color w:val="auto"/>
                <w:highlight w:val="none"/>
              </w:rPr>
            </w:pPr>
          </w:p>
        </w:tc>
        <w:tc>
          <w:tcPr>
            <w:tcW w:w="785" w:type="dxa"/>
            <w:vMerge w:val="continue"/>
            <w:vAlign w:val="center"/>
          </w:tcPr>
          <w:p>
            <w:pPr>
              <w:spacing w:line="360" w:lineRule="auto"/>
              <w:jc w:val="center"/>
              <w:rPr>
                <w:rFonts w:hint="eastAsia" w:ascii="宋体" w:hAnsi="宋体" w:eastAsia="宋体" w:cs="宋体"/>
                <w:color w:val="auto"/>
                <w:highlight w:val="none"/>
              </w:rPr>
            </w:pPr>
          </w:p>
        </w:tc>
        <w:tc>
          <w:tcPr>
            <w:tcW w:w="784" w:type="dxa"/>
            <w:vMerge w:val="continue"/>
            <w:vAlign w:val="center"/>
          </w:tcPr>
          <w:p>
            <w:pPr>
              <w:spacing w:line="360" w:lineRule="auto"/>
              <w:jc w:val="center"/>
              <w:rPr>
                <w:rFonts w:hint="eastAsia" w:ascii="宋体" w:hAnsi="宋体" w:eastAsia="宋体" w:cs="宋体"/>
                <w:color w:val="auto"/>
                <w:highlight w:val="none"/>
              </w:rPr>
            </w:pPr>
          </w:p>
        </w:tc>
        <w:tc>
          <w:tcPr>
            <w:tcW w:w="1177" w:type="dxa"/>
            <w:vAlign w:val="center"/>
          </w:tcPr>
          <w:p>
            <w:pPr>
              <w:spacing w:line="360" w:lineRule="auto"/>
              <w:jc w:val="center"/>
              <w:rPr>
                <w:rFonts w:hint="eastAsia" w:ascii="宋体" w:hAnsi="宋体" w:eastAsia="宋体" w:cs="宋体"/>
                <w:color w:val="auto"/>
                <w:highlight w:val="none"/>
              </w:rPr>
            </w:pPr>
            <w:bookmarkStart w:id="294" w:name="_Toc221952122"/>
            <w:r>
              <w:rPr>
                <w:rFonts w:hint="eastAsia" w:ascii="宋体" w:hAnsi="宋体" w:eastAsia="宋体" w:cs="宋体"/>
                <w:color w:val="auto"/>
                <w:highlight w:val="none"/>
              </w:rPr>
              <w:t>证书名称</w:t>
            </w:r>
            <w:bookmarkEnd w:id="294"/>
          </w:p>
        </w:tc>
        <w:tc>
          <w:tcPr>
            <w:tcW w:w="784" w:type="dxa"/>
            <w:vAlign w:val="center"/>
          </w:tcPr>
          <w:p>
            <w:pPr>
              <w:spacing w:line="360" w:lineRule="auto"/>
              <w:jc w:val="center"/>
              <w:rPr>
                <w:rFonts w:hint="eastAsia" w:ascii="宋体" w:hAnsi="宋体" w:eastAsia="宋体" w:cs="宋体"/>
                <w:color w:val="auto"/>
                <w:highlight w:val="none"/>
              </w:rPr>
            </w:pPr>
            <w:bookmarkStart w:id="295" w:name="_Toc221952123"/>
            <w:r>
              <w:rPr>
                <w:rFonts w:hint="eastAsia" w:ascii="宋体" w:hAnsi="宋体" w:eastAsia="宋体" w:cs="宋体"/>
                <w:color w:val="auto"/>
                <w:highlight w:val="none"/>
              </w:rPr>
              <w:t>级别</w:t>
            </w:r>
            <w:bookmarkEnd w:id="295"/>
          </w:p>
        </w:tc>
        <w:tc>
          <w:tcPr>
            <w:tcW w:w="786" w:type="dxa"/>
            <w:vAlign w:val="center"/>
          </w:tcPr>
          <w:p>
            <w:pPr>
              <w:spacing w:line="360" w:lineRule="auto"/>
              <w:jc w:val="center"/>
              <w:rPr>
                <w:rFonts w:hint="eastAsia" w:ascii="宋体" w:hAnsi="宋体" w:eastAsia="宋体" w:cs="宋体"/>
                <w:color w:val="auto"/>
                <w:highlight w:val="none"/>
              </w:rPr>
            </w:pPr>
            <w:bookmarkStart w:id="296" w:name="_Toc221952124"/>
            <w:r>
              <w:rPr>
                <w:rFonts w:hint="eastAsia" w:ascii="宋体" w:hAnsi="宋体" w:eastAsia="宋体" w:cs="宋体"/>
                <w:color w:val="auto"/>
                <w:highlight w:val="none"/>
              </w:rPr>
              <w:t>证号</w:t>
            </w:r>
            <w:bookmarkEnd w:id="296"/>
          </w:p>
        </w:tc>
        <w:tc>
          <w:tcPr>
            <w:tcW w:w="784" w:type="dxa"/>
            <w:vAlign w:val="center"/>
          </w:tcPr>
          <w:p>
            <w:pPr>
              <w:spacing w:line="360" w:lineRule="auto"/>
              <w:jc w:val="center"/>
              <w:rPr>
                <w:rFonts w:hint="eastAsia" w:ascii="宋体" w:hAnsi="宋体" w:eastAsia="宋体" w:cs="宋体"/>
                <w:color w:val="auto"/>
                <w:highlight w:val="none"/>
              </w:rPr>
            </w:pPr>
            <w:bookmarkStart w:id="297" w:name="_Toc221952125"/>
            <w:r>
              <w:rPr>
                <w:rFonts w:hint="eastAsia" w:ascii="宋体" w:hAnsi="宋体" w:eastAsia="宋体" w:cs="宋体"/>
                <w:color w:val="auto"/>
                <w:highlight w:val="none"/>
              </w:rPr>
              <w:t>专业</w:t>
            </w:r>
            <w:bookmarkEnd w:id="297"/>
          </w:p>
        </w:tc>
        <w:tc>
          <w:tcPr>
            <w:tcW w:w="2749" w:type="dxa"/>
            <w:vAlign w:val="center"/>
          </w:tcPr>
          <w:p>
            <w:pPr>
              <w:spacing w:line="360" w:lineRule="auto"/>
              <w:jc w:val="center"/>
              <w:rPr>
                <w:rFonts w:hint="eastAsia" w:ascii="宋体" w:hAnsi="宋体" w:eastAsia="宋体" w:cs="宋体"/>
                <w:color w:val="auto"/>
                <w:highlight w:val="none"/>
              </w:rPr>
            </w:pPr>
            <w:bookmarkStart w:id="298" w:name="_Toc221952126"/>
            <w:r>
              <w:rPr>
                <w:rFonts w:hint="eastAsia" w:ascii="宋体" w:hAnsi="宋体" w:eastAsia="宋体" w:cs="宋体"/>
                <w:color w:val="auto"/>
                <w:highlight w:val="none"/>
              </w:rPr>
              <w:t>社会保险</w:t>
            </w:r>
            <w:bookmarkEnd w:id="298"/>
          </w:p>
        </w:tc>
        <w:tc>
          <w:tcPr>
            <w:tcW w:w="732"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auto"/>
              <w:jc w:val="center"/>
              <w:rPr>
                <w:rFonts w:hint="eastAsia" w:ascii="宋体" w:hAnsi="宋体" w:eastAsia="宋体" w:cs="宋体"/>
                <w:color w:val="auto"/>
                <w:highlight w:val="none"/>
                <w:lang w:eastAsia="zh-CN"/>
              </w:rPr>
            </w:pPr>
          </w:p>
        </w:tc>
        <w:tc>
          <w:tcPr>
            <w:tcW w:w="785"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1177"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786" w:type="dxa"/>
            <w:vAlign w:val="center"/>
          </w:tcPr>
          <w:p>
            <w:pPr>
              <w:spacing w:line="360" w:lineRule="auto"/>
              <w:jc w:val="center"/>
              <w:rPr>
                <w:rFonts w:hint="eastAsia" w:ascii="宋体" w:hAnsi="宋体" w:eastAsia="宋体" w:cs="宋体"/>
                <w:color w:val="auto"/>
                <w:highlight w:val="none"/>
              </w:rPr>
            </w:pPr>
          </w:p>
        </w:tc>
        <w:tc>
          <w:tcPr>
            <w:tcW w:w="784" w:type="dxa"/>
            <w:vAlign w:val="center"/>
          </w:tcPr>
          <w:p>
            <w:pPr>
              <w:spacing w:line="360" w:lineRule="auto"/>
              <w:jc w:val="center"/>
              <w:rPr>
                <w:rFonts w:hint="eastAsia" w:ascii="宋体" w:hAnsi="宋体" w:eastAsia="宋体" w:cs="宋体"/>
                <w:color w:val="auto"/>
                <w:highlight w:val="none"/>
              </w:rPr>
            </w:pPr>
          </w:p>
        </w:tc>
        <w:tc>
          <w:tcPr>
            <w:tcW w:w="2749" w:type="dxa"/>
            <w:vAlign w:val="center"/>
          </w:tcPr>
          <w:p>
            <w:pPr>
              <w:spacing w:line="360" w:lineRule="auto"/>
              <w:jc w:val="center"/>
              <w:rPr>
                <w:rFonts w:hint="eastAsia" w:ascii="宋体" w:hAnsi="宋体" w:eastAsia="宋体" w:cs="宋体"/>
                <w:color w:val="auto"/>
                <w:highlight w:val="none"/>
              </w:rPr>
            </w:pPr>
          </w:p>
        </w:tc>
        <w:tc>
          <w:tcPr>
            <w:tcW w:w="732" w:type="dxa"/>
            <w:vAlign w:val="center"/>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lang w:eastAsia="zh-CN"/>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pacing w:line="360" w:lineRule="auto"/>
              <w:jc w:val="center"/>
              <w:rPr>
                <w:rFonts w:hint="eastAsia" w:ascii="宋体" w:hAnsi="宋体" w:eastAsia="宋体" w:cs="宋体"/>
                <w:color w:val="auto"/>
                <w:highlight w:val="none"/>
              </w:rPr>
            </w:pPr>
          </w:p>
        </w:tc>
        <w:tc>
          <w:tcPr>
            <w:tcW w:w="785"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1177"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786" w:type="dxa"/>
          </w:tcPr>
          <w:p>
            <w:pPr>
              <w:spacing w:line="360" w:lineRule="auto"/>
              <w:jc w:val="center"/>
              <w:rPr>
                <w:rFonts w:hint="eastAsia" w:ascii="宋体" w:hAnsi="宋体" w:eastAsia="宋体" w:cs="宋体"/>
                <w:color w:val="auto"/>
                <w:highlight w:val="none"/>
              </w:rPr>
            </w:pPr>
          </w:p>
        </w:tc>
        <w:tc>
          <w:tcPr>
            <w:tcW w:w="784" w:type="dxa"/>
          </w:tcPr>
          <w:p>
            <w:pPr>
              <w:spacing w:line="360" w:lineRule="auto"/>
              <w:jc w:val="center"/>
              <w:rPr>
                <w:rFonts w:hint="eastAsia" w:ascii="宋体" w:hAnsi="宋体" w:eastAsia="宋体" w:cs="宋体"/>
                <w:color w:val="auto"/>
                <w:highlight w:val="none"/>
              </w:rPr>
            </w:pPr>
          </w:p>
        </w:tc>
        <w:tc>
          <w:tcPr>
            <w:tcW w:w="2749" w:type="dxa"/>
          </w:tcPr>
          <w:p>
            <w:pPr>
              <w:spacing w:line="360" w:lineRule="auto"/>
              <w:jc w:val="center"/>
              <w:rPr>
                <w:rFonts w:hint="eastAsia" w:ascii="宋体" w:hAnsi="宋体" w:eastAsia="宋体" w:cs="宋体"/>
                <w:color w:val="auto"/>
                <w:highlight w:val="none"/>
              </w:rPr>
            </w:pPr>
          </w:p>
        </w:tc>
        <w:tc>
          <w:tcPr>
            <w:tcW w:w="732" w:type="dxa"/>
          </w:tcPr>
          <w:p>
            <w:pPr>
              <w:spacing w:line="360" w:lineRule="auto"/>
              <w:jc w:val="center"/>
              <w:rPr>
                <w:rFonts w:hint="eastAsia" w:ascii="宋体" w:hAnsi="宋体" w:eastAsia="宋体" w:cs="宋体"/>
                <w:color w:val="auto"/>
                <w:highlight w:val="none"/>
              </w:rPr>
            </w:pPr>
          </w:p>
        </w:tc>
      </w:tr>
    </w:tbl>
    <w:p>
      <w:pPr>
        <w:spacing w:line="360" w:lineRule="auto"/>
        <w:ind w:left="210" w:leftChars="100"/>
        <w:jc w:val="center"/>
        <w:rPr>
          <w:rFonts w:hint="eastAsia" w:ascii="宋体" w:hAnsi="宋体" w:eastAsia="宋体" w:cs="宋体"/>
          <w:color w:val="auto"/>
          <w:sz w:val="20"/>
          <w:szCs w:val="20"/>
          <w:highlight w:val="none"/>
        </w:rPr>
      </w:pPr>
    </w:p>
    <w:p>
      <w:pPr>
        <w:topLinePunct/>
        <w:spacing w:line="360" w:lineRule="auto"/>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pStyle w:val="21"/>
        <w:spacing w:before="120" w:after="120"/>
        <w:ind w:firstLine="0" w:firstLineChars="0"/>
        <w:jc w:val="center"/>
        <w:outlineLvl w:val="2"/>
        <w:rPr>
          <w:rFonts w:hint="eastAsia" w:ascii="宋体" w:hAnsi="宋体" w:eastAsia="宋体" w:cs="宋体"/>
          <w:color w:val="auto"/>
          <w:highlight w:val="none"/>
        </w:rPr>
      </w:pPr>
      <w:bookmarkStart w:id="299" w:name="_Toc472281566"/>
      <w:bookmarkStart w:id="300" w:name="_Toc144974873"/>
      <w:bookmarkStart w:id="301" w:name="_Toc221952127"/>
      <w:bookmarkStart w:id="302" w:name="_Toc257637746"/>
      <w:bookmarkStart w:id="303" w:name="_Toc168476335"/>
      <w:bookmarkStart w:id="304" w:name="_Toc168475932"/>
      <w:r>
        <w:rPr>
          <w:rFonts w:hint="eastAsia" w:ascii="宋体" w:hAnsi="宋体" w:eastAsia="宋体" w:cs="宋体"/>
          <w:color w:val="auto"/>
          <w:highlight w:val="none"/>
        </w:rPr>
        <w:t>（二）主要人员简历表</w:t>
      </w:r>
      <w:bookmarkEnd w:id="299"/>
      <w:bookmarkEnd w:id="300"/>
      <w:bookmarkEnd w:id="301"/>
      <w:bookmarkEnd w:id="302"/>
      <w:bookmarkEnd w:id="303"/>
      <w:bookmarkEnd w:id="304"/>
    </w:p>
    <w:tbl>
      <w:tblPr>
        <w:tblStyle w:val="12"/>
        <w:tblW w:w="8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76"/>
        <w:gridCol w:w="757"/>
        <w:gridCol w:w="973"/>
        <w:gridCol w:w="1118"/>
        <w:gridCol w:w="743"/>
        <w:gridCol w:w="1324"/>
        <w:gridCol w:w="379"/>
        <w:gridCol w:w="2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05" w:name="_Toc221952129"/>
            <w:r>
              <w:rPr>
                <w:rFonts w:hint="eastAsia" w:ascii="宋体" w:hAnsi="宋体" w:eastAsia="宋体" w:cs="宋体"/>
                <w:color w:val="auto"/>
                <w:szCs w:val="21"/>
                <w:highlight w:val="none"/>
              </w:rPr>
              <w:t>姓  名</w:t>
            </w:r>
            <w:bookmarkEnd w:id="305"/>
          </w:p>
        </w:tc>
        <w:tc>
          <w:tcPr>
            <w:tcW w:w="1133" w:type="dxa"/>
            <w:gridSpan w:val="2"/>
            <w:vAlign w:val="center"/>
          </w:tcPr>
          <w:p>
            <w:pPr>
              <w:jc w:val="center"/>
              <w:rPr>
                <w:rFonts w:hint="eastAsia" w:ascii="宋体" w:hAnsi="宋体" w:eastAsia="宋体" w:cs="宋体"/>
                <w:color w:val="auto"/>
                <w:szCs w:val="21"/>
                <w:highlight w:val="none"/>
              </w:rPr>
            </w:pPr>
          </w:p>
        </w:tc>
        <w:tc>
          <w:tcPr>
            <w:tcW w:w="973" w:type="dxa"/>
            <w:vAlign w:val="center"/>
          </w:tcPr>
          <w:p>
            <w:pPr>
              <w:jc w:val="center"/>
              <w:rPr>
                <w:rFonts w:hint="eastAsia" w:ascii="宋体" w:hAnsi="宋体" w:eastAsia="宋体" w:cs="宋体"/>
                <w:color w:val="auto"/>
                <w:szCs w:val="21"/>
                <w:highlight w:val="none"/>
              </w:rPr>
            </w:pPr>
            <w:bookmarkStart w:id="306" w:name="_Toc221952130"/>
            <w:r>
              <w:rPr>
                <w:rFonts w:hint="eastAsia" w:ascii="宋体" w:hAnsi="宋体" w:eastAsia="宋体" w:cs="宋体"/>
                <w:color w:val="auto"/>
                <w:szCs w:val="21"/>
                <w:highlight w:val="none"/>
              </w:rPr>
              <w:t>年 龄</w:t>
            </w:r>
            <w:bookmarkEnd w:id="306"/>
          </w:p>
        </w:tc>
        <w:tc>
          <w:tcPr>
            <w:tcW w:w="1118" w:type="dxa"/>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bookmarkStart w:id="307" w:name="_Toc221952131"/>
            <w:r>
              <w:rPr>
                <w:rFonts w:hint="eastAsia" w:ascii="宋体" w:hAnsi="宋体" w:eastAsia="宋体" w:cs="宋体"/>
                <w:color w:val="auto"/>
                <w:szCs w:val="21"/>
                <w:highlight w:val="none"/>
              </w:rPr>
              <w:t>学历</w:t>
            </w:r>
            <w:bookmarkEnd w:id="307"/>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w:t>
            </w:r>
          </w:p>
        </w:tc>
        <w:tc>
          <w:tcPr>
            <w:tcW w:w="3224" w:type="dxa"/>
            <w:gridSpan w:val="4"/>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w:t>
            </w:r>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08" w:name="_Toc221952132"/>
            <w:r>
              <w:rPr>
                <w:rFonts w:hint="eastAsia" w:ascii="宋体" w:hAnsi="宋体" w:eastAsia="宋体" w:cs="宋体"/>
                <w:color w:val="auto"/>
                <w:szCs w:val="21"/>
                <w:highlight w:val="none"/>
              </w:rPr>
              <w:t>职  称</w:t>
            </w:r>
            <w:bookmarkEnd w:id="308"/>
          </w:p>
        </w:tc>
        <w:tc>
          <w:tcPr>
            <w:tcW w:w="1133" w:type="dxa"/>
            <w:gridSpan w:val="2"/>
            <w:vAlign w:val="center"/>
          </w:tcPr>
          <w:p>
            <w:pPr>
              <w:jc w:val="center"/>
              <w:rPr>
                <w:rFonts w:hint="eastAsia" w:ascii="宋体" w:hAnsi="宋体" w:eastAsia="宋体" w:cs="宋体"/>
                <w:color w:val="auto"/>
                <w:szCs w:val="21"/>
                <w:highlight w:val="none"/>
              </w:rPr>
            </w:pPr>
          </w:p>
        </w:tc>
        <w:tc>
          <w:tcPr>
            <w:tcW w:w="973" w:type="dxa"/>
            <w:vAlign w:val="center"/>
          </w:tcPr>
          <w:p>
            <w:pPr>
              <w:jc w:val="center"/>
              <w:rPr>
                <w:rFonts w:hint="eastAsia" w:ascii="宋体" w:hAnsi="宋体" w:eastAsia="宋体" w:cs="宋体"/>
                <w:color w:val="auto"/>
                <w:szCs w:val="21"/>
                <w:highlight w:val="none"/>
              </w:rPr>
            </w:pPr>
            <w:bookmarkStart w:id="309" w:name="_Toc221952133"/>
            <w:r>
              <w:rPr>
                <w:rFonts w:hint="eastAsia" w:ascii="宋体" w:hAnsi="宋体" w:eastAsia="宋体" w:cs="宋体"/>
                <w:color w:val="auto"/>
                <w:szCs w:val="21"/>
                <w:highlight w:val="none"/>
              </w:rPr>
              <w:t>职 务</w:t>
            </w:r>
            <w:bookmarkEnd w:id="309"/>
          </w:p>
        </w:tc>
        <w:tc>
          <w:tcPr>
            <w:tcW w:w="1118" w:type="dxa"/>
            <w:vAlign w:val="center"/>
          </w:tcPr>
          <w:p>
            <w:pPr>
              <w:jc w:val="center"/>
              <w:rPr>
                <w:rFonts w:hint="eastAsia" w:ascii="宋体" w:hAnsi="宋体" w:eastAsia="宋体" w:cs="宋体"/>
                <w:color w:val="auto"/>
                <w:szCs w:val="21"/>
                <w:highlight w:val="none"/>
              </w:rPr>
            </w:pPr>
          </w:p>
        </w:tc>
        <w:tc>
          <w:tcPr>
            <w:tcW w:w="2446" w:type="dxa"/>
            <w:gridSpan w:val="3"/>
            <w:vAlign w:val="center"/>
          </w:tcPr>
          <w:p>
            <w:pPr>
              <w:jc w:val="center"/>
              <w:rPr>
                <w:rFonts w:hint="eastAsia" w:ascii="宋体" w:hAnsi="宋体" w:eastAsia="宋体" w:cs="宋体"/>
                <w:color w:val="auto"/>
                <w:szCs w:val="21"/>
                <w:highlight w:val="none"/>
              </w:rPr>
            </w:pPr>
            <w:bookmarkStart w:id="310" w:name="_Toc221952134"/>
            <w:r>
              <w:rPr>
                <w:rFonts w:hint="eastAsia" w:ascii="宋体" w:hAnsi="宋体" w:eastAsia="宋体" w:cs="宋体"/>
                <w:color w:val="auto"/>
                <w:szCs w:val="21"/>
                <w:highlight w:val="none"/>
              </w:rPr>
              <w:t>拟在本合同任职</w:t>
            </w:r>
            <w:bookmarkEnd w:id="310"/>
          </w:p>
        </w:tc>
        <w:tc>
          <w:tcPr>
            <w:tcW w:w="2031"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bookmarkStart w:id="311" w:name="_Toc221952135"/>
            <w:r>
              <w:rPr>
                <w:rFonts w:hint="eastAsia" w:ascii="宋体" w:hAnsi="宋体" w:eastAsia="宋体" w:cs="宋体"/>
                <w:color w:val="auto"/>
                <w:szCs w:val="21"/>
                <w:highlight w:val="none"/>
              </w:rPr>
              <w:t>毕业学校</w:t>
            </w:r>
            <w:bookmarkEnd w:id="311"/>
          </w:p>
        </w:tc>
        <w:tc>
          <w:tcPr>
            <w:tcW w:w="7701" w:type="dxa"/>
            <w:gridSpan w:val="8"/>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312" w:name="_Toc221952136"/>
            <w:r>
              <w:rPr>
                <w:rFonts w:hint="eastAsia" w:ascii="宋体" w:hAnsi="宋体" w:eastAsia="宋体" w:cs="宋体"/>
                <w:color w:val="auto"/>
                <w:szCs w:val="21"/>
                <w:highlight w:val="none"/>
              </w:rPr>
              <w:t>年毕业于            学校        专业</w:t>
            </w:r>
            <w:bookmarkEnd w:id="3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7701" w:type="dxa"/>
            <w:gridSpan w:val="8"/>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6" w:type="dxa"/>
            <w:gridSpan w:val="9"/>
            <w:vAlign w:val="center"/>
          </w:tcPr>
          <w:p>
            <w:pPr>
              <w:jc w:val="center"/>
              <w:rPr>
                <w:rFonts w:hint="eastAsia" w:ascii="宋体" w:hAnsi="宋体" w:eastAsia="宋体" w:cs="宋体"/>
                <w:color w:val="auto"/>
                <w:szCs w:val="21"/>
                <w:highlight w:val="none"/>
              </w:rPr>
            </w:pPr>
            <w:bookmarkStart w:id="313" w:name="_Toc221952137"/>
            <w:r>
              <w:rPr>
                <w:rFonts w:hint="eastAsia" w:ascii="宋体" w:hAnsi="宋体" w:eastAsia="宋体" w:cs="宋体"/>
                <w:color w:val="auto"/>
                <w:szCs w:val="21"/>
                <w:highlight w:val="none"/>
              </w:rPr>
              <w:t>主要施工管理经历</w:t>
            </w:r>
            <w:bookmarkEnd w:id="3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Align w:val="center"/>
          </w:tcPr>
          <w:p>
            <w:pPr>
              <w:jc w:val="center"/>
              <w:rPr>
                <w:rFonts w:hint="eastAsia" w:ascii="宋体" w:hAnsi="宋体" w:eastAsia="宋体" w:cs="宋体"/>
                <w:color w:val="auto"/>
                <w:szCs w:val="21"/>
                <w:highlight w:val="none"/>
              </w:rPr>
            </w:pPr>
            <w:bookmarkStart w:id="314" w:name="_Toc221952138"/>
            <w:r>
              <w:rPr>
                <w:rFonts w:hint="eastAsia" w:ascii="宋体" w:hAnsi="宋体" w:eastAsia="宋体" w:cs="宋体"/>
                <w:color w:val="auto"/>
                <w:szCs w:val="21"/>
                <w:highlight w:val="none"/>
              </w:rPr>
              <w:t>时  间</w:t>
            </w:r>
            <w:bookmarkEnd w:id="314"/>
          </w:p>
        </w:tc>
        <w:tc>
          <w:tcPr>
            <w:tcW w:w="3591" w:type="dxa"/>
            <w:gridSpan w:val="4"/>
            <w:vAlign w:val="center"/>
          </w:tcPr>
          <w:p>
            <w:pPr>
              <w:jc w:val="center"/>
              <w:rPr>
                <w:rFonts w:hint="eastAsia" w:ascii="宋体" w:hAnsi="宋体" w:eastAsia="宋体" w:cs="宋体"/>
                <w:color w:val="auto"/>
                <w:szCs w:val="21"/>
                <w:highlight w:val="none"/>
              </w:rPr>
            </w:pPr>
            <w:bookmarkStart w:id="315" w:name="_Toc221952139"/>
            <w:r>
              <w:rPr>
                <w:rFonts w:hint="eastAsia" w:ascii="宋体" w:hAnsi="宋体" w:eastAsia="宋体" w:cs="宋体"/>
                <w:color w:val="auto"/>
                <w:szCs w:val="21"/>
                <w:highlight w:val="none"/>
              </w:rPr>
              <w:t>参加过的类似项目</w:t>
            </w:r>
            <w:bookmarkEnd w:id="315"/>
          </w:p>
        </w:tc>
        <w:tc>
          <w:tcPr>
            <w:tcW w:w="1324" w:type="dxa"/>
            <w:vAlign w:val="center"/>
          </w:tcPr>
          <w:p>
            <w:pPr>
              <w:jc w:val="center"/>
              <w:rPr>
                <w:rFonts w:hint="eastAsia" w:ascii="宋体" w:hAnsi="宋体" w:eastAsia="宋体" w:cs="宋体"/>
                <w:color w:val="auto"/>
                <w:szCs w:val="21"/>
                <w:highlight w:val="none"/>
              </w:rPr>
            </w:pPr>
            <w:bookmarkStart w:id="316" w:name="_Toc221952140"/>
            <w:r>
              <w:rPr>
                <w:rFonts w:hint="eastAsia" w:ascii="宋体" w:hAnsi="宋体" w:eastAsia="宋体" w:cs="宋体"/>
                <w:color w:val="auto"/>
                <w:szCs w:val="21"/>
                <w:highlight w:val="none"/>
              </w:rPr>
              <w:t>担任职务</w:t>
            </w:r>
            <w:bookmarkEnd w:id="316"/>
          </w:p>
        </w:tc>
        <w:tc>
          <w:tcPr>
            <w:tcW w:w="2410" w:type="dxa"/>
            <w:gridSpan w:val="2"/>
            <w:vAlign w:val="center"/>
          </w:tcPr>
          <w:p>
            <w:pPr>
              <w:rPr>
                <w:rFonts w:hint="eastAsia" w:ascii="宋体" w:hAnsi="宋体" w:eastAsia="宋体" w:cs="宋体"/>
                <w:color w:val="auto"/>
                <w:szCs w:val="21"/>
                <w:highlight w:val="none"/>
              </w:rPr>
            </w:pPr>
            <w:bookmarkStart w:id="317" w:name="_Toc221952141"/>
            <w:r>
              <w:rPr>
                <w:rFonts w:hint="eastAsia" w:ascii="宋体" w:hAnsi="宋体" w:eastAsia="宋体" w:cs="宋体"/>
                <w:color w:val="auto"/>
                <w:szCs w:val="21"/>
                <w:highlight w:val="none"/>
              </w:rPr>
              <w:t>发包人及联系电话</w:t>
            </w:r>
            <w:bookmarkEnd w:id="3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1" w:type="dxa"/>
            <w:gridSpan w:val="2"/>
            <w:vAlign w:val="center"/>
          </w:tcPr>
          <w:p>
            <w:pPr>
              <w:rPr>
                <w:rFonts w:hint="eastAsia" w:ascii="宋体" w:hAnsi="宋体" w:eastAsia="宋体" w:cs="宋体"/>
                <w:color w:val="auto"/>
                <w:szCs w:val="21"/>
                <w:highlight w:val="none"/>
              </w:rPr>
            </w:pPr>
          </w:p>
        </w:tc>
        <w:tc>
          <w:tcPr>
            <w:tcW w:w="3591" w:type="dxa"/>
            <w:gridSpan w:val="4"/>
            <w:vAlign w:val="center"/>
          </w:tcPr>
          <w:p>
            <w:pPr>
              <w:rPr>
                <w:rFonts w:hint="eastAsia" w:ascii="宋体" w:hAnsi="宋体" w:eastAsia="宋体" w:cs="宋体"/>
                <w:color w:val="auto"/>
                <w:szCs w:val="21"/>
                <w:highlight w:val="none"/>
              </w:rPr>
            </w:pPr>
          </w:p>
        </w:tc>
        <w:tc>
          <w:tcPr>
            <w:tcW w:w="1324" w:type="dxa"/>
            <w:vAlign w:val="center"/>
          </w:tcPr>
          <w:p>
            <w:pPr>
              <w:rPr>
                <w:rFonts w:hint="eastAsia" w:ascii="宋体" w:hAnsi="宋体" w:eastAsia="宋体" w:cs="宋体"/>
                <w:color w:val="auto"/>
                <w:szCs w:val="21"/>
                <w:highlight w:val="none"/>
              </w:rPr>
            </w:pPr>
          </w:p>
        </w:tc>
        <w:tc>
          <w:tcPr>
            <w:tcW w:w="2410" w:type="dxa"/>
            <w:gridSpan w:val="2"/>
            <w:vAlign w:val="center"/>
          </w:tcPr>
          <w:p>
            <w:pPr>
              <w:rPr>
                <w:rFonts w:hint="eastAsia" w:ascii="宋体" w:hAnsi="宋体" w:eastAsia="宋体" w:cs="宋体"/>
                <w:color w:val="auto"/>
                <w:szCs w:val="21"/>
                <w:highlight w:val="none"/>
              </w:rPr>
            </w:pPr>
          </w:p>
        </w:tc>
      </w:tr>
    </w:tbl>
    <w:p>
      <w:pPr>
        <w:spacing w:line="40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本表是针对上述‘项目管理机构表’中的主要人员逐个填写，每人一张。主要人员至少包括项目经理、质量负责人、</w:t>
      </w:r>
      <w:r>
        <w:rPr>
          <w:rFonts w:hint="eastAsia" w:ascii="宋体" w:hAnsi="宋体" w:eastAsia="宋体" w:cs="宋体"/>
          <w:color w:val="auto"/>
          <w:szCs w:val="21"/>
          <w:highlight w:val="none"/>
        </w:rPr>
        <w:t>安全管理人员（专职安全生产管理人员）、施工员、资料员</w:t>
      </w:r>
      <w:r>
        <w:rPr>
          <w:rFonts w:hint="eastAsia" w:ascii="宋体" w:hAnsi="宋体" w:eastAsia="宋体" w:cs="宋体"/>
          <w:color w:val="auto"/>
          <w:highlight w:val="none"/>
        </w:rPr>
        <w:t>等</w:t>
      </w:r>
      <w:r>
        <w:rPr>
          <w:rFonts w:hint="eastAsia" w:ascii="宋体" w:hAnsi="宋体" w:eastAsia="宋体" w:cs="宋体"/>
          <w:color w:val="auto"/>
          <w:szCs w:val="21"/>
          <w:highlight w:val="none"/>
        </w:rPr>
        <w:t>。</w:t>
      </w: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18" w:name="_bookmark17"/>
      <w:bookmarkEnd w:id="318"/>
      <w:bookmarkStart w:id="319" w:name="_bookmark16"/>
      <w:bookmarkEnd w:id="319"/>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3435"/>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320" w:name="_Toc4955"/>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.7 施工组织设计</w:t>
      </w:r>
      <w:bookmarkEnd w:id="320"/>
    </w:p>
    <w:p>
      <w:pPr>
        <w:keepNext w:val="0"/>
        <w:keepLines w:val="0"/>
        <w:pageBreakBefore w:val="0"/>
        <w:widowControl/>
        <w:kinsoku w:val="0"/>
        <w:wordWrap/>
        <w:overflowPunct/>
        <w:topLinePunct w:val="0"/>
        <w:autoSpaceDE w:val="0"/>
        <w:autoSpaceDN w:val="0"/>
        <w:bidi w:val="0"/>
        <w:adjustRightInd w:val="0"/>
        <w:snapToGrid w:val="0"/>
        <w:spacing w:before="279" w:line="240" w:lineRule="auto"/>
        <w:ind w:firstLine="43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1．投标人编制施工组织设计时应采用文字并结合图表形式说明工程的施工组织、施工方法、技</w:t>
      </w:r>
      <w:r>
        <w:rPr>
          <w:rFonts w:hint="eastAsia" w:ascii="宋体" w:hAnsi="宋体" w:eastAsia="宋体" w:cs="宋体"/>
          <w:color w:val="auto"/>
          <w:spacing w:val="-4"/>
          <w:sz w:val="21"/>
          <w:szCs w:val="21"/>
          <w:highlight w:val="none"/>
        </w:rPr>
        <w:t>术组织措施，同时应对关键工序、复杂环节重点提出相应技术措施，如冬雨季施工技术、减少噪音、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降低环境污染、地下管线及其他地上地下设施的保护加固措施等。施工组织设计还应结合工程特点</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提出切实可行的工程质量、工程进度、安全生产、文明施工、水土保持、环境保护管理</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4"/>
          <w:sz w:val="21"/>
          <w:szCs w:val="21"/>
          <w:highlight w:val="none"/>
        </w:rPr>
        <w:t>方案。</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firstLine="4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施工组织设计应附的文字说明及附图见下表（不限于，仅供参考</w:t>
      </w:r>
      <w:r>
        <w:rPr>
          <w:rFonts w:hint="eastAsia" w:ascii="宋体" w:hAnsi="宋体" w:eastAsia="宋体" w:cs="宋体"/>
          <w:color w:val="auto"/>
          <w:spacing w:val="-46"/>
          <w:sz w:val="21"/>
          <w:szCs w:val="21"/>
          <w:highlight w:val="none"/>
        </w:rPr>
        <w:t>）</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46"/>
          <w:sz w:val="21"/>
          <w:szCs w:val="21"/>
          <w:highlight w:val="none"/>
        </w:rPr>
        <w:t>：</w:t>
      </w:r>
    </w:p>
    <w:p>
      <w:pPr>
        <w:spacing w:line="51" w:lineRule="exact"/>
        <w:rPr>
          <w:rFonts w:hint="eastAsia" w:ascii="宋体" w:hAnsi="宋体" w:eastAsia="宋体" w:cs="宋体"/>
          <w:color w:val="auto"/>
          <w:highlight w:val="none"/>
        </w:rPr>
      </w:pPr>
    </w:p>
    <w:tbl>
      <w:tblPr>
        <w:tblStyle w:val="17"/>
        <w:tblW w:w="8992"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6361"/>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434" w:type="dxa"/>
            <w:vAlign w:val="top"/>
          </w:tcPr>
          <w:p>
            <w:pPr>
              <w:spacing w:before="289" w:line="184" w:lineRule="auto"/>
              <w:ind w:firstLine="54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序号</w:t>
            </w:r>
          </w:p>
        </w:tc>
        <w:tc>
          <w:tcPr>
            <w:tcW w:w="6361" w:type="dxa"/>
            <w:vAlign w:val="top"/>
          </w:tcPr>
          <w:p>
            <w:pPr>
              <w:spacing w:before="289" w:line="184" w:lineRule="auto"/>
              <w:ind w:firstLine="26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名</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5"/>
                <w:sz w:val="18"/>
                <w:szCs w:val="18"/>
                <w:highlight w:val="none"/>
              </w:rPr>
              <w:t>称</w:t>
            </w:r>
          </w:p>
        </w:tc>
        <w:tc>
          <w:tcPr>
            <w:tcW w:w="1197" w:type="dxa"/>
            <w:vAlign w:val="top"/>
          </w:tcPr>
          <w:p>
            <w:pPr>
              <w:spacing w:before="289" w:line="184" w:lineRule="auto"/>
              <w:ind w:firstLine="424"/>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1</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工程质量管理方案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2</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安全生产管理方案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3</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文明施工措施</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p>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4</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水土保持、环境保护管理方案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5</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施工人员、机械</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6</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降低成本、缩短工期、 减轻劳动强度提高进度提案</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7</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文明施工措施</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8</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施工总进度计划</w:t>
            </w:r>
          </w:p>
        </w:tc>
        <w:tc>
          <w:tcPr>
            <w:tcW w:w="119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34" w:type="dxa"/>
            <w:vAlign w:val="center"/>
          </w:tcPr>
          <w:p>
            <w:pPr>
              <w:spacing w:before="120" w:line="184" w:lineRule="auto"/>
              <w:ind w:firstLine="102" w:firstLineChars="0"/>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9</w:t>
            </w:r>
          </w:p>
        </w:tc>
        <w:tc>
          <w:tcPr>
            <w:tcW w:w="6361" w:type="dxa"/>
            <w:vAlign w:val="center"/>
          </w:tcPr>
          <w:p>
            <w:pPr>
              <w:spacing w:before="120" w:line="184" w:lineRule="auto"/>
              <w:ind w:firstLine="102" w:firstLineChars="0"/>
              <w:jc w:val="both"/>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有关施工建议</w:t>
            </w:r>
          </w:p>
        </w:tc>
        <w:tc>
          <w:tcPr>
            <w:tcW w:w="1197" w:type="dxa"/>
            <w:vAlign w:val="top"/>
          </w:tcPr>
          <w:p>
            <w:pPr>
              <w:rPr>
                <w:rFonts w:hint="eastAsia" w:ascii="宋体" w:hAnsi="宋体" w:eastAsia="宋体" w:cs="宋体"/>
                <w:color w:val="auto"/>
                <w:sz w:val="21"/>
                <w:highlight w:val="none"/>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9" w:line="240" w:lineRule="auto"/>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施工组织设计除采用文字表述外应附下列图表，图表及格式要求附后。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9"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附件一</w:t>
      </w:r>
      <w:r>
        <w:rPr>
          <w:rFonts w:hint="eastAsia" w:ascii="宋体" w:hAnsi="宋体" w:eastAsia="宋体" w:cs="宋体"/>
          <w:color w:val="auto"/>
          <w:spacing w:val="-1"/>
          <w:sz w:val="21"/>
          <w:szCs w:val="21"/>
          <w:highlight w:val="none"/>
        </w:rPr>
        <w:t>拟投入本工程的主要施工设备表</w:t>
      </w:r>
    </w:p>
    <w:p>
      <w:pPr>
        <w:keepNext w:val="0"/>
        <w:keepLines w:val="0"/>
        <w:pageBreakBefore w:val="0"/>
        <w:widowControl/>
        <w:kinsoku w:val="0"/>
        <w:wordWrap/>
        <w:overflowPunct/>
        <w:topLinePunct w:val="0"/>
        <w:autoSpaceDE w:val="0"/>
        <w:autoSpaceDN w:val="0"/>
        <w:bidi w:val="0"/>
        <w:adjustRightInd w:val="0"/>
        <w:snapToGrid w:val="0"/>
        <w:spacing w:before="290"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附件二</w:t>
      </w:r>
      <w:r>
        <w:rPr>
          <w:rFonts w:hint="eastAsia" w:ascii="宋体" w:hAnsi="宋体" w:eastAsia="宋体" w:cs="宋体"/>
          <w:color w:val="auto"/>
          <w:spacing w:val="-1"/>
          <w:sz w:val="21"/>
          <w:szCs w:val="21"/>
          <w:highlight w:val="none"/>
        </w:rPr>
        <w:t>拟投入本工程的试验和检测仪器设备表</w:t>
      </w:r>
    </w:p>
    <w:p>
      <w:pPr>
        <w:keepNext w:val="0"/>
        <w:keepLines w:val="0"/>
        <w:pageBreakBefore w:val="0"/>
        <w:widowControl/>
        <w:kinsoku w:val="0"/>
        <w:wordWrap/>
        <w:overflowPunct/>
        <w:topLinePunct w:val="0"/>
        <w:autoSpaceDE w:val="0"/>
        <w:autoSpaceDN w:val="0"/>
        <w:bidi w:val="0"/>
        <w:adjustRightInd w:val="0"/>
        <w:snapToGrid w:val="0"/>
        <w:spacing w:before="293" w:line="240" w:lineRule="auto"/>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附件三</w:t>
      </w:r>
      <w:r>
        <w:rPr>
          <w:rFonts w:hint="eastAsia" w:ascii="宋体" w:hAnsi="宋体" w:eastAsia="宋体" w:cs="宋体"/>
          <w:color w:val="auto"/>
          <w:spacing w:val="-1"/>
          <w:sz w:val="21"/>
          <w:szCs w:val="21"/>
          <w:highlight w:val="none"/>
        </w:rPr>
        <w:t>拟投入本工程的劳动力计划表</w:t>
      </w:r>
    </w:p>
    <w:p>
      <w:pPr>
        <w:keepNext w:val="0"/>
        <w:keepLines w:val="0"/>
        <w:pageBreakBefore w:val="0"/>
        <w:widowControl/>
        <w:kinsoku w:val="0"/>
        <w:wordWrap/>
        <w:overflowPunct/>
        <w:topLinePunct w:val="0"/>
        <w:autoSpaceDE w:val="0"/>
        <w:autoSpaceDN w:val="0"/>
        <w:bidi w:val="0"/>
        <w:adjustRightInd w:val="0"/>
        <w:snapToGrid w:val="0"/>
        <w:spacing w:before="293"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21"/>
          <w:sz w:val="21"/>
          <w:szCs w:val="21"/>
          <w:highlight w:val="none"/>
          <w:lang w:eastAsia="zh-CN"/>
        </w:rPr>
        <w:t>附件四</w:t>
      </w:r>
      <w:r>
        <w:rPr>
          <w:rFonts w:hint="eastAsia" w:ascii="宋体" w:hAnsi="宋体" w:eastAsia="宋体" w:cs="宋体"/>
          <w:color w:val="auto"/>
          <w:spacing w:val="-1"/>
          <w:position w:val="21"/>
          <w:sz w:val="21"/>
          <w:szCs w:val="21"/>
          <w:highlight w:val="none"/>
        </w:rPr>
        <w:t>计划开工日期、完工日期和施工进度网络图</w:t>
      </w:r>
    </w:p>
    <w:p>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color w:val="auto"/>
          <w:spacing w:val="-9"/>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附件五</w:t>
      </w:r>
      <w:r>
        <w:rPr>
          <w:rFonts w:hint="eastAsia" w:ascii="宋体" w:hAnsi="宋体" w:eastAsia="宋体" w:cs="宋体"/>
          <w:color w:val="auto"/>
          <w:spacing w:val="-2"/>
          <w:sz w:val="21"/>
          <w:szCs w:val="21"/>
          <w:highlight w:val="none"/>
        </w:rPr>
        <w:t>施工总平面图</w:t>
      </w: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9"/>
          <w:sz w:val="21"/>
          <w:szCs w:val="21"/>
          <w:highlight w:val="none"/>
        </w:rPr>
        <w:t>附件六</w:t>
      </w:r>
      <w:r>
        <w:rPr>
          <w:rFonts w:hint="eastAsia" w:ascii="宋体" w:hAnsi="宋体" w:eastAsia="宋体" w:cs="宋体"/>
          <w:color w:val="auto"/>
          <w:spacing w:val="-5"/>
          <w:sz w:val="21"/>
          <w:szCs w:val="21"/>
          <w:highlight w:val="none"/>
        </w:rPr>
        <w:t>临时用地</w:t>
      </w:r>
      <w:bookmarkStart w:id="321" w:name="_bookmark18"/>
      <w:bookmarkEnd w:id="321"/>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66" w:line="240" w:lineRule="auto"/>
        <w:textAlignment w:val="baseline"/>
        <w:rPr>
          <w:rFonts w:hint="eastAsia" w:ascii="宋体" w:hAnsi="宋体" w:eastAsia="宋体" w:cs="宋体"/>
          <w:color w:val="auto"/>
          <w:spacing w:val="-5"/>
          <w:sz w:val="21"/>
          <w:szCs w:val="21"/>
          <w:highlight w:val="no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2" w:name="_Toc30839"/>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.8 投标人基本情况表</w:t>
      </w:r>
      <w:bookmarkEnd w:id="322"/>
    </w:p>
    <w:p>
      <w:pPr>
        <w:spacing w:line="61" w:lineRule="exact"/>
        <w:rPr>
          <w:rFonts w:hint="eastAsia" w:ascii="宋体" w:hAnsi="宋体" w:eastAsia="宋体" w:cs="宋体"/>
          <w:color w:val="auto"/>
          <w:highlight w:val="none"/>
        </w:rPr>
      </w:pPr>
    </w:p>
    <w:tbl>
      <w:tblPr>
        <w:tblStyle w:val="17"/>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274"/>
        <w:gridCol w:w="1852"/>
        <w:gridCol w:w="693"/>
        <w:gridCol w:w="566"/>
        <w:gridCol w:w="103"/>
        <w:gridCol w:w="940"/>
        <w:gridCol w:w="314"/>
        <w:gridCol w:w="962"/>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76" w:type="dxa"/>
            <w:vAlign w:val="top"/>
          </w:tcPr>
          <w:p>
            <w:pPr>
              <w:spacing w:before="199"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企业名称</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76" w:type="dxa"/>
            <w:vAlign w:val="top"/>
          </w:tcPr>
          <w:p>
            <w:pPr>
              <w:spacing w:before="192" w:line="184" w:lineRule="auto"/>
              <w:ind w:firstLine="1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注册地址</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76" w:type="dxa"/>
            <w:vMerge w:val="restart"/>
            <w:tcBorders>
              <w:bottom w:val="nil"/>
            </w:tcBorders>
            <w:vAlign w:val="top"/>
          </w:tcPr>
          <w:p>
            <w:pPr>
              <w:spacing w:line="327" w:lineRule="auto"/>
              <w:rPr>
                <w:rFonts w:hint="eastAsia" w:ascii="宋体" w:hAnsi="宋体" w:eastAsia="宋体" w:cs="宋体"/>
                <w:color w:val="auto"/>
                <w:sz w:val="21"/>
                <w:highlight w:val="none"/>
              </w:rPr>
            </w:pPr>
          </w:p>
          <w:p>
            <w:pPr>
              <w:spacing w:before="78" w:line="184" w:lineRule="auto"/>
              <w:ind w:firstLine="1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通信代码</w:t>
            </w:r>
          </w:p>
        </w:tc>
        <w:tc>
          <w:tcPr>
            <w:tcW w:w="1274" w:type="dxa"/>
            <w:vAlign w:val="top"/>
          </w:tcPr>
          <w:p>
            <w:pPr>
              <w:spacing w:before="195"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电</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sz w:val="24"/>
                <w:szCs w:val="24"/>
                <w:highlight w:val="none"/>
              </w:rPr>
              <w:t>话</w:t>
            </w:r>
          </w:p>
        </w:tc>
        <w:tc>
          <w:tcPr>
            <w:tcW w:w="2545" w:type="dxa"/>
            <w:gridSpan w:val="2"/>
            <w:vAlign w:val="top"/>
          </w:tcPr>
          <w:p>
            <w:pPr>
              <w:rPr>
                <w:rFonts w:hint="eastAsia" w:ascii="宋体" w:hAnsi="宋体" w:eastAsia="宋体" w:cs="宋体"/>
                <w:color w:val="auto"/>
                <w:sz w:val="21"/>
                <w:highlight w:val="none"/>
              </w:rPr>
            </w:pPr>
          </w:p>
        </w:tc>
        <w:tc>
          <w:tcPr>
            <w:tcW w:w="1609" w:type="dxa"/>
            <w:gridSpan w:val="3"/>
            <w:vAlign w:val="top"/>
          </w:tcPr>
          <w:p>
            <w:pPr>
              <w:spacing w:before="195" w:line="184" w:lineRule="auto"/>
              <w:ind w:firstLine="32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传</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真</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76" w:type="dxa"/>
            <w:vMerge w:val="continue"/>
            <w:tcBorders>
              <w:top w:val="nil"/>
            </w:tcBorders>
            <w:vAlign w:val="top"/>
          </w:tcPr>
          <w:p>
            <w:pPr>
              <w:rPr>
                <w:rFonts w:hint="eastAsia" w:ascii="宋体" w:hAnsi="宋体" w:eastAsia="宋体" w:cs="宋体"/>
                <w:color w:val="auto"/>
                <w:sz w:val="21"/>
                <w:highlight w:val="none"/>
              </w:rPr>
            </w:pPr>
          </w:p>
        </w:tc>
        <w:tc>
          <w:tcPr>
            <w:tcW w:w="1274" w:type="dxa"/>
            <w:vAlign w:val="top"/>
          </w:tcPr>
          <w:p>
            <w:pPr>
              <w:spacing w:before="193" w:line="184" w:lineRule="auto"/>
              <w:ind w:firstLine="239"/>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网</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5"/>
                <w:sz w:val="24"/>
                <w:szCs w:val="24"/>
                <w:highlight w:val="none"/>
              </w:rPr>
              <w:t>址</w:t>
            </w:r>
          </w:p>
        </w:tc>
        <w:tc>
          <w:tcPr>
            <w:tcW w:w="2545" w:type="dxa"/>
            <w:gridSpan w:val="2"/>
            <w:vAlign w:val="top"/>
          </w:tcPr>
          <w:p>
            <w:pPr>
              <w:rPr>
                <w:rFonts w:hint="eastAsia" w:ascii="宋体" w:hAnsi="宋体" w:eastAsia="宋体" w:cs="宋体"/>
                <w:color w:val="auto"/>
                <w:sz w:val="21"/>
                <w:highlight w:val="none"/>
              </w:rPr>
            </w:pPr>
          </w:p>
        </w:tc>
        <w:tc>
          <w:tcPr>
            <w:tcW w:w="1609" w:type="dxa"/>
            <w:gridSpan w:val="3"/>
            <w:vAlign w:val="top"/>
          </w:tcPr>
          <w:p>
            <w:pPr>
              <w:spacing w:before="193" w:line="184" w:lineRule="auto"/>
              <w:ind w:firstLine="3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邮政编码</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276" w:type="dxa"/>
            <w:vAlign w:val="top"/>
          </w:tcPr>
          <w:p>
            <w:pPr>
              <w:spacing w:before="196" w:line="184" w:lineRule="auto"/>
              <w:ind w:firstLine="1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成立时间</w:t>
            </w:r>
          </w:p>
        </w:tc>
        <w:tc>
          <w:tcPr>
            <w:tcW w:w="7983" w:type="dxa"/>
            <w:gridSpan w:val="9"/>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76" w:type="dxa"/>
            <w:vAlign w:val="top"/>
          </w:tcPr>
          <w:p>
            <w:pPr>
              <w:spacing w:before="194"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企业性质</w:t>
            </w:r>
          </w:p>
        </w:tc>
        <w:tc>
          <w:tcPr>
            <w:tcW w:w="3126" w:type="dxa"/>
            <w:gridSpan w:val="2"/>
            <w:vAlign w:val="top"/>
          </w:tcPr>
          <w:p>
            <w:pPr>
              <w:rPr>
                <w:rFonts w:hint="eastAsia" w:ascii="宋体" w:hAnsi="宋体" w:eastAsia="宋体" w:cs="宋体"/>
                <w:color w:val="auto"/>
                <w:sz w:val="21"/>
                <w:highlight w:val="none"/>
              </w:rPr>
            </w:pPr>
          </w:p>
        </w:tc>
        <w:tc>
          <w:tcPr>
            <w:tcW w:w="2302" w:type="dxa"/>
            <w:gridSpan w:val="4"/>
            <w:vAlign w:val="top"/>
          </w:tcPr>
          <w:p>
            <w:pPr>
              <w:spacing w:before="194" w:line="184"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上级主管单位</w:t>
            </w:r>
          </w:p>
        </w:tc>
        <w:tc>
          <w:tcPr>
            <w:tcW w:w="2555"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276" w:type="dxa"/>
            <w:vAlign w:val="top"/>
          </w:tcPr>
          <w:p>
            <w:pPr>
              <w:spacing w:before="197" w:line="184" w:lineRule="auto"/>
              <w:ind w:firstLine="1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w:t>
            </w:r>
          </w:p>
        </w:tc>
        <w:tc>
          <w:tcPr>
            <w:tcW w:w="1274" w:type="dxa"/>
            <w:vAlign w:val="top"/>
          </w:tcPr>
          <w:p>
            <w:pPr>
              <w:spacing w:before="197" w:line="184" w:lineRule="auto"/>
              <w:ind w:firstLine="4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1852" w:type="dxa"/>
            <w:vAlign w:val="top"/>
          </w:tcPr>
          <w:p>
            <w:pPr>
              <w:rPr>
                <w:rFonts w:hint="eastAsia" w:ascii="宋体" w:hAnsi="宋体" w:eastAsia="宋体" w:cs="宋体"/>
                <w:color w:val="auto"/>
                <w:sz w:val="21"/>
                <w:highlight w:val="none"/>
              </w:rPr>
            </w:pPr>
          </w:p>
        </w:tc>
        <w:tc>
          <w:tcPr>
            <w:tcW w:w="1362" w:type="dxa"/>
            <w:gridSpan w:val="3"/>
            <w:vAlign w:val="top"/>
          </w:tcPr>
          <w:p>
            <w:pPr>
              <w:spacing w:before="197" w:line="184" w:lineRule="auto"/>
              <w:ind w:firstLine="22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出生年月</w:t>
            </w:r>
          </w:p>
        </w:tc>
        <w:tc>
          <w:tcPr>
            <w:tcW w:w="1254" w:type="dxa"/>
            <w:gridSpan w:val="2"/>
            <w:vAlign w:val="top"/>
          </w:tcPr>
          <w:p>
            <w:pPr>
              <w:rPr>
                <w:rFonts w:hint="eastAsia" w:ascii="宋体" w:hAnsi="宋体" w:eastAsia="宋体" w:cs="宋体"/>
                <w:color w:val="auto"/>
                <w:sz w:val="21"/>
                <w:highlight w:val="none"/>
              </w:rPr>
            </w:pPr>
          </w:p>
        </w:tc>
        <w:tc>
          <w:tcPr>
            <w:tcW w:w="962" w:type="dxa"/>
            <w:vAlign w:val="top"/>
          </w:tcPr>
          <w:p>
            <w:pPr>
              <w:spacing w:before="197"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职称</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76" w:type="dxa"/>
            <w:vAlign w:val="top"/>
          </w:tcPr>
          <w:p>
            <w:pPr>
              <w:spacing w:before="195" w:line="184" w:lineRule="auto"/>
              <w:ind w:firstLine="16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项目经理</w:t>
            </w:r>
          </w:p>
        </w:tc>
        <w:tc>
          <w:tcPr>
            <w:tcW w:w="1274" w:type="dxa"/>
            <w:vAlign w:val="top"/>
          </w:tcPr>
          <w:p>
            <w:pPr>
              <w:spacing w:before="195" w:line="184" w:lineRule="auto"/>
              <w:ind w:firstLine="4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1852" w:type="dxa"/>
            <w:vAlign w:val="top"/>
          </w:tcPr>
          <w:p>
            <w:pPr>
              <w:rPr>
                <w:rFonts w:hint="eastAsia" w:ascii="宋体" w:hAnsi="宋体" w:eastAsia="宋体" w:cs="宋体"/>
                <w:color w:val="auto"/>
                <w:sz w:val="21"/>
                <w:highlight w:val="none"/>
              </w:rPr>
            </w:pPr>
          </w:p>
        </w:tc>
        <w:tc>
          <w:tcPr>
            <w:tcW w:w="1362" w:type="dxa"/>
            <w:gridSpan w:val="3"/>
            <w:vAlign w:val="top"/>
          </w:tcPr>
          <w:p>
            <w:pPr>
              <w:spacing w:before="195" w:line="184" w:lineRule="auto"/>
              <w:ind w:firstLine="22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出生年月</w:t>
            </w:r>
          </w:p>
        </w:tc>
        <w:tc>
          <w:tcPr>
            <w:tcW w:w="1254" w:type="dxa"/>
            <w:gridSpan w:val="2"/>
            <w:vAlign w:val="top"/>
          </w:tcPr>
          <w:p>
            <w:pPr>
              <w:rPr>
                <w:rFonts w:hint="eastAsia" w:ascii="宋体" w:hAnsi="宋体" w:eastAsia="宋体" w:cs="宋体"/>
                <w:color w:val="auto"/>
                <w:sz w:val="21"/>
                <w:highlight w:val="none"/>
              </w:rPr>
            </w:pPr>
          </w:p>
        </w:tc>
        <w:tc>
          <w:tcPr>
            <w:tcW w:w="962" w:type="dxa"/>
            <w:vAlign w:val="top"/>
          </w:tcPr>
          <w:p>
            <w:pPr>
              <w:spacing w:before="195" w:line="184" w:lineRule="auto"/>
              <w:ind w:firstLine="24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职称</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2550" w:type="dxa"/>
            <w:gridSpan w:val="2"/>
            <w:vAlign w:val="top"/>
          </w:tcPr>
          <w:p>
            <w:pPr>
              <w:spacing w:before="198" w:line="184" w:lineRule="auto"/>
              <w:ind w:firstLine="5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企业资质等级</w:t>
            </w:r>
          </w:p>
        </w:tc>
        <w:tc>
          <w:tcPr>
            <w:tcW w:w="1852" w:type="dxa"/>
            <w:vAlign w:val="top"/>
          </w:tcPr>
          <w:p>
            <w:pPr>
              <w:rPr>
                <w:rFonts w:hint="eastAsia" w:ascii="宋体" w:hAnsi="宋体" w:eastAsia="宋体" w:cs="宋体"/>
                <w:color w:val="auto"/>
                <w:sz w:val="21"/>
                <w:highlight w:val="none"/>
              </w:rPr>
            </w:pPr>
          </w:p>
        </w:tc>
        <w:tc>
          <w:tcPr>
            <w:tcW w:w="3578" w:type="dxa"/>
            <w:gridSpan w:val="6"/>
            <w:vAlign w:val="top"/>
          </w:tcPr>
          <w:p>
            <w:pPr>
              <w:spacing w:before="198" w:line="184" w:lineRule="auto"/>
              <w:ind w:firstLine="84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员工总人数（人）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2550" w:type="dxa"/>
            <w:gridSpan w:val="2"/>
            <w:vAlign w:val="top"/>
          </w:tcPr>
          <w:p>
            <w:pPr>
              <w:spacing w:before="196" w:line="184" w:lineRule="auto"/>
              <w:ind w:firstLine="44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法人营业执照号</w:t>
            </w:r>
          </w:p>
        </w:tc>
        <w:tc>
          <w:tcPr>
            <w:tcW w:w="1852" w:type="dxa"/>
            <w:vAlign w:val="top"/>
          </w:tcPr>
          <w:p>
            <w:pPr>
              <w:rPr>
                <w:rFonts w:hint="eastAsia" w:ascii="宋体" w:hAnsi="宋体" w:eastAsia="宋体" w:cs="宋体"/>
                <w:color w:val="auto"/>
                <w:sz w:val="21"/>
                <w:highlight w:val="none"/>
              </w:rPr>
            </w:pPr>
          </w:p>
        </w:tc>
        <w:tc>
          <w:tcPr>
            <w:tcW w:w="1259" w:type="dxa"/>
            <w:gridSpan w:val="2"/>
            <w:vMerge w:val="restart"/>
            <w:tcBorders>
              <w:bottom w:val="nil"/>
            </w:tcBorders>
            <w:vAlign w:val="top"/>
          </w:tcPr>
          <w:p>
            <w:pPr>
              <w:spacing w:line="342" w:lineRule="auto"/>
              <w:rPr>
                <w:rFonts w:hint="eastAsia" w:ascii="宋体" w:hAnsi="宋体" w:eastAsia="宋体" w:cs="宋体"/>
                <w:color w:val="auto"/>
                <w:sz w:val="21"/>
                <w:highlight w:val="none"/>
              </w:rPr>
            </w:pPr>
          </w:p>
          <w:p>
            <w:pPr>
              <w:spacing w:before="78" w:line="184" w:lineRule="auto"/>
              <w:ind w:firstLine="5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tc>
        <w:tc>
          <w:tcPr>
            <w:tcW w:w="2319" w:type="dxa"/>
            <w:gridSpan w:val="4"/>
            <w:vAlign w:val="top"/>
          </w:tcPr>
          <w:p>
            <w:pPr>
              <w:spacing w:before="196" w:line="184" w:lineRule="auto"/>
              <w:ind w:firstLine="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项目负责人（人）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2550" w:type="dxa"/>
            <w:gridSpan w:val="2"/>
            <w:vAlign w:val="top"/>
          </w:tcPr>
          <w:p>
            <w:pPr>
              <w:spacing w:before="199" w:line="184" w:lineRule="auto"/>
              <w:ind w:firstLine="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固定资产（万元）</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199" w:line="184" w:lineRule="auto"/>
              <w:ind w:firstLine="1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高级职称人员（人）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2550" w:type="dxa"/>
            <w:gridSpan w:val="2"/>
            <w:vAlign w:val="top"/>
          </w:tcPr>
          <w:p>
            <w:pPr>
              <w:spacing w:before="197" w:line="184" w:lineRule="auto"/>
              <w:ind w:firstLine="32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流动资产（万元）</w:t>
            </w:r>
          </w:p>
        </w:tc>
        <w:tc>
          <w:tcPr>
            <w:tcW w:w="1852" w:type="dxa"/>
            <w:vAlign w:val="top"/>
          </w:tcPr>
          <w:p>
            <w:pPr>
              <w:rPr>
                <w:rFonts w:hint="eastAsia" w:ascii="宋体" w:hAnsi="宋体" w:eastAsia="宋体" w:cs="宋体"/>
                <w:color w:val="auto"/>
                <w:sz w:val="21"/>
                <w:highlight w:val="none"/>
              </w:rPr>
            </w:pPr>
          </w:p>
        </w:tc>
        <w:tc>
          <w:tcPr>
            <w:tcW w:w="1259" w:type="dxa"/>
            <w:gridSpan w:val="2"/>
            <w:vMerge w:val="restart"/>
            <w:tcBorders>
              <w:top w:val="nil"/>
              <w:bottom w:val="nil"/>
            </w:tcBorders>
            <w:vAlign w:val="top"/>
          </w:tcPr>
          <w:p>
            <w:pPr>
              <w:spacing w:line="324" w:lineRule="auto"/>
              <w:rPr>
                <w:rFonts w:hint="eastAsia" w:ascii="宋体" w:hAnsi="宋体" w:eastAsia="宋体" w:cs="宋体"/>
                <w:color w:val="auto"/>
                <w:sz w:val="21"/>
                <w:highlight w:val="none"/>
              </w:rPr>
            </w:pPr>
          </w:p>
          <w:p>
            <w:pPr>
              <w:spacing w:before="78" w:line="184" w:lineRule="auto"/>
              <w:ind w:firstLine="5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w:t>
            </w:r>
          </w:p>
        </w:tc>
        <w:tc>
          <w:tcPr>
            <w:tcW w:w="2319" w:type="dxa"/>
            <w:gridSpan w:val="4"/>
            <w:vAlign w:val="top"/>
          </w:tcPr>
          <w:p>
            <w:pPr>
              <w:spacing w:before="197" w:line="184" w:lineRule="auto"/>
              <w:ind w:firstLine="13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276" w:type="dxa"/>
            <w:vMerge w:val="restart"/>
            <w:tcBorders>
              <w:bottom w:val="nil"/>
            </w:tcBorders>
            <w:vAlign w:val="top"/>
          </w:tcPr>
          <w:p>
            <w:pPr>
              <w:spacing w:line="331" w:lineRule="auto"/>
              <w:rPr>
                <w:rFonts w:hint="eastAsia" w:ascii="宋体" w:hAnsi="宋体" w:eastAsia="宋体" w:cs="宋体"/>
                <w:color w:val="auto"/>
                <w:sz w:val="21"/>
                <w:highlight w:val="none"/>
              </w:rPr>
            </w:pPr>
          </w:p>
          <w:p>
            <w:pPr>
              <w:spacing w:before="78" w:line="184" w:lineRule="auto"/>
              <w:ind w:firstLine="16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w:t>
            </w:r>
          </w:p>
        </w:tc>
        <w:tc>
          <w:tcPr>
            <w:tcW w:w="1274" w:type="dxa"/>
            <w:vAlign w:val="top"/>
          </w:tcPr>
          <w:p>
            <w:pPr>
              <w:spacing w:before="200" w:line="184" w:lineRule="auto"/>
              <w:ind w:firstLine="4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名称</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bottom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200" w:line="184" w:lineRule="auto"/>
              <w:ind w:firstLine="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初级职称人员（人）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276" w:type="dxa"/>
            <w:vMerge w:val="continue"/>
            <w:tcBorders>
              <w:top w:val="nil"/>
            </w:tcBorders>
            <w:vAlign w:val="top"/>
          </w:tcPr>
          <w:p>
            <w:pPr>
              <w:rPr>
                <w:rFonts w:hint="eastAsia" w:ascii="宋体" w:hAnsi="宋体" w:eastAsia="宋体" w:cs="宋体"/>
                <w:color w:val="auto"/>
                <w:sz w:val="21"/>
                <w:highlight w:val="none"/>
              </w:rPr>
            </w:pPr>
          </w:p>
        </w:tc>
        <w:tc>
          <w:tcPr>
            <w:tcW w:w="1274" w:type="dxa"/>
            <w:vAlign w:val="top"/>
          </w:tcPr>
          <w:p>
            <w:pPr>
              <w:spacing w:before="198" w:line="184" w:lineRule="auto"/>
              <w:ind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帐号</w:t>
            </w:r>
          </w:p>
        </w:tc>
        <w:tc>
          <w:tcPr>
            <w:tcW w:w="1852" w:type="dxa"/>
            <w:vAlign w:val="top"/>
          </w:tcPr>
          <w:p>
            <w:pPr>
              <w:rPr>
                <w:rFonts w:hint="eastAsia" w:ascii="宋体" w:hAnsi="宋体" w:eastAsia="宋体" w:cs="宋体"/>
                <w:color w:val="auto"/>
                <w:sz w:val="21"/>
                <w:highlight w:val="none"/>
              </w:rPr>
            </w:pPr>
          </w:p>
        </w:tc>
        <w:tc>
          <w:tcPr>
            <w:tcW w:w="1259" w:type="dxa"/>
            <w:gridSpan w:val="2"/>
            <w:vMerge w:val="continue"/>
            <w:tcBorders>
              <w:top w:val="nil"/>
            </w:tcBorders>
            <w:vAlign w:val="top"/>
          </w:tcPr>
          <w:p>
            <w:pPr>
              <w:rPr>
                <w:rFonts w:hint="eastAsia" w:ascii="宋体" w:hAnsi="宋体" w:eastAsia="宋体" w:cs="宋体"/>
                <w:color w:val="auto"/>
                <w:sz w:val="21"/>
                <w:highlight w:val="none"/>
              </w:rPr>
            </w:pPr>
          </w:p>
        </w:tc>
        <w:tc>
          <w:tcPr>
            <w:tcW w:w="2319" w:type="dxa"/>
            <w:gridSpan w:val="4"/>
            <w:vAlign w:val="top"/>
          </w:tcPr>
          <w:p>
            <w:pPr>
              <w:spacing w:before="198" w:line="184" w:lineRule="auto"/>
              <w:ind w:firstLine="1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技工（人）</w:t>
            </w: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402" w:type="dxa"/>
            <w:gridSpan w:val="3"/>
            <w:vAlign w:val="top"/>
          </w:tcPr>
          <w:p>
            <w:pPr>
              <w:spacing w:before="200" w:line="184" w:lineRule="auto"/>
              <w:ind w:firstLine="5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最近五年完成的营业额（万元）</w:t>
            </w:r>
          </w:p>
        </w:tc>
        <w:tc>
          <w:tcPr>
            <w:tcW w:w="2302" w:type="dxa"/>
            <w:gridSpan w:val="4"/>
            <w:vAlign w:val="top"/>
          </w:tcPr>
          <w:p>
            <w:pPr>
              <w:rPr>
                <w:rFonts w:hint="eastAsia" w:ascii="宋体" w:hAnsi="宋体" w:eastAsia="宋体" w:cs="宋体"/>
                <w:color w:val="auto"/>
                <w:sz w:val="21"/>
                <w:highlight w:val="none"/>
              </w:rPr>
            </w:pPr>
          </w:p>
        </w:tc>
        <w:tc>
          <w:tcPr>
            <w:tcW w:w="1276" w:type="dxa"/>
            <w:gridSpan w:val="2"/>
            <w:vAlign w:val="top"/>
          </w:tcPr>
          <w:p>
            <w:pPr>
              <w:rPr>
                <w:rFonts w:hint="eastAsia" w:ascii="宋体" w:hAnsi="宋体" w:eastAsia="宋体" w:cs="宋体"/>
                <w:color w:val="auto"/>
                <w:sz w:val="21"/>
                <w:highlight w:val="none"/>
              </w:rPr>
            </w:pPr>
          </w:p>
        </w:tc>
        <w:tc>
          <w:tcPr>
            <w:tcW w:w="127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restart"/>
            <w:tcBorders>
              <w:bottom w:val="nil"/>
            </w:tcBorders>
            <w:vAlign w:val="top"/>
          </w:tcPr>
          <w:p>
            <w:pPr>
              <w:spacing w:line="260"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before="78" w:line="384" w:lineRule="auto"/>
              <w:ind w:left="115" w:right="107" w:firstLine="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（另附表，格式见</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7"/>
                <w:sz w:val="24"/>
                <w:szCs w:val="24"/>
                <w:highlight w:val="none"/>
              </w:rPr>
              <w:t>8.2《近期完成的类似工程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550" w:type="dxa"/>
            <w:gridSpan w:val="2"/>
            <w:vAlign w:val="top"/>
          </w:tcPr>
          <w:p>
            <w:pPr>
              <w:spacing w:before="200"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550" w:type="dxa"/>
            <w:gridSpan w:val="2"/>
            <w:vAlign w:val="top"/>
          </w:tcPr>
          <w:p>
            <w:pPr>
              <w:spacing w:before="200"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50" w:type="dxa"/>
            <w:gridSpan w:val="2"/>
            <w:vAlign w:val="top"/>
          </w:tcPr>
          <w:p>
            <w:pPr>
              <w:spacing w:before="198" w:line="184" w:lineRule="auto"/>
              <w:ind w:firstLine="11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852" w:type="dxa"/>
            <w:vAlign w:val="top"/>
          </w:tcPr>
          <w:p>
            <w:pPr>
              <w:rPr>
                <w:rFonts w:hint="eastAsia" w:ascii="宋体" w:hAnsi="宋体" w:eastAsia="宋体" w:cs="宋体"/>
                <w:color w:val="auto"/>
                <w:sz w:val="21"/>
                <w:highlight w:val="none"/>
              </w:rPr>
            </w:pPr>
          </w:p>
        </w:tc>
        <w:tc>
          <w:tcPr>
            <w:tcW w:w="4857" w:type="dxa"/>
            <w:gridSpan w:val="7"/>
            <w:vMerge w:val="continue"/>
            <w:tcBorders>
              <w:top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59" w:type="dxa"/>
            <w:gridSpan w:val="10"/>
            <w:vAlign w:val="top"/>
          </w:tcPr>
          <w:p>
            <w:pPr>
              <w:spacing w:before="200" w:line="184" w:lineRule="auto"/>
              <w:ind w:firstLine="27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所能承担的最大建安工作量（万元）</w:t>
            </w:r>
          </w:p>
        </w:tc>
      </w:tr>
    </w:tbl>
    <w:p>
      <w:pPr>
        <w:spacing w:line="269"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before="78" w:line="184" w:lineRule="auto"/>
        <w:ind w:firstLine="451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5"/>
          <w:sz w:val="24"/>
          <w:szCs w:val="24"/>
          <w:highlight w:val="none"/>
        </w:rPr>
        <w:t>公章）</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5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79" w:line="184" w:lineRule="auto"/>
        <w:ind w:firstLine="451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日</w:t>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3" w:name="_bookmark20"/>
      <w:bookmarkEnd w:id="323"/>
      <w:bookmarkStart w:id="324" w:name="_bookmark21"/>
      <w:bookmarkEnd w:id="324"/>
      <w:bookmarkStart w:id="325" w:name="_bookmark19"/>
      <w:bookmarkEnd w:id="325"/>
      <w:bookmarkStart w:id="326" w:name="_Toc23819"/>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 xml:space="preserve"> 财务状况表</w:t>
      </w:r>
      <w:bookmarkEnd w:id="326"/>
    </w:p>
    <w:p>
      <w:pPr>
        <w:spacing w:before="253" w:line="502" w:lineRule="exact"/>
        <w:ind w:firstLine="17"/>
        <w:rPr>
          <w:rFonts w:hint="eastAsia" w:ascii="宋体" w:hAnsi="宋体" w:eastAsia="宋体" w:cs="宋体"/>
          <w:color w:val="auto"/>
          <w:spacing w:val="-3"/>
          <w:position w:val="19"/>
          <w:sz w:val="24"/>
          <w:szCs w:val="24"/>
          <w:highlight w:val="none"/>
        </w:rPr>
      </w:pPr>
      <w:r>
        <w:rPr>
          <w:rFonts w:hint="eastAsia" w:ascii="宋体" w:hAnsi="宋体" w:eastAsia="宋体" w:cs="宋体"/>
          <w:color w:val="auto"/>
          <w:spacing w:val="-3"/>
          <w:position w:val="19"/>
          <w:sz w:val="24"/>
          <w:szCs w:val="24"/>
          <w:highlight w:val="none"/>
        </w:rPr>
        <w:t>1.企业近一年度（2021年或2020年）经审计的财务报告 。</w:t>
      </w: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line="262" w:lineRule="auto"/>
        <w:rPr>
          <w:rFonts w:hint="eastAsia" w:ascii="宋体" w:hAnsi="宋体" w:eastAsia="宋体" w:cs="宋体"/>
          <w:color w:val="auto"/>
          <w:sz w:val="24"/>
          <w:szCs w:val="24"/>
          <w:highlight w:val="none"/>
        </w:rPr>
      </w:pPr>
    </w:p>
    <w:p>
      <w:pPr>
        <w:spacing w:before="78" w:line="184" w:lineRule="auto"/>
        <w:ind w:firstLine="441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5"/>
          <w:sz w:val="24"/>
          <w:szCs w:val="24"/>
          <w:highlight w:val="none"/>
        </w:rPr>
        <w:t>（</w:t>
      </w:r>
      <w:r>
        <w:rPr>
          <w:rFonts w:hint="eastAsia" w:ascii="宋体" w:hAnsi="宋体" w:eastAsia="宋体" w:cs="宋体"/>
          <w:color w:val="auto"/>
          <w:spacing w:val="-105"/>
          <w:sz w:val="24"/>
          <w:szCs w:val="24"/>
          <w:highlight w:val="none"/>
          <w:lang w:val="en-US" w:eastAsia="zh-CN"/>
        </w:rPr>
        <w:t xml:space="preserve">      </w:t>
      </w:r>
      <w:r>
        <w:rPr>
          <w:rFonts w:hint="eastAsia" w:ascii="宋体" w:hAnsi="宋体" w:eastAsia="宋体" w:cs="宋体"/>
          <w:color w:val="auto"/>
          <w:spacing w:val="5"/>
          <w:sz w:val="24"/>
          <w:szCs w:val="24"/>
          <w:highlight w:val="none"/>
        </w:rPr>
        <w:t>公章）</w:t>
      </w:r>
    </w:p>
    <w:p>
      <w:pPr>
        <w:spacing w:before="260" w:line="184" w:lineRule="auto"/>
        <w:ind w:firstLine="44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法定代表人（或委托代理人</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3"/>
          <w:sz w:val="24"/>
          <w:szCs w:val="24"/>
          <w:highlight w:val="none"/>
        </w:rPr>
        <w:t>：（</w:t>
      </w:r>
      <w:r>
        <w:rPr>
          <w:rFonts w:hint="eastAsia" w:ascii="宋体" w:hAnsi="宋体" w:eastAsia="宋体" w:cs="宋体"/>
          <w:color w:val="auto"/>
          <w:spacing w:val="3"/>
          <w:sz w:val="24"/>
          <w:szCs w:val="24"/>
          <w:highlight w:val="none"/>
        </w:rPr>
        <w:t>签名）</w:t>
      </w:r>
    </w:p>
    <w:p>
      <w:pPr>
        <w:spacing w:before="263" w:line="184" w:lineRule="auto"/>
        <w:ind w:firstLine="477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27" w:name="_bookmark22"/>
      <w:bookmarkEnd w:id="327"/>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28" w:name="_Toc25037"/>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10</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lang w:val="en-US" w:eastAsia="zh-CN"/>
        </w:rPr>
        <w:t>中小企业声明函（工程、服务）</w:t>
      </w:r>
      <w:bookmarkEnd w:id="328"/>
    </w:p>
    <w:p>
      <w:pPr>
        <w:pStyle w:val="9"/>
        <w:numPr>
          <w:ilvl w:val="0"/>
          <w:numId w:val="0"/>
        </w:numPr>
        <w:rPr>
          <w:rFonts w:hint="eastAsia" w:ascii="宋体" w:hAnsi="宋体" w:eastAsia="宋体" w:cs="宋体"/>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val="en-US" w:eastAsia="zh-CN" w:bidi="ar"/>
        </w:rPr>
      </w:pPr>
      <w:r>
        <w:rPr>
          <w:rFonts w:hint="eastAsia" w:ascii="宋体" w:hAnsi="宋体" w:eastAsia="宋体" w:cs="宋体"/>
          <w:i w:val="0"/>
          <w:iCs w:val="0"/>
          <w:color w:val="auto"/>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日 期：</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11"/>
          <w:szCs w:val="11"/>
          <w:highlight w:val="none"/>
          <w:lang w:val="en-US" w:eastAsia="zh-CN" w:bidi="ar"/>
        </w:rPr>
        <w:t xml:space="preserve">1 </w: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color w:val="auto"/>
          <w:sz w:val="32"/>
          <w:szCs w:val="32"/>
          <w:highlight w:val="no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329" w:name="_bookmark23"/>
      <w:bookmarkEnd w:id="329"/>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outlineLvl w:val="9"/>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lang w:val="en-US" w:eastAsia="zh-CN"/>
        </w:rPr>
      </w:pPr>
      <w:bookmarkStart w:id="330" w:name="_Toc2121"/>
      <w:r>
        <w:rPr>
          <w:rFonts w:hint="eastAsia" w:ascii="宋体" w:hAnsi="宋体" w:eastAsia="宋体" w:cs="宋体"/>
          <w:b/>
          <w:color w:val="auto"/>
          <w:sz w:val="28"/>
          <w:highlight w:val="none"/>
          <w:lang w:val="en-US" w:eastAsia="zh-CN"/>
        </w:rPr>
        <w:t>9.11不参与围标串标承诺书</w:t>
      </w:r>
      <w:bookmarkEnd w:id="330"/>
    </w:p>
    <w:p>
      <w:pPr>
        <w:spacing w:line="350" w:lineRule="auto"/>
        <w:rPr>
          <w:rFonts w:hint="eastAsia" w:ascii="宋体" w:hAnsi="宋体" w:eastAsia="宋体" w:cs="宋体"/>
          <w:color w:val="auto"/>
          <w:sz w:val="21"/>
          <w:highlight w:val="none"/>
        </w:rPr>
      </w:pPr>
    </w:p>
    <w:p>
      <w:pPr>
        <w:spacing w:line="350" w:lineRule="auto"/>
        <w:rPr>
          <w:rFonts w:hint="eastAsia" w:ascii="宋体" w:hAnsi="宋体" w:eastAsia="宋体" w:cs="宋体"/>
          <w:color w:val="auto"/>
          <w:sz w:val="21"/>
          <w:highlight w:val="none"/>
        </w:rPr>
      </w:pPr>
    </w:p>
    <w:p>
      <w:pPr>
        <w:spacing w:before="91" w:line="185" w:lineRule="auto"/>
        <w:ind w:firstLine="1"/>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致</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8"/>
          <w:sz w:val="28"/>
          <w:szCs w:val="28"/>
          <w:highlight w:val="none"/>
        </w:rPr>
        <w:t>招标人）</w:t>
      </w:r>
    </w:p>
    <w:p>
      <w:pPr>
        <w:spacing w:before="344" w:line="411" w:lineRule="auto"/>
        <w:ind w:left="4" w:firstLine="561"/>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为响应</w:t>
      </w:r>
      <w:r>
        <w:rPr>
          <w:rFonts w:hint="eastAsia" w:ascii="宋体" w:hAnsi="宋体" w:eastAsia="宋体" w:cs="宋体"/>
          <w:color w:val="auto"/>
          <w:spacing w:val="9"/>
          <w:sz w:val="28"/>
          <w:szCs w:val="28"/>
          <w:highlight w:val="none"/>
          <w:u w:val="single" w:color="auto"/>
        </w:rPr>
        <w:t xml:space="preserve">              </w:t>
      </w:r>
      <w:r>
        <w:rPr>
          <w:rFonts w:hint="eastAsia" w:ascii="宋体" w:hAnsi="宋体" w:eastAsia="宋体" w:cs="宋体"/>
          <w:color w:val="auto"/>
          <w:spacing w:val="-10"/>
          <w:sz w:val="28"/>
          <w:szCs w:val="28"/>
          <w:highlight w:val="none"/>
        </w:rPr>
        <w:t>（招标项目名称、编号）</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的招标工作，确保招</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一、我单位和本人遵循公开、公平、公正、诚实守信的原则，依法依</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2"/>
          <w:sz w:val="28"/>
          <w:szCs w:val="28"/>
          <w:highlight w:val="none"/>
        </w:rPr>
        <w:t>规参与本项目竞标。</w:t>
      </w:r>
    </w:p>
    <w:p>
      <w:pPr>
        <w:spacing w:line="204" w:lineRule="auto"/>
        <w:ind w:firstLine="567"/>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三、我单位如被查实在本项目招标投标活动中存在围标串标的，递交</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
          <w:sz w:val="28"/>
          <w:szCs w:val="28"/>
          <w:highlight w:val="none"/>
          <w:lang w:eastAsia="zh-CN"/>
        </w:rPr>
        <w:t>谈判响应文件</w:t>
      </w:r>
      <w:r>
        <w:rPr>
          <w:rFonts w:hint="eastAsia" w:ascii="宋体" w:hAnsi="宋体" w:eastAsia="宋体" w:cs="宋体"/>
          <w:color w:val="auto"/>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特此承诺！</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1" w:line="411" w:lineRule="auto"/>
        <w:ind w:left="1823" w:right="1053" w:firstLine="2"/>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单位公章）</w:t>
      </w:r>
      <w:r>
        <w:rPr>
          <w:rFonts w:hint="eastAsia" w:ascii="宋体" w:hAnsi="宋体" w:eastAsia="宋体" w:cs="宋体"/>
          <w:color w:val="auto"/>
          <w:spacing w:val="63"/>
          <w:sz w:val="28"/>
          <w:szCs w:val="28"/>
          <w:highlight w:val="none"/>
          <w:u w:val="single" w:color="auto"/>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5"/>
          <w:sz w:val="28"/>
          <w:szCs w:val="28"/>
          <w:highlight w:val="none"/>
        </w:rPr>
        <w:t>法定代表人</w:t>
      </w:r>
      <w:r>
        <w:rPr>
          <w:rFonts w:hint="eastAsia" w:ascii="宋体" w:hAnsi="宋体" w:eastAsia="宋体" w:cs="宋体"/>
          <w:color w:val="auto"/>
          <w:spacing w:val="-103"/>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3"/>
          <w:sz w:val="28"/>
          <w:szCs w:val="28"/>
          <w:highlight w:val="none"/>
          <w:u w:val="single" w:color="auto"/>
        </w:rPr>
        <w:t>（</w:t>
      </w:r>
      <w:r>
        <w:rPr>
          <w:rFonts w:hint="eastAsia" w:ascii="宋体" w:hAnsi="宋体" w:eastAsia="宋体" w:cs="宋体"/>
          <w:color w:val="auto"/>
          <w:spacing w:val="-15"/>
          <w:sz w:val="28"/>
          <w:szCs w:val="28"/>
          <w:highlight w:val="none"/>
          <w:u w:val="single" w:color="auto"/>
        </w:rPr>
        <w:t>签字）</w:t>
      </w:r>
      <w:r>
        <w:rPr>
          <w:rFonts w:hint="eastAsia" w:ascii="宋体" w:hAnsi="宋体" w:eastAsia="宋体" w:cs="宋体"/>
          <w:color w:val="auto"/>
          <w:spacing w:val="6"/>
          <w:sz w:val="28"/>
          <w:szCs w:val="28"/>
          <w:highlight w:val="none"/>
          <w:u w:val="single" w:color="auto"/>
        </w:rPr>
        <w:t xml:space="preserve"> </w:t>
      </w:r>
    </w:p>
    <w:p>
      <w:pPr>
        <w:spacing w:line="204" w:lineRule="auto"/>
        <w:ind w:firstLine="1826"/>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投标人代表</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签字）</w:t>
      </w:r>
      <w:r>
        <w:rPr>
          <w:rFonts w:hint="eastAsia" w:ascii="宋体" w:hAnsi="宋体" w:eastAsia="宋体" w:cs="宋体"/>
          <w:color w:val="auto"/>
          <w:spacing w:val="5"/>
          <w:sz w:val="28"/>
          <w:szCs w:val="28"/>
          <w:highlight w:val="none"/>
          <w:u w:val="single" w:color="auto"/>
        </w:rPr>
        <w:t xml:space="preserve"> </w:t>
      </w:r>
    </w:p>
    <w:p>
      <w:pPr>
        <w:spacing w:before="315" w:line="185" w:lineRule="auto"/>
        <w:ind w:firstLine="1871"/>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rPr>
        <w:t>日期：</w:t>
      </w:r>
      <w:r>
        <w:rPr>
          <w:rFonts w:hint="eastAsia" w:ascii="宋体" w:hAnsi="宋体" w:eastAsia="宋体" w:cs="宋体"/>
          <w:color w:val="auto"/>
          <w:spacing w:val="23"/>
          <w:sz w:val="28"/>
          <w:szCs w:val="28"/>
          <w:highlight w:val="none"/>
        </w:rPr>
        <w:t xml:space="preserve"> </w:t>
      </w:r>
      <w:r>
        <w:rPr>
          <w:rFonts w:hint="eastAsia" w:ascii="宋体" w:hAnsi="宋体" w:eastAsia="宋体" w:cs="宋体"/>
          <w:color w:val="auto"/>
          <w:spacing w:val="-25"/>
          <w:sz w:val="28"/>
          <w:szCs w:val="28"/>
          <w:highlight w:val="none"/>
        </w:rPr>
        <w:t>2022</w:t>
      </w:r>
      <w:r>
        <w:rPr>
          <w:rFonts w:hint="eastAsia" w:ascii="宋体" w:hAnsi="宋体" w:eastAsia="宋体" w:cs="宋体"/>
          <w:color w:val="auto"/>
          <w:spacing w:val="10"/>
          <w:w w:val="101"/>
          <w:sz w:val="28"/>
          <w:szCs w:val="28"/>
          <w:highlight w:val="none"/>
        </w:rPr>
        <w:t xml:space="preserve"> </w:t>
      </w:r>
      <w:r>
        <w:rPr>
          <w:rFonts w:hint="eastAsia" w:ascii="宋体" w:hAnsi="宋体" w:eastAsia="宋体" w:cs="宋体"/>
          <w:color w:val="auto"/>
          <w:spacing w:val="-2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25"/>
          <w:sz w:val="28"/>
          <w:szCs w:val="28"/>
          <w:highlight w:val="none"/>
        </w:rPr>
        <w:t>月</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5"/>
          <w:sz w:val="28"/>
          <w:szCs w:val="28"/>
          <w:highlight w:val="none"/>
        </w:rPr>
        <w:t>日</w:t>
      </w: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spacing w:before="56" w:line="185" w:lineRule="auto"/>
        <w:ind w:firstLine="1282"/>
        <w:outlineLvl w:val="9"/>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pStyle w:val="18"/>
        <w:numPr>
          <w:ilvl w:val="0"/>
          <w:numId w:val="0"/>
        </w:numPr>
        <w:tabs>
          <w:tab w:val="left" w:pos="678"/>
        </w:tabs>
        <w:spacing w:before="62" w:after="0" w:line="240" w:lineRule="auto"/>
        <w:ind w:leftChars="0" w:right="0" w:rightChars="0"/>
        <w:jc w:val="center"/>
        <w:outlineLvl w:val="0"/>
        <w:rPr>
          <w:rFonts w:hint="eastAsia" w:ascii="宋体" w:hAnsi="宋体" w:eastAsia="宋体" w:cs="宋体"/>
          <w:b/>
          <w:color w:val="auto"/>
          <w:sz w:val="28"/>
          <w:highlight w:val="none"/>
        </w:rPr>
      </w:pPr>
      <w:bookmarkStart w:id="331" w:name="_Toc21328"/>
      <w:r>
        <w:rPr>
          <w:rFonts w:hint="eastAsia" w:ascii="宋体" w:hAnsi="宋体" w:eastAsia="宋体" w:cs="宋体"/>
          <w:b/>
          <w:color w:val="auto"/>
          <w:sz w:val="28"/>
          <w:highlight w:val="none"/>
          <w:lang w:val="en-US" w:eastAsia="zh-CN"/>
        </w:rPr>
        <w:t>9.12</w:t>
      </w:r>
      <w:r>
        <w:rPr>
          <w:rFonts w:hint="eastAsia" w:ascii="宋体" w:hAnsi="宋体" w:eastAsia="宋体" w:cs="宋体"/>
          <w:b/>
          <w:color w:val="auto"/>
          <w:sz w:val="28"/>
          <w:highlight w:val="none"/>
        </w:rPr>
        <w:t>投标人按本投标须知要标提交的其他材料</w:t>
      </w:r>
      <w:bookmarkEnd w:id="331"/>
    </w:p>
    <w:p>
      <w:pPr>
        <w:spacing w:before="56" w:line="185" w:lineRule="auto"/>
        <w:outlineLvl w:val="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（格式自拟）</w:t>
      </w:r>
    </w:p>
    <w:p>
      <w:pP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br w:type="page"/>
      </w:r>
    </w:p>
    <w:p>
      <w:pPr>
        <w:spacing w:before="131" w:line="692" w:lineRule="exact"/>
        <w:ind w:firstLine="3076"/>
        <w:outlineLvl w:val="0"/>
        <w:rPr>
          <w:rFonts w:hint="eastAsia" w:ascii="宋体" w:hAnsi="宋体" w:eastAsia="宋体" w:cs="宋体"/>
          <w:color w:val="auto"/>
          <w:sz w:val="36"/>
          <w:szCs w:val="36"/>
          <w:highlight w:val="none"/>
        </w:rPr>
      </w:pPr>
      <w:bookmarkStart w:id="332" w:name="_Toc24841"/>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t>第八章：</w:t>
      </w:r>
      <w:r>
        <w:rPr>
          <w:rFonts w:hint="eastAsia" w:ascii="宋体" w:hAnsi="宋体" w:eastAsia="宋体" w:cs="宋体"/>
          <w:color w:val="auto"/>
          <w:spacing w:val="125"/>
          <w:position w:val="24"/>
          <w:sz w:val="36"/>
          <w:szCs w:val="36"/>
          <w:highlight w:val="none"/>
        </w:rPr>
        <w:t xml:space="preserve"> </w:t>
      </w: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t>图纸</w:t>
      </w:r>
      <w:bookmarkEnd w:id="332"/>
    </w:p>
    <w:p>
      <w:pPr>
        <w:spacing w:before="2" w:line="204" w:lineRule="auto"/>
        <w:ind w:firstLine="3137"/>
        <w:outlineLvl w:val="0"/>
        <w:rPr>
          <w:rFonts w:hint="eastAsia" w:ascii="宋体" w:hAnsi="宋体" w:eastAsia="宋体" w:cs="宋体"/>
          <w:color w:val="auto"/>
          <w:sz w:val="52"/>
          <w:szCs w:val="52"/>
          <w:highlight w:val="none"/>
        </w:rPr>
      </w:pPr>
      <w:bookmarkStart w:id="333" w:name="_Toc5087"/>
      <w:r>
        <w:rPr>
          <w:rFonts w:hint="eastAsia" w:ascii="宋体" w:hAnsi="宋体" w:eastAsia="宋体" w:cs="宋体"/>
          <w:color w:val="auto"/>
          <w:spacing w:val="-8"/>
          <w:sz w:val="52"/>
          <w:szCs w:val="52"/>
          <w:highlight w:val="none"/>
          <w14:textOutline w14:w="9461" w14:cap="flat" w14:cmpd="sng">
            <w14:solidFill>
              <w14:srgbClr w14:val="000000"/>
            </w14:solidFill>
            <w14:prstDash w14:val="solid"/>
            <w14:miter w14:val="0"/>
          </w14:textOutline>
        </w:rPr>
        <w:t>（另册）</w:t>
      </w:r>
      <w:bookmarkEnd w:id="333"/>
    </w:p>
    <w:sectPr>
      <w:headerReference r:id="rId5" w:type="default"/>
      <w:footerReference r:id="rId6" w:type="default"/>
      <w:pgSz w:w="11905" w:h="16838"/>
      <w:pgMar w:top="1429" w:right="1468" w:bottom="1191" w:left="1480" w:header="0" w:footer="106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833858E-28F2-404C-B813-02D856D9A0AA}"/>
  </w:font>
  <w:font w:name="黑体">
    <w:panose1 w:val="02010609060101010101"/>
    <w:charset w:val="86"/>
    <w:family w:val="auto"/>
    <w:pitch w:val="default"/>
    <w:sig w:usb0="800002BF" w:usb1="38CF7CFA" w:usb2="00000016" w:usb3="00000000" w:csb0="00040001" w:csb1="00000000"/>
    <w:embedRegular r:id="rId2" w:fontKey="{619972BD-334A-4E17-9541-54BEED778F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C4A8200A-DDE3-47A5-BB21-FC9B0E7B618B}"/>
  </w:font>
  <w:font w:name="仿宋">
    <w:panose1 w:val="02010609060101010101"/>
    <w:charset w:val="86"/>
    <w:family w:val="modern"/>
    <w:pitch w:val="default"/>
    <w:sig w:usb0="800002BF" w:usb1="38CF7CFA" w:usb2="00000016" w:usb3="00000000" w:csb0="00040001" w:csb1="00000000"/>
    <w:embedRegular r:id="rId4" w:fontKey="{A1141909-78AB-43BD-9657-5368E215DBB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E270A"/>
    <w:multiLevelType w:val="singleLevel"/>
    <w:tmpl w:val="B49E270A"/>
    <w:lvl w:ilvl="0" w:tentative="0">
      <w:start w:val="1"/>
      <w:numFmt w:val="decimal"/>
      <w:suff w:val="nothing"/>
      <w:lvlText w:val="%1、"/>
      <w:lvlJc w:val="left"/>
    </w:lvl>
  </w:abstractNum>
  <w:abstractNum w:abstractNumId="1">
    <w:nsid w:val="EC90FC70"/>
    <w:multiLevelType w:val="singleLevel"/>
    <w:tmpl w:val="EC90FC70"/>
    <w:lvl w:ilvl="0" w:tentative="0">
      <w:start w:val="1"/>
      <w:numFmt w:val="decimal"/>
      <w:lvlText w:val="%1."/>
      <w:lvlJc w:val="left"/>
      <w:pPr>
        <w:tabs>
          <w:tab w:val="left" w:pos="312"/>
        </w:tabs>
      </w:pPr>
    </w:lvl>
  </w:abstractNum>
  <w:abstractNum w:abstractNumId="2">
    <w:nsid w:val="FF5609F7"/>
    <w:multiLevelType w:val="singleLevel"/>
    <w:tmpl w:val="FF5609F7"/>
    <w:lvl w:ilvl="0" w:tentative="0">
      <w:start w:val="1"/>
      <w:numFmt w:val="decimal"/>
      <w:suff w:val="nothing"/>
      <w:lvlText w:val="（%1）"/>
      <w:lvlJc w:val="left"/>
      <w:pPr>
        <w:ind w:left="-116"/>
      </w:pPr>
    </w:lvl>
  </w:abstractNum>
  <w:abstractNum w:abstractNumId="3">
    <w:nsid w:val="02951711"/>
    <w:multiLevelType w:val="singleLevel"/>
    <w:tmpl w:val="02951711"/>
    <w:lvl w:ilvl="0" w:tentative="0">
      <w:start w:val="2"/>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88CD462"/>
    <w:multiLevelType w:val="singleLevel"/>
    <w:tmpl w:val="488CD462"/>
    <w:lvl w:ilvl="0" w:tentative="0">
      <w:start w:val="1"/>
      <w:numFmt w:val="decimal"/>
      <w:suff w:val="nothing"/>
      <w:lvlText w:val="（%1）"/>
      <w:lvlJc w:val="left"/>
    </w:lvl>
  </w:abstractNum>
  <w:abstractNum w:abstractNumId="6">
    <w:nsid w:val="5DA77D1E"/>
    <w:multiLevelType w:val="singleLevel"/>
    <w:tmpl w:val="5DA77D1E"/>
    <w:lvl w:ilvl="0" w:tentative="0">
      <w:start w:val="7"/>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VjNWUwY2MzMzA4MTAwYjVjMDY1MDQ0ZDYyMjM0MzUifQ=="/>
  </w:docVars>
  <w:rsids>
    <w:rsidRoot w:val="00000000"/>
    <w:rsid w:val="000B13A8"/>
    <w:rsid w:val="002A29C7"/>
    <w:rsid w:val="02EB144E"/>
    <w:rsid w:val="03A058FE"/>
    <w:rsid w:val="04EA0E2C"/>
    <w:rsid w:val="052A4FE8"/>
    <w:rsid w:val="064013E6"/>
    <w:rsid w:val="089753DD"/>
    <w:rsid w:val="0B6550EC"/>
    <w:rsid w:val="0CB35396"/>
    <w:rsid w:val="0CE752B4"/>
    <w:rsid w:val="0DEE214B"/>
    <w:rsid w:val="0E345635"/>
    <w:rsid w:val="117D3CC8"/>
    <w:rsid w:val="119A0D13"/>
    <w:rsid w:val="139034CE"/>
    <w:rsid w:val="14430E33"/>
    <w:rsid w:val="145F3770"/>
    <w:rsid w:val="15677655"/>
    <w:rsid w:val="15D31D94"/>
    <w:rsid w:val="19D70F73"/>
    <w:rsid w:val="1AAE3F81"/>
    <w:rsid w:val="21AF6A69"/>
    <w:rsid w:val="222200DC"/>
    <w:rsid w:val="228210AC"/>
    <w:rsid w:val="22D01384"/>
    <w:rsid w:val="23373A82"/>
    <w:rsid w:val="23493CA0"/>
    <w:rsid w:val="23EF14CC"/>
    <w:rsid w:val="2B652CB6"/>
    <w:rsid w:val="2B7B78ED"/>
    <w:rsid w:val="2E14495F"/>
    <w:rsid w:val="2F3646EE"/>
    <w:rsid w:val="30265683"/>
    <w:rsid w:val="303A5719"/>
    <w:rsid w:val="307944C0"/>
    <w:rsid w:val="31A32F4C"/>
    <w:rsid w:val="33826C4F"/>
    <w:rsid w:val="33DF2989"/>
    <w:rsid w:val="34726833"/>
    <w:rsid w:val="37926F12"/>
    <w:rsid w:val="38EE6953"/>
    <w:rsid w:val="393C1C14"/>
    <w:rsid w:val="3A645261"/>
    <w:rsid w:val="43DC7327"/>
    <w:rsid w:val="43FB0561"/>
    <w:rsid w:val="4C650094"/>
    <w:rsid w:val="4D841B8D"/>
    <w:rsid w:val="4E4E3311"/>
    <w:rsid w:val="4EC64E97"/>
    <w:rsid w:val="4EE636D8"/>
    <w:rsid w:val="4FC5147C"/>
    <w:rsid w:val="50DE43BE"/>
    <w:rsid w:val="50EB34EA"/>
    <w:rsid w:val="51260C95"/>
    <w:rsid w:val="51391763"/>
    <w:rsid w:val="529E7949"/>
    <w:rsid w:val="55795BD4"/>
    <w:rsid w:val="55C8642C"/>
    <w:rsid w:val="56B85E24"/>
    <w:rsid w:val="579F5AA9"/>
    <w:rsid w:val="5888613E"/>
    <w:rsid w:val="63C02D22"/>
    <w:rsid w:val="65B25E0B"/>
    <w:rsid w:val="672F49B3"/>
    <w:rsid w:val="67874BC3"/>
    <w:rsid w:val="67AF18B4"/>
    <w:rsid w:val="6810562D"/>
    <w:rsid w:val="682C65FD"/>
    <w:rsid w:val="68E5013A"/>
    <w:rsid w:val="6C557385"/>
    <w:rsid w:val="6DF7219B"/>
    <w:rsid w:val="6EC244B1"/>
    <w:rsid w:val="6EDE0DBE"/>
    <w:rsid w:val="704179B8"/>
    <w:rsid w:val="711C0DB8"/>
    <w:rsid w:val="72FF7D67"/>
    <w:rsid w:val="73496D20"/>
    <w:rsid w:val="74764B6B"/>
    <w:rsid w:val="76396B19"/>
    <w:rsid w:val="768D18D0"/>
    <w:rsid w:val="76AC65AE"/>
    <w:rsid w:val="77C9433A"/>
    <w:rsid w:val="793E4589"/>
    <w:rsid w:val="79EA2AED"/>
    <w:rsid w:val="7ACF2D29"/>
    <w:rsid w:val="7D782DEB"/>
    <w:rsid w:val="7DA04603"/>
    <w:rsid w:val="7E5D17F1"/>
    <w:rsid w:val="7EFE4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spacing w:line="216" w:lineRule="auto"/>
      <w:outlineLvl w:val="1"/>
    </w:pPr>
    <w:rPr>
      <w:rFonts w:ascii="宋体"/>
      <w:sz w:val="28"/>
    </w:rPr>
  </w:style>
  <w:style w:type="paragraph" w:styleId="5">
    <w:name w:val="heading 3"/>
    <w:basedOn w:val="1"/>
    <w:next w:val="1"/>
    <w:qFormat/>
    <w:uiPriority w:val="0"/>
    <w:pPr>
      <w:keepNext/>
      <w:keepLines/>
      <w:spacing w:before="120" w:after="120" w:line="360" w:lineRule="auto"/>
      <w:outlineLvl w:val="2"/>
    </w:pPr>
    <w:rPr>
      <w:rFonts w:eastAsia="黑体"/>
      <w:bCs/>
      <w:sz w:val="24"/>
    </w:rPr>
  </w:style>
  <w:style w:type="paragraph" w:styleId="6">
    <w:name w:val="heading 5"/>
    <w:basedOn w:val="1"/>
    <w:next w:val="1"/>
    <w:qFormat/>
    <w:uiPriority w:val="1"/>
    <w:pPr>
      <w:ind w:left="182"/>
      <w:outlineLvl w:val="5"/>
    </w:pPr>
    <w:rPr>
      <w:rFonts w:ascii="宋体" w:hAnsi="宋体" w:eastAsia="宋体" w:cs="宋体"/>
      <w:sz w:val="24"/>
      <w:szCs w:val="24"/>
      <w:lang w:val="zh-CN" w:eastAsia="zh-CN" w:bidi="zh-CN"/>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table" w:customStyle="1" w:styleId="17">
    <w:name w:val="Table Normal"/>
    <w:unhideWhenUsed/>
    <w:qFormat/>
    <w:uiPriority w:val="0"/>
    <w:tblPr>
      <w:tblCellMar>
        <w:top w:w="0" w:type="dxa"/>
        <w:left w:w="0" w:type="dxa"/>
        <w:bottom w:w="0" w:type="dxa"/>
        <w:right w:w="0" w:type="dxa"/>
      </w:tblCellMar>
    </w:tblPr>
  </w:style>
  <w:style w:type="paragraph" w:styleId="18">
    <w:name w:val="List Paragraph"/>
    <w:basedOn w:val="1"/>
    <w:qFormat/>
    <w:uiPriority w:val="1"/>
    <w:pPr>
      <w:ind w:left="182"/>
    </w:pPr>
    <w:rPr>
      <w:rFonts w:ascii="宋体" w:hAnsi="宋体" w:eastAsia="宋体" w:cs="宋体"/>
      <w:lang w:val="zh-CN" w:eastAsia="zh-CN" w:bidi="zh-CN"/>
    </w:rPr>
  </w:style>
  <w:style w:type="paragraph" w:customStyle="1" w:styleId="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szCs w:val="20"/>
    </w:rPr>
  </w:style>
  <w:style w:type="paragraph" w:customStyle="1" w:styleId="20">
    <w:name w:val="样式 标题 3 + (中文) 黑体 小四 非加粗 段前: 7.8 磅 段后: 0 磅 行距: 固定值 20 磅"/>
    <w:basedOn w:val="5"/>
    <w:qFormat/>
    <w:uiPriority w:val="0"/>
    <w:pPr>
      <w:spacing w:before="0" w:after="0" w:line="400" w:lineRule="exact"/>
    </w:pPr>
    <w:rPr>
      <w:rFonts w:cs="宋体"/>
      <w:b/>
      <w:bCs w:val="0"/>
      <w:szCs w:val="20"/>
    </w:rPr>
  </w:style>
  <w:style w:type="paragraph" w:customStyle="1" w:styleId="21">
    <w:name w:val="样式 样式 小四 行距: 1.5 倍行距 + 首行缩进:  2 字符"/>
    <w:basedOn w:val="22"/>
    <w:qFormat/>
    <w:uiPriority w:val="0"/>
    <w:pPr>
      <w:ind w:firstLine="480"/>
    </w:pPr>
  </w:style>
  <w:style w:type="paragraph" w:customStyle="1" w:styleId="22">
    <w:name w:val="样式 小四 行距: 1.5 倍行距"/>
    <w:basedOn w:val="1"/>
    <w:qFormat/>
    <w:uiPriority w:val="0"/>
    <w:pPr>
      <w:spacing w:line="460" w:lineRule="atLeast"/>
      <w:ind w:firstLine="200" w:firstLineChars="200"/>
    </w:pPr>
    <w:rPr>
      <w:kern w:val="0"/>
      <w:sz w:val="24"/>
      <w:szCs w:val="20"/>
    </w:rPr>
  </w:style>
  <w:style w:type="paragraph" w:customStyle="1" w:styleId="23">
    <w:name w:val="Heading #1|1"/>
    <w:basedOn w:val="1"/>
    <w:qFormat/>
    <w:uiPriority w:val="0"/>
    <w:pPr>
      <w:widowControl w:val="0"/>
      <w:shd w:val="clear" w:color="auto" w:fill="auto"/>
      <w:jc w:val="center"/>
      <w:outlineLvl w:val="0"/>
    </w:pPr>
    <w:rPr>
      <w:rFonts w:ascii="宋体" w:hAnsi="宋体" w:eastAsia="宋体" w:cs="宋体"/>
      <w:sz w:val="46"/>
      <w:szCs w:val="46"/>
      <w:u w:val="none"/>
      <w:shd w:val="clear" w:color="auto" w:fill="auto"/>
      <w:lang w:val="zh-TW" w:eastAsia="zh-TW" w:bidi="zh-TW"/>
    </w:rPr>
  </w:style>
  <w:style w:type="paragraph" w:customStyle="1" w:styleId="24">
    <w:name w:val="Heading #2|1"/>
    <w:basedOn w:val="1"/>
    <w:qFormat/>
    <w:uiPriority w:val="0"/>
    <w:pPr>
      <w:widowControl w:val="0"/>
      <w:shd w:val="clear" w:color="auto" w:fill="auto"/>
      <w:spacing w:after="1560"/>
      <w:jc w:val="center"/>
      <w:outlineLvl w:val="1"/>
    </w:pPr>
    <w:rPr>
      <w:rFonts w:ascii="宋体" w:hAnsi="宋体" w:eastAsia="宋体" w:cs="宋体"/>
      <w:color w:val="313131"/>
      <w:sz w:val="34"/>
      <w:szCs w:val="34"/>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Heading #3|1"/>
    <w:basedOn w:val="1"/>
    <w:qFormat/>
    <w:uiPriority w:val="0"/>
    <w:pPr>
      <w:widowControl w:val="0"/>
      <w:shd w:val="clear" w:color="auto" w:fill="auto"/>
      <w:spacing w:after="280"/>
      <w:ind w:firstLine="680"/>
      <w:outlineLvl w:val="2"/>
    </w:pPr>
    <w:rPr>
      <w:rFonts w:ascii="宋体" w:hAnsi="宋体" w:eastAsia="宋体" w:cs="宋体"/>
      <w:b/>
      <w:bCs/>
      <w:sz w:val="28"/>
      <w:szCs w:val="28"/>
      <w:u w:val="none"/>
      <w:shd w:val="clear" w:color="auto" w:fill="auto"/>
      <w:lang w:val="zh-TW" w:eastAsia="zh-TW" w:bidi="zh-TW"/>
    </w:rPr>
  </w:style>
  <w:style w:type="paragraph" w:customStyle="1" w:styleId="27">
    <w:name w:val="Other|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Pictur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9">
    <w:name w:val="Header or footer|1"/>
    <w:basedOn w:val="1"/>
    <w:qFormat/>
    <w:uiPriority w:val="0"/>
    <w:pPr>
      <w:widowControl w:val="0"/>
      <w:shd w:val="clear" w:color="auto" w:fill="auto"/>
    </w:pPr>
    <w:rPr>
      <w:rFonts w:ascii="宋体" w:hAnsi="宋体" w:eastAsia="宋体" w:cs="宋体"/>
      <w:color w:val="313131"/>
      <w:sz w:val="34"/>
      <w:szCs w:val="34"/>
      <w:u w:val="none"/>
      <w:shd w:val="clear" w:color="auto" w:fill="auto"/>
      <w:lang w:val="zh-TW" w:eastAsia="zh-TW" w:bidi="zh-TW"/>
    </w:rPr>
  </w:style>
  <w:style w:type="character" w:customStyle="1" w:styleId="30">
    <w:name w:val="font71"/>
    <w:basedOn w:val="14"/>
    <w:qFormat/>
    <w:uiPriority w:val="0"/>
    <w:rPr>
      <w:rFonts w:hint="default" w:ascii="Times New Roman" w:hAnsi="Times New Roman" w:cs="Times New Roman"/>
      <w:color w:val="000000"/>
      <w:sz w:val="28"/>
      <w:szCs w:val="28"/>
      <w:u w:val="none"/>
    </w:rPr>
  </w:style>
  <w:style w:type="character" w:customStyle="1" w:styleId="31">
    <w:name w:val="font81"/>
    <w:basedOn w:val="14"/>
    <w:qFormat/>
    <w:uiPriority w:val="0"/>
    <w:rPr>
      <w:rFonts w:ascii="方正仿宋_GBK" w:hAnsi="方正仿宋_GBK" w:eastAsia="方正仿宋_GBK" w:cs="方正仿宋_GBK"/>
      <w:b/>
      <w:bCs/>
      <w:color w:val="000000"/>
      <w:sz w:val="22"/>
      <w:szCs w:val="22"/>
      <w:u w:val="none"/>
    </w:rPr>
  </w:style>
  <w:style w:type="character" w:customStyle="1" w:styleId="32">
    <w:name w:val="font91"/>
    <w:basedOn w:val="14"/>
    <w:qFormat/>
    <w:uiPriority w:val="0"/>
    <w:rPr>
      <w:rFonts w:hint="default" w:ascii="方正仿宋_GBK" w:hAnsi="方正仿宋_GBK" w:eastAsia="方正仿宋_GBK" w:cs="方正仿宋_GBK"/>
      <w:color w:val="000000"/>
      <w:sz w:val="22"/>
      <w:szCs w:val="22"/>
      <w:u w:val="none"/>
    </w:rPr>
  </w:style>
  <w:style w:type="character" w:customStyle="1" w:styleId="33">
    <w:name w:val="font61"/>
    <w:basedOn w:val="14"/>
    <w:qFormat/>
    <w:uiPriority w:val="0"/>
    <w:rPr>
      <w:rFonts w:hint="default" w:ascii="Times New Roman" w:hAnsi="Times New Roman" w:cs="Times New Roman"/>
      <w:b/>
      <w:bCs/>
      <w:color w:val="000000"/>
      <w:sz w:val="22"/>
      <w:szCs w:val="22"/>
      <w:u w:val="none"/>
    </w:rPr>
  </w:style>
  <w:style w:type="character" w:customStyle="1" w:styleId="34">
    <w:name w:val="font31"/>
    <w:basedOn w:val="14"/>
    <w:qFormat/>
    <w:uiPriority w:val="0"/>
    <w:rPr>
      <w:rFonts w:hint="default" w:ascii="Times New Roman" w:hAnsi="Times New Roman" w:cs="Times New Roman"/>
      <w:color w:val="000000"/>
      <w:sz w:val="30"/>
      <w:szCs w:val="30"/>
      <w:u w:val="none"/>
    </w:rPr>
  </w:style>
  <w:style w:type="character" w:customStyle="1" w:styleId="35">
    <w:name w:val="font01"/>
    <w:basedOn w:val="14"/>
    <w:qFormat/>
    <w:uiPriority w:val="0"/>
    <w:rPr>
      <w:rFonts w:hint="default" w:ascii="方正仿宋_GBK" w:hAnsi="方正仿宋_GBK" w:eastAsia="方正仿宋_GBK" w:cs="方正仿宋_GBK"/>
      <w:b/>
      <w:bCs/>
      <w:color w:val="000000"/>
      <w:sz w:val="22"/>
      <w:szCs w:val="22"/>
      <w:u w:val="none"/>
    </w:rPr>
  </w:style>
  <w:style w:type="character" w:customStyle="1" w:styleId="36">
    <w:name w:val="font101"/>
    <w:basedOn w:val="14"/>
    <w:qFormat/>
    <w:uiPriority w:val="0"/>
    <w:rPr>
      <w:rFonts w:hint="default" w:ascii="方正仿宋_GBK" w:hAnsi="方正仿宋_GBK" w:eastAsia="方正仿宋_GBK" w:cs="方正仿宋_GBK"/>
      <w:color w:val="000000"/>
      <w:sz w:val="22"/>
      <w:szCs w:val="22"/>
      <w:u w:val="none"/>
    </w:rPr>
  </w:style>
  <w:style w:type="character" w:customStyle="1" w:styleId="37">
    <w:name w:val="font21"/>
    <w:basedOn w:val="14"/>
    <w:qFormat/>
    <w:uiPriority w:val="0"/>
    <w:rPr>
      <w:rFonts w:hint="default" w:ascii="Times New Roman" w:hAnsi="Times New Roman" w:cs="Times New Roman"/>
      <w:color w:val="000000"/>
      <w:sz w:val="30"/>
      <w:szCs w:val="30"/>
      <w:u w:val="none"/>
    </w:rPr>
  </w:style>
  <w:style w:type="character" w:customStyle="1" w:styleId="38">
    <w:name w:val="font41"/>
    <w:basedOn w:val="14"/>
    <w:qFormat/>
    <w:uiPriority w:val="0"/>
    <w:rPr>
      <w:rFonts w:hint="default" w:ascii="Times New Roman" w:hAnsi="Times New Roman" w:cs="Times New Roman"/>
      <w:color w:val="000000"/>
      <w:sz w:val="40"/>
      <w:szCs w:val="40"/>
      <w:u w:val="none"/>
    </w:rPr>
  </w:style>
  <w:style w:type="character" w:customStyle="1" w:styleId="39">
    <w:name w:val="font51"/>
    <w:basedOn w:val="14"/>
    <w:qFormat/>
    <w:uiPriority w:val="0"/>
    <w:rPr>
      <w:rFonts w:hint="default" w:ascii="Times New Roman" w:hAnsi="Times New Roman" w:cs="Times New Roman"/>
      <w:color w:val="000000"/>
      <w:sz w:val="24"/>
      <w:szCs w:val="24"/>
      <w:u w:val="none"/>
    </w:rPr>
  </w:style>
  <w:style w:type="character" w:customStyle="1" w:styleId="40">
    <w:name w:val="font11"/>
    <w:basedOn w:val="14"/>
    <w:qFormat/>
    <w:uiPriority w:val="0"/>
    <w:rPr>
      <w:rFonts w:hint="default" w:ascii="Times New Roman" w:hAnsi="Times New Roman" w:cs="Times New Roman"/>
      <w:color w:val="000000"/>
      <w:sz w:val="22"/>
      <w:szCs w:val="22"/>
      <w:u w:val="none"/>
    </w:rPr>
  </w:style>
  <w:style w:type="paragraph" w:customStyle="1" w:styleId="41">
    <w:name w:val="正文文字"/>
    <w:basedOn w:val="1"/>
    <w:next w:val="1"/>
    <w:qFormat/>
    <w:uiPriority w:val="99"/>
    <w:pPr>
      <w:spacing w:after="120"/>
    </w:pPr>
  </w:style>
  <w:style w:type="character" w:customStyle="1" w:styleId="42">
    <w:name w:val="font12"/>
    <w:basedOn w:val="14"/>
    <w:qFormat/>
    <w:uiPriority w:val="0"/>
    <w:rPr>
      <w:rFonts w:ascii="方正黑体_GBK" w:hAnsi="方正黑体_GBK" w:eastAsia="方正黑体_GBK" w:cs="方正黑体_GBK"/>
      <w:color w:val="000000"/>
      <w:sz w:val="30"/>
      <w:szCs w:val="30"/>
      <w:u w:val="none"/>
    </w:rPr>
  </w:style>
  <w:style w:type="character" w:customStyle="1" w:styleId="43">
    <w:name w:val="font111"/>
    <w:basedOn w:val="14"/>
    <w:qFormat/>
    <w:uiPriority w:val="0"/>
    <w:rPr>
      <w:rFonts w:hint="default" w:ascii="方正黑体_GBK" w:hAnsi="方正黑体_GBK" w:eastAsia="方正黑体_GBK" w:cs="方正黑体_GBK"/>
      <w:color w:val="000000"/>
      <w:sz w:val="24"/>
      <w:szCs w:val="24"/>
      <w:u w:val="none"/>
    </w:rPr>
  </w:style>
  <w:style w:type="character" w:customStyle="1" w:styleId="44">
    <w:name w:val="font122"/>
    <w:basedOn w:val="14"/>
    <w:qFormat/>
    <w:uiPriority w:val="0"/>
    <w:rPr>
      <w:rFonts w:hint="default" w:ascii="方正仿宋_GBK" w:hAnsi="方正仿宋_GBK" w:eastAsia="方正仿宋_GBK" w:cs="方正仿宋_GBK"/>
      <w:color w:val="000000"/>
      <w:sz w:val="22"/>
      <w:szCs w:val="22"/>
      <w:u w:val="none"/>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2022-03-16T09:34:00Z</dcterms:created>
  <dc:creator>Administrator</dc:creator>
  <cp:lastModifiedBy>满目星辰_</cp:lastModifiedBy>
  <dcterms:modified xsi:type="dcterms:W3CDTF">2022-04-28T10:06:00Z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2022-03-14T18:24:49Z</vt:filetime>
  </property>
  <property fmtid="{D5CDD505-2E9C-101B-9397-08002B2CF9AE}" pid="4" name="KSOProductBuildVer">
    <vt:lpwstr>2052-11.1.0.11636</vt:lpwstr>
  </property>
  <property fmtid="{D5CDD505-2E9C-101B-9397-08002B2CF9AE}" pid="5" name="ICV">
    <vt:lpwstr>EADB85240FA94AC9B9046B68785670EC</vt:lpwstr>
  </property>
  <property fmtid="{D5CDD505-2E9C-101B-9397-08002B2CF9AE}" pid="6" name="commondata">
    <vt:lpwstr>eyJoZGlkIjoiYTkwNTc3MjBmNjE5ZWNlNDlmZWNlOWEwNDFjYTY0OTAifQ==</vt:lpwstr>
  </property>
</Properties>
</file>