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val="0"/>
        <w:snapToGrid/>
        <w:spacing w:before="0" w:after="0" w:line="240" w:lineRule="auto"/>
        <w:jc w:val="center"/>
        <w:textAlignment w:val="auto"/>
        <w:rPr>
          <w:rFonts w:ascii="华文中宋" w:hAnsi="华文中宋" w:eastAsia="华文中宋"/>
          <w:sz w:val="28"/>
          <w:szCs w:val="28"/>
          <w:highlight w:val="none"/>
        </w:rPr>
      </w:pPr>
      <w:bookmarkStart w:id="0" w:name="_Toc35393809"/>
      <w:bookmarkStart w:id="1" w:name="_Toc28359022"/>
      <w:r>
        <w:rPr>
          <w:rFonts w:hint="eastAsia" w:ascii="华文中宋" w:hAnsi="华文中宋" w:eastAsia="华文中宋"/>
          <w:sz w:val="28"/>
          <w:szCs w:val="28"/>
          <w:highlight w:val="none"/>
          <w:lang w:eastAsia="zh-CN"/>
        </w:rPr>
        <w:t>新疆布尔根河狸国家级自然保护区一期河狸栖息地水位保障透水闸项目</w:t>
      </w:r>
      <w:r>
        <w:rPr>
          <w:rFonts w:hint="eastAsia" w:ascii="华文中宋" w:hAnsi="华文中宋" w:eastAsia="华文中宋"/>
          <w:sz w:val="28"/>
          <w:szCs w:val="28"/>
          <w:highlight w:val="none"/>
        </w:rPr>
        <w:t>中标（成交）结果公告</w:t>
      </w:r>
      <w:bookmarkEnd w:id="0"/>
      <w:bookmarkEnd w:id="1"/>
    </w:p>
    <w:p>
      <w:pPr>
        <w:pageBreakBefore w:val="0"/>
        <w:widowControl w:val="0"/>
        <w:kinsoku/>
        <w:wordWrap/>
        <w:overflowPunct/>
        <w:topLinePunct w:val="0"/>
        <w:bidi w:val="0"/>
        <w:snapToGrid/>
        <w:spacing w:line="240" w:lineRule="auto"/>
        <w:textAlignment w:val="auto"/>
        <w:rPr>
          <w:rFonts w:ascii="黑体" w:hAnsi="黑体" w:eastAsia="黑体"/>
          <w:sz w:val="28"/>
          <w:szCs w:val="28"/>
          <w:highlight w:val="none"/>
        </w:rPr>
      </w:pPr>
      <w:r>
        <w:rPr>
          <w:rFonts w:hint="eastAsia" w:ascii="黑体" w:hAnsi="黑体" w:eastAsia="黑体"/>
          <w:sz w:val="28"/>
          <w:szCs w:val="28"/>
          <w:highlight w:val="none"/>
        </w:rPr>
        <w:t>一</w:t>
      </w:r>
      <w:r>
        <w:rPr>
          <w:rFonts w:ascii="黑体" w:hAnsi="黑体" w:eastAsia="黑体"/>
          <w:sz w:val="28"/>
          <w:szCs w:val="28"/>
          <w:highlight w:val="none"/>
        </w:rPr>
        <w:t>、</w:t>
      </w:r>
      <w:r>
        <w:rPr>
          <w:rFonts w:hint="eastAsia" w:ascii="黑体" w:hAnsi="黑体" w:eastAsia="黑体"/>
          <w:sz w:val="28"/>
          <w:szCs w:val="28"/>
          <w:highlight w:val="none"/>
        </w:rPr>
        <w:t>项目编号：</w:t>
      </w:r>
      <w:r>
        <w:rPr>
          <w:rFonts w:hint="eastAsia" w:ascii="仿宋" w:hAnsi="仿宋" w:eastAsia="仿宋"/>
          <w:color w:val="auto"/>
          <w:sz w:val="28"/>
          <w:szCs w:val="28"/>
          <w:highlight w:val="none"/>
        </w:rPr>
        <w:t>ZFCGA-ZYHXZB2022-014</w:t>
      </w:r>
    </w:p>
    <w:p>
      <w:pPr>
        <w:pageBreakBefore w:val="0"/>
        <w:widowControl w:val="0"/>
        <w:kinsoku/>
        <w:wordWrap/>
        <w:overflowPunct/>
        <w:topLinePunct w:val="0"/>
        <w:bidi w:val="0"/>
        <w:snapToGrid/>
        <w:spacing w:line="240" w:lineRule="auto"/>
        <w:textAlignment w:val="auto"/>
        <w:rPr>
          <w:rFonts w:hint="eastAsia" w:ascii="黑体" w:hAnsi="黑体" w:eastAsia="黑体"/>
          <w:sz w:val="28"/>
          <w:szCs w:val="28"/>
          <w:highlight w:val="none"/>
          <w:u w:val="single"/>
          <w:lang w:eastAsia="zh-CN"/>
        </w:rPr>
      </w:pPr>
      <w:r>
        <w:rPr>
          <w:rFonts w:hint="eastAsia" w:ascii="黑体" w:hAnsi="黑体" w:eastAsia="黑体"/>
          <w:sz w:val="28"/>
          <w:szCs w:val="28"/>
          <w:highlight w:val="none"/>
        </w:rPr>
        <w:t>二</w:t>
      </w:r>
      <w:r>
        <w:rPr>
          <w:rFonts w:ascii="黑体" w:hAnsi="黑体" w:eastAsia="黑体"/>
          <w:sz w:val="28"/>
          <w:szCs w:val="28"/>
          <w:highlight w:val="none"/>
        </w:rPr>
        <w:t>、</w:t>
      </w:r>
      <w:r>
        <w:rPr>
          <w:rFonts w:hint="eastAsia" w:ascii="黑体" w:hAnsi="黑体" w:eastAsia="黑体"/>
          <w:sz w:val="28"/>
          <w:szCs w:val="28"/>
          <w:highlight w:val="none"/>
        </w:rPr>
        <w:t>项目名称：</w:t>
      </w:r>
      <w:r>
        <w:rPr>
          <w:rFonts w:hint="eastAsia" w:ascii="黑体" w:hAnsi="黑体" w:eastAsia="黑体"/>
          <w:sz w:val="28"/>
          <w:szCs w:val="28"/>
          <w:highlight w:val="none"/>
          <w:lang w:eastAsia="zh-CN"/>
        </w:rPr>
        <w:t>新疆布尔根河狸国家级自然保护区一期河狸栖息地水位保障透水闸项目</w:t>
      </w:r>
    </w:p>
    <w:p>
      <w:pPr>
        <w:pageBreakBefore w:val="0"/>
        <w:widowControl w:val="0"/>
        <w:kinsoku/>
        <w:wordWrap/>
        <w:overflowPunct/>
        <w:topLinePunct w:val="0"/>
        <w:bidi w:val="0"/>
        <w:snapToGrid/>
        <w:spacing w:line="240" w:lineRule="auto"/>
        <w:textAlignment w:val="auto"/>
        <w:rPr>
          <w:rFonts w:ascii="黑体" w:hAnsi="黑体" w:eastAsia="黑体"/>
          <w:sz w:val="28"/>
          <w:szCs w:val="28"/>
          <w:highlight w:val="none"/>
        </w:rPr>
      </w:pPr>
      <w:r>
        <w:rPr>
          <w:rFonts w:hint="eastAsia" w:ascii="黑体" w:hAnsi="黑体" w:eastAsia="黑体"/>
          <w:sz w:val="28"/>
          <w:szCs w:val="28"/>
          <w:highlight w:val="none"/>
        </w:rPr>
        <w:t>三、中标（成交）信息</w:t>
      </w:r>
    </w:p>
    <w:p>
      <w:pPr>
        <w:pageBreakBefore w:val="0"/>
        <w:widowControl w:val="0"/>
        <w:kinsoku/>
        <w:wordWrap/>
        <w:overflowPunct/>
        <w:topLinePunct w:val="0"/>
        <w:bidi w:val="0"/>
        <w:snapToGrid/>
        <w:spacing w:line="240" w:lineRule="auto"/>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供应商名称：新疆金润新水利工程有限责任公司</w:t>
      </w:r>
    </w:p>
    <w:p>
      <w:pPr>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供应商地址：</w:t>
      </w:r>
      <w:r>
        <w:rPr>
          <w:rFonts w:hint="eastAsia" w:ascii="仿宋" w:hAnsi="仿宋" w:eastAsia="仿宋"/>
          <w:sz w:val="28"/>
          <w:szCs w:val="28"/>
          <w:highlight w:val="none"/>
          <w:lang w:eastAsia="zh-CN"/>
        </w:rPr>
        <w:t>昌吉市绿洲北路石油花园</w:t>
      </w:r>
      <w:r>
        <w:rPr>
          <w:rFonts w:hint="eastAsia" w:ascii="仿宋" w:hAnsi="仿宋" w:eastAsia="仿宋"/>
          <w:sz w:val="28"/>
          <w:szCs w:val="28"/>
          <w:highlight w:val="none"/>
          <w:lang w:val="en-US" w:eastAsia="zh-CN"/>
        </w:rPr>
        <w:t>1号1单元401（11区5丘11栋）</w:t>
      </w:r>
    </w:p>
    <w:p>
      <w:pPr>
        <w:pageBreakBefore w:val="0"/>
        <w:widowControl w:val="0"/>
        <w:kinsoku/>
        <w:wordWrap/>
        <w:overflowPunct/>
        <w:topLinePunct w:val="0"/>
        <w:bidi w:val="0"/>
        <w:snapToGrid/>
        <w:spacing w:line="240" w:lineRule="auto"/>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中标（成交）金额：950000元</w:t>
      </w:r>
    </w:p>
    <w:p>
      <w:pPr>
        <w:pageBreakBefore w:val="0"/>
        <w:widowControl w:val="0"/>
        <w:kinsoku/>
        <w:wordWrap/>
        <w:overflowPunct/>
        <w:topLinePunct w:val="0"/>
        <w:bidi w:val="0"/>
        <w:snapToGrid/>
        <w:spacing w:line="240" w:lineRule="auto"/>
        <w:textAlignment w:val="auto"/>
        <w:rPr>
          <w:rFonts w:ascii="黑体" w:hAnsi="黑体" w:eastAsia="黑体"/>
          <w:sz w:val="28"/>
          <w:szCs w:val="28"/>
          <w:highlight w:val="none"/>
        </w:rPr>
      </w:pPr>
      <w:r>
        <w:rPr>
          <w:rFonts w:hint="eastAsia" w:ascii="黑体" w:hAnsi="黑体" w:eastAsia="黑体"/>
          <w:sz w:val="28"/>
          <w:szCs w:val="28"/>
          <w:highlight w:val="none"/>
        </w:rPr>
        <w:t>四、主要标的信息</w:t>
      </w: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700" w:type="dxa"/>
          </w:tcPr>
          <w:p>
            <w:pPr>
              <w:pageBreakBefore w:val="0"/>
              <w:widowControl w:val="0"/>
              <w:kinsoku/>
              <w:wordWrap/>
              <w:overflowPunct/>
              <w:topLinePunct w:val="0"/>
              <w:bidi w:val="0"/>
              <w:snapToGrid/>
              <w:spacing w:line="240" w:lineRule="auto"/>
              <w:jc w:val="center"/>
              <w:textAlignment w:val="auto"/>
              <w:rPr>
                <w:rFonts w:ascii="仿宋" w:hAnsi="仿宋" w:eastAsia="仿宋"/>
                <w:kern w:val="0"/>
                <w:sz w:val="28"/>
                <w:szCs w:val="28"/>
                <w:highlight w:val="none"/>
              </w:rPr>
            </w:pPr>
            <w:r>
              <w:rPr>
                <w:rFonts w:hint="eastAsia" w:ascii="仿宋" w:hAnsi="仿宋" w:eastAsia="仿宋"/>
                <w:kern w:val="0"/>
                <w:sz w:val="28"/>
                <w:szCs w:val="28"/>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trPr>
        <w:tc>
          <w:tcPr>
            <w:tcW w:w="8700" w:type="dxa"/>
          </w:tcPr>
          <w:p>
            <w:pPr>
              <w:pageBreakBefore w:val="0"/>
              <w:widowControl w:val="0"/>
              <w:kinsoku/>
              <w:wordWrap/>
              <w:overflowPunct/>
              <w:topLinePunct w:val="0"/>
              <w:bidi w:val="0"/>
              <w:snapToGrid/>
              <w:spacing w:line="240" w:lineRule="auto"/>
              <w:textAlignment w:val="auto"/>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名称：</w:t>
            </w:r>
            <w:r>
              <w:rPr>
                <w:rFonts w:hint="eastAsia" w:ascii="仿宋" w:hAnsi="仿宋" w:eastAsia="仿宋"/>
                <w:kern w:val="0"/>
                <w:sz w:val="28"/>
                <w:szCs w:val="28"/>
                <w:highlight w:val="none"/>
                <w:lang w:eastAsia="zh-CN"/>
              </w:rPr>
              <w:t>新疆布尔根河狸国家级自然保护区一期河狸栖息地水位保障透水闸项目</w:t>
            </w:r>
          </w:p>
          <w:p>
            <w:pPr>
              <w:pageBreakBefore w:val="0"/>
              <w:widowControl w:val="0"/>
              <w:kinsoku/>
              <w:wordWrap/>
              <w:overflowPunct/>
              <w:topLinePunct w:val="0"/>
              <w:bidi w:val="0"/>
              <w:snapToGrid/>
              <w:spacing w:line="240" w:lineRule="auto"/>
              <w:textAlignment w:val="auto"/>
              <w:rPr>
                <w:rFonts w:ascii="仿宋" w:hAnsi="仿宋" w:eastAsia="仿宋"/>
                <w:kern w:val="0"/>
                <w:sz w:val="28"/>
                <w:szCs w:val="28"/>
                <w:highlight w:val="none"/>
              </w:rPr>
            </w:pPr>
            <w:r>
              <w:rPr>
                <w:rFonts w:hint="eastAsia" w:ascii="仿宋" w:hAnsi="仿宋" w:eastAsia="仿宋"/>
                <w:kern w:val="0"/>
                <w:sz w:val="28"/>
                <w:szCs w:val="28"/>
                <w:highlight w:val="none"/>
              </w:rPr>
              <w:t>施工范围：竞争性谈判文件、工程量清单及施工图纸内的全部施工内容</w:t>
            </w:r>
          </w:p>
          <w:p>
            <w:pPr>
              <w:pageBreakBefore w:val="0"/>
              <w:widowControl w:val="0"/>
              <w:kinsoku/>
              <w:wordWrap/>
              <w:overflowPunct/>
              <w:topLinePunct w:val="0"/>
              <w:bidi w:val="0"/>
              <w:snapToGrid/>
              <w:spacing w:line="240" w:lineRule="auto"/>
              <w:textAlignment w:val="auto"/>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rPr>
              <w:t>施工工期：</w:t>
            </w:r>
            <w:r>
              <w:rPr>
                <w:rFonts w:hint="eastAsia" w:ascii="仿宋" w:hAnsi="仿宋" w:eastAsia="仿宋"/>
                <w:kern w:val="0"/>
                <w:sz w:val="28"/>
                <w:szCs w:val="28"/>
                <w:highlight w:val="none"/>
                <w:lang w:eastAsia="zh-CN"/>
              </w:rPr>
              <w:t>响应竞争性谈判文件</w:t>
            </w:r>
          </w:p>
          <w:p>
            <w:pPr>
              <w:pageBreakBefore w:val="0"/>
              <w:widowControl w:val="0"/>
              <w:kinsoku/>
              <w:wordWrap/>
              <w:overflowPunct/>
              <w:topLinePunct w:val="0"/>
              <w:bidi w:val="0"/>
              <w:snapToGrid/>
              <w:spacing w:line="240" w:lineRule="auto"/>
              <w:textAlignment w:val="auto"/>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项目经理：</w:t>
            </w:r>
            <w:r>
              <w:rPr>
                <w:rFonts w:hint="eastAsia" w:ascii="仿宋" w:hAnsi="仿宋" w:eastAsia="仿宋"/>
                <w:kern w:val="0"/>
                <w:sz w:val="28"/>
                <w:szCs w:val="28"/>
                <w:highlight w:val="none"/>
                <w:lang w:eastAsia="zh-CN"/>
              </w:rPr>
              <w:t>杨海金</w:t>
            </w:r>
          </w:p>
          <w:p>
            <w:pPr>
              <w:pageBreakBefore w:val="0"/>
              <w:widowControl w:val="0"/>
              <w:kinsoku/>
              <w:wordWrap/>
              <w:overflowPunct/>
              <w:topLinePunct w:val="0"/>
              <w:bidi w:val="0"/>
              <w:snapToGrid/>
              <w:spacing w:line="240" w:lineRule="auto"/>
              <w:textAlignment w:val="auto"/>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执业证书信息：</w:t>
            </w:r>
            <w:r>
              <w:rPr>
                <w:rFonts w:hint="eastAsia" w:ascii="仿宋" w:hAnsi="仿宋" w:eastAsia="仿宋"/>
                <w:kern w:val="0"/>
                <w:sz w:val="28"/>
                <w:szCs w:val="28"/>
                <w:highlight w:val="none"/>
                <w:lang w:eastAsia="zh-CN"/>
              </w:rPr>
              <w:t>新</w:t>
            </w:r>
            <w:r>
              <w:rPr>
                <w:rFonts w:hint="eastAsia" w:ascii="仿宋" w:hAnsi="仿宋" w:eastAsia="仿宋"/>
                <w:kern w:val="0"/>
                <w:sz w:val="28"/>
                <w:szCs w:val="28"/>
                <w:highlight w:val="none"/>
                <w:lang w:val="en-US" w:eastAsia="zh-CN"/>
              </w:rPr>
              <w:t>265141434631</w:t>
            </w:r>
          </w:p>
        </w:tc>
      </w:tr>
    </w:tbl>
    <w:p>
      <w:pPr>
        <w:pageBreakBefore w:val="0"/>
        <w:widowControl w:val="0"/>
        <w:kinsoku/>
        <w:wordWrap/>
        <w:overflowPunct/>
        <w:topLinePunct w:val="0"/>
        <w:bidi w:val="0"/>
        <w:snapToGrid/>
        <w:spacing w:line="240" w:lineRule="auto"/>
        <w:textAlignment w:val="auto"/>
        <w:rPr>
          <w:rFonts w:ascii="黑体" w:hAnsi="黑体" w:eastAsia="黑体"/>
          <w:sz w:val="28"/>
          <w:szCs w:val="28"/>
          <w:highlight w:val="none"/>
        </w:rPr>
      </w:pPr>
      <w:r>
        <w:rPr>
          <w:rFonts w:hint="eastAsia" w:ascii="黑体" w:hAnsi="黑体" w:eastAsia="黑体"/>
          <w:sz w:val="28"/>
          <w:szCs w:val="28"/>
          <w:highlight w:val="none"/>
        </w:rPr>
        <w:t>五、评审专家名单：</w:t>
      </w:r>
      <w:r>
        <w:rPr>
          <w:rFonts w:hint="eastAsia" w:ascii="黑体" w:hAnsi="黑体" w:eastAsia="黑体"/>
          <w:sz w:val="28"/>
          <w:szCs w:val="28"/>
          <w:highlight w:val="none"/>
          <w:lang w:eastAsia="zh-CN"/>
        </w:rPr>
        <w:t>尹华君、张莉、宾凌燕</w:t>
      </w:r>
    </w:p>
    <w:p>
      <w:pPr>
        <w:pageBreakBefore w:val="0"/>
        <w:widowControl w:val="0"/>
        <w:kinsoku/>
        <w:wordWrap/>
        <w:overflowPunct/>
        <w:topLinePunct w:val="0"/>
        <w:bidi w:val="0"/>
        <w:snapToGrid/>
        <w:spacing w:line="240" w:lineRule="auto"/>
        <w:textAlignment w:val="auto"/>
        <w:rPr>
          <w:rFonts w:hint="eastAsia" w:ascii="仿宋" w:hAnsi="仿宋" w:eastAsia="仿宋" w:cs="宋体"/>
          <w:kern w:val="0"/>
          <w:sz w:val="28"/>
          <w:szCs w:val="28"/>
          <w:highlight w:val="none"/>
          <w:lang w:val="en-US" w:eastAsia="zh-CN"/>
        </w:rPr>
      </w:pPr>
      <w:r>
        <w:rPr>
          <w:rFonts w:hint="eastAsia" w:ascii="黑体" w:hAnsi="黑体" w:eastAsia="黑体"/>
          <w:sz w:val="28"/>
          <w:szCs w:val="28"/>
          <w:highlight w:val="none"/>
        </w:rPr>
        <w:t>六、代理服务收费标准及金额：</w:t>
      </w:r>
      <w:r>
        <w:rPr>
          <w:rFonts w:hint="eastAsia" w:ascii="仿宋" w:hAnsi="仿宋" w:eastAsia="仿宋" w:cs="宋体"/>
          <w:kern w:val="0"/>
          <w:sz w:val="28"/>
          <w:szCs w:val="28"/>
          <w:highlight w:val="none"/>
        </w:rPr>
        <w:t>参考国家计委印发的计价格【2002】1980号文参考计取，代理费为</w:t>
      </w:r>
      <w:r>
        <w:rPr>
          <w:rFonts w:hint="eastAsia" w:ascii="仿宋" w:hAnsi="仿宋" w:eastAsia="仿宋" w:cs="宋体"/>
          <w:kern w:val="0"/>
          <w:sz w:val="28"/>
          <w:szCs w:val="28"/>
          <w:highlight w:val="none"/>
          <w:lang w:val="en-US" w:eastAsia="zh-CN"/>
        </w:rPr>
        <w:t>9500</w:t>
      </w:r>
      <w:r>
        <w:rPr>
          <w:rFonts w:hint="eastAsia" w:ascii="仿宋" w:hAnsi="仿宋" w:eastAsia="仿宋" w:cs="宋体"/>
          <w:kern w:val="0"/>
          <w:sz w:val="28"/>
          <w:szCs w:val="28"/>
          <w:highlight w:val="none"/>
        </w:rPr>
        <w:t>元</w:t>
      </w:r>
      <w:r>
        <w:rPr>
          <w:rFonts w:hint="eastAsia" w:ascii="仿宋" w:hAnsi="仿宋" w:eastAsia="仿宋" w:cs="宋体"/>
          <w:kern w:val="0"/>
          <w:sz w:val="28"/>
          <w:szCs w:val="28"/>
          <w:highlight w:val="none"/>
          <w:lang w:val="en-US" w:eastAsia="zh-CN"/>
        </w:rPr>
        <w:t>.</w:t>
      </w:r>
      <w:bookmarkStart w:id="10" w:name="_GoBack"/>
      <w:bookmarkEnd w:id="10"/>
    </w:p>
    <w:p>
      <w:pPr>
        <w:pageBreakBefore w:val="0"/>
        <w:widowControl w:val="0"/>
        <w:kinsoku/>
        <w:wordWrap/>
        <w:overflowPunct/>
        <w:topLinePunct w:val="0"/>
        <w:bidi w:val="0"/>
        <w:snapToGrid/>
        <w:spacing w:line="240" w:lineRule="auto"/>
        <w:textAlignment w:val="auto"/>
        <w:rPr>
          <w:rFonts w:ascii="黑体" w:hAnsi="黑体" w:eastAsia="黑体"/>
          <w:sz w:val="28"/>
          <w:szCs w:val="28"/>
          <w:highlight w:val="none"/>
        </w:rPr>
      </w:pPr>
      <w:r>
        <w:rPr>
          <w:rFonts w:hint="eastAsia" w:ascii="黑体" w:hAnsi="黑体" w:eastAsia="黑体"/>
          <w:sz w:val="28"/>
          <w:szCs w:val="28"/>
          <w:highlight w:val="none"/>
        </w:rPr>
        <w:t>七、公告期限</w:t>
      </w:r>
    </w:p>
    <w:p>
      <w:pPr>
        <w:pageBreakBefore w:val="0"/>
        <w:widowControl w:val="0"/>
        <w:kinsoku/>
        <w:wordWrap/>
        <w:overflowPunct/>
        <w:topLinePunct w:val="0"/>
        <w:bidi w:val="0"/>
        <w:snapToGrid/>
        <w:spacing w:line="240" w:lineRule="auto"/>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ascii="仿宋" w:hAnsi="仿宋" w:eastAsia="仿宋" w:cs="宋体"/>
          <w:kern w:val="0"/>
          <w:sz w:val="28"/>
          <w:szCs w:val="28"/>
          <w:highlight w:val="none"/>
        </w:rPr>
        <w:t>1</w:t>
      </w:r>
      <w:r>
        <w:rPr>
          <w:rFonts w:hint="eastAsia" w:ascii="仿宋" w:hAnsi="仿宋" w:eastAsia="仿宋" w:cs="宋体"/>
          <w:kern w:val="0"/>
          <w:sz w:val="28"/>
          <w:szCs w:val="28"/>
          <w:highlight w:val="none"/>
        </w:rPr>
        <w:t>个工作日。</w:t>
      </w:r>
    </w:p>
    <w:p>
      <w:pPr>
        <w:pageBreakBefore w:val="0"/>
        <w:widowControl w:val="0"/>
        <w:kinsoku/>
        <w:wordWrap/>
        <w:overflowPunct/>
        <w:topLinePunct w:val="0"/>
        <w:bidi w:val="0"/>
        <w:snapToGrid/>
        <w:spacing w:line="240" w:lineRule="auto"/>
        <w:textAlignment w:val="auto"/>
        <w:rPr>
          <w:rFonts w:ascii="黑体" w:hAnsi="黑体" w:eastAsia="黑体" w:cs="仿宋"/>
          <w:sz w:val="28"/>
          <w:szCs w:val="28"/>
          <w:highlight w:val="none"/>
        </w:rPr>
      </w:pPr>
      <w:r>
        <w:rPr>
          <w:rFonts w:hint="eastAsia" w:ascii="黑体" w:hAnsi="黑体" w:eastAsia="黑体" w:cs="仿宋"/>
          <w:sz w:val="28"/>
          <w:szCs w:val="28"/>
          <w:highlight w:val="none"/>
        </w:rPr>
        <w:t>八、其他补充事宜</w:t>
      </w:r>
    </w:p>
    <w:p>
      <w:pPr>
        <w:pageBreakBefore w:val="0"/>
        <w:widowControl w:val="0"/>
        <w:kinsoku/>
        <w:wordWrap/>
        <w:overflowPunct/>
        <w:topLinePunct w:val="0"/>
        <w:bidi w:val="0"/>
        <w:snapToGrid/>
        <w:spacing w:line="240" w:lineRule="auto"/>
        <w:ind w:firstLine="560" w:firstLineChars="200"/>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eastAsia="zh-CN"/>
        </w:rPr>
        <w:t>无</w:t>
      </w:r>
    </w:p>
    <w:p>
      <w:pPr>
        <w:pageBreakBefore w:val="0"/>
        <w:widowControl w:val="0"/>
        <w:kinsoku/>
        <w:wordWrap/>
        <w:overflowPunct/>
        <w:topLinePunct w:val="0"/>
        <w:bidi w:val="0"/>
        <w:snapToGrid/>
        <w:spacing w:line="240" w:lineRule="auto"/>
        <w:textAlignment w:val="auto"/>
        <w:rPr>
          <w:rFonts w:ascii="黑体" w:hAnsi="黑体" w:eastAsia="黑体" w:cs="宋体"/>
          <w:kern w:val="0"/>
          <w:sz w:val="28"/>
          <w:szCs w:val="28"/>
          <w:highlight w:val="none"/>
        </w:rPr>
      </w:pPr>
      <w:r>
        <w:rPr>
          <w:rFonts w:hint="eastAsia" w:ascii="黑体" w:hAnsi="黑体" w:eastAsia="黑体" w:cs="宋体"/>
          <w:kern w:val="0"/>
          <w:sz w:val="28"/>
          <w:szCs w:val="28"/>
          <w:highlight w:val="none"/>
        </w:rPr>
        <w:t>九、凡对本次公告内容提出询问，请按以下方式联系。</w:t>
      </w:r>
    </w:p>
    <w:p>
      <w:pPr>
        <w:pStyle w:val="4"/>
        <w:spacing w:line="360" w:lineRule="auto"/>
        <w:ind w:firstLine="840" w:firstLineChars="300"/>
        <w:rPr>
          <w:rFonts w:ascii="仿宋" w:hAnsi="仿宋" w:eastAsia="仿宋" w:cs="宋体"/>
          <w:b w:val="0"/>
          <w:color w:val="auto"/>
          <w:sz w:val="28"/>
          <w:szCs w:val="28"/>
          <w:highlight w:val="none"/>
        </w:rPr>
      </w:pPr>
      <w:bookmarkStart w:id="2" w:name="_Toc28359096"/>
      <w:bookmarkStart w:id="3" w:name="_Toc28359019"/>
      <w:bookmarkStart w:id="4" w:name="_Toc35393637"/>
      <w:bookmarkStart w:id="5" w:name="_Toc35393806"/>
      <w:r>
        <w:rPr>
          <w:rFonts w:hint="eastAsia" w:ascii="仿宋" w:hAnsi="仿宋" w:eastAsia="仿宋" w:cs="宋体"/>
          <w:b w:val="0"/>
          <w:color w:val="auto"/>
          <w:sz w:val="28"/>
          <w:szCs w:val="28"/>
          <w:highlight w:val="none"/>
        </w:rPr>
        <w:t>1.采购人信息</w:t>
      </w:r>
      <w:bookmarkEnd w:id="2"/>
      <w:bookmarkEnd w:id="3"/>
      <w:bookmarkEnd w:id="4"/>
      <w:bookmarkEnd w:id="5"/>
    </w:p>
    <w:p>
      <w:pPr>
        <w:spacing w:line="360" w:lineRule="auto"/>
        <w:ind w:left="1129" w:leftChars="371" w:hanging="350" w:hangingChars="125"/>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新疆布尔根河狸国家级自然保护区管理局</w:t>
      </w:r>
      <w:r>
        <w:rPr>
          <w:rFonts w:hint="eastAsia" w:ascii="仿宋" w:hAnsi="仿宋" w:eastAsia="仿宋"/>
          <w:color w:val="auto"/>
          <w:sz w:val="28"/>
          <w:szCs w:val="28"/>
          <w:highlight w:val="none"/>
          <w:u w:val="single"/>
          <w:lang w:val="en-US" w:eastAsia="zh-CN"/>
        </w:rPr>
        <w:t xml:space="preserve">   </w:t>
      </w:r>
    </w:p>
    <w:p>
      <w:pPr>
        <w:spacing w:line="360" w:lineRule="auto"/>
        <w:ind w:left="1129" w:leftChars="371" w:hanging="350" w:hangingChars="125"/>
        <w:jc w:val="left"/>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lang w:eastAsia="zh-CN"/>
        </w:rPr>
        <w:t>陈鹏</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pPr>
        <w:spacing w:line="360" w:lineRule="auto"/>
        <w:ind w:left="1129" w:leftChars="371" w:hanging="350" w:hangingChars="125"/>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18799016426</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pPr>
        <w:pStyle w:val="4"/>
        <w:spacing w:line="360" w:lineRule="auto"/>
        <w:ind w:firstLine="840" w:firstLineChars="300"/>
        <w:rPr>
          <w:rFonts w:ascii="仿宋" w:hAnsi="仿宋" w:eastAsia="仿宋" w:cs="宋体"/>
          <w:b w:val="0"/>
          <w:color w:val="auto"/>
          <w:sz w:val="28"/>
          <w:szCs w:val="28"/>
          <w:highlight w:val="none"/>
        </w:rPr>
      </w:pPr>
      <w:bookmarkStart w:id="6" w:name="_Toc28359097"/>
      <w:bookmarkStart w:id="7" w:name="_Toc35393638"/>
      <w:bookmarkStart w:id="8" w:name="_Toc28359020"/>
      <w:bookmarkStart w:id="9" w:name="_Toc35393807"/>
      <w:r>
        <w:rPr>
          <w:rFonts w:hint="eastAsia" w:ascii="仿宋" w:hAnsi="仿宋" w:eastAsia="仿宋" w:cs="宋体"/>
          <w:b w:val="0"/>
          <w:color w:val="auto"/>
          <w:sz w:val="28"/>
          <w:szCs w:val="28"/>
          <w:highlight w:val="none"/>
        </w:rPr>
        <w:t>2.采购代理机构信息</w:t>
      </w:r>
      <w:bookmarkEnd w:id="6"/>
      <w:bookmarkEnd w:id="7"/>
      <w:bookmarkEnd w:id="8"/>
      <w:bookmarkEnd w:id="9"/>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新疆泽源和忻项目管理咨询有限公司</w:t>
      </w:r>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lang w:eastAsia="zh-CN"/>
        </w:rPr>
        <w:t>邓胜楠</w:t>
      </w:r>
      <w:r>
        <w:rPr>
          <w:rFonts w:hint="eastAsia" w:ascii="仿宋" w:hAnsi="仿宋" w:eastAsia="仿宋"/>
          <w:color w:val="auto"/>
          <w:sz w:val="28"/>
          <w:szCs w:val="28"/>
          <w:highlight w:val="none"/>
          <w:u w:val="single"/>
        </w:rPr>
        <w:t>　　　　　　　   　　</w:t>
      </w:r>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18935826608</w:t>
      </w:r>
      <w:r>
        <w:rPr>
          <w:rFonts w:hint="eastAsia" w:ascii="仿宋" w:hAnsi="仿宋" w:eastAsia="仿宋"/>
          <w:color w:val="auto"/>
          <w:sz w:val="28"/>
          <w:szCs w:val="28"/>
          <w:highlight w:val="none"/>
          <w:u w:val="single"/>
        </w:rPr>
        <w:t>　　　　　　　　</w:t>
      </w:r>
    </w:p>
    <w:p>
      <w:pPr>
        <w:pageBreakBefore w:val="0"/>
        <w:widowControl w:val="0"/>
        <w:kinsoku/>
        <w:wordWrap/>
        <w:overflowPunct/>
        <w:topLinePunct w:val="0"/>
        <w:bidi w:val="0"/>
        <w:snapToGrid/>
        <w:spacing w:line="240" w:lineRule="auto"/>
        <w:textAlignment w:val="auto"/>
        <w:rPr>
          <w:b w:val="0"/>
          <w:bCs w:val="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jNWUwY2MzMzA4MTAwYjVjMDY1MDQ0ZDYyMjM0MzUifQ=="/>
  </w:docVars>
  <w:rsids>
    <w:rsidRoot w:val="00680D39"/>
    <w:rsid w:val="00094FE5"/>
    <w:rsid w:val="000D6386"/>
    <w:rsid w:val="0037189D"/>
    <w:rsid w:val="003D6F0F"/>
    <w:rsid w:val="00470245"/>
    <w:rsid w:val="00481A91"/>
    <w:rsid w:val="00495B51"/>
    <w:rsid w:val="004D6224"/>
    <w:rsid w:val="005C233E"/>
    <w:rsid w:val="005D3B79"/>
    <w:rsid w:val="005E77A3"/>
    <w:rsid w:val="00664EBF"/>
    <w:rsid w:val="006759C8"/>
    <w:rsid w:val="00680D39"/>
    <w:rsid w:val="006A017E"/>
    <w:rsid w:val="007119E4"/>
    <w:rsid w:val="0075246A"/>
    <w:rsid w:val="00786437"/>
    <w:rsid w:val="008631AE"/>
    <w:rsid w:val="00914BF1"/>
    <w:rsid w:val="009267ED"/>
    <w:rsid w:val="00B15835"/>
    <w:rsid w:val="00B662F8"/>
    <w:rsid w:val="00CB3619"/>
    <w:rsid w:val="00D024F6"/>
    <w:rsid w:val="00D0316A"/>
    <w:rsid w:val="00DC3FDF"/>
    <w:rsid w:val="00E00413"/>
    <w:rsid w:val="01D56E1D"/>
    <w:rsid w:val="08DC28C3"/>
    <w:rsid w:val="0A2403AE"/>
    <w:rsid w:val="0A560EC0"/>
    <w:rsid w:val="0C77280E"/>
    <w:rsid w:val="0E6166DA"/>
    <w:rsid w:val="16455DAF"/>
    <w:rsid w:val="209661E7"/>
    <w:rsid w:val="20C50F4E"/>
    <w:rsid w:val="216B1CC7"/>
    <w:rsid w:val="22806A80"/>
    <w:rsid w:val="239A28C6"/>
    <w:rsid w:val="284D7B31"/>
    <w:rsid w:val="28960A1B"/>
    <w:rsid w:val="2DFD4314"/>
    <w:rsid w:val="2E22215E"/>
    <w:rsid w:val="2F7B44D5"/>
    <w:rsid w:val="32925993"/>
    <w:rsid w:val="32F944F3"/>
    <w:rsid w:val="3A72663C"/>
    <w:rsid w:val="43103D15"/>
    <w:rsid w:val="43123A2C"/>
    <w:rsid w:val="489C0EA0"/>
    <w:rsid w:val="4BCA67E9"/>
    <w:rsid w:val="4F0B240F"/>
    <w:rsid w:val="4F312F4A"/>
    <w:rsid w:val="54740EDB"/>
    <w:rsid w:val="54A004A9"/>
    <w:rsid w:val="5B215C36"/>
    <w:rsid w:val="60591685"/>
    <w:rsid w:val="687D0056"/>
    <w:rsid w:val="6D787BAC"/>
    <w:rsid w:val="6F2A7CA6"/>
    <w:rsid w:val="6F4C4C77"/>
    <w:rsid w:val="6F8328D2"/>
    <w:rsid w:val="70F26782"/>
    <w:rsid w:val="71A41EA5"/>
    <w:rsid w:val="742A286E"/>
    <w:rsid w:val="74612AD9"/>
    <w:rsid w:val="76EB0F57"/>
    <w:rsid w:val="7EA479A2"/>
    <w:rsid w:val="7F6611CA"/>
    <w:rsid w:val="7FFA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5">
    <w:name w:val="Normal Indent"/>
    <w:basedOn w:val="1"/>
    <w:qFormat/>
    <w:uiPriority w:val="0"/>
    <w:pPr>
      <w:ind w:firstLine="420"/>
    </w:pPr>
    <w:rPr>
      <w:szCs w:val="20"/>
    </w:rPr>
  </w:style>
  <w:style w:type="paragraph" w:styleId="6">
    <w:name w:val="Body Text"/>
    <w:basedOn w:val="1"/>
    <w:qFormat/>
    <w:uiPriority w:val="0"/>
    <w:rPr>
      <w:rFonts w:eastAsia="黑体"/>
      <w:b/>
      <w:bCs/>
      <w:spacing w:val="20"/>
      <w:kern w:val="52"/>
      <w:sz w:val="56"/>
    </w:r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 w:type="character" w:customStyle="1" w:styleId="15">
    <w:name w:val="页眉 Char"/>
    <w:basedOn w:val="13"/>
    <w:link w:val="9"/>
    <w:semiHidden/>
    <w:qFormat/>
    <w:uiPriority w:val="99"/>
    <w:rPr>
      <w:rFonts w:ascii="Times New Roman" w:hAnsi="Times New Roman" w:eastAsia="宋体" w:cs="Times New Roman"/>
      <w:sz w:val="18"/>
      <w:szCs w:val="18"/>
    </w:rPr>
  </w:style>
  <w:style w:type="character" w:customStyle="1" w:styleId="16">
    <w:name w:val="页脚 Char"/>
    <w:basedOn w:val="13"/>
    <w:link w:val="8"/>
    <w:semiHidden/>
    <w:qFormat/>
    <w:uiPriority w:val="99"/>
    <w:rPr>
      <w:rFonts w:ascii="Times New Roman" w:hAnsi="Times New Roman" w:eastAsia="宋体" w:cs="Times New Roman"/>
      <w:sz w:val="18"/>
      <w:szCs w:val="18"/>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389</Words>
  <Characters>468</Characters>
  <Lines>2</Lines>
  <Paragraphs>1</Paragraphs>
  <TotalTime>0</TotalTime>
  <ScaleCrop>false</ScaleCrop>
  <LinksUpToDate>false</LinksUpToDate>
  <CharactersWithSpaces>540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2016-12-26T08:21:00Z</dcterms:created>
  <dc:creator>曾玫</dc:creator>
  <cp:lastModifiedBy>满目星辰_</cp:lastModifiedBy>
  <cp:lastPrinted>2022-03-28T09:46:00Z</cp:lastPrinted>
  <dcterms:modified xsi:type="dcterms:W3CDTF">2022-04-29T11:01:04Z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F1EBC5D59E7D4705B62D7FCCD6A21FA1</vt:lpwstr>
  </property>
</Properties>
</file>