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hint="eastAsia" w:ascii="宋体" w:hAnsi="宋体" w:cs="宋体"/>
          <w:b/>
          <w:sz w:val="52"/>
          <w:szCs w:val="52"/>
          <w:lang w:eastAsia="zh-CN"/>
        </w:rPr>
      </w:pPr>
      <w:r>
        <w:rPr>
          <w:rFonts w:hint="eastAsia" w:ascii="宋体" w:hAnsi="宋体" w:cs="宋体"/>
          <w:b/>
          <w:sz w:val="52"/>
          <w:szCs w:val="52"/>
        </w:rPr>
        <w:t>新疆玛纳斯县地质灾害风险普查</w:t>
      </w:r>
      <w:r>
        <w:rPr>
          <w:rFonts w:hint="eastAsia" w:ascii="宋体" w:hAnsi="宋体" w:cs="宋体"/>
          <w:b/>
          <w:sz w:val="52"/>
          <w:szCs w:val="52"/>
          <w:lang w:eastAsia="zh-CN"/>
        </w:rPr>
        <w:t>项目</w:t>
      </w:r>
    </w:p>
    <w:p>
      <w:pPr>
        <w:autoSpaceDE w:val="0"/>
        <w:autoSpaceDN w:val="0"/>
        <w:spacing w:line="360" w:lineRule="auto"/>
        <w:jc w:val="center"/>
        <w:rPr>
          <w:rFonts w:ascii="宋体" w:hAnsi="宋体" w:cs="宋体"/>
          <w:b/>
          <w:sz w:val="52"/>
          <w:szCs w:val="52"/>
        </w:rPr>
      </w:pPr>
      <w:r>
        <w:rPr>
          <w:rFonts w:hint="eastAsia" w:ascii="宋体" w:hAnsi="宋体" w:cs="宋体"/>
          <w:b/>
          <w:sz w:val="52"/>
          <w:szCs w:val="52"/>
        </w:rPr>
        <w:t>竞争性磋商文件</w:t>
      </w:r>
    </w:p>
    <w:p>
      <w:pPr>
        <w:pStyle w:val="10"/>
        <w:tabs>
          <w:tab w:val="left" w:pos="567"/>
        </w:tabs>
        <w:ind w:firstLine="1606" w:firstLineChars="500"/>
        <w:jc w:val="both"/>
        <w:rPr>
          <w:rFonts w:hint="eastAsia" w:eastAsia="宋体" w:cs="宋体"/>
          <w:b/>
          <w:sz w:val="48"/>
          <w:szCs w:val="48"/>
          <w:lang w:eastAsia="zh-CN"/>
        </w:rPr>
      </w:pPr>
      <w:r>
        <w:rPr>
          <w:rFonts w:hint="eastAsia" w:cs="宋体"/>
          <w:b/>
          <w:sz w:val="32"/>
          <w:szCs w:val="32"/>
        </w:rPr>
        <w:t>项目编号：WTHH-ZB2022049</w:t>
      </w:r>
    </w:p>
    <w:p>
      <w:pPr>
        <w:spacing w:line="240" w:lineRule="atLeast"/>
        <w:ind w:left="1105" w:leftChars="257" w:hanging="540"/>
        <w:jc w:val="center"/>
        <w:rPr>
          <w:rFonts w:ascii="仿宋_GB2312" w:eastAsia="仿宋_GB2312"/>
          <w:b/>
          <w:sz w:val="32"/>
          <w:szCs w:val="32"/>
        </w:rPr>
      </w:pPr>
    </w:p>
    <w:p>
      <w:pPr>
        <w:spacing w:line="240" w:lineRule="atLeast"/>
        <w:rPr>
          <w:rFonts w:ascii="仿宋_GB2312" w:eastAsia="仿宋_GB2312"/>
          <w:b/>
          <w:sz w:val="28"/>
        </w:rPr>
      </w:pPr>
    </w:p>
    <w:p>
      <w:pPr>
        <w:pStyle w:val="2"/>
      </w:pPr>
    </w:p>
    <w:p>
      <w:pPr>
        <w:autoSpaceDE w:val="0"/>
        <w:autoSpaceDN w:val="0"/>
        <w:spacing w:line="600" w:lineRule="exact"/>
        <w:ind w:firstLine="843" w:firstLineChars="300"/>
        <w:rPr>
          <w:rFonts w:hint="eastAsia" w:ascii="宋体" w:hAnsi="宋体" w:cs="宋体"/>
          <w:b/>
          <w:bCs/>
          <w:color w:val="000000"/>
          <w:kern w:val="0"/>
          <w:sz w:val="28"/>
          <w:szCs w:val="28"/>
        </w:rPr>
      </w:pPr>
    </w:p>
    <w:p>
      <w:pPr>
        <w:autoSpaceDE w:val="0"/>
        <w:autoSpaceDN w:val="0"/>
        <w:spacing w:line="600" w:lineRule="exact"/>
        <w:rPr>
          <w:rFonts w:hint="eastAsia" w:ascii="宋体" w:hAnsi="宋体" w:cs="宋体"/>
          <w:b/>
          <w:bCs/>
          <w:color w:val="000000"/>
          <w:kern w:val="0"/>
          <w:sz w:val="28"/>
          <w:szCs w:val="28"/>
        </w:rPr>
      </w:pPr>
    </w:p>
    <w:p>
      <w:pPr>
        <w:autoSpaceDE w:val="0"/>
        <w:autoSpaceDN w:val="0"/>
        <w:spacing w:line="600" w:lineRule="exact"/>
        <w:ind w:firstLine="843" w:firstLineChars="300"/>
        <w:rPr>
          <w:rFonts w:hint="eastAsia" w:ascii="宋体" w:hAnsi="宋体" w:cs="宋体"/>
          <w:b/>
          <w:bCs/>
          <w:color w:val="000000"/>
          <w:kern w:val="0"/>
          <w:sz w:val="28"/>
          <w:szCs w:val="28"/>
        </w:rPr>
      </w:pPr>
    </w:p>
    <w:p>
      <w:pPr>
        <w:autoSpaceDE w:val="0"/>
        <w:autoSpaceDN w:val="0"/>
        <w:spacing w:line="600" w:lineRule="exact"/>
        <w:ind w:firstLine="843" w:firstLineChars="300"/>
        <w:rPr>
          <w:rFonts w:hint="eastAsia" w:ascii="宋体" w:hAnsi="宋体" w:cs="宋体"/>
          <w:b/>
          <w:bCs/>
          <w:color w:val="000000"/>
          <w:kern w:val="0"/>
          <w:sz w:val="28"/>
          <w:szCs w:val="28"/>
        </w:rPr>
      </w:pPr>
    </w:p>
    <w:p>
      <w:pPr>
        <w:autoSpaceDE w:val="0"/>
        <w:autoSpaceDN w:val="0"/>
        <w:spacing w:line="600" w:lineRule="exact"/>
        <w:ind w:firstLine="843" w:firstLineChars="300"/>
        <w:rPr>
          <w:rFonts w:ascii="宋体" w:hAnsi="宋体" w:cs="宋体"/>
          <w:b/>
          <w:bCs/>
          <w:color w:val="000000"/>
          <w:kern w:val="0"/>
          <w:sz w:val="28"/>
          <w:szCs w:val="28"/>
        </w:rPr>
      </w:pPr>
      <w:r>
        <w:rPr>
          <w:rFonts w:hint="eastAsia" w:ascii="宋体" w:hAnsi="宋体" w:cs="宋体"/>
          <w:b/>
          <w:bCs/>
          <w:color w:val="000000"/>
          <w:kern w:val="0"/>
          <w:sz w:val="28"/>
          <w:szCs w:val="28"/>
        </w:rPr>
        <w:t>采购单位：玛纳斯县自然资源局</w:t>
      </w:r>
    </w:p>
    <w:p>
      <w:pPr>
        <w:autoSpaceDE w:val="0"/>
        <w:autoSpaceDN w:val="0"/>
        <w:spacing w:line="360" w:lineRule="auto"/>
        <w:ind w:firstLine="843" w:firstLineChars="300"/>
        <w:rPr>
          <w:rFonts w:hint="eastAsia" w:ascii="宋体" w:hAnsi="宋体" w:cs="宋体"/>
          <w:b/>
          <w:bCs/>
          <w:color w:val="000000"/>
          <w:kern w:val="0"/>
          <w:sz w:val="28"/>
          <w:szCs w:val="28"/>
          <w:lang w:eastAsia="zh-CN"/>
        </w:rPr>
      </w:pPr>
      <w:r>
        <w:rPr>
          <w:rFonts w:hint="eastAsia" w:ascii="宋体" w:hAnsi="宋体" w:cs="宋体"/>
          <w:b/>
          <w:bCs/>
          <w:color w:val="000000"/>
          <w:kern w:val="0"/>
          <w:sz w:val="28"/>
          <w:szCs w:val="28"/>
        </w:rPr>
        <w:t>代理机构：</w:t>
      </w:r>
      <w:r>
        <w:rPr>
          <w:rFonts w:hint="eastAsia" w:ascii="宋体" w:hAnsi="宋体" w:cs="宋体"/>
          <w:b/>
          <w:bCs/>
          <w:color w:val="000000"/>
          <w:kern w:val="0"/>
          <w:sz w:val="28"/>
          <w:szCs w:val="28"/>
          <w:lang w:eastAsia="zh-CN"/>
        </w:rPr>
        <w:t>新疆沃图恒辉建设工程项目管理有限公司</w:t>
      </w:r>
    </w:p>
    <w:p>
      <w:pPr>
        <w:pStyle w:val="19"/>
        <w:spacing w:line="360" w:lineRule="auto"/>
        <w:ind w:left="0" w:leftChars="0" w:firstLine="840" w:firstLineChars="279"/>
        <w:rPr>
          <w:rFonts w:hint="eastAsia" w:ascii="宋体" w:eastAsia="楷体_GB2312" w:cs="宋体"/>
          <w:b/>
          <w:color w:val="000000"/>
          <w:kern w:val="0"/>
          <w:sz w:val="30"/>
          <w:szCs w:val="30"/>
          <w:lang w:val="en-US" w:eastAsia="zh-CN"/>
        </w:rPr>
      </w:pPr>
      <w:r>
        <w:rPr>
          <w:rFonts w:hint="eastAsia" w:ascii="宋体" w:cs="宋体"/>
          <w:b/>
          <w:color w:val="000000"/>
          <w:kern w:val="0"/>
          <w:sz w:val="30"/>
          <w:szCs w:val="30"/>
        </w:rPr>
        <w:t>联 系 人</w:t>
      </w:r>
      <w:r>
        <w:rPr>
          <w:rFonts w:hint="eastAsia" w:ascii="宋体" w:cs="宋体"/>
          <w:b/>
          <w:color w:val="000000"/>
          <w:kern w:val="0"/>
          <w:sz w:val="30"/>
          <w:szCs w:val="30"/>
          <w:lang w:val="en-US" w:eastAsia="zh-CN"/>
        </w:rPr>
        <w:t>：耿雁秋  高顺</w:t>
      </w:r>
    </w:p>
    <w:p>
      <w:pPr>
        <w:pStyle w:val="19"/>
        <w:spacing w:line="360" w:lineRule="auto"/>
        <w:ind w:left="0" w:leftChars="0" w:firstLine="840" w:firstLineChars="279"/>
        <w:rPr>
          <w:rFonts w:hint="default" w:ascii="宋体" w:cs="宋体"/>
          <w:b/>
          <w:color w:val="000000"/>
          <w:kern w:val="0"/>
          <w:sz w:val="30"/>
          <w:szCs w:val="30"/>
          <w:lang w:val="en-US" w:eastAsia="zh-CN"/>
        </w:rPr>
      </w:pPr>
      <w:r>
        <w:rPr>
          <w:rFonts w:hint="eastAsia" w:ascii="宋体" w:cs="宋体"/>
          <w:b/>
          <w:color w:val="000000"/>
          <w:kern w:val="0"/>
          <w:sz w:val="30"/>
          <w:szCs w:val="30"/>
          <w:lang w:val="en-US" w:eastAsia="zh-CN"/>
        </w:rPr>
        <w:t>电    话：13289942166  15160966815</w:t>
      </w:r>
    </w:p>
    <w:p>
      <w:pPr>
        <w:pStyle w:val="19"/>
        <w:spacing w:line="360" w:lineRule="auto"/>
        <w:ind w:left="0" w:leftChars="0" w:firstLine="840" w:firstLineChars="279"/>
        <w:rPr>
          <w:rFonts w:hint="eastAsia" w:ascii="宋体" w:cs="宋体"/>
          <w:b/>
          <w:color w:val="000000"/>
          <w:kern w:val="0"/>
          <w:sz w:val="30"/>
          <w:szCs w:val="30"/>
          <w:lang w:eastAsia="zh-CN"/>
        </w:rPr>
      </w:pPr>
      <w:r>
        <w:rPr>
          <w:rFonts w:hint="eastAsia" w:ascii="宋体" w:cs="宋体"/>
          <w:b/>
          <w:color w:val="000000"/>
          <w:kern w:val="0"/>
          <w:sz w:val="30"/>
          <w:szCs w:val="30"/>
        </w:rPr>
        <w:t>联系地址：</w:t>
      </w:r>
      <w:r>
        <w:rPr>
          <w:rFonts w:hint="eastAsia" w:ascii="宋体" w:cs="宋体"/>
          <w:b/>
          <w:color w:val="000000"/>
          <w:kern w:val="0"/>
          <w:sz w:val="30"/>
          <w:szCs w:val="30"/>
          <w:lang w:eastAsia="zh-CN"/>
        </w:rPr>
        <w:t>玛纳斯县西海雅苑2号楼2单元101室</w:t>
      </w:r>
    </w:p>
    <w:p>
      <w:pPr>
        <w:pStyle w:val="19"/>
        <w:spacing w:line="360" w:lineRule="auto"/>
        <w:ind w:left="0" w:leftChars="0" w:firstLine="840" w:firstLineChars="279"/>
        <w:rPr>
          <w:rFonts w:ascii="微软雅黑 Light" w:hAnsi="微软雅黑 Light" w:eastAsia="微软雅黑 Light" w:cs="微软雅黑 Light"/>
          <w:bCs/>
          <w:sz w:val="36"/>
          <w:szCs w:val="36"/>
          <w:u w:val="single"/>
        </w:rPr>
        <w:sectPr>
          <w:footerReference r:id="rId5" w:type="default"/>
          <w:pgSz w:w="11906" w:h="16838"/>
          <w:pgMar w:top="1440" w:right="1026" w:bottom="1440" w:left="1640" w:header="851" w:footer="992" w:gutter="0"/>
          <w:cols w:space="720" w:num="1"/>
          <w:docGrid w:type="lines" w:linePitch="312" w:charSpace="0"/>
        </w:sectPr>
      </w:pPr>
      <w:r>
        <w:rPr>
          <w:rFonts w:hint="eastAsia" w:ascii="宋体" w:cs="宋体"/>
          <w:b/>
          <w:color w:val="000000"/>
          <w:kern w:val="0"/>
          <w:sz w:val="30"/>
          <w:szCs w:val="30"/>
        </w:rPr>
        <w:t>日期：</w:t>
      </w:r>
      <w:r>
        <w:rPr>
          <w:rFonts w:hint="eastAsia" w:ascii="宋体" w:cs="宋体"/>
          <w:b/>
          <w:bCs/>
          <w:color w:val="000000"/>
          <w:kern w:val="0"/>
          <w:sz w:val="30"/>
          <w:szCs w:val="30"/>
          <w:u w:val="single"/>
        </w:rPr>
        <w:t>202</w:t>
      </w:r>
      <w:r>
        <w:rPr>
          <w:rFonts w:hint="eastAsia" w:ascii="宋体" w:cs="宋体"/>
          <w:b/>
          <w:bCs/>
          <w:color w:val="000000"/>
          <w:kern w:val="0"/>
          <w:sz w:val="30"/>
          <w:szCs w:val="30"/>
          <w:u w:val="single"/>
          <w:lang w:val="en-US" w:eastAsia="zh-CN"/>
        </w:rPr>
        <w:t>2</w:t>
      </w:r>
      <w:r>
        <w:rPr>
          <w:rFonts w:hint="eastAsia" w:ascii="宋体" w:cs="宋体"/>
          <w:b/>
          <w:bCs/>
          <w:color w:val="000000"/>
          <w:kern w:val="0"/>
          <w:sz w:val="30"/>
          <w:szCs w:val="30"/>
          <w:u w:val="single"/>
        </w:rPr>
        <w:t>年</w:t>
      </w:r>
      <w:r>
        <w:rPr>
          <w:rFonts w:hint="eastAsia" w:ascii="宋体" w:cs="宋体"/>
          <w:b/>
          <w:bCs/>
          <w:color w:val="000000"/>
          <w:kern w:val="0"/>
          <w:sz w:val="30"/>
          <w:szCs w:val="30"/>
          <w:u w:val="single"/>
          <w:lang w:val="en-US" w:eastAsia="zh-CN"/>
        </w:rPr>
        <w:t>4</w:t>
      </w:r>
      <w:r>
        <w:rPr>
          <w:rFonts w:hint="eastAsia" w:ascii="宋体" w:cs="宋体"/>
          <w:b/>
          <w:bCs/>
          <w:color w:val="000000"/>
          <w:kern w:val="0"/>
          <w:sz w:val="30"/>
          <w:szCs w:val="30"/>
          <w:u w:val="single"/>
        </w:rPr>
        <w:t>月</w:t>
      </w:r>
    </w:p>
    <w:p>
      <w:pPr>
        <w:pStyle w:val="18"/>
        <w:tabs>
          <w:tab w:val="right" w:leader="dot" w:pos="8312"/>
        </w:tabs>
        <w:spacing w:line="400" w:lineRule="exact"/>
        <w:rPr>
          <w:rFonts w:cs="宋体" w:asciiTheme="minorEastAsia" w:hAnsiTheme="minorEastAsia" w:eastAsiaTheme="minorEastAsia"/>
          <w:sz w:val="24"/>
        </w:rPr>
      </w:pPr>
    </w:p>
    <w:p>
      <w:pPr>
        <w:jc w:val="center"/>
        <w:outlineLvl w:val="1"/>
        <w:rPr>
          <w:rFonts w:cs="宋体" w:asciiTheme="minorEastAsia" w:hAnsiTheme="minorEastAsia" w:eastAsiaTheme="minorEastAsia"/>
          <w:sz w:val="24"/>
        </w:rPr>
      </w:pPr>
      <w:r>
        <w:rPr>
          <w:rFonts w:hint="eastAsia" w:cs="宋体" w:asciiTheme="minorEastAsia" w:hAnsiTheme="minorEastAsia" w:eastAsiaTheme="minorEastAsia"/>
          <w:sz w:val="24"/>
        </w:rPr>
        <w:t>目录</w:t>
      </w:r>
    </w:p>
    <w:p>
      <w:pPr>
        <w:pStyle w:val="1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w:t>
      </w:r>
      <w:r>
        <w:rPr>
          <w:rFonts w:hint="eastAsia" w:cs="宋体" w:asciiTheme="minorEastAsia" w:hAnsiTheme="minorEastAsia" w:eastAsiaTheme="minorEastAsia"/>
          <w:sz w:val="24"/>
          <w:lang w:eastAsia="zh-CN"/>
        </w:rPr>
        <w:t>竞争性磋商公告</w:t>
      </w:r>
      <w:r>
        <w:rPr>
          <w:rFonts w:hint="eastAsia" w:cs="宋体" w:asciiTheme="minorEastAsia" w:hAnsiTheme="minorEastAsia" w:eastAsiaTheme="minorEastAsia"/>
          <w:sz w:val="24"/>
        </w:rPr>
        <w:tab/>
      </w: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fldChar w:fldCharType="end"/>
      </w:r>
    </w:p>
    <w:p>
      <w:pPr>
        <w:pStyle w:val="18"/>
        <w:tabs>
          <w:tab w:val="right" w:leader="dot" w:pos="8312"/>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w:t>
      </w: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章供应商须知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fldChar w:fldCharType="end"/>
      </w:r>
    </w:p>
    <w:p>
      <w:pPr>
        <w:pStyle w:val="18"/>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章</w:t>
      </w:r>
      <w:r>
        <w:rPr>
          <w:rFonts w:hint="eastAsia" w:cs="宋体" w:asciiTheme="minorEastAsia" w:hAnsiTheme="minorEastAsia" w:eastAsiaTheme="minorEastAsia"/>
          <w:sz w:val="24"/>
          <w:lang w:eastAsia="zh-CN"/>
        </w:rPr>
        <w:t>采购需求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18"/>
        <w:tabs>
          <w:tab w:val="right" w:leader="dot" w:pos="8312"/>
        </w:tabs>
        <w:spacing w:line="400" w:lineRule="exact"/>
        <w:rPr>
          <w:rFonts w:hint="eastAsia" w:cs="宋体" w:asciiTheme="minorEastAsia" w:hAnsiTheme="minorEastAsia" w:eastAsiaTheme="minorEastAsia"/>
          <w:sz w:val="24"/>
          <w:lang w:val="en-US" w:eastAsia="zh-CN"/>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w:t>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章</w:t>
      </w:r>
      <w:r>
        <w:rPr>
          <w:rFonts w:hint="eastAsia" w:cs="宋体" w:asciiTheme="minorEastAsia" w:hAnsiTheme="minorEastAsia" w:eastAsiaTheme="minorEastAsia"/>
          <w:sz w:val="24"/>
          <w:lang w:eastAsia="zh-CN"/>
        </w:rPr>
        <w:t>评审办法</w:t>
      </w:r>
      <w:r>
        <w:rPr>
          <w:rFonts w:hint="eastAsia" w:cs="宋体" w:asciiTheme="minorEastAsia" w:hAnsiTheme="minorEastAsia" w:eastAsiaTheme="minorEastAsia"/>
          <w:sz w:val="24"/>
        </w:rPr>
        <w:tab/>
      </w: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lang w:val="en-US" w:eastAsia="zh-CN"/>
        </w:rPr>
        <w:t>3</w:t>
      </w:r>
    </w:p>
    <w:p>
      <w:pPr>
        <w:pStyle w:val="18"/>
        <w:tabs>
          <w:tab w:val="right" w:leader="dot" w:pos="8312"/>
        </w:tabs>
        <w:spacing w:line="400" w:lineRule="exact"/>
        <w:rPr>
          <w:rFonts w:hint="eastAsia" w:cs="宋体" w:asciiTheme="minorEastAsia" w:hAnsiTheme="minorEastAsia" w:eastAsiaTheme="minorEastAsia"/>
          <w:sz w:val="24"/>
          <w:lang w:val="en-US" w:eastAsia="zh-CN"/>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w:t>
      </w:r>
      <w:r>
        <w:rPr>
          <w:rFonts w:hint="eastAsia" w:cs="宋体" w:asciiTheme="minorEastAsia" w:hAnsiTheme="minorEastAsia" w:eastAsiaTheme="minorEastAsia"/>
          <w:sz w:val="24"/>
          <w:lang w:val="en-US" w:eastAsia="zh-CN"/>
        </w:rPr>
        <w:t>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lang w:val="en-US" w:eastAsia="zh-CN"/>
        </w:rPr>
        <w:t>0</w:t>
      </w:r>
    </w:p>
    <w:p>
      <w:pPr>
        <w:pStyle w:val="18"/>
        <w:tabs>
          <w:tab w:val="right" w:leader="dot" w:pos="8312"/>
        </w:tabs>
        <w:spacing w:line="400" w:lineRule="exact"/>
        <w:rPr>
          <w:rFonts w:hint="default" w:cs="宋体" w:asciiTheme="minorEastAsia" w:hAnsiTheme="minorEastAsia" w:eastAsiaTheme="minorEastAsia"/>
          <w:sz w:val="24"/>
          <w:lang w:val="en-US" w:eastAsia="zh-CN"/>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w:t>
      </w:r>
      <w:r>
        <w:rPr>
          <w:rFonts w:hint="eastAsia" w:cs="宋体" w:asciiTheme="minorEastAsia" w:hAnsiTheme="minorEastAsia" w:eastAsiaTheme="minorEastAsia"/>
          <w:sz w:val="24"/>
          <w:lang w:val="en-US" w:eastAsia="zh-CN"/>
        </w:rPr>
        <w:t>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lang w:val="en-US" w:eastAsia="zh-CN"/>
        </w:rPr>
        <w:t>36</w:t>
      </w:r>
    </w:p>
    <w:p>
      <w:pPr>
        <w:pStyle w:val="18"/>
        <w:tabs>
          <w:tab w:val="right" w:leader="dot" w:pos="8312"/>
        </w:tabs>
        <w:spacing w:line="400" w:lineRule="exact"/>
        <w:ind w:left="0" w:leftChars="0" w:firstLine="0" w:firstLineChars="0"/>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spacing w:line="400" w:lineRule="exact"/>
        <w:jc w:val="center"/>
        <w:rPr>
          <w:rFonts w:cs="宋体" w:asciiTheme="minorEastAsia" w:hAnsiTheme="minorEastAsia" w:eastAsiaTheme="minorEastAsia"/>
          <w:sz w:val="24"/>
        </w:rPr>
      </w:pPr>
    </w:p>
    <w:p>
      <w:pPr>
        <w:keepNext w:val="0"/>
        <w:keepLines w:val="0"/>
        <w:widowControl/>
        <w:suppressLineNumbers w:val="0"/>
        <w:ind w:firstLine="361" w:firstLineChars="10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361" w:firstLineChars="10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361" w:firstLineChars="10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361" w:firstLineChars="10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361" w:firstLineChars="10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361" w:firstLineChars="10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361" w:firstLineChars="10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361" w:firstLineChars="10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361" w:firstLineChars="10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361" w:firstLineChars="100"/>
        <w:jc w:val="center"/>
        <w:rPr>
          <w:rFonts w:hint="eastAsia" w:ascii="宋体" w:hAnsi="宋体" w:eastAsia="宋体" w:cs="宋体"/>
          <w:b/>
          <w:bCs/>
          <w:color w:val="000000"/>
          <w:kern w:val="0"/>
          <w:sz w:val="36"/>
          <w:szCs w:val="36"/>
          <w:lang w:val="en-US" w:eastAsia="zh-CN" w:bidi="ar"/>
        </w:rPr>
      </w:pPr>
    </w:p>
    <w:p>
      <w:pPr>
        <w:pStyle w:val="2"/>
        <w:rPr>
          <w:rFonts w:hint="eastAsia" w:ascii="宋体" w:hAnsi="宋体" w:eastAsia="宋体" w:cs="宋体"/>
          <w:b/>
          <w:bCs/>
          <w:color w:val="000000"/>
          <w:kern w:val="0"/>
          <w:sz w:val="36"/>
          <w:szCs w:val="36"/>
          <w:lang w:val="en-US" w:eastAsia="zh-CN" w:bidi="ar"/>
        </w:rPr>
      </w:pPr>
    </w:p>
    <w:p>
      <w:pPr>
        <w:pStyle w:val="3"/>
        <w:rPr>
          <w:rFonts w:hint="eastAsia"/>
          <w:lang w:val="en-US" w:eastAsia="zh-CN"/>
        </w:rPr>
      </w:pPr>
    </w:p>
    <w:p>
      <w:pPr>
        <w:keepNext w:val="0"/>
        <w:keepLines w:val="0"/>
        <w:widowControl/>
        <w:suppressLineNumbers w:val="0"/>
        <w:jc w:val="both"/>
        <w:rPr>
          <w:rFonts w:hint="eastAsia" w:ascii="宋体" w:hAnsi="宋体" w:eastAsia="宋体" w:cs="宋体"/>
          <w:b/>
          <w:bCs/>
          <w:color w:val="000000"/>
          <w:kern w:val="0"/>
          <w:sz w:val="36"/>
          <w:szCs w:val="36"/>
          <w:lang w:val="en-US" w:eastAsia="zh-CN" w:bidi="ar"/>
        </w:rPr>
      </w:pPr>
    </w:p>
    <w:p>
      <w:pPr>
        <w:pStyle w:val="2"/>
        <w:rPr>
          <w:rFonts w:hint="eastAsia" w:ascii="宋体" w:hAnsi="宋体" w:eastAsia="宋体" w:cs="宋体"/>
          <w:b/>
          <w:bCs/>
          <w:color w:val="000000"/>
          <w:kern w:val="0"/>
          <w:sz w:val="36"/>
          <w:szCs w:val="36"/>
          <w:lang w:val="en-US" w:eastAsia="zh-CN" w:bidi="ar"/>
        </w:rPr>
      </w:pPr>
    </w:p>
    <w:p>
      <w:pPr>
        <w:pStyle w:val="3"/>
        <w:rPr>
          <w:rFonts w:hint="eastAsia" w:ascii="宋体" w:hAnsi="宋体" w:eastAsia="宋体" w:cs="宋体"/>
          <w:b/>
          <w:bCs/>
          <w:color w:val="000000"/>
          <w:kern w:val="0"/>
          <w:sz w:val="36"/>
          <w:szCs w:val="36"/>
          <w:lang w:val="en-US" w:eastAsia="zh-CN" w:bidi="ar"/>
        </w:rPr>
      </w:pPr>
    </w:p>
    <w:p>
      <w:pPr>
        <w:rPr>
          <w:rFonts w:hint="eastAsia" w:ascii="宋体" w:hAnsi="宋体" w:eastAsia="宋体" w:cs="宋体"/>
          <w:b/>
          <w:bCs/>
          <w:color w:val="000000"/>
          <w:kern w:val="0"/>
          <w:sz w:val="36"/>
          <w:szCs w:val="36"/>
          <w:lang w:val="en-US" w:eastAsia="zh-CN" w:bidi="ar"/>
        </w:rPr>
      </w:pPr>
    </w:p>
    <w:p>
      <w:pPr>
        <w:pStyle w:val="2"/>
        <w:rPr>
          <w:rFonts w:hint="eastAsia" w:ascii="宋体" w:hAnsi="宋体" w:eastAsia="宋体" w:cs="宋体"/>
          <w:b/>
          <w:bCs/>
          <w:color w:val="000000"/>
          <w:kern w:val="0"/>
          <w:sz w:val="36"/>
          <w:szCs w:val="36"/>
          <w:lang w:val="en-US" w:eastAsia="zh-CN" w:bidi="ar"/>
        </w:rPr>
      </w:pPr>
    </w:p>
    <w:p>
      <w:pPr>
        <w:pStyle w:val="3"/>
        <w:rPr>
          <w:rFonts w:hint="eastAsia" w:ascii="宋体" w:hAnsi="宋体" w:eastAsia="宋体" w:cs="宋体"/>
          <w:b/>
          <w:bCs/>
          <w:color w:val="000000"/>
          <w:kern w:val="0"/>
          <w:sz w:val="36"/>
          <w:szCs w:val="36"/>
          <w:lang w:val="en-US" w:eastAsia="zh-CN" w:bidi="ar"/>
        </w:rPr>
      </w:pPr>
    </w:p>
    <w:p>
      <w:pPr>
        <w:rPr>
          <w:rFonts w:hint="eastAsia" w:ascii="宋体" w:hAnsi="宋体" w:eastAsia="宋体" w:cs="宋体"/>
          <w:b/>
          <w:bCs/>
          <w:color w:val="000000"/>
          <w:kern w:val="0"/>
          <w:sz w:val="36"/>
          <w:szCs w:val="36"/>
          <w:lang w:val="en-US" w:eastAsia="zh-CN" w:bidi="ar"/>
        </w:rPr>
      </w:pPr>
    </w:p>
    <w:p>
      <w:pPr>
        <w:pStyle w:val="2"/>
        <w:rPr>
          <w:rFonts w:hint="eastAsia"/>
          <w:lang w:val="en-US" w:eastAsia="zh-CN"/>
        </w:rPr>
      </w:pPr>
    </w:p>
    <w:p>
      <w:pPr>
        <w:pStyle w:val="5"/>
        <w:tabs>
          <w:tab w:val="left" w:pos="1281"/>
        </w:tabs>
        <w:outlineLvl w:val="0"/>
        <w:rPr>
          <w:rFonts w:hint="eastAsia" w:eastAsia="黑体"/>
          <w:lang w:eastAsia="zh-CN"/>
        </w:rPr>
      </w:pPr>
      <w:r>
        <w:t>第</w:t>
      </w:r>
      <w:r>
        <w:rPr>
          <w:rFonts w:hint="eastAsia"/>
          <w:lang w:eastAsia="zh-CN"/>
        </w:rPr>
        <w:t>一</w:t>
      </w:r>
      <w:r>
        <w:t>章</w:t>
      </w:r>
      <w:r>
        <w:tab/>
      </w:r>
      <w:r>
        <w:rPr>
          <w:rFonts w:hint="eastAsia"/>
          <w:lang w:eastAsia="zh-CN"/>
        </w:rPr>
        <w:t>竞争性磋商公告</w:t>
      </w:r>
    </w:p>
    <w:p>
      <w:pPr>
        <w:keepNext w:val="0"/>
        <w:keepLines w:val="0"/>
        <w:widowControl/>
        <w:suppressLineNumbers w:val="0"/>
        <w:ind w:firstLine="2530" w:firstLineChars="700"/>
        <w:jc w:val="both"/>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新疆玛纳斯县地质灾害风险普查项目</w:t>
      </w:r>
    </w:p>
    <w:p>
      <w:pPr>
        <w:keepNext w:val="0"/>
        <w:keepLines w:val="0"/>
        <w:widowControl/>
        <w:suppressLineNumbers w:val="0"/>
        <w:ind w:firstLine="361" w:firstLineChars="10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竞争性磋商公告</w:t>
      </w:r>
    </w:p>
    <w:p>
      <w:pPr>
        <w:pStyle w:val="6"/>
        <w:spacing w:before="0" w:after="0" w:line="400" w:lineRule="exact"/>
        <w:rPr>
          <w:rFonts w:hint="eastAsia" w:ascii="仿宋" w:hAnsi="仿宋" w:eastAsia="仿宋" w:cs="仿宋"/>
          <w:b/>
          <w:bCs/>
          <w:color w:val="auto"/>
          <w:sz w:val="24"/>
          <w:szCs w:val="24"/>
          <w:lang w:val="en-US" w:eastAsia="zh-CN" w:bidi="zh-CN"/>
        </w:rPr>
      </w:pPr>
      <w:r>
        <w:rPr>
          <w:rFonts w:hint="eastAsia" w:ascii="仿宋" w:hAnsi="仿宋" w:eastAsia="仿宋" w:cs="仿宋"/>
          <w:b/>
          <w:bCs/>
          <w:color w:val="auto"/>
          <w:sz w:val="24"/>
          <w:szCs w:val="24"/>
          <w:lang w:val="en-US" w:eastAsia="zh-CN" w:bidi="zh-CN"/>
        </w:rPr>
        <w:t xml:space="preserve">项目概况 </w:t>
      </w:r>
    </w:p>
    <w:p>
      <w:pPr>
        <w:pStyle w:val="6"/>
        <w:spacing w:before="0" w:after="0" w:line="400" w:lineRule="exact"/>
        <w:ind w:firstLine="480" w:firstLineChars="200"/>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新疆玛纳斯县地质灾害风险普查项目的潜在投标人应在新疆政府采购网获取招标文件，并于 2022年</w:t>
      </w:r>
      <w:r>
        <w:rPr>
          <w:rFonts w:hint="eastAsia" w:cs="仿宋"/>
          <w:b w:val="0"/>
          <w:bCs w:val="0"/>
          <w:color w:val="auto"/>
          <w:sz w:val="24"/>
          <w:szCs w:val="24"/>
          <w:lang w:val="en-US" w:eastAsia="zh-CN" w:bidi="zh-CN"/>
        </w:rPr>
        <w:t>5</w:t>
      </w:r>
      <w:r>
        <w:rPr>
          <w:rFonts w:hint="eastAsia" w:ascii="仿宋" w:hAnsi="仿宋" w:eastAsia="仿宋" w:cs="仿宋"/>
          <w:b w:val="0"/>
          <w:bCs w:val="0"/>
          <w:color w:val="auto"/>
          <w:sz w:val="24"/>
          <w:szCs w:val="24"/>
          <w:lang w:val="en-US" w:eastAsia="zh-CN" w:bidi="zh-CN"/>
        </w:rPr>
        <w:t>月</w:t>
      </w:r>
      <w:r>
        <w:rPr>
          <w:rFonts w:hint="eastAsia" w:cs="仿宋"/>
          <w:b w:val="0"/>
          <w:bCs w:val="0"/>
          <w:color w:val="auto"/>
          <w:sz w:val="24"/>
          <w:szCs w:val="24"/>
          <w:lang w:val="en-US" w:eastAsia="zh-CN" w:bidi="zh-CN"/>
        </w:rPr>
        <w:t>7</w:t>
      </w:r>
      <w:r>
        <w:rPr>
          <w:rFonts w:hint="eastAsia" w:ascii="仿宋" w:hAnsi="仿宋" w:eastAsia="仿宋" w:cs="仿宋"/>
          <w:b w:val="0"/>
          <w:bCs w:val="0"/>
          <w:color w:val="auto"/>
          <w:sz w:val="24"/>
          <w:szCs w:val="24"/>
          <w:lang w:val="en-US" w:eastAsia="zh-CN" w:bidi="zh-CN"/>
        </w:rPr>
        <w:t>日</w:t>
      </w:r>
      <w:r>
        <w:rPr>
          <w:rFonts w:hint="eastAsia" w:cs="仿宋"/>
          <w:b w:val="0"/>
          <w:bCs w:val="0"/>
          <w:color w:val="auto"/>
          <w:sz w:val="24"/>
          <w:szCs w:val="24"/>
          <w:lang w:val="en-US" w:eastAsia="zh-CN" w:bidi="zh-CN"/>
        </w:rPr>
        <w:t xml:space="preserve"> 上</w:t>
      </w:r>
      <w:r>
        <w:rPr>
          <w:rFonts w:hint="eastAsia" w:ascii="仿宋" w:hAnsi="仿宋" w:eastAsia="仿宋" w:cs="仿宋"/>
          <w:b w:val="0"/>
          <w:bCs w:val="0"/>
          <w:color w:val="auto"/>
          <w:sz w:val="24"/>
          <w:szCs w:val="24"/>
          <w:lang w:val="en-US" w:eastAsia="zh-CN" w:bidi="zh-CN"/>
        </w:rPr>
        <w:t>午 1</w:t>
      </w:r>
      <w:r>
        <w:rPr>
          <w:rFonts w:hint="eastAsia" w:cs="仿宋"/>
          <w:b w:val="0"/>
          <w:bCs w:val="0"/>
          <w:color w:val="auto"/>
          <w:sz w:val="24"/>
          <w:szCs w:val="24"/>
          <w:lang w:val="en-US" w:eastAsia="zh-CN" w:bidi="zh-CN"/>
        </w:rPr>
        <w:t>1</w:t>
      </w:r>
      <w:r>
        <w:rPr>
          <w:rFonts w:hint="eastAsia" w:ascii="仿宋" w:hAnsi="仿宋" w:eastAsia="仿宋" w:cs="仿宋"/>
          <w:b w:val="0"/>
          <w:bCs w:val="0"/>
          <w:color w:val="auto"/>
          <w:sz w:val="24"/>
          <w:szCs w:val="24"/>
          <w:lang w:val="en-US" w:eastAsia="zh-CN" w:bidi="zh-CN"/>
        </w:rPr>
        <w:t xml:space="preserve">:00（北京时间）前递交投标文件。 </w:t>
      </w:r>
    </w:p>
    <w:p>
      <w:pPr>
        <w:pStyle w:val="6"/>
        <w:spacing w:before="0" w:after="0" w:line="400" w:lineRule="exact"/>
        <w:rPr>
          <w:rFonts w:hint="eastAsia" w:ascii="仿宋" w:hAnsi="仿宋" w:eastAsia="仿宋" w:cs="仿宋"/>
          <w:b/>
          <w:bCs/>
          <w:color w:val="auto"/>
          <w:sz w:val="24"/>
          <w:szCs w:val="24"/>
          <w:lang w:val="en-US" w:eastAsia="zh-CN" w:bidi="zh-CN"/>
        </w:rPr>
      </w:pPr>
      <w:r>
        <w:rPr>
          <w:rFonts w:hint="eastAsia" w:ascii="仿宋" w:hAnsi="仿宋" w:eastAsia="仿宋" w:cs="仿宋"/>
          <w:b/>
          <w:bCs/>
          <w:color w:val="auto"/>
          <w:sz w:val="24"/>
          <w:szCs w:val="24"/>
          <w:lang w:val="en-US" w:eastAsia="zh-CN" w:bidi="zh-CN"/>
        </w:rPr>
        <w:t xml:space="preserve">一、项目基本情况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项目编号：WTHH-ZB2022049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项目名称：新疆玛纳斯县地质灾害风险普查项目</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采购方式：竞争性磋商</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预算金额（元）：400000.00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最高限价（元）：400000.00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标项名称:新疆玛纳斯县地质灾害风险普查项目</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数量:/ </w:t>
      </w:r>
    </w:p>
    <w:p>
      <w:pPr>
        <w:pStyle w:val="6"/>
        <w:spacing w:before="0" w:after="0" w:line="400" w:lineRule="exact"/>
        <w:rPr>
          <w:rFonts w:hint="default"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预算金额（元）:400000</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简要规格描述或项目基本概况介绍、用途：对新疆玛纳斯县地质灾害风险进行普查</w:t>
      </w:r>
    </w:p>
    <w:p>
      <w:pPr>
        <w:pStyle w:val="6"/>
        <w:spacing w:before="0" w:after="0" w:line="400" w:lineRule="exact"/>
        <w:ind w:right="-321" w:rightChars="-146"/>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合同履约期限：2022年8月30日前完成野外调查工作；2022年9月30日前完成项目野外验收；2022年10 月30 日前完成项目成果报告评审，2022年11月15日提交项目成果报告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本项目不接受联合体投标。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bCs/>
          <w:color w:val="auto"/>
          <w:sz w:val="24"/>
          <w:szCs w:val="24"/>
          <w:lang w:val="en-US" w:eastAsia="zh-CN" w:bidi="zh-CN"/>
        </w:rPr>
        <w:t>二、申请人的资格要求：</w:t>
      </w:r>
      <w:r>
        <w:rPr>
          <w:rFonts w:hint="eastAsia" w:ascii="仿宋" w:hAnsi="仿宋" w:eastAsia="仿宋" w:cs="仿宋"/>
          <w:b w:val="0"/>
          <w:bCs w:val="0"/>
          <w:color w:val="auto"/>
          <w:sz w:val="24"/>
          <w:szCs w:val="24"/>
          <w:lang w:val="en-US" w:eastAsia="zh-CN" w:bidi="zh-CN"/>
        </w:rPr>
        <w:t xml:space="preserve">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1.满足《中华人民共和国政府采购法》第二十二条规定；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2.落实政府采购政策需满足的资格要求：</w:t>
      </w:r>
    </w:p>
    <w:p>
      <w:pPr>
        <w:pStyle w:val="6"/>
        <w:spacing w:before="0" w:after="0" w:line="400" w:lineRule="exact"/>
        <w:ind w:left="674" w:leftChars="300" w:hanging="14" w:hangingChars="6"/>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2.1《新疆维吾尔自治区政府采购促进中小企业发展管理实施办法》（新财规〔2021〕6 号）；</w:t>
      </w:r>
    </w:p>
    <w:p>
      <w:pPr>
        <w:pStyle w:val="6"/>
        <w:spacing w:before="0" w:after="0" w:line="400" w:lineRule="exact"/>
        <w:ind w:firstLine="240" w:firstLineChars="100"/>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2.</w:t>
      </w:r>
      <w:r>
        <w:rPr>
          <w:rFonts w:hint="eastAsia" w:cs="仿宋"/>
          <w:b w:val="0"/>
          <w:bCs w:val="0"/>
          <w:color w:val="auto"/>
          <w:sz w:val="24"/>
          <w:szCs w:val="24"/>
          <w:lang w:val="en-US" w:eastAsia="zh-CN" w:bidi="zh-CN"/>
        </w:rPr>
        <w:t>2</w:t>
      </w:r>
      <w:r>
        <w:rPr>
          <w:rFonts w:hint="eastAsia" w:ascii="仿宋" w:hAnsi="仿宋" w:eastAsia="仿宋" w:cs="仿宋"/>
          <w:b w:val="0"/>
          <w:bCs w:val="0"/>
          <w:color w:val="auto"/>
          <w:sz w:val="24"/>
          <w:szCs w:val="24"/>
          <w:lang w:val="en-US" w:eastAsia="zh-CN" w:bidi="zh-CN"/>
        </w:rPr>
        <w:t>《关于调整优化节能产品、环境标志产品政府采购执行机制的通知》（财库〔2019）9 号）；</w:t>
      </w:r>
    </w:p>
    <w:p>
      <w:pPr>
        <w:pStyle w:val="6"/>
        <w:numPr>
          <w:ilvl w:val="0"/>
          <w:numId w:val="0"/>
        </w:numPr>
        <w:spacing w:before="0" w:after="0" w:line="400" w:lineRule="exact"/>
        <w:ind w:left="811" w:leftChars="300" w:right="0" w:rightChars="0" w:hanging="151" w:hangingChars="63"/>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2.</w:t>
      </w:r>
      <w:r>
        <w:rPr>
          <w:rFonts w:hint="eastAsia" w:cs="仿宋"/>
          <w:b w:val="0"/>
          <w:bCs w:val="0"/>
          <w:color w:val="auto"/>
          <w:sz w:val="24"/>
          <w:szCs w:val="24"/>
          <w:lang w:val="en-US" w:eastAsia="zh-CN" w:bidi="zh-CN"/>
        </w:rPr>
        <w:t>3</w:t>
      </w:r>
      <w:r>
        <w:rPr>
          <w:rFonts w:hint="eastAsia" w:ascii="仿宋" w:hAnsi="仿宋" w:eastAsia="仿宋" w:cs="仿宋"/>
          <w:b w:val="0"/>
          <w:bCs w:val="0"/>
          <w:color w:val="auto"/>
          <w:sz w:val="24"/>
          <w:szCs w:val="24"/>
          <w:lang w:val="en-US" w:eastAsia="zh-CN" w:bidi="zh-CN"/>
        </w:rPr>
        <w:t>《财政部民政部中国残疾人联合会关于促进残疾人就业政府采购政策的通知》（财库〔2017〕141 号）。</w:t>
      </w:r>
    </w:p>
    <w:p>
      <w:pPr>
        <w:pStyle w:val="6"/>
        <w:numPr>
          <w:ilvl w:val="0"/>
          <w:numId w:val="1"/>
        </w:numPr>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本项目的特定资格要求：</w:t>
      </w:r>
    </w:p>
    <w:p>
      <w:pPr>
        <w:pStyle w:val="6"/>
        <w:numPr>
          <w:ilvl w:val="0"/>
          <w:numId w:val="0"/>
        </w:numPr>
        <w:spacing w:before="0" w:after="0" w:line="400" w:lineRule="exact"/>
        <w:ind w:right="0" w:rightChars="0" w:firstLine="480" w:firstLineChars="200"/>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3.1具备经市场监督管理局核准有效的营业执照（或事业单位法人证书）； </w:t>
      </w:r>
    </w:p>
    <w:p>
      <w:pPr>
        <w:pStyle w:val="6"/>
        <w:numPr>
          <w:ilvl w:val="0"/>
          <w:numId w:val="0"/>
        </w:numPr>
        <w:spacing w:before="0" w:after="0" w:line="400" w:lineRule="exact"/>
        <w:ind w:leftChars="0" w:right="0" w:rightChars="0" w:firstLine="480" w:firstLineChars="200"/>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3.2投标单位需提供地质灾害治理工程勘查、设计乙级（含乙级）以上资质；</w:t>
      </w:r>
    </w:p>
    <w:p>
      <w:pPr>
        <w:pStyle w:val="6"/>
        <w:numPr>
          <w:ilvl w:val="0"/>
          <w:numId w:val="0"/>
        </w:numPr>
        <w:spacing w:before="0" w:after="0" w:line="400" w:lineRule="exact"/>
        <w:ind w:right="0" w:rightChars="0" w:firstLine="480" w:firstLineChars="200"/>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3.3由法人参标的需提供法人身份证明及法人身份证原件；或由委托人参标的需提供法定代表人授权委托书、委托人身份证（授权书需附法人身份证及委托人身份证复印件）；</w:t>
      </w:r>
    </w:p>
    <w:p>
      <w:pPr>
        <w:pStyle w:val="6"/>
        <w:numPr>
          <w:ilvl w:val="0"/>
          <w:numId w:val="0"/>
        </w:numPr>
        <w:spacing w:before="0" w:after="0" w:line="400" w:lineRule="exact"/>
        <w:ind w:right="0" w:rightChars="0" w:firstLine="480" w:firstLineChars="200"/>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3.4投标人须提供“信用中国”网站（WWW.creditchina.gov.cn）、中国政府采购网（www.ccgp.gov.cn）、国家 企业信用信息公示系统（http://www.gsxt.gov.cn）、中国裁判文书网 （http://wenshu.court.gov.cn）的查询结果，如被列入失信被执行人、重大税 收违法案件当事人名单、政府采购严重违法失信行为记录名单的（尚在处罚期内 的），将拒绝其参加本次采购活动；</w:t>
      </w:r>
    </w:p>
    <w:p>
      <w:pPr>
        <w:pStyle w:val="6"/>
        <w:numPr>
          <w:ilvl w:val="0"/>
          <w:numId w:val="0"/>
        </w:numPr>
        <w:spacing w:before="0" w:after="0" w:line="400" w:lineRule="exact"/>
        <w:ind w:leftChars="0" w:firstLine="480" w:firstLineChars="200"/>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3.5与采购人存在利害关系可能影响公正性的单位，不得参加投标。单位负责人为同一人或存在控股、管理关系的不同单位，不得参加同一标段投标，否则，相关投标均无效。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三、获取招标文件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时间：2022年</w:t>
      </w:r>
      <w:r>
        <w:rPr>
          <w:rFonts w:hint="eastAsia" w:cs="仿宋"/>
          <w:b w:val="0"/>
          <w:bCs w:val="0"/>
          <w:color w:val="auto"/>
          <w:sz w:val="24"/>
          <w:szCs w:val="24"/>
          <w:lang w:val="en-US" w:eastAsia="zh-CN" w:bidi="zh-CN"/>
        </w:rPr>
        <w:t>4</w:t>
      </w:r>
      <w:r>
        <w:rPr>
          <w:rFonts w:hint="eastAsia" w:ascii="仿宋" w:hAnsi="仿宋" w:eastAsia="仿宋" w:cs="仿宋"/>
          <w:b w:val="0"/>
          <w:bCs w:val="0"/>
          <w:color w:val="auto"/>
          <w:sz w:val="24"/>
          <w:szCs w:val="24"/>
          <w:lang w:val="en-US" w:eastAsia="zh-CN" w:bidi="zh-CN"/>
        </w:rPr>
        <w:t>月</w:t>
      </w:r>
      <w:r>
        <w:rPr>
          <w:rFonts w:hint="eastAsia" w:cs="仿宋"/>
          <w:b w:val="0"/>
          <w:bCs w:val="0"/>
          <w:color w:val="auto"/>
          <w:sz w:val="24"/>
          <w:szCs w:val="24"/>
          <w:lang w:val="en-US" w:eastAsia="zh-CN" w:bidi="zh-CN"/>
        </w:rPr>
        <w:t>25</w:t>
      </w:r>
      <w:r>
        <w:rPr>
          <w:rFonts w:hint="eastAsia" w:ascii="仿宋" w:hAnsi="仿宋" w:eastAsia="仿宋" w:cs="仿宋"/>
          <w:b w:val="0"/>
          <w:bCs w:val="0"/>
          <w:color w:val="auto"/>
          <w:sz w:val="24"/>
          <w:szCs w:val="24"/>
          <w:lang w:val="en-US" w:eastAsia="zh-CN" w:bidi="zh-CN"/>
        </w:rPr>
        <w:t>日至2022年</w:t>
      </w:r>
      <w:r>
        <w:rPr>
          <w:rFonts w:hint="eastAsia" w:cs="仿宋"/>
          <w:b w:val="0"/>
          <w:bCs w:val="0"/>
          <w:color w:val="auto"/>
          <w:sz w:val="24"/>
          <w:szCs w:val="24"/>
          <w:lang w:val="en-US" w:eastAsia="zh-CN" w:bidi="zh-CN"/>
        </w:rPr>
        <w:t>5</w:t>
      </w:r>
      <w:r>
        <w:rPr>
          <w:rFonts w:hint="eastAsia" w:ascii="仿宋" w:hAnsi="仿宋" w:eastAsia="仿宋" w:cs="仿宋"/>
          <w:b w:val="0"/>
          <w:bCs w:val="0"/>
          <w:color w:val="auto"/>
          <w:sz w:val="24"/>
          <w:szCs w:val="24"/>
          <w:lang w:val="en-US" w:eastAsia="zh-CN" w:bidi="zh-CN"/>
        </w:rPr>
        <w:t>月</w:t>
      </w:r>
      <w:r>
        <w:rPr>
          <w:rFonts w:hint="eastAsia" w:cs="仿宋"/>
          <w:b w:val="0"/>
          <w:bCs w:val="0"/>
          <w:color w:val="auto"/>
          <w:sz w:val="24"/>
          <w:szCs w:val="24"/>
          <w:lang w:val="en-US" w:eastAsia="zh-CN" w:bidi="zh-CN"/>
        </w:rPr>
        <w:t>6</w:t>
      </w:r>
      <w:r>
        <w:rPr>
          <w:rFonts w:hint="eastAsia" w:ascii="仿宋" w:hAnsi="仿宋" w:eastAsia="仿宋" w:cs="仿宋"/>
          <w:b w:val="0"/>
          <w:bCs w:val="0"/>
          <w:color w:val="auto"/>
          <w:sz w:val="24"/>
          <w:szCs w:val="24"/>
          <w:lang w:val="en-US" w:eastAsia="zh-CN" w:bidi="zh-CN"/>
        </w:rPr>
        <w:t>日，每天上午10:00 至 1</w:t>
      </w:r>
      <w:r>
        <w:rPr>
          <w:rFonts w:hint="eastAsia" w:cs="仿宋"/>
          <w:b w:val="0"/>
          <w:bCs w:val="0"/>
          <w:color w:val="auto"/>
          <w:sz w:val="24"/>
          <w:szCs w:val="24"/>
          <w:lang w:val="en-US" w:eastAsia="zh-CN" w:bidi="zh-CN"/>
        </w:rPr>
        <w:t>3</w:t>
      </w:r>
      <w:r>
        <w:rPr>
          <w:rFonts w:hint="eastAsia" w:ascii="仿宋" w:hAnsi="仿宋" w:eastAsia="仿宋" w:cs="仿宋"/>
          <w:b w:val="0"/>
          <w:bCs w:val="0"/>
          <w:color w:val="auto"/>
          <w:sz w:val="24"/>
          <w:szCs w:val="24"/>
          <w:lang w:val="en-US" w:eastAsia="zh-CN" w:bidi="zh-CN"/>
        </w:rPr>
        <w:t>:</w:t>
      </w:r>
      <w:r>
        <w:rPr>
          <w:rFonts w:hint="eastAsia" w:cs="仿宋"/>
          <w:b w:val="0"/>
          <w:bCs w:val="0"/>
          <w:color w:val="auto"/>
          <w:sz w:val="24"/>
          <w:szCs w:val="24"/>
          <w:lang w:val="en-US" w:eastAsia="zh-CN" w:bidi="zh-CN"/>
        </w:rPr>
        <w:t>3</w:t>
      </w:r>
      <w:r>
        <w:rPr>
          <w:rFonts w:hint="eastAsia" w:ascii="仿宋" w:hAnsi="仿宋" w:eastAsia="仿宋" w:cs="仿宋"/>
          <w:b w:val="0"/>
          <w:bCs w:val="0"/>
          <w:color w:val="auto"/>
          <w:sz w:val="24"/>
          <w:szCs w:val="24"/>
          <w:lang w:val="en-US" w:eastAsia="zh-CN" w:bidi="zh-CN"/>
        </w:rPr>
        <w:t>0，下午 1</w:t>
      </w:r>
      <w:r>
        <w:rPr>
          <w:rFonts w:hint="eastAsia" w:cs="仿宋"/>
          <w:b w:val="0"/>
          <w:bCs w:val="0"/>
          <w:color w:val="auto"/>
          <w:sz w:val="24"/>
          <w:szCs w:val="24"/>
          <w:lang w:val="en-US" w:eastAsia="zh-CN" w:bidi="zh-CN"/>
        </w:rPr>
        <w:t>5</w:t>
      </w:r>
      <w:r>
        <w:rPr>
          <w:rFonts w:hint="eastAsia" w:ascii="仿宋" w:hAnsi="仿宋" w:eastAsia="仿宋" w:cs="仿宋"/>
          <w:b w:val="0"/>
          <w:bCs w:val="0"/>
          <w:color w:val="auto"/>
          <w:sz w:val="24"/>
          <w:szCs w:val="24"/>
          <w:lang w:val="en-US" w:eastAsia="zh-CN" w:bidi="zh-CN"/>
        </w:rPr>
        <w:t>:</w:t>
      </w:r>
      <w:r>
        <w:rPr>
          <w:rFonts w:hint="eastAsia" w:cs="仿宋"/>
          <w:b w:val="0"/>
          <w:bCs w:val="0"/>
          <w:color w:val="auto"/>
          <w:sz w:val="24"/>
          <w:szCs w:val="24"/>
          <w:lang w:val="en-US" w:eastAsia="zh-CN" w:bidi="zh-CN"/>
        </w:rPr>
        <w:t>3</w:t>
      </w:r>
      <w:r>
        <w:rPr>
          <w:rFonts w:hint="eastAsia" w:ascii="仿宋" w:hAnsi="仿宋" w:eastAsia="仿宋" w:cs="仿宋"/>
          <w:b w:val="0"/>
          <w:bCs w:val="0"/>
          <w:color w:val="auto"/>
          <w:sz w:val="24"/>
          <w:szCs w:val="24"/>
          <w:lang w:val="en-US" w:eastAsia="zh-CN" w:bidi="zh-CN"/>
        </w:rPr>
        <w:t xml:space="preserve">0 至 19:00（北京时间，法定节假日除外）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地点：线下报名获取磋商文件，售后不退     售价（元）：</w:t>
      </w:r>
      <w:r>
        <w:rPr>
          <w:rFonts w:hint="eastAsia" w:cs="仿宋"/>
          <w:b w:val="0"/>
          <w:bCs w:val="0"/>
          <w:color w:val="auto"/>
          <w:sz w:val="24"/>
          <w:szCs w:val="24"/>
          <w:lang w:val="en-US" w:eastAsia="zh-CN" w:bidi="zh-CN"/>
        </w:rPr>
        <w:t>3</w:t>
      </w:r>
      <w:r>
        <w:rPr>
          <w:rFonts w:hint="eastAsia" w:ascii="仿宋" w:hAnsi="仿宋" w:eastAsia="仿宋" w:cs="仿宋"/>
          <w:b w:val="0"/>
          <w:bCs w:val="0"/>
          <w:color w:val="auto"/>
          <w:sz w:val="24"/>
          <w:szCs w:val="24"/>
          <w:lang w:val="en-US" w:eastAsia="zh-CN" w:bidi="zh-CN"/>
        </w:rPr>
        <w:t>00</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四、提交投标文件截止时间、开标时间和地点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提交投标文件截止时间：2022年</w:t>
      </w:r>
      <w:r>
        <w:rPr>
          <w:rFonts w:hint="eastAsia" w:cs="仿宋"/>
          <w:b w:val="0"/>
          <w:bCs w:val="0"/>
          <w:color w:val="auto"/>
          <w:sz w:val="24"/>
          <w:szCs w:val="24"/>
          <w:lang w:val="en-US" w:eastAsia="zh-CN" w:bidi="zh-CN"/>
        </w:rPr>
        <w:t>5</w:t>
      </w:r>
      <w:r>
        <w:rPr>
          <w:rFonts w:hint="eastAsia" w:ascii="仿宋" w:hAnsi="仿宋" w:eastAsia="仿宋" w:cs="仿宋"/>
          <w:b w:val="0"/>
          <w:bCs w:val="0"/>
          <w:color w:val="auto"/>
          <w:sz w:val="24"/>
          <w:szCs w:val="24"/>
          <w:lang w:val="en-US" w:eastAsia="zh-CN" w:bidi="zh-CN"/>
        </w:rPr>
        <w:t>月</w:t>
      </w:r>
      <w:r>
        <w:rPr>
          <w:rFonts w:hint="eastAsia" w:cs="仿宋"/>
          <w:b w:val="0"/>
          <w:bCs w:val="0"/>
          <w:color w:val="auto"/>
          <w:sz w:val="24"/>
          <w:szCs w:val="24"/>
          <w:lang w:val="en-US" w:eastAsia="zh-CN" w:bidi="zh-CN"/>
        </w:rPr>
        <w:t>7</w:t>
      </w:r>
      <w:r>
        <w:rPr>
          <w:rFonts w:hint="eastAsia" w:ascii="仿宋" w:hAnsi="仿宋" w:eastAsia="仿宋" w:cs="仿宋"/>
          <w:b w:val="0"/>
          <w:bCs w:val="0"/>
          <w:color w:val="auto"/>
          <w:sz w:val="24"/>
          <w:szCs w:val="24"/>
          <w:lang w:val="en-US" w:eastAsia="zh-CN" w:bidi="zh-CN"/>
        </w:rPr>
        <w:t>日</w:t>
      </w:r>
      <w:r>
        <w:rPr>
          <w:rFonts w:hint="eastAsia" w:cs="仿宋"/>
          <w:b w:val="0"/>
          <w:bCs w:val="0"/>
          <w:color w:val="auto"/>
          <w:sz w:val="24"/>
          <w:szCs w:val="24"/>
          <w:lang w:val="en-US" w:eastAsia="zh-CN" w:bidi="zh-CN"/>
        </w:rPr>
        <w:t xml:space="preserve"> 上</w:t>
      </w:r>
      <w:r>
        <w:rPr>
          <w:rFonts w:hint="eastAsia" w:ascii="仿宋" w:hAnsi="仿宋" w:eastAsia="仿宋" w:cs="仿宋"/>
          <w:b w:val="0"/>
          <w:bCs w:val="0"/>
          <w:color w:val="auto"/>
          <w:sz w:val="24"/>
          <w:szCs w:val="24"/>
          <w:lang w:val="en-US" w:eastAsia="zh-CN" w:bidi="zh-CN"/>
        </w:rPr>
        <w:t>午 1</w:t>
      </w:r>
      <w:r>
        <w:rPr>
          <w:rFonts w:hint="eastAsia" w:cs="仿宋"/>
          <w:b w:val="0"/>
          <w:bCs w:val="0"/>
          <w:color w:val="auto"/>
          <w:sz w:val="24"/>
          <w:szCs w:val="24"/>
          <w:lang w:val="en-US" w:eastAsia="zh-CN" w:bidi="zh-CN"/>
        </w:rPr>
        <w:t>1</w:t>
      </w:r>
      <w:r>
        <w:rPr>
          <w:rFonts w:hint="eastAsia" w:ascii="仿宋" w:hAnsi="仿宋" w:eastAsia="仿宋" w:cs="仿宋"/>
          <w:b w:val="0"/>
          <w:bCs w:val="0"/>
          <w:color w:val="auto"/>
          <w:sz w:val="24"/>
          <w:szCs w:val="24"/>
          <w:lang w:val="en-US" w:eastAsia="zh-CN" w:bidi="zh-CN"/>
        </w:rPr>
        <w:t xml:space="preserve">:00（北京时间）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投标地点：玛纳斯县文体中心二楼政府采购中心招标室（中华碧玉园）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开标时间：2022年</w:t>
      </w:r>
      <w:r>
        <w:rPr>
          <w:rFonts w:hint="eastAsia" w:cs="仿宋"/>
          <w:b w:val="0"/>
          <w:bCs w:val="0"/>
          <w:color w:val="auto"/>
          <w:sz w:val="24"/>
          <w:szCs w:val="24"/>
          <w:lang w:val="en-US" w:eastAsia="zh-CN" w:bidi="zh-CN"/>
        </w:rPr>
        <w:t>5</w:t>
      </w:r>
      <w:r>
        <w:rPr>
          <w:rFonts w:hint="eastAsia" w:ascii="仿宋" w:hAnsi="仿宋" w:eastAsia="仿宋" w:cs="仿宋"/>
          <w:b w:val="0"/>
          <w:bCs w:val="0"/>
          <w:color w:val="auto"/>
          <w:sz w:val="24"/>
          <w:szCs w:val="24"/>
          <w:lang w:val="en-US" w:eastAsia="zh-CN" w:bidi="zh-CN"/>
        </w:rPr>
        <w:t>月</w:t>
      </w:r>
      <w:r>
        <w:rPr>
          <w:rFonts w:hint="eastAsia" w:cs="仿宋"/>
          <w:b w:val="0"/>
          <w:bCs w:val="0"/>
          <w:color w:val="auto"/>
          <w:sz w:val="24"/>
          <w:szCs w:val="24"/>
          <w:lang w:val="en-US" w:eastAsia="zh-CN" w:bidi="zh-CN"/>
        </w:rPr>
        <w:t>7</w:t>
      </w:r>
      <w:r>
        <w:rPr>
          <w:rFonts w:hint="eastAsia" w:ascii="仿宋" w:hAnsi="仿宋" w:eastAsia="仿宋" w:cs="仿宋"/>
          <w:b w:val="0"/>
          <w:bCs w:val="0"/>
          <w:color w:val="auto"/>
          <w:sz w:val="24"/>
          <w:szCs w:val="24"/>
          <w:lang w:val="en-US" w:eastAsia="zh-CN" w:bidi="zh-CN"/>
        </w:rPr>
        <w:t>日</w:t>
      </w:r>
      <w:r>
        <w:rPr>
          <w:rFonts w:hint="eastAsia" w:cs="仿宋"/>
          <w:b w:val="0"/>
          <w:bCs w:val="0"/>
          <w:color w:val="auto"/>
          <w:sz w:val="24"/>
          <w:szCs w:val="24"/>
          <w:lang w:val="en-US" w:eastAsia="zh-CN" w:bidi="zh-CN"/>
        </w:rPr>
        <w:t xml:space="preserve"> 上</w:t>
      </w:r>
      <w:r>
        <w:rPr>
          <w:rFonts w:hint="eastAsia" w:ascii="仿宋" w:hAnsi="仿宋" w:eastAsia="仿宋" w:cs="仿宋"/>
          <w:b w:val="0"/>
          <w:bCs w:val="0"/>
          <w:color w:val="auto"/>
          <w:sz w:val="24"/>
          <w:szCs w:val="24"/>
          <w:lang w:val="en-US" w:eastAsia="zh-CN" w:bidi="zh-CN"/>
        </w:rPr>
        <w:t>午1</w:t>
      </w:r>
      <w:r>
        <w:rPr>
          <w:rFonts w:hint="eastAsia" w:cs="仿宋"/>
          <w:b w:val="0"/>
          <w:bCs w:val="0"/>
          <w:color w:val="auto"/>
          <w:sz w:val="24"/>
          <w:szCs w:val="24"/>
          <w:lang w:val="en-US" w:eastAsia="zh-CN" w:bidi="zh-CN"/>
        </w:rPr>
        <w:t>1</w:t>
      </w:r>
      <w:r>
        <w:rPr>
          <w:rFonts w:hint="eastAsia" w:ascii="仿宋" w:hAnsi="仿宋" w:eastAsia="仿宋" w:cs="仿宋"/>
          <w:b w:val="0"/>
          <w:bCs w:val="0"/>
          <w:color w:val="auto"/>
          <w:sz w:val="24"/>
          <w:szCs w:val="24"/>
          <w:lang w:val="en-US" w:eastAsia="zh-CN" w:bidi="zh-CN"/>
        </w:rPr>
        <w:t xml:space="preserve">:00（北京时间）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开标地点：玛纳斯县文体中心二楼政府采购中心招标室（中华碧玉园）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五、公告期限 </w:t>
      </w:r>
    </w:p>
    <w:p>
      <w:pPr>
        <w:pStyle w:val="6"/>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自本公告发布之日起 5 个工作日。 </w:t>
      </w:r>
    </w:p>
    <w:p>
      <w:pPr>
        <w:pStyle w:val="6"/>
        <w:numPr>
          <w:ilvl w:val="0"/>
          <w:numId w:val="2"/>
        </w:numPr>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其他补充事宜   无</w:t>
      </w:r>
    </w:p>
    <w:p>
      <w:pPr>
        <w:pStyle w:val="6"/>
        <w:numPr>
          <w:ilvl w:val="0"/>
          <w:numId w:val="0"/>
        </w:numPr>
        <w:spacing w:before="0" w:after="0" w:line="400" w:lineRule="exac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七、对本次采购提出询问，请按以下方式联系 </w:t>
      </w:r>
    </w:p>
    <w:p>
      <w:pPr>
        <w:pStyle w:val="6"/>
        <w:spacing w:before="0" w:after="0" w:line="400" w:lineRule="exact"/>
        <w:ind w:left="0" w:leftChars="0" w:firstLine="240" w:firstLineChars="100"/>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1.采购人信息 </w:t>
      </w:r>
    </w:p>
    <w:p>
      <w:pPr>
        <w:pStyle w:val="6"/>
        <w:spacing w:before="0" w:after="0" w:line="400" w:lineRule="exact"/>
        <w:ind w:left="220" w:leftChars="0" w:firstLine="0" w:firstLineChars="0"/>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名 称：玛纳斯县自然资源局  </w:t>
      </w:r>
    </w:p>
    <w:p>
      <w:pPr>
        <w:pStyle w:val="6"/>
        <w:spacing w:before="0" w:after="0" w:line="400" w:lineRule="exact"/>
        <w:ind w:left="220" w:leftChars="0" w:firstLine="0" w:firstLineChars="0"/>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联系方式：</w:t>
      </w:r>
      <w:r>
        <w:rPr>
          <w:rFonts w:hint="eastAsia" w:cs="仿宋"/>
          <w:b w:val="0"/>
          <w:bCs w:val="0"/>
          <w:color w:val="auto"/>
          <w:sz w:val="24"/>
          <w:szCs w:val="24"/>
          <w:lang w:val="en-US" w:eastAsia="zh-CN" w:bidi="zh-CN"/>
        </w:rPr>
        <w:t>牛聪 15199640358</w:t>
      </w:r>
      <w:r>
        <w:rPr>
          <w:rFonts w:hint="eastAsia" w:ascii="仿宋" w:hAnsi="仿宋" w:eastAsia="仿宋" w:cs="仿宋"/>
          <w:b w:val="0"/>
          <w:bCs w:val="0"/>
          <w:color w:val="auto"/>
          <w:sz w:val="24"/>
          <w:szCs w:val="24"/>
          <w:lang w:val="en-US" w:eastAsia="zh-CN" w:bidi="zh-CN"/>
        </w:rPr>
        <w:t xml:space="preserve"> </w:t>
      </w:r>
    </w:p>
    <w:p>
      <w:pPr>
        <w:pStyle w:val="6"/>
        <w:spacing w:before="0" w:after="0" w:line="400" w:lineRule="exact"/>
        <w:ind w:left="220" w:leftChars="0" w:firstLine="0" w:firstLineChars="0"/>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2.采购代理机构信息 </w:t>
      </w:r>
    </w:p>
    <w:p>
      <w:pPr>
        <w:keepNext w:val="0"/>
        <w:keepLines w:val="0"/>
        <w:widowControl/>
        <w:suppressLineNumbers w:val="0"/>
        <w:ind w:left="0" w:leftChars="0" w:firstLine="187" w:firstLineChars="78"/>
        <w:jc w:val="lef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名  称：新疆沃图恒辉建设工程项目管理有限公司　</w:t>
      </w:r>
    </w:p>
    <w:p>
      <w:pPr>
        <w:keepNext w:val="0"/>
        <w:keepLines w:val="0"/>
        <w:widowControl/>
        <w:suppressLineNumbers w:val="0"/>
        <w:ind w:left="0" w:leftChars="0" w:firstLine="187" w:firstLineChars="78"/>
        <w:jc w:val="lef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地　址：玛纳斯县西海雅苑2号楼2单元101室</w:t>
      </w:r>
    </w:p>
    <w:p>
      <w:pPr>
        <w:keepNext w:val="0"/>
        <w:keepLines w:val="0"/>
        <w:widowControl/>
        <w:suppressLineNumbers w:val="0"/>
        <w:ind w:left="0" w:leftChars="0" w:firstLine="187" w:firstLineChars="78"/>
        <w:jc w:val="lef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联 系 人：耿雁秋</w:t>
      </w:r>
      <w:r>
        <w:rPr>
          <w:rFonts w:hint="eastAsia" w:cs="仿宋"/>
          <w:b w:val="0"/>
          <w:bCs w:val="0"/>
          <w:color w:val="auto"/>
          <w:sz w:val="24"/>
          <w:szCs w:val="24"/>
          <w:lang w:val="en-US" w:eastAsia="zh-CN" w:bidi="zh-CN"/>
        </w:rPr>
        <w:t xml:space="preserve">、高顺     </w:t>
      </w:r>
      <w:r>
        <w:rPr>
          <w:rFonts w:hint="eastAsia" w:ascii="仿宋" w:hAnsi="仿宋" w:eastAsia="仿宋" w:cs="仿宋"/>
          <w:b w:val="0"/>
          <w:bCs w:val="0"/>
          <w:color w:val="auto"/>
          <w:sz w:val="24"/>
          <w:szCs w:val="24"/>
          <w:lang w:val="en-US" w:eastAsia="zh-CN" w:bidi="zh-CN"/>
        </w:rPr>
        <w:t>电</w:t>
      </w:r>
      <w:r>
        <w:rPr>
          <w:rFonts w:hint="eastAsia" w:cs="仿宋"/>
          <w:b w:val="0"/>
          <w:bCs w:val="0"/>
          <w:color w:val="auto"/>
          <w:sz w:val="24"/>
          <w:szCs w:val="24"/>
          <w:lang w:val="en-US" w:eastAsia="zh-CN" w:bidi="zh-CN"/>
        </w:rPr>
        <w:t xml:space="preserve"> </w:t>
      </w:r>
      <w:r>
        <w:rPr>
          <w:rFonts w:hint="eastAsia" w:ascii="仿宋" w:hAnsi="仿宋" w:eastAsia="仿宋" w:cs="仿宋"/>
          <w:b w:val="0"/>
          <w:bCs w:val="0"/>
          <w:color w:val="auto"/>
          <w:sz w:val="24"/>
          <w:szCs w:val="24"/>
          <w:lang w:val="en-US" w:eastAsia="zh-CN" w:bidi="zh-CN"/>
        </w:rPr>
        <w:t>话：13289942166</w:t>
      </w:r>
      <w:r>
        <w:rPr>
          <w:rFonts w:hint="eastAsia" w:cs="仿宋"/>
          <w:b w:val="0"/>
          <w:bCs w:val="0"/>
          <w:color w:val="auto"/>
          <w:sz w:val="24"/>
          <w:szCs w:val="24"/>
          <w:lang w:val="en-US" w:eastAsia="zh-CN" w:bidi="zh-CN"/>
        </w:rPr>
        <w:t>、15160966815</w:t>
      </w:r>
    </w:p>
    <w:p>
      <w:pPr>
        <w:keepNext w:val="0"/>
        <w:keepLines w:val="0"/>
        <w:widowControl/>
        <w:suppressLineNumbers w:val="0"/>
        <w:ind w:left="0" w:leftChars="0" w:firstLine="187" w:firstLineChars="78"/>
        <w:jc w:val="left"/>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 xml:space="preserve">3.项目联系方式 </w:t>
      </w:r>
    </w:p>
    <w:p>
      <w:pPr>
        <w:pStyle w:val="3"/>
        <w:ind w:left="0" w:leftChars="0" w:firstLine="0" w:firstLineChars="0"/>
        <w:rPr>
          <w:rFonts w:hint="eastAsia" w:cs="宋体"/>
          <w:color w:val="000000"/>
          <w:sz w:val="24"/>
          <w:szCs w:val="24"/>
          <w:lang w:val="en-US" w:eastAsia="zh-CN"/>
        </w:rPr>
      </w:pPr>
      <w:r>
        <w:rPr>
          <w:rFonts w:hint="eastAsia" w:cs="宋体"/>
          <w:color w:val="000000"/>
          <w:sz w:val="24"/>
          <w:szCs w:val="24"/>
          <w:lang w:val="en-US" w:eastAsia="zh-CN"/>
        </w:rPr>
        <w:t xml:space="preserve">  联 系 人：耿雁秋、高顺     电 话：13289942166、15160966815</w:t>
      </w:r>
    </w:p>
    <w:p>
      <w:pPr>
        <w:pStyle w:val="3"/>
        <w:ind w:left="0" w:leftChars="0" w:firstLine="0" w:firstLineChars="0"/>
        <w:rPr>
          <w:rFonts w:cs="宋体"/>
          <w:color w:val="000000"/>
          <w:sz w:val="24"/>
          <w:szCs w:val="24"/>
        </w:rPr>
      </w:pPr>
    </w:p>
    <w:p>
      <w:pPr>
        <w:pStyle w:val="5"/>
        <w:tabs>
          <w:tab w:val="left" w:pos="1281"/>
        </w:tabs>
        <w:outlineLvl w:val="0"/>
      </w:pPr>
      <w:bookmarkStart w:id="0" w:name="_Toc26829"/>
    </w:p>
    <w:p>
      <w:pPr>
        <w:pStyle w:val="5"/>
        <w:tabs>
          <w:tab w:val="left" w:pos="1281"/>
        </w:tabs>
        <w:outlineLvl w:val="0"/>
      </w:pPr>
    </w:p>
    <w:p/>
    <w:p>
      <w:pPr>
        <w:pStyle w:val="5"/>
        <w:tabs>
          <w:tab w:val="left" w:pos="1281"/>
        </w:tabs>
        <w:jc w:val="both"/>
        <w:outlineLvl w:val="0"/>
      </w:pPr>
    </w:p>
    <w:p>
      <w:pPr>
        <w:pStyle w:val="5"/>
        <w:tabs>
          <w:tab w:val="left" w:pos="1281"/>
        </w:tabs>
        <w:outlineLvl w:val="0"/>
      </w:pPr>
    </w:p>
    <w:p>
      <w:pPr>
        <w:pStyle w:val="5"/>
        <w:tabs>
          <w:tab w:val="left" w:pos="1281"/>
        </w:tabs>
        <w:outlineLvl w:val="0"/>
      </w:pPr>
    </w:p>
    <w:p>
      <w:pPr>
        <w:pStyle w:val="5"/>
        <w:tabs>
          <w:tab w:val="left" w:pos="1281"/>
        </w:tabs>
        <w:outlineLvl w:val="0"/>
      </w:pPr>
    </w:p>
    <w:p>
      <w:pPr>
        <w:pStyle w:val="5"/>
        <w:tabs>
          <w:tab w:val="left" w:pos="1281"/>
        </w:tabs>
        <w:outlineLvl w:val="0"/>
      </w:pPr>
      <w:r>
        <w:t>第二章</w:t>
      </w:r>
      <w:r>
        <w:tab/>
      </w:r>
      <w:r>
        <w:t>供应商须知</w:t>
      </w:r>
      <w:bookmarkEnd w:id="0"/>
    </w:p>
    <w:p>
      <w:pPr>
        <w:spacing w:before="394"/>
        <w:ind w:left="478" w:right="0" w:firstLine="0"/>
        <w:jc w:val="left"/>
        <w:rPr>
          <w:rFonts w:hint="eastAsia" w:ascii="黑体" w:eastAsia="黑体"/>
          <w:sz w:val="28"/>
        </w:rPr>
      </w:pPr>
      <w:bookmarkStart w:id="1" w:name="_bookmark4"/>
      <w:bookmarkEnd w:id="1"/>
      <w:bookmarkStart w:id="2" w:name="供应商须知前附表"/>
      <w:bookmarkEnd w:id="2"/>
      <w:r>
        <w:rPr>
          <w:rFonts w:hint="eastAsia" w:ascii="黑体" w:eastAsia="黑体"/>
          <w:sz w:val="28"/>
        </w:rPr>
        <w:t>供应商须知前附表</w:t>
      </w:r>
    </w:p>
    <w:p>
      <w:pPr>
        <w:pStyle w:val="10"/>
        <w:spacing w:before="5"/>
        <w:rPr>
          <w:rFonts w:ascii="黑体"/>
          <w:sz w:val="10"/>
        </w:rPr>
      </w:pPr>
    </w:p>
    <w:tbl>
      <w:tblPr>
        <w:tblStyle w:val="23"/>
        <w:tblW w:w="0" w:type="auto"/>
        <w:tblInd w:w="3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764" w:type="dxa"/>
            <w:vAlign w:val="top"/>
          </w:tcPr>
          <w:p>
            <w:pPr>
              <w:pStyle w:val="30"/>
              <w:spacing w:before="97"/>
              <w:ind w:left="121" w:right="112"/>
              <w:jc w:val="center"/>
              <w:rPr>
                <w:sz w:val="24"/>
              </w:rPr>
            </w:pPr>
            <w:r>
              <w:rPr>
                <w:sz w:val="24"/>
              </w:rPr>
              <w:t>序号</w:t>
            </w:r>
          </w:p>
        </w:tc>
        <w:tc>
          <w:tcPr>
            <w:tcW w:w="2587" w:type="dxa"/>
            <w:vAlign w:val="top"/>
          </w:tcPr>
          <w:p>
            <w:pPr>
              <w:pStyle w:val="30"/>
              <w:spacing w:before="97"/>
              <w:ind w:left="812"/>
              <w:rPr>
                <w:sz w:val="24"/>
              </w:rPr>
            </w:pPr>
            <w:r>
              <w:rPr>
                <w:sz w:val="24"/>
              </w:rPr>
              <w:t>条款名称</w:t>
            </w:r>
          </w:p>
        </w:tc>
        <w:tc>
          <w:tcPr>
            <w:tcW w:w="5808" w:type="dxa"/>
            <w:vAlign w:val="top"/>
          </w:tcPr>
          <w:p>
            <w:pPr>
              <w:pStyle w:val="30"/>
              <w:spacing w:before="97"/>
              <w:ind w:left="2403" w:right="2394"/>
              <w:jc w:val="center"/>
              <w:rPr>
                <w:sz w:val="24"/>
              </w:rPr>
            </w:pPr>
            <w:r>
              <w:rPr>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764" w:type="dxa"/>
            <w:vAlign w:val="top"/>
          </w:tcPr>
          <w:p>
            <w:pPr>
              <w:pStyle w:val="30"/>
              <w:rPr>
                <w:rFonts w:ascii="黑体"/>
                <w:sz w:val="24"/>
              </w:rPr>
            </w:pPr>
          </w:p>
          <w:p>
            <w:pPr>
              <w:pStyle w:val="30"/>
              <w:spacing w:before="6"/>
              <w:rPr>
                <w:rFonts w:ascii="黑体"/>
                <w:sz w:val="17"/>
              </w:rPr>
            </w:pPr>
          </w:p>
          <w:p>
            <w:pPr>
              <w:pStyle w:val="30"/>
              <w:ind w:left="9"/>
              <w:jc w:val="center"/>
              <w:rPr>
                <w:sz w:val="24"/>
              </w:rPr>
            </w:pPr>
            <w:r>
              <w:rPr>
                <w:sz w:val="24"/>
              </w:rPr>
              <w:t>1</w:t>
            </w:r>
          </w:p>
        </w:tc>
        <w:tc>
          <w:tcPr>
            <w:tcW w:w="2587" w:type="dxa"/>
            <w:vAlign w:val="top"/>
          </w:tcPr>
          <w:p>
            <w:pPr>
              <w:pStyle w:val="30"/>
              <w:rPr>
                <w:rFonts w:ascii="黑体"/>
                <w:sz w:val="24"/>
              </w:rPr>
            </w:pPr>
          </w:p>
          <w:p>
            <w:pPr>
              <w:pStyle w:val="30"/>
              <w:spacing w:before="6"/>
              <w:rPr>
                <w:rFonts w:ascii="黑体"/>
                <w:sz w:val="17"/>
              </w:rPr>
            </w:pPr>
          </w:p>
          <w:p>
            <w:pPr>
              <w:pStyle w:val="30"/>
              <w:ind w:left="107"/>
              <w:rPr>
                <w:sz w:val="24"/>
              </w:rPr>
            </w:pPr>
            <w:r>
              <w:rPr>
                <w:sz w:val="24"/>
              </w:rPr>
              <w:t>采购人</w:t>
            </w:r>
          </w:p>
        </w:tc>
        <w:tc>
          <w:tcPr>
            <w:tcW w:w="5808" w:type="dxa"/>
            <w:vAlign w:val="top"/>
          </w:tcPr>
          <w:p>
            <w:pPr>
              <w:pStyle w:val="30"/>
              <w:spacing w:before="95"/>
              <w:rPr>
                <w:rFonts w:hint="eastAsia" w:eastAsia="仿宋"/>
                <w:sz w:val="24"/>
                <w:lang w:eastAsia="zh-CN"/>
              </w:rPr>
            </w:pPr>
            <w:r>
              <w:rPr>
                <w:sz w:val="24"/>
              </w:rPr>
              <w:t>名称：</w:t>
            </w:r>
            <w:r>
              <w:rPr>
                <w:rFonts w:hint="eastAsia"/>
                <w:sz w:val="24"/>
                <w:lang w:val="en-US" w:eastAsia="zh-CN"/>
              </w:rPr>
              <w:t xml:space="preserve">玛纳斯县自然资源局  </w:t>
            </w:r>
          </w:p>
          <w:p>
            <w:pPr>
              <w:pStyle w:val="30"/>
              <w:tabs>
                <w:tab w:val="left" w:pos="2147"/>
              </w:tabs>
              <w:spacing w:before="129"/>
              <w:rPr>
                <w:rFonts w:hint="default" w:eastAsia="仿宋"/>
                <w:sz w:val="24"/>
                <w:lang w:val="en-US" w:eastAsia="zh-CN"/>
              </w:rPr>
            </w:pPr>
            <w:r>
              <w:rPr>
                <w:sz w:val="24"/>
              </w:rPr>
              <w:t>联系人：</w:t>
            </w:r>
            <w:r>
              <w:rPr>
                <w:rFonts w:hint="eastAsia"/>
                <w:sz w:val="24"/>
                <w:lang w:eastAsia="zh-CN"/>
              </w:rPr>
              <w:t>牛聪</w:t>
            </w:r>
            <w:r>
              <w:rPr>
                <w:rFonts w:hint="eastAsia"/>
                <w:sz w:val="24"/>
                <w:lang w:val="en-US" w:eastAsia="zh-CN"/>
              </w:rPr>
              <w:t xml:space="preserve"> </w:t>
            </w:r>
            <w:r>
              <w:rPr>
                <w:sz w:val="24"/>
              </w:rPr>
              <w:tab/>
            </w:r>
            <w:r>
              <w:rPr>
                <w:sz w:val="24"/>
              </w:rPr>
              <w:t>电话：</w:t>
            </w:r>
            <w:r>
              <w:rPr>
                <w:rFonts w:hint="eastAsia" w:cs="仿宋"/>
                <w:b w:val="0"/>
                <w:bCs w:val="0"/>
                <w:color w:val="auto"/>
                <w:sz w:val="24"/>
                <w:szCs w:val="24"/>
                <w:lang w:val="en-US" w:eastAsia="zh-CN" w:bidi="zh-CN"/>
              </w:rPr>
              <w:t>15199640358</w:t>
            </w:r>
            <w:r>
              <w:rPr>
                <w:rFonts w:hint="eastAsia" w:ascii="宋体" w:hAnsi="宋体" w:eastAsia="宋体" w:cs="宋体"/>
                <w:b w:val="0"/>
                <w:bCs/>
                <w:sz w:val="24"/>
                <w:szCs w:val="24"/>
                <w:lang w:val="en-US" w:eastAsia="zh-CN" w:bidi="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764" w:type="dxa"/>
            <w:vAlign w:val="top"/>
          </w:tcPr>
          <w:p>
            <w:pPr>
              <w:pStyle w:val="30"/>
              <w:rPr>
                <w:rFonts w:ascii="黑体"/>
                <w:sz w:val="24"/>
              </w:rPr>
            </w:pPr>
          </w:p>
          <w:p>
            <w:pPr>
              <w:pStyle w:val="30"/>
              <w:spacing w:before="3"/>
              <w:rPr>
                <w:rFonts w:ascii="黑体"/>
                <w:sz w:val="30"/>
              </w:rPr>
            </w:pPr>
          </w:p>
          <w:p>
            <w:pPr>
              <w:pStyle w:val="30"/>
              <w:ind w:left="9"/>
              <w:jc w:val="center"/>
              <w:rPr>
                <w:sz w:val="24"/>
              </w:rPr>
            </w:pPr>
            <w:r>
              <w:rPr>
                <w:sz w:val="24"/>
              </w:rPr>
              <w:t>2</w:t>
            </w:r>
          </w:p>
        </w:tc>
        <w:tc>
          <w:tcPr>
            <w:tcW w:w="2587" w:type="dxa"/>
            <w:vAlign w:val="top"/>
          </w:tcPr>
          <w:p>
            <w:pPr>
              <w:pStyle w:val="30"/>
              <w:rPr>
                <w:rFonts w:ascii="黑体"/>
                <w:sz w:val="24"/>
              </w:rPr>
            </w:pPr>
          </w:p>
          <w:p>
            <w:pPr>
              <w:pStyle w:val="30"/>
              <w:spacing w:before="3"/>
              <w:rPr>
                <w:rFonts w:ascii="黑体"/>
                <w:sz w:val="30"/>
              </w:rPr>
            </w:pPr>
          </w:p>
          <w:p>
            <w:pPr>
              <w:pStyle w:val="30"/>
              <w:rPr>
                <w:sz w:val="24"/>
              </w:rPr>
            </w:pPr>
            <w:r>
              <w:rPr>
                <w:sz w:val="24"/>
              </w:rPr>
              <w:t>采购代理机构</w:t>
            </w:r>
          </w:p>
        </w:tc>
        <w:tc>
          <w:tcPr>
            <w:tcW w:w="5808" w:type="dxa"/>
            <w:vAlign w:val="top"/>
          </w:tcPr>
          <w:p>
            <w:pPr>
              <w:pStyle w:val="30"/>
              <w:spacing w:before="81" w:line="312" w:lineRule="auto"/>
              <w:ind w:right="96"/>
              <w:rPr>
                <w:rFonts w:hint="eastAsia"/>
                <w:sz w:val="24"/>
                <w:lang w:val="en-US" w:eastAsia="zh-CN"/>
              </w:rPr>
            </w:pPr>
            <w:r>
              <w:rPr>
                <w:sz w:val="24"/>
              </w:rPr>
              <w:t>名称：</w:t>
            </w:r>
            <w:r>
              <w:rPr>
                <w:rFonts w:hint="eastAsia"/>
                <w:sz w:val="24"/>
                <w:lang w:val="en-US" w:eastAsia="zh-CN"/>
              </w:rPr>
              <w:t>新疆沃图恒辉建设工程项目管理有限公司</w:t>
            </w:r>
          </w:p>
          <w:p>
            <w:pPr>
              <w:pStyle w:val="30"/>
              <w:spacing w:before="81" w:line="312" w:lineRule="auto"/>
              <w:ind w:right="96"/>
              <w:rPr>
                <w:rFonts w:hint="eastAsia" w:eastAsia="仿宋"/>
                <w:sz w:val="24"/>
                <w:lang w:eastAsia="zh-CN"/>
              </w:rPr>
            </w:pPr>
            <w:r>
              <w:rPr>
                <w:sz w:val="24"/>
              </w:rPr>
              <w:t>地址：</w:t>
            </w:r>
            <w:r>
              <w:rPr>
                <w:rFonts w:hint="eastAsia"/>
                <w:sz w:val="24"/>
                <w:lang w:eastAsia="zh-CN"/>
              </w:rPr>
              <w:t>玛纳斯县西海雅苑2号楼2单元101室</w:t>
            </w:r>
          </w:p>
          <w:p>
            <w:pPr>
              <w:pStyle w:val="30"/>
              <w:tabs>
                <w:tab w:val="left" w:pos="2147"/>
              </w:tabs>
              <w:spacing w:before="15"/>
              <w:rPr>
                <w:rFonts w:hint="eastAsia"/>
                <w:sz w:val="24"/>
                <w:lang w:val="en-US" w:eastAsia="zh-CN"/>
              </w:rPr>
            </w:pPr>
            <w:r>
              <w:rPr>
                <w:rFonts w:hint="eastAsia"/>
                <w:sz w:val="24"/>
                <w:lang w:val="en-US" w:eastAsia="zh-CN"/>
              </w:rPr>
              <w:t xml:space="preserve">联 系 人：耿雁秋、高顺     </w:t>
            </w:r>
          </w:p>
          <w:p>
            <w:pPr>
              <w:pStyle w:val="30"/>
              <w:tabs>
                <w:tab w:val="left" w:pos="2147"/>
              </w:tabs>
              <w:spacing w:before="15"/>
              <w:rPr>
                <w:rFonts w:hint="default" w:eastAsia="仿宋"/>
                <w:sz w:val="24"/>
                <w:lang w:val="en-US" w:eastAsia="zh-CN"/>
              </w:rPr>
            </w:pPr>
            <w:r>
              <w:rPr>
                <w:rFonts w:hint="eastAsia"/>
                <w:sz w:val="24"/>
                <w:lang w:val="en-US" w:eastAsia="zh-CN"/>
              </w:rPr>
              <w:t>电 话：13289942166、15160966815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8" w:hRule="atLeast"/>
        </w:trPr>
        <w:tc>
          <w:tcPr>
            <w:tcW w:w="764" w:type="dxa"/>
            <w:vAlign w:val="top"/>
          </w:tcPr>
          <w:p>
            <w:pPr>
              <w:pStyle w:val="30"/>
              <w:jc w:val="center"/>
              <w:rPr>
                <w:sz w:val="24"/>
              </w:rPr>
            </w:pPr>
            <w:r>
              <w:rPr>
                <w:sz w:val="24"/>
              </w:rPr>
              <w:t>3</w:t>
            </w:r>
          </w:p>
        </w:tc>
        <w:tc>
          <w:tcPr>
            <w:tcW w:w="2587" w:type="dxa"/>
            <w:vAlign w:val="top"/>
          </w:tcPr>
          <w:p>
            <w:pPr>
              <w:pStyle w:val="30"/>
              <w:rPr>
                <w:sz w:val="24"/>
              </w:rPr>
            </w:pPr>
            <w:r>
              <w:rPr>
                <w:sz w:val="24"/>
              </w:rPr>
              <w:t>项目名称</w:t>
            </w:r>
          </w:p>
        </w:tc>
        <w:tc>
          <w:tcPr>
            <w:tcW w:w="5808" w:type="dxa"/>
            <w:vAlign w:val="top"/>
          </w:tcPr>
          <w:p>
            <w:pPr>
              <w:pStyle w:val="30"/>
              <w:spacing w:before="33" w:line="370" w:lineRule="atLeast"/>
              <w:ind w:right="-29"/>
              <w:jc w:val="left"/>
              <w:rPr>
                <w:rFonts w:hint="eastAsia" w:eastAsia="仿宋"/>
                <w:sz w:val="24"/>
                <w:lang w:eastAsia="zh-CN"/>
              </w:rPr>
            </w:pPr>
            <w:r>
              <w:rPr>
                <w:rFonts w:hint="eastAsia" w:eastAsia="仿宋"/>
                <w:sz w:val="24"/>
                <w:lang w:eastAsia="zh-CN"/>
              </w:rPr>
              <w:t>新疆玛纳斯县地质灾害风险普查项目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96" w:hRule="atLeast"/>
        </w:trPr>
        <w:tc>
          <w:tcPr>
            <w:tcW w:w="764" w:type="dxa"/>
            <w:vAlign w:val="top"/>
          </w:tcPr>
          <w:p>
            <w:pPr>
              <w:pStyle w:val="30"/>
              <w:spacing w:before="95"/>
              <w:ind w:left="9"/>
              <w:jc w:val="center"/>
              <w:rPr>
                <w:sz w:val="24"/>
              </w:rPr>
            </w:pPr>
            <w:r>
              <w:rPr>
                <w:sz w:val="24"/>
              </w:rPr>
              <w:t>4</w:t>
            </w:r>
          </w:p>
        </w:tc>
        <w:tc>
          <w:tcPr>
            <w:tcW w:w="2587" w:type="dxa"/>
            <w:vAlign w:val="top"/>
          </w:tcPr>
          <w:p>
            <w:pPr>
              <w:pStyle w:val="30"/>
              <w:spacing w:before="95"/>
              <w:rPr>
                <w:color w:val="auto"/>
                <w:sz w:val="24"/>
              </w:rPr>
            </w:pPr>
            <w:r>
              <w:rPr>
                <w:color w:val="auto"/>
                <w:sz w:val="24"/>
              </w:rPr>
              <w:t>项目编号</w:t>
            </w:r>
          </w:p>
        </w:tc>
        <w:tc>
          <w:tcPr>
            <w:tcW w:w="5808" w:type="dxa"/>
            <w:vAlign w:val="top"/>
          </w:tcPr>
          <w:p>
            <w:pPr>
              <w:pStyle w:val="30"/>
              <w:spacing w:before="95"/>
              <w:rPr>
                <w:rFonts w:hint="default" w:eastAsia="仿宋"/>
                <w:color w:val="auto"/>
                <w:sz w:val="24"/>
                <w:lang w:val="en-US" w:eastAsia="zh-CN"/>
              </w:rPr>
            </w:pPr>
            <w:r>
              <w:rPr>
                <w:rFonts w:hint="eastAsia"/>
                <w:color w:val="auto"/>
                <w:sz w:val="24"/>
                <w:lang w:val="en-US" w:eastAsia="zh-CN"/>
              </w:rPr>
              <w:t>WTHH-ZB2022049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42" w:hRule="atLeast"/>
        </w:trPr>
        <w:tc>
          <w:tcPr>
            <w:tcW w:w="764" w:type="dxa"/>
            <w:vAlign w:val="top"/>
          </w:tcPr>
          <w:p>
            <w:pPr>
              <w:pStyle w:val="30"/>
              <w:spacing w:before="95"/>
              <w:ind w:left="9"/>
              <w:jc w:val="center"/>
              <w:rPr>
                <w:sz w:val="24"/>
              </w:rPr>
            </w:pPr>
            <w:r>
              <w:rPr>
                <w:sz w:val="24"/>
              </w:rPr>
              <w:t>5</w:t>
            </w:r>
          </w:p>
        </w:tc>
        <w:tc>
          <w:tcPr>
            <w:tcW w:w="2587" w:type="dxa"/>
            <w:vAlign w:val="top"/>
          </w:tcPr>
          <w:p>
            <w:pPr>
              <w:pStyle w:val="30"/>
              <w:spacing w:before="95"/>
              <w:rPr>
                <w:color w:val="auto"/>
                <w:sz w:val="24"/>
              </w:rPr>
            </w:pPr>
            <w:r>
              <w:rPr>
                <w:color w:val="auto"/>
                <w:sz w:val="24"/>
              </w:rPr>
              <w:t>资金来源</w:t>
            </w:r>
          </w:p>
        </w:tc>
        <w:tc>
          <w:tcPr>
            <w:tcW w:w="5808" w:type="dxa"/>
            <w:vAlign w:val="top"/>
          </w:tcPr>
          <w:p>
            <w:pPr>
              <w:pStyle w:val="30"/>
              <w:spacing w:before="95"/>
              <w:rPr>
                <w:rFonts w:hint="default" w:eastAsia="仿宋"/>
                <w:color w:val="auto"/>
                <w:sz w:val="24"/>
                <w:lang w:val="en-US" w:eastAsia="zh-CN"/>
              </w:rPr>
            </w:pPr>
            <w:r>
              <w:rPr>
                <w:rFonts w:hint="eastAsia"/>
                <w:color w:val="auto"/>
                <w:sz w:val="24"/>
                <w:lang w:val="en-US" w:eastAsia="zh-CN"/>
              </w:rPr>
              <w:t>第一次全国自然灾害综合风险普查中央补助资金，补助资金不足的由县级财政资金承担。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764" w:type="dxa"/>
            <w:vAlign w:val="top"/>
          </w:tcPr>
          <w:p>
            <w:pPr>
              <w:pStyle w:val="30"/>
              <w:spacing w:before="96"/>
              <w:ind w:left="9"/>
              <w:jc w:val="center"/>
              <w:rPr>
                <w:sz w:val="24"/>
              </w:rPr>
            </w:pPr>
            <w:r>
              <w:rPr>
                <w:sz w:val="24"/>
              </w:rPr>
              <w:t>6</w:t>
            </w:r>
          </w:p>
        </w:tc>
        <w:tc>
          <w:tcPr>
            <w:tcW w:w="2587" w:type="dxa"/>
            <w:vAlign w:val="top"/>
          </w:tcPr>
          <w:p>
            <w:pPr>
              <w:pStyle w:val="30"/>
              <w:spacing w:before="96"/>
              <w:rPr>
                <w:color w:val="auto"/>
                <w:sz w:val="24"/>
              </w:rPr>
            </w:pPr>
            <w:r>
              <w:rPr>
                <w:color w:val="auto"/>
                <w:sz w:val="24"/>
              </w:rPr>
              <w:t>采购内容</w:t>
            </w:r>
          </w:p>
        </w:tc>
        <w:tc>
          <w:tcPr>
            <w:tcW w:w="5808" w:type="dxa"/>
            <w:vAlign w:val="top"/>
          </w:tcPr>
          <w:p>
            <w:pPr>
              <w:pStyle w:val="30"/>
              <w:spacing w:before="96"/>
              <w:rPr>
                <w:rFonts w:hint="default" w:eastAsia="仿宋"/>
                <w:color w:val="auto"/>
                <w:sz w:val="24"/>
                <w:lang w:val="en-US" w:eastAsia="zh-CN"/>
              </w:rPr>
            </w:pPr>
            <w:r>
              <w:rPr>
                <w:rFonts w:hint="default" w:eastAsia="仿宋"/>
                <w:color w:val="auto"/>
                <w:sz w:val="24"/>
                <w:lang w:val="en-US" w:eastAsia="zh-CN"/>
              </w:rPr>
              <w:t>新疆玛纳斯县地质灾害风险普查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764" w:type="dxa"/>
            <w:vAlign w:val="top"/>
          </w:tcPr>
          <w:p>
            <w:pPr>
              <w:pStyle w:val="30"/>
              <w:spacing w:before="95"/>
              <w:ind w:left="9"/>
              <w:jc w:val="center"/>
              <w:rPr>
                <w:sz w:val="24"/>
              </w:rPr>
            </w:pPr>
            <w:r>
              <w:rPr>
                <w:sz w:val="24"/>
              </w:rPr>
              <w:t>7</w:t>
            </w:r>
          </w:p>
        </w:tc>
        <w:tc>
          <w:tcPr>
            <w:tcW w:w="2587" w:type="dxa"/>
            <w:vAlign w:val="top"/>
          </w:tcPr>
          <w:p>
            <w:pPr>
              <w:pStyle w:val="30"/>
              <w:spacing w:before="95"/>
              <w:rPr>
                <w:color w:val="auto"/>
                <w:sz w:val="24"/>
              </w:rPr>
            </w:pPr>
            <w:r>
              <w:rPr>
                <w:color w:val="auto"/>
                <w:sz w:val="24"/>
              </w:rPr>
              <w:t>最高限价</w:t>
            </w:r>
          </w:p>
        </w:tc>
        <w:tc>
          <w:tcPr>
            <w:tcW w:w="5808" w:type="dxa"/>
            <w:vAlign w:val="top"/>
          </w:tcPr>
          <w:p>
            <w:pPr>
              <w:pStyle w:val="30"/>
              <w:spacing w:before="95"/>
              <w:rPr>
                <w:color w:val="auto"/>
                <w:sz w:val="24"/>
              </w:rPr>
            </w:pPr>
            <w:r>
              <w:rPr>
                <w:rFonts w:hint="eastAsia"/>
                <w:color w:val="auto"/>
                <w:sz w:val="24"/>
                <w:lang w:val="en-US" w:eastAsia="zh-CN"/>
              </w:rPr>
              <w:t>400000.00</w:t>
            </w:r>
            <w:r>
              <w:rPr>
                <w:color w:val="auto"/>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764" w:type="dxa"/>
            <w:vAlign w:val="top"/>
          </w:tcPr>
          <w:p>
            <w:pPr>
              <w:pStyle w:val="30"/>
              <w:spacing w:before="95"/>
              <w:ind w:left="9"/>
              <w:jc w:val="center"/>
              <w:rPr>
                <w:sz w:val="24"/>
              </w:rPr>
            </w:pPr>
            <w:r>
              <w:rPr>
                <w:sz w:val="24"/>
              </w:rPr>
              <w:t>8</w:t>
            </w:r>
          </w:p>
        </w:tc>
        <w:tc>
          <w:tcPr>
            <w:tcW w:w="2587" w:type="dxa"/>
            <w:vAlign w:val="top"/>
          </w:tcPr>
          <w:p>
            <w:pPr>
              <w:pStyle w:val="30"/>
              <w:spacing w:before="95"/>
              <w:rPr>
                <w:color w:val="auto"/>
                <w:sz w:val="24"/>
              </w:rPr>
            </w:pPr>
            <w:r>
              <w:rPr>
                <w:color w:val="auto"/>
                <w:sz w:val="24"/>
              </w:rPr>
              <w:t>质量目标</w:t>
            </w:r>
          </w:p>
        </w:tc>
        <w:tc>
          <w:tcPr>
            <w:tcW w:w="5808" w:type="dxa"/>
            <w:vAlign w:val="top"/>
          </w:tcPr>
          <w:p>
            <w:pPr>
              <w:pStyle w:val="30"/>
              <w:spacing w:before="95"/>
              <w:rPr>
                <w:rFonts w:hint="eastAsia" w:eastAsia="仿宋"/>
                <w:color w:val="auto"/>
                <w:sz w:val="24"/>
                <w:lang w:eastAsia="zh-CN"/>
              </w:rPr>
            </w:pPr>
            <w:r>
              <w:rPr>
                <w:rFonts w:hint="eastAsia"/>
                <w:color w:val="auto"/>
                <w:sz w:val="24"/>
                <w:lang w:val="en-US" w:eastAsia="zh-CN"/>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23" w:hRule="atLeast"/>
        </w:trPr>
        <w:tc>
          <w:tcPr>
            <w:tcW w:w="764" w:type="dxa"/>
            <w:vAlign w:val="top"/>
          </w:tcPr>
          <w:p>
            <w:pPr>
              <w:pStyle w:val="30"/>
              <w:spacing w:before="95"/>
              <w:ind w:left="9"/>
              <w:jc w:val="center"/>
              <w:rPr>
                <w:sz w:val="24"/>
              </w:rPr>
            </w:pPr>
            <w:r>
              <w:rPr>
                <w:sz w:val="24"/>
              </w:rPr>
              <w:t>9</w:t>
            </w:r>
          </w:p>
        </w:tc>
        <w:tc>
          <w:tcPr>
            <w:tcW w:w="2587" w:type="dxa"/>
            <w:vAlign w:val="top"/>
          </w:tcPr>
          <w:p>
            <w:pPr>
              <w:pStyle w:val="30"/>
              <w:spacing w:before="95"/>
              <w:rPr>
                <w:rFonts w:hint="eastAsia" w:eastAsia="仿宋"/>
                <w:color w:val="auto"/>
                <w:sz w:val="24"/>
                <w:lang w:val="en-US" w:eastAsia="zh-CN"/>
              </w:rPr>
            </w:pPr>
            <w:r>
              <w:rPr>
                <w:rFonts w:hint="eastAsia"/>
                <w:color w:val="auto"/>
                <w:sz w:val="24"/>
                <w:lang w:val="en-US" w:eastAsia="zh-CN"/>
              </w:rPr>
              <w:t>服务周期</w:t>
            </w:r>
          </w:p>
        </w:tc>
        <w:tc>
          <w:tcPr>
            <w:tcW w:w="5808" w:type="dxa"/>
            <w:vAlign w:val="top"/>
          </w:tcPr>
          <w:p>
            <w:pPr>
              <w:pStyle w:val="30"/>
              <w:spacing w:before="95"/>
              <w:rPr>
                <w:rFonts w:hint="default"/>
                <w:color w:val="auto"/>
                <w:sz w:val="24"/>
                <w:lang w:val="en-US"/>
              </w:rPr>
            </w:pPr>
            <w:r>
              <w:rPr>
                <w:rFonts w:hint="eastAsia"/>
                <w:color w:val="auto"/>
                <w:sz w:val="24"/>
                <w:lang w:val="en-US" w:eastAsia="zh-CN"/>
              </w:rPr>
              <w:t>2022年8月30日前完成野外调查工作；2022年9月30日前完成项目野外验收；2022年10 月30 日前完成项目成果报告评审，2022年11月15日提交项目成果报告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trPr>
        <w:tc>
          <w:tcPr>
            <w:tcW w:w="764" w:type="dxa"/>
            <w:vAlign w:val="top"/>
          </w:tcPr>
          <w:p>
            <w:pPr>
              <w:pStyle w:val="30"/>
              <w:rPr>
                <w:rFonts w:ascii="黑体"/>
                <w:sz w:val="22"/>
              </w:rPr>
            </w:pPr>
          </w:p>
          <w:p>
            <w:pPr>
              <w:pStyle w:val="30"/>
              <w:spacing w:before="1"/>
              <w:ind w:left="121" w:right="112"/>
              <w:jc w:val="center"/>
              <w:rPr>
                <w:sz w:val="24"/>
              </w:rPr>
            </w:pPr>
            <w:r>
              <w:rPr>
                <w:sz w:val="24"/>
              </w:rPr>
              <w:t>10</w:t>
            </w:r>
          </w:p>
        </w:tc>
        <w:tc>
          <w:tcPr>
            <w:tcW w:w="2587" w:type="dxa"/>
            <w:vAlign w:val="top"/>
          </w:tcPr>
          <w:p>
            <w:pPr>
              <w:pStyle w:val="30"/>
              <w:spacing w:before="95"/>
              <w:rPr>
                <w:sz w:val="24"/>
              </w:rPr>
            </w:pPr>
            <w:r>
              <w:rPr>
                <w:rFonts w:hint="eastAsia"/>
                <w:sz w:val="24"/>
                <w:lang w:val="en-US" w:eastAsia="zh-CN"/>
              </w:rPr>
              <w:t>项目</w:t>
            </w:r>
            <w:r>
              <w:rPr>
                <w:sz w:val="24"/>
              </w:rPr>
              <w:t>地点</w:t>
            </w:r>
          </w:p>
        </w:tc>
        <w:tc>
          <w:tcPr>
            <w:tcW w:w="5808" w:type="dxa"/>
            <w:vAlign w:val="top"/>
          </w:tcPr>
          <w:p>
            <w:pPr>
              <w:pStyle w:val="30"/>
              <w:spacing w:before="95"/>
              <w:rPr>
                <w:rFonts w:hint="eastAsia"/>
                <w:sz w:val="24"/>
                <w:lang w:eastAsia="zh-CN"/>
              </w:rPr>
            </w:pPr>
            <w:r>
              <w:rPr>
                <w:rFonts w:hint="eastAsia" w:eastAsia="仿宋"/>
                <w:sz w:val="24"/>
                <w:lang w:eastAsia="zh-CN"/>
              </w:rPr>
              <w:t>新疆玛纳斯县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11" w:hRule="atLeast"/>
        </w:trPr>
        <w:tc>
          <w:tcPr>
            <w:tcW w:w="764" w:type="dxa"/>
            <w:vAlign w:val="top"/>
          </w:tcPr>
          <w:p>
            <w:pPr>
              <w:pStyle w:val="30"/>
              <w:spacing w:before="3"/>
              <w:rPr>
                <w:rFonts w:ascii="黑体"/>
                <w:sz w:val="24"/>
              </w:rPr>
            </w:pPr>
          </w:p>
          <w:p>
            <w:pPr>
              <w:pStyle w:val="30"/>
              <w:spacing w:before="1"/>
              <w:ind w:left="121" w:right="112"/>
              <w:jc w:val="center"/>
              <w:rPr>
                <w:sz w:val="24"/>
              </w:rPr>
            </w:pPr>
            <w:r>
              <w:rPr>
                <w:sz w:val="24"/>
              </w:rPr>
              <w:t>11</w:t>
            </w:r>
          </w:p>
        </w:tc>
        <w:tc>
          <w:tcPr>
            <w:tcW w:w="2587" w:type="dxa"/>
            <w:vAlign w:val="top"/>
          </w:tcPr>
          <w:p>
            <w:pPr>
              <w:pStyle w:val="30"/>
              <w:spacing w:before="3"/>
              <w:rPr>
                <w:rFonts w:ascii="黑体"/>
                <w:sz w:val="24"/>
              </w:rPr>
            </w:pPr>
          </w:p>
          <w:p>
            <w:pPr>
              <w:pStyle w:val="30"/>
              <w:spacing w:before="1"/>
              <w:rPr>
                <w:sz w:val="24"/>
              </w:rPr>
            </w:pPr>
            <w:r>
              <w:rPr>
                <w:sz w:val="24"/>
              </w:rPr>
              <w:t>是否接受联合体报价</w:t>
            </w:r>
          </w:p>
        </w:tc>
        <w:tc>
          <w:tcPr>
            <w:tcW w:w="5808" w:type="dxa"/>
            <w:vAlign w:val="top"/>
          </w:tcPr>
          <w:p>
            <w:pPr>
              <w:pStyle w:val="30"/>
              <w:spacing w:before="95"/>
              <w:ind w:left="107"/>
              <w:rPr>
                <w:sz w:val="24"/>
              </w:rPr>
            </w:pPr>
            <w:r>
              <w:rPr>
                <w:rFonts w:ascii="Wingdings" w:hAnsi="Wingdings" w:eastAsia="Wingdings"/>
                <w:sz w:val="24"/>
              </w:rPr>
              <w:t></w:t>
            </w:r>
            <w:r>
              <w:rPr>
                <w:rFonts w:ascii="Times New Roman" w:hAnsi="Times New Roman" w:eastAsia="Times New Roman"/>
                <w:spacing w:val="59"/>
                <w:sz w:val="24"/>
              </w:rPr>
              <w:t xml:space="preserve"> </w:t>
            </w:r>
            <w:r>
              <w:rPr>
                <w:sz w:val="24"/>
              </w:rPr>
              <w:t>不接受</w:t>
            </w:r>
          </w:p>
          <w:p>
            <w:pPr>
              <w:pStyle w:val="30"/>
              <w:tabs>
                <w:tab w:val="left" w:pos="4486"/>
              </w:tabs>
              <w:spacing w:before="129"/>
              <w:ind w:left="107"/>
              <w:rPr>
                <w:rFonts w:ascii="Times New Roman" w:hAnsi="Times New Roman" w:eastAsia="Times New Roman"/>
                <w:sz w:val="24"/>
              </w:rPr>
            </w:pPr>
            <w:r>
              <w:rPr>
                <w:sz w:val="24"/>
              </w:rPr>
              <w:t>□</w:t>
            </w:r>
            <w:r>
              <w:rPr>
                <w:spacing w:val="-1"/>
                <w:sz w:val="24"/>
              </w:rPr>
              <w:t xml:space="preserve"> </w:t>
            </w:r>
            <w:r>
              <w:rPr>
                <w:sz w:val="24"/>
              </w:rPr>
              <w:t>接受，应满足下列要求：</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6" w:hRule="atLeast"/>
        </w:trPr>
        <w:tc>
          <w:tcPr>
            <w:tcW w:w="764" w:type="dxa"/>
            <w:vAlign w:val="top"/>
          </w:tcPr>
          <w:p>
            <w:pPr>
              <w:pStyle w:val="30"/>
              <w:spacing w:before="95"/>
              <w:ind w:left="121" w:right="112"/>
              <w:jc w:val="center"/>
              <w:rPr>
                <w:sz w:val="24"/>
              </w:rPr>
            </w:pPr>
            <w:r>
              <w:rPr>
                <w:sz w:val="24"/>
              </w:rPr>
              <w:t>12</w:t>
            </w:r>
          </w:p>
        </w:tc>
        <w:tc>
          <w:tcPr>
            <w:tcW w:w="2587" w:type="dxa"/>
            <w:vAlign w:val="top"/>
          </w:tcPr>
          <w:p>
            <w:pPr>
              <w:pStyle w:val="30"/>
              <w:spacing w:before="95"/>
              <w:rPr>
                <w:sz w:val="24"/>
              </w:rPr>
            </w:pPr>
            <w:r>
              <w:rPr>
                <w:sz w:val="24"/>
              </w:rPr>
              <w:t>报价有效期</w:t>
            </w:r>
          </w:p>
        </w:tc>
        <w:tc>
          <w:tcPr>
            <w:tcW w:w="5808" w:type="dxa"/>
            <w:vAlign w:val="top"/>
          </w:tcPr>
          <w:p>
            <w:pPr>
              <w:pStyle w:val="30"/>
              <w:spacing w:before="95"/>
              <w:ind w:left="107"/>
              <w:rPr>
                <w:sz w:val="24"/>
              </w:rPr>
            </w:pPr>
            <w:r>
              <w:rPr>
                <w:sz w:val="24"/>
              </w:rPr>
              <w:t>自报价截止之日起</w:t>
            </w:r>
            <w:r>
              <w:rPr>
                <w:sz w:val="24"/>
                <w:u w:val="single"/>
              </w:rPr>
              <w:t xml:space="preserve"> 30 </w:t>
            </w:r>
            <w:r>
              <w:rPr>
                <w:sz w:val="24"/>
              </w:rPr>
              <w:t>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64" w:hRule="atLeast"/>
        </w:trPr>
        <w:tc>
          <w:tcPr>
            <w:tcW w:w="764" w:type="dxa"/>
            <w:vAlign w:val="top"/>
          </w:tcPr>
          <w:p>
            <w:pPr>
              <w:pStyle w:val="30"/>
              <w:rPr>
                <w:rFonts w:ascii="黑体"/>
                <w:sz w:val="24"/>
              </w:rPr>
            </w:pPr>
          </w:p>
          <w:p>
            <w:pPr>
              <w:pStyle w:val="30"/>
              <w:spacing w:before="7"/>
              <w:rPr>
                <w:rFonts w:ascii="黑体"/>
                <w:sz w:val="17"/>
              </w:rPr>
            </w:pPr>
          </w:p>
          <w:p>
            <w:pPr>
              <w:pStyle w:val="30"/>
              <w:ind w:left="121" w:right="112"/>
              <w:jc w:val="center"/>
              <w:rPr>
                <w:sz w:val="24"/>
              </w:rPr>
            </w:pPr>
            <w:r>
              <w:rPr>
                <w:sz w:val="24"/>
              </w:rPr>
              <w:t>13</w:t>
            </w:r>
          </w:p>
        </w:tc>
        <w:tc>
          <w:tcPr>
            <w:tcW w:w="2587" w:type="dxa"/>
            <w:vAlign w:val="top"/>
          </w:tcPr>
          <w:p>
            <w:pPr>
              <w:pStyle w:val="30"/>
              <w:rPr>
                <w:rFonts w:ascii="黑体"/>
                <w:sz w:val="24"/>
              </w:rPr>
            </w:pPr>
          </w:p>
          <w:p>
            <w:pPr>
              <w:pStyle w:val="30"/>
              <w:spacing w:before="7"/>
              <w:rPr>
                <w:rFonts w:ascii="黑体"/>
                <w:sz w:val="17"/>
              </w:rPr>
            </w:pPr>
          </w:p>
          <w:p>
            <w:pPr>
              <w:pStyle w:val="30"/>
              <w:rPr>
                <w:sz w:val="24"/>
              </w:rPr>
            </w:pPr>
            <w:r>
              <w:rPr>
                <w:sz w:val="24"/>
              </w:rPr>
              <w:t>踏勘现场</w:t>
            </w:r>
          </w:p>
        </w:tc>
        <w:tc>
          <w:tcPr>
            <w:tcW w:w="5808" w:type="dxa"/>
            <w:vAlign w:val="top"/>
          </w:tcPr>
          <w:p>
            <w:pPr>
              <w:pStyle w:val="30"/>
              <w:spacing w:before="96"/>
              <w:ind w:left="107"/>
              <w:rPr>
                <w:sz w:val="24"/>
              </w:rPr>
            </w:pPr>
            <w:r>
              <w:rPr>
                <w:rFonts w:ascii="Wingdings" w:hAnsi="Wingdings" w:eastAsia="Wingdings"/>
                <w:sz w:val="24"/>
              </w:rPr>
              <w:t></w:t>
            </w:r>
            <w:r>
              <w:rPr>
                <w:rFonts w:ascii="Times New Roman" w:hAnsi="Times New Roman" w:eastAsia="Times New Roman"/>
                <w:spacing w:val="59"/>
                <w:sz w:val="24"/>
              </w:rPr>
              <w:t xml:space="preserve"> </w:t>
            </w:r>
            <w:r>
              <w:rPr>
                <w:sz w:val="24"/>
              </w:rPr>
              <w:t>不组织，自行踏勘</w:t>
            </w:r>
          </w:p>
          <w:p>
            <w:pPr>
              <w:pStyle w:val="30"/>
              <w:tabs>
                <w:tab w:val="left" w:pos="4246"/>
              </w:tabs>
              <w:spacing w:before="7" w:line="430" w:lineRule="atLeast"/>
              <w:ind w:left="1187" w:right="1549" w:hanging="1080"/>
              <w:rPr>
                <w:rFonts w:ascii="Times New Roman" w:hAnsi="Times New Roman" w:eastAsia="Times New Roman"/>
                <w:sz w:val="24"/>
              </w:rPr>
            </w:pPr>
            <w:r>
              <w:rPr>
                <w:sz w:val="24"/>
              </w:rPr>
              <w:t>□</w:t>
            </w:r>
            <w:r>
              <w:rPr>
                <w:spacing w:val="-1"/>
                <w:sz w:val="24"/>
              </w:rPr>
              <w:t xml:space="preserve"> </w:t>
            </w:r>
            <w:r>
              <w:rPr>
                <w:sz w:val="24"/>
              </w:rPr>
              <w:t>组织，踏勘时间：</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pacing w:val="-1"/>
                <w:sz w:val="24"/>
              </w:rPr>
              <w:t xml:space="preserve">             </w:t>
            </w:r>
            <w:r>
              <w:rPr>
                <w:spacing w:val="13"/>
                <w:sz w:val="24"/>
              </w:rPr>
              <w:t xml:space="preserve"> </w:t>
            </w:r>
            <w:r>
              <w:rPr>
                <w:spacing w:val="-1"/>
                <w:sz w:val="24"/>
              </w:rPr>
              <w:t>踏</w:t>
            </w:r>
            <w:r>
              <w:rPr>
                <w:sz w:val="24"/>
              </w:rPr>
              <w:t>勘地点：</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69" w:hRule="atLeast"/>
        </w:trPr>
        <w:tc>
          <w:tcPr>
            <w:tcW w:w="764" w:type="dxa"/>
            <w:vAlign w:val="top"/>
          </w:tcPr>
          <w:p>
            <w:pPr>
              <w:pStyle w:val="30"/>
              <w:rPr>
                <w:rFonts w:ascii="黑体"/>
                <w:sz w:val="24"/>
              </w:rPr>
            </w:pPr>
          </w:p>
          <w:p>
            <w:pPr>
              <w:pStyle w:val="30"/>
              <w:spacing w:before="192"/>
              <w:ind w:left="121" w:right="112"/>
              <w:jc w:val="center"/>
              <w:rPr>
                <w:sz w:val="24"/>
              </w:rPr>
            </w:pPr>
          </w:p>
          <w:p>
            <w:pPr>
              <w:pStyle w:val="30"/>
              <w:spacing w:before="192"/>
              <w:ind w:left="121" w:right="112"/>
              <w:jc w:val="center"/>
              <w:rPr>
                <w:sz w:val="24"/>
              </w:rPr>
            </w:pPr>
          </w:p>
          <w:p>
            <w:pPr>
              <w:pStyle w:val="30"/>
              <w:spacing w:before="192"/>
              <w:ind w:left="121" w:right="112"/>
              <w:jc w:val="center"/>
              <w:rPr>
                <w:sz w:val="24"/>
              </w:rPr>
            </w:pPr>
          </w:p>
          <w:p>
            <w:pPr>
              <w:pStyle w:val="30"/>
              <w:spacing w:before="192"/>
              <w:ind w:left="121" w:right="112"/>
              <w:jc w:val="center"/>
              <w:rPr>
                <w:sz w:val="24"/>
              </w:rPr>
            </w:pPr>
          </w:p>
          <w:p>
            <w:pPr>
              <w:pStyle w:val="30"/>
              <w:spacing w:before="192"/>
              <w:ind w:left="121" w:right="112"/>
              <w:jc w:val="center"/>
              <w:rPr>
                <w:sz w:val="24"/>
              </w:rPr>
            </w:pPr>
          </w:p>
          <w:p>
            <w:pPr>
              <w:pStyle w:val="30"/>
              <w:spacing w:before="192"/>
              <w:ind w:left="121" w:right="112"/>
              <w:jc w:val="center"/>
              <w:rPr>
                <w:sz w:val="24"/>
              </w:rPr>
            </w:pPr>
          </w:p>
          <w:p>
            <w:pPr>
              <w:pStyle w:val="30"/>
              <w:spacing w:before="192"/>
              <w:ind w:left="121" w:right="112"/>
              <w:jc w:val="center"/>
              <w:rPr>
                <w:sz w:val="24"/>
              </w:rPr>
            </w:pPr>
          </w:p>
          <w:p>
            <w:pPr>
              <w:pStyle w:val="30"/>
              <w:spacing w:before="192"/>
              <w:ind w:left="121" w:right="112"/>
              <w:jc w:val="center"/>
              <w:rPr>
                <w:sz w:val="24"/>
              </w:rPr>
            </w:pPr>
          </w:p>
          <w:p>
            <w:pPr>
              <w:pStyle w:val="30"/>
              <w:spacing w:before="192"/>
              <w:ind w:left="121" w:right="112"/>
              <w:jc w:val="center"/>
              <w:rPr>
                <w:sz w:val="24"/>
              </w:rPr>
            </w:pPr>
            <w:r>
              <w:rPr>
                <w:sz w:val="24"/>
              </w:rPr>
              <w:t>14</w:t>
            </w:r>
          </w:p>
        </w:tc>
        <w:tc>
          <w:tcPr>
            <w:tcW w:w="2587" w:type="dxa"/>
            <w:vAlign w:val="top"/>
          </w:tcPr>
          <w:p>
            <w:pPr>
              <w:pStyle w:val="30"/>
              <w:rPr>
                <w:rFonts w:ascii="黑体"/>
                <w:sz w:val="24"/>
              </w:rPr>
            </w:pPr>
          </w:p>
          <w:p>
            <w:pPr>
              <w:pStyle w:val="30"/>
              <w:spacing w:before="192"/>
              <w:ind w:left="107"/>
              <w:rPr>
                <w:rFonts w:hint="eastAsia"/>
                <w:sz w:val="24"/>
                <w:lang w:val="en-US" w:eastAsia="zh-CN"/>
              </w:rPr>
            </w:pPr>
          </w:p>
          <w:p>
            <w:pPr>
              <w:pStyle w:val="30"/>
              <w:spacing w:before="192"/>
              <w:ind w:left="107"/>
              <w:rPr>
                <w:rFonts w:hint="eastAsia"/>
                <w:sz w:val="24"/>
                <w:lang w:val="en-US" w:eastAsia="zh-CN"/>
              </w:rPr>
            </w:pPr>
          </w:p>
          <w:p>
            <w:pPr>
              <w:pStyle w:val="30"/>
              <w:spacing w:before="192"/>
              <w:ind w:left="107"/>
              <w:rPr>
                <w:rFonts w:hint="eastAsia"/>
                <w:sz w:val="24"/>
                <w:lang w:val="en-US" w:eastAsia="zh-CN"/>
              </w:rPr>
            </w:pPr>
          </w:p>
          <w:p>
            <w:pPr>
              <w:pStyle w:val="30"/>
              <w:spacing w:before="192"/>
              <w:ind w:left="107"/>
              <w:rPr>
                <w:rFonts w:hint="eastAsia"/>
                <w:sz w:val="24"/>
                <w:lang w:val="en-US" w:eastAsia="zh-CN"/>
              </w:rPr>
            </w:pPr>
          </w:p>
          <w:p>
            <w:pPr>
              <w:pStyle w:val="30"/>
              <w:spacing w:before="192"/>
              <w:ind w:left="107"/>
              <w:rPr>
                <w:rFonts w:hint="eastAsia"/>
                <w:sz w:val="24"/>
                <w:lang w:val="en-US" w:eastAsia="zh-CN"/>
              </w:rPr>
            </w:pPr>
          </w:p>
          <w:p>
            <w:pPr>
              <w:pStyle w:val="30"/>
              <w:spacing w:before="192"/>
              <w:ind w:left="107"/>
              <w:rPr>
                <w:rFonts w:hint="eastAsia"/>
                <w:sz w:val="24"/>
                <w:lang w:val="en-US" w:eastAsia="zh-CN"/>
              </w:rPr>
            </w:pPr>
          </w:p>
          <w:p>
            <w:pPr>
              <w:pStyle w:val="30"/>
              <w:spacing w:before="192"/>
              <w:ind w:left="107"/>
              <w:rPr>
                <w:rFonts w:hint="eastAsia"/>
                <w:sz w:val="24"/>
                <w:lang w:val="en-US" w:eastAsia="zh-CN"/>
              </w:rPr>
            </w:pPr>
          </w:p>
          <w:p>
            <w:pPr>
              <w:pStyle w:val="30"/>
              <w:spacing w:before="192"/>
              <w:ind w:left="107"/>
              <w:rPr>
                <w:rFonts w:hint="eastAsia"/>
                <w:sz w:val="24"/>
                <w:lang w:val="en-US" w:eastAsia="zh-CN"/>
              </w:rPr>
            </w:pPr>
          </w:p>
          <w:p>
            <w:pPr>
              <w:pStyle w:val="30"/>
              <w:spacing w:before="192"/>
              <w:ind w:left="107"/>
              <w:rPr>
                <w:rFonts w:hint="default" w:eastAsia="仿宋"/>
                <w:sz w:val="24"/>
                <w:lang w:val="en-US" w:eastAsia="zh-CN"/>
              </w:rPr>
            </w:pPr>
            <w:r>
              <w:rPr>
                <w:rFonts w:hint="eastAsia"/>
                <w:sz w:val="24"/>
                <w:lang w:val="en-US" w:eastAsia="zh-CN"/>
              </w:rPr>
              <w:t>磋商保证金</w:t>
            </w:r>
          </w:p>
        </w:tc>
        <w:tc>
          <w:tcPr>
            <w:tcW w:w="5808" w:type="dxa"/>
            <w:vAlign w:val="top"/>
          </w:tcPr>
          <w:p>
            <w:pPr>
              <w:pStyle w:val="30"/>
              <w:spacing w:before="64" w:line="480" w:lineRule="auto"/>
              <w:ind w:left="107" w:right="33"/>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磋商</w:t>
            </w:r>
            <w:r>
              <w:rPr>
                <w:rFonts w:hint="eastAsia" w:ascii="仿宋" w:hAnsi="仿宋" w:eastAsia="仿宋" w:cs="仿宋"/>
                <w:b w:val="0"/>
                <w:bCs w:val="0"/>
                <w:color w:val="auto"/>
                <w:sz w:val="24"/>
                <w:szCs w:val="24"/>
              </w:rPr>
              <w:t>保证金：</w:t>
            </w:r>
            <w:r>
              <w:rPr>
                <w:rFonts w:hint="eastAsia" w:ascii="仿宋" w:hAnsi="仿宋" w:eastAsia="仿宋" w:cs="仿宋"/>
                <w:b w:val="0"/>
                <w:bCs w:val="0"/>
                <w:color w:val="auto"/>
                <w:sz w:val="24"/>
                <w:szCs w:val="24"/>
                <w:lang w:eastAsia="zh-CN"/>
              </w:rPr>
              <w:t>磋商保证金</w:t>
            </w:r>
            <w:r>
              <w:rPr>
                <w:rFonts w:hint="eastAsia" w:ascii="仿宋" w:hAnsi="仿宋" w:eastAsia="仿宋" w:cs="仿宋"/>
                <w:b w:val="0"/>
                <w:bCs w:val="0"/>
                <w:color w:val="auto"/>
                <w:sz w:val="24"/>
                <w:szCs w:val="24"/>
              </w:rPr>
              <w:t>金额：</w:t>
            </w:r>
            <w:r>
              <w:rPr>
                <w:rFonts w:hint="eastAsia" w:cs="仿宋"/>
                <w:b w:val="0"/>
                <w:bCs w:val="0"/>
                <w:color w:val="auto"/>
                <w:sz w:val="24"/>
                <w:szCs w:val="24"/>
                <w:lang w:val="en-US" w:eastAsia="zh-CN"/>
              </w:rPr>
              <w:t>8</w:t>
            </w:r>
            <w:r>
              <w:rPr>
                <w:rFonts w:hint="eastAsia" w:ascii="仿宋" w:hAnsi="仿宋" w:eastAsia="仿宋" w:cs="仿宋"/>
                <w:b w:val="0"/>
                <w:bCs w:val="0"/>
                <w:color w:val="auto"/>
                <w:sz w:val="24"/>
                <w:szCs w:val="24"/>
                <w:lang w:val="en-US" w:eastAsia="zh-CN"/>
              </w:rPr>
              <w:t>000</w:t>
            </w:r>
            <w:r>
              <w:rPr>
                <w:rFonts w:hint="eastAsia" w:ascii="仿宋" w:hAnsi="仿宋" w:eastAsia="仿宋" w:cs="仿宋"/>
                <w:b w:val="0"/>
                <w:bCs w:val="0"/>
                <w:color w:val="auto"/>
                <w:sz w:val="24"/>
                <w:szCs w:val="24"/>
              </w:rPr>
              <w:t>元</w:t>
            </w:r>
            <w:r>
              <w:rPr>
                <w:rFonts w:hint="eastAsia" w:ascii="仿宋" w:hAnsi="仿宋" w:eastAsia="仿宋" w:cs="仿宋"/>
                <w:b w:val="0"/>
                <w:bCs w:val="0"/>
                <w:color w:val="auto"/>
                <w:sz w:val="24"/>
                <w:szCs w:val="24"/>
                <w:lang w:val="en-US" w:eastAsia="zh-CN"/>
              </w:rPr>
              <w:t>整。磋商保证金应当以支票、汇票、本票或者金融机构、担保机构出具的保函等非现金形式提交，若采用电汇或网银转账的，由潜在供应商单位基本账户汇至新疆沃图恒辉建设工程项目管理有限公司（1）开户名称：新疆沃图恒辉建设工程项目管理有限公司</w:t>
            </w:r>
          </w:p>
          <w:p>
            <w:pPr>
              <w:pStyle w:val="30"/>
              <w:spacing w:before="64" w:line="480" w:lineRule="auto"/>
              <w:ind w:left="107" w:right="33"/>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（2）开户银行：中国工商银行股份有限公司乌鲁木齐水磨沟</w:t>
            </w:r>
            <w:r>
              <w:rPr>
                <w:rFonts w:hint="eastAsia" w:cs="仿宋"/>
                <w:b w:val="0"/>
                <w:bCs w:val="0"/>
                <w:color w:val="auto"/>
                <w:sz w:val="24"/>
                <w:szCs w:val="24"/>
                <w:lang w:val="en-US" w:eastAsia="zh-CN"/>
              </w:rPr>
              <w:t>区</w:t>
            </w:r>
            <w:r>
              <w:rPr>
                <w:rFonts w:hint="eastAsia" w:ascii="仿宋" w:hAnsi="仿宋" w:eastAsia="仿宋" w:cs="仿宋"/>
                <w:b w:val="0"/>
                <w:bCs w:val="0"/>
                <w:color w:val="auto"/>
                <w:sz w:val="24"/>
                <w:szCs w:val="24"/>
                <w:lang w:val="en-US" w:eastAsia="zh-CN"/>
              </w:rPr>
              <w:t>支行</w:t>
            </w:r>
          </w:p>
          <w:p>
            <w:pPr>
              <w:pStyle w:val="30"/>
              <w:spacing w:before="64" w:line="480" w:lineRule="auto"/>
              <w:ind w:left="107" w:right="33"/>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（3）开户行行号：102881001634</w:t>
            </w:r>
          </w:p>
          <w:p>
            <w:pPr>
              <w:pStyle w:val="30"/>
              <w:spacing w:before="64" w:line="480" w:lineRule="auto"/>
              <w:ind w:left="107" w:right="33"/>
              <w:rPr>
                <w:b w:val="0"/>
                <w:bCs w:val="0"/>
                <w:sz w:val="24"/>
              </w:rPr>
            </w:pPr>
            <w:r>
              <w:rPr>
                <w:rFonts w:hint="eastAsia" w:ascii="仿宋" w:hAnsi="仿宋" w:eastAsia="仿宋" w:cs="仿宋"/>
                <w:b w:val="0"/>
                <w:bCs w:val="0"/>
                <w:color w:val="auto"/>
                <w:sz w:val="24"/>
                <w:szCs w:val="24"/>
                <w:lang w:val="en-US" w:eastAsia="zh-CN"/>
              </w:rPr>
              <w:t>（4）账    号：3002016309200163095），潜在供应商在缴纳磋商保证金时，需在进账凭证上明确资金用途和投标项目名称，并注明联系人及电话，以便查对核实。供应商应充分考虑资金到账时间，在规定的时限前自行办妥磋商保证金缴纳手续，磋商保证金的缴付时间以电汇凭证和网银对账单上的时间为准，超过缴纳的时限缴纳磋商保证金视为投标无效。磋商保证金的缴纳结束时间（2022年</w:t>
            </w:r>
            <w:r>
              <w:rPr>
                <w:rFonts w:hint="eastAsia" w:cs="仿宋"/>
                <w:b w:val="0"/>
                <w:bCs w:val="0"/>
                <w:color w:val="auto"/>
                <w:sz w:val="24"/>
                <w:szCs w:val="24"/>
                <w:lang w:val="en-US" w:eastAsia="zh-CN"/>
              </w:rPr>
              <w:t>5</w:t>
            </w:r>
            <w:r>
              <w:rPr>
                <w:rFonts w:hint="eastAsia" w:ascii="仿宋" w:hAnsi="仿宋" w:eastAsia="仿宋" w:cs="仿宋"/>
                <w:b w:val="0"/>
                <w:bCs w:val="0"/>
                <w:color w:val="auto"/>
                <w:sz w:val="24"/>
                <w:szCs w:val="24"/>
                <w:lang w:val="en-US" w:eastAsia="zh-CN"/>
              </w:rPr>
              <w:t>月</w:t>
            </w:r>
            <w:r>
              <w:rPr>
                <w:rFonts w:hint="eastAsia" w:cs="仿宋"/>
                <w:b w:val="0"/>
                <w:bCs w:val="0"/>
                <w:color w:val="auto"/>
                <w:sz w:val="24"/>
                <w:szCs w:val="24"/>
                <w:lang w:val="en-US" w:eastAsia="zh-CN"/>
              </w:rPr>
              <w:t>7</w:t>
            </w:r>
            <w:r>
              <w:rPr>
                <w:rFonts w:hint="eastAsia" w:ascii="仿宋" w:hAnsi="仿宋" w:eastAsia="仿宋" w:cs="仿宋"/>
                <w:b w:val="0"/>
                <w:bCs w:val="0"/>
                <w:color w:val="auto"/>
                <w:sz w:val="24"/>
                <w:szCs w:val="24"/>
                <w:lang w:val="en-US" w:eastAsia="zh-CN"/>
              </w:rPr>
              <w:t>日</w:t>
            </w:r>
            <w:r>
              <w:rPr>
                <w:rFonts w:hint="eastAsia" w:cs="仿宋"/>
                <w:b w:val="0"/>
                <w:bCs w:val="0"/>
                <w:color w:val="auto"/>
                <w:sz w:val="24"/>
                <w:szCs w:val="24"/>
                <w:lang w:val="en-US" w:eastAsia="zh-CN"/>
              </w:rPr>
              <w:t>上午</w:t>
            </w:r>
            <w:r>
              <w:rPr>
                <w:rFonts w:hint="eastAsia" w:ascii="仿宋" w:hAnsi="仿宋" w:eastAsia="仿宋" w:cs="仿宋"/>
                <w:b w:val="0"/>
                <w:bCs w:val="0"/>
                <w:color w:val="auto"/>
                <w:sz w:val="24"/>
                <w:szCs w:val="24"/>
                <w:lang w:val="en-US" w:eastAsia="zh-CN"/>
              </w:rPr>
              <w:t>1</w:t>
            </w:r>
            <w:r>
              <w:rPr>
                <w:rFonts w:hint="eastAsia" w:cs="仿宋"/>
                <w:b w:val="0"/>
                <w:bCs w:val="0"/>
                <w:color w:val="auto"/>
                <w:sz w:val="24"/>
                <w:szCs w:val="24"/>
                <w:lang w:val="en-US" w:eastAsia="zh-CN"/>
              </w:rPr>
              <w:t>1</w:t>
            </w:r>
            <w:r>
              <w:rPr>
                <w:rFonts w:hint="eastAsia" w:ascii="仿宋" w:hAnsi="仿宋" w:eastAsia="仿宋" w:cs="仿宋"/>
                <w:b w:val="0"/>
                <w:bCs w:val="0"/>
                <w:color w:val="auto"/>
                <w:sz w:val="24"/>
                <w:szCs w:val="24"/>
                <w:lang w:val="en-US" w:eastAsia="zh-CN"/>
              </w:rPr>
              <w:t>:00时）。</w:t>
            </w:r>
          </w:p>
        </w:tc>
      </w:tr>
    </w:tbl>
    <w:p>
      <w:pPr>
        <w:spacing w:after="0" w:line="240" w:lineRule="auto"/>
        <w:rPr>
          <w:sz w:val="24"/>
        </w:rPr>
        <w:sectPr>
          <w:footerReference r:id="rId6" w:type="default"/>
          <w:pgSz w:w="11910" w:h="16840"/>
          <w:pgMar w:top="1480" w:right="940" w:bottom="1180" w:left="940" w:header="0" w:footer="920" w:gutter="0"/>
          <w:pgBorders>
            <w:top w:val="none" w:sz="0" w:space="0"/>
            <w:left w:val="none" w:sz="0" w:space="0"/>
            <w:bottom w:val="none" w:sz="0" w:space="0"/>
            <w:right w:val="none" w:sz="0" w:space="0"/>
          </w:pgBorders>
          <w:pgNumType w:fmt="decimal" w:start="1"/>
          <w:cols w:space="720" w:num="1"/>
        </w:sectPr>
      </w:pPr>
    </w:p>
    <w:tbl>
      <w:tblPr>
        <w:tblStyle w:val="23"/>
        <w:tblpPr w:leftFromText="180" w:rightFromText="180" w:vertAnchor="text" w:horzAnchor="page" w:tblpX="1310" w:tblpY="44"/>
        <w:tblOverlap w:val="never"/>
        <w:tblW w:w="91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764" w:type="dxa"/>
            <w:vAlign w:val="top"/>
          </w:tcPr>
          <w:p>
            <w:pPr>
              <w:pStyle w:val="30"/>
              <w:spacing w:before="5"/>
              <w:rPr>
                <w:sz w:val="24"/>
              </w:rPr>
            </w:pPr>
          </w:p>
          <w:p>
            <w:pPr>
              <w:pStyle w:val="30"/>
              <w:ind w:right="250"/>
              <w:jc w:val="right"/>
              <w:rPr>
                <w:sz w:val="24"/>
              </w:rPr>
            </w:pPr>
            <w:r>
              <w:rPr>
                <w:sz w:val="24"/>
              </w:rPr>
              <w:t>15</w:t>
            </w:r>
          </w:p>
        </w:tc>
        <w:tc>
          <w:tcPr>
            <w:tcW w:w="2587" w:type="dxa"/>
            <w:vAlign w:val="top"/>
          </w:tcPr>
          <w:p>
            <w:pPr>
              <w:pStyle w:val="30"/>
              <w:spacing w:before="5"/>
              <w:rPr>
                <w:sz w:val="24"/>
              </w:rPr>
            </w:pPr>
          </w:p>
          <w:p>
            <w:pPr>
              <w:pStyle w:val="30"/>
              <w:rPr>
                <w:sz w:val="24"/>
              </w:rPr>
            </w:pPr>
            <w:r>
              <w:rPr>
                <w:sz w:val="24"/>
              </w:rPr>
              <w:t>采购代理服务费支付</w:t>
            </w:r>
          </w:p>
        </w:tc>
        <w:tc>
          <w:tcPr>
            <w:tcW w:w="5808" w:type="dxa"/>
            <w:vAlign w:val="top"/>
          </w:tcPr>
          <w:p>
            <w:pPr>
              <w:pStyle w:val="30"/>
              <w:spacing w:before="97"/>
              <w:ind w:left="107"/>
              <w:rPr>
                <w:sz w:val="24"/>
              </w:rPr>
            </w:pPr>
            <w:r>
              <w:rPr>
                <w:sz w:val="24"/>
              </w:rPr>
              <w:t>□ 由采购人支付</w:t>
            </w:r>
          </w:p>
          <w:p>
            <w:pPr>
              <w:pStyle w:val="30"/>
              <w:tabs>
                <w:tab w:val="left" w:pos="561"/>
              </w:tabs>
              <w:spacing w:before="127"/>
              <w:ind w:left="107"/>
              <w:rPr>
                <w:sz w:val="24"/>
              </w:rPr>
            </w:pPr>
            <w:r>
              <w:rPr>
                <w:rFonts w:ascii="Wingdings" w:hAnsi="Wingdings" w:eastAsia="Wingdings"/>
                <w:sz w:val="24"/>
              </w:rPr>
              <w:t></w:t>
            </w:r>
            <w:r>
              <w:rPr>
                <w:rFonts w:ascii="Times New Roman" w:hAnsi="Times New Roman" w:eastAsia="Times New Roman"/>
                <w:sz w:val="24"/>
              </w:rPr>
              <w:tab/>
            </w:r>
            <w:r>
              <w:rPr>
                <w:sz w:val="24"/>
              </w:rPr>
              <w:t>由成交供应商支付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764" w:type="dxa"/>
            <w:vAlign w:val="top"/>
          </w:tcPr>
          <w:p>
            <w:pPr>
              <w:pStyle w:val="30"/>
              <w:rPr>
                <w:sz w:val="22"/>
              </w:rPr>
            </w:pPr>
          </w:p>
          <w:p>
            <w:pPr>
              <w:pStyle w:val="30"/>
              <w:ind w:right="250"/>
              <w:jc w:val="right"/>
              <w:rPr>
                <w:sz w:val="24"/>
              </w:rPr>
            </w:pPr>
            <w:r>
              <w:rPr>
                <w:sz w:val="24"/>
              </w:rPr>
              <w:t>16</w:t>
            </w:r>
          </w:p>
        </w:tc>
        <w:tc>
          <w:tcPr>
            <w:tcW w:w="2587" w:type="dxa"/>
            <w:vAlign w:val="top"/>
          </w:tcPr>
          <w:p>
            <w:pPr>
              <w:pStyle w:val="30"/>
              <w:spacing w:before="32" w:line="370" w:lineRule="atLeast"/>
              <w:ind w:right="96"/>
              <w:rPr>
                <w:sz w:val="24"/>
              </w:rPr>
            </w:pPr>
            <w:r>
              <w:rPr>
                <w:sz w:val="24"/>
              </w:rPr>
              <w:t>构成采购文件的其他材料</w:t>
            </w:r>
          </w:p>
        </w:tc>
        <w:tc>
          <w:tcPr>
            <w:tcW w:w="5808" w:type="dxa"/>
            <w:vAlign w:val="top"/>
          </w:tcPr>
          <w:p>
            <w:pPr>
              <w:pStyle w:val="30"/>
              <w:rPr>
                <w:sz w:val="22"/>
              </w:rPr>
            </w:pPr>
          </w:p>
          <w:p>
            <w:pPr>
              <w:pStyle w:val="30"/>
              <w:ind w:left="107"/>
              <w:rPr>
                <w:sz w:val="24"/>
              </w:rPr>
            </w:pPr>
            <w:r>
              <w:rPr>
                <w:sz w:val="24"/>
              </w:rPr>
              <w:t>补充文件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764" w:type="dxa"/>
            <w:vAlign w:val="top"/>
          </w:tcPr>
          <w:p>
            <w:pPr>
              <w:pStyle w:val="30"/>
              <w:rPr>
                <w:sz w:val="22"/>
              </w:rPr>
            </w:pPr>
          </w:p>
          <w:p>
            <w:pPr>
              <w:pStyle w:val="30"/>
              <w:ind w:right="250"/>
              <w:jc w:val="right"/>
              <w:rPr>
                <w:sz w:val="24"/>
              </w:rPr>
            </w:pPr>
            <w:r>
              <w:rPr>
                <w:sz w:val="24"/>
              </w:rPr>
              <w:t>17</w:t>
            </w:r>
          </w:p>
        </w:tc>
        <w:tc>
          <w:tcPr>
            <w:tcW w:w="2587" w:type="dxa"/>
            <w:vAlign w:val="top"/>
          </w:tcPr>
          <w:p>
            <w:pPr>
              <w:pStyle w:val="30"/>
              <w:spacing w:before="34" w:line="370" w:lineRule="atLeast"/>
              <w:ind w:right="96"/>
              <w:rPr>
                <w:sz w:val="24"/>
              </w:rPr>
            </w:pPr>
            <w:r>
              <w:rPr>
                <w:sz w:val="24"/>
              </w:rPr>
              <w:t>供应商要求澄清采购文件的截止时间</w:t>
            </w:r>
          </w:p>
        </w:tc>
        <w:tc>
          <w:tcPr>
            <w:tcW w:w="5808" w:type="dxa"/>
            <w:vAlign w:val="top"/>
          </w:tcPr>
          <w:p>
            <w:pPr>
              <w:pStyle w:val="30"/>
              <w:rPr>
                <w:sz w:val="22"/>
              </w:rPr>
            </w:pPr>
          </w:p>
          <w:p>
            <w:pPr>
              <w:pStyle w:val="30"/>
              <w:ind w:left="107"/>
              <w:rPr>
                <w:sz w:val="24"/>
              </w:rPr>
            </w:pPr>
            <w:r>
              <w:rPr>
                <w:sz w:val="24"/>
              </w:rPr>
              <w:t xml:space="preserve">采购文件发售截止之日 </w:t>
            </w:r>
            <w:r>
              <w:rPr>
                <w:rFonts w:hint="eastAsia"/>
                <w:sz w:val="24"/>
                <w:lang w:val="en-US" w:eastAsia="zh-CN"/>
              </w:rPr>
              <w:t>19</w:t>
            </w:r>
            <w:r>
              <w:rPr>
                <w:sz w:val="24"/>
              </w:rPr>
              <w:t>点前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64" w:type="dxa"/>
            <w:vAlign w:val="top"/>
          </w:tcPr>
          <w:p>
            <w:pPr>
              <w:pStyle w:val="30"/>
              <w:rPr>
                <w:sz w:val="24"/>
              </w:rPr>
            </w:pPr>
          </w:p>
          <w:p>
            <w:pPr>
              <w:pStyle w:val="30"/>
              <w:spacing w:before="161"/>
              <w:ind w:right="250"/>
              <w:jc w:val="right"/>
              <w:rPr>
                <w:sz w:val="24"/>
              </w:rPr>
            </w:pPr>
            <w:r>
              <w:rPr>
                <w:sz w:val="24"/>
              </w:rPr>
              <w:t>18</w:t>
            </w:r>
          </w:p>
        </w:tc>
        <w:tc>
          <w:tcPr>
            <w:tcW w:w="2587" w:type="dxa"/>
            <w:vAlign w:val="top"/>
          </w:tcPr>
          <w:p>
            <w:pPr>
              <w:pStyle w:val="30"/>
              <w:spacing w:before="32" w:line="370" w:lineRule="atLeast"/>
              <w:ind w:right="96"/>
              <w:jc w:val="both"/>
              <w:rPr>
                <w:sz w:val="24"/>
              </w:rPr>
            </w:pPr>
            <w:r>
              <w:rPr>
                <w:sz w:val="24"/>
              </w:rPr>
              <w:t>供应商确认收到采购文件澄清或修改的时间</w:t>
            </w:r>
          </w:p>
        </w:tc>
        <w:tc>
          <w:tcPr>
            <w:tcW w:w="5808" w:type="dxa"/>
            <w:vAlign w:val="top"/>
          </w:tcPr>
          <w:p>
            <w:pPr>
              <w:pStyle w:val="30"/>
              <w:rPr>
                <w:sz w:val="24"/>
              </w:rPr>
            </w:pPr>
          </w:p>
          <w:p>
            <w:pPr>
              <w:pStyle w:val="30"/>
              <w:spacing w:before="161"/>
              <w:ind w:left="107"/>
              <w:rPr>
                <w:sz w:val="24"/>
              </w:rPr>
            </w:pPr>
            <w:r>
              <w:rPr>
                <w:sz w:val="24"/>
              </w:rPr>
              <w:t>从补充文件发布时间开始 48 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6" w:hRule="atLeast"/>
        </w:trPr>
        <w:tc>
          <w:tcPr>
            <w:tcW w:w="764" w:type="dxa"/>
            <w:tcFitText/>
            <w:vAlign w:val="top"/>
          </w:tcPr>
          <w:p>
            <w:pPr>
              <w:pStyle w:val="30"/>
              <w:ind w:left="0" w:leftChars="0"/>
              <w:rPr>
                <w:sz w:val="24"/>
              </w:rPr>
            </w:pPr>
          </w:p>
          <w:p>
            <w:pPr>
              <w:pStyle w:val="30"/>
              <w:ind w:left="0" w:leftChars="0"/>
              <w:rPr>
                <w:sz w:val="24"/>
              </w:rPr>
            </w:pPr>
          </w:p>
          <w:p>
            <w:pPr>
              <w:pStyle w:val="30"/>
              <w:ind w:left="0" w:leftChars="0"/>
              <w:rPr>
                <w:sz w:val="24"/>
              </w:rPr>
            </w:pPr>
          </w:p>
          <w:p>
            <w:pPr>
              <w:pStyle w:val="30"/>
              <w:ind w:left="0" w:leftChars="0"/>
              <w:rPr>
                <w:sz w:val="24"/>
              </w:rPr>
            </w:pPr>
          </w:p>
          <w:p>
            <w:pPr>
              <w:pStyle w:val="30"/>
              <w:ind w:left="0" w:leftChars="0"/>
              <w:rPr>
                <w:sz w:val="24"/>
              </w:rPr>
            </w:pPr>
          </w:p>
          <w:p>
            <w:pPr>
              <w:pStyle w:val="30"/>
              <w:ind w:left="0" w:leftChars="0"/>
              <w:rPr>
                <w:sz w:val="24"/>
              </w:rPr>
            </w:pPr>
          </w:p>
          <w:p>
            <w:pPr>
              <w:pStyle w:val="30"/>
              <w:ind w:left="0" w:leftChars="0"/>
              <w:rPr>
                <w:sz w:val="24"/>
              </w:rPr>
            </w:pPr>
          </w:p>
          <w:p>
            <w:pPr>
              <w:pStyle w:val="30"/>
              <w:ind w:left="0" w:leftChars="0"/>
              <w:rPr>
                <w:sz w:val="24"/>
              </w:rPr>
            </w:pPr>
          </w:p>
          <w:p>
            <w:pPr>
              <w:pStyle w:val="30"/>
              <w:ind w:left="0" w:leftChars="0"/>
              <w:rPr>
                <w:sz w:val="24"/>
              </w:rPr>
            </w:pPr>
          </w:p>
          <w:p>
            <w:pPr>
              <w:pStyle w:val="30"/>
              <w:ind w:left="0" w:leftChars="0"/>
              <w:rPr>
                <w:sz w:val="24"/>
              </w:rPr>
            </w:pPr>
          </w:p>
          <w:p>
            <w:pPr>
              <w:pStyle w:val="30"/>
              <w:ind w:left="0" w:leftChars="0"/>
              <w:rPr>
                <w:sz w:val="24"/>
              </w:rPr>
            </w:pPr>
          </w:p>
          <w:p>
            <w:pPr>
              <w:pStyle w:val="30"/>
              <w:ind w:left="0" w:leftChars="0"/>
              <w:rPr>
                <w:sz w:val="24"/>
              </w:rPr>
            </w:pPr>
          </w:p>
          <w:p>
            <w:pPr>
              <w:pStyle w:val="30"/>
              <w:spacing w:before="4"/>
              <w:ind w:left="0" w:leftChars="0"/>
              <w:rPr>
                <w:sz w:val="29"/>
              </w:rPr>
            </w:pPr>
          </w:p>
          <w:p>
            <w:pPr>
              <w:pStyle w:val="30"/>
              <w:ind w:left="0" w:leftChars="0" w:right="250"/>
              <w:jc w:val="right"/>
              <w:rPr>
                <w:sz w:val="24"/>
              </w:rPr>
            </w:pPr>
            <w:r>
              <w:rPr>
                <w:sz w:val="24"/>
              </w:rPr>
              <w:t>19</w:t>
            </w:r>
          </w:p>
        </w:tc>
        <w:tc>
          <w:tcPr>
            <w:tcW w:w="2587" w:type="dxa"/>
            <w:tcFitText/>
            <w:vAlign w:val="top"/>
          </w:tcPr>
          <w:p>
            <w:pPr>
              <w:pStyle w:val="30"/>
              <w:ind w:left="0" w:leftChars="0"/>
              <w:rPr>
                <w:sz w:val="24"/>
              </w:rPr>
            </w:pPr>
          </w:p>
          <w:p>
            <w:pPr>
              <w:pStyle w:val="30"/>
              <w:ind w:left="0" w:leftChars="0"/>
              <w:rPr>
                <w:sz w:val="24"/>
              </w:rPr>
            </w:pPr>
          </w:p>
          <w:p>
            <w:pPr>
              <w:pStyle w:val="30"/>
              <w:ind w:left="0" w:leftChars="0"/>
              <w:rPr>
                <w:sz w:val="24"/>
              </w:rPr>
            </w:pPr>
          </w:p>
          <w:p>
            <w:pPr>
              <w:pStyle w:val="30"/>
              <w:ind w:left="0" w:leftChars="0"/>
              <w:rPr>
                <w:sz w:val="24"/>
              </w:rPr>
            </w:pPr>
          </w:p>
          <w:p>
            <w:pPr>
              <w:pStyle w:val="30"/>
              <w:ind w:left="0" w:leftChars="0"/>
              <w:rPr>
                <w:sz w:val="24"/>
              </w:rPr>
            </w:pPr>
          </w:p>
          <w:p>
            <w:pPr>
              <w:pStyle w:val="30"/>
              <w:ind w:left="0" w:leftChars="0"/>
              <w:rPr>
                <w:sz w:val="24"/>
              </w:rPr>
            </w:pPr>
          </w:p>
          <w:p>
            <w:pPr>
              <w:pStyle w:val="30"/>
              <w:ind w:left="0" w:leftChars="0"/>
              <w:rPr>
                <w:sz w:val="24"/>
              </w:rPr>
            </w:pPr>
          </w:p>
          <w:p>
            <w:pPr>
              <w:pStyle w:val="30"/>
              <w:ind w:left="0" w:leftChars="0"/>
              <w:rPr>
                <w:sz w:val="24"/>
              </w:rPr>
            </w:pPr>
          </w:p>
          <w:p>
            <w:pPr>
              <w:pStyle w:val="30"/>
              <w:spacing w:before="4"/>
              <w:ind w:left="0" w:leftChars="0"/>
              <w:rPr>
                <w:sz w:val="29"/>
              </w:rPr>
            </w:pPr>
          </w:p>
          <w:p>
            <w:pPr>
              <w:pStyle w:val="30"/>
              <w:ind w:left="107" w:leftChars="0"/>
              <w:rPr>
                <w:sz w:val="24"/>
              </w:rPr>
            </w:pPr>
          </w:p>
          <w:p>
            <w:pPr>
              <w:pStyle w:val="30"/>
              <w:ind w:left="107" w:leftChars="0"/>
              <w:rPr>
                <w:sz w:val="24"/>
              </w:rPr>
            </w:pPr>
          </w:p>
          <w:p>
            <w:pPr>
              <w:pStyle w:val="30"/>
              <w:ind w:left="107" w:leftChars="0"/>
              <w:rPr>
                <w:sz w:val="24"/>
              </w:rPr>
            </w:pPr>
          </w:p>
          <w:p>
            <w:pPr>
              <w:pStyle w:val="30"/>
              <w:ind w:left="107" w:leftChars="0"/>
              <w:rPr>
                <w:sz w:val="24"/>
              </w:rPr>
            </w:pPr>
          </w:p>
          <w:p>
            <w:pPr>
              <w:pStyle w:val="30"/>
              <w:ind w:left="107" w:leftChars="0"/>
              <w:rPr>
                <w:sz w:val="24"/>
              </w:rPr>
            </w:pPr>
            <w:r>
              <w:rPr>
                <w:sz w:val="24"/>
              </w:rPr>
              <w:t>供应商资格条件</w:t>
            </w:r>
          </w:p>
        </w:tc>
        <w:tc>
          <w:tcPr>
            <w:tcW w:w="5808" w:type="dxa"/>
            <w:tcFitText/>
            <w:vAlign w:val="top"/>
          </w:tcPr>
          <w:p>
            <w:pPr>
              <w:pStyle w:val="30"/>
              <w:numPr>
                <w:ilvl w:val="0"/>
                <w:numId w:val="0"/>
              </w:numPr>
              <w:spacing w:line="240" w:lineRule="auto"/>
              <w:ind w:left="107" w:leftChars="0" w:right="0" w:rightChars="0"/>
              <w:rPr>
                <w:rFonts w:hint="eastAsia" w:eastAsia="仿宋"/>
                <w:spacing w:val="0"/>
                <w:sz w:val="24"/>
                <w:lang w:val="en-US" w:eastAsia="zh-CN"/>
              </w:rPr>
            </w:pPr>
          </w:p>
          <w:p>
            <w:pPr>
              <w:pStyle w:val="30"/>
              <w:numPr>
                <w:ilvl w:val="0"/>
                <w:numId w:val="0"/>
              </w:numPr>
              <w:spacing w:line="480" w:lineRule="auto"/>
              <w:ind w:right="0" w:rightChars="0"/>
              <w:rPr>
                <w:rFonts w:hint="default" w:eastAsia="仿宋"/>
                <w:spacing w:val="0"/>
                <w:sz w:val="24"/>
                <w:lang w:val="en-US" w:eastAsia="zh-CN"/>
              </w:rPr>
            </w:pPr>
            <w:r>
              <w:rPr>
                <w:rFonts w:hint="eastAsia"/>
                <w:spacing w:val="0"/>
                <w:sz w:val="24"/>
                <w:lang w:val="en-US" w:eastAsia="zh-CN"/>
              </w:rPr>
              <w:t>供应商资格要求：</w:t>
            </w:r>
          </w:p>
          <w:p>
            <w:pPr>
              <w:pStyle w:val="30"/>
              <w:numPr>
                <w:ilvl w:val="0"/>
                <w:numId w:val="0"/>
              </w:numPr>
              <w:spacing w:line="360" w:lineRule="auto"/>
              <w:ind w:right="0" w:rightChars="0"/>
              <w:rPr>
                <w:rFonts w:hint="eastAsia" w:eastAsia="仿宋"/>
                <w:spacing w:val="0"/>
                <w:sz w:val="24"/>
                <w:lang w:val="en-US" w:eastAsia="zh-CN"/>
              </w:rPr>
            </w:pPr>
            <w:r>
              <w:rPr>
                <w:rFonts w:hint="eastAsia"/>
                <w:b/>
                <w:bCs/>
                <w:spacing w:val="0"/>
                <w:sz w:val="24"/>
                <w:lang w:val="en-US" w:eastAsia="zh-CN"/>
              </w:rPr>
              <w:t>1.</w:t>
            </w:r>
            <w:r>
              <w:rPr>
                <w:rFonts w:hint="eastAsia" w:eastAsia="仿宋"/>
                <w:b/>
                <w:bCs/>
                <w:spacing w:val="0"/>
                <w:sz w:val="24"/>
                <w:lang w:val="en-US" w:eastAsia="zh-CN"/>
              </w:rPr>
              <w:t>满足《中华人民共和国政府采购法》第二十二条规定；</w:t>
            </w:r>
            <w:r>
              <w:rPr>
                <w:rFonts w:hint="eastAsia" w:eastAsia="仿宋"/>
                <w:spacing w:val="0"/>
                <w:sz w:val="24"/>
                <w:lang w:val="en-US" w:eastAsia="zh-CN"/>
              </w:rPr>
              <w:t xml:space="preserve"> </w:t>
            </w:r>
          </w:p>
          <w:p>
            <w:pPr>
              <w:pStyle w:val="30"/>
              <w:numPr>
                <w:ilvl w:val="0"/>
                <w:numId w:val="0"/>
              </w:numPr>
              <w:spacing w:line="360" w:lineRule="auto"/>
              <w:ind w:right="0" w:rightChars="0"/>
              <w:rPr>
                <w:rFonts w:hint="eastAsia" w:eastAsia="仿宋"/>
                <w:b/>
                <w:bCs/>
                <w:spacing w:val="0"/>
                <w:sz w:val="24"/>
                <w:lang w:val="en-US" w:eastAsia="zh-CN"/>
              </w:rPr>
            </w:pPr>
            <w:r>
              <w:rPr>
                <w:rFonts w:hint="eastAsia"/>
                <w:b/>
                <w:bCs/>
                <w:spacing w:val="0"/>
                <w:sz w:val="24"/>
                <w:lang w:val="en-US" w:eastAsia="zh-CN"/>
              </w:rPr>
              <w:t>2</w:t>
            </w:r>
            <w:r>
              <w:rPr>
                <w:rFonts w:hint="eastAsia" w:eastAsia="仿宋"/>
                <w:b/>
                <w:bCs/>
                <w:spacing w:val="0"/>
                <w:sz w:val="24"/>
                <w:lang w:val="en-US" w:eastAsia="zh-CN"/>
              </w:rPr>
              <w:t>.落实政府采购政策需满足的资格要求：</w:t>
            </w:r>
          </w:p>
          <w:p>
            <w:pPr>
              <w:pStyle w:val="6"/>
              <w:spacing w:before="0" w:after="0" w:line="360" w:lineRule="auto"/>
              <w:ind w:left="0" w:leftChars="0" w:firstLine="0" w:firstLineChars="0"/>
              <w:rPr>
                <w:rFonts w:hint="eastAsia" w:ascii="仿宋" w:hAnsi="仿宋" w:eastAsia="仿宋" w:cs="仿宋"/>
                <w:spacing w:val="0"/>
                <w:sz w:val="24"/>
                <w:szCs w:val="22"/>
                <w:lang w:val="en-US" w:eastAsia="zh-CN" w:bidi="zh-CN"/>
              </w:rPr>
            </w:pPr>
            <w:r>
              <w:rPr>
                <w:rFonts w:hint="eastAsia" w:ascii="仿宋" w:hAnsi="仿宋" w:eastAsia="仿宋" w:cs="仿宋"/>
                <w:spacing w:val="0"/>
                <w:sz w:val="24"/>
                <w:szCs w:val="22"/>
                <w:lang w:val="en-US" w:eastAsia="zh-CN" w:bidi="zh-CN"/>
              </w:rPr>
              <w:t>2.1《新疆维吾尔自治区政府采购促进中小企业发展管理实施办法》（新财规〔2021〕6 号）；</w:t>
            </w:r>
          </w:p>
          <w:p>
            <w:pPr>
              <w:rPr>
                <w:rFonts w:hint="eastAsia" w:cs="仿宋"/>
                <w:spacing w:val="0"/>
                <w:sz w:val="24"/>
                <w:szCs w:val="22"/>
                <w:lang w:val="en-US" w:eastAsia="zh-CN" w:bidi="zh-CN"/>
              </w:rPr>
            </w:pPr>
            <w:r>
              <w:rPr>
                <w:rFonts w:hint="eastAsia" w:cs="仿宋"/>
                <w:spacing w:val="0"/>
                <w:sz w:val="24"/>
                <w:szCs w:val="22"/>
                <w:lang w:val="en-US" w:eastAsia="zh-CN" w:bidi="zh-CN"/>
              </w:rPr>
              <w:t>小微企业价格扣除幅度：价格给予 6%的扣除。</w:t>
            </w:r>
          </w:p>
          <w:p>
            <w:pPr>
              <w:pStyle w:val="2"/>
              <w:rPr>
                <w:rFonts w:hint="eastAsia"/>
                <w:lang w:val="en-US" w:eastAsia="zh-CN"/>
              </w:rPr>
            </w:pPr>
          </w:p>
          <w:p>
            <w:pPr>
              <w:pStyle w:val="6"/>
              <w:spacing w:before="0" w:after="0" w:line="360" w:lineRule="auto"/>
              <w:ind w:left="0" w:leftChars="0" w:firstLine="0" w:firstLineChars="0"/>
              <w:rPr>
                <w:rFonts w:hint="eastAsia" w:ascii="仿宋" w:hAnsi="仿宋" w:eastAsia="仿宋" w:cs="仿宋"/>
                <w:spacing w:val="0"/>
                <w:sz w:val="24"/>
                <w:szCs w:val="22"/>
                <w:lang w:val="en-US" w:eastAsia="zh-CN" w:bidi="zh-CN"/>
              </w:rPr>
            </w:pPr>
            <w:r>
              <w:rPr>
                <w:rFonts w:hint="eastAsia" w:ascii="仿宋" w:hAnsi="仿宋" w:eastAsia="仿宋" w:cs="仿宋"/>
                <w:spacing w:val="0"/>
                <w:sz w:val="24"/>
                <w:szCs w:val="22"/>
                <w:lang w:val="en-US" w:eastAsia="zh-CN" w:bidi="zh-CN"/>
              </w:rPr>
              <w:t>2.</w:t>
            </w:r>
            <w:r>
              <w:rPr>
                <w:rFonts w:hint="eastAsia" w:cs="仿宋"/>
                <w:spacing w:val="0"/>
                <w:sz w:val="24"/>
                <w:szCs w:val="22"/>
                <w:lang w:val="en-US" w:eastAsia="zh-CN" w:bidi="zh-CN"/>
              </w:rPr>
              <w:t>2</w:t>
            </w:r>
            <w:r>
              <w:rPr>
                <w:rFonts w:hint="eastAsia" w:ascii="仿宋" w:hAnsi="仿宋" w:eastAsia="仿宋" w:cs="仿宋"/>
                <w:spacing w:val="0"/>
                <w:sz w:val="24"/>
                <w:szCs w:val="22"/>
                <w:lang w:val="en-US" w:eastAsia="zh-CN" w:bidi="zh-CN"/>
              </w:rPr>
              <w:t>《关于调整优化节能产品、环境标志产品政府采购执行机制的通知》（财库〔2019）9 号）；</w:t>
            </w:r>
          </w:p>
          <w:p>
            <w:pPr>
              <w:pStyle w:val="6"/>
              <w:spacing w:before="0" w:after="0" w:line="360" w:lineRule="auto"/>
              <w:ind w:left="0" w:leftChars="0" w:firstLine="0" w:firstLineChars="0"/>
              <w:rPr>
                <w:rFonts w:hint="eastAsia" w:ascii="仿宋" w:hAnsi="仿宋" w:eastAsia="仿宋" w:cs="仿宋"/>
                <w:spacing w:val="0"/>
                <w:sz w:val="24"/>
                <w:szCs w:val="22"/>
                <w:lang w:val="en-US" w:eastAsia="zh-CN" w:bidi="zh-CN"/>
              </w:rPr>
            </w:pPr>
            <w:r>
              <w:rPr>
                <w:rFonts w:hint="eastAsia" w:ascii="仿宋" w:hAnsi="仿宋" w:eastAsia="仿宋" w:cs="仿宋"/>
                <w:spacing w:val="0"/>
                <w:sz w:val="24"/>
                <w:szCs w:val="22"/>
                <w:lang w:val="en-US" w:eastAsia="zh-CN" w:bidi="zh-CN"/>
              </w:rPr>
              <w:t>2.</w:t>
            </w:r>
            <w:r>
              <w:rPr>
                <w:rFonts w:hint="eastAsia" w:cs="仿宋"/>
                <w:spacing w:val="0"/>
                <w:sz w:val="24"/>
                <w:szCs w:val="22"/>
                <w:lang w:val="en-US" w:eastAsia="zh-CN" w:bidi="zh-CN"/>
              </w:rPr>
              <w:t>3</w:t>
            </w:r>
            <w:r>
              <w:rPr>
                <w:rFonts w:hint="eastAsia" w:ascii="仿宋" w:hAnsi="仿宋" w:eastAsia="仿宋" w:cs="仿宋"/>
                <w:spacing w:val="0"/>
                <w:sz w:val="24"/>
                <w:szCs w:val="22"/>
                <w:lang w:val="en-US" w:eastAsia="zh-CN" w:bidi="zh-CN"/>
              </w:rPr>
              <w:t>《财政部民政部中国残疾人联合会关于促进残疾人就业政府采购政策的通知》（财库〔2017〕141 号）。</w:t>
            </w:r>
          </w:p>
          <w:p>
            <w:pPr>
              <w:pStyle w:val="30"/>
              <w:numPr>
                <w:ilvl w:val="0"/>
                <w:numId w:val="0"/>
              </w:numPr>
              <w:spacing w:line="360" w:lineRule="auto"/>
              <w:ind w:right="0" w:rightChars="0"/>
              <w:rPr>
                <w:rFonts w:hint="eastAsia" w:ascii="仿宋" w:hAnsi="仿宋" w:eastAsia="仿宋" w:cs="仿宋"/>
                <w:b/>
                <w:bCs/>
                <w:spacing w:val="0"/>
                <w:sz w:val="24"/>
                <w:szCs w:val="22"/>
                <w:lang w:val="en-US" w:eastAsia="zh-CN" w:bidi="zh-CN"/>
              </w:rPr>
            </w:pPr>
            <w:r>
              <w:rPr>
                <w:rFonts w:hint="eastAsia" w:ascii="仿宋" w:hAnsi="仿宋" w:eastAsia="仿宋" w:cs="仿宋"/>
                <w:b/>
                <w:bCs/>
                <w:spacing w:val="0"/>
                <w:sz w:val="24"/>
                <w:szCs w:val="22"/>
                <w:lang w:val="en-US" w:eastAsia="zh-CN" w:bidi="zh-CN"/>
              </w:rPr>
              <w:t>3.本项目的特定资格要求：</w:t>
            </w:r>
          </w:p>
          <w:p>
            <w:pPr>
              <w:pStyle w:val="30"/>
              <w:numPr>
                <w:ilvl w:val="0"/>
                <w:numId w:val="0"/>
              </w:numPr>
              <w:spacing w:line="360" w:lineRule="auto"/>
              <w:ind w:right="0" w:rightChars="0"/>
              <w:rPr>
                <w:rFonts w:hint="eastAsia" w:eastAsia="仿宋"/>
                <w:spacing w:val="0"/>
                <w:sz w:val="24"/>
                <w:lang w:val="en-US" w:eastAsia="zh-CN"/>
              </w:rPr>
            </w:pPr>
            <w:r>
              <w:rPr>
                <w:rFonts w:hint="eastAsia"/>
                <w:spacing w:val="0"/>
                <w:sz w:val="24"/>
                <w:lang w:val="en-US" w:eastAsia="zh-CN"/>
              </w:rPr>
              <w:t>3.1</w:t>
            </w:r>
            <w:r>
              <w:rPr>
                <w:rFonts w:hint="eastAsia" w:eastAsia="仿宋"/>
                <w:spacing w:val="0"/>
                <w:sz w:val="24"/>
                <w:lang w:val="en-US" w:eastAsia="zh-CN"/>
              </w:rPr>
              <w:t xml:space="preserve">具备经市场监督管理局核准有效的营业执照（或事业单位法人证书）； </w:t>
            </w:r>
          </w:p>
          <w:p>
            <w:pPr>
              <w:pStyle w:val="30"/>
              <w:numPr>
                <w:ilvl w:val="0"/>
                <w:numId w:val="0"/>
              </w:numPr>
              <w:spacing w:line="360" w:lineRule="auto"/>
              <w:ind w:right="0" w:rightChars="0"/>
              <w:rPr>
                <w:rFonts w:hint="eastAsia" w:eastAsia="仿宋"/>
                <w:spacing w:val="0"/>
                <w:sz w:val="24"/>
                <w:lang w:val="en-US" w:eastAsia="zh-CN"/>
              </w:rPr>
            </w:pPr>
            <w:r>
              <w:rPr>
                <w:rFonts w:hint="eastAsia"/>
                <w:spacing w:val="0"/>
                <w:sz w:val="24"/>
                <w:lang w:val="en-US" w:eastAsia="zh-CN"/>
              </w:rPr>
              <w:t>3.2</w:t>
            </w:r>
            <w:r>
              <w:rPr>
                <w:rFonts w:hint="eastAsia" w:eastAsia="仿宋"/>
                <w:spacing w:val="0"/>
                <w:sz w:val="24"/>
                <w:lang w:val="en-US" w:eastAsia="zh-CN"/>
              </w:rPr>
              <w:t>投标单位需提供地质灾害治理工程勘查、设计乙级（含乙级）以上资质；</w:t>
            </w:r>
          </w:p>
          <w:p>
            <w:pPr>
              <w:pStyle w:val="30"/>
              <w:numPr>
                <w:ilvl w:val="0"/>
                <w:numId w:val="0"/>
              </w:numPr>
              <w:spacing w:line="360" w:lineRule="auto"/>
              <w:ind w:right="0" w:rightChars="0"/>
              <w:rPr>
                <w:rFonts w:hint="eastAsia" w:eastAsia="仿宋"/>
                <w:spacing w:val="0"/>
                <w:sz w:val="24"/>
                <w:lang w:val="en-US" w:eastAsia="zh-CN"/>
              </w:rPr>
            </w:pPr>
            <w:r>
              <w:rPr>
                <w:rFonts w:hint="eastAsia"/>
                <w:spacing w:val="0"/>
                <w:sz w:val="24"/>
                <w:lang w:val="en-US" w:eastAsia="zh-CN"/>
              </w:rPr>
              <w:t>3.3</w:t>
            </w:r>
            <w:r>
              <w:rPr>
                <w:rFonts w:hint="eastAsia" w:eastAsia="仿宋"/>
                <w:spacing w:val="0"/>
                <w:sz w:val="24"/>
                <w:lang w:val="en-US" w:eastAsia="zh-CN"/>
              </w:rPr>
              <w:t>由法人参标的需提供法人身份证明及法人身份证原件；或由委托人参标的需提供法定代表人授权委托书、委托人身份证（授权书需附法人身份证及委托人身份证复印件）；</w:t>
            </w:r>
          </w:p>
          <w:p>
            <w:pPr>
              <w:pStyle w:val="30"/>
              <w:numPr>
                <w:ilvl w:val="0"/>
                <w:numId w:val="0"/>
              </w:numPr>
              <w:spacing w:line="360" w:lineRule="auto"/>
              <w:ind w:right="0" w:rightChars="0"/>
              <w:rPr>
                <w:rFonts w:hint="eastAsia" w:eastAsia="仿宋"/>
                <w:spacing w:val="0"/>
                <w:sz w:val="24"/>
                <w:lang w:val="en-US" w:eastAsia="zh-CN"/>
              </w:rPr>
            </w:pPr>
            <w:r>
              <w:rPr>
                <w:rFonts w:hint="eastAsia"/>
                <w:spacing w:val="0"/>
                <w:sz w:val="24"/>
                <w:lang w:val="en-US" w:eastAsia="zh-CN"/>
              </w:rPr>
              <w:t>3.4</w:t>
            </w:r>
            <w:r>
              <w:rPr>
                <w:rFonts w:hint="eastAsia" w:eastAsia="仿宋"/>
                <w:spacing w:val="0"/>
                <w:sz w:val="24"/>
                <w:lang w:val="en-US" w:eastAsia="zh-CN"/>
              </w:rPr>
              <w:t>投标人须提供“信用中国”网站（WWW.creditchina.gov.cn）、中国政府采购网（www.ccgp.gov.cn）、国家 企业信用信息公示系统（http://www.gsxt.gov.cn）、中国裁判文书网 （http://wenshu.court.gov.cn）的查询结果，如被列入失信被执行人、重大税 收违法案件当事人名单、政府采购严重违法失信行为记录名单的（尚在处罚期内 的），将拒绝其参加本次采购活动；</w:t>
            </w:r>
          </w:p>
          <w:p>
            <w:pPr>
              <w:pStyle w:val="30"/>
              <w:numPr>
                <w:ilvl w:val="0"/>
                <w:numId w:val="0"/>
              </w:numPr>
              <w:spacing w:line="360" w:lineRule="auto"/>
              <w:ind w:right="0" w:rightChars="0"/>
              <w:rPr>
                <w:rFonts w:hint="eastAsia" w:eastAsia="仿宋"/>
                <w:spacing w:val="0"/>
                <w:sz w:val="24"/>
                <w:lang w:val="en-US" w:eastAsia="zh-CN"/>
              </w:rPr>
            </w:pPr>
            <w:r>
              <w:rPr>
                <w:rFonts w:hint="eastAsia"/>
                <w:spacing w:val="0"/>
                <w:sz w:val="24"/>
                <w:lang w:val="en-US" w:eastAsia="zh-CN"/>
              </w:rPr>
              <w:t>3.5</w:t>
            </w:r>
            <w:r>
              <w:rPr>
                <w:rFonts w:hint="eastAsia" w:eastAsia="仿宋"/>
                <w:spacing w:val="0"/>
                <w:sz w:val="24"/>
                <w:lang w:val="en-US" w:eastAsia="zh-CN"/>
              </w:rPr>
              <w:t>与采购人存在利害关系可能影响公正性的单位，不得参加投标。单位负责人为同一人或存在控股、管理关系的不同单位，不得参加同一标段投标，否则，相关投标均无效。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6" w:hRule="atLeast"/>
        </w:trPr>
        <w:tc>
          <w:tcPr>
            <w:tcW w:w="764" w:type="dxa"/>
            <w:tcFitText/>
            <w:vAlign w:val="top"/>
          </w:tcPr>
          <w:p>
            <w:pPr>
              <w:pStyle w:val="30"/>
              <w:ind w:left="0" w:leftChars="0" w:right="250"/>
              <w:jc w:val="right"/>
              <w:rPr>
                <w:rFonts w:hint="eastAsia"/>
                <w:spacing w:val="0"/>
                <w:sz w:val="24"/>
                <w:lang w:val="en-US" w:eastAsia="zh-CN"/>
              </w:rPr>
            </w:pPr>
          </w:p>
          <w:p>
            <w:pPr>
              <w:pStyle w:val="30"/>
              <w:ind w:left="0" w:leftChars="0" w:right="250"/>
              <w:jc w:val="right"/>
              <w:rPr>
                <w:rFonts w:hint="eastAsia"/>
                <w:spacing w:val="0"/>
                <w:sz w:val="24"/>
                <w:lang w:val="en-US" w:eastAsia="zh-CN"/>
              </w:rPr>
            </w:pPr>
          </w:p>
          <w:p>
            <w:pPr>
              <w:pStyle w:val="30"/>
              <w:ind w:left="0" w:leftChars="0" w:right="250"/>
              <w:jc w:val="right"/>
              <w:rPr>
                <w:rFonts w:hint="eastAsia"/>
                <w:spacing w:val="0"/>
                <w:sz w:val="24"/>
                <w:lang w:val="en-US" w:eastAsia="zh-CN"/>
              </w:rPr>
            </w:pPr>
          </w:p>
          <w:p>
            <w:pPr>
              <w:pStyle w:val="30"/>
              <w:ind w:left="0" w:leftChars="0" w:right="250"/>
              <w:jc w:val="right"/>
              <w:rPr>
                <w:rFonts w:hint="eastAsia"/>
                <w:spacing w:val="0"/>
                <w:sz w:val="24"/>
                <w:lang w:val="en-US" w:eastAsia="zh-CN"/>
              </w:rPr>
            </w:pPr>
          </w:p>
          <w:p>
            <w:pPr>
              <w:pStyle w:val="30"/>
              <w:ind w:left="0" w:leftChars="0" w:right="250"/>
              <w:jc w:val="right"/>
              <w:rPr>
                <w:rFonts w:hint="eastAsia"/>
                <w:spacing w:val="0"/>
                <w:sz w:val="24"/>
                <w:lang w:val="en-US" w:eastAsia="zh-CN"/>
              </w:rPr>
            </w:pPr>
          </w:p>
          <w:p>
            <w:pPr>
              <w:pStyle w:val="30"/>
              <w:ind w:left="0" w:leftChars="0" w:right="250"/>
              <w:jc w:val="right"/>
              <w:rPr>
                <w:rFonts w:hint="eastAsia"/>
                <w:spacing w:val="0"/>
                <w:sz w:val="24"/>
                <w:lang w:val="en-US" w:eastAsia="zh-CN"/>
              </w:rPr>
            </w:pPr>
          </w:p>
          <w:p>
            <w:pPr>
              <w:pStyle w:val="30"/>
              <w:ind w:left="0" w:leftChars="0" w:right="250"/>
              <w:jc w:val="right"/>
              <w:rPr>
                <w:rFonts w:hint="eastAsia"/>
                <w:spacing w:val="0"/>
                <w:sz w:val="24"/>
                <w:lang w:val="en-US" w:eastAsia="zh-CN"/>
              </w:rPr>
            </w:pPr>
          </w:p>
          <w:p>
            <w:pPr>
              <w:pStyle w:val="30"/>
              <w:ind w:left="0" w:leftChars="0" w:right="250"/>
              <w:jc w:val="right"/>
              <w:rPr>
                <w:rFonts w:hint="default" w:eastAsia="仿宋"/>
                <w:spacing w:val="0"/>
                <w:sz w:val="24"/>
                <w:lang w:val="en-US" w:eastAsia="zh-CN"/>
              </w:rPr>
            </w:pPr>
            <w:r>
              <w:rPr>
                <w:rFonts w:hint="eastAsia"/>
                <w:spacing w:val="0"/>
                <w:sz w:val="24"/>
                <w:lang w:val="en-US" w:eastAsia="zh-CN"/>
              </w:rPr>
              <w:t>20</w:t>
            </w:r>
          </w:p>
        </w:tc>
        <w:tc>
          <w:tcPr>
            <w:tcW w:w="2587" w:type="dxa"/>
            <w:tcFitText/>
            <w:vAlign w:val="top"/>
          </w:tcPr>
          <w:p>
            <w:pPr>
              <w:pStyle w:val="30"/>
              <w:rPr>
                <w:sz w:val="24"/>
              </w:rPr>
            </w:pPr>
          </w:p>
          <w:p>
            <w:pPr>
              <w:pStyle w:val="30"/>
              <w:rPr>
                <w:sz w:val="24"/>
              </w:rPr>
            </w:pPr>
          </w:p>
          <w:p>
            <w:pPr>
              <w:pStyle w:val="30"/>
              <w:rPr>
                <w:sz w:val="24"/>
              </w:rPr>
            </w:pPr>
          </w:p>
          <w:p>
            <w:pPr>
              <w:pStyle w:val="30"/>
              <w:rPr>
                <w:sz w:val="24"/>
              </w:rPr>
            </w:pPr>
          </w:p>
          <w:p>
            <w:pPr>
              <w:pStyle w:val="30"/>
              <w:spacing w:before="162"/>
              <w:ind w:left="0" w:leftChars="0" w:right="0" w:rightChars="0" w:firstLine="240" w:firstLineChars="100"/>
              <w:rPr>
                <w:sz w:val="24"/>
              </w:rPr>
            </w:pPr>
            <w:r>
              <w:rPr>
                <w:sz w:val="24"/>
              </w:rPr>
              <w:t>响应文件编制装订</w:t>
            </w:r>
          </w:p>
        </w:tc>
        <w:tc>
          <w:tcPr>
            <w:tcW w:w="5808" w:type="dxa"/>
            <w:tcFitText/>
            <w:vAlign w:val="top"/>
          </w:tcPr>
          <w:p>
            <w:pPr>
              <w:pStyle w:val="30"/>
              <w:numPr>
                <w:ilvl w:val="0"/>
                <w:numId w:val="0"/>
              </w:numPr>
              <w:tabs>
                <w:tab w:val="left" w:pos="829"/>
              </w:tabs>
              <w:spacing w:before="95" w:after="0" w:line="240" w:lineRule="auto"/>
              <w:ind w:right="0" w:rightChars="0"/>
              <w:jc w:val="left"/>
              <w:rPr>
                <w:sz w:val="24"/>
              </w:rPr>
            </w:pPr>
          </w:p>
          <w:p>
            <w:pPr>
              <w:pStyle w:val="30"/>
              <w:numPr>
                <w:ilvl w:val="0"/>
                <w:numId w:val="0"/>
              </w:numPr>
              <w:tabs>
                <w:tab w:val="left" w:pos="829"/>
              </w:tabs>
              <w:spacing w:before="95" w:after="0" w:line="240" w:lineRule="auto"/>
              <w:ind w:right="0" w:rightChars="0"/>
              <w:jc w:val="left"/>
              <w:rPr>
                <w:sz w:val="24"/>
              </w:rPr>
            </w:pPr>
            <w:r>
              <w:rPr>
                <w:rFonts w:hint="eastAsia"/>
                <w:sz w:val="24"/>
                <w:lang w:val="en-US" w:eastAsia="zh-CN"/>
              </w:rPr>
              <w:t>1、</w:t>
            </w:r>
            <w:r>
              <w:rPr>
                <w:sz w:val="24"/>
              </w:rPr>
              <w:t>响应文件装订成一册。</w:t>
            </w:r>
          </w:p>
          <w:p>
            <w:pPr>
              <w:pStyle w:val="30"/>
              <w:numPr>
                <w:ilvl w:val="0"/>
                <w:numId w:val="0"/>
              </w:numPr>
              <w:tabs>
                <w:tab w:val="left" w:pos="829"/>
              </w:tabs>
              <w:spacing w:before="129" w:after="0" w:line="292" w:lineRule="auto"/>
              <w:ind w:right="-29" w:rightChars="0"/>
              <w:jc w:val="left"/>
              <w:rPr>
                <w:sz w:val="24"/>
              </w:rPr>
            </w:pPr>
            <w:r>
              <w:rPr>
                <w:rFonts w:hint="eastAsia"/>
                <w:spacing w:val="-8"/>
                <w:sz w:val="24"/>
                <w:lang w:val="en-US" w:eastAsia="zh-CN"/>
              </w:rPr>
              <w:t>2、</w:t>
            </w:r>
            <w:r>
              <w:rPr>
                <w:spacing w:val="-8"/>
                <w:sz w:val="24"/>
              </w:rPr>
              <w:t>封面设置。响应文件封面设置包括：响应文件、</w:t>
            </w:r>
            <w:r>
              <w:rPr>
                <w:sz w:val="24"/>
              </w:rPr>
              <w:t>项目名称、项目编号、供应商全称和响应文件完成时间。供应商全称填写“×××公司”。</w:t>
            </w:r>
          </w:p>
          <w:p>
            <w:pPr>
              <w:pStyle w:val="30"/>
              <w:numPr>
                <w:ilvl w:val="0"/>
                <w:numId w:val="0"/>
              </w:numPr>
              <w:tabs>
                <w:tab w:val="left" w:pos="830"/>
              </w:tabs>
              <w:spacing w:before="58" w:after="0" w:line="292" w:lineRule="auto"/>
              <w:ind w:right="96" w:rightChars="0"/>
              <w:jc w:val="both"/>
              <w:rPr>
                <w:sz w:val="24"/>
              </w:rPr>
            </w:pPr>
            <w:r>
              <w:rPr>
                <w:rFonts w:hint="eastAsia"/>
                <w:sz w:val="24"/>
                <w:lang w:val="en-US" w:eastAsia="zh-CN"/>
              </w:rPr>
              <w:t>3、</w:t>
            </w:r>
            <w:r>
              <w:rPr>
                <w:sz w:val="24"/>
              </w:rPr>
              <w:t>响应文件内容。供应商应按照采购文件的要求编写响应文件；对采购文件要求填写的表格或者资料不得缺少或者留空，响应文件不得加行、涂改、插字或者删除。</w:t>
            </w:r>
          </w:p>
          <w:p>
            <w:pPr>
              <w:pStyle w:val="30"/>
              <w:spacing w:line="304" w:lineRule="exact"/>
              <w:ind w:left="107" w:leftChars="0" w:right="0" w:rightChars="0" w:firstLine="456" w:firstLineChars="200"/>
              <w:jc w:val="both"/>
              <w:rPr>
                <w:rFonts w:hint="eastAsia"/>
                <w:spacing w:val="0"/>
                <w:sz w:val="24"/>
                <w:lang w:val="en-US" w:eastAsia="zh-CN"/>
              </w:rPr>
            </w:pPr>
            <w:r>
              <w:rPr>
                <w:spacing w:val="-6"/>
                <w:sz w:val="24"/>
              </w:rPr>
              <w:t xml:space="preserve">响应文件正文用白色 </w:t>
            </w:r>
            <w:r>
              <w:rPr>
                <w:sz w:val="24"/>
              </w:rPr>
              <w:t>A4</w:t>
            </w:r>
            <w:r>
              <w:rPr>
                <w:spacing w:val="-13"/>
                <w:sz w:val="24"/>
              </w:rPr>
              <w:t xml:space="preserve"> 复印纸打印，并编制目</w:t>
            </w:r>
            <w:r>
              <w:rPr>
                <w:sz w:val="24"/>
              </w:rPr>
              <w:t>录，目录、内容标注连续页码，页码从目录编起，标注于页面底部居中位置；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764" w:type="dxa"/>
            <w:tcFitText/>
            <w:vAlign w:val="top"/>
          </w:tcPr>
          <w:p>
            <w:pPr>
              <w:pStyle w:val="30"/>
              <w:ind w:left="0" w:leftChars="0" w:right="250"/>
              <w:jc w:val="center"/>
              <w:rPr>
                <w:rFonts w:hint="default"/>
                <w:spacing w:val="0"/>
                <w:sz w:val="24"/>
                <w:lang w:val="en-US" w:eastAsia="zh-CN"/>
              </w:rPr>
            </w:pPr>
          </w:p>
          <w:p>
            <w:pPr>
              <w:pStyle w:val="30"/>
              <w:ind w:left="0" w:leftChars="0" w:right="250"/>
              <w:jc w:val="center"/>
              <w:rPr>
                <w:rFonts w:hint="default"/>
                <w:spacing w:val="0"/>
                <w:sz w:val="24"/>
                <w:lang w:val="en-US" w:eastAsia="zh-CN"/>
              </w:rPr>
            </w:pPr>
          </w:p>
          <w:p>
            <w:pPr>
              <w:pStyle w:val="30"/>
              <w:ind w:left="0" w:leftChars="0" w:right="250"/>
              <w:jc w:val="center"/>
              <w:rPr>
                <w:rFonts w:hint="default"/>
                <w:spacing w:val="0"/>
                <w:sz w:val="24"/>
                <w:lang w:val="en-US" w:eastAsia="zh-CN"/>
              </w:rPr>
            </w:pPr>
          </w:p>
          <w:p>
            <w:pPr>
              <w:pStyle w:val="30"/>
              <w:ind w:left="0" w:leftChars="0" w:right="250"/>
              <w:jc w:val="center"/>
              <w:rPr>
                <w:rFonts w:hint="default"/>
                <w:spacing w:val="0"/>
                <w:sz w:val="24"/>
                <w:lang w:val="en-US" w:eastAsia="zh-CN"/>
              </w:rPr>
            </w:pPr>
          </w:p>
          <w:p>
            <w:pPr>
              <w:pStyle w:val="30"/>
              <w:ind w:left="0" w:leftChars="0" w:right="250"/>
              <w:jc w:val="center"/>
              <w:rPr>
                <w:rFonts w:hint="default"/>
                <w:spacing w:val="0"/>
                <w:sz w:val="24"/>
                <w:lang w:val="en-US" w:eastAsia="zh-CN"/>
              </w:rPr>
            </w:pPr>
          </w:p>
          <w:p>
            <w:pPr>
              <w:pStyle w:val="30"/>
              <w:ind w:left="0" w:leftChars="0" w:right="250"/>
              <w:jc w:val="center"/>
              <w:rPr>
                <w:rFonts w:hint="default"/>
                <w:spacing w:val="0"/>
                <w:sz w:val="24"/>
                <w:lang w:val="en-US" w:eastAsia="zh-CN"/>
              </w:rPr>
            </w:pPr>
          </w:p>
          <w:p>
            <w:pPr>
              <w:pStyle w:val="30"/>
              <w:ind w:left="0" w:leftChars="0" w:right="250"/>
              <w:jc w:val="center"/>
              <w:rPr>
                <w:rFonts w:hint="default"/>
                <w:spacing w:val="0"/>
                <w:sz w:val="24"/>
                <w:lang w:val="en-US" w:eastAsia="zh-CN"/>
              </w:rPr>
            </w:pPr>
          </w:p>
          <w:p>
            <w:pPr>
              <w:pStyle w:val="30"/>
              <w:ind w:left="0" w:leftChars="0" w:right="250"/>
              <w:jc w:val="center"/>
              <w:rPr>
                <w:rFonts w:hint="default"/>
                <w:spacing w:val="0"/>
                <w:sz w:val="24"/>
                <w:lang w:val="en-US" w:eastAsia="zh-CN"/>
              </w:rPr>
            </w:pPr>
          </w:p>
          <w:p>
            <w:pPr>
              <w:pStyle w:val="30"/>
              <w:ind w:left="0" w:leftChars="0" w:right="250"/>
              <w:jc w:val="center"/>
              <w:rPr>
                <w:rFonts w:hint="default"/>
                <w:spacing w:val="0"/>
                <w:sz w:val="24"/>
                <w:lang w:val="en-US" w:eastAsia="zh-CN"/>
              </w:rPr>
            </w:pPr>
            <w:r>
              <w:rPr>
                <w:rFonts w:hint="eastAsia"/>
                <w:spacing w:val="0"/>
                <w:sz w:val="24"/>
                <w:lang w:val="en-US" w:eastAsia="zh-CN"/>
              </w:rPr>
              <w:t xml:space="preserve"> 21</w:t>
            </w:r>
          </w:p>
        </w:tc>
        <w:tc>
          <w:tcPr>
            <w:tcW w:w="2587" w:type="dxa"/>
            <w:tcFitText/>
            <w:vAlign w:val="top"/>
          </w:tcPr>
          <w:p>
            <w:pPr>
              <w:pStyle w:val="30"/>
              <w:rPr>
                <w:sz w:val="24"/>
              </w:rPr>
            </w:pPr>
          </w:p>
          <w:p>
            <w:pPr>
              <w:pStyle w:val="30"/>
              <w:rPr>
                <w:sz w:val="24"/>
              </w:rPr>
            </w:pPr>
          </w:p>
          <w:p>
            <w:pPr>
              <w:pStyle w:val="30"/>
              <w:rPr>
                <w:sz w:val="24"/>
              </w:rPr>
            </w:pPr>
          </w:p>
          <w:p>
            <w:pPr>
              <w:pStyle w:val="30"/>
              <w:rPr>
                <w:sz w:val="24"/>
              </w:rPr>
            </w:pPr>
          </w:p>
          <w:p>
            <w:pPr>
              <w:pStyle w:val="30"/>
              <w:rPr>
                <w:sz w:val="24"/>
              </w:rPr>
            </w:pPr>
          </w:p>
          <w:p>
            <w:pPr>
              <w:pStyle w:val="30"/>
              <w:spacing w:before="155"/>
              <w:ind w:left="0" w:leftChars="0" w:right="0" w:rightChars="0"/>
              <w:rPr>
                <w:sz w:val="24"/>
              </w:rPr>
            </w:pPr>
            <w:r>
              <w:rPr>
                <w:sz w:val="24"/>
              </w:rPr>
              <w:t>响应文件签署和盖章</w:t>
            </w:r>
          </w:p>
        </w:tc>
        <w:tc>
          <w:tcPr>
            <w:tcW w:w="5808" w:type="dxa"/>
            <w:tcFitText/>
            <w:vAlign w:val="top"/>
          </w:tcPr>
          <w:p>
            <w:pPr>
              <w:pStyle w:val="30"/>
              <w:spacing w:before="80" w:line="316" w:lineRule="auto"/>
              <w:ind w:left="107" w:right="96" w:firstLine="480"/>
              <w:jc w:val="right"/>
              <w:rPr>
                <w:sz w:val="24"/>
              </w:rPr>
            </w:pPr>
          </w:p>
          <w:p>
            <w:pPr>
              <w:pStyle w:val="30"/>
              <w:numPr>
                <w:ilvl w:val="0"/>
                <w:numId w:val="3"/>
              </w:numPr>
              <w:spacing w:before="80" w:line="316" w:lineRule="auto"/>
              <w:ind w:right="96"/>
              <w:jc w:val="both"/>
              <w:rPr>
                <w:sz w:val="24"/>
              </w:rPr>
            </w:pPr>
            <w:r>
              <w:rPr>
                <w:sz w:val="24"/>
              </w:rPr>
              <w:t xml:space="preserve">竞争性磋商文件要求供应商法定代表人或者被授权代表签字处，均须本人用黑色签字笔签署（包括姓和名），不得由他人代签，并逐页加盖单位公章。 </w:t>
            </w:r>
          </w:p>
          <w:p>
            <w:pPr>
              <w:pStyle w:val="30"/>
              <w:numPr>
                <w:ilvl w:val="0"/>
                <w:numId w:val="0"/>
              </w:numPr>
              <w:spacing w:before="80" w:line="316" w:lineRule="auto"/>
              <w:ind w:right="96" w:rightChars="0"/>
              <w:jc w:val="both"/>
              <w:rPr>
                <w:sz w:val="24"/>
              </w:rPr>
            </w:pPr>
            <w:r>
              <w:rPr>
                <w:sz w:val="24"/>
              </w:rPr>
              <w:t>2.被授权代表人签字的，响应文件应附法人授权委托书。</w:t>
            </w:r>
          </w:p>
          <w:p>
            <w:pPr>
              <w:pStyle w:val="30"/>
              <w:numPr>
                <w:ilvl w:val="0"/>
                <w:numId w:val="0"/>
              </w:numPr>
              <w:tabs>
                <w:tab w:val="left" w:pos="830"/>
              </w:tabs>
              <w:spacing w:before="127" w:after="0" w:line="292" w:lineRule="auto"/>
              <w:ind w:right="96" w:rightChars="0"/>
              <w:jc w:val="left"/>
              <w:rPr>
                <w:sz w:val="24"/>
              </w:rPr>
            </w:pPr>
            <w:r>
              <w:rPr>
                <w:rFonts w:hint="eastAsia"/>
                <w:sz w:val="24"/>
                <w:lang w:val="en-US" w:eastAsia="zh-CN"/>
              </w:rPr>
              <w:t>3、</w:t>
            </w:r>
            <w:r>
              <w:rPr>
                <w:sz w:val="24"/>
              </w:rPr>
              <w:t>“报价函”、“法人授权委托书”和“政府采购诚信承诺书”必须由法定代表人签署。</w:t>
            </w:r>
          </w:p>
          <w:p>
            <w:pPr>
              <w:pStyle w:val="30"/>
              <w:spacing w:before="34"/>
              <w:ind w:left="107" w:leftChars="0" w:right="0" w:rightChars="0"/>
              <w:rPr>
                <w:spacing w:val="-6"/>
                <w:sz w:val="24"/>
              </w:rPr>
            </w:pPr>
            <w:r>
              <w:rPr>
                <w:spacing w:val="8"/>
                <w:sz w:val="24"/>
              </w:rPr>
              <w:t>供应商在响应文件以及相关书面文件中的单</w:t>
            </w:r>
            <w:r>
              <w:rPr>
                <w:spacing w:val="4"/>
                <w:sz w:val="24"/>
              </w:rPr>
              <w:t>位盖章</w:t>
            </w:r>
            <w:r>
              <w:rPr>
                <w:sz w:val="24"/>
              </w:rPr>
              <w:t>（包括印章、公章等</w:t>
            </w:r>
            <w:r>
              <w:rPr>
                <w:spacing w:val="4"/>
                <w:sz w:val="24"/>
              </w:rPr>
              <w:t>）</w:t>
            </w:r>
            <w:r>
              <w:rPr>
                <w:sz w:val="24"/>
              </w:rPr>
              <w:t>均指与供应商名称全称相一致的标准公章，不得使用其他形式（如带有“专用章”、“合同章”、“财务章”、“业务章”等） 的印章。</w:t>
            </w:r>
          </w:p>
        </w:tc>
      </w:tr>
    </w:tbl>
    <w:tbl>
      <w:tblPr>
        <w:tblStyle w:val="23"/>
        <w:tblW w:w="0" w:type="auto"/>
        <w:tblInd w:w="3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rPr>
        <w:tc>
          <w:tcPr>
            <w:tcW w:w="764" w:type="dxa"/>
            <w:tcBorders>
              <w:top w:val="single" w:color="auto" w:sz="4" w:space="0"/>
              <w:left w:val="single" w:color="auto" w:sz="4" w:space="0"/>
            </w:tcBorders>
            <w:vAlign w:val="top"/>
          </w:tcPr>
          <w:p>
            <w:pPr>
              <w:pStyle w:val="30"/>
              <w:rPr>
                <w:sz w:val="24"/>
              </w:rPr>
            </w:pPr>
          </w:p>
          <w:p>
            <w:pPr>
              <w:pStyle w:val="30"/>
              <w:spacing w:before="8"/>
              <w:rPr>
                <w:sz w:val="29"/>
              </w:rPr>
            </w:pPr>
          </w:p>
          <w:p>
            <w:pPr>
              <w:pStyle w:val="30"/>
              <w:ind w:left="0" w:leftChars="0" w:right="250" w:rightChars="0"/>
              <w:jc w:val="right"/>
              <w:rPr>
                <w:rFonts w:hint="default" w:eastAsia="仿宋"/>
                <w:sz w:val="24"/>
                <w:lang w:val="en-US" w:eastAsia="zh-CN"/>
              </w:rPr>
            </w:pPr>
            <w:r>
              <w:rPr>
                <w:rFonts w:hint="eastAsia"/>
                <w:sz w:val="24"/>
                <w:lang w:val="en-US" w:eastAsia="zh-CN"/>
              </w:rPr>
              <w:t>22</w:t>
            </w:r>
          </w:p>
        </w:tc>
        <w:tc>
          <w:tcPr>
            <w:tcW w:w="2587" w:type="dxa"/>
            <w:tcBorders>
              <w:top w:val="single" w:color="auto" w:sz="4" w:space="0"/>
            </w:tcBorders>
            <w:vAlign w:val="top"/>
          </w:tcPr>
          <w:p>
            <w:pPr>
              <w:pStyle w:val="30"/>
              <w:rPr>
                <w:sz w:val="24"/>
              </w:rPr>
            </w:pPr>
          </w:p>
          <w:p>
            <w:pPr>
              <w:pStyle w:val="30"/>
              <w:spacing w:before="8"/>
              <w:rPr>
                <w:sz w:val="29"/>
              </w:rPr>
            </w:pPr>
          </w:p>
          <w:p>
            <w:pPr>
              <w:pStyle w:val="30"/>
              <w:ind w:left="0" w:leftChars="0" w:right="0" w:rightChars="0"/>
              <w:rPr>
                <w:sz w:val="24"/>
              </w:rPr>
            </w:pPr>
            <w:r>
              <w:rPr>
                <w:sz w:val="24"/>
              </w:rPr>
              <w:t>响应文件份数及要求</w:t>
            </w:r>
          </w:p>
        </w:tc>
        <w:tc>
          <w:tcPr>
            <w:tcW w:w="5808" w:type="dxa"/>
            <w:tcBorders>
              <w:top w:val="single" w:color="auto" w:sz="4" w:space="0"/>
              <w:right w:val="single" w:color="auto" w:sz="4" w:space="0"/>
            </w:tcBorders>
            <w:vAlign w:val="top"/>
          </w:tcPr>
          <w:p>
            <w:pPr>
              <w:pStyle w:val="30"/>
              <w:spacing w:before="97"/>
              <w:rPr>
                <w:sz w:val="24"/>
              </w:rPr>
            </w:pPr>
            <w:r>
              <w:rPr>
                <w:sz w:val="24"/>
              </w:rPr>
              <w:t>响应文件应按包分别进行编制：</w:t>
            </w:r>
          </w:p>
          <w:p>
            <w:pPr>
              <w:pStyle w:val="30"/>
              <w:spacing w:before="64" w:line="370" w:lineRule="atLeast"/>
              <w:ind w:left="0" w:leftChars="0" w:right="96" w:rightChars="0"/>
              <w:jc w:val="both"/>
              <w:rPr>
                <w:sz w:val="24"/>
              </w:rPr>
            </w:pPr>
            <w:r>
              <w:rPr>
                <w:sz w:val="24"/>
              </w:rPr>
              <w:t>响应文件正本</w:t>
            </w:r>
            <w:r>
              <w:rPr>
                <w:rFonts w:hint="eastAsia"/>
                <w:spacing w:val="4"/>
                <w:sz w:val="24"/>
                <w:u w:val="single"/>
                <w:lang w:val="en-US" w:eastAsia="zh-CN"/>
              </w:rPr>
              <w:t>壹</w:t>
            </w:r>
            <w:r>
              <w:rPr>
                <w:sz w:val="24"/>
              </w:rPr>
              <w:t>份，副本</w:t>
            </w:r>
            <w:r>
              <w:rPr>
                <w:spacing w:val="10"/>
                <w:sz w:val="24"/>
                <w:u w:val="single"/>
              </w:rPr>
              <w:t xml:space="preserve"> </w:t>
            </w:r>
            <w:r>
              <w:rPr>
                <w:rFonts w:hint="eastAsia"/>
                <w:spacing w:val="10"/>
                <w:sz w:val="24"/>
                <w:u w:val="single"/>
                <w:lang w:val="en-US" w:eastAsia="zh-CN"/>
              </w:rPr>
              <w:t>贰</w:t>
            </w:r>
            <w:r>
              <w:rPr>
                <w:spacing w:val="10"/>
                <w:sz w:val="24"/>
                <w:u w:val="single"/>
              </w:rPr>
              <w:t xml:space="preserve"> </w:t>
            </w:r>
            <w:r>
              <w:rPr>
                <w:sz w:val="24"/>
              </w:rPr>
              <w:t>份。正本和副本的封面上应当清楚地标记“正本”或者“副本”字样； 正本和副本不一致时，以正本为准。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rPr>
        <w:tc>
          <w:tcPr>
            <w:tcW w:w="764" w:type="dxa"/>
            <w:tcBorders>
              <w:left w:val="single" w:color="auto" w:sz="4" w:space="0"/>
              <w:bottom w:val="single" w:color="auto" w:sz="4" w:space="0"/>
            </w:tcBorders>
            <w:vAlign w:val="top"/>
          </w:tcPr>
          <w:p>
            <w:pPr>
              <w:pStyle w:val="30"/>
              <w:rPr>
                <w:sz w:val="24"/>
              </w:rPr>
            </w:pPr>
          </w:p>
          <w:p>
            <w:pPr>
              <w:pStyle w:val="30"/>
              <w:rPr>
                <w:sz w:val="24"/>
              </w:rPr>
            </w:pPr>
          </w:p>
          <w:p>
            <w:pPr>
              <w:pStyle w:val="30"/>
              <w:rPr>
                <w:sz w:val="24"/>
              </w:rPr>
            </w:pPr>
          </w:p>
          <w:p>
            <w:pPr>
              <w:pStyle w:val="30"/>
              <w:spacing w:before="11"/>
              <w:rPr>
                <w:sz w:val="27"/>
              </w:rPr>
            </w:pPr>
          </w:p>
          <w:p>
            <w:pPr>
              <w:pStyle w:val="30"/>
              <w:ind w:left="0" w:leftChars="0" w:right="250" w:rightChars="0"/>
              <w:jc w:val="right"/>
              <w:rPr>
                <w:rFonts w:hint="default" w:eastAsia="仿宋"/>
                <w:sz w:val="24"/>
                <w:lang w:val="en-US" w:eastAsia="zh-CN"/>
              </w:rPr>
            </w:pPr>
            <w:r>
              <w:rPr>
                <w:sz w:val="24"/>
              </w:rPr>
              <w:t>2</w:t>
            </w:r>
            <w:r>
              <w:rPr>
                <w:rFonts w:hint="eastAsia"/>
                <w:sz w:val="24"/>
                <w:lang w:val="en-US" w:eastAsia="zh-CN"/>
              </w:rPr>
              <w:t>3</w:t>
            </w:r>
          </w:p>
        </w:tc>
        <w:tc>
          <w:tcPr>
            <w:tcW w:w="2587" w:type="dxa"/>
            <w:tcBorders>
              <w:bottom w:val="single" w:color="auto" w:sz="4" w:space="0"/>
            </w:tcBorders>
            <w:vAlign w:val="top"/>
          </w:tcPr>
          <w:p>
            <w:pPr>
              <w:pStyle w:val="30"/>
              <w:rPr>
                <w:sz w:val="24"/>
              </w:rPr>
            </w:pPr>
          </w:p>
          <w:p>
            <w:pPr>
              <w:pStyle w:val="30"/>
              <w:rPr>
                <w:sz w:val="24"/>
              </w:rPr>
            </w:pPr>
          </w:p>
          <w:p>
            <w:pPr>
              <w:pStyle w:val="30"/>
              <w:rPr>
                <w:sz w:val="24"/>
              </w:rPr>
            </w:pPr>
          </w:p>
          <w:p>
            <w:pPr>
              <w:pStyle w:val="30"/>
              <w:spacing w:before="11"/>
              <w:rPr>
                <w:sz w:val="27"/>
              </w:rPr>
            </w:pPr>
          </w:p>
          <w:p>
            <w:pPr>
              <w:pStyle w:val="30"/>
              <w:ind w:left="0" w:leftChars="0" w:right="0" w:rightChars="0"/>
              <w:rPr>
                <w:sz w:val="24"/>
              </w:rPr>
            </w:pPr>
            <w:r>
              <w:rPr>
                <w:sz w:val="24"/>
              </w:rPr>
              <w:t>响应文件密封和标记</w:t>
            </w:r>
          </w:p>
        </w:tc>
        <w:tc>
          <w:tcPr>
            <w:tcW w:w="5808" w:type="dxa"/>
            <w:tcBorders>
              <w:bottom w:val="single" w:color="auto" w:sz="4" w:space="0"/>
              <w:right w:val="single" w:color="auto" w:sz="4" w:space="0"/>
            </w:tcBorders>
            <w:vAlign w:val="top"/>
          </w:tcPr>
          <w:p>
            <w:pPr>
              <w:pStyle w:val="30"/>
              <w:spacing w:before="0" w:line="240" w:lineRule="auto"/>
              <w:ind w:left="0" w:leftChars="0" w:right="0" w:firstLine="0" w:firstLineChars="0"/>
              <w:rPr>
                <w:sz w:val="24"/>
              </w:rPr>
            </w:pPr>
            <w:r>
              <w:rPr>
                <w:sz w:val="24"/>
              </w:rPr>
              <w:t xml:space="preserve"> </w:t>
            </w:r>
          </w:p>
          <w:p>
            <w:pPr>
              <w:pStyle w:val="30"/>
              <w:spacing w:before="61" w:line="340" w:lineRule="auto"/>
              <w:ind w:left="0" w:leftChars="0" w:right="96" w:rightChars="0"/>
              <w:jc w:val="both"/>
              <w:rPr>
                <w:sz w:val="24"/>
              </w:rPr>
            </w:pPr>
            <w:r>
              <w:rPr>
                <w:sz w:val="24"/>
              </w:rPr>
              <w:t>密封件封套上标明采购项目编号、项目名称以</w:t>
            </w:r>
            <w:r>
              <w:rPr>
                <w:spacing w:val="-7"/>
                <w:sz w:val="24"/>
              </w:rPr>
              <w:t>及包、供应商名称等，在所有封签处标注“请勿在</w:t>
            </w:r>
            <w:r>
              <w:rPr>
                <w:spacing w:val="-1"/>
                <w:sz w:val="24"/>
                <w:u w:val="single"/>
              </w:rPr>
              <w:t xml:space="preserve"> </w:t>
            </w:r>
            <w:r>
              <w:rPr>
                <w:rFonts w:ascii="Times New Roman" w:hAnsi="Times New Roman" w:eastAsia="Times New Roman"/>
                <w:sz w:val="24"/>
                <w:u w:val="single"/>
              </w:rPr>
              <w:t xml:space="preserve">    </w:t>
            </w:r>
            <w:r>
              <w:rPr>
                <w:sz w:val="24"/>
              </w:rPr>
              <w:t>年</w:t>
            </w:r>
            <w:r>
              <w:rPr>
                <w:spacing w:val="11"/>
                <w:sz w:val="24"/>
                <w:u w:val="single"/>
              </w:rPr>
              <w:t xml:space="preserve"> </w:t>
            </w:r>
            <w:r>
              <w:rPr>
                <w:spacing w:val="4"/>
                <w:sz w:val="24"/>
              </w:rPr>
              <w:t>月</w:t>
            </w:r>
            <w:r>
              <w:rPr>
                <w:spacing w:val="5"/>
                <w:sz w:val="24"/>
                <w:u w:val="single"/>
              </w:rPr>
              <w:t xml:space="preserve">  </w:t>
            </w:r>
            <w:r>
              <w:rPr>
                <w:sz w:val="24"/>
              </w:rPr>
              <w:t>日</w:t>
            </w:r>
            <w:r>
              <w:rPr>
                <w:spacing w:val="5"/>
                <w:sz w:val="24"/>
                <w:u w:val="single"/>
              </w:rPr>
              <w:t xml:space="preserve">  </w:t>
            </w:r>
            <w:r>
              <w:rPr>
                <w:sz w:val="24"/>
              </w:rPr>
              <w:t>时</w:t>
            </w:r>
            <w:r>
              <w:rPr>
                <w:spacing w:val="8"/>
                <w:sz w:val="24"/>
                <w:u w:val="single"/>
              </w:rPr>
              <w:t xml:space="preserve"> </w:t>
            </w:r>
            <w:r>
              <w:rPr>
                <w:spacing w:val="11"/>
                <w:sz w:val="24"/>
                <w:u w:val="single"/>
              </w:rPr>
              <w:t xml:space="preserve"> </w:t>
            </w:r>
            <w:r>
              <w:rPr>
                <w:sz w:val="24"/>
              </w:rPr>
              <w:t>分之前启封”字样，并加盖供应商单位公章以及法定代表人或者被授权代表签字。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trPr>
        <w:tc>
          <w:tcPr>
            <w:tcW w:w="764" w:type="dxa"/>
          </w:tcPr>
          <w:p>
            <w:pPr>
              <w:pStyle w:val="30"/>
              <w:rPr>
                <w:sz w:val="24"/>
              </w:rPr>
            </w:pPr>
          </w:p>
          <w:p>
            <w:pPr>
              <w:pStyle w:val="30"/>
              <w:spacing w:before="193"/>
              <w:ind w:right="250"/>
              <w:jc w:val="right"/>
              <w:rPr>
                <w:rFonts w:hint="default" w:eastAsia="仿宋"/>
                <w:sz w:val="24"/>
                <w:lang w:val="en-US" w:eastAsia="zh-CN"/>
              </w:rPr>
            </w:pPr>
            <w:r>
              <w:rPr>
                <w:rFonts w:hint="eastAsia"/>
                <w:sz w:val="24"/>
                <w:lang w:val="en-US" w:eastAsia="zh-CN"/>
              </w:rPr>
              <w:t>24</w:t>
            </w:r>
          </w:p>
        </w:tc>
        <w:tc>
          <w:tcPr>
            <w:tcW w:w="2587" w:type="dxa"/>
          </w:tcPr>
          <w:p>
            <w:pPr>
              <w:pStyle w:val="30"/>
              <w:spacing w:before="6"/>
              <w:rPr>
                <w:sz w:val="24"/>
              </w:rPr>
            </w:pPr>
          </w:p>
          <w:p>
            <w:pPr>
              <w:pStyle w:val="30"/>
              <w:spacing w:line="292" w:lineRule="auto"/>
              <w:ind w:right="96"/>
              <w:rPr>
                <w:sz w:val="24"/>
              </w:rPr>
            </w:pPr>
            <w:r>
              <w:rPr>
                <w:sz w:val="24"/>
              </w:rPr>
              <w:t>递交响应文件截止时间</w:t>
            </w:r>
          </w:p>
        </w:tc>
        <w:tc>
          <w:tcPr>
            <w:tcW w:w="5808" w:type="dxa"/>
          </w:tcPr>
          <w:p>
            <w:pPr>
              <w:pStyle w:val="30"/>
              <w:spacing w:before="95"/>
              <w:ind w:left="107"/>
              <w:rPr>
                <w:b w:val="0"/>
                <w:bCs w:val="0"/>
                <w:color w:val="auto"/>
                <w:sz w:val="24"/>
              </w:rPr>
            </w:pPr>
            <w:r>
              <w:rPr>
                <w:b w:val="0"/>
                <w:bCs w:val="0"/>
                <w:color w:val="auto"/>
                <w:sz w:val="24"/>
              </w:rPr>
              <w:t>时间：</w:t>
            </w:r>
            <w:r>
              <w:rPr>
                <w:b w:val="0"/>
                <w:bCs w:val="0"/>
                <w:color w:val="auto"/>
                <w:sz w:val="24"/>
                <w:u w:val="single"/>
              </w:rPr>
              <w:t>202</w:t>
            </w:r>
            <w:r>
              <w:rPr>
                <w:rFonts w:hint="eastAsia"/>
                <w:b w:val="0"/>
                <w:bCs w:val="0"/>
                <w:color w:val="auto"/>
                <w:sz w:val="24"/>
                <w:u w:val="single"/>
                <w:lang w:val="en-US" w:eastAsia="zh-CN"/>
              </w:rPr>
              <w:t>2</w:t>
            </w:r>
            <w:r>
              <w:rPr>
                <w:b w:val="0"/>
                <w:bCs w:val="0"/>
                <w:color w:val="auto"/>
                <w:sz w:val="24"/>
                <w:u w:val="single"/>
              </w:rPr>
              <w:t>年</w:t>
            </w:r>
            <w:r>
              <w:rPr>
                <w:rFonts w:hint="eastAsia"/>
                <w:b w:val="0"/>
                <w:bCs w:val="0"/>
                <w:color w:val="auto"/>
                <w:sz w:val="24"/>
                <w:u w:val="single"/>
                <w:lang w:val="en-US" w:eastAsia="zh-CN"/>
              </w:rPr>
              <w:t>5</w:t>
            </w:r>
            <w:r>
              <w:rPr>
                <w:b w:val="0"/>
                <w:bCs w:val="0"/>
                <w:color w:val="auto"/>
                <w:sz w:val="24"/>
                <w:u w:val="single"/>
              </w:rPr>
              <w:t>月</w:t>
            </w:r>
            <w:r>
              <w:rPr>
                <w:rFonts w:hint="eastAsia"/>
                <w:b w:val="0"/>
                <w:bCs w:val="0"/>
                <w:color w:val="auto"/>
                <w:sz w:val="24"/>
                <w:u w:val="single"/>
                <w:lang w:val="en-US" w:eastAsia="zh-CN"/>
              </w:rPr>
              <w:t>7</w:t>
            </w:r>
            <w:r>
              <w:rPr>
                <w:b w:val="0"/>
                <w:bCs w:val="0"/>
                <w:color w:val="auto"/>
                <w:sz w:val="24"/>
                <w:u w:val="single"/>
              </w:rPr>
              <w:t>日</w:t>
            </w:r>
            <w:r>
              <w:rPr>
                <w:rFonts w:hint="eastAsia"/>
                <w:b w:val="0"/>
                <w:bCs w:val="0"/>
                <w:color w:val="auto"/>
                <w:sz w:val="24"/>
                <w:u w:val="single"/>
                <w:lang w:val="en-US" w:eastAsia="zh-CN"/>
              </w:rPr>
              <w:t xml:space="preserve"> 上</w:t>
            </w:r>
            <w:r>
              <w:rPr>
                <w:rFonts w:hint="eastAsia"/>
                <w:b w:val="0"/>
                <w:bCs w:val="0"/>
                <w:color w:val="auto"/>
                <w:sz w:val="24"/>
                <w:u w:val="single"/>
                <w:lang w:eastAsia="zh-CN"/>
              </w:rPr>
              <w:t>午</w:t>
            </w:r>
            <w:r>
              <w:rPr>
                <w:rFonts w:hint="eastAsia"/>
                <w:b w:val="0"/>
                <w:bCs w:val="0"/>
                <w:color w:val="auto"/>
                <w:sz w:val="24"/>
                <w:u w:val="single"/>
                <w:lang w:val="en-US" w:eastAsia="zh-CN"/>
              </w:rPr>
              <w:t>11</w:t>
            </w:r>
            <w:r>
              <w:rPr>
                <w:b w:val="0"/>
                <w:bCs w:val="0"/>
                <w:color w:val="auto"/>
                <w:sz w:val="24"/>
                <w:u w:val="single"/>
              </w:rPr>
              <w:t>点</w:t>
            </w:r>
            <w:r>
              <w:rPr>
                <w:rFonts w:hint="eastAsia"/>
                <w:b w:val="0"/>
                <w:bCs w:val="0"/>
                <w:color w:val="auto"/>
                <w:sz w:val="24"/>
                <w:u w:val="single"/>
                <w:lang w:val="en-US" w:eastAsia="zh-CN"/>
              </w:rPr>
              <w:t>00</w:t>
            </w:r>
            <w:r>
              <w:rPr>
                <w:b w:val="0"/>
                <w:bCs w:val="0"/>
                <w:color w:val="auto"/>
                <w:sz w:val="24"/>
                <w:u w:val="single"/>
              </w:rPr>
              <w:t>分</w:t>
            </w:r>
            <w:r>
              <w:rPr>
                <w:b w:val="0"/>
                <w:bCs w:val="0"/>
                <w:color w:val="auto"/>
                <w:sz w:val="24"/>
              </w:rPr>
              <w:t>。</w:t>
            </w:r>
          </w:p>
          <w:p>
            <w:pPr>
              <w:pStyle w:val="30"/>
              <w:spacing w:before="67" w:line="370" w:lineRule="atLeast"/>
              <w:ind w:left="333" w:right="96" w:hanging="226"/>
              <w:rPr>
                <w:b w:val="0"/>
                <w:bCs w:val="0"/>
                <w:color w:val="auto"/>
                <w:sz w:val="24"/>
              </w:rPr>
            </w:pPr>
            <w:r>
              <w:rPr>
                <w:b w:val="0"/>
                <w:bCs w:val="0"/>
                <w:color w:val="auto"/>
                <w:spacing w:val="-10"/>
                <w:sz w:val="24"/>
              </w:rPr>
              <w:t>地点：</w:t>
            </w:r>
            <w:r>
              <w:rPr>
                <w:rFonts w:hint="eastAsia"/>
                <w:b w:val="0"/>
                <w:bCs w:val="0"/>
                <w:color w:val="auto"/>
                <w:spacing w:val="-10"/>
                <w:sz w:val="24"/>
                <w:lang w:val="en-US" w:eastAsia="zh-CN"/>
              </w:rPr>
              <w:t>玛纳斯县文体中心二楼政府采购中心招标室（中华碧玉园）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64" w:type="dxa"/>
          </w:tcPr>
          <w:p>
            <w:pPr>
              <w:pStyle w:val="30"/>
              <w:rPr>
                <w:sz w:val="24"/>
              </w:rPr>
            </w:pPr>
          </w:p>
          <w:p>
            <w:pPr>
              <w:pStyle w:val="30"/>
              <w:spacing w:before="191"/>
              <w:ind w:right="250"/>
              <w:jc w:val="right"/>
              <w:rPr>
                <w:rFonts w:hint="default" w:eastAsia="仿宋"/>
                <w:sz w:val="24"/>
                <w:lang w:val="en-US" w:eastAsia="zh-CN"/>
              </w:rPr>
            </w:pPr>
            <w:r>
              <w:rPr>
                <w:rFonts w:hint="eastAsia"/>
                <w:sz w:val="24"/>
                <w:lang w:val="en-US" w:eastAsia="zh-CN"/>
              </w:rPr>
              <w:t>25</w:t>
            </w:r>
          </w:p>
        </w:tc>
        <w:tc>
          <w:tcPr>
            <w:tcW w:w="2587" w:type="dxa"/>
          </w:tcPr>
          <w:p>
            <w:pPr>
              <w:pStyle w:val="30"/>
              <w:rPr>
                <w:sz w:val="24"/>
              </w:rPr>
            </w:pPr>
          </w:p>
          <w:p>
            <w:pPr>
              <w:pStyle w:val="30"/>
              <w:spacing w:before="191"/>
              <w:rPr>
                <w:sz w:val="24"/>
              </w:rPr>
            </w:pPr>
            <w:r>
              <w:rPr>
                <w:rFonts w:hint="eastAsia"/>
                <w:sz w:val="24"/>
                <w:lang w:val="en-US" w:eastAsia="zh-CN"/>
              </w:rPr>
              <w:t>磋商</w:t>
            </w:r>
            <w:r>
              <w:rPr>
                <w:sz w:val="24"/>
              </w:rPr>
              <w:t>时间及地点</w:t>
            </w:r>
          </w:p>
        </w:tc>
        <w:tc>
          <w:tcPr>
            <w:tcW w:w="5808" w:type="dxa"/>
          </w:tcPr>
          <w:p>
            <w:pPr>
              <w:pStyle w:val="30"/>
              <w:spacing w:before="96"/>
              <w:ind w:left="107"/>
              <w:rPr>
                <w:b w:val="0"/>
                <w:bCs w:val="0"/>
                <w:color w:val="auto"/>
                <w:sz w:val="24"/>
              </w:rPr>
            </w:pPr>
            <w:r>
              <w:rPr>
                <w:b w:val="0"/>
                <w:bCs w:val="0"/>
                <w:color w:val="auto"/>
                <w:sz w:val="24"/>
              </w:rPr>
              <w:t>时间：</w:t>
            </w:r>
            <w:r>
              <w:rPr>
                <w:b w:val="0"/>
                <w:bCs w:val="0"/>
                <w:color w:val="auto"/>
                <w:sz w:val="24"/>
                <w:u w:val="single"/>
              </w:rPr>
              <w:t>202</w:t>
            </w:r>
            <w:r>
              <w:rPr>
                <w:rFonts w:hint="eastAsia"/>
                <w:b w:val="0"/>
                <w:bCs w:val="0"/>
                <w:color w:val="auto"/>
                <w:sz w:val="24"/>
                <w:u w:val="single"/>
                <w:lang w:val="en-US" w:eastAsia="zh-CN"/>
              </w:rPr>
              <w:t>2</w:t>
            </w:r>
            <w:r>
              <w:rPr>
                <w:b w:val="0"/>
                <w:bCs w:val="0"/>
                <w:color w:val="auto"/>
                <w:sz w:val="24"/>
                <w:u w:val="single"/>
              </w:rPr>
              <w:t>年</w:t>
            </w:r>
            <w:r>
              <w:rPr>
                <w:rFonts w:hint="eastAsia"/>
                <w:b w:val="0"/>
                <w:bCs w:val="0"/>
                <w:color w:val="auto"/>
                <w:sz w:val="24"/>
                <w:u w:val="single"/>
                <w:lang w:val="en-US" w:eastAsia="zh-CN"/>
              </w:rPr>
              <w:t>5</w:t>
            </w:r>
            <w:r>
              <w:rPr>
                <w:b w:val="0"/>
                <w:bCs w:val="0"/>
                <w:color w:val="auto"/>
                <w:sz w:val="24"/>
                <w:u w:val="single"/>
              </w:rPr>
              <w:t>月</w:t>
            </w:r>
            <w:r>
              <w:rPr>
                <w:rFonts w:hint="eastAsia"/>
                <w:b w:val="0"/>
                <w:bCs w:val="0"/>
                <w:color w:val="auto"/>
                <w:sz w:val="24"/>
                <w:u w:val="single"/>
                <w:lang w:val="en-US" w:eastAsia="zh-CN"/>
              </w:rPr>
              <w:t>7</w:t>
            </w:r>
            <w:r>
              <w:rPr>
                <w:b w:val="0"/>
                <w:bCs w:val="0"/>
                <w:color w:val="auto"/>
                <w:sz w:val="24"/>
                <w:u w:val="single"/>
              </w:rPr>
              <w:t>日</w:t>
            </w:r>
            <w:r>
              <w:rPr>
                <w:rFonts w:hint="eastAsia"/>
                <w:b w:val="0"/>
                <w:bCs w:val="0"/>
                <w:color w:val="auto"/>
                <w:sz w:val="24"/>
                <w:u w:val="single"/>
                <w:lang w:val="en-US" w:eastAsia="zh-CN"/>
              </w:rPr>
              <w:t xml:space="preserve"> 上</w:t>
            </w:r>
            <w:r>
              <w:rPr>
                <w:rFonts w:hint="eastAsia"/>
                <w:b w:val="0"/>
                <w:bCs w:val="0"/>
                <w:color w:val="auto"/>
                <w:sz w:val="24"/>
                <w:u w:val="single"/>
                <w:lang w:eastAsia="zh-CN"/>
              </w:rPr>
              <w:t>午</w:t>
            </w:r>
            <w:bookmarkStart w:id="110" w:name="_GoBack"/>
            <w:r>
              <w:rPr>
                <w:rFonts w:hint="eastAsia"/>
                <w:b w:val="0"/>
                <w:bCs w:val="0"/>
                <w:color w:val="auto"/>
                <w:sz w:val="24"/>
                <w:u w:val="single"/>
                <w:lang w:val="en-US" w:eastAsia="zh-CN"/>
              </w:rPr>
              <w:t>11</w:t>
            </w:r>
            <w:bookmarkEnd w:id="110"/>
            <w:r>
              <w:rPr>
                <w:b w:val="0"/>
                <w:bCs w:val="0"/>
                <w:color w:val="auto"/>
                <w:sz w:val="24"/>
                <w:u w:val="single"/>
              </w:rPr>
              <w:t>点</w:t>
            </w:r>
            <w:r>
              <w:rPr>
                <w:rFonts w:hint="eastAsia"/>
                <w:b w:val="0"/>
                <w:bCs w:val="0"/>
                <w:color w:val="auto"/>
                <w:sz w:val="24"/>
                <w:u w:val="single"/>
                <w:lang w:val="en-US" w:eastAsia="zh-CN"/>
              </w:rPr>
              <w:t>00</w:t>
            </w:r>
            <w:r>
              <w:rPr>
                <w:b w:val="0"/>
                <w:bCs w:val="0"/>
                <w:color w:val="auto"/>
                <w:sz w:val="24"/>
                <w:u w:val="single"/>
              </w:rPr>
              <w:t xml:space="preserve"> 分</w:t>
            </w:r>
            <w:r>
              <w:rPr>
                <w:b w:val="0"/>
                <w:bCs w:val="0"/>
                <w:color w:val="auto"/>
                <w:sz w:val="24"/>
              </w:rPr>
              <w:t>。</w:t>
            </w:r>
          </w:p>
          <w:p>
            <w:pPr>
              <w:pStyle w:val="30"/>
              <w:spacing w:before="64" w:line="370" w:lineRule="atLeast"/>
              <w:ind w:left="333" w:right="96" w:hanging="226"/>
              <w:rPr>
                <w:b w:val="0"/>
                <w:bCs w:val="0"/>
                <w:color w:val="auto"/>
                <w:sz w:val="24"/>
              </w:rPr>
            </w:pPr>
            <w:r>
              <w:rPr>
                <w:b w:val="0"/>
                <w:bCs w:val="0"/>
                <w:color w:val="auto"/>
                <w:spacing w:val="-10"/>
                <w:sz w:val="24"/>
              </w:rPr>
              <w:t>地点：</w:t>
            </w:r>
            <w:r>
              <w:rPr>
                <w:rFonts w:hint="eastAsia"/>
                <w:b w:val="0"/>
                <w:bCs w:val="0"/>
                <w:color w:val="auto"/>
                <w:spacing w:val="-10"/>
                <w:sz w:val="24"/>
                <w:lang w:val="en-US" w:eastAsia="zh-CN"/>
              </w:rPr>
              <w:t>玛纳斯县文体中心二楼政府采购中心招标室（中华碧玉园）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764" w:type="dxa"/>
          </w:tcPr>
          <w:p>
            <w:pPr>
              <w:pStyle w:val="30"/>
              <w:rPr>
                <w:sz w:val="24"/>
              </w:rPr>
            </w:pPr>
          </w:p>
          <w:p>
            <w:pPr>
              <w:pStyle w:val="30"/>
              <w:spacing w:before="162"/>
              <w:ind w:right="250"/>
              <w:jc w:val="right"/>
              <w:rPr>
                <w:rFonts w:hint="default" w:eastAsia="仿宋"/>
                <w:sz w:val="24"/>
                <w:lang w:val="en-US" w:eastAsia="zh-CN"/>
              </w:rPr>
            </w:pPr>
            <w:r>
              <w:rPr>
                <w:rFonts w:hint="eastAsia"/>
                <w:sz w:val="24"/>
                <w:lang w:val="en-US" w:eastAsia="zh-CN"/>
              </w:rPr>
              <w:t>26</w:t>
            </w:r>
          </w:p>
        </w:tc>
        <w:tc>
          <w:tcPr>
            <w:tcW w:w="2587" w:type="dxa"/>
          </w:tcPr>
          <w:p>
            <w:pPr>
              <w:pStyle w:val="30"/>
              <w:rPr>
                <w:sz w:val="24"/>
              </w:rPr>
            </w:pPr>
          </w:p>
          <w:p>
            <w:pPr>
              <w:pStyle w:val="30"/>
              <w:spacing w:before="162"/>
              <w:ind w:left="107"/>
              <w:rPr>
                <w:sz w:val="24"/>
              </w:rPr>
            </w:pPr>
            <w:r>
              <w:rPr>
                <w:sz w:val="24"/>
              </w:rPr>
              <w:t>是否退还响应文件</w:t>
            </w:r>
          </w:p>
        </w:tc>
        <w:tc>
          <w:tcPr>
            <w:tcW w:w="5808" w:type="dxa"/>
          </w:tcPr>
          <w:p>
            <w:pPr>
              <w:pStyle w:val="30"/>
              <w:spacing w:before="32" w:line="370" w:lineRule="atLeast"/>
              <w:ind w:left="107" w:right="96"/>
              <w:jc w:val="both"/>
              <w:rPr>
                <w:sz w:val="24"/>
              </w:rPr>
            </w:pPr>
            <w:r>
              <w:rPr>
                <w:sz w:val="24"/>
              </w:rPr>
              <w:t>除供应商需收回的资格、资信等证明文件中的证明材料原件（如营业执照、合同、相关资质证书等）外， 其他文件概不退还。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764" w:type="dxa"/>
          </w:tcPr>
          <w:p>
            <w:pPr>
              <w:pStyle w:val="30"/>
              <w:spacing w:before="162"/>
              <w:ind w:right="250"/>
              <w:jc w:val="right"/>
              <w:rPr>
                <w:rFonts w:hint="eastAsia"/>
                <w:sz w:val="24"/>
                <w:lang w:val="en-US" w:eastAsia="zh-CN"/>
              </w:rPr>
            </w:pPr>
          </w:p>
          <w:p>
            <w:pPr>
              <w:pStyle w:val="30"/>
              <w:spacing w:before="162"/>
              <w:ind w:right="250"/>
              <w:jc w:val="right"/>
              <w:rPr>
                <w:rFonts w:hint="eastAsia"/>
                <w:sz w:val="24"/>
                <w:lang w:val="en-US" w:eastAsia="zh-CN"/>
              </w:rPr>
            </w:pPr>
          </w:p>
          <w:p>
            <w:pPr>
              <w:pStyle w:val="30"/>
              <w:spacing w:before="162"/>
              <w:ind w:right="250"/>
              <w:jc w:val="right"/>
              <w:rPr>
                <w:rFonts w:hint="eastAsia"/>
                <w:sz w:val="24"/>
                <w:lang w:val="en-US" w:eastAsia="zh-CN"/>
              </w:rPr>
            </w:pPr>
          </w:p>
          <w:p>
            <w:pPr>
              <w:pStyle w:val="30"/>
              <w:spacing w:before="162"/>
              <w:ind w:right="250"/>
              <w:jc w:val="right"/>
              <w:rPr>
                <w:rFonts w:hint="default" w:eastAsia="仿宋"/>
                <w:sz w:val="24"/>
                <w:lang w:val="en-US" w:eastAsia="zh-CN"/>
              </w:rPr>
            </w:pPr>
            <w:r>
              <w:rPr>
                <w:rFonts w:hint="eastAsia"/>
                <w:sz w:val="24"/>
                <w:lang w:val="en-US" w:eastAsia="zh-CN"/>
              </w:rPr>
              <w:t>27</w:t>
            </w:r>
          </w:p>
        </w:tc>
        <w:tc>
          <w:tcPr>
            <w:tcW w:w="2587" w:type="dxa"/>
          </w:tcPr>
          <w:p>
            <w:pPr>
              <w:pStyle w:val="30"/>
              <w:spacing w:before="162"/>
              <w:ind w:left="107"/>
              <w:rPr>
                <w:sz w:val="24"/>
              </w:rPr>
            </w:pPr>
            <w:r>
              <w:rPr>
                <w:rFonts w:hint="eastAsia" w:ascii="宋体" w:hAnsi="宋体" w:cs="宋体"/>
                <w:b/>
                <w:bCs/>
                <w:color w:val="auto"/>
                <w:sz w:val="24"/>
                <w:u w:val="none"/>
              </w:rPr>
              <w:t>磋商轮数和最后报价的其他要求</w:t>
            </w:r>
          </w:p>
        </w:tc>
        <w:tc>
          <w:tcPr>
            <w:tcW w:w="5808" w:type="dxa"/>
          </w:tcPr>
          <w:p>
            <w:pPr>
              <w:pStyle w:val="8"/>
              <w:numPr>
                <w:ilvl w:val="0"/>
                <w:numId w:val="0"/>
              </w:numPr>
              <w:spacing w:line="360" w:lineRule="auto"/>
              <w:rPr>
                <w:rFonts w:hint="default" w:ascii="仿宋" w:hAnsi="仿宋" w:eastAsia="仿宋" w:cs="仿宋"/>
                <w:sz w:val="24"/>
                <w:szCs w:val="22"/>
                <w:lang w:val="en-US" w:eastAsia="zh-CN" w:bidi="zh-CN"/>
              </w:rPr>
            </w:pPr>
            <w:r>
              <w:rPr>
                <w:rFonts w:hint="eastAsia" w:ascii="仿宋" w:hAnsi="仿宋" w:eastAsia="仿宋" w:cs="仿宋"/>
                <w:sz w:val="24"/>
                <w:szCs w:val="22"/>
                <w:lang w:val="en-US" w:eastAsia="zh-CN" w:bidi="zh-CN"/>
              </w:rPr>
              <w:t>磋商轮数：2轮</w:t>
            </w:r>
          </w:p>
          <w:p>
            <w:pPr>
              <w:pStyle w:val="8"/>
              <w:numPr>
                <w:ilvl w:val="0"/>
                <w:numId w:val="0"/>
              </w:numPr>
              <w:spacing w:line="360" w:lineRule="auto"/>
              <w:ind w:right="0" w:rightChars="0"/>
              <w:rPr>
                <w:rFonts w:hint="eastAsia"/>
                <w:lang w:val="zh-CN" w:eastAsia="zh-CN"/>
              </w:rPr>
            </w:pPr>
            <w:r>
              <w:rPr>
                <w:rFonts w:hint="eastAsia" w:ascii="仿宋" w:hAnsi="仿宋" w:eastAsia="仿宋" w:cs="仿宋"/>
                <w:sz w:val="24"/>
                <w:szCs w:val="22"/>
                <w:lang w:val="en-US" w:eastAsia="zh-CN" w:bidi="zh-CN"/>
              </w:rPr>
              <w:t>1、</w:t>
            </w:r>
            <w:r>
              <w:rPr>
                <w:rFonts w:hint="eastAsia" w:ascii="仿宋" w:hAnsi="仿宋" w:eastAsia="仿宋" w:cs="仿宋"/>
                <w:sz w:val="24"/>
                <w:szCs w:val="22"/>
                <w:lang w:val="zh-CN" w:eastAsia="zh-CN" w:bidi="zh-CN"/>
              </w:rPr>
              <w:t>磋商</w:t>
            </w:r>
            <w:r>
              <w:rPr>
                <w:rFonts w:hint="eastAsia" w:ascii="仿宋" w:hAnsi="仿宋" w:eastAsia="仿宋" w:cs="仿宋"/>
                <w:sz w:val="24"/>
                <w:szCs w:val="22"/>
                <w:lang w:val="en-US" w:eastAsia="zh-CN" w:bidi="zh-CN"/>
              </w:rPr>
              <w:t>进行二轮（第二轮为最终报价），即响应文件内的报价为首轮报价，通过初步评审的供应商；与磋商小组进行一对一的磋商并给出二次报价，即为最终报价，磋商顺序由采购人及磋商小组根据现场情况确定。（小微企业价格扣除幅度：价格给予6%的扣除）</w:t>
            </w:r>
          </w:p>
          <w:p>
            <w:pPr>
              <w:pStyle w:val="30"/>
              <w:spacing w:before="32" w:line="370" w:lineRule="atLeast"/>
              <w:ind w:left="107" w:right="96"/>
              <w:jc w:val="both"/>
              <w:rPr>
                <w:sz w:val="24"/>
              </w:rPr>
            </w:pPr>
            <w:r>
              <w:rPr>
                <w:rFonts w:hint="eastAsia" w:ascii="仿宋" w:hAnsi="仿宋" w:eastAsia="仿宋" w:cs="仿宋"/>
                <w:sz w:val="24"/>
                <w:szCs w:val="22"/>
                <w:lang w:val="zh-CN" w:eastAsia="zh-CN" w:bidi="zh-CN"/>
              </w:rPr>
              <w:t>2、所有仍在参加磋商的供应商按照磋商小组的要求做</w:t>
            </w:r>
            <w:r>
              <w:rPr>
                <w:rFonts w:hint="eastAsia" w:ascii="仿宋" w:hAnsi="仿宋" w:eastAsia="仿宋" w:cs="仿宋"/>
                <w:sz w:val="24"/>
                <w:szCs w:val="22"/>
                <w:lang w:val="en-US" w:eastAsia="zh-CN" w:bidi="zh-CN"/>
              </w:rPr>
              <w:t>最终报价</w:t>
            </w:r>
            <w:r>
              <w:rPr>
                <w:rFonts w:hint="eastAsia" w:ascii="仿宋" w:hAnsi="仿宋" w:eastAsia="仿宋" w:cs="仿宋"/>
                <w:sz w:val="24"/>
                <w:szCs w:val="22"/>
                <w:lang w:val="zh-CN" w:eastAsia="zh-CN" w:bidi="zh-CN"/>
              </w:rPr>
              <w:t>（含修正的响应文件，如有），最后报价由其</w:t>
            </w:r>
            <w:r>
              <w:rPr>
                <w:rFonts w:hint="eastAsia" w:ascii="仿宋" w:hAnsi="仿宋" w:eastAsia="仿宋" w:cs="仿宋"/>
                <w:sz w:val="24"/>
                <w:szCs w:val="22"/>
                <w:lang w:val="en-US" w:eastAsia="zh-CN" w:bidi="zh-CN"/>
              </w:rPr>
              <w:t>法定代表人或其授权代表签字确认递交。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30"/>
              <w:spacing w:before="94"/>
              <w:ind w:right="250"/>
              <w:jc w:val="right"/>
              <w:rPr>
                <w:rFonts w:hint="default" w:eastAsia="仿宋"/>
                <w:sz w:val="24"/>
                <w:lang w:val="en-US" w:eastAsia="zh-CN"/>
              </w:rPr>
            </w:pPr>
            <w:r>
              <w:rPr>
                <w:rFonts w:hint="eastAsia"/>
                <w:sz w:val="24"/>
                <w:lang w:val="en-US" w:eastAsia="zh-CN"/>
              </w:rPr>
              <w:t>28</w:t>
            </w:r>
          </w:p>
        </w:tc>
        <w:tc>
          <w:tcPr>
            <w:tcW w:w="8395" w:type="dxa"/>
            <w:gridSpan w:val="2"/>
          </w:tcPr>
          <w:p>
            <w:pPr>
              <w:pStyle w:val="30"/>
              <w:spacing w:before="94"/>
              <w:rPr>
                <w:sz w:val="24"/>
              </w:rPr>
            </w:pPr>
            <w:r>
              <w:rPr>
                <w:sz w:val="24"/>
              </w:rPr>
              <w:t>其他需补充的内容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764" w:type="dxa"/>
          </w:tcPr>
          <w:p>
            <w:pPr>
              <w:pStyle w:val="30"/>
              <w:rPr>
                <w:sz w:val="24"/>
              </w:rPr>
            </w:pPr>
          </w:p>
          <w:p>
            <w:pPr>
              <w:pStyle w:val="30"/>
              <w:spacing w:before="193"/>
              <w:ind w:right="250"/>
              <w:jc w:val="right"/>
              <w:rPr>
                <w:rFonts w:hint="default" w:eastAsia="仿宋"/>
                <w:sz w:val="24"/>
                <w:lang w:val="en-US" w:eastAsia="zh-CN"/>
              </w:rPr>
            </w:pPr>
            <w:r>
              <w:rPr>
                <w:rFonts w:hint="eastAsia"/>
                <w:sz w:val="24"/>
                <w:lang w:val="en-US" w:eastAsia="zh-CN"/>
              </w:rPr>
              <w:t>28.1</w:t>
            </w:r>
          </w:p>
        </w:tc>
        <w:tc>
          <w:tcPr>
            <w:tcW w:w="2587" w:type="dxa"/>
          </w:tcPr>
          <w:p>
            <w:pPr>
              <w:pStyle w:val="30"/>
              <w:spacing w:line="292" w:lineRule="auto"/>
              <w:ind w:right="96"/>
              <w:rPr>
                <w:sz w:val="24"/>
              </w:rPr>
            </w:pPr>
          </w:p>
          <w:p>
            <w:pPr>
              <w:pStyle w:val="30"/>
              <w:spacing w:line="292" w:lineRule="auto"/>
              <w:ind w:right="96"/>
              <w:rPr>
                <w:sz w:val="24"/>
              </w:rPr>
            </w:pPr>
            <w:r>
              <w:rPr>
                <w:sz w:val="24"/>
              </w:rPr>
              <w:t>供应商在</w:t>
            </w:r>
            <w:r>
              <w:rPr>
                <w:rFonts w:hint="eastAsia"/>
                <w:sz w:val="24"/>
                <w:lang w:val="en-US" w:eastAsia="zh-CN"/>
              </w:rPr>
              <w:t>磋商</w:t>
            </w:r>
            <w:r>
              <w:rPr>
                <w:sz w:val="24"/>
              </w:rPr>
              <w:t>时需携带的验资文件</w:t>
            </w:r>
          </w:p>
        </w:tc>
        <w:tc>
          <w:tcPr>
            <w:tcW w:w="5808" w:type="dxa"/>
          </w:tcPr>
          <w:p>
            <w:pPr>
              <w:pStyle w:val="30"/>
              <w:numPr>
                <w:ilvl w:val="0"/>
                <w:numId w:val="0"/>
              </w:numPr>
              <w:tabs>
                <w:tab w:val="left" w:pos="709"/>
              </w:tabs>
              <w:spacing w:before="60" w:after="0" w:line="240" w:lineRule="auto"/>
              <w:ind w:left="106" w:leftChars="0" w:right="0" w:rightChars="0"/>
              <w:jc w:val="both"/>
              <w:rPr>
                <w:rFonts w:hint="eastAsia"/>
                <w:b w:val="0"/>
                <w:bCs w:val="0"/>
                <w:color w:val="FF0000"/>
                <w:sz w:val="24"/>
                <w:lang w:val="en-US" w:eastAsia="zh-CN"/>
              </w:rPr>
            </w:pPr>
            <w:r>
              <w:rPr>
                <w:sz w:val="24"/>
              </w:rPr>
              <w:t>本次采购活动邀请各供应商的法定代表人或委托代理人参加，到场的供应商代表需携带以下文件：</w:t>
            </w:r>
            <w:r>
              <w:rPr>
                <w:rFonts w:hint="eastAsia"/>
                <w:b w:val="0"/>
                <w:bCs w:val="0"/>
                <w:color w:val="FF0000"/>
                <w:sz w:val="24"/>
                <w:lang w:val="en-US" w:eastAsia="zh-CN"/>
              </w:rPr>
              <w:t>（1）有效的营业执照；（2）法定代表人身份证明、授权委托书及委托人身份证明；（3）资质证书；（4）提供“信用中国”、“中国政府采购网”、“国家企业信用信息公示系统”和“中国裁判文书网”查询结果网页打印件并加盖公章，查询时间为获取招标文件之日起至投标截止时间之日内；</w:t>
            </w:r>
          </w:p>
          <w:p>
            <w:pPr>
              <w:pStyle w:val="30"/>
              <w:numPr>
                <w:ilvl w:val="0"/>
                <w:numId w:val="0"/>
              </w:numPr>
              <w:tabs>
                <w:tab w:val="left" w:pos="709"/>
              </w:tabs>
              <w:spacing w:before="60" w:after="0" w:line="240" w:lineRule="auto"/>
              <w:ind w:left="106" w:leftChars="0" w:right="0" w:rightChars="0"/>
              <w:jc w:val="both"/>
              <w:rPr>
                <w:rFonts w:hint="eastAsia" w:eastAsia="仿宋"/>
                <w:sz w:val="24"/>
                <w:lang w:eastAsia="zh-CN"/>
              </w:rPr>
            </w:pPr>
            <w:r>
              <w:rPr>
                <w:rFonts w:hint="eastAsia"/>
                <w:b/>
                <w:bCs/>
                <w:sz w:val="24"/>
                <w:lang w:val="en-US" w:eastAsia="zh-CN"/>
              </w:rPr>
              <w:t>注：</w:t>
            </w:r>
            <w:r>
              <w:rPr>
                <w:b/>
                <w:bCs/>
                <w:sz w:val="24"/>
              </w:rPr>
              <w:t>以上证明材料的公证件</w:t>
            </w:r>
            <w:r>
              <w:rPr>
                <w:b/>
                <w:bCs/>
                <w:spacing w:val="-1"/>
                <w:sz w:val="24"/>
                <w:u w:val="none"/>
              </w:rPr>
              <w:t>不予</w:t>
            </w:r>
            <w:r>
              <w:rPr>
                <w:b/>
                <w:bCs/>
                <w:spacing w:val="-1"/>
                <w:sz w:val="24"/>
              </w:rPr>
              <w:t>认可</w:t>
            </w:r>
            <w:r>
              <w:rPr>
                <w:rFonts w:hint="eastAsia"/>
                <w:b/>
                <w:bCs/>
                <w:spacing w:val="-1"/>
                <w:sz w:val="24"/>
                <w:lang w:eastAsia="zh-CN"/>
              </w:rPr>
              <w:t>，若现场未提供以上资料投标文件将被拒绝。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1" w:hRule="atLeast"/>
        </w:trPr>
        <w:tc>
          <w:tcPr>
            <w:tcW w:w="764" w:type="dxa"/>
          </w:tcPr>
          <w:p>
            <w:pPr>
              <w:pStyle w:val="30"/>
              <w:rPr>
                <w:sz w:val="24"/>
              </w:rPr>
            </w:pPr>
          </w:p>
          <w:p>
            <w:pPr>
              <w:pStyle w:val="30"/>
              <w:spacing w:before="8"/>
              <w:rPr>
                <w:sz w:val="29"/>
              </w:rPr>
            </w:pPr>
          </w:p>
          <w:p>
            <w:pPr>
              <w:pStyle w:val="30"/>
              <w:ind w:left="121" w:right="112"/>
              <w:jc w:val="center"/>
              <w:rPr>
                <w:sz w:val="24"/>
              </w:rPr>
            </w:pPr>
            <w:r>
              <w:rPr>
                <w:rFonts w:hint="eastAsia"/>
                <w:sz w:val="24"/>
                <w:lang w:val="en-US" w:eastAsia="zh-CN"/>
              </w:rPr>
              <w:t>28</w:t>
            </w:r>
            <w:r>
              <w:rPr>
                <w:sz w:val="24"/>
              </w:rPr>
              <w:t>.2</w:t>
            </w:r>
          </w:p>
        </w:tc>
        <w:tc>
          <w:tcPr>
            <w:tcW w:w="2587" w:type="dxa"/>
          </w:tcPr>
          <w:p>
            <w:pPr>
              <w:pStyle w:val="30"/>
              <w:rPr>
                <w:sz w:val="24"/>
              </w:rPr>
            </w:pPr>
          </w:p>
          <w:p>
            <w:pPr>
              <w:pStyle w:val="30"/>
              <w:spacing w:before="193" w:line="292" w:lineRule="auto"/>
              <w:ind w:right="43"/>
              <w:rPr>
                <w:sz w:val="24"/>
              </w:rPr>
            </w:pPr>
            <w:r>
              <w:rPr>
                <w:sz w:val="24"/>
              </w:rPr>
              <w:t>分包和非主体、非关键性工作</w:t>
            </w:r>
          </w:p>
        </w:tc>
        <w:tc>
          <w:tcPr>
            <w:tcW w:w="5808" w:type="dxa"/>
          </w:tcPr>
          <w:p>
            <w:pPr>
              <w:pStyle w:val="30"/>
              <w:spacing w:before="95"/>
              <w:ind w:left="107"/>
              <w:jc w:val="both"/>
              <w:rPr>
                <w:sz w:val="24"/>
              </w:rPr>
            </w:pPr>
            <w:r>
              <w:rPr>
                <w:rFonts w:ascii="Wingdings" w:hAnsi="Wingdings" w:eastAsia="Wingdings"/>
                <w:sz w:val="24"/>
              </w:rPr>
              <w:t></w:t>
            </w:r>
            <w:r>
              <w:rPr>
                <w:rFonts w:ascii="Times New Roman" w:hAnsi="Times New Roman" w:eastAsia="Times New Roman"/>
                <w:spacing w:val="59"/>
                <w:sz w:val="24"/>
              </w:rPr>
              <w:t xml:space="preserve"> </w:t>
            </w:r>
            <w:r>
              <w:rPr>
                <w:sz w:val="24"/>
              </w:rPr>
              <w:t>不允许</w:t>
            </w:r>
          </w:p>
          <w:p>
            <w:pPr>
              <w:pStyle w:val="30"/>
              <w:spacing w:before="67" w:line="370" w:lineRule="atLeast"/>
              <w:ind w:left="107" w:right="96"/>
              <w:jc w:val="both"/>
              <w:rPr>
                <w:sz w:val="24"/>
              </w:rPr>
            </w:pPr>
            <w:r>
              <w:rPr>
                <w:spacing w:val="-8"/>
                <w:sz w:val="24"/>
              </w:rPr>
              <w:t>□ 允许，供应商根据采购文件载明的标的采购项目实</w:t>
            </w:r>
            <w:r>
              <w:rPr>
                <w:sz w:val="24"/>
              </w:rPr>
              <w:t>际情况，拟在成交后将成交项目的非主体、非关键性工作交由他人完成的，应当在响应文件中载明。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0" w:hRule="atLeast"/>
        </w:trPr>
        <w:tc>
          <w:tcPr>
            <w:tcW w:w="764" w:type="dxa"/>
          </w:tcPr>
          <w:p>
            <w:pPr>
              <w:pStyle w:val="30"/>
              <w:rPr>
                <w:sz w:val="24"/>
              </w:rPr>
            </w:pPr>
          </w:p>
          <w:p>
            <w:pPr>
              <w:pStyle w:val="30"/>
              <w:rPr>
                <w:sz w:val="24"/>
              </w:rPr>
            </w:pPr>
          </w:p>
          <w:p>
            <w:pPr>
              <w:pStyle w:val="30"/>
              <w:spacing w:before="11"/>
              <w:rPr>
                <w:sz w:val="34"/>
              </w:rPr>
            </w:pPr>
          </w:p>
          <w:p>
            <w:pPr>
              <w:pStyle w:val="30"/>
              <w:ind w:left="121" w:right="112"/>
              <w:jc w:val="center"/>
              <w:rPr>
                <w:sz w:val="24"/>
              </w:rPr>
            </w:pPr>
            <w:r>
              <w:rPr>
                <w:rFonts w:hint="eastAsia"/>
                <w:sz w:val="24"/>
                <w:lang w:val="en-US" w:eastAsia="zh-CN"/>
              </w:rPr>
              <w:t>28</w:t>
            </w:r>
            <w:r>
              <w:rPr>
                <w:sz w:val="24"/>
              </w:rPr>
              <w:t>.3</w:t>
            </w:r>
          </w:p>
        </w:tc>
        <w:tc>
          <w:tcPr>
            <w:tcW w:w="2587" w:type="dxa"/>
          </w:tcPr>
          <w:p>
            <w:pPr>
              <w:pStyle w:val="30"/>
              <w:rPr>
                <w:sz w:val="24"/>
              </w:rPr>
            </w:pPr>
          </w:p>
          <w:p>
            <w:pPr>
              <w:pStyle w:val="30"/>
              <w:rPr>
                <w:sz w:val="24"/>
              </w:rPr>
            </w:pPr>
          </w:p>
          <w:p>
            <w:pPr>
              <w:pStyle w:val="30"/>
              <w:spacing w:before="11"/>
              <w:rPr>
                <w:sz w:val="34"/>
              </w:rPr>
            </w:pPr>
          </w:p>
          <w:p>
            <w:pPr>
              <w:pStyle w:val="30"/>
              <w:rPr>
                <w:sz w:val="24"/>
              </w:rPr>
            </w:pPr>
            <w:r>
              <w:rPr>
                <w:sz w:val="24"/>
              </w:rPr>
              <w:t>多包成交规则</w:t>
            </w:r>
          </w:p>
        </w:tc>
        <w:tc>
          <w:tcPr>
            <w:tcW w:w="5808" w:type="dxa"/>
          </w:tcPr>
          <w:p>
            <w:pPr>
              <w:pStyle w:val="30"/>
              <w:spacing w:before="95" w:line="292" w:lineRule="auto"/>
              <w:ind w:left="107" w:right="33"/>
              <w:rPr>
                <w:sz w:val="24"/>
              </w:rPr>
            </w:pPr>
            <w:r>
              <w:rPr>
                <w:sz w:val="24"/>
              </w:rPr>
              <w:t>分包采购的项目，供应商可以选择</w:t>
            </w:r>
            <w:r>
              <w:rPr>
                <w:sz w:val="24"/>
                <w:u w:val="single"/>
              </w:rPr>
              <w:t xml:space="preserve"> / </w:t>
            </w:r>
            <w:r>
              <w:rPr>
                <w:sz w:val="24"/>
              </w:rPr>
              <w:t>个包报价，但只能成交</w:t>
            </w:r>
            <w:r>
              <w:rPr>
                <w:sz w:val="24"/>
                <w:u w:val="single"/>
              </w:rPr>
              <w:t xml:space="preserve">/ </w:t>
            </w:r>
            <w:r>
              <w:rPr>
                <w:sz w:val="24"/>
              </w:rPr>
              <w:t>个包。</w:t>
            </w:r>
          </w:p>
          <w:p>
            <w:pPr>
              <w:pStyle w:val="30"/>
              <w:spacing w:before="1" w:line="374" w:lineRule="exact"/>
              <w:ind w:left="107" w:right="-29"/>
              <w:rPr>
                <w:sz w:val="24"/>
              </w:rPr>
            </w:pPr>
            <w:r>
              <w:rPr>
                <w:sz w:val="24"/>
              </w:rPr>
              <w:t>供应商可依照采购文件要求进行多个包报价。若所投</w:t>
            </w:r>
            <w:r>
              <w:rPr>
                <w:spacing w:val="13"/>
                <w:sz w:val="24"/>
              </w:rPr>
              <w:t>多个包的报价排位均第一，由供应商自行选择其中</w:t>
            </w:r>
            <w:r>
              <w:rPr>
                <w:spacing w:val="-3"/>
                <w:sz w:val="24"/>
              </w:rPr>
              <w:t xml:space="preserve">个包成交；其他包参与报价排序，排序第一也不成交， </w:t>
            </w:r>
            <w:r>
              <w:rPr>
                <w:sz w:val="24"/>
              </w:rPr>
              <w:t>成交顺延排序第二的供应商，以此类推。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764" w:type="dxa"/>
          </w:tcPr>
          <w:p>
            <w:pPr>
              <w:pStyle w:val="30"/>
              <w:spacing w:before="1"/>
              <w:rPr>
                <w:sz w:val="22"/>
              </w:rPr>
            </w:pPr>
          </w:p>
          <w:p>
            <w:pPr>
              <w:pStyle w:val="30"/>
              <w:ind w:left="121" w:right="112"/>
              <w:jc w:val="center"/>
              <w:rPr>
                <w:sz w:val="24"/>
              </w:rPr>
            </w:pPr>
            <w:r>
              <w:rPr>
                <w:rFonts w:hint="eastAsia"/>
                <w:sz w:val="24"/>
                <w:lang w:val="en-US" w:eastAsia="zh-CN"/>
              </w:rPr>
              <w:t>28</w:t>
            </w:r>
            <w:r>
              <w:rPr>
                <w:sz w:val="24"/>
              </w:rPr>
              <w:t>.4</w:t>
            </w:r>
          </w:p>
        </w:tc>
        <w:tc>
          <w:tcPr>
            <w:tcW w:w="2587" w:type="dxa"/>
          </w:tcPr>
          <w:p>
            <w:pPr>
              <w:pStyle w:val="30"/>
              <w:spacing w:before="1"/>
              <w:rPr>
                <w:sz w:val="22"/>
              </w:rPr>
            </w:pPr>
          </w:p>
          <w:p>
            <w:pPr>
              <w:pStyle w:val="30"/>
              <w:rPr>
                <w:sz w:val="24"/>
              </w:rPr>
            </w:pPr>
            <w:r>
              <w:rPr>
                <w:sz w:val="24"/>
              </w:rPr>
              <w:t>监督</w:t>
            </w:r>
          </w:p>
        </w:tc>
        <w:tc>
          <w:tcPr>
            <w:tcW w:w="5808" w:type="dxa"/>
          </w:tcPr>
          <w:p>
            <w:pPr>
              <w:pStyle w:val="30"/>
              <w:spacing w:before="33" w:line="370" w:lineRule="atLeast"/>
              <w:ind w:left="107" w:right="96"/>
              <w:rPr>
                <w:sz w:val="24"/>
              </w:rPr>
            </w:pPr>
            <w:r>
              <w:rPr>
                <w:sz w:val="24"/>
              </w:rPr>
              <w:t>本次采购活动以及相关当事人应当接受当地监督管理部门依法实施的监督。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764" w:type="dxa"/>
          </w:tcPr>
          <w:p>
            <w:pPr>
              <w:pStyle w:val="30"/>
              <w:spacing w:before="33"/>
              <w:ind w:left="121" w:right="112"/>
              <w:jc w:val="center"/>
              <w:rPr>
                <w:rFonts w:hint="default" w:eastAsia="仿宋"/>
                <w:sz w:val="24"/>
                <w:lang w:val="en-US" w:eastAsia="zh-CN"/>
              </w:rPr>
            </w:pPr>
            <w:r>
              <w:rPr>
                <w:rFonts w:hint="eastAsia"/>
                <w:sz w:val="24"/>
                <w:lang w:val="en-US" w:eastAsia="zh-CN"/>
              </w:rPr>
              <w:t>29</w:t>
            </w:r>
          </w:p>
        </w:tc>
        <w:tc>
          <w:tcPr>
            <w:tcW w:w="2587" w:type="dxa"/>
          </w:tcPr>
          <w:p>
            <w:pPr>
              <w:pStyle w:val="30"/>
              <w:spacing w:before="47" w:line="306" w:lineRule="exact"/>
              <w:rPr>
                <w:rFonts w:hint="default" w:eastAsia="仿宋"/>
                <w:sz w:val="24"/>
                <w:lang w:val="en-US" w:eastAsia="zh-CN"/>
              </w:rPr>
            </w:pPr>
            <w:r>
              <w:rPr>
                <w:rFonts w:hint="eastAsia"/>
                <w:sz w:val="24"/>
                <w:lang w:val="en-US" w:eastAsia="zh-CN"/>
              </w:rPr>
              <w:t>澄清、补充文件</w:t>
            </w:r>
          </w:p>
        </w:tc>
        <w:tc>
          <w:tcPr>
            <w:tcW w:w="5808" w:type="dxa"/>
          </w:tcPr>
          <w:p>
            <w:pPr>
              <w:pStyle w:val="30"/>
              <w:spacing w:before="47" w:line="306" w:lineRule="exact"/>
              <w:ind w:left="107"/>
              <w:rPr>
                <w:rFonts w:hint="default"/>
                <w:sz w:val="24"/>
                <w:lang w:val="en-US"/>
              </w:rPr>
            </w:pPr>
            <w:r>
              <w:rPr>
                <w:rFonts w:hint="eastAsia"/>
                <w:sz w:val="24"/>
                <w:lang w:val="en-US" w:eastAsia="zh-CN"/>
              </w:rPr>
              <w:t>澄清、补充文件等将会以书面形式发送给供应商。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64" w:type="dxa"/>
          </w:tcPr>
          <w:p>
            <w:pPr>
              <w:pStyle w:val="30"/>
              <w:spacing w:before="33"/>
              <w:ind w:left="121" w:right="112"/>
              <w:jc w:val="center"/>
              <w:rPr>
                <w:rFonts w:hint="default"/>
                <w:sz w:val="24"/>
                <w:lang w:val="en-US" w:eastAsia="zh-CN"/>
              </w:rPr>
            </w:pPr>
            <w:r>
              <w:rPr>
                <w:rFonts w:hint="eastAsia"/>
                <w:sz w:val="24"/>
                <w:lang w:val="en-US" w:eastAsia="zh-CN"/>
              </w:rPr>
              <w:t>30</w:t>
            </w:r>
          </w:p>
        </w:tc>
        <w:tc>
          <w:tcPr>
            <w:tcW w:w="2587" w:type="dxa"/>
          </w:tcPr>
          <w:p>
            <w:pPr>
              <w:pStyle w:val="30"/>
              <w:spacing w:before="47" w:line="306" w:lineRule="exact"/>
              <w:rPr>
                <w:rFonts w:hint="eastAsia"/>
                <w:sz w:val="24"/>
                <w:lang w:val="en-US" w:eastAsia="zh-CN"/>
              </w:rPr>
            </w:pPr>
            <w:r>
              <w:rPr>
                <w:rFonts w:hint="eastAsia"/>
                <w:sz w:val="24"/>
                <w:lang w:val="en-US" w:eastAsia="zh-CN"/>
              </w:rPr>
              <w:t>中标服务费</w:t>
            </w:r>
          </w:p>
        </w:tc>
        <w:tc>
          <w:tcPr>
            <w:tcW w:w="5808" w:type="dxa"/>
          </w:tcPr>
          <w:p>
            <w:pPr>
              <w:pStyle w:val="30"/>
              <w:spacing w:before="47" w:line="306" w:lineRule="exact"/>
              <w:ind w:left="107"/>
              <w:rPr>
                <w:rFonts w:hint="eastAsia"/>
                <w:sz w:val="24"/>
                <w:lang w:val="en-US" w:eastAsia="zh-CN"/>
              </w:rPr>
            </w:pPr>
            <w:r>
              <w:rPr>
                <w:rFonts w:hint="eastAsia"/>
                <w:sz w:val="24"/>
                <w:lang w:val="en-US" w:eastAsia="zh-CN"/>
              </w:rPr>
              <w:t>由成交供应商支付代理费</w:t>
            </w:r>
          </w:p>
        </w:tc>
      </w:tr>
    </w:tbl>
    <w:p>
      <w:pPr>
        <w:spacing w:after="0" w:line="306" w:lineRule="exact"/>
        <w:ind w:firstLine="480" w:firstLineChars="200"/>
        <w:rPr>
          <w:rFonts w:hint="default" w:eastAsia="仿宋"/>
          <w:sz w:val="24"/>
          <w:lang w:val="en-US" w:eastAsia="zh-CN"/>
        </w:rPr>
        <w:sectPr>
          <w:pgSz w:w="11910" w:h="16840"/>
          <w:pgMar w:top="1400" w:right="940" w:bottom="1100" w:left="940" w:header="0" w:footer="920" w:gutter="0"/>
          <w:pgBorders>
            <w:top w:val="none" w:sz="0" w:space="0"/>
            <w:left w:val="none" w:sz="0" w:space="0"/>
            <w:bottom w:val="none" w:sz="0" w:space="0"/>
            <w:right w:val="none" w:sz="0" w:space="0"/>
          </w:pgBorders>
          <w:pgNumType w:fmt="decimal"/>
          <w:cols w:space="720" w:num="1"/>
        </w:sectPr>
      </w:pPr>
      <w:r>
        <w:rPr>
          <w:rFonts w:hint="eastAsia"/>
          <w:sz w:val="24"/>
        </w:rPr>
        <w:t>注：本表内容与招标文件其它内容不一致的，应当以本表内容为准</w:t>
      </w:r>
      <w:r>
        <w:rPr>
          <w:rFonts w:hint="eastAsia"/>
          <w:sz w:val="24"/>
          <w:lang w:val="en-US" w:eastAsia="zh-CN"/>
        </w:rPr>
        <w:t xml:space="preserve">   </w:t>
      </w:r>
    </w:p>
    <w:p>
      <w:pPr>
        <w:spacing w:before="32"/>
        <w:ind w:right="429" w:firstLine="840" w:firstLineChars="300"/>
        <w:jc w:val="both"/>
        <w:rPr>
          <w:rFonts w:hint="eastAsia" w:ascii="黑体" w:eastAsia="黑体"/>
          <w:sz w:val="28"/>
        </w:rPr>
      </w:pPr>
      <w:r>
        <w:rPr>
          <w:rFonts w:hint="eastAsia" w:ascii="黑体" w:eastAsia="黑体"/>
          <w:sz w:val="28"/>
        </w:rPr>
        <w:t>供应商须知正文</w:t>
      </w:r>
    </w:p>
    <w:p>
      <w:pPr>
        <w:pStyle w:val="10"/>
        <w:spacing w:before="11"/>
        <w:rPr>
          <w:rFonts w:ascii="黑体"/>
          <w:sz w:val="15"/>
        </w:rPr>
      </w:pPr>
    </w:p>
    <w:p>
      <w:pPr>
        <w:pStyle w:val="6"/>
        <w:numPr>
          <w:ilvl w:val="0"/>
          <w:numId w:val="4"/>
        </w:numPr>
        <w:tabs>
          <w:tab w:val="left" w:pos="1319"/>
        </w:tabs>
        <w:spacing w:before="62" w:after="0" w:line="240" w:lineRule="auto"/>
        <w:ind w:left="1318" w:right="0" w:hanging="282"/>
        <w:jc w:val="left"/>
        <w:rPr>
          <w:rFonts w:hint="eastAsia" w:ascii="楷体" w:eastAsia="楷体"/>
        </w:rPr>
      </w:pPr>
      <w:bookmarkStart w:id="3" w:name="1.采购依据以及原则"/>
      <w:bookmarkEnd w:id="3"/>
      <w:bookmarkStart w:id="4" w:name="_bookmark5"/>
      <w:bookmarkEnd w:id="4"/>
      <w:bookmarkStart w:id="5" w:name="_bookmark5"/>
      <w:bookmarkEnd w:id="5"/>
      <w:r>
        <w:rPr>
          <w:rFonts w:hint="eastAsia" w:ascii="楷体" w:eastAsia="楷体"/>
          <w:spacing w:val="-3"/>
        </w:rPr>
        <w:t>采购依据以及原则</w:t>
      </w:r>
    </w:p>
    <w:p>
      <w:pPr>
        <w:pStyle w:val="29"/>
        <w:numPr>
          <w:ilvl w:val="1"/>
          <w:numId w:val="4"/>
        </w:numPr>
        <w:tabs>
          <w:tab w:val="left" w:pos="1320"/>
        </w:tabs>
        <w:spacing w:before="214" w:after="0" w:line="240" w:lineRule="auto"/>
        <w:ind w:left="1319" w:right="0" w:hanging="362"/>
        <w:jc w:val="left"/>
        <w:rPr>
          <w:sz w:val="24"/>
        </w:rPr>
      </w:pPr>
      <w:r>
        <w:rPr>
          <w:sz w:val="24"/>
        </w:rPr>
        <w:t>《中华人民共和国政府采购法》；</w:t>
      </w:r>
    </w:p>
    <w:p>
      <w:pPr>
        <w:pStyle w:val="29"/>
        <w:numPr>
          <w:ilvl w:val="1"/>
          <w:numId w:val="4"/>
        </w:numPr>
        <w:tabs>
          <w:tab w:val="left" w:pos="1320"/>
        </w:tabs>
        <w:spacing w:before="160" w:after="0" w:line="240" w:lineRule="auto"/>
        <w:ind w:left="1319" w:right="0" w:hanging="362"/>
        <w:jc w:val="left"/>
        <w:rPr>
          <w:sz w:val="24"/>
        </w:rPr>
      </w:pPr>
      <w:r>
        <w:rPr>
          <w:sz w:val="24"/>
        </w:rPr>
        <w:t>《中华人民共和国合同法》；</w:t>
      </w:r>
    </w:p>
    <w:p>
      <w:pPr>
        <w:pStyle w:val="29"/>
        <w:numPr>
          <w:ilvl w:val="1"/>
          <w:numId w:val="4"/>
        </w:numPr>
        <w:tabs>
          <w:tab w:val="left" w:pos="1320"/>
        </w:tabs>
        <w:spacing w:before="161" w:after="0" w:line="240" w:lineRule="auto"/>
        <w:ind w:left="1319" w:right="0" w:hanging="362"/>
        <w:jc w:val="left"/>
        <w:rPr>
          <w:sz w:val="24"/>
        </w:rPr>
      </w:pPr>
      <w:r>
        <w:rPr>
          <w:sz w:val="24"/>
        </w:rPr>
        <w:t>《中华人民共和国政府采购法实施条例》；</w:t>
      </w:r>
    </w:p>
    <w:p>
      <w:pPr>
        <w:pStyle w:val="29"/>
        <w:numPr>
          <w:ilvl w:val="1"/>
          <w:numId w:val="4"/>
        </w:numPr>
        <w:tabs>
          <w:tab w:val="left" w:pos="1320"/>
        </w:tabs>
        <w:spacing w:before="160" w:after="0" w:line="240" w:lineRule="auto"/>
        <w:ind w:left="1319" w:right="0" w:hanging="362"/>
        <w:jc w:val="left"/>
        <w:rPr>
          <w:sz w:val="24"/>
        </w:rPr>
      </w:pPr>
      <w:r>
        <w:rPr>
          <w:sz w:val="24"/>
        </w:rPr>
        <w:t>《政府采购非招标采购方式管理办法》；</w:t>
      </w:r>
    </w:p>
    <w:p>
      <w:pPr>
        <w:pStyle w:val="29"/>
        <w:numPr>
          <w:ilvl w:val="1"/>
          <w:numId w:val="4"/>
        </w:numPr>
        <w:tabs>
          <w:tab w:val="left" w:pos="1320"/>
        </w:tabs>
        <w:spacing w:before="161" w:after="0" w:line="240" w:lineRule="auto"/>
        <w:ind w:left="1319" w:right="0" w:hanging="362"/>
        <w:jc w:val="left"/>
        <w:rPr>
          <w:sz w:val="24"/>
        </w:rPr>
      </w:pPr>
      <w:r>
        <w:rPr>
          <w:sz w:val="24"/>
        </w:rPr>
        <w:t>《政府采购质疑和投诉办法》；</w:t>
      </w:r>
    </w:p>
    <w:p>
      <w:pPr>
        <w:pStyle w:val="29"/>
        <w:numPr>
          <w:ilvl w:val="1"/>
          <w:numId w:val="4"/>
        </w:numPr>
        <w:tabs>
          <w:tab w:val="left" w:pos="1379"/>
        </w:tabs>
        <w:spacing w:before="160" w:after="0" w:line="240" w:lineRule="auto"/>
        <w:ind w:left="1378" w:right="0" w:hanging="421"/>
        <w:jc w:val="left"/>
        <w:rPr>
          <w:sz w:val="24"/>
        </w:rPr>
      </w:pPr>
      <w:r>
        <w:rPr>
          <w:sz w:val="24"/>
        </w:rPr>
        <w:t>其他有关法律、行政法规以及省市规范性文件规定。</w:t>
      </w:r>
    </w:p>
    <w:p>
      <w:pPr>
        <w:pStyle w:val="6"/>
        <w:numPr>
          <w:ilvl w:val="0"/>
          <w:numId w:val="4"/>
        </w:numPr>
        <w:tabs>
          <w:tab w:val="left" w:pos="1319"/>
        </w:tabs>
        <w:spacing w:before="212" w:after="0" w:line="240" w:lineRule="auto"/>
        <w:ind w:left="1318" w:right="0" w:hanging="282"/>
        <w:jc w:val="left"/>
        <w:rPr>
          <w:rFonts w:hint="eastAsia" w:ascii="楷体" w:eastAsia="楷体"/>
        </w:rPr>
      </w:pPr>
      <w:bookmarkStart w:id="6" w:name="_bookmark6"/>
      <w:bookmarkEnd w:id="6"/>
      <w:bookmarkStart w:id="7" w:name="_bookmark6"/>
      <w:bookmarkEnd w:id="7"/>
      <w:bookmarkStart w:id="8" w:name="2.合格的供应商"/>
      <w:bookmarkEnd w:id="8"/>
      <w:r>
        <w:rPr>
          <w:rFonts w:hint="eastAsia" w:ascii="楷体" w:eastAsia="楷体"/>
          <w:spacing w:val="-3"/>
        </w:rPr>
        <w:t>合格的供应商</w:t>
      </w:r>
    </w:p>
    <w:p>
      <w:pPr>
        <w:pStyle w:val="29"/>
        <w:numPr>
          <w:ilvl w:val="1"/>
          <w:numId w:val="4"/>
        </w:numPr>
        <w:tabs>
          <w:tab w:val="left" w:pos="1379"/>
        </w:tabs>
        <w:spacing w:before="214" w:after="0" w:line="240" w:lineRule="auto"/>
        <w:ind w:left="1378" w:right="0" w:hanging="421"/>
        <w:jc w:val="left"/>
        <w:rPr>
          <w:sz w:val="24"/>
        </w:rPr>
      </w:pPr>
      <w:r>
        <w:rPr>
          <w:sz w:val="24"/>
        </w:rPr>
        <w:t>符合《中华人民共和国政府采购法》第二十二条第一款规定的条件；</w:t>
      </w:r>
    </w:p>
    <w:p>
      <w:pPr>
        <w:pStyle w:val="29"/>
        <w:numPr>
          <w:ilvl w:val="1"/>
          <w:numId w:val="4"/>
        </w:numPr>
        <w:tabs>
          <w:tab w:val="left" w:pos="1379"/>
        </w:tabs>
        <w:spacing w:before="160" w:after="0" w:line="240" w:lineRule="auto"/>
        <w:ind w:left="1378" w:right="0" w:hanging="421"/>
        <w:jc w:val="left"/>
        <w:rPr>
          <w:sz w:val="24"/>
        </w:rPr>
      </w:pPr>
      <w:r>
        <w:rPr>
          <w:sz w:val="24"/>
        </w:rPr>
        <w:t>符合本磋商文件规定的资格要求，且按照要求提供相关证明材料；</w:t>
      </w:r>
    </w:p>
    <w:p>
      <w:pPr>
        <w:pStyle w:val="29"/>
        <w:numPr>
          <w:ilvl w:val="1"/>
          <w:numId w:val="4"/>
        </w:numPr>
        <w:tabs>
          <w:tab w:val="left" w:pos="1379"/>
        </w:tabs>
        <w:spacing w:before="161" w:after="0" w:line="364" w:lineRule="auto"/>
        <w:ind w:left="478" w:right="476" w:firstLine="480"/>
        <w:jc w:val="left"/>
        <w:rPr>
          <w:sz w:val="24"/>
        </w:rPr>
      </w:pPr>
      <w:r>
        <w:rPr>
          <w:spacing w:val="-1"/>
          <w:sz w:val="24"/>
        </w:rPr>
        <w:t>单位负责人为同一人或者存在直接控股、管理关系的不同供应商，不得参加同</w:t>
      </w:r>
      <w:r>
        <w:rPr>
          <w:sz w:val="24"/>
        </w:rPr>
        <w:t>一合同项下的政府采购活动。</w:t>
      </w:r>
    </w:p>
    <w:p>
      <w:pPr>
        <w:pStyle w:val="29"/>
        <w:numPr>
          <w:ilvl w:val="1"/>
          <w:numId w:val="4"/>
        </w:numPr>
        <w:tabs>
          <w:tab w:val="left" w:pos="1379"/>
        </w:tabs>
        <w:spacing w:before="1" w:after="0" w:line="240" w:lineRule="auto"/>
        <w:ind w:left="1378" w:right="0" w:hanging="421"/>
        <w:jc w:val="left"/>
        <w:rPr>
          <w:sz w:val="24"/>
        </w:rPr>
      </w:pPr>
      <w:r>
        <w:rPr>
          <w:sz w:val="24"/>
        </w:rPr>
        <w:t>供应商须知前附表规定接受联合体报价的，应符合以下规定：</w:t>
      </w:r>
    </w:p>
    <w:p>
      <w:pPr>
        <w:pStyle w:val="29"/>
        <w:numPr>
          <w:ilvl w:val="2"/>
          <w:numId w:val="4"/>
        </w:numPr>
        <w:tabs>
          <w:tab w:val="left" w:pos="1619"/>
        </w:tabs>
        <w:spacing w:before="161" w:after="0" w:line="364" w:lineRule="auto"/>
        <w:ind w:left="478" w:right="476" w:firstLine="480"/>
        <w:jc w:val="left"/>
        <w:rPr>
          <w:sz w:val="24"/>
        </w:rPr>
      </w:pPr>
      <w:r>
        <w:rPr>
          <w:spacing w:val="-1"/>
          <w:sz w:val="24"/>
        </w:rPr>
        <w:t>联合体各方应按照磋商文件提供的格式签订联合体协议书，明确联合体牵头</w:t>
      </w:r>
      <w:r>
        <w:rPr>
          <w:sz w:val="24"/>
        </w:rPr>
        <w:t>人和各方权利义务；</w:t>
      </w:r>
    </w:p>
    <w:p>
      <w:pPr>
        <w:pStyle w:val="29"/>
        <w:numPr>
          <w:ilvl w:val="2"/>
          <w:numId w:val="4"/>
        </w:numPr>
        <w:tabs>
          <w:tab w:val="left" w:pos="1619"/>
        </w:tabs>
        <w:spacing w:before="1" w:after="0" w:line="240" w:lineRule="auto"/>
        <w:ind w:left="1618" w:right="0" w:hanging="661"/>
        <w:jc w:val="left"/>
        <w:rPr>
          <w:sz w:val="24"/>
        </w:rPr>
      </w:pPr>
      <w:r>
        <w:rPr>
          <w:sz w:val="24"/>
        </w:rPr>
        <w:t>联合体各方均应当符合《政府采购法》第二十二条第一款规定的条件；</w:t>
      </w:r>
    </w:p>
    <w:p>
      <w:pPr>
        <w:pStyle w:val="29"/>
        <w:numPr>
          <w:ilvl w:val="2"/>
          <w:numId w:val="4"/>
        </w:numPr>
        <w:tabs>
          <w:tab w:val="left" w:pos="1619"/>
        </w:tabs>
        <w:spacing w:before="160" w:after="0" w:line="364" w:lineRule="auto"/>
        <w:ind w:left="478" w:right="476" w:firstLine="480"/>
        <w:jc w:val="left"/>
        <w:rPr>
          <w:sz w:val="24"/>
        </w:rPr>
      </w:pPr>
      <w:r>
        <w:rPr>
          <w:spacing w:val="-1"/>
          <w:sz w:val="24"/>
        </w:rPr>
        <w:t>联合体中有同类资质的供应商按照联合体分工承担相同工作的，应当按照资</w:t>
      </w:r>
      <w:r>
        <w:rPr>
          <w:sz w:val="24"/>
        </w:rPr>
        <w:t>质等级较低的供应商确定资质等级。</w:t>
      </w:r>
    </w:p>
    <w:p>
      <w:pPr>
        <w:pStyle w:val="29"/>
        <w:numPr>
          <w:ilvl w:val="2"/>
          <w:numId w:val="4"/>
        </w:numPr>
        <w:tabs>
          <w:tab w:val="left" w:pos="1619"/>
        </w:tabs>
        <w:spacing w:before="1" w:after="0" w:line="364" w:lineRule="auto"/>
        <w:ind w:left="478" w:right="476" w:firstLine="480"/>
        <w:jc w:val="left"/>
        <w:rPr>
          <w:sz w:val="24"/>
        </w:rPr>
      </w:pPr>
      <w:r>
        <w:rPr>
          <w:spacing w:val="-1"/>
          <w:sz w:val="24"/>
        </w:rPr>
        <w:t>以联合体形式参加政府采购活动的，联合体各方不得再单独参加或者与其他</w:t>
      </w:r>
      <w:r>
        <w:rPr>
          <w:sz w:val="24"/>
        </w:rPr>
        <w:t>供应商另外组成联合体参加同一合同项下的政府采购活动。</w:t>
      </w:r>
    </w:p>
    <w:p>
      <w:pPr>
        <w:pStyle w:val="29"/>
        <w:numPr>
          <w:ilvl w:val="2"/>
          <w:numId w:val="4"/>
        </w:numPr>
        <w:tabs>
          <w:tab w:val="left" w:pos="1619"/>
        </w:tabs>
        <w:spacing w:before="2" w:after="0" w:line="364" w:lineRule="auto"/>
        <w:ind w:left="478" w:right="476" w:firstLine="480"/>
        <w:jc w:val="left"/>
        <w:rPr>
          <w:sz w:val="24"/>
        </w:rPr>
      </w:pPr>
      <w:r>
        <w:rPr>
          <w:spacing w:val="-1"/>
          <w:sz w:val="24"/>
        </w:rPr>
        <w:t>联合体各方应当共同与采购人签订采购合同，就合同约定的事项对采购人承</w:t>
      </w:r>
      <w:r>
        <w:rPr>
          <w:sz w:val="24"/>
        </w:rPr>
        <w:t>担连带责任。</w:t>
      </w:r>
    </w:p>
    <w:p>
      <w:pPr>
        <w:pStyle w:val="29"/>
        <w:numPr>
          <w:ilvl w:val="2"/>
          <w:numId w:val="4"/>
        </w:numPr>
        <w:tabs>
          <w:tab w:val="left" w:pos="1619"/>
        </w:tabs>
        <w:spacing w:before="1" w:after="0" w:line="364" w:lineRule="auto"/>
        <w:ind w:left="478" w:right="476" w:firstLine="480"/>
        <w:jc w:val="left"/>
        <w:rPr>
          <w:sz w:val="24"/>
        </w:rPr>
      </w:pPr>
      <w:r>
        <w:rPr>
          <w:spacing w:val="-1"/>
          <w:sz w:val="24"/>
        </w:rPr>
        <w:t>鼓励大中型企业和其他自然人、法人或者其他组织与小型、微型企业组成联</w:t>
      </w:r>
      <w:r>
        <w:rPr>
          <w:sz w:val="24"/>
        </w:rPr>
        <w:t>合体报价，但联合体各方均应符合上述规定。</w:t>
      </w:r>
    </w:p>
    <w:p>
      <w:pPr>
        <w:pStyle w:val="29"/>
        <w:numPr>
          <w:ilvl w:val="1"/>
          <w:numId w:val="4"/>
        </w:numPr>
        <w:tabs>
          <w:tab w:val="left" w:pos="1379"/>
        </w:tabs>
        <w:spacing w:before="1" w:after="0" w:line="364" w:lineRule="auto"/>
        <w:ind w:left="478" w:right="476" w:firstLine="480"/>
        <w:jc w:val="left"/>
        <w:rPr>
          <w:sz w:val="24"/>
        </w:rPr>
      </w:pPr>
      <w:r>
        <w:rPr>
          <w:spacing w:val="-1"/>
          <w:sz w:val="24"/>
        </w:rPr>
        <w:t>除采购人拟采购进口产品通过财政部门审核外，供应商不得提供直接进口或者</w:t>
      </w:r>
      <w:r>
        <w:rPr>
          <w:sz w:val="24"/>
        </w:rPr>
        <w:t>委托进口产品（包括已进入中国境内的进口产品）。</w:t>
      </w:r>
    </w:p>
    <w:p>
      <w:pPr>
        <w:pStyle w:val="29"/>
        <w:numPr>
          <w:ilvl w:val="1"/>
          <w:numId w:val="4"/>
        </w:numPr>
        <w:tabs>
          <w:tab w:val="left" w:pos="1379"/>
        </w:tabs>
        <w:spacing w:before="1" w:after="0" w:line="364" w:lineRule="auto"/>
        <w:ind w:left="478" w:right="476" w:firstLine="480"/>
        <w:jc w:val="left"/>
        <w:rPr>
          <w:sz w:val="24"/>
        </w:rPr>
      </w:pPr>
      <w:r>
        <w:rPr>
          <w:spacing w:val="-1"/>
          <w:sz w:val="24"/>
        </w:rPr>
        <w:t>为采购项目提供整体设计、规范编制或者项目管理、监理、检测等服务的供应</w:t>
      </w:r>
      <w:r>
        <w:rPr>
          <w:sz w:val="24"/>
        </w:rPr>
        <w:t>商，不得再参加该采购项目的其他采购活动。</w:t>
      </w:r>
    </w:p>
    <w:p>
      <w:pPr>
        <w:spacing w:after="0" w:line="364" w:lineRule="auto"/>
        <w:jc w:val="left"/>
        <w:rPr>
          <w:sz w:val="24"/>
        </w:rPr>
        <w:sectPr>
          <w:footerReference r:id="rId7" w:type="default"/>
          <w:pgSz w:w="11910" w:h="16840"/>
          <w:pgMar w:top="1500" w:right="940" w:bottom="1100" w:left="940" w:header="0" w:footer="920" w:gutter="0"/>
          <w:pgBorders>
            <w:top w:val="none" w:sz="0" w:space="0"/>
            <w:left w:val="none" w:sz="0" w:space="0"/>
            <w:bottom w:val="none" w:sz="0" w:space="0"/>
            <w:right w:val="none" w:sz="0" w:space="0"/>
          </w:pgBorders>
          <w:pgNumType w:fmt="decimal"/>
          <w:cols w:space="720" w:num="1"/>
        </w:sectPr>
      </w:pPr>
    </w:p>
    <w:p>
      <w:pPr>
        <w:pStyle w:val="29"/>
        <w:numPr>
          <w:ilvl w:val="1"/>
          <w:numId w:val="4"/>
        </w:numPr>
        <w:tabs>
          <w:tab w:val="left" w:pos="1379"/>
        </w:tabs>
        <w:spacing w:before="40" w:after="0" w:line="240" w:lineRule="auto"/>
        <w:ind w:left="1378" w:right="0" w:hanging="421"/>
        <w:jc w:val="both"/>
        <w:rPr>
          <w:sz w:val="24"/>
        </w:rPr>
      </w:pPr>
      <w:r>
        <w:rPr>
          <w:sz w:val="24"/>
        </w:rPr>
        <w:t>供应商提供的证明材料内容必须真实可靠。</w:t>
      </w:r>
    </w:p>
    <w:p>
      <w:pPr>
        <w:pStyle w:val="10"/>
        <w:spacing w:before="161"/>
        <w:ind w:left="958"/>
      </w:pPr>
      <w:r>
        <w:t>符合上述条件的供应商即为合格供应商，具有参与竞争性磋商的资格。</w:t>
      </w:r>
    </w:p>
    <w:p>
      <w:pPr>
        <w:pStyle w:val="6"/>
        <w:numPr>
          <w:ilvl w:val="0"/>
          <w:numId w:val="4"/>
        </w:numPr>
        <w:tabs>
          <w:tab w:val="left" w:pos="1319"/>
        </w:tabs>
        <w:spacing w:before="212" w:after="0" w:line="240" w:lineRule="auto"/>
        <w:ind w:left="1318" w:right="0" w:hanging="282"/>
        <w:jc w:val="left"/>
        <w:rPr>
          <w:rFonts w:hint="eastAsia" w:ascii="楷体" w:eastAsia="楷体"/>
        </w:rPr>
      </w:pPr>
      <w:bookmarkStart w:id="9" w:name="_bookmark7"/>
      <w:bookmarkEnd w:id="9"/>
      <w:bookmarkStart w:id="10" w:name="3.保密"/>
      <w:bookmarkEnd w:id="10"/>
      <w:bookmarkStart w:id="11" w:name="_bookmark7"/>
      <w:bookmarkEnd w:id="11"/>
      <w:r>
        <w:rPr>
          <w:rFonts w:hint="eastAsia" w:ascii="楷体" w:eastAsia="楷体"/>
        </w:rPr>
        <w:t>保密</w:t>
      </w:r>
    </w:p>
    <w:p>
      <w:pPr>
        <w:pStyle w:val="10"/>
        <w:spacing w:before="214" w:line="364" w:lineRule="auto"/>
        <w:ind w:left="478" w:right="476" w:firstLine="480"/>
      </w:pPr>
      <w:r>
        <w:t>参与竞争性磋商活动的当事人应对磋商文件和响应文件中的商业和技术等秘密保密，违者应对由此造成的后果承担法律责任。</w:t>
      </w:r>
    </w:p>
    <w:p>
      <w:pPr>
        <w:pStyle w:val="29"/>
        <w:numPr>
          <w:ilvl w:val="0"/>
          <w:numId w:val="4"/>
        </w:numPr>
        <w:tabs>
          <w:tab w:val="left" w:pos="1321"/>
        </w:tabs>
        <w:spacing w:before="52" w:after="0" w:line="240" w:lineRule="auto"/>
        <w:ind w:left="1320" w:right="0" w:hanging="284"/>
        <w:jc w:val="left"/>
        <w:rPr>
          <w:rFonts w:hint="eastAsia" w:ascii="楷体" w:eastAsia="楷体"/>
          <w:sz w:val="28"/>
        </w:rPr>
      </w:pPr>
      <w:bookmarkStart w:id="12" w:name="_bookmark8"/>
      <w:bookmarkEnd w:id="12"/>
      <w:bookmarkStart w:id="13" w:name="_bookmark8"/>
      <w:bookmarkEnd w:id="13"/>
      <w:bookmarkStart w:id="14" w:name="4.语言文字、计量单位、时间单位、报价有效期以及参与采购活动费用"/>
      <w:bookmarkEnd w:id="14"/>
      <w:r>
        <w:rPr>
          <w:rFonts w:hint="eastAsia" w:ascii="楷体" w:eastAsia="楷体"/>
          <w:sz w:val="28"/>
        </w:rPr>
        <w:t>语言文字、计量单位、时间单位、报价有效期以及参与采购活动费</w:t>
      </w:r>
    </w:p>
    <w:p>
      <w:pPr>
        <w:pStyle w:val="10"/>
        <w:spacing w:before="9"/>
        <w:rPr>
          <w:rFonts w:ascii="楷体"/>
          <w:sz w:val="20"/>
        </w:rPr>
      </w:pPr>
    </w:p>
    <w:p>
      <w:pPr>
        <w:spacing w:before="0"/>
        <w:ind w:left="478" w:right="0" w:firstLine="0"/>
        <w:jc w:val="left"/>
        <w:rPr>
          <w:rFonts w:hint="eastAsia" w:ascii="楷体" w:eastAsia="楷体"/>
          <w:sz w:val="28"/>
        </w:rPr>
      </w:pPr>
      <w:r>
        <w:rPr>
          <w:rFonts w:hint="eastAsia" w:ascii="楷体" w:eastAsia="楷体"/>
          <w:w w:val="100"/>
          <w:sz w:val="28"/>
        </w:rPr>
        <w:t>用</w:t>
      </w:r>
    </w:p>
    <w:p>
      <w:pPr>
        <w:pStyle w:val="29"/>
        <w:numPr>
          <w:ilvl w:val="1"/>
          <w:numId w:val="4"/>
        </w:numPr>
        <w:tabs>
          <w:tab w:val="left" w:pos="1379"/>
        </w:tabs>
        <w:spacing w:before="214" w:after="0" w:line="240" w:lineRule="auto"/>
        <w:ind w:left="1378" w:right="0" w:hanging="421"/>
        <w:jc w:val="both"/>
        <w:rPr>
          <w:sz w:val="24"/>
        </w:rPr>
      </w:pPr>
      <w:r>
        <w:rPr>
          <w:sz w:val="24"/>
        </w:rPr>
        <w:t>语言文字</w:t>
      </w:r>
    </w:p>
    <w:p>
      <w:pPr>
        <w:pStyle w:val="10"/>
        <w:spacing w:before="161" w:line="364" w:lineRule="auto"/>
        <w:ind w:left="478" w:right="477" w:firstLine="480"/>
        <w:jc w:val="both"/>
      </w:pPr>
      <w:r>
        <w:rPr>
          <w:spacing w:val="-6"/>
        </w:rPr>
        <w:t>除专用术语外，与竞争性磋商活动有关的语言均使用简体中文。必要时专用术语应附有中文注释。如供应商提交的支持文件和印刷的文献使用另一种语言，应附有相应内</w:t>
      </w:r>
      <w:r>
        <w:t>容的中文翻译本，在解释响应文件时以中文翻译本为准。</w:t>
      </w:r>
    </w:p>
    <w:p>
      <w:pPr>
        <w:pStyle w:val="29"/>
        <w:numPr>
          <w:ilvl w:val="1"/>
          <w:numId w:val="4"/>
        </w:numPr>
        <w:tabs>
          <w:tab w:val="left" w:pos="1379"/>
        </w:tabs>
        <w:spacing w:before="1" w:after="0" w:line="240" w:lineRule="auto"/>
        <w:ind w:left="1378" w:right="0" w:hanging="421"/>
        <w:jc w:val="both"/>
        <w:rPr>
          <w:sz w:val="24"/>
        </w:rPr>
      </w:pPr>
      <w:r>
        <w:rPr>
          <w:sz w:val="24"/>
        </w:rPr>
        <w:t>计量单位</w:t>
      </w:r>
    </w:p>
    <w:p>
      <w:pPr>
        <w:pStyle w:val="10"/>
        <w:spacing w:before="161" w:line="364" w:lineRule="auto"/>
        <w:ind w:left="478" w:right="414" w:firstLine="480"/>
      </w:pPr>
      <w:r>
        <w:t>除磋商文件另有规定外，计量均应采用中华人民共和国法定计量单位；所有报价一律使用人民币，货币单位为“元”。</w:t>
      </w:r>
    </w:p>
    <w:p>
      <w:pPr>
        <w:pStyle w:val="29"/>
        <w:numPr>
          <w:ilvl w:val="1"/>
          <w:numId w:val="4"/>
        </w:numPr>
        <w:tabs>
          <w:tab w:val="left" w:pos="1379"/>
        </w:tabs>
        <w:spacing w:before="1" w:after="0" w:line="240" w:lineRule="auto"/>
        <w:ind w:left="1378" w:right="0" w:hanging="421"/>
        <w:jc w:val="left"/>
        <w:rPr>
          <w:sz w:val="24"/>
        </w:rPr>
      </w:pPr>
      <w:r>
        <w:rPr>
          <w:sz w:val="24"/>
        </w:rPr>
        <w:t>时间单位</w:t>
      </w:r>
    </w:p>
    <w:p>
      <w:pPr>
        <w:pStyle w:val="10"/>
        <w:spacing w:before="160" w:line="364" w:lineRule="auto"/>
        <w:ind w:left="478" w:right="351" w:firstLine="480"/>
      </w:pPr>
      <w:r>
        <w:rPr>
          <w:spacing w:val="-10"/>
        </w:rPr>
        <w:t xml:space="preserve">除磋商文件中另有规定外，磋商文件所使用的时间单位“天”、“日”均指日历天， </w:t>
      </w:r>
      <w:r>
        <w:t>时、分均为北京时间。</w:t>
      </w:r>
    </w:p>
    <w:p>
      <w:pPr>
        <w:pStyle w:val="29"/>
        <w:numPr>
          <w:ilvl w:val="1"/>
          <w:numId w:val="4"/>
        </w:numPr>
        <w:tabs>
          <w:tab w:val="left" w:pos="1379"/>
        </w:tabs>
        <w:spacing w:before="2" w:after="0" w:line="240" w:lineRule="auto"/>
        <w:ind w:left="1378" w:right="0" w:hanging="421"/>
        <w:jc w:val="both"/>
        <w:rPr>
          <w:sz w:val="24"/>
        </w:rPr>
      </w:pPr>
      <w:r>
        <w:rPr>
          <w:sz w:val="24"/>
        </w:rPr>
        <w:t>报价有效期</w:t>
      </w:r>
    </w:p>
    <w:p>
      <w:pPr>
        <w:pStyle w:val="29"/>
        <w:numPr>
          <w:ilvl w:val="2"/>
          <w:numId w:val="4"/>
        </w:numPr>
        <w:tabs>
          <w:tab w:val="left" w:pos="1619"/>
        </w:tabs>
        <w:spacing w:before="160" w:after="0" w:line="364" w:lineRule="auto"/>
        <w:ind w:left="478" w:right="476" w:firstLine="480"/>
        <w:jc w:val="both"/>
        <w:rPr>
          <w:sz w:val="24"/>
        </w:rPr>
      </w:pPr>
      <w:r>
        <w:rPr>
          <w:spacing w:val="-1"/>
          <w:sz w:val="24"/>
        </w:rPr>
        <w:t>在供应商须知前附表规定的报价有效期内，响应文件以及其补充、承诺等部</w:t>
      </w:r>
      <w:r>
        <w:rPr>
          <w:sz w:val="24"/>
        </w:rPr>
        <w:t>分均保持有效。</w:t>
      </w:r>
    </w:p>
    <w:p>
      <w:pPr>
        <w:pStyle w:val="29"/>
        <w:numPr>
          <w:ilvl w:val="2"/>
          <w:numId w:val="4"/>
        </w:numPr>
        <w:tabs>
          <w:tab w:val="left" w:pos="1619"/>
        </w:tabs>
        <w:spacing w:before="1" w:after="0" w:line="364" w:lineRule="auto"/>
        <w:ind w:left="478" w:right="477" w:firstLine="480"/>
        <w:jc w:val="both"/>
        <w:rPr>
          <w:sz w:val="24"/>
        </w:rPr>
      </w:pPr>
      <w:r>
        <w:rPr>
          <w:spacing w:val="-1"/>
          <w:sz w:val="24"/>
        </w:rPr>
        <w:t>在磋商文件规定的响应文件有效期满之前，如果出现特殊情况，采购人或者</w:t>
      </w:r>
      <w:r>
        <w:rPr>
          <w:spacing w:val="-4"/>
          <w:sz w:val="24"/>
        </w:rPr>
        <w:t>采购代理机构可在报价有效期内要求供应商延长有效期，要求与答复均以书面通知为准并作为磋商文件和响应文件的组成部分；供应商可以拒绝上述要求，拒绝延长响应文件</w:t>
      </w:r>
      <w:r>
        <w:rPr>
          <w:sz w:val="24"/>
        </w:rPr>
        <w:t>有效期的，其响应失效；同意上述要求的，既不能要求也不允许其修改响应文件。</w:t>
      </w:r>
    </w:p>
    <w:p>
      <w:pPr>
        <w:pStyle w:val="29"/>
        <w:numPr>
          <w:ilvl w:val="1"/>
          <w:numId w:val="4"/>
        </w:numPr>
        <w:tabs>
          <w:tab w:val="left" w:pos="1379"/>
        </w:tabs>
        <w:spacing w:before="3" w:after="0" w:line="240" w:lineRule="auto"/>
        <w:ind w:left="1378" w:right="0" w:hanging="421"/>
        <w:jc w:val="both"/>
        <w:rPr>
          <w:sz w:val="24"/>
        </w:rPr>
      </w:pPr>
      <w:r>
        <w:rPr>
          <w:sz w:val="24"/>
        </w:rPr>
        <w:t>参与采购活动费用</w:t>
      </w:r>
    </w:p>
    <w:p>
      <w:pPr>
        <w:pStyle w:val="10"/>
        <w:spacing w:before="160"/>
        <w:ind w:left="958"/>
      </w:pPr>
      <w:r>
        <w:t>供应商应自行承担其准备和参加采购活动发生的所有费用。</w:t>
      </w:r>
    </w:p>
    <w:p>
      <w:pPr>
        <w:pStyle w:val="6"/>
        <w:numPr>
          <w:ilvl w:val="0"/>
          <w:numId w:val="4"/>
        </w:numPr>
        <w:tabs>
          <w:tab w:val="left" w:pos="1321"/>
        </w:tabs>
        <w:spacing w:before="212" w:after="0" w:line="240" w:lineRule="auto"/>
        <w:ind w:left="1320" w:right="0" w:hanging="284"/>
        <w:jc w:val="left"/>
        <w:rPr>
          <w:rFonts w:hint="eastAsia" w:ascii="楷体" w:eastAsia="楷体"/>
        </w:rPr>
      </w:pPr>
      <w:bookmarkStart w:id="15" w:name="5.踏勘现场"/>
      <w:bookmarkEnd w:id="15"/>
      <w:bookmarkStart w:id="16" w:name="_bookmark9"/>
      <w:bookmarkEnd w:id="16"/>
      <w:bookmarkStart w:id="17" w:name="_bookmark9"/>
      <w:bookmarkEnd w:id="17"/>
      <w:r>
        <w:rPr>
          <w:rFonts w:hint="eastAsia" w:ascii="楷体" w:eastAsia="楷体"/>
          <w:spacing w:val="-2"/>
        </w:rPr>
        <w:t>踏勘现场</w:t>
      </w:r>
    </w:p>
    <w:p>
      <w:pPr>
        <w:pStyle w:val="29"/>
        <w:numPr>
          <w:ilvl w:val="1"/>
          <w:numId w:val="4"/>
        </w:numPr>
        <w:tabs>
          <w:tab w:val="left" w:pos="1379"/>
        </w:tabs>
        <w:spacing w:before="214" w:after="0" w:line="240" w:lineRule="auto"/>
        <w:ind w:left="1378" w:right="0" w:hanging="421"/>
        <w:jc w:val="left"/>
        <w:rPr>
          <w:sz w:val="24"/>
        </w:rPr>
      </w:pPr>
      <w:r>
        <w:rPr>
          <w:sz w:val="24"/>
        </w:rPr>
        <w:t>供应商须知前附表规定组织踏勘现场的，采购人必须按照规定时间、地点组织</w:t>
      </w:r>
    </w:p>
    <w:p>
      <w:pPr>
        <w:spacing w:after="0" w:line="240" w:lineRule="auto"/>
        <w:jc w:val="left"/>
        <w:rPr>
          <w:sz w:val="24"/>
        </w:rPr>
        <w:sectPr>
          <w:pgSz w:w="11910" w:h="16840"/>
          <w:pgMar w:top="1440" w:right="940" w:bottom="1180" w:left="940" w:header="0" w:footer="920" w:gutter="0"/>
          <w:pgBorders>
            <w:top w:val="none" w:sz="0" w:space="0"/>
            <w:left w:val="none" w:sz="0" w:space="0"/>
            <w:bottom w:val="none" w:sz="0" w:space="0"/>
            <w:right w:val="none" w:sz="0" w:space="0"/>
          </w:pgBorders>
          <w:pgNumType w:fmt="decimal"/>
          <w:cols w:space="720" w:num="1"/>
        </w:sectPr>
      </w:pPr>
    </w:p>
    <w:p>
      <w:pPr>
        <w:pStyle w:val="10"/>
        <w:spacing w:before="40" w:line="364" w:lineRule="auto"/>
        <w:ind w:left="478" w:right="476"/>
      </w:pPr>
      <w:r>
        <w:t>供应商踏勘项目现场，以便供应商获取有关编制响应文件和签署合同所涉及现场的资料。供应商承担踏勘现场所发生的自身费用。</w:t>
      </w:r>
    </w:p>
    <w:p>
      <w:pPr>
        <w:pStyle w:val="29"/>
        <w:numPr>
          <w:ilvl w:val="1"/>
          <w:numId w:val="4"/>
        </w:numPr>
        <w:tabs>
          <w:tab w:val="left" w:pos="1379"/>
        </w:tabs>
        <w:spacing w:before="2" w:after="0" w:line="364" w:lineRule="auto"/>
        <w:ind w:left="478" w:right="476" w:firstLine="480"/>
        <w:jc w:val="both"/>
        <w:rPr>
          <w:sz w:val="24"/>
        </w:rPr>
      </w:pPr>
      <w:r>
        <w:rPr>
          <w:spacing w:val="-1"/>
          <w:sz w:val="24"/>
        </w:rPr>
        <w:t>采购人向供应商提供的有关现场的资料和数据，是采购人现有的能使供应商利</w:t>
      </w:r>
      <w:r>
        <w:rPr>
          <w:sz w:val="24"/>
        </w:rPr>
        <w:t>用的资料，采购人对供应商由此而做出的推论、理解和结论不负责任。</w:t>
      </w:r>
    </w:p>
    <w:p>
      <w:pPr>
        <w:pStyle w:val="29"/>
        <w:numPr>
          <w:ilvl w:val="1"/>
          <w:numId w:val="4"/>
        </w:numPr>
        <w:tabs>
          <w:tab w:val="left" w:pos="1379"/>
        </w:tabs>
        <w:spacing w:before="1" w:after="0" w:line="364" w:lineRule="auto"/>
        <w:ind w:left="478" w:right="425" w:firstLine="480"/>
        <w:jc w:val="both"/>
        <w:rPr>
          <w:sz w:val="24"/>
        </w:rPr>
      </w:pPr>
      <w:r>
        <w:rPr>
          <w:sz w:val="24"/>
        </w:rPr>
        <w:t>供应商经过采购人允许，可以进入项目现场踏勘，但不得因此使采购人承担有</w:t>
      </w:r>
      <w:r>
        <w:rPr>
          <w:spacing w:val="-1"/>
          <w:sz w:val="24"/>
        </w:rPr>
        <w:t>关责任和蒙受损失。除采购人原因外，供应商应对踏勘现场而造成的死亡、人身伤害、</w:t>
      </w:r>
      <w:r>
        <w:rPr>
          <w:sz w:val="24"/>
        </w:rPr>
        <w:t>财产损失、损害以及其它任何损失、损害和引起的费用和开支承担责任。</w:t>
      </w:r>
    </w:p>
    <w:p>
      <w:pPr>
        <w:pStyle w:val="6"/>
        <w:numPr>
          <w:ilvl w:val="0"/>
          <w:numId w:val="4"/>
        </w:numPr>
        <w:tabs>
          <w:tab w:val="left" w:pos="1319"/>
        </w:tabs>
        <w:spacing w:before="53" w:after="0" w:line="240" w:lineRule="auto"/>
        <w:ind w:left="1318" w:right="0" w:hanging="282"/>
        <w:jc w:val="left"/>
        <w:rPr>
          <w:rFonts w:hint="eastAsia" w:ascii="楷体" w:eastAsia="楷体"/>
        </w:rPr>
      </w:pPr>
      <w:bookmarkStart w:id="18" w:name="6.询问"/>
      <w:bookmarkEnd w:id="18"/>
      <w:bookmarkStart w:id="19" w:name="_bookmark10"/>
      <w:bookmarkEnd w:id="19"/>
      <w:bookmarkStart w:id="20" w:name="_bookmark10"/>
      <w:bookmarkEnd w:id="20"/>
      <w:r>
        <w:rPr>
          <w:rFonts w:hint="eastAsia" w:ascii="楷体" w:eastAsia="楷体"/>
        </w:rPr>
        <w:t>询问</w:t>
      </w:r>
    </w:p>
    <w:p>
      <w:pPr>
        <w:pStyle w:val="29"/>
        <w:numPr>
          <w:ilvl w:val="1"/>
          <w:numId w:val="4"/>
        </w:numPr>
        <w:tabs>
          <w:tab w:val="left" w:pos="1379"/>
        </w:tabs>
        <w:spacing w:before="214" w:after="0" w:line="364" w:lineRule="auto"/>
        <w:ind w:left="478" w:right="476" w:firstLine="480"/>
        <w:jc w:val="both"/>
        <w:rPr>
          <w:sz w:val="24"/>
        </w:rPr>
      </w:pPr>
      <w:r>
        <w:rPr>
          <w:spacing w:val="-1"/>
          <w:sz w:val="24"/>
        </w:rPr>
        <w:t>供应商对竞争性磋商活动事项有疑问的，可以向采购代理机构提出询问；采购</w:t>
      </w:r>
      <w:r>
        <w:rPr>
          <w:sz w:val="24"/>
        </w:rPr>
        <w:t>代理机构应当及时作出答复，但答复的内容不得涉及商业秘密。</w:t>
      </w:r>
    </w:p>
    <w:p>
      <w:pPr>
        <w:pStyle w:val="29"/>
        <w:numPr>
          <w:ilvl w:val="1"/>
          <w:numId w:val="4"/>
        </w:numPr>
        <w:tabs>
          <w:tab w:val="left" w:pos="1379"/>
        </w:tabs>
        <w:spacing w:before="1" w:after="0" w:line="240" w:lineRule="auto"/>
        <w:ind w:left="1378" w:right="0" w:hanging="421"/>
        <w:jc w:val="left"/>
        <w:rPr>
          <w:sz w:val="24"/>
        </w:rPr>
      </w:pPr>
      <w:r>
        <w:rPr>
          <w:sz w:val="24"/>
        </w:rPr>
        <w:t>询问及答复应当采取书面形式。</w:t>
      </w:r>
    </w:p>
    <w:p>
      <w:pPr>
        <w:pStyle w:val="6"/>
        <w:numPr>
          <w:ilvl w:val="0"/>
          <w:numId w:val="4"/>
        </w:numPr>
        <w:tabs>
          <w:tab w:val="left" w:pos="1321"/>
        </w:tabs>
        <w:spacing w:before="212" w:after="0" w:line="240" w:lineRule="auto"/>
        <w:ind w:left="1320" w:right="0" w:hanging="284"/>
        <w:jc w:val="left"/>
        <w:rPr>
          <w:rFonts w:hint="eastAsia" w:ascii="楷体" w:eastAsia="楷体"/>
        </w:rPr>
      </w:pPr>
      <w:bookmarkStart w:id="21" w:name="_bookmark11"/>
      <w:bookmarkEnd w:id="21"/>
      <w:bookmarkStart w:id="22" w:name="7.偏离"/>
      <w:bookmarkEnd w:id="22"/>
      <w:bookmarkStart w:id="23" w:name="_bookmark11"/>
      <w:bookmarkEnd w:id="23"/>
      <w:r>
        <w:rPr>
          <w:rFonts w:hint="eastAsia" w:ascii="楷体" w:eastAsia="楷体"/>
        </w:rPr>
        <w:t>偏离</w:t>
      </w:r>
    </w:p>
    <w:p>
      <w:pPr>
        <w:pStyle w:val="10"/>
        <w:spacing w:before="214" w:line="364" w:lineRule="auto"/>
        <w:ind w:left="478" w:right="414" w:firstLine="480"/>
      </w:pPr>
      <w:r>
        <w:t>采购人允许响应文件偏离磋商文件某些非实质性要求的，偏离应当符合磋商文件规定的偏离范围和幅度。</w:t>
      </w:r>
    </w:p>
    <w:p>
      <w:pPr>
        <w:pStyle w:val="6"/>
        <w:numPr>
          <w:ilvl w:val="0"/>
          <w:numId w:val="4"/>
        </w:numPr>
        <w:tabs>
          <w:tab w:val="left" w:pos="1319"/>
        </w:tabs>
        <w:spacing w:before="52" w:after="0" w:line="240" w:lineRule="auto"/>
        <w:ind w:left="1318" w:right="0" w:hanging="282"/>
        <w:jc w:val="left"/>
        <w:rPr>
          <w:rFonts w:hint="eastAsia" w:ascii="楷体" w:eastAsia="楷体"/>
        </w:rPr>
      </w:pPr>
      <w:bookmarkStart w:id="24" w:name="_bookmark12"/>
      <w:bookmarkEnd w:id="24"/>
      <w:bookmarkStart w:id="25" w:name="8.履约担保"/>
      <w:bookmarkEnd w:id="25"/>
      <w:bookmarkStart w:id="26" w:name="_bookmark12"/>
      <w:bookmarkEnd w:id="26"/>
      <w:r>
        <w:rPr>
          <w:rFonts w:hint="eastAsia" w:ascii="楷体" w:eastAsia="楷体"/>
          <w:spacing w:val="-2"/>
        </w:rPr>
        <w:t>履约担保</w:t>
      </w:r>
    </w:p>
    <w:p>
      <w:pPr>
        <w:pStyle w:val="29"/>
        <w:numPr>
          <w:ilvl w:val="1"/>
          <w:numId w:val="4"/>
        </w:numPr>
        <w:tabs>
          <w:tab w:val="left" w:pos="1379"/>
        </w:tabs>
        <w:spacing w:before="214" w:after="0" w:line="364" w:lineRule="auto"/>
        <w:ind w:left="478" w:right="477" w:firstLine="480"/>
        <w:jc w:val="both"/>
        <w:rPr>
          <w:sz w:val="24"/>
        </w:rPr>
      </w:pPr>
      <w:r>
        <w:rPr>
          <w:spacing w:val="-1"/>
          <w:sz w:val="24"/>
        </w:rPr>
        <w:t>在签订合同前，成交供应商应按照有关规定或者事先经过采购人书面认可的履</w:t>
      </w:r>
      <w:r>
        <w:rPr>
          <w:spacing w:val="-4"/>
          <w:sz w:val="24"/>
        </w:rPr>
        <w:t>约担保要求向采购人提交履约担保。除另有规定外，履约担保金额不超过成交合同金额</w:t>
      </w:r>
      <w:r>
        <w:rPr>
          <w:spacing w:val="-30"/>
          <w:sz w:val="24"/>
        </w:rPr>
        <w:t xml:space="preserve">的 </w:t>
      </w:r>
      <w:r>
        <w:rPr>
          <w:sz w:val="24"/>
        </w:rPr>
        <w:t>10%。</w:t>
      </w:r>
    </w:p>
    <w:p>
      <w:pPr>
        <w:pStyle w:val="29"/>
        <w:numPr>
          <w:ilvl w:val="1"/>
          <w:numId w:val="4"/>
        </w:numPr>
        <w:tabs>
          <w:tab w:val="left" w:pos="1379"/>
        </w:tabs>
        <w:spacing w:before="2" w:after="0" w:line="364" w:lineRule="auto"/>
        <w:ind w:left="478" w:right="476" w:firstLine="480"/>
        <w:jc w:val="both"/>
        <w:rPr>
          <w:sz w:val="24"/>
        </w:rPr>
      </w:pPr>
      <w:r>
        <w:rPr>
          <w:spacing w:val="-1"/>
          <w:sz w:val="24"/>
        </w:rPr>
        <w:t>成交供应商未按照要求提交履约担保的，视为放弃成交资格，成交供应商应当</w:t>
      </w:r>
      <w:r>
        <w:rPr>
          <w:sz w:val="24"/>
        </w:rPr>
        <w:t>对采购人造成的损失给予赔偿。</w:t>
      </w:r>
    </w:p>
    <w:p>
      <w:pPr>
        <w:pStyle w:val="29"/>
        <w:numPr>
          <w:ilvl w:val="0"/>
          <w:numId w:val="4"/>
        </w:numPr>
        <w:tabs>
          <w:tab w:val="left" w:pos="1319"/>
        </w:tabs>
        <w:spacing w:before="52" w:after="0" w:line="393" w:lineRule="auto"/>
        <w:ind w:left="958" w:right="6665" w:firstLine="79"/>
        <w:jc w:val="left"/>
        <w:rPr>
          <w:rFonts w:hint="eastAsia" w:ascii="楷体" w:eastAsia="楷体"/>
          <w:sz w:val="28"/>
        </w:rPr>
      </w:pPr>
      <w:bookmarkStart w:id="27" w:name="_bookmark13"/>
      <w:bookmarkEnd w:id="27"/>
      <w:bookmarkStart w:id="28" w:name="_bookmark13"/>
      <w:bookmarkEnd w:id="28"/>
      <w:bookmarkStart w:id="29" w:name="9.采购代理服务费"/>
      <w:bookmarkEnd w:id="29"/>
      <w:r>
        <w:rPr>
          <w:rFonts w:hint="eastAsia" w:ascii="楷体" w:eastAsia="楷体"/>
          <w:spacing w:val="-3"/>
          <w:sz w:val="28"/>
        </w:rPr>
        <w:t>采购代理服务费</w:t>
      </w:r>
      <w:bookmarkStart w:id="30" w:name="_bookmark14"/>
      <w:bookmarkEnd w:id="30"/>
      <w:bookmarkStart w:id="31" w:name="见供应商须知前附表。"/>
      <w:bookmarkEnd w:id="31"/>
      <w:r>
        <w:rPr>
          <w:spacing w:val="-5"/>
          <w:sz w:val="24"/>
        </w:rPr>
        <w:t>见供应商须知前附表。</w:t>
      </w:r>
      <w:bookmarkStart w:id="32" w:name="10.磋商文件"/>
      <w:bookmarkEnd w:id="32"/>
      <w:bookmarkStart w:id="33" w:name="_bookmark15"/>
      <w:bookmarkEnd w:id="33"/>
      <w:r>
        <w:rPr>
          <w:rFonts w:hint="eastAsia" w:ascii="楷体" w:eastAsia="楷体"/>
          <w:sz w:val="28"/>
        </w:rPr>
        <w:t>10</w:t>
      </w:r>
      <w:r>
        <w:rPr>
          <w:rFonts w:hint="eastAsia" w:ascii="楷体" w:eastAsia="楷体"/>
          <w:spacing w:val="-1"/>
          <w:sz w:val="28"/>
        </w:rPr>
        <w:t>.磋商文件</w:t>
      </w:r>
    </w:p>
    <w:p>
      <w:pPr>
        <w:pStyle w:val="29"/>
        <w:numPr>
          <w:ilvl w:val="1"/>
          <w:numId w:val="5"/>
        </w:numPr>
        <w:tabs>
          <w:tab w:val="left" w:pos="1499"/>
        </w:tabs>
        <w:spacing w:before="0" w:after="0" w:line="291" w:lineRule="exact"/>
        <w:ind w:left="1498" w:right="0" w:hanging="541"/>
        <w:jc w:val="left"/>
        <w:rPr>
          <w:sz w:val="24"/>
        </w:rPr>
      </w:pPr>
      <w:r>
        <w:rPr>
          <w:sz w:val="24"/>
        </w:rPr>
        <w:t>磋商文件的组成</w:t>
      </w:r>
    </w:p>
    <w:p>
      <w:pPr>
        <w:pStyle w:val="29"/>
        <w:numPr>
          <w:ilvl w:val="2"/>
          <w:numId w:val="5"/>
        </w:numPr>
        <w:tabs>
          <w:tab w:val="left" w:pos="1741"/>
        </w:tabs>
        <w:spacing w:before="161" w:after="0" w:line="364" w:lineRule="auto"/>
        <w:ind w:left="478" w:right="478" w:firstLine="480"/>
        <w:jc w:val="left"/>
        <w:rPr>
          <w:sz w:val="24"/>
        </w:rPr>
      </w:pPr>
      <w:r>
        <w:rPr>
          <w:sz w:val="24"/>
        </w:rPr>
        <w:t>磋商文件是用以阐明所需货物以及服务、磋商程序和合同格式的规范性文件。磋商文件主要由以下部分组成：</w:t>
      </w:r>
    </w:p>
    <w:p>
      <w:pPr>
        <w:pStyle w:val="10"/>
        <w:spacing w:before="1" w:line="364" w:lineRule="auto"/>
        <w:ind w:left="958" w:right="7025"/>
        <w:outlineLvl w:val="0"/>
      </w:pPr>
      <w:bookmarkStart w:id="34" w:name="_Toc8903"/>
      <w:r>
        <w:t>第一章 采购公告第二章 供应商须知</w:t>
      </w:r>
      <w:bookmarkEnd w:id="34"/>
    </w:p>
    <w:p>
      <w:pPr>
        <w:spacing w:after="0" w:line="364" w:lineRule="auto"/>
        <w:sectPr>
          <w:pgSz w:w="11910" w:h="16840"/>
          <w:pgMar w:top="1440" w:right="940" w:bottom="1180" w:left="940" w:header="0" w:footer="920" w:gutter="0"/>
          <w:pgBorders>
            <w:top w:val="none" w:sz="0" w:space="0"/>
            <w:left w:val="none" w:sz="0" w:space="0"/>
            <w:bottom w:val="none" w:sz="0" w:space="0"/>
            <w:right w:val="none" w:sz="0" w:space="0"/>
          </w:pgBorders>
          <w:pgNumType w:fmt="decimal"/>
          <w:cols w:space="720" w:num="1"/>
        </w:sectPr>
      </w:pPr>
    </w:p>
    <w:p>
      <w:pPr>
        <w:pStyle w:val="10"/>
        <w:spacing w:before="40" w:line="364" w:lineRule="auto"/>
        <w:ind w:left="958" w:right="7265"/>
        <w:outlineLvl w:val="0"/>
      </w:pPr>
      <w:bookmarkStart w:id="35" w:name="_Toc11500"/>
      <w:r>
        <w:t>第三章 采购需求第四章 评审办法</w:t>
      </w:r>
      <w:bookmarkEnd w:id="35"/>
    </w:p>
    <w:p>
      <w:pPr>
        <w:pStyle w:val="10"/>
        <w:spacing w:before="2" w:line="364" w:lineRule="auto"/>
        <w:ind w:left="958" w:right="5585"/>
        <w:outlineLvl w:val="0"/>
      </w:pPr>
      <w:bookmarkStart w:id="36" w:name="_Toc6515"/>
      <w:r>
        <w:t>第五章 签订合同、合同主要条款第六章 响应文件格式</w:t>
      </w:r>
      <w:bookmarkEnd w:id="36"/>
    </w:p>
    <w:p>
      <w:pPr>
        <w:pStyle w:val="29"/>
        <w:numPr>
          <w:ilvl w:val="2"/>
          <w:numId w:val="5"/>
        </w:numPr>
        <w:tabs>
          <w:tab w:val="left" w:pos="1739"/>
        </w:tabs>
        <w:spacing w:before="1" w:after="0" w:line="364" w:lineRule="auto"/>
        <w:ind w:left="478" w:right="476" w:firstLine="480"/>
        <w:jc w:val="left"/>
        <w:rPr>
          <w:sz w:val="24"/>
        </w:rPr>
      </w:pPr>
      <w:r>
        <w:rPr>
          <w:spacing w:val="-10"/>
          <w:sz w:val="24"/>
        </w:rPr>
        <w:t xml:space="preserve">根据本章第 </w:t>
      </w:r>
      <w:r>
        <w:rPr>
          <w:sz w:val="24"/>
        </w:rPr>
        <w:t>10.2</w:t>
      </w:r>
      <w:r>
        <w:rPr>
          <w:spacing w:val="-9"/>
          <w:sz w:val="24"/>
        </w:rPr>
        <w:t xml:space="preserve"> 款对磋商文件所作的澄清和修改，构成磋商文件的组成部</w:t>
      </w:r>
      <w:r>
        <w:rPr>
          <w:sz w:val="24"/>
        </w:rPr>
        <w:t>分。</w:t>
      </w:r>
    </w:p>
    <w:p>
      <w:pPr>
        <w:pStyle w:val="29"/>
        <w:numPr>
          <w:ilvl w:val="2"/>
          <w:numId w:val="5"/>
        </w:numPr>
        <w:tabs>
          <w:tab w:val="left" w:pos="1739"/>
        </w:tabs>
        <w:spacing w:before="1" w:after="0" w:line="364" w:lineRule="auto"/>
        <w:ind w:left="478" w:right="365" w:firstLine="480"/>
        <w:jc w:val="left"/>
        <w:rPr>
          <w:sz w:val="24"/>
        </w:rPr>
      </w:pPr>
      <w:r>
        <w:rPr>
          <w:spacing w:val="-1"/>
          <w:sz w:val="24"/>
        </w:rPr>
        <w:t>除非有特殊要求，磋商文件不单独提供项目所在地的自然环境、气候条件、</w:t>
      </w:r>
      <w:r>
        <w:rPr>
          <w:sz w:val="24"/>
        </w:rPr>
        <w:t>公用设施等情况，供应商被视为熟悉上述与履行合同有关的一切情况。</w:t>
      </w:r>
    </w:p>
    <w:p>
      <w:pPr>
        <w:pStyle w:val="29"/>
        <w:numPr>
          <w:ilvl w:val="1"/>
          <w:numId w:val="5"/>
        </w:numPr>
        <w:tabs>
          <w:tab w:val="left" w:pos="1499"/>
        </w:tabs>
        <w:spacing w:before="1" w:after="0" w:line="240" w:lineRule="auto"/>
        <w:ind w:left="1498" w:right="0" w:hanging="541"/>
        <w:jc w:val="left"/>
        <w:rPr>
          <w:sz w:val="24"/>
        </w:rPr>
      </w:pPr>
      <w:r>
        <w:rPr>
          <w:sz w:val="24"/>
        </w:rPr>
        <w:t>磋商文件的澄清和修改</w:t>
      </w:r>
    </w:p>
    <w:p>
      <w:pPr>
        <w:pStyle w:val="10"/>
        <w:spacing w:before="161"/>
        <w:ind w:left="958"/>
      </w:pPr>
      <w:r>
        <w:t>磋商文件的澄清和修改及确认，详见供应商须知前附表。</w:t>
      </w:r>
    </w:p>
    <w:p>
      <w:pPr>
        <w:pStyle w:val="10"/>
        <w:spacing w:before="93"/>
        <w:ind w:left="958"/>
      </w:pPr>
      <w:r>
        <w:t>磋商文件的澄清或者修改在同一内容的表述上不一致时，以最后发出的公告为准。</w:t>
      </w:r>
    </w:p>
    <w:p>
      <w:pPr>
        <w:pStyle w:val="6"/>
        <w:numPr>
          <w:ilvl w:val="0"/>
          <w:numId w:val="6"/>
        </w:numPr>
        <w:tabs>
          <w:tab w:val="left" w:pos="1460"/>
        </w:tabs>
        <w:spacing w:before="212" w:after="0" w:line="240" w:lineRule="auto"/>
        <w:ind w:left="1459" w:right="0" w:hanging="423"/>
        <w:jc w:val="left"/>
        <w:rPr>
          <w:rFonts w:hint="eastAsia" w:ascii="楷体" w:eastAsia="楷体"/>
        </w:rPr>
      </w:pPr>
      <w:bookmarkStart w:id="37" w:name="11.响应文件的组成"/>
      <w:bookmarkEnd w:id="37"/>
      <w:bookmarkStart w:id="38" w:name="_bookmark16"/>
      <w:bookmarkEnd w:id="38"/>
      <w:bookmarkStart w:id="39" w:name="_bookmark16"/>
      <w:bookmarkEnd w:id="39"/>
      <w:r>
        <w:rPr>
          <w:rFonts w:hint="eastAsia" w:ascii="楷体" w:eastAsia="楷体"/>
          <w:spacing w:val="-3"/>
        </w:rPr>
        <w:t>响应文件的组成</w:t>
      </w:r>
    </w:p>
    <w:p>
      <w:pPr>
        <w:pStyle w:val="29"/>
        <w:numPr>
          <w:ilvl w:val="1"/>
          <w:numId w:val="6"/>
        </w:numPr>
        <w:tabs>
          <w:tab w:val="left" w:pos="1499"/>
        </w:tabs>
        <w:spacing w:before="214" w:after="0" w:line="364" w:lineRule="auto"/>
        <w:ind w:left="478" w:right="477" w:firstLine="480"/>
        <w:jc w:val="left"/>
        <w:rPr>
          <w:sz w:val="24"/>
        </w:rPr>
      </w:pPr>
      <w:r>
        <w:rPr>
          <w:spacing w:val="-6"/>
          <w:sz w:val="24"/>
        </w:rPr>
        <w:t>供应商应按照磋商文件的要求以及格式编制响应文件，并保证其真实性、准确</w:t>
      </w:r>
      <w:r>
        <w:rPr>
          <w:sz w:val="24"/>
        </w:rPr>
        <w:t>性以及完整性，并按照磋商文件要求提交全部资料并做出实质性响应。</w:t>
      </w:r>
    </w:p>
    <w:p>
      <w:pPr>
        <w:pStyle w:val="29"/>
        <w:numPr>
          <w:ilvl w:val="1"/>
          <w:numId w:val="6"/>
        </w:numPr>
        <w:tabs>
          <w:tab w:val="left" w:pos="1499"/>
        </w:tabs>
        <w:spacing w:before="1" w:after="0" w:line="240" w:lineRule="auto"/>
        <w:ind w:left="1498" w:right="0" w:hanging="541"/>
        <w:jc w:val="left"/>
        <w:rPr>
          <w:sz w:val="24"/>
        </w:rPr>
      </w:pPr>
      <w:r>
        <w:rPr>
          <w:sz w:val="24"/>
        </w:rPr>
        <w:t>响应文件的组成：详见第六章 响应文件格式。</w:t>
      </w:r>
    </w:p>
    <w:p>
      <w:pPr>
        <w:pStyle w:val="6"/>
        <w:numPr>
          <w:ilvl w:val="0"/>
          <w:numId w:val="6"/>
        </w:numPr>
        <w:tabs>
          <w:tab w:val="left" w:pos="1460"/>
        </w:tabs>
        <w:spacing w:before="212" w:after="0" w:line="240" w:lineRule="auto"/>
        <w:ind w:left="1459" w:right="0" w:hanging="423"/>
        <w:jc w:val="left"/>
        <w:rPr>
          <w:rFonts w:hint="eastAsia" w:ascii="楷体" w:eastAsia="楷体"/>
        </w:rPr>
      </w:pPr>
      <w:bookmarkStart w:id="40" w:name="_bookmark17"/>
      <w:bookmarkEnd w:id="40"/>
      <w:bookmarkStart w:id="41" w:name="12.响应报价"/>
      <w:bookmarkEnd w:id="41"/>
      <w:bookmarkStart w:id="42" w:name="_bookmark17"/>
      <w:bookmarkEnd w:id="42"/>
      <w:r>
        <w:rPr>
          <w:rFonts w:hint="eastAsia" w:ascii="楷体" w:eastAsia="楷体"/>
          <w:spacing w:val="-2"/>
        </w:rPr>
        <w:t>响应报价</w:t>
      </w:r>
    </w:p>
    <w:p>
      <w:pPr>
        <w:spacing w:after="0" w:line="364" w:lineRule="auto"/>
        <w:ind w:firstLine="960" w:firstLineChars="400"/>
        <w:jc w:val="both"/>
        <w:rPr>
          <w:rFonts w:hint="eastAsia"/>
          <w:sz w:val="24"/>
        </w:rPr>
      </w:pPr>
      <w:r>
        <w:rPr>
          <w:rFonts w:hint="eastAsia"/>
          <w:sz w:val="24"/>
          <w:lang w:val="en-US" w:eastAsia="zh-CN"/>
        </w:rPr>
        <w:t>12</w:t>
      </w:r>
      <w:r>
        <w:rPr>
          <w:rFonts w:hint="eastAsia"/>
          <w:sz w:val="24"/>
        </w:rPr>
        <w:t>.1</w:t>
      </w:r>
      <w:r>
        <w:rPr>
          <w:rFonts w:hint="eastAsia"/>
          <w:sz w:val="24"/>
          <w:lang w:val="zh-CN"/>
        </w:rPr>
        <w:t>投标单位应根据所提供的工程项目清单的要求编制单价、合价和总价</w:t>
      </w:r>
      <w:r>
        <w:rPr>
          <w:rFonts w:hint="eastAsia"/>
          <w:sz w:val="24"/>
        </w:rPr>
        <w:t>，且只允许有一个报价</w:t>
      </w:r>
      <w:r>
        <w:rPr>
          <w:rFonts w:hint="eastAsia"/>
          <w:sz w:val="24"/>
          <w:lang w:val="zh-CN"/>
        </w:rPr>
        <w:t>。</w:t>
      </w:r>
    </w:p>
    <w:p>
      <w:pPr>
        <w:spacing w:after="0" w:line="364" w:lineRule="auto"/>
        <w:ind w:firstLine="960" w:firstLineChars="400"/>
        <w:jc w:val="both"/>
        <w:rPr>
          <w:rFonts w:hint="eastAsia"/>
          <w:sz w:val="24"/>
        </w:rPr>
      </w:pPr>
      <w:r>
        <w:rPr>
          <w:rFonts w:hint="eastAsia"/>
          <w:sz w:val="24"/>
          <w:lang w:val="en-US" w:eastAsia="zh-CN"/>
        </w:rPr>
        <w:t>12</w:t>
      </w:r>
      <w:r>
        <w:rPr>
          <w:rFonts w:hint="eastAsia"/>
          <w:sz w:val="24"/>
        </w:rPr>
        <w:t>.2</w:t>
      </w:r>
      <w:r>
        <w:rPr>
          <w:rFonts w:hint="eastAsia"/>
          <w:sz w:val="24"/>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pPr>
        <w:spacing w:after="0" w:line="364" w:lineRule="auto"/>
        <w:ind w:firstLine="960" w:firstLineChars="400"/>
        <w:jc w:val="both"/>
        <w:rPr>
          <w:rFonts w:hint="eastAsia"/>
          <w:sz w:val="24"/>
        </w:rPr>
      </w:pPr>
      <w:r>
        <w:rPr>
          <w:rFonts w:hint="eastAsia"/>
          <w:sz w:val="24"/>
          <w:lang w:val="en-US" w:eastAsia="zh-CN"/>
        </w:rPr>
        <w:t>12</w:t>
      </w:r>
      <w:r>
        <w:rPr>
          <w:rFonts w:hint="eastAsia"/>
          <w:sz w:val="24"/>
        </w:rPr>
        <w:t>.3响应文件中标明的价格在合同执行过程中是固定不变的，不得以任何理由予以变更。以可变动价格提交的报价将被认为是非实质响应采购要求而被拒绝。</w:t>
      </w:r>
    </w:p>
    <w:p>
      <w:pPr>
        <w:spacing w:after="0" w:line="364" w:lineRule="auto"/>
        <w:ind w:firstLine="960" w:firstLineChars="400"/>
        <w:jc w:val="both"/>
        <w:rPr>
          <w:rFonts w:hint="eastAsia"/>
          <w:sz w:val="24"/>
        </w:rPr>
      </w:pPr>
      <w:r>
        <w:rPr>
          <w:rFonts w:hint="eastAsia"/>
          <w:sz w:val="24"/>
          <w:lang w:val="en-US" w:eastAsia="zh-CN"/>
        </w:rPr>
        <w:t>12</w:t>
      </w:r>
      <w:r>
        <w:rPr>
          <w:rFonts w:hint="eastAsia"/>
          <w:sz w:val="24"/>
        </w:rPr>
        <w:t>.4采购项目预算见磋商须知前附表1，</w:t>
      </w:r>
      <w:r>
        <w:rPr>
          <w:rFonts w:hint="eastAsia"/>
          <w:sz w:val="24"/>
          <w:lang w:val="zh-CN"/>
        </w:rPr>
        <w:t>投标单位</w:t>
      </w:r>
      <w:r>
        <w:rPr>
          <w:rFonts w:hint="eastAsia"/>
          <w:sz w:val="24"/>
        </w:rPr>
        <w:t>的报价不得超过</w:t>
      </w:r>
      <w:r>
        <w:rPr>
          <w:rFonts w:hint="eastAsia"/>
          <w:sz w:val="24"/>
          <w:lang w:eastAsia="zh-CN"/>
        </w:rPr>
        <w:t>最高限价</w:t>
      </w:r>
      <w:r>
        <w:rPr>
          <w:rFonts w:hint="eastAsia"/>
          <w:sz w:val="24"/>
        </w:rPr>
        <w:t>。否则，按无效报价处理。</w:t>
      </w:r>
    </w:p>
    <w:p>
      <w:pPr>
        <w:spacing w:after="0" w:line="364" w:lineRule="auto"/>
        <w:jc w:val="both"/>
        <w:rPr>
          <w:sz w:val="24"/>
        </w:rPr>
        <w:sectPr>
          <w:pgSz w:w="11910" w:h="16840"/>
          <w:pgMar w:top="1440" w:right="940" w:bottom="1180" w:left="940" w:header="0" w:footer="920" w:gutter="0"/>
          <w:pgBorders>
            <w:top w:val="none" w:sz="0" w:space="0"/>
            <w:left w:val="none" w:sz="0" w:space="0"/>
            <w:bottom w:val="none" w:sz="0" w:space="0"/>
            <w:right w:val="none" w:sz="0" w:space="0"/>
          </w:pgBorders>
          <w:pgNumType w:fmt="decimal"/>
          <w:cols w:space="720" w:num="1"/>
        </w:sectPr>
      </w:pPr>
    </w:p>
    <w:p>
      <w:pPr>
        <w:pStyle w:val="6"/>
        <w:numPr>
          <w:ilvl w:val="0"/>
          <w:numId w:val="6"/>
        </w:numPr>
        <w:tabs>
          <w:tab w:val="left" w:pos="1460"/>
        </w:tabs>
        <w:spacing w:before="211" w:after="0" w:line="240" w:lineRule="auto"/>
        <w:ind w:left="1459" w:right="0" w:hanging="423"/>
        <w:jc w:val="left"/>
        <w:rPr>
          <w:rFonts w:hint="eastAsia" w:ascii="楷体" w:eastAsia="楷体"/>
        </w:rPr>
      </w:pPr>
      <w:bookmarkStart w:id="43" w:name="13.响应文件编制要求"/>
      <w:bookmarkEnd w:id="43"/>
      <w:bookmarkStart w:id="44" w:name="_bookmark18"/>
      <w:bookmarkEnd w:id="44"/>
      <w:bookmarkStart w:id="45" w:name="_bookmark18"/>
      <w:bookmarkEnd w:id="45"/>
      <w:r>
        <w:rPr>
          <w:rFonts w:hint="eastAsia" w:ascii="楷体" w:eastAsia="楷体"/>
          <w:spacing w:val="-3"/>
        </w:rPr>
        <w:t>响应文件编制要求</w:t>
      </w:r>
    </w:p>
    <w:p>
      <w:pPr>
        <w:pStyle w:val="29"/>
        <w:numPr>
          <w:ilvl w:val="1"/>
          <w:numId w:val="6"/>
        </w:numPr>
        <w:tabs>
          <w:tab w:val="left" w:pos="1499"/>
        </w:tabs>
        <w:spacing w:before="214" w:after="0" w:line="240" w:lineRule="auto"/>
        <w:ind w:left="1498" w:right="0" w:hanging="541"/>
        <w:jc w:val="left"/>
        <w:rPr>
          <w:sz w:val="24"/>
        </w:rPr>
      </w:pPr>
      <w:r>
        <w:rPr>
          <w:sz w:val="24"/>
        </w:rPr>
        <w:t>响应文件应按所投包分别进行编制。</w:t>
      </w:r>
    </w:p>
    <w:p>
      <w:pPr>
        <w:pStyle w:val="29"/>
        <w:numPr>
          <w:ilvl w:val="1"/>
          <w:numId w:val="6"/>
        </w:numPr>
        <w:tabs>
          <w:tab w:val="left" w:pos="1499"/>
        </w:tabs>
        <w:spacing w:before="161" w:after="0" w:line="240" w:lineRule="auto"/>
        <w:ind w:left="1498" w:right="0" w:hanging="541"/>
        <w:jc w:val="left"/>
        <w:rPr>
          <w:sz w:val="24"/>
        </w:rPr>
      </w:pPr>
      <w:r>
        <w:rPr>
          <w:sz w:val="24"/>
        </w:rPr>
        <w:t>响应文件编制：见供应商须知前附表。</w:t>
      </w:r>
    </w:p>
    <w:p>
      <w:pPr>
        <w:pStyle w:val="29"/>
        <w:numPr>
          <w:ilvl w:val="1"/>
          <w:numId w:val="6"/>
        </w:numPr>
        <w:tabs>
          <w:tab w:val="left" w:pos="1499"/>
        </w:tabs>
        <w:spacing w:before="160" w:after="0" w:line="240" w:lineRule="auto"/>
        <w:ind w:left="1498" w:right="0" w:hanging="541"/>
        <w:jc w:val="left"/>
        <w:rPr>
          <w:sz w:val="24"/>
        </w:rPr>
      </w:pPr>
      <w:r>
        <w:rPr>
          <w:sz w:val="24"/>
        </w:rPr>
        <w:t>响应文件签章：见供应商须知前附表。</w:t>
      </w:r>
    </w:p>
    <w:p>
      <w:pPr>
        <w:pStyle w:val="29"/>
        <w:numPr>
          <w:ilvl w:val="1"/>
          <w:numId w:val="6"/>
        </w:numPr>
        <w:tabs>
          <w:tab w:val="left" w:pos="1499"/>
        </w:tabs>
        <w:spacing w:before="161" w:after="0" w:line="364" w:lineRule="auto"/>
        <w:ind w:left="478" w:right="477" w:firstLine="480"/>
        <w:jc w:val="left"/>
        <w:rPr>
          <w:sz w:val="24"/>
        </w:rPr>
      </w:pPr>
      <w:r>
        <w:rPr>
          <w:spacing w:val="-7"/>
          <w:sz w:val="24"/>
        </w:rPr>
        <w:t>供应商可对供货现场以及其范围环境进行考察，以获取有关编制响应文件和签</w:t>
      </w:r>
      <w:r>
        <w:rPr>
          <w:sz w:val="24"/>
        </w:rPr>
        <w:t>署实施合同所需的各项资料，供应商应承担现场考察的费用、责任和风险。</w:t>
      </w:r>
    </w:p>
    <w:p>
      <w:pPr>
        <w:pStyle w:val="29"/>
        <w:numPr>
          <w:ilvl w:val="1"/>
          <w:numId w:val="6"/>
        </w:numPr>
        <w:tabs>
          <w:tab w:val="left" w:pos="1501"/>
        </w:tabs>
        <w:spacing w:before="1" w:after="0" w:line="364" w:lineRule="auto"/>
        <w:ind w:left="478" w:right="476" w:firstLine="480"/>
        <w:jc w:val="left"/>
        <w:rPr>
          <w:sz w:val="24"/>
        </w:rPr>
      </w:pPr>
      <w:r>
        <w:rPr>
          <w:sz w:val="24"/>
        </w:rPr>
        <w:t>供应商编制响应文件时，应当如实在技术响应表和商务响应表中填写响应情况。</w:t>
      </w:r>
    </w:p>
    <w:p>
      <w:pPr>
        <w:pStyle w:val="6"/>
        <w:numPr>
          <w:ilvl w:val="0"/>
          <w:numId w:val="6"/>
        </w:numPr>
        <w:tabs>
          <w:tab w:val="left" w:pos="1460"/>
        </w:tabs>
        <w:spacing w:before="52" w:after="0" w:line="240" w:lineRule="auto"/>
        <w:ind w:left="1459" w:right="0" w:hanging="423"/>
        <w:jc w:val="left"/>
        <w:rPr>
          <w:rFonts w:hint="eastAsia" w:ascii="楷体" w:eastAsia="楷体"/>
        </w:rPr>
      </w:pPr>
      <w:bookmarkStart w:id="46" w:name="_bookmark19"/>
      <w:bookmarkEnd w:id="46"/>
      <w:bookmarkStart w:id="47" w:name="14.响应文件的密封和标记"/>
      <w:bookmarkEnd w:id="47"/>
      <w:bookmarkStart w:id="48" w:name="_bookmark19"/>
      <w:bookmarkEnd w:id="48"/>
      <w:r>
        <w:rPr>
          <w:rFonts w:hint="eastAsia" w:ascii="楷体" w:eastAsia="楷体"/>
          <w:spacing w:val="-3"/>
        </w:rPr>
        <w:t>响应文件的密封和标记</w:t>
      </w:r>
    </w:p>
    <w:p>
      <w:pPr>
        <w:pStyle w:val="10"/>
        <w:spacing w:before="214"/>
        <w:ind w:left="958"/>
      </w:pPr>
      <w:r>
        <w:t>见供应商须知前附表。</w:t>
      </w:r>
    </w:p>
    <w:p>
      <w:pPr>
        <w:pStyle w:val="6"/>
        <w:numPr>
          <w:ilvl w:val="0"/>
          <w:numId w:val="6"/>
        </w:numPr>
        <w:tabs>
          <w:tab w:val="left" w:pos="1460"/>
        </w:tabs>
        <w:spacing w:before="212" w:after="0" w:line="240" w:lineRule="auto"/>
        <w:ind w:left="1459" w:right="0" w:hanging="423"/>
        <w:jc w:val="left"/>
        <w:rPr>
          <w:rFonts w:hint="eastAsia" w:ascii="楷体" w:eastAsia="楷体"/>
        </w:rPr>
      </w:pPr>
      <w:bookmarkStart w:id="49" w:name="15.响应文件的递交"/>
      <w:bookmarkEnd w:id="49"/>
      <w:bookmarkStart w:id="50" w:name="_bookmark20"/>
      <w:bookmarkEnd w:id="50"/>
      <w:bookmarkStart w:id="51" w:name="_bookmark20"/>
      <w:bookmarkEnd w:id="51"/>
      <w:r>
        <w:rPr>
          <w:rFonts w:hint="eastAsia" w:ascii="楷体" w:eastAsia="楷体"/>
          <w:spacing w:val="-3"/>
        </w:rPr>
        <w:t>响应文件的递交</w:t>
      </w:r>
    </w:p>
    <w:p>
      <w:pPr>
        <w:pStyle w:val="29"/>
        <w:numPr>
          <w:ilvl w:val="1"/>
          <w:numId w:val="6"/>
        </w:numPr>
        <w:tabs>
          <w:tab w:val="left" w:pos="1499"/>
        </w:tabs>
        <w:spacing w:before="214" w:after="0" w:line="240" w:lineRule="auto"/>
        <w:ind w:left="1498" w:right="0" w:hanging="541"/>
        <w:jc w:val="left"/>
        <w:rPr>
          <w:sz w:val="24"/>
        </w:rPr>
      </w:pPr>
      <w:r>
        <w:rPr>
          <w:sz w:val="24"/>
        </w:rPr>
        <w:t>供应商应在报价截止时间前递交响应文件。</w:t>
      </w:r>
    </w:p>
    <w:p>
      <w:pPr>
        <w:pStyle w:val="29"/>
        <w:numPr>
          <w:ilvl w:val="1"/>
          <w:numId w:val="6"/>
        </w:numPr>
        <w:tabs>
          <w:tab w:val="left" w:pos="1499"/>
        </w:tabs>
        <w:spacing w:before="161" w:after="0" w:line="240" w:lineRule="auto"/>
        <w:ind w:left="1498" w:right="0" w:hanging="541"/>
        <w:jc w:val="left"/>
        <w:rPr>
          <w:sz w:val="24"/>
        </w:rPr>
      </w:pPr>
      <w:r>
        <w:rPr>
          <w:sz w:val="24"/>
        </w:rPr>
        <w:t>供应商递交响应文件的时间、地点和要求：见供应商须知前附表。</w:t>
      </w:r>
    </w:p>
    <w:p>
      <w:pPr>
        <w:pStyle w:val="29"/>
        <w:numPr>
          <w:ilvl w:val="1"/>
          <w:numId w:val="6"/>
        </w:numPr>
        <w:tabs>
          <w:tab w:val="left" w:pos="1499"/>
        </w:tabs>
        <w:spacing w:before="160" w:after="0" w:line="364" w:lineRule="auto"/>
        <w:ind w:left="478" w:right="477" w:firstLine="480"/>
        <w:jc w:val="left"/>
        <w:rPr>
          <w:sz w:val="24"/>
        </w:rPr>
      </w:pPr>
      <w:r>
        <w:rPr>
          <w:spacing w:val="-12"/>
          <w:sz w:val="24"/>
        </w:rPr>
        <w:t>供应商有下列情况之一，采购人或者采购代理机构应当拒绝接收供应商的响应</w:t>
      </w:r>
      <w:r>
        <w:rPr>
          <w:sz w:val="24"/>
        </w:rPr>
        <w:t>文件：</w:t>
      </w:r>
    </w:p>
    <w:p>
      <w:pPr>
        <w:pStyle w:val="29"/>
        <w:numPr>
          <w:ilvl w:val="2"/>
          <w:numId w:val="6"/>
        </w:numPr>
        <w:tabs>
          <w:tab w:val="left" w:pos="1739"/>
        </w:tabs>
        <w:spacing w:before="1" w:after="0" w:line="240" w:lineRule="auto"/>
        <w:ind w:left="1738" w:right="0" w:hanging="781"/>
        <w:jc w:val="left"/>
        <w:rPr>
          <w:sz w:val="24"/>
        </w:rPr>
      </w:pPr>
      <w:r>
        <w:rPr>
          <w:sz w:val="24"/>
        </w:rPr>
        <w:t>逾期送达的或者未送达指定地点的。</w:t>
      </w:r>
    </w:p>
    <w:p>
      <w:pPr>
        <w:pStyle w:val="29"/>
        <w:numPr>
          <w:ilvl w:val="2"/>
          <w:numId w:val="6"/>
        </w:numPr>
        <w:tabs>
          <w:tab w:val="left" w:pos="1739"/>
        </w:tabs>
        <w:spacing w:before="161" w:after="0" w:line="240" w:lineRule="auto"/>
        <w:ind w:left="1738" w:right="0" w:hanging="781"/>
        <w:jc w:val="left"/>
        <w:rPr>
          <w:sz w:val="24"/>
        </w:rPr>
      </w:pPr>
      <w:r>
        <w:rPr>
          <w:sz w:val="24"/>
        </w:rPr>
        <w:t>响应文件未按采购文件要求密封的。</w:t>
      </w:r>
    </w:p>
    <w:p>
      <w:pPr>
        <w:pStyle w:val="29"/>
        <w:numPr>
          <w:ilvl w:val="2"/>
          <w:numId w:val="6"/>
        </w:numPr>
        <w:tabs>
          <w:tab w:val="left" w:pos="1741"/>
        </w:tabs>
        <w:spacing w:before="160" w:after="0" w:line="364" w:lineRule="auto"/>
        <w:ind w:left="478" w:right="478" w:firstLine="480"/>
        <w:jc w:val="left"/>
        <w:rPr>
          <w:sz w:val="24"/>
        </w:rPr>
      </w:pPr>
      <w:r>
        <w:rPr>
          <w:sz w:val="24"/>
        </w:rPr>
        <w:t>递交响应文件时法定代表人未出示法定代表人身份证明原件和身份证原件的；被授权代表未出示授权委托书原件和身份证原件的。</w:t>
      </w:r>
    </w:p>
    <w:p>
      <w:pPr>
        <w:pStyle w:val="29"/>
        <w:numPr>
          <w:ilvl w:val="1"/>
          <w:numId w:val="6"/>
        </w:numPr>
        <w:tabs>
          <w:tab w:val="left" w:pos="1499"/>
        </w:tabs>
        <w:spacing w:before="2" w:after="0" w:line="364" w:lineRule="auto"/>
        <w:ind w:left="478" w:right="477" w:firstLine="480"/>
        <w:jc w:val="left"/>
        <w:rPr>
          <w:sz w:val="24"/>
        </w:rPr>
      </w:pPr>
      <w:r>
        <w:rPr>
          <w:spacing w:val="-7"/>
          <w:sz w:val="24"/>
        </w:rPr>
        <w:t>除供应商须知前附表另有规定外，不论采购过程和结果如何，供应商的响应文</w:t>
      </w:r>
      <w:r>
        <w:rPr>
          <w:sz w:val="24"/>
        </w:rPr>
        <w:t>件均不退还。</w:t>
      </w:r>
    </w:p>
    <w:p>
      <w:pPr>
        <w:pStyle w:val="6"/>
        <w:numPr>
          <w:ilvl w:val="0"/>
          <w:numId w:val="6"/>
        </w:numPr>
        <w:tabs>
          <w:tab w:val="left" w:pos="1460"/>
        </w:tabs>
        <w:spacing w:before="52" w:after="0" w:line="240" w:lineRule="auto"/>
        <w:ind w:left="1459" w:right="0" w:hanging="423"/>
        <w:jc w:val="left"/>
        <w:rPr>
          <w:rFonts w:hint="eastAsia" w:ascii="楷体" w:eastAsia="楷体"/>
        </w:rPr>
      </w:pPr>
      <w:bookmarkStart w:id="52" w:name="_bookmark21"/>
      <w:bookmarkEnd w:id="52"/>
      <w:bookmarkStart w:id="53" w:name="16.响应文件的修改与撤回"/>
      <w:bookmarkEnd w:id="53"/>
      <w:bookmarkStart w:id="54" w:name="_bookmark21"/>
      <w:bookmarkEnd w:id="54"/>
      <w:r>
        <w:rPr>
          <w:rFonts w:hint="eastAsia" w:ascii="楷体" w:eastAsia="楷体"/>
          <w:spacing w:val="-3"/>
        </w:rPr>
        <w:t>响应文件的修改与撤回</w:t>
      </w:r>
    </w:p>
    <w:p>
      <w:pPr>
        <w:pStyle w:val="29"/>
        <w:numPr>
          <w:ilvl w:val="1"/>
          <w:numId w:val="6"/>
        </w:numPr>
        <w:tabs>
          <w:tab w:val="left" w:pos="1499"/>
        </w:tabs>
        <w:spacing w:before="161" w:after="0" w:line="364" w:lineRule="auto"/>
        <w:ind w:left="478" w:right="477" w:firstLine="480"/>
        <w:jc w:val="left"/>
        <w:rPr>
          <w:spacing w:val="-5"/>
          <w:sz w:val="24"/>
        </w:rPr>
      </w:pPr>
      <w:r>
        <w:rPr>
          <w:spacing w:val="-5"/>
          <w:sz w:val="24"/>
        </w:rPr>
        <w:t>供应商在磋商文件要求提交响应文件截止时间前，可以补充、修改、替代或者撤回已提交的响应文件。补充、修改的内容为响应文件的组成部分。</w:t>
      </w:r>
    </w:p>
    <w:p>
      <w:pPr>
        <w:pStyle w:val="29"/>
        <w:numPr>
          <w:ilvl w:val="0"/>
          <w:numId w:val="0"/>
        </w:numPr>
        <w:tabs>
          <w:tab w:val="left" w:pos="1499"/>
        </w:tabs>
        <w:spacing w:before="214" w:after="0" w:line="240" w:lineRule="auto"/>
        <w:ind w:right="0" w:rightChars="0"/>
        <w:jc w:val="left"/>
        <w:rPr>
          <w:sz w:val="24"/>
        </w:rPr>
      </w:pPr>
    </w:p>
    <w:p>
      <w:pPr>
        <w:pStyle w:val="29"/>
        <w:numPr>
          <w:ilvl w:val="1"/>
          <w:numId w:val="6"/>
        </w:numPr>
        <w:tabs>
          <w:tab w:val="left" w:pos="1499"/>
        </w:tabs>
        <w:spacing w:before="161" w:after="0" w:line="364" w:lineRule="auto"/>
        <w:ind w:left="478" w:right="477" w:firstLine="480"/>
        <w:jc w:val="left"/>
        <w:rPr>
          <w:sz w:val="24"/>
        </w:rPr>
      </w:pPr>
      <w:r>
        <w:rPr>
          <w:spacing w:val="-5"/>
          <w:sz w:val="24"/>
        </w:rPr>
        <w:t>在提交响应文件截止时间后到磋商文件规定的报价有效期终止之前，在磋商文</w:t>
      </w:r>
      <w:r>
        <w:rPr>
          <w:sz w:val="24"/>
        </w:rPr>
        <w:t>件没有变动的情况下，供应商不得补充、修改、替代或者撤销其响应文件。</w:t>
      </w:r>
    </w:p>
    <w:p>
      <w:pPr>
        <w:spacing w:after="0" w:line="240" w:lineRule="auto"/>
        <w:jc w:val="left"/>
        <w:rPr>
          <w:sz w:val="24"/>
        </w:rPr>
        <w:sectPr>
          <w:pgSz w:w="11910" w:h="16840"/>
          <w:pgMar w:top="1440" w:right="940" w:bottom="1180" w:left="940" w:header="0" w:footer="920" w:gutter="0"/>
          <w:pgBorders>
            <w:top w:val="none" w:sz="0" w:space="0"/>
            <w:left w:val="none" w:sz="0" w:space="0"/>
            <w:bottom w:val="none" w:sz="0" w:space="0"/>
            <w:right w:val="none" w:sz="0" w:space="0"/>
          </w:pgBorders>
          <w:pgNumType w:fmt="decimal"/>
          <w:cols w:space="720" w:num="1"/>
        </w:sectPr>
      </w:pPr>
    </w:p>
    <w:p>
      <w:pPr>
        <w:pStyle w:val="6"/>
        <w:numPr>
          <w:ilvl w:val="0"/>
          <w:numId w:val="6"/>
        </w:numPr>
        <w:tabs>
          <w:tab w:val="left" w:pos="1460"/>
        </w:tabs>
        <w:spacing w:before="52" w:after="0" w:line="240" w:lineRule="auto"/>
        <w:ind w:left="1459" w:right="0" w:hanging="423"/>
        <w:jc w:val="left"/>
        <w:rPr>
          <w:rFonts w:hint="eastAsia" w:ascii="楷体" w:eastAsia="楷体"/>
        </w:rPr>
      </w:pPr>
      <w:bookmarkStart w:id="55" w:name="_bookmark22"/>
      <w:bookmarkEnd w:id="55"/>
      <w:bookmarkStart w:id="56" w:name="17.保证金"/>
      <w:bookmarkEnd w:id="56"/>
      <w:bookmarkStart w:id="57" w:name="_bookmark22"/>
      <w:bookmarkEnd w:id="57"/>
      <w:r>
        <w:rPr>
          <w:rFonts w:hint="eastAsia" w:ascii="楷体" w:eastAsia="楷体"/>
          <w:spacing w:val="-2"/>
        </w:rPr>
        <w:t>保证金</w:t>
      </w:r>
    </w:p>
    <w:p>
      <w:pPr>
        <w:pStyle w:val="29"/>
        <w:numPr>
          <w:ilvl w:val="1"/>
          <w:numId w:val="6"/>
        </w:numPr>
        <w:tabs>
          <w:tab w:val="left" w:pos="1499"/>
        </w:tabs>
        <w:spacing w:before="214" w:after="0" w:line="240" w:lineRule="auto"/>
        <w:ind w:left="1498" w:right="0" w:hanging="541"/>
        <w:jc w:val="left"/>
        <w:rPr>
          <w:sz w:val="24"/>
        </w:rPr>
      </w:pPr>
      <w:r>
        <w:rPr>
          <w:sz w:val="24"/>
        </w:rPr>
        <w:t>保证金的交纳</w:t>
      </w:r>
    </w:p>
    <w:p>
      <w:pPr>
        <w:pStyle w:val="29"/>
        <w:numPr>
          <w:ilvl w:val="2"/>
          <w:numId w:val="6"/>
        </w:numPr>
        <w:tabs>
          <w:tab w:val="left" w:pos="1739"/>
        </w:tabs>
        <w:spacing w:before="161" w:after="0" w:line="240" w:lineRule="auto"/>
        <w:ind w:left="1738" w:right="0" w:hanging="781"/>
        <w:jc w:val="left"/>
        <w:rPr>
          <w:sz w:val="24"/>
        </w:rPr>
      </w:pPr>
      <w:r>
        <w:rPr>
          <w:sz w:val="24"/>
        </w:rPr>
        <w:t>保证金的交纳金额和形式：见供应商须知前附表。</w:t>
      </w:r>
    </w:p>
    <w:p>
      <w:pPr>
        <w:pStyle w:val="29"/>
        <w:numPr>
          <w:ilvl w:val="2"/>
          <w:numId w:val="6"/>
        </w:numPr>
        <w:tabs>
          <w:tab w:val="left" w:pos="1739"/>
        </w:tabs>
        <w:spacing w:before="160" w:after="0" w:line="240" w:lineRule="auto"/>
        <w:ind w:left="1738" w:right="0" w:hanging="781"/>
        <w:jc w:val="left"/>
        <w:rPr>
          <w:sz w:val="24"/>
        </w:rPr>
      </w:pPr>
      <w:r>
        <w:rPr>
          <w:sz w:val="24"/>
        </w:rPr>
        <w:t>保证金以到账时间为准。</w:t>
      </w:r>
    </w:p>
    <w:p>
      <w:pPr>
        <w:pStyle w:val="29"/>
        <w:numPr>
          <w:ilvl w:val="2"/>
          <w:numId w:val="6"/>
        </w:numPr>
        <w:tabs>
          <w:tab w:val="left" w:pos="1741"/>
        </w:tabs>
        <w:spacing w:before="161" w:after="0" w:line="364" w:lineRule="auto"/>
        <w:ind w:left="478" w:right="478" w:firstLine="480"/>
        <w:jc w:val="left"/>
        <w:rPr>
          <w:sz w:val="24"/>
        </w:rPr>
      </w:pPr>
      <w:r>
        <w:rPr>
          <w:sz w:val="24"/>
        </w:rPr>
        <w:t>供应商为联合体的，联合体牵头人交纳的保证金对联合体各方均具有约束力。</w:t>
      </w:r>
    </w:p>
    <w:p>
      <w:pPr>
        <w:pStyle w:val="29"/>
        <w:numPr>
          <w:ilvl w:val="1"/>
          <w:numId w:val="6"/>
        </w:numPr>
        <w:tabs>
          <w:tab w:val="left" w:pos="1499"/>
        </w:tabs>
        <w:spacing w:before="1" w:after="0" w:line="240" w:lineRule="auto"/>
        <w:ind w:left="1498" w:right="0" w:hanging="541"/>
        <w:jc w:val="left"/>
        <w:rPr>
          <w:sz w:val="24"/>
        </w:rPr>
      </w:pPr>
      <w:r>
        <w:rPr>
          <w:sz w:val="24"/>
        </w:rPr>
        <w:t>保证金的退还</w:t>
      </w:r>
    </w:p>
    <w:p>
      <w:pPr>
        <w:pStyle w:val="29"/>
        <w:numPr>
          <w:ilvl w:val="2"/>
          <w:numId w:val="6"/>
        </w:numPr>
        <w:tabs>
          <w:tab w:val="left" w:pos="1739"/>
        </w:tabs>
        <w:spacing w:before="160" w:after="0" w:line="364" w:lineRule="auto"/>
        <w:ind w:left="478" w:right="365" w:firstLine="480"/>
        <w:jc w:val="left"/>
        <w:rPr>
          <w:sz w:val="24"/>
        </w:rPr>
      </w:pPr>
      <w:r>
        <w:rPr>
          <w:spacing w:val="-1"/>
          <w:sz w:val="24"/>
        </w:rPr>
        <w:t xml:space="preserve">供应商在采购文件要求提交响应文件截止时间前书面要求撤回响应文件的， </w:t>
      </w:r>
      <w:r>
        <w:rPr>
          <w:sz w:val="24"/>
        </w:rPr>
        <w:t>采购人或者采购代理机构自收到供应商书面撤回文件之日起 5</w:t>
      </w:r>
      <w:r>
        <w:rPr>
          <w:spacing w:val="-3"/>
          <w:sz w:val="24"/>
        </w:rPr>
        <w:t xml:space="preserve"> 日内退还已收取的保证金。</w:t>
      </w:r>
    </w:p>
    <w:p>
      <w:pPr>
        <w:pStyle w:val="29"/>
        <w:numPr>
          <w:ilvl w:val="2"/>
          <w:numId w:val="6"/>
        </w:numPr>
        <w:tabs>
          <w:tab w:val="left" w:pos="1739"/>
        </w:tabs>
        <w:spacing w:before="2" w:after="0" w:line="364" w:lineRule="auto"/>
        <w:ind w:left="478" w:right="365" w:firstLine="480"/>
        <w:jc w:val="left"/>
        <w:rPr>
          <w:sz w:val="24"/>
        </w:rPr>
      </w:pPr>
      <w:r>
        <w:rPr>
          <w:spacing w:val="-5"/>
          <w:sz w:val="24"/>
        </w:rPr>
        <w:t xml:space="preserve">采购代理机构在成交通知发出后 </w:t>
      </w:r>
      <w:r>
        <w:rPr>
          <w:sz w:val="24"/>
        </w:rPr>
        <w:t>5</w:t>
      </w:r>
      <w:r>
        <w:rPr>
          <w:spacing w:val="-9"/>
          <w:sz w:val="24"/>
        </w:rPr>
        <w:t xml:space="preserve"> 个工作日内退还未成交供应商的保证金， </w:t>
      </w:r>
      <w:r>
        <w:rPr>
          <w:spacing w:val="-5"/>
          <w:sz w:val="24"/>
        </w:rPr>
        <w:t xml:space="preserve">在采购合同签订并备案后 </w:t>
      </w:r>
      <w:r>
        <w:rPr>
          <w:sz w:val="24"/>
        </w:rPr>
        <w:t>5</w:t>
      </w:r>
      <w:r>
        <w:rPr>
          <w:spacing w:val="-8"/>
          <w:sz w:val="24"/>
        </w:rPr>
        <w:t xml:space="preserve"> 个工作日内退还成交供应商的保证金。</w:t>
      </w:r>
    </w:p>
    <w:p>
      <w:pPr>
        <w:pStyle w:val="29"/>
        <w:numPr>
          <w:ilvl w:val="1"/>
          <w:numId w:val="6"/>
        </w:numPr>
        <w:tabs>
          <w:tab w:val="left" w:pos="1499"/>
        </w:tabs>
        <w:spacing w:before="1" w:after="0" w:line="240" w:lineRule="auto"/>
        <w:ind w:left="1498" w:right="0" w:hanging="541"/>
        <w:jc w:val="left"/>
        <w:rPr>
          <w:sz w:val="24"/>
        </w:rPr>
      </w:pPr>
      <w:r>
        <w:rPr>
          <w:sz w:val="24"/>
        </w:rPr>
        <w:t>保证金的不予退还</w:t>
      </w:r>
    </w:p>
    <w:p>
      <w:pPr>
        <w:pStyle w:val="29"/>
        <w:numPr>
          <w:ilvl w:val="2"/>
          <w:numId w:val="6"/>
        </w:numPr>
        <w:tabs>
          <w:tab w:val="left" w:pos="1739"/>
        </w:tabs>
        <w:spacing w:before="161" w:after="0" w:line="240" w:lineRule="auto"/>
        <w:ind w:left="1738" w:right="0" w:hanging="781"/>
        <w:jc w:val="left"/>
        <w:rPr>
          <w:sz w:val="24"/>
        </w:rPr>
      </w:pPr>
      <w:r>
        <w:rPr>
          <w:sz w:val="24"/>
        </w:rPr>
        <w:t>供应商有下列情形之一的，保证金将不予退还：</w:t>
      </w:r>
    </w:p>
    <w:p>
      <w:pPr>
        <w:pStyle w:val="29"/>
        <w:numPr>
          <w:ilvl w:val="0"/>
          <w:numId w:val="7"/>
        </w:numPr>
        <w:tabs>
          <w:tab w:val="left" w:pos="1560"/>
        </w:tabs>
        <w:spacing w:before="160" w:after="0" w:line="240" w:lineRule="auto"/>
        <w:ind w:left="1559" w:right="0" w:hanging="602"/>
        <w:jc w:val="left"/>
        <w:rPr>
          <w:sz w:val="24"/>
        </w:rPr>
      </w:pPr>
      <w:r>
        <w:rPr>
          <w:sz w:val="24"/>
        </w:rPr>
        <w:t>提供的有关资料不真实或者提供虚假材料的；</w:t>
      </w:r>
    </w:p>
    <w:p>
      <w:pPr>
        <w:pStyle w:val="29"/>
        <w:numPr>
          <w:ilvl w:val="0"/>
          <w:numId w:val="7"/>
        </w:numPr>
        <w:tabs>
          <w:tab w:val="left" w:pos="1560"/>
        </w:tabs>
        <w:spacing w:before="161" w:after="0" w:line="240" w:lineRule="auto"/>
        <w:ind w:left="1559" w:right="0" w:hanging="602"/>
        <w:jc w:val="left"/>
        <w:rPr>
          <w:sz w:val="24"/>
        </w:rPr>
      </w:pPr>
      <w:r>
        <w:rPr>
          <w:sz w:val="24"/>
        </w:rPr>
        <w:t>报价截止时间后供应商撤回全部或者部分响应文件的；</w:t>
      </w:r>
    </w:p>
    <w:p>
      <w:pPr>
        <w:pStyle w:val="29"/>
        <w:numPr>
          <w:ilvl w:val="0"/>
          <w:numId w:val="7"/>
        </w:numPr>
        <w:tabs>
          <w:tab w:val="left" w:pos="1560"/>
        </w:tabs>
        <w:spacing w:before="160" w:after="0" w:line="240" w:lineRule="auto"/>
        <w:ind w:left="1559" w:right="0" w:hanging="602"/>
        <w:jc w:val="left"/>
        <w:rPr>
          <w:sz w:val="24"/>
        </w:rPr>
      </w:pPr>
      <w:r>
        <w:rPr>
          <w:sz w:val="24"/>
        </w:rPr>
        <w:t>损害采购人或者采购代理机构合法权益的；</w:t>
      </w:r>
    </w:p>
    <w:p>
      <w:pPr>
        <w:pStyle w:val="29"/>
        <w:numPr>
          <w:ilvl w:val="0"/>
          <w:numId w:val="7"/>
        </w:numPr>
        <w:tabs>
          <w:tab w:val="left" w:pos="1560"/>
        </w:tabs>
        <w:spacing w:before="161" w:after="0" w:line="240" w:lineRule="auto"/>
        <w:ind w:left="1559" w:right="0" w:hanging="602"/>
        <w:jc w:val="left"/>
        <w:rPr>
          <w:sz w:val="24"/>
        </w:rPr>
      </w:pPr>
      <w:r>
        <w:rPr>
          <w:sz w:val="24"/>
        </w:rPr>
        <w:t>供应商向采购代理机构、采购人、专家提供不正当利益的；</w:t>
      </w:r>
    </w:p>
    <w:p>
      <w:pPr>
        <w:pStyle w:val="29"/>
        <w:numPr>
          <w:ilvl w:val="0"/>
          <w:numId w:val="7"/>
        </w:numPr>
        <w:tabs>
          <w:tab w:val="left" w:pos="1560"/>
        </w:tabs>
        <w:spacing w:before="160" w:after="0" w:line="240" w:lineRule="auto"/>
        <w:ind w:left="1559" w:right="0" w:hanging="602"/>
        <w:jc w:val="left"/>
        <w:rPr>
          <w:sz w:val="24"/>
        </w:rPr>
      </w:pPr>
      <w:r>
        <w:rPr>
          <w:spacing w:val="-1"/>
          <w:sz w:val="24"/>
        </w:rPr>
        <w:t>经磋商小组认定有故意哄抬报价、串标或者其它违法行为的;</w:t>
      </w:r>
    </w:p>
    <w:p>
      <w:pPr>
        <w:pStyle w:val="29"/>
        <w:numPr>
          <w:ilvl w:val="0"/>
          <w:numId w:val="7"/>
        </w:numPr>
        <w:tabs>
          <w:tab w:val="left" w:pos="1564"/>
        </w:tabs>
        <w:spacing w:before="161" w:after="0" w:line="364" w:lineRule="auto"/>
        <w:ind w:left="478" w:right="478" w:firstLine="480"/>
        <w:jc w:val="left"/>
        <w:rPr>
          <w:sz w:val="24"/>
        </w:rPr>
      </w:pPr>
      <w:r>
        <w:rPr>
          <w:sz w:val="24"/>
        </w:rPr>
        <w:t>成交供应商未按照采购文件规定签订合同或者未按照采购文件规定提供履约保证金的；</w:t>
      </w:r>
    </w:p>
    <w:p>
      <w:pPr>
        <w:pStyle w:val="29"/>
        <w:numPr>
          <w:ilvl w:val="0"/>
          <w:numId w:val="7"/>
        </w:numPr>
        <w:tabs>
          <w:tab w:val="left" w:pos="1560"/>
        </w:tabs>
        <w:spacing w:before="1" w:after="0" w:line="240" w:lineRule="auto"/>
        <w:ind w:left="1559" w:right="0" w:hanging="602"/>
        <w:jc w:val="left"/>
        <w:rPr>
          <w:sz w:val="24"/>
        </w:rPr>
      </w:pPr>
      <w:r>
        <w:rPr>
          <w:sz w:val="24"/>
        </w:rPr>
        <w:t>法律、行政法规以及有关规定的其它情形。</w:t>
      </w:r>
    </w:p>
    <w:p>
      <w:pPr>
        <w:pStyle w:val="29"/>
        <w:numPr>
          <w:ilvl w:val="2"/>
          <w:numId w:val="6"/>
        </w:numPr>
        <w:tabs>
          <w:tab w:val="left" w:pos="1739"/>
        </w:tabs>
        <w:spacing w:before="161" w:after="0" w:line="240" w:lineRule="auto"/>
        <w:ind w:left="1738" w:right="0" w:hanging="781"/>
        <w:jc w:val="left"/>
        <w:rPr>
          <w:sz w:val="24"/>
        </w:rPr>
      </w:pPr>
      <w:r>
        <w:rPr>
          <w:sz w:val="24"/>
        </w:rPr>
        <w:t>不予退还的保证金应在规定时间内上缴国库。</w:t>
      </w:r>
    </w:p>
    <w:p>
      <w:pPr>
        <w:pStyle w:val="6"/>
        <w:numPr>
          <w:ilvl w:val="0"/>
          <w:numId w:val="6"/>
        </w:numPr>
        <w:tabs>
          <w:tab w:val="left" w:pos="1460"/>
        </w:tabs>
        <w:spacing w:before="211" w:after="0" w:line="240" w:lineRule="auto"/>
        <w:ind w:left="1459" w:right="0" w:hanging="423"/>
        <w:jc w:val="left"/>
        <w:rPr>
          <w:rFonts w:hint="eastAsia" w:ascii="楷体" w:eastAsia="楷体"/>
        </w:rPr>
      </w:pPr>
      <w:bookmarkStart w:id="58" w:name="_bookmark23"/>
      <w:bookmarkEnd w:id="58"/>
      <w:bookmarkStart w:id="59" w:name="_bookmark23"/>
      <w:bookmarkEnd w:id="59"/>
      <w:bookmarkStart w:id="60" w:name="18.开标、磋商、成交"/>
      <w:bookmarkEnd w:id="60"/>
      <w:r>
        <w:rPr>
          <w:rFonts w:hint="eastAsia" w:ascii="楷体" w:eastAsia="楷体"/>
          <w:spacing w:val="-3"/>
        </w:rPr>
        <w:t>磋商</w:t>
      </w:r>
      <w:r>
        <w:rPr>
          <w:rFonts w:hint="eastAsia" w:ascii="楷体" w:eastAsia="楷体"/>
          <w:spacing w:val="-3"/>
          <w:lang w:val="en-US" w:eastAsia="zh-CN"/>
        </w:rPr>
        <w:t>程序</w:t>
      </w:r>
      <w:r>
        <w:rPr>
          <w:rFonts w:hint="eastAsia" w:ascii="楷体" w:eastAsia="楷体"/>
          <w:spacing w:val="-3"/>
        </w:rPr>
        <w:t>、成交</w:t>
      </w:r>
    </w:p>
    <w:p>
      <w:pPr>
        <w:pStyle w:val="29"/>
        <w:numPr>
          <w:ilvl w:val="1"/>
          <w:numId w:val="8"/>
        </w:numPr>
        <w:tabs>
          <w:tab w:val="left" w:pos="1560"/>
        </w:tabs>
        <w:spacing w:before="214" w:after="0" w:line="240" w:lineRule="auto"/>
        <w:ind w:left="1559" w:right="0" w:hanging="602"/>
        <w:jc w:val="left"/>
        <w:rPr>
          <w:sz w:val="24"/>
        </w:rPr>
      </w:pPr>
      <w:r>
        <w:rPr>
          <w:rFonts w:hint="eastAsia"/>
          <w:sz w:val="24"/>
          <w:lang w:val="en-US" w:eastAsia="zh-CN"/>
        </w:rPr>
        <w:t>磋商</w:t>
      </w:r>
      <w:r>
        <w:rPr>
          <w:sz w:val="24"/>
        </w:rPr>
        <w:t>程序</w:t>
      </w:r>
    </w:p>
    <w:p>
      <w:pPr>
        <w:pStyle w:val="29"/>
        <w:numPr>
          <w:ilvl w:val="2"/>
          <w:numId w:val="8"/>
        </w:numPr>
        <w:tabs>
          <w:tab w:val="left" w:pos="1739"/>
        </w:tabs>
        <w:spacing w:before="161" w:after="0" w:line="240" w:lineRule="auto"/>
        <w:ind w:left="1738" w:right="0" w:hanging="781"/>
        <w:jc w:val="left"/>
        <w:rPr>
          <w:sz w:val="24"/>
        </w:rPr>
      </w:pPr>
      <w:r>
        <w:rPr>
          <w:sz w:val="24"/>
        </w:rPr>
        <w:t>宣布</w:t>
      </w:r>
      <w:r>
        <w:rPr>
          <w:rFonts w:hint="eastAsia"/>
          <w:sz w:val="24"/>
          <w:lang w:val="en-US" w:eastAsia="zh-CN"/>
        </w:rPr>
        <w:t>会场</w:t>
      </w:r>
      <w:r>
        <w:rPr>
          <w:sz w:val="24"/>
        </w:rPr>
        <w:t>纪律；</w:t>
      </w:r>
    </w:p>
    <w:p>
      <w:pPr>
        <w:spacing w:after="0" w:line="240" w:lineRule="auto"/>
        <w:jc w:val="left"/>
        <w:rPr>
          <w:sz w:val="24"/>
        </w:rPr>
        <w:sectPr>
          <w:pgSz w:w="11910" w:h="16840"/>
          <w:pgMar w:top="1440" w:right="940" w:bottom="1180" w:left="940" w:header="0" w:footer="920" w:gutter="0"/>
          <w:pgBorders>
            <w:top w:val="none" w:sz="0" w:space="0"/>
            <w:left w:val="none" w:sz="0" w:space="0"/>
            <w:bottom w:val="none" w:sz="0" w:space="0"/>
            <w:right w:val="none" w:sz="0" w:space="0"/>
          </w:pgBorders>
          <w:pgNumType w:fmt="decimal"/>
          <w:cols w:space="720" w:num="1"/>
        </w:sectPr>
      </w:pPr>
    </w:p>
    <w:p>
      <w:pPr>
        <w:pStyle w:val="29"/>
        <w:numPr>
          <w:ilvl w:val="2"/>
          <w:numId w:val="8"/>
        </w:numPr>
        <w:tabs>
          <w:tab w:val="left" w:pos="1739"/>
        </w:tabs>
        <w:spacing w:before="40" w:after="0" w:line="240" w:lineRule="auto"/>
        <w:ind w:left="1738" w:right="0" w:hanging="781"/>
        <w:jc w:val="left"/>
        <w:rPr>
          <w:sz w:val="24"/>
        </w:rPr>
      </w:pPr>
      <w:r>
        <w:rPr>
          <w:sz w:val="24"/>
        </w:rPr>
        <w:t>宣布主持人、唱价人、记录人等有关人员姓名；</w:t>
      </w:r>
    </w:p>
    <w:p>
      <w:pPr>
        <w:pStyle w:val="29"/>
        <w:numPr>
          <w:ilvl w:val="2"/>
          <w:numId w:val="8"/>
        </w:numPr>
        <w:tabs>
          <w:tab w:val="left" w:pos="1739"/>
        </w:tabs>
        <w:spacing w:before="161" w:after="0" w:line="240" w:lineRule="auto"/>
        <w:ind w:left="1738" w:right="0" w:hanging="781"/>
        <w:jc w:val="left"/>
        <w:rPr>
          <w:sz w:val="24"/>
        </w:rPr>
      </w:pPr>
      <w:r>
        <w:rPr>
          <w:sz w:val="24"/>
        </w:rPr>
        <w:t>公布在报价截止时间前递交响应文件的供应商名称及签到顺序；</w:t>
      </w:r>
    </w:p>
    <w:p>
      <w:pPr>
        <w:pStyle w:val="29"/>
        <w:numPr>
          <w:ilvl w:val="2"/>
          <w:numId w:val="8"/>
        </w:numPr>
        <w:tabs>
          <w:tab w:val="left" w:pos="1739"/>
        </w:tabs>
        <w:spacing w:before="160" w:after="0" w:line="240" w:lineRule="auto"/>
        <w:ind w:left="1738" w:right="0" w:hanging="781"/>
        <w:jc w:val="left"/>
        <w:rPr>
          <w:sz w:val="24"/>
        </w:rPr>
      </w:pPr>
      <w:r>
        <w:rPr>
          <w:sz w:val="24"/>
        </w:rPr>
        <w:t>供应商相互检查响应文件密封情况，并签字确认；</w:t>
      </w:r>
    </w:p>
    <w:p>
      <w:pPr>
        <w:pStyle w:val="29"/>
        <w:numPr>
          <w:ilvl w:val="2"/>
          <w:numId w:val="8"/>
        </w:numPr>
        <w:tabs>
          <w:tab w:val="left" w:pos="1739"/>
        </w:tabs>
        <w:spacing w:before="161" w:after="0" w:line="240" w:lineRule="auto"/>
        <w:ind w:left="1738" w:right="0" w:hanging="781"/>
        <w:jc w:val="both"/>
        <w:rPr>
          <w:sz w:val="24"/>
        </w:rPr>
      </w:pPr>
      <w:r>
        <w:rPr>
          <w:sz w:val="24"/>
        </w:rPr>
        <w:t>开启响应文件，按照签到顺序公布供应商名称、报价等内容，并记录在案；</w:t>
      </w:r>
    </w:p>
    <w:p>
      <w:pPr>
        <w:pStyle w:val="29"/>
        <w:numPr>
          <w:ilvl w:val="2"/>
          <w:numId w:val="8"/>
        </w:numPr>
        <w:tabs>
          <w:tab w:val="left" w:pos="1739"/>
        </w:tabs>
        <w:spacing w:before="160" w:after="0" w:line="364" w:lineRule="auto"/>
        <w:ind w:left="478" w:right="477" w:firstLine="480"/>
        <w:jc w:val="both"/>
        <w:rPr>
          <w:sz w:val="24"/>
        </w:rPr>
      </w:pPr>
      <w:r>
        <w:rPr>
          <w:spacing w:val="-4"/>
          <w:sz w:val="24"/>
        </w:rPr>
        <w:t>供应商法定代表人</w:t>
      </w:r>
      <w:r>
        <w:rPr>
          <w:sz w:val="24"/>
        </w:rPr>
        <w:t>（或者被授权代表</w:t>
      </w:r>
      <w:r>
        <w:rPr>
          <w:spacing w:val="-29"/>
          <w:sz w:val="24"/>
        </w:rPr>
        <w:t>）</w:t>
      </w:r>
      <w:r>
        <w:rPr>
          <w:spacing w:val="-9"/>
          <w:sz w:val="24"/>
        </w:rPr>
        <w:t>、采购人代表、记录人等有关人员在</w:t>
      </w:r>
      <w:r>
        <w:rPr>
          <w:sz w:val="24"/>
        </w:rPr>
        <w:t>开标记录上签字确认；</w:t>
      </w:r>
    </w:p>
    <w:p>
      <w:pPr>
        <w:pStyle w:val="29"/>
        <w:numPr>
          <w:ilvl w:val="2"/>
          <w:numId w:val="8"/>
        </w:numPr>
        <w:tabs>
          <w:tab w:val="left" w:pos="1739"/>
        </w:tabs>
        <w:spacing w:before="1" w:after="0" w:line="364" w:lineRule="auto"/>
        <w:ind w:left="958" w:right="7085" w:firstLine="0"/>
        <w:jc w:val="both"/>
        <w:rPr>
          <w:sz w:val="24"/>
        </w:rPr>
      </w:pPr>
      <w:r>
        <w:rPr>
          <w:spacing w:val="-4"/>
          <w:sz w:val="24"/>
        </w:rPr>
        <w:t>开标结束。</w:t>
      </w:r>
      <w:r>
        <w:rPr>
          <w:sz w:val="24"/>
        </w:rPr>
        <w:t>18.2.开标</w:t>
      </w:r>
    </w:p>
    <w:p>
      <w:pPr>
        <w:pStyle w:val="29"/>
        <w:numPr>
          <w:ilvl w:val="2"/>
          <w:numId w:val="9"/>
        </w:numPr>
        <w:tabs>
          <w:tab w:val="left" w:pos="1739"/>
        </w:tabs>
        <w:spacing w:before="2" w:after="0" w:line="364" w:lineRule="auto"/>
        <w:ind w:left="478" w:right="477" w:firstLine="480"/>
        <w:jc w:val="both"/>
        <w:rPr>
          <w:sz w:val="24"/>
        </w:rPr>
      </w:pPr>
      <w:r>
        <w:rPr>
          <w:spacing w:val="-5"/>
          <w:sz w:val="24"/>
        </w:rPr>
        <w:t>开标应当在采购文件确定的提交响应文件截止时间的同一时间公开进行；采</w:t>
      </w:r>
      <w:r>
        <w:rPr>
          <w:spacing w:val="-3"/>
          <w:sz w:val="24"/>
        </w:rPr>
        <w:t>购代理机构按照本采购文件规定的时间和地点组织召开开标会议。届时请供应商法定代</w:t>
      </w:r>
      <w:r>
        <w:rPr>
          <w:sz w:val="24"/>
        </w:rPr>
        <w:t>表人或者被授权代表参加，参加开标会议的代表应签名报到。</w:t>
      </w:r>
    </w:p>
    <w:p>
      <w:pPr>
        <w:pStyle w:val="7"/>
        <w:spacing w:line="364" w:lineRule="auto"/>
        <w:ind w:firstLine="480"/>
        <w:jc w:val="both"/>
      </w:pPr>
      <w:r>
        <w:rPr>
          <w:spacing w:val="-8"/>
        </w:rPr>
        <w:t>递交响应文件时：法定代表人出示法定代表人身份证明原件和身份证原件、被授权</w:t>
      </w:r>
      <w:r>
        <w:rPr>
          <w:spacing w:val="-12"/>
        </w:rPr>
        <w:t>代表出示授权委托书原件和身份证原件以证明其出席。否则，代理机构对递交的响应文件将不予接收。</w:t>
      </w:r>
    </w:p>
    <w:p>
      <w:pPr>
        <w:pStyle w:val="29"/>
        <w:numPr>
          <w:ilvl w:val="2"/>
          <w:numId w:val="9"/>
        </w:numPr>
        <w:tabs>
          <w:tab w:val="left" w:pos="1739"/>
        </w:tabs>
        <w:spacing w:before="2" w:after="0" w:line="364" w:lineRule="auto"/>
        <w:ind w:left="478" w:right="477" w:firstLine="480"/>
        <w:jc w:val="both"/>
        <w:rPr>
          <w:sz w:val="24"/>
        </w:rPr>
      </w:pPr>
      <w:r>
        <w:rPr>
          <w:spacing w:val="-12"/>
          <w:sz w:val="24"/>
        </w:rPr>
        <w:t>检查响应文件密封情况，由供应商法定代表人或者被授权代表互相检查各供</w:t>
      </w:r>
      <w:r>
        <w:rPr>
          <w:spacing w:val="-6"/>
          <w:sz w:val="24"/>
        </w:rPr>
        <w:t>应商响应文件的密封情况，也可以由采购人或者采购代理机构委托的公证机构检查并公</w:t>
      </w:r>
      <w:r>
        <w:rPr>
          <w:spacing w:val="-8"/>
          <w:sz w:val="24"/>
        </w:rPr>
        <w:t>证，并请各供应商法定代表人或者被授权代表签字确认。供应商法定代表人或者被授权</w:t>
      </w:r>
      <w:r>
        <w:rPr>
          <w:spacing w:val="-3"/>
          <w:sz w:val="24"/>
        </w:rPr>
        <w:t>代表认为某个或者某些供应商的响应文件密封不符合规定的，应当面提出，采购代理机</w:t>
      </w:r>
      <w:r>
        <w:rPr>
          <w:spacing w:val="-7"/>
          <w:sz w:val="24"/>
        </w:rPr>
        <w:t>构现场记录，相关各方供应商法定代表人或者被授权代表签字确认无异议后，由采购代</w:t>
      </w:r>
      <w:r>
        <w:rPr>
          <w:sz w:val="24"/>
        </w:rPr>
        <w:t>理机构工作人员当众拆封，开启符合密封规定的响应文件。</w:t>
      </w:r>
    </w:p>
    <w:p>
      <w:pPr>
        <w:pStyle w:val="10"/>
        <w:spacing w:before="4" w:line="364" w:lineRule="auto"/>
        <w:ind w:left="478" w:right="425" w:firstLine="480"/>
        <w:jc w:val="both"/>
      </w:pPr>
      <w:r>
        <w:rPr>
          <w:spacing w:val="-2"/>
        </w:rPr>
        <w:t>若相关各方供应商法定代表人或者被授权代表签字确认有异议的，报现场监督人员</w:t>
      </w:r>
      <w:r>
        <w:rPr>
          <w:spacing w:val="-7"/>
        </w:rPr>
        <w:t>和磋商小组处理，在处理决定未作出之前有异议各方的响应文件均不得开启；处理决定</w:t>
      </w:r>
      <w:r>
        <w:rPr>
          <w:spacing w:val="-10"/>
        </w:rPr>
        <w:t>认为响应文件符合或者不符合规定的，各方均应签字确认，拒绝签字的不影响处理决定</w:t>
      </w:r>
      <w:r>
        <w:rPr>
          <w:spacing w:val="-11"/>
        </w:rPr>
        <w:t xml:space="preserve">的执行；处理决定认为响应文件不符合规定的，按照响应无效处理。处理决定公布后， </w:t>
      </w:r>
      <w:r>
        <w:t>由采购代理机构工作人员当众拆封，开启符合密封规定的响应文件。</w:t>
      </w:r>
    </w:p>
    <w:p>
      <w:pPr>
        <w:pStyle w:val="10"/>
        <w:spacing w:before="3" w:line="364" w:lineRule="auto"/>
        <w:ind w:left="478" w:right="414" w:firstLine="480"/>
      </w:pPr>
      <w:r>
        <w:t>按照上述规定开启响应文件后，供应商再对响应文件的密封情况提出异议的，采购人或者采购代理机构不予受理。</w:t>
      </w:r>
    </w:p>
    <w:p>
      <w:pPr>
        <w:pStyle w:val="29"/>
        <w:numPr>
          <w:ilvl w:val="2"/>
          <w:numId w:val="9"/>
        </w:numPr>
        <w:tabs>
          <w:tab w:val="left" w:pos="1739"/>
        </w:tabs>
        <w:spacing w:before="1" w:after="0" w:line="240" w:lineRule="auto"/>
        <w:ind w:left="1738" w:right="0" w:hanging="781"/>
        <w:jc w:val="left"/>
        <w:rPr>
          <w:sz w:val="24"/>
        </w:rPr>
      </w:pPr>
      <w:r>
        <w:rPr>
          <w:sz w:val="24"/>
        </w:rPr>
        <w:t>由采购代理机构工作人员唱标。</w:t>
      </w:r>
    </w:p>
    <w:p>
      <w:pPr>
        <w:pStyle w:val="10"/>
        <w:spacing w:before="161" w:line="364" w:lineRule="auto"/>
        <w:ind w:left="478" w:right="422" w:firstLine="480"/>
      </w:pPr>
      <w:r>
        <w:t>唱标人当众宣读供应商名称、响应报价、采购文件允许提供的备选报价方案和响应文件的其他主要内容，并不得拒绝任何符合要求的响应报价。供应商若有报价和优惠未</w:t>
      </w:r>
    </w:p>
    <w:p>
      <w:pPr>
        <w:spacing w:after="0" w:line="364" w:lineRule="auto"/>
        <w:sectPr>
          <w:pgSz w:w="11910" w:h="16840"/>
          <w:pgMar w:top="1440" w:right="940" w:bottom="1180" w:left="940" w:header="0" w:footer="920" w:gutter="0"/>
          <w:pgBorders>
            <w:top w:val="none" w:sz="0" w:space="0"/>
            <w:left w:val="none" w:sz="0" w:space="0"/>
            <w:bottom w:val="none" w:sz="0" w:space="0"/>
            <w:right w:val="none" w:sz="0" w:space="0"/>
          </w:pgBorders>
          <w:pgNumType w:fmt="decimal"/>
          <w:cols w:space="720" w:num="1"/>
        </w:sectPr>
      </w:pPr>
    </w:p>
    <w:p>
      <w:pPr>
        <w:pStyle w:val="10"/>
        <w:spacing w:before="40"/>
        <w:ind w:left="478"/>
      </w:pPr>
      <w:r>
        <w:t>被唱出，应在开标时及时声明或者提出，否则采购代理机构对此不承担任何责任。</w:t>
      </w:r>
    </w:p>
    <w:p>
      <w:pPr>
        <w:pStyle w:val="29"/>
        <w:numPr>
          <w:ilvl w:val="2"/>
          <w:numId w:val="9"/>
        </w:numPr>
        <w:tabs>
          <w:tab w:val="left" w:pos="1739"/>
        </w:tabs>
        <w:spacing w:before="161" w:after="0" w:line="364" w:lineRule="auto"/>
        <w:ind w:left="478" w:right="357" w:firstLine="480"/>
        <w:jc w:val="both"/>
        <w:rPr>
          <w:sz w:val="24"/>
        </w:rPr>
      </w:pPr>
      <w:r>
        <w:rPr>
          <w:spacing w:val="-6"/>
          <w:sz w:val="24"/>
        </w:rPr>
        <w:t>开标和唱标由采购代理机构指定专人负责，开标记录由供应商法定代表人或</w:t>
      </w:r>
      <w:r>
        <w:rPr>
          <w:spacing w:val="-16"/>
          <w:sz w:val="24"/>
        </w:rPr>
        <w:t>者被授权代表、采购人代表、记录人等有关人员签字确认，采购代理机构负责存档备查。</w:t>
      </w:r>
    </w:p>
    <w:p>
      <w:pPr>
        <w:pStyle w:val="29"/>
        <w:numPr>
          <w:ilvl w:val="2"/>
          <w:numId w:val="9"/>
        </w:numPr>
        <w:tabs>
          <w:tab w:val="left" w:pos="1739"/>
        </w:tabs>
        <w:spacing w:before="1" w:after="0" w:line="364" w:lineRule="auto"/>
        <w:ind w:left="478" w:right="477" w:firstLine="480"/>
        <w:jc w:val="both"/>
        <w:rPr>
          <w:sz w:val="24"/>
        </w:rPr>
      </w:pPr>
      <w:r>
        <w:rPr>
          <w:spacing w:val="-9"/>
          <w:sz w:val="24"/>
        </w:rPr>
        <w:t>供应商对开标有异议的，应当在开标现场以书面形式提出，采购人或者采购</w:t>
      </w:r>
      <w:r>
        <w:rPr>
          <w:spacing w:val="-5"/>
          <w:sz w:val="24"/>
        </w:rPr>
        <w:t>代理机构应当场给予答复，并制作记录，供应商法定代表人或者被授权代表、采购人代</w:t>
      </w:r>
      <w:r>
        <w:rPr>
          <w:sz w:val="24"/>
        </w:rPr>
        <w:t>表、采购代理机构（包括公证机构人员）签字确认。</w:t>
      </w:r>
    </w:p>
    <w:p>
      <w:pPr>
        <w:pStyle w:val="29"/>
        <w:numPr>
          <w:ilvl w:val="1"/>
          <w:numId w:val="10"/>
        </w:numPr>
        <w:tabs>
          <w:tab w:val="left" w:pos="1499"/>
        </w:tabs>
        <w:spacing w:before="2" w:after="0" w:line="240" w:lineRule="auto"/>
        <w:ind w:left="1498" w:right="0" w:hanging="541"/>
        <w:jc w:val="both"/>
        <w:rPr>
          <w:sz w:val="24"/>
        </w:rPr>
      </w:pPr>
      <w:r>
        <w:rPr>
          <w:sz w:val="24"/>
        </w:rPr>
        <w:t>磋商小组</w:t>
      </w:r>
    </w:p>
    <w:p>
      <w:pPr>
        <w:pStyle w:val="29"/>
        <w:numPr>
          <w:ilvl w:val="2"/>
          <w:numId w:val="10"/>
        </w:numPr>
        <w:tabs>
          <w:tab w:val="left" w:pos="1739"/>
        </w:tabs>
        <w:spacing w:before="160" w:after="0" w:line="240" w:lineRule="auto"/>
        <w:ind w:left="1738" w:right="0" w:hanging="781"/>
        <w:jc w:val="both"/>
        <w:rPr>
          <w:sz w:val="24"/>
        </w:rPr>
      </w:pPr>
      <w:r>
        <w:rPr>
          <w:sz w:val="24"/>
        </w:rPr>
        <w:t>磋商小组的组成</w:t>
      </w:r>
    </w:p>
    <w:p>
      <w:pPr>
        <w:pStyle w:val="10"/>
        <w:spacing w:before="161" w:line="364" w:lineRule="auto"/>
        <w:ind w:left="478" w:right="477" w:firstLine="480"/>
        <w:jc w:val="both"/>
      </w:pPr>
      <w:r>
        <w:rPr>
          <w:spacing w:val="-7"/>
        </w:rPr>
        <w:t>采购人按照《中华人民共和国政府采购法》以及有关规定组建磋商小组。磋商由依</w:t>
      </w:r>
      <w:r>
        <w:rPr>
          <w:spacing w:val="-5"/>
        </w:rPr>
        <w:t>法组建的磋商小组负责。磋商小组由采购人代表和评审专家共同组成，成员人数为三人</w:t>
      </w:r>
      <w:r>
        <w:rPr>
          <w:spacing w:val="-6"/>
        </w:rPr>
        <w:t>以及以上单数，其中采购人代表只限一人，技术、经济等方面的评审专家不得少于成员</w:t>
      </w:r>
      <w:r>
        <w:t>总数的三分之二。</w:t>
      </w:r>
    </w:p>
    <w:p>
      <w:pPr>
        <w:pStyle w:val="29"/>
        <w:numPr>
          <w:ilvl w:val="2"/>
          <w:numId w:val="10"/>
        </w:numPr>
        <w:tabs>
          <w:tab w:val="left" w:pos="1739"/>
        </w:tabs>
        <w:spacing w:before="2" w:after="0" w:line="240" w:lineRule="auto"/>
        <w:ind w:left="1738" w:right="0" w:hanging="781"/>
        <w:jc w:val="both"/>
        <w:rPr>
          <w:sz w:val="24"/>
        </w:rPr>
      </w:pPr>
      <w:r>
        <w:rPr>
          <w:sz w:val="24"/>
        </w:rPr>
        <w:t>评审专家的抽取</w:t>
      </w:r>
    </w:p>
    <w:p>
      <w:pPr>
        <w:pStyle w:val="29"/>
        <w:numPr>
          <w:ilvl w:val="3"/>
          <w:numId w:val="10"/>
        </w:numPr>
        <w:tabs>
          <w:tab w:val="left" w:pos="1981"/>
        </w:tabs>
        <w:spacing w:before="161" w:after="0" w:line="364" w:lineRule="auto"/>
        <w:ind w:left="478" w:right="477" w:firstLine="480"/>
        <w:jc w:val="both"/>
        <w:rPr>
          <w:sz w:val="24"/>
        </w:rPr>
      </w:pPr>
      <w:r>
        <w:rPr>
          <w:sz w:val="24"/>
        </w:rPr>
        <w:t>采用随机抽取方式从政府采购监管部门依法设立的专家库中确定磋商小组成员。任何单位和个人都不得指定评审专家或干预评审专家的抽取工作。</w:t>
      </w:r>
    </w:p>
    <w:p>
      <w:pPr>
        <w:pStyle w:val="29"/>
        <w:numPr>
          <w:ilvl w:val="3"/>
          <w:numId w:val="10"/>
        </w:numPr>
        <w:tabs>
          <w:tab w:val="left" w:pos="1979"/>
        </w:tabs>
        <w:spacing w:before="1" w:after="0" w:line="364" w:lineRule="auto"/>
        <w:ind w:left="478" w:right="477" w:firstLine="480"/>
        <w:jc w:val="both"/>
        <w:rPr>
          <w:sz w:val="24"/>
        </w:rPr>
      </w:pPr>
      <w:r>
        <w:rPr>
          <w:spacing w:val="-6"/>
          <w:sz w:val="24"/>
        </w:rPr>
        <w:t>参加评审专家抽取的有关人员对被抽取的专家的姓名、单位和联系方式等</w:t>
      </w:r>
      <w:r>
        <w:rPr>
          <w:sz w:val="24"/>
        </w:rPr>
        <w:t>内容负有保密的义务。磋商小组成员的名单在评审结果确定前必须严格保密。</w:t>
      </w:r>
    </w:p>
    <w:p>
      <w:pPr>
        <w:pStyle w:val="29"/>
        <w:numPr>
          <w:ilvl w:val="2"/>
          <w:numId w:val="10"/>
        </w:numPr>
        <w:tabs>
          <w:tab w:val="left" w:pos="1739"/>
        </w:tabs>
        <w:spacing w:before="1" w:after="0" w:line="364" w:lineRule="auto"/>
        <w:ind w:left="478" w:right="477" w:firstLine="480"/>
        <w:jc w:val="both"/>
        <w:rPr>
          <w:sz w:val="24"/>
        </w:rPr>
      </w:pPr>
      <w:r>
        <w:rPr>
          <w:spacing w:val="-6"/>
          <w:sz w:val="24"/>
        </w:rPr>
        <w:t>磋商小组成员不得参加与自己有利害关系的评审活动，与自己有利害关系的</w:t>
      </w:r>
      <w:r>
        <w:rPr>
          <w:sz w:val="24"/>
        </w:rPr>
        <w:t>应当回避，已经进入的必须更换。</w:t>
      </w:r>
    </w:p>
    <w:p>
      <w:pPr>
        <w:pStyle w:val="29"/>
        <w:numPr>
          <w:ilvl w:val="2"/>
          <w:numId w:val="10"/>
        </w:numPr>
        <w:tabs>
          <w:tab w:val="left" w:pos="1739"/>
        </w:tabs>
        <w:spacing w:before="1" w:after="0" w:line="364" w:lineRule="auto"/>
        <w:ind w:left="478" w:right="477" w:firstLine="480"/>
        <w:jc w:val="both"/>
        <w:rPr>
          <w:sz w:val="24"/>
        </w:rPr>
      </w:pPr>
      <w:r>
        <w:rPr>
          <w:spacing w:val="-8"/>
          <w:sz w:val="24"/>
        </w:rPr>
        <w:t>磋商小组负责对各响应文件进行评审、比较、评定，并按本采购文件的规定</w:t>
      </w:r>
      <w:r>
        <w:rPr>
          <w:sz w:val="24"/>
        </w:rPr>
        <w:t>确定成交供应商或者推荐中标候选人。</w:t>
      </w:r>
    </w:p>
    <w:p>
      <w:pPr>
        <w:pStyle w:val="29"/>
        <w:numPr>
          <w:ilvl w:val="2"/>
          <w:numId w:val="10"/>
        </w:numPr>
        <w:tabs>
          <w:tab w:val="left" w:pos="1739"/>
        </w:tabs>
        <w:spacing w:before="1" w:after="0" w:line="364" w:lineRule="auto"/>
        <w:ind w:left="478" w:right="477" w:firstLine="480"/>
        <w:jc w:val="both"/>
        <w:rPr>
          <w:sz w:val="24"/>
        </w:rPr>
      </w:pPr>
      <w:r>
        <w:rPr>
          <w:spacing w:val="-7"/>
          <w:sz w:val="24"/>
        </w:rPr>
        <w:t>磋商小组具有依据采购文件进行独立评审的权力，且不受外界任何因素的干</w:t>
      </w:r>
      <w:r>
        <w:rPr>
          <w:spacing w:val="-8"/>
          <w:sz w:val="24"/>
        </w:rPr>
        <w:t>扰。磋商小组成员必须独立、负责地提出评审意见，并对自己的评审意见承担责任。对</w:t>
      </w:r>
      <w:r>
        <w:rPr>
          <w:spacing w:val="-3"/>
          <w:sz w:val="24"/>
        </w:rPr>
        <w:t>评审结果有不同意见的磋商小组成员应当以书面形式说明其不同意见和理由，评审报告</w:t>
      </w:r>
      <w:r>
        <w:rPr>
          <w:spacing w:val="-7"/>
          <w:sz w:val="24"/>
        </w:rPr>
        <w:t>应当注明不同意见。评审委员会成员拒绝评审或者拒绝在评审报告上签字并且又不书面</w:t>
      </w:r>
      <w:r>
        <w:rPr>
          <w:sz w:val="24"/>
        </w:rPr>
        <w:t>说明其不同意见和理由的，视为同意评审结果。</w:t>
      </w:r>
    </w:p>
    <w:p>
      <w:pPr>
        <w:pStyle w:val="29"/>
        <w:numPr>
          <w:ilvl w:val="2"/>
          <w:numId w:val="10"/>
        </w:numPr>
        <w:tabs>
          <w:tab w:val="left" w:pos="1739"/>
        </w:tabs>
        <w:spacing w:before="3" w:after="0" w:line="240" w:lineRule="auto"/>
        <w:ind w:left="1738" w:right="0" w:hanging="781"/>
        <w:jc w:val="both"/>
        <w:rPr>
          <w:sz w:val="24"/>
        </w:rPr>
      </w:pPr>
      <w:r>
        <w:rPr>
          <w:sz w:val="24"/>
        </w:rPr>
        <w:t>磋商小组的职责：</w:t>
      </w:r>
    </w:p>
    <w:p>
      <w:pPr>
        <w:pStyle w:val="29"/>
        <w:numPr>
          <w:ilvl w:val="3"/>
          <w:numId w:val="10"/>
        </w:numPr>
        <w:tabs>
          <w:tab w:val="left" w:pos="1979"/>
        </w:tabs>
        <w:spacing w:before="161" w:after="0" w:line="364" w:lineRule="auto"/>
        <w:ind w:left="478" w:right="477" w:firstLine="480"/>
        <w:jc w:val="both"/>
        <w:rPr>
          <w:sz w:val="24"/>
        </w:rPr>
      </w:pPr>
      <w:r>
        <w:rPr>
          <w:spacing w:val="-7"/>
          <w:sz w:val="24"/>
        </w:rPr>
        <w:t>审查响应文件是否符合采购文件要求，进行资格性审查和符合性审查，并</w:t>
      </w:r>
      <w:r>
        <w:rPr>
          <w:sz w:val="24"/>
        </w:rPr>
        <w:t>做出评价；</w:t>
      </w:r>
    </w:p>
    <w:p>
      <w:pPr>
        <w:pStyle w:val="29"/>
        <w:numPr>
          <w:ilvl w:val="3"/>
          <w:numId w:val="10"/>
        </w:numPr>
        <w:tabs>
          <w:tab w:val="left" w:pos="1979"/>
        </w:tabs>
        <w:spacing w:before="1" w:after="0" w:line="240" w:lineRule="auto"/>
        <w:ind w:left="1978" w:right="0" w:hanging="1021"/>
        <w:jc w:val="both"/>
        <w:rPr>
          <w:sz w:val="24"/>
        </w:rPr>
      </w:pPr>
      <w:r>
        <w:rPr>
          <w:sz w:val="24"/>
        </w:rPr>
        <w:t>要求供应商对响应文件有关事项做出解释或者澄清；</w:t>
      </w:r>
    </w:p>
    <w:p>
      <w:pPr>
        <w:spacing w:after="0" w:line="240" w:lineRule="auto"/>
        <w:jc w:val="both"/>
        <w:rPr>
          <w:sz w:val="24"/>
        </w:rPr>
        <w:sectPr>
          <w:pgSz w:w="11910" w:h="16840"/>
          <w:pgMar w:top="1440" w:right="940" w:bottom="1180" w:left="940" w:header="0" w:footer="920" w:gutter="0"/>
          <w:pgBorders>
            <w:top w:val="none" w:sz="0" w:space="0"/>
            <w:left w:val="none" w:sz="0" w:space="0"/>
            <w:bottom w:val="none" w:sz="0" w:space="0"/>
            <w:right w:val="none" w:sz="0" w:space="0"/>
          </w:pgBorders>
          <w:pgNumType w:fmt="decimal"/>
          <w:cols w:space="720" w:num="1"/>
        </w:sectPr>
      </w:pPr>
    </w:p>
    <w:p>
      <w:pPr>
        <w:pStyle w:val="29"/>
        <w:numPr>
          <w:ilvl w:val="3"/>
          <w:numId w:val="10"/>
        </w:numPr>
        <w:tabs>
          <w:tab w:val="left" w:pos="1979"/>
        </w:tabs>
        <w:spacing w:before="40" w:after="0" w:line="364" w:lineRule="auto"/>
        <w:ind w:left="478" w:right="477" w:firstLine="480"/>
        <w:jc w:val="left"/>
        <w:rPr>
          <w:sz w:val="24"/>
        </w:rPr>
      </w:pPr>
      <w:r>
        <w:rPr>
          <w:spacing w:val="-12"/>
          <w:sz w:val="24"/>
        </w:rPr>
        <w:t>推荐中标候选人名单，或者受采购人委托按照事先确定的办法直接确定成</w:t>
      </w:r>
      <w:r>
        <w:rPr>
          <w:sz w:val="24"/>
        </w:rPr>
        <w:t>交供应商；</w:t>
      </w:r>
    </w:p>
    <w:p>
      <w:pPr>
        <w:pStyle w:val="29"/>
        <w:numPr>
          <w:ilvl w:val="3"/>
          <w:numId w:val="10"/>
        </w:numPr>
        <w:tabs>
          <w:tab w:val="left" w:pos="1979"/>
        </w:tabs>
        <w:spacing w:before="2" w:after="0" w:line="240" w:lineRule="auto"/>
        <w:ind w:left="1978" w:right="0" w:hanging="1021"/>
        <w:jc w:val="left"/>
        <w:rPr>
          <w:sz w:val="24"/>
        </w:rPr>
      </w:pPr>
      <w:r>
        <w:rPr>
          <w:sz w:val="24"/>
        </w:rPr>
        <w:t>向采购人、采购代理机构或者有关部门报告非法干预评审工作的行为。</w:t>
      </w:r>
    </w:p>
    <w:p>
      <w:pPr>
        <w:pStyle w:val="29"/>
        <w:numPr>
          <w:ilvl w:val="3"/>
          <w:numId w:val="10"/>
        </w:numPr>
        <w:tabs>
          <w:tab w:val="left" w:pos="1979"/>
        </w:tabs>
        <w:spacing w:before="160" w:after="0" w:line="240" w:lineRule="auto"/>
        <w:ind w:left="1978" w:right="0" w:hanging="1021"/>
        <w:jc w:val="left"/>
        <w:rPr>
          <w:sz w:val="24"/>
        </w:rPr>
      </w:pPr>
      <w:r>
        <w:rPr>
          <w:sz w:val="24"/>
        </w:rPr>
        <w:t>对围、串标等违法违规行为作出认定。</w:t>
      </w:r>
    </w:p>
    <w:p>
      <w:pPr>
        <w:pStyle w:val="29"/>
        <w:numPr>
          <w:ilvl w:val="2"/>
          <w:numId w:val="10"/>
        </w:numPr>
        <w:tabs>
          <w:tab w:val="left" w:pos="1739"/>
        </w:tabs>
        <w:spacing w:before="161" w:after="0" w:line="240" w:lineRule="auto"/>
        <w:ind w:left="1738" w:right="0" w:hanging="781"/>
        <w:jc w:val="left"/>
        <w:rPr>
          <w:sz w:val="24"/>
        </w:rPr>
      </w:pPr>
      <w:r>
        <w:rPr>
          <w:sz w:val="24"/>
        </w:rPr>
        <w:t>磋商小组的义务：</w:t>
      </w:r>
    </w:p>
    <w:p>
      <w:pPr>
        <w:pStyle w:val="29"/>
        <w:numPr>
          <w:ilvl w:val="3"/>
          <w:numId w:val="10"/>
        </w:numPr>
        <w:tabs>
          <w:tab w:val="left" w:pos="1979"/>
        </w:tabs>
        <w:spacing w:before="160" w:after="0" w:line="240" w:lineRule="auto"/>
        <w:ind w:left="1978" w:right="0" w:hanging="1021"/>
        <w:jc w:val="left"/>
        <w:rPr>
          <w:sz w:val="24"/>
        </w:rPr>
      </w:pPr>
      <w:r>
        <w:rPr>
          <w:sz w:val="24"/>
        </w:rPr>
        <w:t>遵纪守法，客观、公正、廉洁地履行职责；</w:t>
      </w:r>
    </w:p>
    <w:p>
      <w:pPr>
        <w:pStyle w:val="29"/>
        <w:numPr>
          <w:ilvl w:val="3"/>
          <w:numId w:val="10"/>
        </w:numPr>
        <w:tabs>
          <w:tab w:val="left" w:pos="1979"/>
        </w:tabs>
        <w:spacing w:before="160" w:after="0" w:line="240" w:lineRule="auto"/>
        <w:ind w:left="1978" w:right="0" w:hanging="1021"/>
        <w:jc w:val="left"/>
        <w:rPr>
          <w:sz w:val="24"/>
        </w:rPr>
      </w:pPr>
      <w:r>
        <w:rPr>
          <w:sz w:val="24"/>
        </w:rPr>
        <w:t>提出真实、可靠的评审意见；</w:t>
      </w:r>
    </w:p>
    <w:p>
      <w:pPr>
        <w:pStyle w:val="29"/>
        <w:numPr>
          <w:ilvl w:val="3"/>
          <w:numId w:val="10"/>
        </w:numPr>
        <w:tabs>
          <w:tab w:val="left" w:pos="1979"/>
        </w:tabs>
        <w:spacing w:before="161" w:after="0" w:line="240" w:lineRule="auto"/>
        <w:ind w:left="1978" w:right="0" w:hanging="1021"/>
        <w:jc w:val="left"/>
        <w:rPr>
          <w:sz w:val="24"/>
        </w:rPr>
      </w:pPr>
      <w:r>
        <w:rPr>
          <w:sz w:val="24"/>
        </w:rPr>
        <w:t>严格遵守评审纪律，不得向外界泄露评审情况；</w:t>
      </w:r>
    </w:p>
    <w:p>
      <w:pPr>
        <w:pStyle w:val="29"/>
        <w:numPr>
          <w:ilvl w:val="3"/>
          <w:numId w:val="10"/>
        </w:numPr>
        <w:tabs>
          <w:tab w:val="left" w:pos="1979"/>
        </w:tabs>
        <w:spacing w:before="160" w:after="0" w:line="364" w:lineRule="auto"/>
        <w:ind w:left="478" w:right="477" w:firstLine="480"/>
        <w:jc w:val="left"/>
        <w:rPr>
          <w:sz w:val="24"/>
        </w:rPr>
      </w:pPr>
      <w:r>
        <w:rPr>
          <w:spacing w:val="-5"/>
          <w:sz w:val="24"/>
        </w:rPr>
        <w:t>发现供应商在招报价活动中有不正当竞争或者恶意串通等违规行为，应及</w:t>
      </w:r>
      <w:r>
        <w:rPr>
          <w:sz w:val="24"/>
        </w:rPr>
        <w:t>时向监督部门报告并加以制止；</w:t>
      </w:r>
    </w:p>
    <w:p>
      <w:pPr>
        <w:pStyle w:val="29"/>
        <w:numPr>
          <w:ilvl w:val="3"/>
          <w:numId w:val="10"/>
        </w:numPr>
        <w:tabs>
          <w:tab w:val="left" w:pos="1979"/>
        </w:tabs>
        <w:spacing w:before="2" w:after="0" w:line="364" w:lineRule="auto"/>
        <w:ind w:left="478" w:right="477" w:firstLine="480"/>
        <w:jc w:val="left"/>
        <w:rPr>
          <w:sz w:val="24"/>
        </w:rPr>
      </w:pPr>
      <w:r>
        <w:rPr>
          <w:spacing w:val="-6"/>
          <w:sz w:val="24"/>
        </w:rPr>
        <w:t>按照采购文件规定的评审方法和评审标准进行评审，对评审意见承担个人</w:t>
      </w:r>
      <w:r>
        <w:rPr>
          <w:sz w:val="24"/>
        </w:rPr>
        <w:t>责任；</w:t>
      </w:r>
    </w:p>
    <w:p>
      <w:pPr>
        <w:pStyle w:val="29"/>
        <w:numPr>
          <w:ilvl w:val="3"/>
          <w:numId w:val="10"/>
        </w:numPr>
        <w:tabs>
          <w:tab w:val="left" w:pos="1979"/>
        </w:tabs>
        <w:spacing w:before="1" w:after="0" w:line="240" w:lineRule="auto"/>
        <w:ind w:left="1978" w:right="0" w:hanging="1021"/>
        <w:jc w:val="left"/>
        <w:rPr>
          <w:sz w:val="24"/>
        </w:rPr>
      </w:pPr>
      <w:r>
        <w:rPr>
          <w:sz w:val="24"/>
        </w:rPr>
        <w:t>编写评审报告；</w:t>
      </w:r>
    </w:p>
    <w:p>
      <w:pPr>
        <w:pStyle w:val="29"/>
        <w:numPr>
          <w:ilvl w:val="3"/>
          <w:numId w:val="10"/>
        </w:numPr>
        <w:tabs>
          <w:tab w:val="left" w:pos="1979"/>
        </w:tabs>
        <w:spacing w:before="160" w:after="0" w:line="240" w:lineRule="auto"/>
        <w:ind w:left="1978" w:right="0" w:hanging="1021"/>
        <w:jc w:val="left"/>
        <w:rPr>
          <w:sz w:val="24"/>
        </w:rPr>
      </w:pPr>
      <w:r>
        <w:rPr>
          <w:sz w:val="24"/>
        </w:rPr>
        <w:t>配合采购人或者采购代理机构答复供应商提出的质疑；</w:t>
      </w:r>
    </w:p>
    <w:p>
      <w:pPr>
        <w:pStyle w:val="29"/>
        <w:numPr>
          <w:ilvl w:val="3"/>
          <w:numId w:val="10"/>
        </w:numPr>
        <w:tabs>
          <w:tab w:val="left" w:pos="1979"/>
        </w:tabs>
        <w:spacing w:before="161" w:after="0" w:line="240" w:lineRule="auto"/>
        <w:ind w:left="1978" w:right="0" w:hanging="1021"/>
        <w:jc w:val="left"/>
        <w:rPr>
          <w:sz w:val="24"/>
        </w:rPr>
      </w:pPr>
      <w:r>
        <w:rPr>
          <w:sz w:val="24"/>
        </w:rPr>
        <w:t>对评审过程和结果，以及采购人、供应商的商业秘密保密；</w:t>
      </w:r>
    </w:p>
    <w:p>
      <w:pPr>
        <w:pStyle w:val="29"/>
        <w:numPr>
          <w:ilvl w:val="3"/>
          <w:numId w:val="10"/>
        </w:numPr>
        <w:tabs>
          <w:tab w:val="left" w:pos="1979"/>
        </w:tabs>
        <w:spacing w:before="160" w:after="0" w:line="240" w:lineRule="auto"/>
        <w:ind w:left="1978" w:right="0" w:hanging="1021"/>
        <w:jc w:val="left"/>
        <w:rPr>
          <w:sz w:val="24"/>
        </w:rPr>
      </w:pPr>
      <w:r>
        <w:rPr>
          <w:sz w:val="24"/>
        </w:rPr>
        <w:t>配合监管部门处理投诉；</w:t>
      </w:r>
    </w:p>
    <w:p>
      <w:pPr>
        <w:pStyle w:val="29"/>
        <w:numPr>
          <w:ilvl w:val="2"/>
          <w:numId w:val="10"/>
        </w:numPr>
        <w:tabs>
          <w:tab w:val="left" w:pos="1739"/>
        </w:tabs>
        <w:spacing w:before="161" w:after="0" w:line="240" w:lineRule="auto"/>
        <w:ind w:left="1738" w:right="0" w:hanging="781"/>
        <w:jc w:val="left"/>
        <w:rPr>
          <w:sz w:val="24"/>
        </w:rPr>
      </w:pPr>
      <w:r>
        <w:rPr>
          <w:sz w:val="24"/>
        </w:rPr>
        <w:t>磋商小组成员有下列情形之一的，应当回避：</w:t>
      </w:r>
    </w:p>
    <w:p>
      <w:pPr>
        <w:pStyle w:val="29"/>
        <w:numPr>
          <w:ilvl w:val="3"/>
          <w:numId w:val="10"/>
        </w:numPr>
        <w:tabs>
          <w:tab w:val="left" w:pos="1979"/>
        </w:tabs>
        <w:spacing w:before="160" w:after="0" w:line="240" w:lineRule="auto"/>
        <w:ind w:left="1978" w:right="0" w:hanging="1021"/>
        <w:jc w:val="left"/>
        <w:rPr>
          <w:sz w:val="24"/>
        </w:rPr>
      </w:pPr>
      <w:r>
        <w:rPr>
          <w:sz w:val="24"/>
        </w:rPr>
        <w:t>供应商或者供应商主要负责人的近亲属；</w:t>
      </w:r>
    </w:p>
    <w:p>
      <w:pPr>
        <w:pStyle w:val="29"/>
        <w:numPr>
          <w:ilvl w:val="3"/>
          <w:numId w:val="10"/>
        </w:numPr>
        <w:tabs>
          <w:tab w:val="left" w:pos="1979"/>
        </w:tabs>
        <w:spacing w:before="161" w:after="0" w:line="240" w:lineRule="auto"/>
        <w:ind w:left="1978" w:right="0" w:hanging="1021"/>
        <w:jc w:val="left"/>
        <w:rPr>
          <w:sz w:val="24"/>
        </w:rPr>
      </w:pPr>
      <w:r>
        <w:rPr>
          <w:sz w:val="24"/>
        </w:rPr>
        <w:t>项目主管部门或者行政监督部门的人员；</w:t>
      </w:r>
    </w:p>
    <w:p>
      <w:pPr>
        <w:pStyle w:val="29"/>
        <w:numPr>
          <w:ilvl w:val="3"/>
          <w:numId w:val="10"/>
        </w:numPr>
        <w:tabs>
          <w:tab w:val="left" w:pos="1979"/>
        </w:tabs>
        <w:spacing w:before="160" w:after="0" w:line="240" w:lineRule="auto"/>
        <w:ind w:left="1978" w:right="0" w:hanging="1021"/>
        <w:jc w:val="left"/>
        <w:rPr>
          <w:sz w:val="24"/>
        </w:rPr>
      </w:pPr>
      <w:r>
        <w:rPr>
          <w:sz w:val="24"/>
        </w:rPr>
        <w:t>与供应商有经济利益关系；</w:t>
      </w:r>
    </w:p>
    <w:p>
      <w:pPr>
        <w:pStyle w:val="29"/>
        <w:numPr>
          <w:ilvl w:val="3"/>
          <w:numId w:val="10"/>
        </w:numPr>
        <w:tabs>
          <w:tab w:val="left" w:pos="1979"/>
        </w:tabs>
        <w:spacing w:before="161" w:after="0" w:line="364" w:lineRule="auto"/>
        <w:ind w:left="478" w:right="477" w:firstLine="480"/>
        <w:jc w:val="left"/>
        <w:rPr>
          <w:sz w:val="24"/>
        </w:rPr>
      </w:pPr>
      <w:r>
        <w:rPr>
          <w:spacing w:val="-12"/>
          <w:sz w:val="24"/>
        </w:rPr>
        <w:t>曾因在采购、评审以及其他与政府采购有关系活动中从事违法行为而受到</w:t>
      </w:r>
      <w:r>
        <w:rPr>
          <w:sz w:val="24"/>
        </w:rPr>
        <w:t>行政处罚或者刑事处罚的；</w:t>
      </w:r>
    </w:p>
    <w:p>
      <w:pPr>
        <w:pStyle w:val="29"/>
        <w:numPr>
          <w:ilvl w:val="3"/>
          <w:numId w:val="10"/>
        </w:numPr>
        <w:tabs>
          <w:tab w:val="left" w:pos="1979"/>
        </w:tabs>
        <w:spacing w:before="1" w:after="0" w:line="240" w:lineRule="auto"/>
        <w:ind w:left="1978" w:right="0" w:hanging="1021"/>
        <w:jc w:val="left"/>
        <w:rPr>
          <w:sz w:val="24"/>
        </w:rPr>
      </w:pPr>
      <w:r>
        <w:rPr>
          <w:sz w:val="24"/>
        </w:rPr>
        <w:t>与供应商有其他利害关系。</w:t>
      </w:r>
    </w:p>
    <w:p>
      <w:pPr>
        <w:pStyle w:val="29"/>
        <w:numPr>
          <w:ilvl w:val="1"/>
          <w:numId w:val="10"/>
        </w:numPr>
        <w:tabs>
          <w:tab w:val="left" w:pos="1499"/>
        </w:tabs>
        <w:spacing w:before="161" w:after="0" w:line="240" w:lineRule="auto"/>
        <w:ind w:left="1498" w:right="0" w:hanging="541"/>
        <w:jc w:val="left"/>
        <w:rPr>
          <w:sz w:val="24"/>
        </w:rPr>
      </w:pPr>
      <w:r>
        <w:rPr>
          <w:sz w:val="24"/>
        </w:rPr>
        <w:t>评审程序</w:t>
      </w:r>
    </w:p>
    <w:p>
      <w:pPr>
        <w:pStyle w:val="29"/>
        <w:numPr>
          <w:ilvl w:val="2"/>
          <w:numId w:val="10"/>
        </w:numPr>
        <w:tabs>
          <w:tab w:val="left" w:pos="1739"/>
        </w:tabs>
        <w:spacing w:before="160" w:after="0" w:line="240" w:lineRule="auto"/>
        <w:ind w:left="1738" w:right="0" w:hanging="781"/>
        <w:jc w:val="left"/>
        <w:rPr>
          <w:sz w:val="24"/>
        </w:rPr>
      </w:pPr>
      <w:r>
        <w:rPr>
          <w:sz w:val="24"/>
        </w:rPr>
        <w:t>宣布评审纪律以及回避提示；</w:t>
      </w:r>
    </w:p>
    <w:p>
      <w:pPr>
        <w:pStyle w:val="29"/>
        <w:numPr>
          <w:ilvl w:val="2"/>
          <w:numId w:val="10"/>
        </w:numPr>
        <w:tabs>
          <w:tab w:val="left" w:pos="1739"/>
        </w:tabs>
        <w:spacing w:before="161" w:after="0" w:line="240" w:lineRule="auto"/>
        <w:ind w:left="1738" w:right="0" w:hanging="781"/>
        <w:jc w:val="left"/>
        <w:rPr>
          <w:sz w:val="24"/>
        </w:rPr>
      </w:pPr>
      <w:r>
        <w:rPr>
          <w:sz w:val="24"/>
        </w:rPr>
        <w:t>组织推荐磋商小组组长；</w:t>
      </w:r>
    </w:p>
    <w:p>
      <w:pPr>
        <w:pStyle w:val="29"/>
        <w:numPr>
          <w:ilvl w:val="2"/>
          <w:numId w:val="10"/>
        </w:numPr>
        <w:tabs>
          <w:tab w:val="left" w:pos="1739"/>
        </w:tabs>
        <w:spacing w:before="160" w:after="0" w:line="240" w:lineRule="auto"/>
        <w:ind w:left="1738" w:right="0" w:hanging="781"/>
        <w:jc w:val="left"/>
        <w:rPr>
          <w:sz w:val="24"/>
        </w:rPr>
      </w:pPr>
      <w:r>
        <w:rPr>
          <w:sz w:val="24"/>
        </w:rPr>
        <w:t>资格性审查；</w:t>
      </w:r>
    </w:p>
    <w:p>
      <w:pPr>
        <w:pStyle w:val="29"/>
        <w:numPr>
          <w:ilvl w:val="2"/>
          <w:numId w:val="10"/>
        </w:numPr>
        <w:tabs>
          <w:tab w:val="left" w:pos="1739"/>
        </w:tabs>
        <w:spacing w:before="161" w:after="0" w:line="240" w:lineRule="auto"/>
        <w:ind w:left="1738" w:right="0" w:hanging="781"/>
        <w:jc w:val="left"/>
        <w:rPr>
          <w:sz w:val="24"/>
        </w:rPr>
      </w:pPr>
      <w:r>
        <w:rPr>
          <w:sz w:val="24"/>
        </w:rPr>
        <w:t>符合性审查；</w:t>
      </w:r>
    </w:p>
    <w:p>
      <w:pPr>
        <w:pStyle w:val="29"/>
        <w:numPr>
          <w:ilvl w:val="2"/>
          <w:numId w:val="10"/>
        </w:numPr>
        <w:tabs>
          <w:tab w:val="left" w:pos="1739"/>
        </w:tabs>
        <w:spacing w:before="160" w:after="0" w:line="240" w:lineRule="auto"/>
        <w:ind w:left="1738" w:right="0" w:hanging="781"/>
        <w:jc w:val="left"/>
        <w:rPr>
          <w:sz w:val="24"/>
        </w:rPr>
      </w:pPr>
      <w:r>
        <w:rPr>
          <w:sz w:val="24"/>
        </w:rPr>
        <w:t>技术评审；</w:t>
      </w:r>
    </w:p>
    <w:p>
      <w:pPr>
        <w:pStyle w:val="29"/>
        <w:numPr>
          <w:ilvl w:val="2"/>
          <w:numId w:val="10"/>
        </w:numPr>
        <w:tabs>
          <w:tab w:val="left" w:pos="1739"/>
        </w:tabs>
        <w:spacing w:before="161" w:after="0" w:line="240" w:lineRule="auto"/>
        <w:ind w:left="1738" w:right="0" w:hanging="781"/>
        <w:jc w:val="left"/>
        <w:rPr>
          <w:sz w:val="24"/>
        </w:rPr>
      </w:pPr>
      <w:r>
        <w:rPr>
          <w:sz w:val="24"/>
        </w:rPr>
        <w:t>澄清有关问题；</w:t>
      </w:r>
    </w:p>
    <w:p>
      <w:pPr>
        <w:spacing w:after="0" w:line="240" w:lineRule="auto"/>
        <w:jc w:val="left"/>
        <w:rPr>
          <w:sz w:val="24"/>
        </w:rPr>
        <w:sectPr>
          <w:pgSz w:w="11910" w:h="16840"/>
          <w:pgMar w:top="1440" w:right="940" w:bottom="1180" w:left="940" w:header="0" w:footer="920" w:gutter="0"/>
          <w:pgBorders>
            <w:top w:val="none" w:sz="0" w:space="0"/>
            <w:left w:val="none" w:sz="0" w:space="0"/>
            <w:bottom w:val="none" w:sz="0" w:space="0"/>
            <w:right w:val="none" w:sz="0" w:space="0"/>
          </w:pgBorders>
          <w:pgNumType w:fmt="decimal"/>
          <w:cols w:space="720" w:num="1"/>
        </w:sectPr>
      </w:pPr>
    </w:p>
    <w:p>
      <w:pPr>
        <w:pStyle w:val="29"/>
        <w:numPr>
          <w:ilvl w:val="2"/>
          <w:numId w:val="10"/>
        </w:numPr>
        <w:tabs>
          <w:tab w:val="left" w:pos="1739"/>
        </w:tabs>
        <w:spacing w:before="40" w:after="0" w:line="240" w:lineRule="auto"/>
        <w:ind w:left="1738" w:right="0" w:hanging="781"/>
        <w:jc w:val="left"/>
        <w:rPr>
          <w:sz w:val="24"/>
        </w:rPr>
      </w:pPr>
      <w:r>
        <w:rPr>
          <w:sz w:val="24"/>
        </w:rPr>
        <w:t>磋商</w:t>
      </w:r>
    </w:p>
    <w:p>
      <w:pPr>
        <w:pStyle w:val="29"/>
        <w:numPr>
          <w:ilvl w:val="2"/>
          <w:numId w:val="10"/>
        </w:numPr>
        <w:tabs>
          <w:tab w:val="left" w:pos="1739"/>
        </w:tabs>
        <w:spacing w:before="161" w:after="0" w:line="240" w:lineRule="auto"/>
        <w:ind w:left="1738" w:right="0" w:hanging="781"/>
        <w:jc w:val="left"/>
        <w:rPr>
          <w:sz w:val="24"/>
        </w:rPr>
      </w:pPr>
      <w:r>
        <w:rPr>
          <w:sz w:val="24"/>
        </w:rPr>
        <w:t>确定成交供应商或者推荐成交候选人名单；</w:t>
      </w:r>
    </w:p>
    <w:p>
      <w:pPr>
        <w:pStyle w:val="29"/>
        <w:numPr>
          <w:ilvl w:val="2"/>
          <w:numId w:val="10"/>
        </w:numPr>
        <w:tabs>
          <w:tab w:val="left" w:pos="1739"/>
        </w:tabs>
        <w:spacing w:before="160" w:after="0" w:line="240" w:lineRule="auto"/>
        <w:ind w:left="1738" w:right="0" w:hanging="781"/>
        <w:jc w:val="left"/>
        <w:rPr>
          <w:sz w:val="24"/>
        </w:rPr>
      </w:pPr>
      <w:r>
        <w:rPr>
          <w:sz w:val="24"/>
        </w:rPr>
        <w:t>编写评审报告；</w:t>
      </w:r>
    </w:p>
    <w:p>
      <w:pPr>
        <w:pStyle w:val="29"/>
        <w:numPr>
          <w:ilvl w:val="2"/>
          <w:numId w:val="10"/>
        </w:numPr>
        <w:tabs>
          <w:tab w:val="left" w:pos="1859"/>
        </w:tabs>
        <w:spacing w:before="161" w:after="0" w:line="240" w:lineRule="auto"/>
        <w:ind w:left="1858" w:right="0" w:hanging="901"/>
        <w:jc w:val="left"/>
        <w:rPr>
          <w:sz w:val="24"/>
        </w:rPr>
      </w:pPr>
      <w:r>
        <w:rPr>
          <w:sz w:val="24"/>
        </w:rPr>
        <w:t>宣布评审。</w:t>
      </w:r>
    </w:p>
    <w:p>
      <w:pPr>
        <w:pStyle w:val="29"/>
        <w:numPr>
          <w:ilvl w:val="1"/>
          <w:numId w:val="10"/>
        </w:numPr>
        <w:tabs>
          <w:tab w:val="left" w:pos="1499"/>
        </w:tabs>
        <w:spacing w:before="160" w:after="0" w:line="240" w:lineRule="auto"/>
        <w:ind w:left="1498" w:right="0" w:hanging="541"/>
        <w:jc w:val="left"/>
        <w:rPr>
          <w:sz w:val="24"/>
        </w:rPr>
      </w:pPr>
      <w:r>
        <w:rPr>
          <w:sz w:val="24"/>
        </w:rPr>
        <w:t>评审</w:t>
      </w:r>
    </w:p>
    <w:p>
      <w:pPr>
        <w:pStyle w:val="29"/>
        <w:numPr>
          <w:ilvl w:val="2"/>
          <w:numId w:val="10"/>
        </w:numPr>
        <w:tabs>
          <w:tab w:val="left" w:pos="1739"/>
        </w:tabs>
        <w:spacing w:before="161" w:after="0" w:line="240" w:lineRule="auto"/>
        <w:ind w:left="1738" w:right="0" w:hanging="781"/>
        <w:jc w:val="left"/>
        <w:rPr>
          <w:sz w:val="24"/>
        </w:rPr>
      </w:pPr>
      <w:r>
        <w:rPr>
          <w:sz w:val="24"/>
        </w:rPr>
        <w:t>资格性审查</w:t>
      </w:r>
    </w:p>
    <w:p>
      <w:pPr>
        <w:pStyle w:val="29"/>
        <w:numPr>
          <w:ilvl w:val="3"/>
          <w:numId w:val="10"/>
        </w:numPr>
        <w:tabs>
          <w:tab w:val="left" w:pos="1979"/>
        </w:tabs>
        <w:spacing w:before="160" w:after="0" w:line="364" w:lineRule="auto"/>
        <w:ind w:left="478" w:right="477" w:firstLine="480"/>
        <w:jc w:val="left"/>
        <w:rPr>
          <w:sz w:val="24"/>
        </w:rPr>
      </w:pPr>
      <w:r>
        <w:rPr>
          <w:spacing w:val="-6"/>
          <w:sz w:val="24"/>
        </w:rPr>
        <w:t>磋商小组依据法律法规和采购文件的规定，对响应文件中的资格证明、保</w:t>
      </w:r>
      <w:r>
        <w:rPr>
          <w:sz w:val="24"/>
        </w:rPr>
        <w:t>证金等进行审查，以确定供应商是否具备报价资格。</w:t>
      </w:r>
    </w:p>
    <w:p>
      <w:pPr>
        <w:pStyle w:val="29"/>
        <w:numPr>
          <w:ilvl w:val="3"/>
          <w:numId w:val="10"/>
        </w:numPr>
        <w:tabs>
          <w:tab w:val="left" w:pos="1979"/>
        </w:tabs>
        <w:spacing w:before="1" w:after="0" w:line="364" w:lineRule="auto"/>
        <w:ind w:left="478" w:right="357" w:firstLine="480"/>
        <w:jc w:val="left"/>
        <w:rPr>
          <w:spacing w:val="-12"/>
          <w:sz w:val="24"/>
        </w:rPr>
      </w:pPr>
      <w:r>
        <w:rPr>
          <w:sz w:val="24"/>
        </w:rPr>
        <w:t>采购人、采购代理机构通过中国政府</w:t>
      </w:r>
      <w:r>
        <w:fldChar w:fldCharType="begin"/>
      </w:r>
      <w:r>
        <w:instrText xml:space="preserve"> HYPERLINK "http://www.ccgp.gov.cn/" \h </w:instrText>
      </w:r>
      <w:r>
        <w:fldChar w:fldCharType="separate"/>
      </w:r>
      <w:r>
        <w:rPr>
          <w:sz w:val="24"/>
        </w:rPr>
        <w:t>采购网（www.ccgp.gov.cn</w:t>
      </w:r>
      <w:r>
        <w:rPr>
          <w:sz w:val="24"/>
        </w:rPr>
        <w:fldChar w:fldCharType="end"/>
      </w:r>
      <w:r>
        <w:rPr>
          <w:sz w:val="24"/>
        </w:rPr>
        <w:t>）查询供</w:t>
      </w:r>
      <w:r>
        <w:rPr>
          <w:spacing w:val="-6"/>
          <w:sz w:val="24"/>
        </w:rPr>
        <w:t>应商信用记录，查询时要将查询网页、内容进行截图或拍照，以作证据留存，截图或拍</w:t>
      </w:r>
      <w:r>
        <w:rPr>
          <w:spacing w:val="-10"/>
          <w:sz w:val="24"/>
        </w:rPr>
        <w:t>照内容要完整清晰，应包括网站网址、查询内容、电脑截屏时间。采购人或者采购代理</w:t>
      </w:r>
      <w:r>
        <w:rPr>
          <w:spacing w:val="-12"/>
          <w:sz w:val="24"/>
        </w:rPr>
        <w:t>机构应当对供应商信用记录进行甄别，对列入失信被执行人、重大税收违法案件当事人</w:t>
      </w:r>
      <w:r>
        <w:rPr>
          <w:spacing w:val="-16"/>
          <w:sz w:val="24"/>
        </w:rPr>
        <w:t>名单、政府采购严重违法失信行为记录名单及其他不符合《中华人民共和国政府采购法》</w:t>
      </w:r>
      <w:r>
        <w:rPr>
          <w:spacing w:val="-4"/>
          <w:sz w:val="24"/>
        </w:rPr>
        <w:t>第二十二条规定条件的供应商，应当拒绝其参加政府采购活动，其响应无效；</w:t>
      </w:r>
      <w:r>
        <w:rPr>
          <w:spacing w:val="-12"/>
          <w:sz w:val="24"/>
        </w:rPr>
        <w:t>信用信息查询记录及相关证据应当与其他采购文件一并保存。</w:t>
      </w:r>
    </w:p>
    <w:p>
      <w:pPr>
        <w:pStyle w:val="29"/>
        <w:numPr>
          <w:ilvl w:val="2"/>
          <w:numId w:val="10"/>
        </w:numPr>
        <w:tabs>
          <w:tab w:val="left" w:pos="1739"/>
        </w:tabs>
        <w:spacing w:before="3" w:after="0" w:line="240" w:lineRule="auto"/>
        <w:ind w:left="1738" w:right="0" w:hanging="781"/>
        <w:jc w:val="left"/>
        <w:rPr>
          <w:sz w:val="24"/>
        </w:rPr>
      </w:pPr>
      <w:r>
        <w:rPr>
          <w:sz w:val="24"/>
        </w:rPr>
        <w:t>符合性审查</w:t>
      </w:r>
    </w:p>
    <w:p>
      <w:pPr>
        <w:pStyle w:val="10"/>
        <w:spacing w:before="161" w:line="364" w:lineRule="auto"/>
        <w:ind w:left="478" w:right="414" w:firstLine="480"/>
      </w:pPr>
      <w:r>
        <w:t>磋商小组依据采购文件的规定，从响应文件的有效性、完整性和对采购文件的响应程度进行审查，以确定是否对采购文件的实质性要求作出响应。</w:t>
      </w:r>
    </w:p>
    <w:p>
      <w:pPr>
        <w:pStyle w:val="10"/>
        <w:spacing w:before="40" w:line="364" w:lineRule="auto"/>
        <w:ind w:left="478" w:right="477"/>
      </w:pPr>
      <w:r>
        <w:rPr>
          <w:spacing w:val="-10"/>
          <w:sz w:val="24"/>
        </w:rPr>
        <w:t>在资格性和符合性审查同时，对属于不合格供应商或者采购人或者其委托公</w:t>
      </w:r>
      <w:r>
        <w:rPr>
          <w:spacing w:val="-4"/>
          <w:sz w:val="24"/>
        </w:rPr>
        <w:t>证人员依据法律法规和采购文件的规定，分别与供应商共同对其商务部分响应文件中的</w:t>
      </w:r>
      <w:r>
        <w:rPr>
          <w:spacing w:val="-7"/>
          <w:sz w:val="24"/>
        </w:rPr>
        <w:t>资格证明、保证金等进行审查，以确定供应商是否具备报价资格，填写资格审查表并签</w:t>
      </w:r>
      <w:r>
        <w:rPr>
          <w:spacing w:val="-8"/>
          <w:sz w:val="24"/>
        </w:rPr>
        <w:t>字确认后，提交磋商小组审核的供应商，磋商小组必须提出不合格或者响应无效的事实</w:t>
      </w:r>
      <w:r>
        <w:rPr>
          <w:spacing w:val="-7"/>
        </w:rPr>
        <w:t>依据，并出具不合格或者响应无效说明，供应商签字确认。供应商签字确认后磋商小组</w:t>
      </w:r>
      <w:r>
        <w:t>全体成员签字。供应商拒绝签字确认的不影响磋商小组做出的不合格或无效裁定。</w:t>
      </w:r>
    </w:p>
    <w:p>
      <w:pPr>
        <w:pStyle w:val="29"/>
        <w:numPr>
          <w:ilvl w:val="0"/>
          <w:numId w:val="0"/>
        </w:numPr>
        <w:tabs>
          <w:tab w:val="left" w:pos="1739"/>
        </w:tabs>
        <w:spacing w:before="1" w:after="0" w:line="364" w:lineRule="auto"/>
        <w:ind w:left="958" w:leftChars="0" w:right="477" w:rightChars="0"/>
        <w:jc w:val="both"/>
        <w:rPr>
          <w:sz w:val="24"/>
        </w:rPr>
      </w:pPr>
    </w:p>
    <w:p>
      <w:pPr>
        <w:spacing w:after="0" w:line="364" w:lineRule="auto"/>
        <w:jc w:val="both"/>
        <w:rPr>
          <w:sz w:val="24"/>
        </w:rPr>
        <w:sectPr>
          <w:pgSz w:w="11910" w:h="16840"/>
          <w:pgMar w:top="1440" w:right="940" w:bottom="1180" w:left="940" w:header="0" w:footer="920" w:gutter="0"/>
          <w:pgBorders>
            <w:top w:val="none" w:sz="0" w:space="0"/>
            <w:left w:val="none" w:sz="0" w:space="0"/>
            <w:bottom w:val="none" w:sz="0" w:space="0"/>
            <w:right w:val="none" w:sz="0" w:space="0"/>
          </w:pgBorders>
          <w:pgNumType w:fmt="decimal"/>
          <w:cols w:space="720" w:num="1"/>
        </w:sectPr>
      </w:pPr>
    </w:p>
    <w:p>
      <w:pPr>
        <w:pStyle w:val="29"/>
        <w:numPr>
          <w:ilvl w:val="2"/>
          <w:numId w:val="10"/>
        </w:numPr>
        <w:tabs>
          <w:tab w:val="left" w:pos="1739"/>
        </w:tabs>
        <w:spacing w:before="2" w:after="0" w:line="240" w:lineRule="auto"/>
        <w:ind w:left="1738" w:right="0" w:hanging="781"/>
        <w:jc w:val="both"/>
        <w:rPr>
          <w:sz w:val="24"/>
        </w:rPr>
      </w:pPr>
      <w:r>
        <w:rPr>
          <w:sz w:val="24"/>
        </w:rPr>
        <w:t>技术评审</w:t>
      </w:r>
    </w:p>
    <w:p>
      <w:pPr>
        <w:pStyle w:val="29"/>
        <w:numPr>
          <w:ilvl w:val="3"/>
          <w:numId w:val="10"/>
        </w:numPr>
        <w:tabs>
          <w:tab w:val="left" w:pos="1979"/>
        </w:tabs>
        <w:spacing w:before="160" w:after="0" w:line="364" w:lineRule="auto"/>
        <w:ind w:left="478" w:right="477" w:firstLine="480"/>
        <w:jc w:val="both"/>
        <w:rPr>
          <w:sz w:val="24"/>
        </w:rPr>
      </w:pPr>
      <w:r>
        <w:rPr>
          <w:spacing w:val="-9"/>
          <w:sz w:val="24"/>
        </w:rPr>
        <w:t>按照采购文件要求，审查报价供应商所投货物和服务的规格、质量、数量</w:t>
      </w:r>
      <w:r>
        <w:rPr>
          <w:spacing w:val="-5"/>
          <w:sz w:val="24"/>
        </w:rPr>
        <w:t>及服务要求等技术要求和参数，并记录实质性响应、技术偏离等事项，进行技术部分的</w:t>
      </w:r>
      <w:r>
        <w:rPr>
          <w:sz w:val="24"/>
        </w:rPr>
        <w:t>符合性审查。</w:t>
      </w:r>
    </w:p>
    <w:p>
      <w:pPr>
        <w:pStyle w:val="29"/>
        <w:numPr>
          <w:ilvl w:val="3"/>
          <w:numId w:val="10"/>
        </w:numPr>
        <w:tabs>
          <w:tab w:val="left" w:pos="1979"/>
        </w:tabs>
        <w:spacing w:before="2" w:after="0" w:line="364" w:lineRule="auto"/>
        <w:ind w:left="478" w:right="425" w:firstLine="480"/>
        <w:jc w:val="both"/>
        <w:rPr>
          <w:sz w:val="24"/>
        </w:rPr>
      </w:pPr>
      <w:r>
        <w:rPr>
          <w:spacing w:val="-8"/>
          <w:sz w:val="24"/>
        </w:rPr>
        <w:t>对技术复杂或性质特殊、响应文件技术或指标不一致的，磋商小组应根据</w:t>
      </w:r>
      <w:r>
        <w:rPr>
          <w:spacing w:val="-11"/>
          <w:sz w:val="24"/>
        </w:rPr>
        <w:t>采购文件以及各响应文件情况，在确保采购需求、质量和服务相等的前提下，按同等或</w:t>
      </w:r>
      <w:r>
        <w:rPr>
          <w:spacing w:val="-12"/>
          <w:sz w:val="24"/>
        </w:rPr>
        <w:t>者略高于采购文件标准确定统一磋商技术指标</w:t>
      </w:r>
      <w:r>
        <w:rPr>
          <w:sz w:val="24"/>
        </w:rPr>
        <w:t>（包括强制性标准和行业标准</w:t>
      </w:r>
      <w:r>
        <w:rPr>
          <w:spacing w:val="-17"/>
          <w:sz w:val="24"/>
        </w:rPr>
        <w:t>）</w:t>
      </w:r>
      <w:r>
        <w:rPr>
          <w:spacing w:val="-5"/>
          <w:sz w:val="24"/>
        </w:rPr>
        <w:t>，磋商现</w:t>
      </w:r>
      <w:r>
        <w:rPr>
          <w:spacing w:val="-6"/>
          <w:sz w:val="24"/>
        </w:rPr>
        <w:t xml:space="preserve">场形成书面技术要求并经磋商小组全体成员签字确认，该标准是评审报告的组成部分， </w:t>
      </w:r>
      <w:r>
        <w:rPr>
          <w:sz w:val="24"/>
        </w:rPr>
        <w:t>磋商技术指标经所有参与磋商供应商书面承诺后方可进行磋商。</w:t>
      </w:r>
    </w:p>
    <w:p>
      <w:pPr>
        <w:pStyle w:val="29"/>
        <w:numPr>
          <w:ilvl w:val="3"/>
          <w:numId w:val="10"/>
        </w:numPr>
        <w:tabs>
          <w:tab w:val="left" w:pos="1979"/>
        </w:tabs>
        <w:spacing w:before="3" w:after="0" w:line="364" w:lineRule="auto"/>
        <w:ind w:left="478" w:right="477" w:firstLine="480"/>
        <w:jc w:val="both"/>
        <w:rPr>
          <w:sz w:val="24"/>
        </w:rPr>
      </w:pPr>
      <w:r>
        <w:rPr>
          <w:spacing w:val="-5"/>
          <w:sz w:val="24"/>
        </w:rPr>
        <w:t>对不能事先计算出价格总额、响应报价</w:t>
      </w:r>
      <w:r>
        <w:rPr>
          <w:sz w:val="24"/>
        </w:rPr>
        <w:t>（含单项报价</w:t>
      </w:r>
      <w:r>
        <w:rPr>
          <w:spacing w:val="-36"/>
          <w:sz w:val="24"/>
        </w:rPr>
        <w:t>）</w:t>
      </w:r>
      <w:r>
        <w:rPr>
          <w:spacing w:val="-3"/>
          <w:sz w:val="24"/>
        </w:rPr>
        <w:t>超出市场价格但总</w:t>
      </w:r>
      <w:r>
        <w:rPr>
          <w:spacing w:val="-5"/>
          <w:sz w:val="24"/>
        </w:rPr>
        <w:t>价不高于本次采购预算金额，以及市场价格波动较大的，磋商小组应根据本次采购预算</w:t>
      </w:r>
      <w:r>
        <w:rPr>
          <w:spacing w:val="-8"/>
          <w:sz w:val="24"/>
        </w:rPr>
        <w:t>金额、市场价格以及供应商响应报价，在确保采购需求、质量和服务相等的前提下，磋</w:t>
      </w:r>
      <w:r>
        <w:rPr>
          <w:spacing w:val="-4"/>
          <w:sz w:val="24"/>
        </w:rPr>
        <w:t>商小组必须集体讨论确定磋商标底和报价轮次，该标底必须低于本次开标报价的最低报</w:t>
      </w:r>
      <w:r>
        <w:rPr>
          <w:spacing w:val="-7"/>
          <w:sz w:val="24"/>
        </w:rPr>
        <w:t>价并低于市场价格。标底和磋商轮次经磋商小组全体成员签字确认后用单独信封密封方</w:t>
      </w:r>
      <w:r>
        <w:rPr>
          <w:sz w:val="24"/>
        </w:rPr>
        <w:t>可进行磋商。磋商轮次应告知参与磋商的供应商，但标底必须保密。</w:t>
      </w:r>
    </w:p>
    <w:p>
      <w:pPr>
        <w:pStyle w:val="29"/>
        <w:numPr>
          <w:ilvl w:val="1"/>
          <w:numId w:val="10"/>
        </w:numPr>
        <w:tabs>
          <w:tab w:val="left" w:pos="1499"/>
        </w:tabs>
        <w:spacing w:before="3" w:after="0" w:line="240" w:lineRule="auto"/>
        <w:ind w:left="1498" w:right="0" w:hanging="541"/>
        <w:jc w:val="both"/>
        <w:rPr>
          <w:sz w:val="24"/>
        </w:rPr>
      </w:pPr>
      <w:r>
        <w:rPr>
          <w:sz w:val="24"/>
        </w:rPr>
        <w:t>澄清有关问题</w:t>
      </w:r>
    </w:p>
    <w:p>
      <w:pPr>
        <w:pStyle w:val="29"/>
        <w:numPr>
          <w:ilvl w:val="2"/>
          <w:numId w:val="10"/>
        </w:numPr>
        <w:tabs>
          <w:tab w:val="left" w:pos="1739"/>
        </w:tabs>
        <w:spacing w:before="161" w:after="0" w:line="364" w:lineRule="auto"/>
        <w:ind w:left="478" w:right="357" w:firstLine="480"/>
        <w:jc w:val="left"/>
        <w:rPr>
          <w:sz w:val="24"/>
        </w:rPr>
      </w:pPr>
      <w:r>
        <w:rPr>
          <w:spacing w:val="-10"/>
          <w:sz w:val="24"/>
        </w:rPr>
        <w:t>对响应文件中含义不明确、同类问题表述不一致或者有明显文字和计算错误的内容，磋商小组应以书面形式要求供应商做出必要的澄清、承诺、说明或者纠正。供</w:t>
      </w:r>
      <w:r>
        <w:rPr>
          <w:spacing w:val="-17"/>
          <w:sz w:val="24"/>
        </w:rPr>
        <w:t xml:space="preserve">应商的澄清、承诺、说明或者纠正应采取书面形式，由法定代表人或者被授权代表签字， </w:t>
      </w:r>
      <w:r>
        <w:rPr>
          <w:sz w:val="24"/>
        </w:rPr>
        <w:t>并不得超出响应文件的范围或者改变响应文件的实质性内容。</w:t>
      </w:r>
    </w:p>
    <w:p>
      <w:pPr>
        <w:pStyle w:val="29"/>
        <w:numPr>
          <w:ilvl w:val="2"/>
          <w:numId w:val="10"/>
        </w:numPr>
        <w:tabs>
          <w:tab w:val="left" w:pos="1739"/>
        </w:tabs>
        <w:spacing w:before="2" w:after="0" w:line="364" w:lineRule="auto"/>
        <w:ind w:left="478" w:right="477" w:firstLine="480"/>
        <w:jc w:val="both"/>
        <w:rPr>
          <w:sz w:val="24"/>
        </w:rPr>
      </w:pPr>
      <w:r>
        <w:rPr>
          <w:spacing w:val="-5"/>
          <w:sz w:val="24"/>
        </w:rPr>
        <w:t>磋商小组判断响应文件的响应性仅基于响应文件本身而不靠外部因素。未响</w:t>
      </w:r>
      <w:r>
        <w:rPr>
          <w:spacing w:val="-6"/>
          <w:sz w:val="24"/>
        </w:rPr>
        <w:t>应实质性条款的，磋商小组有权确定其响应无效，供应商不能通过修正、撤销或者澄清</w:t>
      </w:r>
      <w:r>
        <w:rPr>
          <w:sz w:val="24"/>
        </w:rPr>
        <w:t>不符之处而使其报价成为实质性响应的报价。</w:t>
      </w:r>
    </w:p>
    <w:p>
      <w:pPr>
        <w:pStyle w:val="29"/>
        <w:numPr>
          <w:ilvl w:val="2"/>
          <w:numId w:val="10"/>
        </w:numPr>
        <w:tabs>
          <w:tab w:val="left" w:pos="1739"/>
        </w:tabs>
        <w:spacing w:before="2" w:after="0" w:line="364" w:lineRule="auto"/>
        <w:ind w:left="478" w:right="477" w:firstLine="480"/>
        <w:jc w:val="both"/>
        <w:rPr>
          <w:sz w:val="24"/>
        </w:rPr>
      </w:pPr>
      <w:r>
        <w:rPr>
          <w:spacing w:val="-5"/>
          <w:sz w:val="24"/>
        </w:rPr>
        <w:t>磋商小组可以允许供应商修改或者澄清其响应文件中不构成实质偏离的、微</w:t>
      </w:r>
      <w:r>
        <w:rPr>
          <w:sz w:val="24"/>
        </w:rPr>
        <w:t>小的、非正规的不一致或者不规则的地方。</w:t>
      </w:r>
    </w:p>
    <w:p>
      <w:pPr>
        <w:pStyle w:val="29"/>
        <w:numPr>
          <w:ilvl w:val="1"/>
          <w:numId w:val="10"/>
        </w:numPr>
        <w:tabs>
          <w:tab w:val="left" w:pos="1499"/>
        </w:tabs>
        <w:spacing w:before="1" w:after="0" w:line="240" w:lineRule="auto"/>
        <w:ind w:left="1498" w:right="0" w:hanging="541"/>
        <w:jc w:val="both"/>
        <w:rPr>
          <w:sz w:val="24"/>
        </w:rPr>
      </w:pPr>
      <w:r>
        <w:rPr>
          <w:sz w:val="24"/>
        </w:rPr>
        <w:t>磋商</w:t>
      </w:r>
    </w:p>
    <w:p>
      <w:pPr>
        <w:pStyle w:val="29"/>
        <w:numPr>
          <w:ilvl w:val="2"/>
          <w:numId w:val="10"/>
        </w:numPr>
        <w:tabs>
          <w:tab w:val="left" w:pos="1739"/>
        </w:tabs>
        <w:spacing w:before="161" w:after="0" w:line="364" w:lineRule="auto"/>
        <w:ind w:left="478" w:right="477" w:firstLine="480"/>
        <w:jc w:val="both"/>
        <w:rPr>
          <w:sz w:val="24"/>
        </w:rPr>
      </w:pPr>
      <w:r>
        <w:rPr>
          <w:spacing w:val="-11"/>
          <w:sz w:val="24"/>
        </w:rPr>
        <w:t>磋商前，磋商小组应核实供应商对统一磋商技术标准</w:t>
      </w:r>
      <w:r>
        <w:rPr>
          <w:sz w:val="24"/>
        </w:rPr>
        <w:t>（</w:t>
      </w:r>
      <w:r>
        <w:rPr>
          <w:spacing w:val="-2"/>
          <w:sz w:val="24"/>
        </w:rPr>
        <w:t>包括强制性标准和行</w:t>
      </w:r>
      <w:r>
        <w:rPr>
          <w:sz w:val="24"/>
        </w:rPr>
        <w:t>业标准）等是否全部承诺或者确认。</w:t>
      </w:r>
    </w:p>
    <w:p>
      <w:pPr>
        <w:spacing w:after="0" w:line="364" w:lineRule="auto"/>
        <w:jc w:val="both"/>
        <w:rPr>
          <w:sz w:val="24"/>
        </w:rPr>
        <w:sectPr>
          <w:footerReference r:id="rId8" w:type="default"/>
          <w:pgSz w:w="11910" w:h="16840"/>
          <w:pgMar w:top="1440" w:right="940" w:bottom="1180" w:left="940" w:header="0" w:footer="1000" w:gutter="0"/>
          <w:pgBorders>
            <w:top w:val="none" w:sz="0" w:space="0"/>
            <w:left w:val="none" w:sz="0" w:space="0"/>
            <w:bottom w:val="none" w:sz="0" w:space="0"/>
            <w:right w:val="none" w:sz="0" w:space="0"/>
          </w:pgBorders>
          <w:pgNumType w:fmt="decimal"/>
          <w:cols w:space="720" w:num="1"/>
        </w:sectPr>
      </w:pPr>
    </w:p>
    <w:p>
      <w:pPr>
        <w:pStyle w:val="29"/>
        <w:numPr>
          <w:ilvl w:val="2"/>
          <w:numId w:val="10"/>
        </w:numPr>
        <w:tabs>
          <w:tab w:val="left" w:pos="1739"/>
        </w:tabs>
        <w:spacing w:before="40" w:after="0" w:line="364" w:lineRule="auto"/>
        <w:ind w:left="478" w:right="477" w:firstLine="480"/>
        <w:jc w:val="both"/>
        <w:rPr>
          <w:sz w:val="24"/>
        </w:rPr>
      </w:pPr>
      <w:r>
        <w:rPr>
          <w:spacing w:val="-7"/>
          <w:sz w:val="24"/>
        </w:rPr>
        <w:t>磋商小组所有成员集中与单一供应商进行磋商。在磋商中，磋商的任何一方</w:t>
      </w:r>
      <w:r>
        <w:rPr>
          <w:sz w:val="24"/>
        </w:rPr>
        <w:t>不得透露与磋商有关的其他供应商的技术资料、价格和其他信息。</w:t>
      </w:r>
    </w:p>
    <w:p>
      <w:pPr>
        <w:pStyle w:val="29"/>
        <w:numPr>
          <w:ilvl w:val="2"/>
          <w:numId w:val="10"/>
        </w:numPr>
        <w:tabs>
          <w:tab w:val="left" w:pos="1739"/>
        </w:tabs>
        <w:spacing w:before="2" w:after="0" w:line="364" w:lineRule="auto"/>
        <w:ind w:left="478" w:right="477" w:firstLine="480"/>
        <w:jc w:val="both"/>
        <w:rPr>
          <w:sz w:val="24"/>
        </w:rPr>
      </w:pPr>
      <w:r>
        <w:rPr>
          <w:spacing w:val="-11"/>
          <w:sz w:val="24"/>
        </w:rPr>
        <w:t>磋商实行</w:t>
      </w:r>
      <w:r>
        <w:rPr>
          <w:rFonts w:hint="eastAsia"/>
          <w:spacing w:val="-11"/>
          <w:sz w:val="24"/>
          <w:lang w:eastAsia="zh-CN"/>
        </w:rPr>
        <w:t>两</w:t>
      </w:r>
      <w:r>
        <w:rPr>
          <w:spacing w:val="-11"/>
          <w:sz w:val="24"/>
        </w:rPr>
        <w:t>轮报价，</w:t>
      </w:r>
      <w:r>
        <w:rPr>
          <w:spacing w:val="-6"/>
          <w:sz w:val="24"/>
        </w:rPr>
        <w:t>最后一轮报价为最终报价；供应商后一轮报价不得高于其前一轮报价；否则磋商小组有权据此确</w:t>
      </w:r>
      <w:r>
        <w:rPr>
          <w:sz w:val="24"/>
        </w:rPr>
        <w:t>定为无效报价，参与磋商的供应商少于三家的予以废标。</w:t>
      </w:r>
    </w:p>
    <w:p>
      <w:pPr>
        <w:pStyle w:val="29"/>
        <w:numPr>
          <w:ilvl w:val="1"/>
          <w:numId w:val="10"/>
        </w:numPr>
        <w:tabs>
          <w:tab w:val="left" w:pos="1499"/>
        </w:tabs>
        <w:spacing w:before="1" w:after="0" w:line="240" w:lineRule="auto"/>
        <w:ind w:left="1498" w:right="0" w:hanging="541"/>
        <w:jc w:val="both"/>
        <w:rPr>
          <w:sz w:val="24"/>
        </w:rPr>
      </w:pPr>
      <w:r>
        <w:rPr>
          <w:sz w:val="24"/>
        </w:rPr>
        <w:t>成交</w:t>
      </w:r>
    </w:p>
    <w:p>
      <w:pPr>
        <w:pStyle w:val="29"/>
        <w:numPr>
          <w:ilvl w:val="2"/>
          <w:numId w:val="10"/>
        </w:numPr>
        <w:tabs>
          <w:tab w:val="left" w:pos="1739"/>
        </w:tabs>
        <w:spacing w:before="161" w:after="0" w:line="312" w:lineRule="auto"/>
        <w:ind w:left="478" w:right="477" w:firstLine="480"/>
        <w:jc w:val="both"/>
        <w:rPr>
          <w:sz w:val="24"/>
        </w:rPr>
      </w:pPr>
      <w:r>
        <w:rPr>
          <w:spacing w:val="-9"/>
          <w:sz w:val="24"/>
        </w:rPr>
        <w:t>本项目评审办法为综合评分法。磋商小组对满足磋商文件实质性要求的响应</w:t>
      </w:r>
      <w:r>
        <w:rPr>
          <w:spacing w:val="-4"/>
          <w:sz w:val="24"/>
        </w:rPr>
        <w:t xml:space="preserve">文件，按照本章第 </w:t>
      </w:r>
      <w:r>
        <w:rPr>
          <w:sz w:val="24"/>
        </w:rPr>
        <w:t>2.3、2.4</w:t>
      </w:r>
      <w:r>
        <w:rPr>
          <w:spacing w:val="-6"/>
          <w:sz w:val="24"/>
        </w:rPr>
        <w:t xml:space="preserve"> 款规定的评分标准进行打分，并按综合得分由高到低顺序</w:t>
      </w:r>
      <w:r>
        <w:rPr>
          <w:spacing w:val="-11"/>
          <w:sz w:val="24"/>
        </w:rPr>
        <w:t>推荐中标候选人，或根据采购人授权直接确定中标人。综合评分相等时，以报价低的优</w:t>
      </w:r>
      <w:r>
        <w:rPr>
          <w:sz w:val="24"/>
        </w:rPr>
        <w:t>先；报价也相等的，由采购人自行确定。</w:t>
      </w:r>
    </w:p>
    <w:p>
      <w:pPr>
        <w:pStyle w:val="29"/>
        <w:numPr>
          <w:ilvl w:val="2"/>
          <w:numId w:val="10"/>
        </w:numPr>
        <w:tabs>
          <w:tab w:val="left" w:pos="1739"/>
        </w:tabs>
        <w:spacing w:before="2" w:after="0" w:line="364" w:lineRule="auto"/>
        <w:ind w:left="478" w:right="477" w:firstLine="480"/>
        <w:jc w:val="both"/>
        <w:rPr>
          <w:sz w:val="24"/>
        </w:rPr>
      </w:pPr>
      <w:r>
        <w:rPr>
          <w:spacing w:val="-7"/>
          <w:sz w:val="24"/>
        </w:rPr>
        <w:t>采购人授权磋商小组确定成交供应商的，最终报价结束后，磋商小组按照上</w:t>
      </w:r>
      <w:r>
        <w:rPr>
          <w:sz w:val="24"/>
        </w:rPr>
        <w:t>述的规定，对供应商进行排序并确定排序第一的为成交供应商；</w:t>
      </w:r>
    </w:p>
    <w:p>
      <w:pPr>
        <w:pStyle w:val="29"/>
        <w:numPr>
          <w:ilvl w:val="2"/>
          <w:numId w:val="10"/>
        </w:numPr>
        <w:tabs>
          <w:tab w:val="left" w:pos="1739"/>
        </w:tabs>
        <w:spacing w:before="1" w:after="0" w:line="364" w:lineRule="auto"/>
        <w:ind w:left="478" w:right="477" w:firstLine="480"/>
        <w:jc w:val="both"/>
        <w:rPr>
          <w:sz w:val="24"/>
        </w:rPr>
      </w:pPr>
      <w:r>
        <w:rPr>
          <w:spacing w:val="-8"/>
          <w:sz w:val="24"/>
        </w:rPr>
        <w:t>采购文件规定推荐成交候选供应商的，成交候选供应商数量应当根据采购需</w:t>
      </w:r>
      <w:r>
        <w:rPr>
          <w:spacing w:val="-5"/>
          <w:sz w:val="24"/>
        </w:rPr>
        <w:t>要并在采购活动开始前确定，由磋商小组按照上述规定的评审办法确定各供应商排列顺</w:t>
      </w:r>
      <w:r>
        <w:rPr>
          <w:spacing w:val="-2"/>
          <w:sz w:val="24"/>
        </w:rPr>
        <w:t xml:space="preserve">序，依照顺序推荐成交候选供应商，并出具评审报告，采购人应当在收到评审报告后 </w:t>
      </w:r>
      <w:r>
        <w:rPr>
          <w:sz w:val="24"/>
        </w:rPr>
        <w:t xml:space="preserve">5 </w:t>
      </w:r>
      <w:r>
        <w:rPr>
          <w:spacing w:val="-7"/>
          <w:sz w:val="24"/>
        </w:rPr>
        <w:t>个工作日内，从评审报告提出的成交候选人中，根据质量和服务均能满足采购文件实质</w:t>
      </w:r>
      <w:r>
        <w:rPr>
          <w:sz w:val="24"/>
        </w:rPr>
        <w:t>性响应要求且最后综合得分最高的原则确定成交供应商。</w:t>
      </w:r>
    </w:p>
    <w:p>
      <w:pPr>
        <w:pStyle w:val="29"/>
        <w:numPr>
          <w:ilvl w:val="2"/>
          <w:numId w:val="10"/>
        </w:numPr>
        <w:tabs>
          <w:tab w:val="left" w:pos="1744"/>
        </w:tabs>
        <w:spacing w:before="3" w:after="0" w:line="364" w:lineRule="auto"/>
        <w:ind w:left="478" w:right="477" w:firstLine="482"/>
        <w:jc w:val="both"/>
        <w:rPr>
          <w:sz w:val="24"/>
        </w:rPr>
      </w:pPr>
      <w:r>
        <w:rPr>
          <w:sz w:val="24"/>
        </w:rPr>
        <w:t>按照有关规定成交供应商因不可抗力或者自身原因不能履行政府采购合同</w:t>
      </w:r>
      <w:r>
        <w:rPr>
          <w:spacing w:val="-4"/>
          <w:sz w:val="24"/>
        </w:rPr>
        <w:t>的须顺延排序第二的供应商成交的，或者采购人推荐排序第二的供应商成交的，其原响应报价不得超过原成交供应商响应报价与保证金之和，报经监督部门核准后可以确定排</w:t>
      </w:r>
      <w:r>
        <w:rPr>
          <w:sz w:val="24"/>
        </w:rPr>
        <w:t>序第二的供应商成交。否则应予废标，由采购人依法重新组织采购。</w:t>
      </w:r>
    </w:p>
    <w:p>
      <w:pPr>
        <w:pStyle w:val="29"/>
        <w:numPr>
          <w:ilvl w:val="2"/>
          <w:numId w:val="10"/>
        </w:numPr>
        <w:tabs>
          <w:tab w:val="left" w:pos="1739"/>
        </w:tabs>
        <w:spacing w:before="2" w:after="0" w:line="240" w:lineRule="auto"/>
        <w:ind w:left="1738" w:right="0" w:hanging="781"/>
        <w:jc w:val="both"/>
        <w:rPr>
          <w:sz w:val="24"/>
        </w:rPr>
      </w:pPr>
      <w:r>
        <w:rPr>
          <w:sz w:val="24"/>
        </w:rPr>
        <w:t>磋商结果应通知所有参加磋商的供应商。</w:t>
      </w:r>
    </w:p>
    <w:p>
      <w:pPr>
        <w:pStyle w:val="5"/>
        <w:tabs>
          <w:tab w:val="left" w:pos="1279"/>
        </w:tabs>
        <w:outlineLvl w:val="9"/>
      </w:pPr>
      <w:bookmarkStart w:id="61" w:name="第四章  评审办法"/>
      <w:bookmarkEnd w:id="61"/>
      <w:bookmarkStart w:id="62" w:name="_bookmark27"/>
      <w:bookmarkEnd w:id="62"/>
      <w:bookmarkStart w:id="63" w:name="第三章  采购需求"/>
      <w:bookmarkEnd w:id="63"/>
    </w:p>
    <w:p>
      <w:pPr>
        <w:pStyle w:val="5"/>
        <w:tabs>
          <w:tab w:val="left" w:pos="1279"/>
        </w:tabs>
        <w:outlineLvl w:val="9"/>
      </w:pPr>
    </w:p>
    <w:p>
      <w:pPr>
        <w:pStyle w:val="5"/>
        <w:tabs>
          <w:tab w:val="left" w:pos="1279"/>
        </w:tabs>
        <w:outlineLvl w:val="9"/>
      </w:pPr>
    </w:p>
    <w:p>
      <w:pPr>
        <w:pStyle w:val="5"/>
        <w:tabs>
          <w:tab w:val="left" w:pos="1279"/>
        </w:tabs>
        <w:outlineLvl w:val="9"/>
      </w:pPr>
    </w:p>
    <w:p>
      <w:pPr>
        <w:pStyle w:val="5"/>
        <w:tabs>
          <w:tab w:val="left" w:pos="1279"/>
        </w:tabs>
        <w:outlineLvl w:val="9"/>
      </w:pPr>
    </w:p>
    <w:p>
      <w:pPr>
        <w:pStyle w:val="5"/>
        <w:tabs>
          <w:tab w:val="left" w:pos="1279"/>
        </w:tabs>
        <w:outlineLvl w:val="9"/>
      </w:pPr>
    </w:p>
    <w:p/>
    <w:p>
      <w:pPr>
        <w:pStyle w:val="2"/>
      </w:pPr>
    </w:p>
    <w:p>
      <w:pPr>
        <w:pStyle w:val="3"/>
      </w:pPr>
    </w:p>
    <w:p>
      <w:pPr>
        <w:pStyle w:val="5"/>
        <w:tabs>
          <w:tab w:val="left" w:pos="1279"/>
        </w:tabs>
        <w:outlineLvl w:val="9"/>
      </w:pPr>
    </w:p>
    <w:p>
      <w:pPr>
        <w:pStyle w:val="5"/>
        <w:tabs>
          <w:tab w:val="left" w:pos="1279"/>
        </w:tabs>
        <w:outlineLvl w:val="0"/>
      </w:pPr>
      <w:bookmarkStart w:id="64" w:name="_Toc22889"/>
      <w:r>
        <w:t>第三章</w:t>
      </w:r>
      <w:r>
        <w:tab/>
      </w:r>
      <w:r>
        <w:t>采购需求</w:t>
      </w:r>
      <w:bookmarkEnd w:id="64"/>
    </w:p>
    <w:p>
      <w:pPr>
        <w:pStyle w:val="10"/>
        <w:rPr>
          <w:rFonts w:ascii="黑体"/>
          <w:sz w:val="20"/>
        </w:rPr>
      </w:pPr>
    </w:p>
    <w:p>
      <w:pPr>
        <w:pStyle w:val="10"/>
        <w:spacing w:before="1"/>
        <w:rPr>
          <w:rFonts w:ascii="黑体"/>
          <w:sz w:val="18"/>
        </w:rPr>
      </w:pPr>
    </w:p>
    <w:p>
      <w:pPr>
        <w:spacing w:line="500" w:lineRule="exact"/>
        <w:ind w:firstLine="480" w:firstLineChars="200"/>
        <w:rPr>
          <w:rFonts w:hint="eastAsia" w:ascii="仿宋_GB2312" w:eastAsia="仿宋_GB2312"/>
          <w:sz w:val="24"/>
          <w:szCs w:val="24"/>
        </w:rPr>
      </w:pPr>
      <w:bookmarkStart w:id="65" w:name="_bookmark28"/>
      <w:bookmarkEnd w:id="65"/>
      <w:bookmarkStart w:id="66" w:name="1.项目概况"/>
      <w:bookmarkEnd w:id="66"/>
      <w:bookmarkStart w:id="67" w:name="_bookmark30"/>
      <w:bookmarkEnd w:id="67"/>
      <w:bookmarkStart w:id="68" w:name="_bookmark28"/>
      <w:bookmarkEnd w:id="68"/>
      <w:bookmarkStart w:id="69" w:name="_Toc21909"/>
      <w:r>
        <w:rPr>
          <w:rFonts w:hint="eastAsia" w:ascii="仿宋_GB2312" w:eastAsia="仿宋_GB2312"/>
          <w:sz w:val="24"/>
          <w:szCs w:val="24"/>
        </w:rPr>
        <w:t>一、项目名称和经费</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项目名称：《新疆玛纳斯县地质灾害风险普查》</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项目费用：40 万元（大写：肆拾万元整）</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二、工作范围和面积</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本次工作区范围为玛纳斯县行政区范围，总面积约</w:t>
      </w:r>
      <w:r>
        <w:rPr>
          <w:rFonts w:ascii="仿宋_GB2312" w:eastAsia="仿宋_GB2312"/>
          <w:sz w:val="24"/>
          <w:szCs w:val="24"/>
        </w:rPr>
        <w:t>9597.27</w:t>
      </w:r>
      <w:r>
        <w:rPr>
          <w:rFonts w:hint="eastAsia" w:ascii="仿宋_GB2312" w:eastAsia="仿宋_GB2312"/>
          <w:sz w:val="24"/>
          <w:szCs w:val="24"/>
        </w:rPr>
        <w:t>平方千米（以三调成果数据为准）。</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三、自然经济地理</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玛纳斯县位于天山山系北坡中段、准噶尔盆地西南缘，玛纳斯河东岸。东以干河子为界与呼图壁县相邻，西以玛纳斯河与石河子、沙湾县为界，北同和布克赛尔蒙古自治县相接，南以依连哈比尔尕山分水岭与和静县毗邻。行政区划隶属昌吉回族自治州，是该州最西端的一个县。地理坐标为东经85°40′—86°32′，北纬43°19′—45°20′，南北最大长度214.5千米，东西最大宽度88.7千米，总面积9597.27平方千米。</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玛纳斯县东距乌鲁木齐市134千米、昌吉市99千米，是乌鲁木齐向西通往石河子、奎屯、乌苏、精河等县（市）的必经之地，312国道、兰新铁路、G30连霍高速以及北疆铁路横贯玛纳斯县全境，乌昌经济一体化辐射区和乌鲁木齐一小时经济圈，第二亚欧大陆桥横贯全境，东距首府乌鲁木齐市130公里，西与石河子国家级经济技术开发区隔河相望，是天山北坡重要的交通中转站和北疆地区物资集散地，也是东联西出的黄金通道。县境内各乡（镇）、村及团场各连队均有公路相通，交通条件较为便利。</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玛纳斯县辖7镇（玛纳斯镇、乐土驿镇、包家店镇、凉州户镇、兰州湾镇、六户地镇、北五岔镇）、4乡（广东地乡、清水河哈萨克乡、塔西河哈萨克乡、旱卡子滩哈萨克乡）、9个社区、165个村委会，北部驻有新疆生产建设兵团第六师新湖农场及第八师147、148、149、150团场。截至2017年，玛纳斯县地方总户数50592户，户籍总人口136940人。玛纳斯县地区生产总值169.56亿元，其中第一产业增加值50.52亿元（不含一产服务业），第二产业增加值65.42亿元，第三产业增加值53.62亿元。按户籍人口计算，人均地区生产总值为68623元。</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四、地质环境条件和工作程度</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（一）地形地貌</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玛纳斯县地处天山山脉北麓、准噶尔盆地西南缘，地形地貌较为复杂。地势上，南高北低，自东南向西北倾斜，形似梯状；地形上，南北长、东西窄，呈长条状展布，素有“一山一盆倚二河，中间夹块大平原”之说。南部山区：地形起伏，群峰挺拨，横亘连绵，覆盖着原始森林，牧草丰茂，是良好的夏牧场，高山顶部发育有冰川，是玛纳斯河、塔西河水的稳定来源，少数坡面裸露基岩，基岩裂隙发育。中部平原区：地形平坦，开阔宽广，土肥物丰。北部沙漠区：地形波状起伏，为古尔班通古特沙漠的一部分。</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（二）地层岩性</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玛纳斯县出露地层主要有志留系、泥盆系、石炭系、二叠系、侏罗系、白垩系、古近系、新近系及第四系。</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（三）水文地质条件</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玛纳斯县以玛纳斯河冲洪积扇为主体，东部为塔西河冲洪积扇，南部低山丘陵区由玛纳斯背斜的北翼构成，北部扇区与山体之间为一条近东西向的断裂所分割。冲洪积区分布有巨厚的第四系松散堆积物，受基底构造控制，南西厚、北东薄。工作区由山区—山前冲洪积砾质平原—冲积细土平原—沙漠构成了一个基本完整的地下水补给、径流、排泄系统，根据地下水的储水介质、补给、径流、排泄条件，水动力条件的不同，工作区赋存有基岩裂隙水和松散岩类孔隙水(潜水和承压水)。</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（四）工程地质条件</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按照岩土体工程地质特征将区内岩土体划分为厚层状坚硬粗碎屑岩及碳酸盐岩岩组、互层状较坚硬-软弱碎屑岩组、互层状软弱碎屑岩组、黄土－砾类土双层结构土体、粘性土－砂土双层结构土体、砂土六类工程地质岩组，分数如下：</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1、厚层状坚硬粗碎屑岩及碳酸盐岩岩组</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主要分布于南部山区，岩性为砾岩、砂岩、凝灰岩及碳酸岩，岩体呈厚层状，力学强度高，岩体表层风化破碎，山势陡峭，地形高差大，构造裂隙发育。</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2、互层状较坚硬-软弱碎屑岩组</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主要分布于低山丘陵区，岩性为砂岩、粉砂岩、泥岩、炭质泥岩、煤层，表层被第四系砂砾石、黄土覆盖，近东西向条带状展布，由于该岩组含丰富的煤层，大量的地下采煤易形成地面塌陷。</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3、互层状软弱碎屑岩组</w:t>
      </w:r>
      <w:r>
        <w:rPr>
          <w:rFonts w:hint="eastAsia" w:ascii="仿宋_GB2312" w:eastAsia="仿宋_GB2312"/>
          <w:sz w:val="24"/>
          <w:szCs w:val="24"/>
        </w:rPr>
        <w:tab/>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主要分布与中低丘陵区，岩性为古近系和新近系的砂岩、砾岩、泥灰岩，近东西向条带状展布，该岩组风化程度强。</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4、黄土－砾类土双层结构土体</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主要分布于山前倾斜冲洪积砾质平原，表层覆盖有薄层风成黄土，下部为上更新统砂砾石层，由于结构疏松，在暴雨洪流冲刷及人工开挖作用下，形成洪沟、陡坎及陡崖。</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5、粘性土－砂土双层结构土体</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分布在北部细土平原及沙漠地带，岩性为粘土、腐植土、细砂，多层结构，地形平坦，工程地质条件较差。</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6、砂土</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分布在玛纳斯县北部，为古尔班通古特沙漠的南缘，岩性为砂，有沙丘分布。</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（五）研究程度</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《新疆玛纳斯县地质灾害调查与区划报告》（2005年）；</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《新疆玛纳斯县地质灾害详细调查报告》（2017年）；</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《新疆昌吉市—乌苏市地质灾害重点区域精细化调查报告》（2020年）；</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《新疆昌吉市-乌苏地质灾害补充调查》（2021年）</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五、目标任务</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（一）目标</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以孕灾主控地质条件和地质灾害隐患判识为主开展玛纳斯县地质灾害风险调查评价，深化地质灾害早期识别、形成机理和规律认识，总结成灾模式，开展不同层次地质灾害风险区划，提出综合防治对策建议，为地质灾害防治管理提供基础依据。</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（二）任务</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1、开展玛纳斯县地质环境条件调查，分析滑坡、崩塌、泥石流发生的岩土体结构条件，阐明其发育、分布规律及形成机理，评价和预测其发展趋势，进行环境工程地质条件区划。</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2、对已发生的滑坡、崩塌、泥石流等地质灾害点进行调查，了解其分布范围、规模、结构特征、影响因素和诱发因素等，并对其复活性和危险性进行评估。</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3、对城市、村镇、厂矿、重要交通沿线、重要工程设施和重要风景名胜区等潜在的滑坡、崩塌、泥石流等地质灾害隐患点进行调查，并对其危险性、危害性及风险性进行评价，提出防治措施建议。</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六、工作方法和技术要求</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（一）工作方法</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 xml:space="preserve">分析研究《新疆玛纳斯县地质灾害详细调查报告》和《新疆昌吉市-乌苏地质灾害补充调查》成果，收集当地地质灾害勘查、防治工程和重大工程勘查成果，开展遥感解译工作，进行孕灾地质条件调查、承灾体调查，核查调查地质灾害及其隐患 </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（二）技术要求</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主要执行的技术规范、技术要求和依据主要有：</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1、《地质灾害风险调查评价技术要求（1∶50000）》；</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2、《地质灾害风险调查评价编图技术要求（试行）》；</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3、《地质灾害风险调查评价成果信息化技术要求（试行）》；</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4、《滑坡崩塌泥石流灾害调查规范（1∶50000）》 DZ/T0261-2014；</w:t>
      </w:r>
    </w:p>
    <w:p>
      <w:pPr>
        <w:spacing w:line="500" w:lineRule="exact"/>
        <w:ind w:firstLine="480" w:firstLineChars="200"/>
        <w:rPr>
          <w:rFonts w:ascii="仿宋_GB2312" w:eastAsia="仿宋_GB2312"/>
          <w:sz w:val="24"/>
          <w:szCs w:val="24"/>
        </w:rPr>
      </w:pPr>
      <w:r>
        <w:rPr>
          <w:rFonts w:hint="eastAsia" w:ascii="仿宋_GB2312" w:eastAsia="仿宋_GB2312"/>
          <w:sz w:val="24"/>
          <w:szCs w:val="24"/>
        </w:rPr>
        <w:t>5、《岩土工程勘察规范》 GB50021—2001（2009 年版）；</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6、《中国地震动参数区划图》（GB18306-2015）；</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 xml:space="preserve">7、《遥感地质解译方法指南（1∶50000、1∶250000）》（DD2011-03） ； </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8、《地质灾害遥感调查技术规定》（DD2015-01）；</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9、《倾斜数字航空摄影技术规程》（GB/T 39610-2020）；</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10、《地质灾害调查技术要求（1∶5万）》（DD2019-08）</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11、《地质调查项目预算标准（2021）》；</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12、《地质资料汇交规范》 （DZ/T0273） 。</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执行的技术要求和规范，应以项目实施时现行标准和规范为准。</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七、主要实物工作量</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开展全域遥感解译工作，开展地质灾害防治知识培训和重要地质灾害隐患点防治演练工作。最终实物工作量以设计批复工作量为准（开展过的《新疆昌吉市—乌苏市地质灾害重点区域精细化调查》、《新疆昌吉市-乌苏地质灾害补充调查》项目投入的实物工作量与本次投入的工作量合计需要满足规范要求）。</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八、预期提交成果</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（一）原始资料</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1、遥感解译及验证成果分布图、实际材料图、工程地质条件图；</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2、各类原始记录卡片</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3、野外照(摄)像等影像资料；</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4、测试与试验资料；</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（二）成果资料</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1、报告</w:t>
      </w:r>
    </w:p>
    <w:p>
      <w:pPr>
        <w:spacing w:line="500" w:lineRule="exact"/>
        <w:ind w:firstLine="480" w:firstLineChars="200"/>
        <w:rPr>
          <w:rFonts w:hint="eastAsia" w:ascii="仿宋_GB2312" w:eastAsia="仿宋_GB2312"/>
          <w:sz w:val="24"/>
          <w:szCs w:val="24"/>
          <w:lang w:eastAsia="zh-CN"/>
        </w:rPr>
      </w:pPr>
      <w:r>
        <w:rPr>
          <w:rFonts w:hint="eastAsia" w:ascii="仿宋_GB2312" w:eastAsia="仿宋_GB2312"/>
          <w:sz w:val="24"/>
          <w:szCs w:val="24"/>
        </w:rPr>
        <w:t>新疆玛纳斯县地质灾害风险普查报告</w:t>
      </w:r>
      <w:r>
        <w:rPr>
          <w:rFonts w:hint="eastAsia" w:ascii="仿宋_GB2312" w:eastAsia="仿宋_GB2312"/>
          <w:sz w:val="24"/>
          <w:szCs w:val="24"/>
          <w:lang w:eastAsia="zh-CN"/>
        </w:rPr>
        <w:t>；</w:t>
      </w:r>
    </w:p>
    <w:p>
      <w:pPr>
        <w:pStyle w:val="2"/>
        <w:rPr>
          <w:rFonts w:hint="default" w:eastAsia="仿宋_GB2312"/>
          <w:lang w:val="en-US" w:eastAsia="zh-CN"/>
        </w:rPr>
      </w:pPr>
      <w:r>
        <w:rPr>
          <w:rFonts w:hint="eastAsia" w:ascii="仿宋_GB2312" w:eastAsia="仿宋_GB2312"/>
          <w:sz w:val="24"/>
          <w:szCs w:val="24"/>
          <w:lang w:val="en-US" w:eastAsia="zh-CN"/>
        </w:rPr>
        <w:t xml:space="preserve">    新疆玛纳斯县地质灾害防治规划文本。</w:t>
      </w:r>
    </w:p>
    <w:p>
      <w:pPr>
        <w:spacing w:line="500" w:lineRule="exact"/>
        <w:ind w:firstLine="480" w:firstLineChars="200"/>
        <w:rPr>
          <w:rFonts w:ascii="仿宋_GB2312" w:eastAsia="仿宋_GB2312"/>
          <w:sz w:val="24"/>
          <w:szCs w:val="24"/>
        </w:rPr>
      </w:pPr>
      <w:r>
        <w:rPr>
          <w:rFonts w:hint="eastAsia" w:ascii="仿宋_GB2312" w:eastAsia="仿宋_GB2312"/>
          <w:sz w:val="24"/>
          <w:szCs w:val="24"/>
        </w:rPr>
        <w:t>2、附图</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新疆玛纳斯县地质灾害易发程度分区图、新疆玛纳斯县地质灾害防治规划图。</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项目成果资料整理归档严格按照《地质灾害风险调查评价技术要求（1∶50000）》和《地质资料汇交规范》 DZ/T0273 地质资料汇交规范及相关管理办法规定执行。最终成果资料应按地质资料汇交要求向新疆地质资料馆汇交，并向自治区地质资料馆、昌吉州自然资源局和玛纳斯县自然资源局汇交纸介质和电子版各 2 套。</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九、工作周期</w:t>
      </w:r>
    </w:p>
    <w:p>
      <w:pPr>
        <w:spacing w:line="500" w:lineRule="exact"/>
        <w:ind w:firstLine="480" w:firstLineChars="200"/>
        <w:rPr>
          <w:rFonts w:hint="eastAsia" w:ascii="仿宋_GB2312" w:eastAsia="仿宋_GB2312"/>
          <w:sz w:val="24"/>
          <w:szCs w:val="24"/>
        </w:rPr>
      </w:pPr>
      <w:r>
        <w:rPr>
          <w:rFonts w:hint="eastAsia" w:ascii="仿宋_GB2312" w:eastAsia="仿宋_GB2312"/>
          <w:sz w:val="24"/>
          <w:szCs w:val="24"/>
        </w:rPr>
        <w:t>2022年8月30日前完成野外调查工作；2022年9月30日前完成项目野外验收；2022年10 月30 日前完成项目成果报告评审，2022年11月15日提交项目成果报告</w:t>
      </w: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p>
    <w:p>
      <w:pPr>
        <w:pStyle w:val="5"/>
        <w:tabs>
          <w:tab w:val="left" w:pos="1279"/>
        </w:tabs>
        <w:outlineLvl w:val="0"/>
      </w:pPr>
      <w:r>
        <w:t>第四章</w:t>
      </w:r>
      <w:r>
        <w:tab/>
      </w:r>
      <w:r>
        <w:t>评审办法</w:t>
      </w:r>
      <w:bookmarkEnd w:id="69"/>
    </w:p>
    <w:p>
      <w:pPr>
        <w:pStyle w:val="10"/>
        <w:spacing w:before="1"/>
        <w:rPr>
          <w:rFonts w:ascii="黑体"/>
          <w:sz w:val="18"/>
        </w:rPr>
      </w:pPr>
    </w:p>
    <w:p>
      <w:pPr>
        <w:pStyle w:val="6"/>
        <w:numPr>
          <w:ilvl w:val="2"/>
          <w:numId w:val="11"/>
        </w:numPr>
        <w:tabs>
          <w:tab w:val="left" w:pos="1321"/>
        </w:tabs>
        <w:spacing w:before="62" w:after="0" w:line="240" w:lineRule="auto"/>
        <w:ind w:left="1320" w:right="0" w:hanging="284"/>
        <w:jc w:val="left"/>
        <w:rPr>
          <w:rFonts w:hint="eastAsia" w:ascii="楷体" w:eastAsia="楷体"/>
        </w:rPr>
      </w:pPr>
      <w:bookmarkStart w:id="70" w:name="1.相关要求"/>
      <w:bookmarkEnd w:id="70"/>
      <w:bookmarkStart w:id="71" w:name="_bookmark31"/>
      <w:bookmarkEnd w:id="71"/>
      <w:bookmarkStart w:id="72" w:name="_bookmark31"/>
      <w:bookmarkEnd w:id="72"/>
      <w:r>
        <w:rPr>
          <w:rFonts w:hint="eastAsia" w:ascii="楷体" w:eastAsia="楷体"/>
          <w:spacing w:val="-2"/>
        </w:rPr>
        <w:t>相关要求</w:t>
      </w:r>
    </w:p>
    <w:p>
      <w:pPr>
        <w:pStyle w:val="10"/>
        <w:spacing w:before="11"/>
        <w:rPr>
          <w:rFonts w:ascii="楷体"/>
          <w:sz w:val="28"/>
        </w:rPr>
      </w:pPr>
    </w:p>
    <w:p>
      <w:pPr>
        <w:pStyle w:val="29"/>
        <w:numPr>
          <w:ilvl w:val="3"/>
          <w:numId w:val="11"/>
        </w:numPr>
        <w:tabs>
          <w:tab w:val="left" w:pos="1320"/>
        </w:tabs>
        <w:spacing w:before="93" w:after="0" w:line="312" w:lineRule="auto"/>
        <w:ind w:left="478" w:right="425" w:firstLine="480"/>
        <w:jc w:val="left"/>
        <w:rPr>
          <w:sz w:val="24"/>
        </w:rPr>
      </w:pPr>
      <w:r>
        <w:rPr>
          <w:sz w:val="24"/>
        </w:rPr>
        <w:t>技术汇总得分的计算方法：磋商小组成员技术评分的算术平均值。</w:t>
      </w:r>
    </w:p>
    <w:p>
      <w:pPr>
        <w:pStyle w:val="29"/>
        <w:numPr>
          <w:ilvl w:val="3"/>
          <w:numId w:val="11"/>
        </w:numPr>
        <w:tabs>
          <w:tab w:val="left" w:pos="1320"/>
        </w:tabs>
        <w:spacing w:before="93" w:after="0" w:line="312" w:lineRule="auto"/>
        <w:ind w:left="478" w:right="425" w:firstLine="480"/>
        <w:jc w:val="left"/>
        <w:rPr>
          <w:sz w:val="22"/>
        </w:rPr>
      </w:pPr>
      <w:r>
        <w:rPr>
          <w:sz w:val="24"/>
        </w:rPr>
        <w:t>“</w:t>
      </w:r>
      <w:r>
        <w:rPr>
          <w:rFonts w:hint="eastAsia"/>
          <w:sz w:val="24"/>
          <w:lang w:eastAsia="zh-CN"/>
        </w:rPr>
        <w:t>类似</w:t>
      </w:r>
      <w:r>
        <w:rPr>
          <w:sz w:val="24"/>
        </w:rPr>
        <w:t>项目”是指供应商已经完成的与本次采购要求相同或者类同的</w:t>
      </w:r>
      <w:r>
        <w:rPr>
          <w:rFonts w:hint="eastAsia"/>
          <w:sz w:val="24"/>
          <w:lang w:val="en-US" w:eastAsia="zh-CN"/>
        </w:rPr>
        <w:t>货物或服务</w:t>
      </w:r>
      <w:r>
        <w:rPr>
          <w:sz w:val="24"/>
        </w:rPr>
        <w:t>，并</w:t>
      </w:r>
      <w:r>
        <w:rPr>
          <w:spacing w:val="-1"/>
          <w:sz w:val="24"/>
        </w:rPr>
        <w:t>且签订合同一方必须是参与磋商报价的供应商，以相同或者类同部分的合同金额为准。</w:t>
      </w:r>
    </w:p>
    <w:p>
      <w:pPr>
        <w:pStyle w:val="29"/>
        <w:numPr>
          <w:ilvl w:val="3"/>
          <w:numId w:val="11"/>
        </w:numPr>
        <w:tabs>
          <w:tab w:val="left" w:pos="1379"/>
        </w:tabs>
        <w:spacing w:before="0" w:after="0" w:line="307" w:lineRule="exact"/>
        <w:ind w:left="1378" w:right="0" w:hanging="421"/>
        <w:jc w:val="left"/>
        <w:rPr>
          <w:sz w:val="24"/>
        </w:rPr>
      </w:pPr>
      <w:r>
        <w:rPr>
          <w:sz w:val="24"/>
        </w:rPr>
        <w:t>执行国家统一定价标准和采用固定价格采购的项目，其价格不列为评审因素。</w:t>
      </w:r>
    </w:p>
    <w:p>
      <w:pPr>
        <w:pStyle w:val="29"/>
        <w:numPr>
          <w:ilvl w:val="3"/>
          <w:numId w:val="11"/>
        </w:numPr>
        <w:tabs>
          <w:tab w:val="left" w:pos="1379"/>
        </w:tabs>
        <w:spacing w:before="94" w:after="0" w:line="240" w:lineRule="auto"/>
        <w:ind w:left="1378" w:right="0" w:hanging="421"/>
        <w:jc w:val="left"/>
        <w:rPr>
          <w:sz w:val="24"/>
        </w:rPr>
      </w:pPr>
      <w:r>
        <w:rPr>
          <w:sz w:val="24"/>
        </w:rPr>
        <w:t>评分得分非整数的保留小数点后两位（小数点后第三位数四舍五入）。</w:t>
      </w:r>
    </w:p>
    <w:p>
      <w:pPr>
        <w:pStyle w:val="6"/>
        <w:numPr>
          <w:ilvl w:val="2"/>
          <w:numId w:val="11"/>
        </w:numPr>
        <w:tabs>
          <w:tab w:val="left" w:pos="1321"/>
        </w:tabs>
        <w:spacing w:before="144" w:after="0" w:line="240" w:lineRule="auto"/>
        <w:ind w:left="1320" w:right="0" w:hanging="284"/>
        <w:jc w:val="left"/>
        <w:rPr>
          <w:rFonts w:hint="eastAsia" w:ascii="楷体" w:eastAsia="楷体"/>
        </w:rPr>
      </w:pPr>
      <w:bookmarkStart w:id="73" w:name="2.评分标准"/>
      <w:bookmarkEnd w:id="73"/>
      <w:bookmarkStart w:id="74" w:name="_bookmark32"/>
      <w:bookmarkEnd w:id="74"/>
      <w:bookmarkStart w:id="75" w:name="_bookmark32"/>
      <w:bookmarkEnd w:id="75"/>
      <w:r>
        <w:rPr>
          <w:rFonts w:hint="eastAsia" w:ascii="楷体" w:eastAsia="楷体"/>
          <w:spacing w:val="-2"/>
        </w:rPr>
        <w:t>评分标准</w:t>
      </w:r>
    </w:p>
    <w:p>
      <w:pPr>
        <w:pStyle w:val="10"/>
        <w:spacing w:before="9"/>
        <w:rPr>
          <w:rFonts w:ascii="楷体"/>
          <w:sz w:val="22"/>
        </w:rPr>
      </w:pPr>
    </w:p>
    <w:p>
      <w:pPr>
        <w:pStyle w:val="29"/>
        <w:numPr>
          <w:ilvl w:val="3"/>
          <w:numId w:val="11"/>
        </w:numPr>
        <w:tabs>
          <w:tab w:val="left" w:pos="1379"/>
        </w:tabs>
        <w:spacing w:before="0" w:after="0" w:line="240" w:lineRule="auto"/>
        <w:ind w:left="1378" w:right="0" w:hanging="421"/>
        <w:jc w:val="left"/>
        <w:rPr>
          <w:rFonts w:hint="eastAsia" w:ascii="楷体" w:eastAsia="楷体"/>
          <w:sz w:val="24"/>
        </w:rPr>
      </w:pPr>
      <w:r>
        <w:rPr>
          <w:rFonts w:hint="eastAsia" w:ascii="楷体" w:eastAsia="楷体"/>
          <w:sz w:val="24"/>
        </w:rPr>
        <w:t>评分因素以及分值</w:t>
      </w:r>
    </w:p>
    <w:p>
      <w:pPr>
        <w:pStyle w:val="10"/>
        <w:spacing w:before="4"/>
        <w:rPr>
          <w:rFonts w:ascii="楷体"/>
          <w:sz w:val="12"/>
        </w:rPr>
      </w:pPr>
    </w:p>
    <w:p>
      <w:pPr>
        <w:pStyle w:val="10"/>
        <w:spacing w:before="4"/>
        <w:ind w:firstLine="500" w:firstLineChars="200"/>
        <w:rPr>
          <w:rFonts w:hint="eastAsia" w:ascii="楷体"/>
          <w:sz w:val="25"/>
          <w:lang w:val="en-US" w:eastAsia="zh-CN"/>
        </w:rPr>
      </w:pPr>
      <w:r>
        <w:rPr>
          <w:rFonts w:hint="eastAsia" w:ascii="楷体"/>
          <w:sz w:val="25"/>
          <w:lang w:val="en-US" w:eastAsia="zh-CN"/>
        </w:rPr>
        <w:t xml:space="preserve">    总分值：100分，其中报价20分，商务技术80分</w:t>
      </w: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0"/>
        <w:spacing w:before="4"/>
        <w:ind w:firstLine="500" w:firstLineChars="200"/>
        <w:rPr>
          <w:rFonts w:hint="eastAsia" w:ascii="楷体"/>
          <w:sz w:val="25"/>
          <w:lang w:val="en-US" w:eastAsia="zh-CN"/>
        </w:rPr>
      </w:pPr>
    </w:p>
    <w:p>
      <w:pPr>
        <w:pStyle w:val="11"/>
        <w:rPr>
          <w:rFonts w:hint="eastAsia"/>
          <w:lang w:val="en-US" w:eastAsia="zh-CN"/>
        </w:rPr>
      </w:pPr>
    </w:p>
    <w:p>
      <w:pPr>
        <w:pStyle w:val="10"/>
        <w:spacing w:before="4"/>
        <w:ind w:firstLine="500" w:firstLineChars="200"/>
        <w:rPr>
          <w:rFonts w:hint="eastAsia" w:ascii="楷体"/>
          <w:color w:val="auto"/>
          <w:sz w:val="25"/>
          <w:lang w:val="en-US" w:eastAsia="zh-CN"/>
        </w:rPr>
      </w:pPr>
    </w:p>
    <w:tbl>
      <w:tblPr>
        <w:tblStyle w:val="23"/>
        <w:tblW w:w="9760" w:type="dxa"/>
        <w:tblInd w:w="0" w:type="dxa"/>
        <w:tblLayout w:type="fixed"/>
        <w:tblCellMar>
          <w:top w:w="0" w:type="dxa"/>
          <w:left w:w="108" w:type="dxa"/>
          <w:bottom w:w="0" w:type="dxa"/>
          <w:right w:w="108" w:type="dxa"/>
        </w:tblCellMar>
      </w:tblPr>
      <w:tblGrid>
        <w:gridCol w:w="385"/>
        <w:gridCol w:w="2521"/>
        <w:gridCol w:w="4949"/>
        <w:gridCol w:w="690"/>
        <w:gridCol w:w="630"/>
        <w:gridCol w:w="585"/>
      </w:tblGrid>
      <w:tr>
        <w:tblPrEx>
          <w:tblCellMar>
            <w:top w:w="0" w:type="dxa"/>
            <w:left w:w="108" w:type="dxa"/>
            <w:bottom w:w="0" w:type="dxa"/>
            <w:right w:w="108" w:type="dxa"/>
          </w:tblCellMar>
        </w:tblPrEx>
        <w:trPr>
          <w:trHeight w:val="680" w:hRule="atLeast"/>
        </w:trPr>
        <w:tc>
          <w:tcPr>
            <w:tcW w:w="9760" w:type="dxa"/>
            <w:gridSpan w:val="6"/>
            <w:tcBorders>
              <w:top w:val="single" w:color="auto" w:sz="4" w:space="0"/>
              <w:left w:val="single" w:color="auto" w:sz="4" w:space="0"/>
              <w:bottom w:val="single" w:color="auto" w:sz="4" w:space="0"/>
              <w:right w:val="single" w:color="auto" w:sz="4" w:space="0"/>
            </w:tcBorders>
            <w:vAlign w:val="center"/>
          </w:tcPr>
          <w:p>
            <w:pPr>
              <w:widowControl/>
              <w:ind w:firstLine="4216" w:firstLineChars="1400"/>
              <w:jc w:val="both"/>
              <w:rPr>
                <w:rFonts w:hint="eastAsia" w:ascii="仿宋" w:hAnsi="仿宋" w:eastAsia="仿宋" w:cs="宋体"/>
                <w:b/>
                <w:kern w:val="0"/>
                <w:sz w:val="22"/>
                <w:szCs w:val="22"/>
                <w:lang w:eastAsia="zh-CN"/>
              </w:rPr>
            </w:pPr>
            <w:r>
              <w:rPr>
                <w:rFonts w:hint="eastAsia" w:cs="宋体"/>
                <w:b/>
                <w:kern w:val="0"/>
                <w:sz w:val="30"/>
                <w:szCs w:val="30"/>
                <w:lang w:eastAsia="zh-CN"/>
              </w:rPr>
              <w:t>资格审查表</w:t>
            </w:r>
          </w:p>
        </w:tc>
      </w:tr>
      <w:tr>
        <w:tblPrEx>
          <w:tblCellMar>
            <w:top w:w="0" w:type="dxa"/>
            <w:left w:w="108" w:type="dxa"/>
            <w:bottom w:w="0" w:type="dxa"/>
            <w:right w:w="108" w:type="dxa"/>
          </w:tblCellMar>
        </w:tblPrEx>
        <w:trPr>
          <w:trHeight w:val="248" w:hRule="atLeast"/>
        </w:trPr>
        <w:tc>
          <w:tcPr>
            <w:tcW w:w="7855" w:type="dxa"/>
            <w:gridSpan w:val="3"/>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center"/>
              <w:rPr>
                <w:rFonts w:hint="eastAsia" w:ascii="仿宋" w:hAnsi="仿宋" w:eastAsia="仿宋" w:cs="宋体"/>
                <w:b w:val="0"/>
                <w:bCs/>
                <w:kern w:val="0"/>
                <w:sz w:val="22"/>
                <w:szCs w:val="22"/>
              </w:rPr>
            </w:pPr>
            <w:r>
              <w:rPr>
                <w:rFonts w:hint="eastAsia" w:ascii="仿宋" w:hAnsi="仿宋" w:eastAsia="仿宋" w:cs="宋体"/>
                <w:b w:val="0"/>
                <w:bCs/>
                <w:kern w:val="0"/>
                <w:sz w:val="22"/>
                <w:szCs w:val="22"/>
              </w:rPr>
              <w:t>审查事项</w:t>
            </w:r>
          </w:p>
        </w:tc>
        <w:tc>
          <w:tcPr>
            <w:tcW w:w="1905" w:type="dxa"/>
            <w:gridSpan w:val="3"/>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center"/>
              <w:rPr>
                <w:rFonts w:hint="eastAsia" w:ascii="仿宋" w:hAnsi="仿宋" w:eastAsia="仿宋" w:cs="宋体"/>
                <w:b w:val="0"/>
                <w:bCs/>
                <w:kern w:val="0"/>
                <w:sz w:val="22"/>
                <w:szCs w:val="22"/>
              </w:rPr>
            </w:pPr>
            <w:r>
              <w:rPr>
                <w:rFonts w:hint="eastAsia" w:ascii="仿宋" w:hAnsi="仿宋" w:eastAsia="仿宋" w:cs="宋体"/>
                <w:b w:val="0"/>
                <w:bCs/>
                <w:kern w:val="0"/>
                <w:sz w:val="22"/>
                <w:szCs w:val="22"/>
              </w:rPr>
              <w:t>投标人名称及审查情况</w:t>
            </w:r>
          </w:p>
        </w:tc>
      </w:tr>
      <w:tr>
        <w:tblPrEx>
          <w:tblCellMar>
            <w:top w:w="0" w:type="dxa"/>
            <w:left w:w="108" w:type="dxa"/>
            <w:bottom w:w="0" w:type="dxa"/>
            <w:right w:w="108" w:type="dxa"/>
          </w:tblCellMar>
        </w:tblPrEx>
        <w:trPr>
          <w:trHeight w:val="763" w:hRule="atLeast"/>
        </w:trPr>
        <w:tc>
          <w:tcPr>
            <w:tcW w:w="38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b w:val="0"/>
                <w:bCs/>
                <w:kern w:val="0"/>
                <w:sz w:val="22"/>
                <w:szCs w:val="22"/>
                <w:lang w:eastAsia="zh-CN"/>
              </w:rPr>
            </w:pPr>
            <w:r>
              <w:rPr>
                <w:rFonts w:hint="eastAsia" w:cs="宋体"/>
                <w:b w:val="0"/>
                <w:bCs/>
                <w:kern w:val="0"/>
                <w:sz w:val="22"/>
                <w:szCs w:val="22"/>
                <w:lang w:eastAsia="zh-CN"/>
              </w:rPr>
              <w:t>序号</w:t>
            </w:r>
          </w:p>
        </w:tc>
        <w:tc>
          <w:tcPr>
            <w:tcW w:w="2521" w:type="dxa"/>
            <w:tcBorders>
              <w:top w:val="single" w:color="auto" w:sz="4" w:space="0"/>
              <w:left w:val="single" w:color="auto" w:sz="4" w:space="0"/>
              <w:bottom w:val="single" w:color="auto" w:sz="4" w:space="0"/>
              <w:right w:val="single" w:color="auto" w:sz="4" w:space="0"/>
            </w:tcBorders>
            <w:vAlign w:val="center"/>
          </w:tcPr>
          <w:p>
            <w:pPr>
              <w:widowControl/>
              <w:ind w:left="220" w:leftChars="100" w:right="0" w:rightChars="0" w:firstLine="440" w:firstLineChars="200"/>
              <w:jc w:val="left"/>
              <w:rPr>
                <w:rFonts w:hint="eastAsia" w:ascii="仿宋" w:hAnsi="仿宋" w:eastAsia="仿宋" w:cs="宋体"/>
                <w:b w:val="0"/>
                <w:bCs/>
                <w:kern w:val="0"/>
                <w:sz w:val="22"/>
                <w:szCs w:val="22"/>
                <w:lang w:val="zh-CN" w:eastAsia="zh-CN" w:bidi="zh-CN"/>
              </w:rPr>
            </w:pPr>
            <w:r>
              <w:rPr>
                <w:rFonts w:hint="eastAsia" w:cs="宋体"/>
                <w:b w:val="0"/>
                <w:bCs/>
                <w:kern w:val="0"/>
                <w:sz w:val="22"/>
                <w:szCs w:val="22"/>
                <w:lang w:val="zh-CN" w:eastAsia="zh-CN" w:bidi="zh-CN"/>
              </w:rPr>
              <w:t>审</w:t>
            </w:r>
            <w:r>
              <w:rPr>
                <w:rFonts w:hint="eastAsia" w:ascii="仿宋" w:hAnsi="仿宋" w:eastAsia="仿宋" w:cs="宋体"/>
                <w:b w:val="0"/>
                <w:bCs/>
                <w:kern w:val="0"/>
                <w:sz w:val="22"/>
                <w:szCs w:val="22"/>
                <w:lang w:val="zh-CN" w:eastAsia="zh-CN" w:bidi="zh-CN"/>
              </w:rPr>
              <w:t>查内容</w:t>
            </w:r>
          </w:p>
        </w:tc>
        <w:tc>
          <w:tcPr>
            <w:tcW w:w="49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val="0"/>
                <w:bCs/>
                <w:kern w:val="0"/>
                <w:sz w:val="22"/>
                <w:szCs w:val="22"/>
              </w:rPr>
            </w:pPr>
            <w:r>
              <w:rPr>
                <w:rFonts w:hint="eastAsia" w:ascii="仿宋" w:hAnsi="仿宋" w:eastAsia="仿宋" w:cs="宋体"/>
                <w:b w:val="0"/>
                <w:bCs/>
                <w:kern w:val="0"/>
                <w:sz w:val="22"/>
                <w:szCs w:val="22"/>
              </w:rPr>
              <w:t>本项目要求</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63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58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90" w:hRule="atLeast"/>
        </w:trPr>
        <w:tc>
          <w:tcPr>
            <w:tcW w:w="385" w:type="dxa"/>
            <w:vMerge w:val="restart"/>
            <w:tcBorders>
              <w:top w:val="single" w:color="auto" w:sz="4" w:space="0"/>
              <w:left w:val="single" w:color="auto" w:sz="4" w:space="0"/>
              <w:right w:val="single" w:color="auto" w:sz="4" w:space="0"/>
            </w:tcBorders>
            <w:vAlign w:val="center"/>
          </w:tcPr>
          <w:p>
            <w:pPr>
              <w:widowControl/>
              <w:jc w:val="left"/>
              <w:rPr>
                <w:rFonts w:hint="default" w:cs="宋体"/>
                <w:b w:val="0"/>
                <w:bCs/>
                <w:kern w:val="0"/>
                <w:sz w:val="22"/>
                <w:szCs w:val="22"/>
                <w:lang w:val="en-US" w:eastAsia="zh-CN"/>
              </w:rPr>
            </w:pPr>
            <w:r>
              <w:rPr>
                <w:rFonts w:hint="eastAsia" w:cs="宋体"/>
                <w:b w:val="0"/>
                <w:bCs/>
                <w:kern w:val="0"/>
                <w:sz w:val="22"/>
                <w:szCs w:val="22"/>
                <w:lang w:val="en-US" w:eastAsia="zh-CN"/>
              </w:rPr>
              <w:t>1</w:t>
            </w:r>
          </w:p>
        </w:tc>
        <w:tc>
          <w:tcPr>
            <w:tcW w:w="2521" w:type="dxa"/>
            <w:vMerge w:val="restart"/>
            <w:tcBorders>
              <w:top w:val="single" w:color="auto" w:sz="4" w:space="0"/>
              <w:left w:val="single" w:color="auto" w:sz="4" w:space="0"/>
              <w:right w:val="single" w:color="auto" w:sz="4" w:space="0"/>
            </w:tcBorders>
            <w:vAlign w:val="center"/>
          </w:tcPr>
          <w:p>
            <w:pPr>
              <w:widowControl/>
              <w:ind w:right="0" w:rightChars="0"/>
              <w:jc w:val="left"/>
              <w:rPr>
                <w:rFonts w:hint="eastAsia" w:cs="宋体"/>
                <w:b w:val="0"/>
                <w:bCs/>
                <w:kern w:val="0"/>
                <w:sz w:val="22"/>
                <w:szCs w:val="22"/>
                <w:lang w:val="zh-CN" w:eastAsia="zh-CN" w:bidi="zh-CN"/>
              </w:rPr>
            </w:pPr>
            <w:r>
              <w:rPr>
                <w:rFonts w:hint="eastAsia" w:cs="宋体"/>
                <w:b w:val="0"/>
                <w:bCs/>
                <w:kern w:val="0"/>
                <w:sz w:val="22"/>
                <w:szCs w:val="22"/>
                <w:lang w:val="zh-CN" w:eastAsia="zh-CN" w:bidi="zh-CN"/>
              </w:rPr>
              <w:t>《中华人民共和国政府采购法》第二十二条规定</w:t>
            </w:r>
          </w:p>
        </w:tc>
        <w:tc>
          <w:tcPr>
            <w:tcW w:w="49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both"/>
              <w:rPr>
                <w:rFonts w:hint="eastAsia" w:ascii="仿宋" w:hAnsi="仿宋" w:eastAsia="仿宋" w:cs="宋体"/>
                <w:kern w:val="0"/>
                <w:sz w:val="22"/>
                <w:szCs w:val="22"/>
                <w:lang w:val="zh-CN" w:eastAsia="zh-CN" w:bidi="zh-CN"/>
              </w:rPr>
            </w:pPr>
            <w:r>
              <w:rPr>
                <w:rFonts w:hint="eastAsia" w:ascii="仿宋" w:hAnsi="仿宋" w:eastAsia="仿宋" w:cs="宋体"/>
                <w:kern w:val="0"/>
                <w:sz w:val="22"/>
                <w:szCs w:val="22"/>
                <w:lang w:val="en-US" w:eastAsia="zh-CN" w:bidi="zh-CN"/>
              </w:rPr>
              <w:t>供应商需提供法定代表人身份证明及身份 证或法定代表人授权委托书及委托代理人的身份证并在相应位置加盖公章</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63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58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130" w:hRule="atLeast"/>
        </w:trPr>
        <w:tc>
          <w:tcPr>
            <w:tcW w:w="385" w:type="dxa"/>
            <w:vMerge w:val="continue"/>
            <w:tcBorders>
              <w:left w:val="single" w:color="auto" w:sz="4" w:space="0"/>
              <w:right w:val="single" w:color="auto" w:sz="4" w:space="0"/>
            </w:tcBorders>
            <w:vAlign w:val="center"/>
          </w:tcPr>
          <w:p>
            <w:pPr>
              <w:widowControl/>
              <w:jc w:val="left"/>
              <w:rPr>
                <w:rFonts w:hint="eastAsia" w:cs="宋体"/>
                <w:b w:val="0"/>
                <w:bCs/>
                <w:kern w:val="0"/>
                <w:sz w:val="22"/>
                <w:szCs w:val="22"/>
                <w:lang w:val="en-US" w:eastAsia="zh-CN"/>
              </w:rPr>
            </w:pPr>
          </w:p>
        </w:tc>
        <w:tc>
          <w:tcPr>
            <w:tcW w:w="2521" w:type="dxa"/>
            <w:vMerge w:val="continue"/>
            <w:tcBorders>
              <w:left w:val="single" w:color="auto" w:sz="4" w:space="0"/>
              <w:right w:val="single" w:color="auto" w:sz="4" w:space="0"/>
            </w:tcBorders>
            <w:vAlign w:val="center"/>
          </w:tcPr>
          <w:p>
            <w:pPr>
              <w:widowControl/>
              <w:ind w:right="0" w:rightChars="0"/>
              <w:jc w:val="left"/>
              <w:rPr>
                <w:rFonts w:hint="eastAsia" w:cs="宋体"/>
                <w:b w:val="0"/>
                <w:bCs/>
                <w:kern w:val="0"/>
                <w:sz w:val="22"/>
                <w:szCs w:val="22"/>
                <w:lang w:val="zh-CN" w:eastAsia="zh-CN" w:bidi="zh-CN"/>
              </w:rPr>
            </w:pPr>
          </w:p>
        </w:tc>
        <w:tc>
          <w:tcPr>
            <w:tcW w:w="49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both"/>
              <w:rPr>
                <w:rFonts w:hint="eastAsia" w:ascii="仿宋" w:hAnsi="仿宋" w:eastAsia="仿宋" w:cs="宋体"/>
                <w:kern w:val="0"/>
                <w:sz w:val="22"/>
                <w:szCs w:val="22"/>
                <w:lang w:val="zh-CN" w:eastAsia="zh-CN" w:bidi="zh-CN"/>
              </w:rPr>
            </w:pPr>
            <w:r>
              <w:rPr>
                <w:rFonts w:hint="eastAsia" w:ascii="仿宋" w:hAnsi="仿宋" w:eastAsia="仿宋" w:cs="宋体"/>
                <w:kern w:val="0"/>
                <w:sz w:val="22"/>
                <w:szCs w:val="22"/>
                <w:lang w:val="en-US" w:eastAsia="zh-CN" w:bidi="zh-CN"/>
              </w:rPr>
              <w:t>提供会计事务所出具的近一年度的财务审计报告或财务报表（2020 年或 2021 年）</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63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58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200" w:hRule="atLeast"/>
        </w:trPr>
        <w:tc>
          <w:tcPr>
            <w:tcW w:w="385" w:type="dxa"/>
            <w:vMerge w:val="continue"/>
            <w:tcBorders>
              <w:left w:val="single" w:color="auto" w:sz="4" w:space="0"/>
              <w:bottom w:val="single" w:color="auto" w:sz="4" w:space="0"/>
              <w:right w:val="single" w:color="auto" w:sz="4" w:space="0"/>
            </w:tcBorders>
            <w:vAlign w:val="center"/>
          </w:tcPr>
          <w:p>
            <w:pPr>
              <w:widowControl/>
              <w:jc w:val="left"/>
              <w:rPr>
                <w:rFonts w:hint="eastAsia" w:cs="宋体"/>
                <w:b w:val="0"/>
                <w:bCs/>
                <w:kern w:val="0"/>
                <w:sz w:val="22"/>
                <w:szCs w:val="22"/>
                <w:lang w:val="en-US" w:eastAsia="zh-CN"/>
              </w:rPr>
            </w:pPr>
          </w:p>
        </w:tc>
        <w:tc>
          <w:tcPr>
            <w:tcW w:w="2521" w:type="dxa"/>
            <w:vMerge w:val="continue"/>
            <w:tcBorders>
              <w:left w:val="single" w:color="auto" w:sz="4" w:space="0"/>
              <w:bottom w:val="single" w:color="auto" w:sz="4" w:space="0"/>
              <w:right w:val="single" w:color="auto" w:sz="4" w:space="0"/>
            </w:tcBorders>
            <w:vAlign w:val="center"/>
          </w:tcPr>
          <w:p>
            <w:pPr>
              <w:widowControl/>
              <w:ind w:right="0" w:rightChars="0"/>
              <w:jc w:val="left"/>
              <w:rPr>
                <w:rFonts w:hint="eastAsia" w:cs="宋体"/>
                <w:b w:val="0"/>
                <w:bCs/>
                <w:kern w:val="0"/>
                <w:sz w:val="22"/>
                <w:szCs w:val="22"/>
                <w:lang w:val="zh-CN" w:eastAsia="zh-CN" w:bidi="zh-CN"/>
              </w:rPr>
            </w:pPr>
          </w:p>
        </w:tc>
        <w:tc>
          <w:tcPr>
            <w:tcW w:w="49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both"/>
              <w:rPr>
                <w:rFonts w:hint="eastAsia" w:ascii="仿宋" w:hAnsi="仿宋" w:eastAsia="仿宋" w:cs="宋体"/>
                <w:kern w:val="0"/>
                <w:sz w:val="22"/>
                <w:szCs w:val="22"/>
                <w:lang w:val="zh-CN" w:eastAsia="zh-CN" w:bidi="zh-CN"/>
              </w:rPr>
            </w:pPr>
            <w:r>
              <w:rPr>
                <w:rFonts w:hint="eastAsia" w:ascii="仿宋" w:hAnsi="仿宋" w:eastAsia="仿宋" w:cs="宋体"/>
                <w:kern w:val="0"/>
                <w:sz w:val="22"/>
                <w:szCs w:val="22"/>
                <w:lang w:val="en-US" w:eastAsia="zh-CN" w:bidi="zh-CN"/>
              </w:rPr>
              <w:t>具有履行合同所必需的货物和专业技术能力的声明函</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63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58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179" w:hRule="atLeast"/>
        </w:trPr>
        <w:tc>
          <w:tcPr>
            <w:tcW w:w="385" w:type="dxa"/>
            <w:vMerge w:val="continue"/>
            <w:tcBorders>
              <w:left w:val="single" w:color="auto" w:sz="4" w:space="0"/>
              <w:bottom w:val="single" w:color="auto" w:sz="4" w:space="0"/>
              <w:right w:val="single" w:color="auto" w:sz="4" w:space="0"/>
            </w:tcBorders>
            <w:vAlign w:val="center"/>
          </w:tcPr>
          <w:p>
            <w:pPr>
              <w:widowControl/>
              <w:jc w:val="left"/>
              <w:rPr>
                <w:rFonts w:hint="eastAsia" w:cs="宋体"/>
                <w:b w:val="0"/>
                <w:bCs/>
                <w:kern w:val="0"/>
                <w:sz w:val="22"/>
                <w:szCs w:val="22"/>
                <w:lang w:val="en-US" w:eastAsia="zh-CN"/>
              </w:rPr>
            </w:pPr>
          </w:p>
        </w:tc>
        <w:tc>
          <w:tcPr>
            <w:tcW w:w="2521" w:type="dxa"/>
            <w:vMerge w:val="continue"/>
            <w:tcBorders>
              <w:left w:val="single" w:color="auto" w:sz="4" w:space="0"/>
              <w:bottom w:val="single" w:color="auto" w:sz="4" w:space="0"/>
              <w:right w:val="single" w:color="auto" w:sz="4" w:space="0"/>
            </w:tcBorders>
            <w:vAlign w:val="center"/>
          </w:tcPr>
          <w:p>
            <w:pPr>
              <w:widowControl/>
              <w:ind w:right="0" w:rightChars="0"/>
              <w:jc w:val="left"/>
              <w:rPr>
                <w:rFonts w:hint="eastAsia" w:cs="宋体"/>
                <w:b w:val="0"/>
                <w:bCs/>
                <w:kern w:val="0"/>
                <w:sz w:val="22"/>
                <w:szCs w:val="22"/>
                <w:lang w:val="zh-CN" w:eastAsia="zh-CN" w:bidi="zh-CN"/>
              </w:rPr>
            </w:pPr>
          </w:p>
        </w:tc>
        <w:tc>
          <w:tcPr>
            <w:tcW w:w="49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both"/>
              <w:rPr>
                <w:rFonts w:hint="eastAsia" w:ascii="仿宋" w:hAnsi="仿宋" w:eastAsia="仿宋" w:cs="宋体"/>
                <w:kern w:val="0"/>
                <w:sz w:val="22"/>
                <w:szCs w:val="22"/>
                <w:lang w:val="zh-CN" w:eastAsia="zh-CN" w:bidi="zh-CN"/>
              </w:rPr>
            </w:pPr>
            <w:r>
              <w:rPr>
                <w:rFonts w:hint="eastAsia" w:ascii="仿宋" w:hAnsi="仿宋" w:eastAsia="仿宋" w:cs="宋体"/>
                <w:kern w:val="0"/>
                <w:sz w:val="22"/>
                <w:szCs w:val="22"/>
                <w:lang w:val="en-US" w:eastAsia="zh-CN" w:bidi="zh-CN"/>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cs="宋体"/>
                <w:kern w:val="0"/>
                <w:sz w:val="22"/>
                <w:szCs w:val="22"/>
                <w:lang w:val="en-US" w:eastAsia="zh-CN" w:bidi="zh-CN"/>
              </w:rPr>
              <w:t>）</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63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585" w:type="dxa"/>
            <w:vMerge w:val="restart"/>
            <w:tcBorders>
              <w:top w:val="single" w:color="auto" w:sz="4" w:space="0"/>
              <w:left w:val="nil"/>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146" w:hRule="atLeast"/>
        </w:trPr>
        <w:tc>
          <w:tcPr>
            <w:tcW w:w="385" w:type="dxa"/>
            <w:vMerge w:val="continue"/>
            <w:tcBorders>
              <w:left w:val="single" w:color="auto" w:sz="4" w:space="0"/>
              <w:bottom w:val="single" w:color="auto" w:sz="4" w:space="0"/>
              <w:right w:val="single" w:color="auto" w:sz="4" w:space="0"/>
            </w:tcBorders>
            <w:vAlign w:val="center"/>
          </w:tcPr>
          <w:p>
            <w:pPr>
              <w:widowControl/>
              <w:jc w:val="left"/>
              <w:rPr>
                <w:rFonts w:hint="eastAsia" w:cs="宋体"/>
                <w:b w:val="0"/>
                <w:bCs/>
                <w:kern w:val="0"/>
                <w:sz w:val="22"/>
                <w:szCs w:val="22"/>
                <w:lang w:val="en-US" w:eastAsia="zh-CN"/>
              </w:rPr>
            </w:pPr>
          </w:p>
        </w:tc>
        <w:tc>
          <w:tcPr>
            <w:tcW w:w="2521" w:type="dxa"/>
            <w:vMerge w:val="continue"/>
            <w:tcBorders>
              <w:left w:val="single" w:color="auto" w:sz="4" w:space="0"/>
              <w:bottom w:val="single" w:color="auto" w:sz="4" w:space="0"/>
              <w:right w:val="single" w:color="auto" w:sz="4" w:space="0"/>
            </w:tcBorders>
            <w:vAlign w:val="center"/>
          </w:tcPr>
          <w:p>
            <w:pPr>
              <w:widowControl/>
              <w:ind w:right="0" w:rightChars="0"/>
              <w:jc w:val="left"/>
              <w:rPr>
                <w:rFonts w:hint="eastAsia" w:cs="宋体"/>
                <w:b w:val="0"/>
                <w:bCs/>
                <w:kern w:val="0"/>
                <w:sz w:val="22"/>
                <w:szCs w:val="22"/>
                <w:lang w:val="zh-CN" w:eastAsia="zh-CN" w:bidi="zh-CN"/>
              </w:rPr>
            </w:pPr>
          </w:p>
        </w:tc>
        <w:tc>
          <w:tcPr>
            <w:tcW w:w="49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both"/>
              <w:rPr>
                <w:rFonts w:hint="eastAsia" w:ascii="仿宋" w:hAnsi="仿宋" w:eastAsia="仿宋" w:cs="宋体"/>
                <w:kern w:val="0"/>
                <w:sz w:val="22"/>
                <w:szCs w:val="22"/>
                <w:lang w:val="zh-CN" w:eastAsia="zh-CN" w:bidi="zh-CN"/>
              </w:rPr>
            </w:pPr>
            <w:r>
              <w:rPr>
                <w:rFonts w:hint="eastAsia" w:ascii="仿宋" w:hAnsi="仿宋" w:eastAsia="仿宋" w:cs="宋体"/>
                <w:kern w:val="0"/>
                <w:sz w:val="22"/>
                <w:szCs w:val="22"/>
                <w:lang w:val="en-US" w:eastAsia="zh-CN" w:bidi="zh-CN"/>
              </w:rPr>
              <w:t>投标人须提供“信用中国”网站（WWW.creditchina.gov.cn）、中国政府采购网（www.ccgp.gov.cn）、国家企业信用信息公示系统（http://www.gsxt.gov.cn）、中国裁判文书网 （http://wenshu.court.gov.cn）的查询结果，如被列入失信被执行人、重大税收违法案件当事人名单、政府采购严重违法失信行为记录名</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63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585" w:type="dxa"/>
            <w:vMerge w:val="continue"/>
            <w:tcBorders>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385"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center"/>
              <w:rPr>
                <w:rFonts w:hint="eastAsia" w:ascii="仿宋" w:hAnsi="仿宋" w:eastAsia="仿宋" w:cs="宋体"/>
                <w:kern w:val="0"/>
                <w:sz w:val="22"/>
                <w:szCs w:val="22"/>
                <w:lang w:val="en-US" w:eastAsia="zh-CN"/>
              </w:rPr>
            </w:pPr>
            <w:r>
              <w:rPr>
                <w:rFonts w:hint="eastAsia" w:cs="宋体"/>
                <w:kern w:val="0"/>
                <w:sz w:val="22"/>
                <w:szCs w:val="22"/>
                <w:lang w:val="en-US" w:eastAsia="zh-CN"/>
              </w:rPr>
              <w:t>2</w:t>
            </w:r>
          </w:p>
        </w:tc>
        <w:tc>
          <w:tcPr>
            <w:tcW w:w="2521"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center"/>
              <w:rPr>
                <w:rFonts w:hint="eastAsia" w:ascii="仿宋" w:hAnsi="仿宋" w:eastAsia="仿宋" w:cs="宋体"/>
                <w:kern w:val="0"/>
                <w:sz w:val="22"/>
                <w:szCs w:val="22"/>
                <w:lang w:val="zh-CN" w:eastAsia="zh-CN" w:bidi="zh-CN"/>
              </w:rPr>
            </w:pPr>
            <w:r>
              <w:rPr>
                <w:rFonts w:hint="eastAsia" w:cs="宋体"/>
                <w:kern w:val="0"/>
                <w:sz w:val="22"/>
                <w:szCs w:val="22"/>
                <w:lang w:val="zh-CN" w:eastAsia="zh-CN" w:bidi="zh-CN"/>
              </w:rPr>
              <w:t>营业执照</w:t>
            </w:r>
            <w:r>
              <w:rPr>
                <w:rFonts w:hint="eastAsia" w:ascii="仿宋" w:hAnsi="仿宋" w:eastAsia="仿宋" w:cs="宋体"/>
                <w:kern w:val="0"/>
                <w:sz w:val="22"/>
                <w:szCs w:val="22"/>
                <w:lang w:val="zh-CN" w:eastAsia="zh-CN" w:bidi="zh-CN"/>
              </w:rPr>
              <w:t xml:space="preserve"> </w:t>
            </w:r>
          </w:p>
        </w:tc>
        <w:tc>
          <w:tcPr>
            <w:tcW w:w="4949" w:type="dxa"/>
            <w:tcBorders>
              <w:top w:val="single" w:color="auto" w:sz="4" w:space="0"/>
              <w:left w:val="nil"/>
              <w:bottom w:val="single" w:color="auto" w:sz="4" w:space="0"/>
              <w:right w:val="single" w:color="auto" w:sz="4" w:space="0"/>
            </w:tcBorders>
            <w:vAlign w:val="center"/>
          </w:tcPr>
          <w:p>
            <w:pPr>
              <w:widowControl/>
              <w:spacing w:line="240" w:lineRule="auto"/>
              <w:jc w:val="both"/>
              <w:rPr>
                <w:rFonts w:hint="eastAsia" w:ascii="仿宋" w:hAnsi="仿宋" w:eastAsia="仿宋" w:cs="宋体"/>
                <w:kern w:val="0"/>
                <w:sz w:val="22"/>
                <w:szCs w:val="22"/>
                <w:lang w:val="en-US" w:eastAsia="zh-CN" w:bidi="zh-CN"/>
              </w:rPr>
            </w:pPr>
            <w:r>
              <w:rPr>
                <w:rFonts w:hint="eastAsia" w:ascii="仿宋" w:hAnsi="仿宋" w:eastAsia="仿宋" w:cs="宋体"/>
                <w:kern w:val="0"/>
                <w:sz w:val="22"/>
                <w:szCs w:val="22"/>
                <w:lang w:val="zh-CN" w:eastAsia="zh-CN" w:bidi="zh-CN"/>
              </w:rPr>
              <w:t>具备经市场监督管理局核准有效的营业执照（或事业单位法人证书）；</w:t>
            </w:r>
          </w:p>
        </w:tc>
        <w:tc>
          <w:tcPr>
            <w:tcW w:w="69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63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58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385"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center"/>
              <w:rPr>
                <w:rFonts w:hint="eastAsia" w:ascii="仿宋" w:hAnsi="仿宋" w:eastAsia="仿宋" w:cs="宋体"/>
                <w:kern w:val="0"/>
                <w:sz w:val="22"/>
                <w:szCs w:val="22"/>
                <w:lang w:val="en-US" w:eastAsia="zh-CN"/>
              </w:rPr>
            </w:pPr>
            <w:r>
              <w:rPr>
                <w:rFonts w:hint="eastAsia" w:cs="宋体"/>
                <w:kern w:val="0"/>
                <w:sz w:val="22"/>
                <w:szCs w:val="22"/>
                <w:lang w:val="en-US" w:eastAsia="zh-CN"/>
              </w:rPr>
              <w:t>3</w:t>
            </w:r>
          </w:p>
        </w:tc>
        <w:tc>
          <w:tcPr>
            <w:tcW w:w="2521"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center"/>
              <w:rPr>
                <w:rFonts w:ascii="仿宋" w:hAnsi="仿宋" w:eastAsia="仿宋" w:cs="宋体"/>
                <w:kern w:val="0"/>
                <w:sz w:val="22"/>
                <w:szCs w:val="22"/>
                <w:lang w:val="zh-CN" w:eastAsia="zh-CN" w:bidi="zh-CN"/>
              </w:rPr>
            </w:pPr>
            <w:r>
              <w:rPr>
                <w:rFonts w:hint="eastAsia" w:cs="宋体"/>
                <w:kern w:val="0"/>
                <w:sz w:val="22"/>
                <w:szCs w:val="22"/>
                <w:lang w:val="zh-CN" w:eastAsia="zh-CN" w:bidi="zh-CN"/>
              </w:rPr>
              <w:t>资质证书</w:t>
            </w:r>
          </w:p>
        </w:tc>
        <w:tc>
          <w:tcPr>
            <w:tcW w:w="4949" w:type="dxa"/>
            <w:tcBorders>
              <w:top w:val="single" w:color="auto" w:sz="4" w:space="0"/>
              <w:left w:val="nil"/>
              <w:bottom w:val="single" w:color="auto" w:sz="4" w:space="0"/>
              <w:right w:val="single" w:color="auto" w:sz="4" w:space="0"/>
            </w:tcBorders>
            <w:vAlign w:val="center"/>
          </w:tcPr>
          <w:p>
            <w:pPr>
              <w:pStyle w:val="6"/>
              <w:numPr>
                <w:ilvl w:val="0"/>
                <w:numId w:val="0"/>
              </w:numPr>
              <w:spacing w:before="0" w:after="0" w:line="240" w:lineRule="auto"/>
              <w:ind w:leftChars="0" w:right="0" w:rightChars="0"/>
              <w:rPr>
                <w:rFonts w:hint="eastAsia" w:ascii="仿宋" w:hAnsi="仿宋" w:eastAsia="仿宋" w:cs="宋体"/>
                <w:kern w:val="0"/>
                <w:sz w:val="22"/>
                <w:szCs w:val="22"/>
                <w:lang w:val="zh-CN" w:eastAsia="zh-CN" w:bidi="zh-CN"/>
              </w:rPr>
            </w:pPr>
            <w:r>
              <w:rPr>
                <w:rFonts w:hint="eastAsia" w:ascii="仿宋" w:hAnsi="仿宋" w:eastAsia="仿宋" w:cs="宋体"/>
                <w:kern w:val="0"/>
                <w:sz w:val="22"/>
                <w:szCs w:val="22"/>
                <w:lang w:val="en-US" w:eastAsia="zh-CN" w:bidi="zh-CN"/>
              </w:rPr>
              <w:t>投标单位需提供地质灾害治理工程勘查、设计乙级（含乙级）以上资质；</w:t>
            </w:r>
          </w:p>
        </w:tc>
        <w:tc>
          <w:tcPr>
            <w:tcW w:w="69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63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58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385"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center"/>
              <w:rPr>
                <w:rFonts w:hint="eastAsia" w:ascii="仿宋" w:hAnsi="仿宋" w:eastAsia="仿宋" w:cs="宋体"/>
                <w:kern w:val="0"/>
                <w:sz w:val="22"/>
                <w:szCs w:val="22"/>
                <w:lang w:val="en-US" w:eastAsia="zh-CN"/>
              </w:rPr>
            </w:pPr>
            <w:r>
              <w:rPr>
                <w:rFonts w:hint="eastAsia" w:cs="宋体"/>
                <w:kern w:val="0"/>
                <w:sz w:val="22"/>
                <w:szCs w:val="22"/>
                <w:lang w:val="en-US" w:eastAsia="zh-CN"/>
              </w:rPr>
              <w:t>4</w:t>
            </w:r>
          </w:p>
        </w:tc>
        <w:tc>
          <w:tcPr>
            <w:tcW w:w="2521"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center"/>
              <w:rPr>
                <w:rFonts w:hint="eastAsia" w:ascii="仿宋" w:hAnsi="仿宋" w:eastAsia="仿宋" w:cs="宋体"/>
                <w:kern w:val="0"/>
                <w:sz w:val="22"/>
                <w:szCs w:val="22"/>
                <w:lang w:val="en-US" w:eastAsia="zh-CN" w:bidi="zh-CN"/>
              </w:rPr>
            </w:pPr>
            <w:r>
              <w:rPr>
                <w:rFonts w:hint="eastAsia" w:cs="宋体"/>
                <w:kern w:val="0"/>
                <w:sz w:val="22"/>
                <w:szCs w:val="22"/>
                <w:lang w:val="en-US" w:eastAsia="zh-CN" w:bidi="zh-CN"/>
              </w:rPr>
              <w:t>授权委托书</w:t>
            </w:r>
          </w:p>
        </w:tc>
        <w:tc>
          <w:tcPr>
            <w:tcW w:w="4949" w:type="dxa"/>
            <w:tcBorders>
              <w:top w:val="single" w:color="auto" w:sz="4" w:space="0"/>
              <w:left w:val="nil"/>
              <w:bottom w:val="single" w:color="auto" w:sz="4" w:space="0"/>
              <w:right w:val="single" w:color="auto" w:sz="4" w:space="0"/>
            </w:tcBorders>
            <w:vAlign w:val="center"/>
          </w:tcPr>
          <w:p>
            <w:pPr>
              <w:pStyle w:val="6"/>
              <w:numPr>
                <w:ilvl w:val="0"/>
                <w:numId w:val="0"/>
              </w:numPr>
              <w:spacing w:before="0" w:after="0" w:line="240" w:lineRule="auto"/>
              <w:ind w:leftChars="0" w:right="0" w:rightChars="0"/>
              <w:rPr>
                <w:rFonts w:hint="eastAsia" w:ascii="仿宋" w:hAnsi="仿宋" w:eastAsia="仿宋" w:cs="宋体"/>
                <w:kern w:val="0"/>
                <w:sz w:val="22"/>
                <w:szCs w:val="22"/>
                <w:lang w:val="zh-CN" w:eastAsia="zh-CN" w:bidi="zh-CN"/>
              </w:rPr>
            </w:pPr>
            <w:r>
              <w:rPr>
                <w:rFonts w:hint="eastAsia" w:ascii="仿宋" w:hAnsi="仿宋" w:eastAsia="仿宋" w:cs="宋体"/>
                <w:kern w:val="0"/>
                <w:sz w:val="22"/>
                <w:szCs w:val="22"/>
                <w:lang w:val="en-US" w:eastAsia="zh-CN" w:bidi="zh-CN"/>
              </w:rPr>
              <w:t>由法人参标的需提供法人身份证明及法人身份证原件；或由委托人参标的需提供法定代表人授权委托书、委托人身份证（授权书需附法人身份证及委托人身份证复印件）；</w:t>
            </w:r>
          </w:p>
        </w:tc>
        <w:tc>
          <w:tcPr>
            <w:tcW w:w="69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63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58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3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2"/>
                <w:szCs w:val="22"/>
                <w:lang w:val="en-US" w:eastAsia="zh-CN"/>
              </w:rPr>
            </w:pPr>
            <w:r>
              <w:rPr>
                <w:rFonts w:hint="eastAsia" w:cs="宋体"/>
                <w:kern w:val="0"/>
                <w:sz w:val="22"/>
                <w:szCs w:val="22"/>
                <w:lang w:val="en-US" w:eastAsia="zh-CN"/>
              </w:rPr>
              <w:t>5</w:t>
            </w:r>
          </w:p>
        </w:tc>
        <w:tc>
          <w:tcPr>
            <w:tcW w:w="2521"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center"/>
              <w:rPr>
                <w:rFonts w:ascii="仿宋" w:hAnsi="仿宋" w:eastAsia="仿宋" w:cs="宋体"/>
                <w:kern w:val="0"/>
                <w:sz w:val="22"/>
                <w:szCs w:val="22"/>
                <w:lang w:val="zh-CN" w:eastAsia="zh-CN" w:bidi="zh-CN"/>
              </w:rPr>
            </w:pPr>
            <w:r>
              <w:rPr>
                <w:rFonts w:hint="eastAsia" w:cs="宋体"/>
                <w:kern w:val="0"/>
                <w:sz w:val="22"/>
                <w:szCs w:val="22"/>
                <w:lang w:val="zh-CN" w:eastAsia="zh-CN" w:bidi="zh-CN"/>
              </w:rPr>
              <w:t>投标保证金</w:t>
            </w:r>
          </w:p>
        </w:tc>
        <w:tc>
          <w:tcPr>
            <w:tcW w:w="4949" w:type="dxa"/>
            <w:tcBorders>
              <w:top w:val="single" w:color="auto" w:sz="4" w:space="0"/>
              <w:left w:val="nil"/>
              <w:bottom w:val="single" w:color="auto" w:sz="4" w:space="0"/>
              <w:right w:val="single" w:color="auto" w:sz="4" w:space="0"/>
            </w:tcBorders>
            <w:vAlign w:val="center"/>
          </w:tcPr>
          <w:p>
            <w:pPr>
              <w:widowControl/>
              <w:spacing w:line="240" w:lineRule="auto"/>
              <w:jc w:val="both"/>
              <w:rPr>
                <w:rFonts w:hint="eastAsia" w:ascii="仿宋" w:hAnsi="仿宋" w:eastAsia="仿宋" w:cs="宋体"/>
                <w:kern w:val="0"/>
                <w:sz w:val="22"/>
                <w:szCs w:val="22"/>
                <w:lang w:val="zh-CN" w:eastAsia="zh-CN" w:bidi="zh-CN"/>
              </w:rPr>
            </w:pPr>
            <w:r>
              <w:rPr>
                <w:rFonts w:hint="eastAsia" w:ascii="仿宋" w:hAnsi="仿宋" w:eastAsia="仿宋" w:cs="宋体"/>
                <w:kern w:val="0"/>
                <w:sz w:val="22"/>
                <w:szCs w:val="22"/>
                <w:lang w:val="zh-CN" w:eastAsia="zh-CN" w:bidi="zh-CN"/>
              </w:rPr>
              <w:t>投标保证金缴纳凭证</w:t>
            </w:r>
          </w:p>
        </w:tc>
        <w:tc>
          <w:tcPr>
            <w:tcW w:w="69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63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58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700" w:hRule="atLeast"/>
        </w:trPr>
        <w:tc>
          <w:tcPr>
            <w:tcW w:w="785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69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63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585" w:type="dxa"/>
            <w:tcBorders>
              <w:top w:val="single" w:color="auto" w:sz="4" w:space="0"/>
              <w:left w:val="nil"/>
              <w:bottom w:val="single" w:color="auto" w:sz="4" w:space="0"/>
              <w:right w:val="single" w:color="auto" w:sz="4" w:space="0"/>
            </w:tcBorders>
            <w:vAlign w:val="center"/>
          </w:tcPr>
          <w:p>
            <w:pPr>
              <w:widowControl/>
              <w:ind w:right="187" w:rightChars="85"/>
              <w:jc w:val="center"/>
              <w:rPr>
                <w:rFonts w:ascii="仿宋" w:hAnsi="仿宋" w:eastAsia="仿宋" w:cs="宋体"/>
                <w:kern w:val="0"/>
                <w:sz w:val="22"/>
                <w:szCs w:val="22"/>
              </w:rPr>
            </w:pPr>
          </w:p>
        </w:tc>
      </w:tr>
    </w:tbl>
    <w:p>
      <w:pPr>
        <w:pStyle w:val="10"/>
        <w:spacing w:before="4"/>
        <w:ind w:firstLine="500" w:firstLineChars="200"/>
        <w:rPr>
          <w:rFonts w:hint="default" w:ascii="楷体"/>
          <w:color w:val="auto"/>
          <w:sz w:val="25"/>
          <w:lang w:val="en-US" w:eastAsia="zh-CN"/>
        </w:rPr>
      </w:pPr>
    </w:p>
    <w:p>
      <w:pPr>
        <w:pStyle w:val="8"/>
        <w:ind w:firstLine="480"/>
        <w:rPr>
          <w:rFonts w:hAnsi="宋体"/>
          <w:color w:val="000000"/>
        </w:rPr>
      </w:pPr>
      <w:r>
        <w:rPr>
          <w:rFonts w:hint="eastAsia" w:hAnsi="宋体"/>
          <w:color w:val="000000"/>
        </w:rPr>
        <w:t>备注：</w:t>
      </w:r>
    </w:p>
    <w:p>
      <w:pPr>
        <w:pStyle w:val="8"/>
        <w:ind w:firstLine="480"/>
        <w:rPr>
          <w:rFonts w:hAnsi="宋体"/>
          <w:color w:val="000000"/>
        </w:rPr>
      </w:pPr>
      <w:r>
        <w:rPr>
          <w:rFonts w:hint="eastAsia" w:hAnsi="宋体"/>
          <w:color w:val="000000"/>
        </w:rPr>
        <w:t>本表由评审小组</w:t>
      </w:r>
      <w:r>
        <w:rPr>
          <w:rFonts w:hint="eastAsia" w:hAnsi="宋体"/>
          <w:color w:val="000000"/>
          <w:lang w:eastAsia="zh-CN"/>
        </w:rPr>
        <w:t>组长</w:t>
      </w:r>
      <w:r>
        <w:rPr>
          <w:rFonts w:hint="eastAsia" w:hAnsi="宋体"/>
          <w:color w:val="000000"/>
        </w:rPr>
        <w:t>填写；</w:t>
      </w:r>
    </w:p>
    <w:p>
      <w:pPr>
        <w:pStyle w:val="8"/>
        <w:ind w:firstLine="480"/>
        <w:rPr>
          <w:rFonts w:hAnsi="宋体"/>
          <w:color w:val="000000"/>
        </w:rPr>
      </w:pPr>
      <w:r>
        <w:rPr>
          <w:rFonts w:hAnsi="宋体"/>
          <w:color w:val="000000"/>
        </w:rPr>
        <w:t>每一项目符合的打“</w:t>
      </w:r>
      <w:r>
        <w:rPr>
          <w:rFonts w:hint="eastAsia" w:hAnsi="宋体"/>
          <w:color w:val="000000"/>
        </w:rPr>
        <w:t>√</w:t>
      </w:r>
      <w:r>
        <w:rPr>
          <w:rFonts w:hAnsi="宋体"/>
          <w:color w:val="000000"/>
        </w:rPr>
        <w:t>”</w:t>
      </w:r>
      <w:r>
        <w:rPr>
          <w:rFonts w:hint="eastAsia" w:hAnsi="宋体"/>
          <w:color w:val="000000"/>
        </w:rPr>
        <w:t>；</w:t>
      </w:r>
      <w:r>
        <w:rPr>
          <w:rFonts w:hAnsi="宋体"/>
          <w:color w:val="000000"/>
        </w:rPr>
        <w:t>不符合的打“×”</w:t>
      </w:r>
      <w:r>
        <w:rPr>
          <w:rFonts w:hint="eastAsia" w:hAnsi="宋体"/>
          <w:color w:val="000000"/>
        </w:rPr>
        <w:t>，并注明不符合的具体内容</w:t>
      </w:r>
      <w:r>
        <w:rPr>
          <w:rFonts w:hAnsi="宋体"/>
          <w:color w:val="000000"/>
        </w:rPr>
        <w:t>；出现一个“×”的</w:t>
      </w:r>
      <w:r>
        <w:rPr>
          <w:rFonts w:hint="eastAsia" w:hAnsi="宋体"/>
          <w:color w:val="000000"/>
        </w:rPr>
        <w:t>审查</w:t>
      </w:r>
      <w:r>
        <w:rPr>
          <w:rFonts w:hAnsi="宋体"/>
          <w:color w:val="000000"/>
        </w:rPr>
        <w:t>结论为不通过</w:t>
      </w:r>
      <w:r>
        <w:rPr>
          <w:rFonts w:hint="eastAsia" w:hAnsi="宋体"/>
          <w:color w:val="000000"/>
        </w:rPr>
        <w:t>；</w:t>
      </w:r>
    </w:p>
    <w:p>
      <w:pPr>
        <w:pStyle w:val="8"/>
        <w:ind w:firstLine="480"/>
        <w:rPr>
          <w:rFonts w:hAnsi="宋体"/>
          <w:color w:val="000000"/>
        </w:rPr>
      </w:pPr>
      <w:r>
        <w:rPr>
          <w:rFonts w:hint="eastAsia" w:hAnsi="宋体"/>
          <w:color w:val="000000"/>
        </w:rPr>
        <w:t>审查</w:t>
      </w:r>
      <w:r>
        <w:rPr>
          <w:rFonts w:hAnsi="宋体"/>
          <w:color w:val="000000"/>
        </w:rPr>
        <w:t>结论一栏填写“</w:t>
      </w:r>
      <w:r>
        <w:rPr>
          <w:rFonts w:hint="eastAsia" w:hAnsi="宋体"/>
          <w:color w:val="000000"/>
        </w:rPr>
        <w:t>是</w:t>
      </w:r>
      <w:r>
        <w:rPr>
          <w:rFonts w:hAnsi="宋体"/>
          <w:color w:val="000000"/>
        </w:rPr>
        <w:t>”或“</w:t>
      </w:r>
      <w:r>
        <w:rPr>
          <w:rFonts w:hint="eastAsia" w:hAnsi="宋体"/>
          <w:color w:val="000000"/>
        </w:rPr>
        <w:t>否</w:t>
      </w:r>
      <w:r>
        <w:rPr>
          <w:rFonts w:hAnsi="宋体"/>
          <w:color w:val="000000"/>
        </w:rPr>
        <w:t>”。</w:t>
      </w:r>
    </w:p>
    <w:p>
      <w:pPr>
        <w:pStyle w:val="8"/>
        <w:ind w:firstLine="480"/>
        <w:rPr>
          <w:rFonts w:hint="eastAsia" w:hAnsi="宋体"/>
          <w:color w:val="000000"/>
        </w:rPr>
      </w:pPr>
      <w:r>
        <w:rPr>
          <w:rFonts w:hint="eastAsia" w:hAnsi="宋体"/>
          <w:color w:val="000000"/>
          <w:lang w:eastAsia="zh-CN"/>
        </w:rPr>
        <w:t>任何一条</w:t>
      </w:r>
      <w:r>
        <w:rPr>
          <w:rFonts w:hint="eastAsia" w:hAnsi="宋体"/>
          <w:color w:val="000000"/>
        </w:rPr>
        <w:t>结论是“否”的投标人不能进入下一轮评标。</w:t>
      </w:r>
    </w:p>
    <w:p>
      <w:pPr>
        <w:rPr>
          <w:rFonts w:hint="eastAsia"/>
        </w:rPr>
      </w:pPr>
    </w:p>
    <w:p/>
    <w:tbl>
      <w:tblPr>
        <w:tblStyle w:val="23"/>
        <w:tblW w:w="9760" w:type="dxa"/>
        <w:tblInd w:w="0" w:type="dxa"/>
        <w:tblLayout w:type="fixed"/>
        <w:tblCellMar>
          <w:top w:w="0" w:type="dxa"/>
          <w:left w:w="108" w:type="dxa"/>
          <w:bottom w:w="0" w:type="dxa"/>
          <w:right w:w="108" w:type="dxa"/>
        </w:tblCellMar>
      </w:tblPr>
      <w:tblGrid>
        <w:gridCol w:w="488"/>
        <w:gridCol w:w="2418"/>
        <w:gridCol w:w="4949"/>
        <w:gridCol w:w="690"/>
        <w:gridCol w:w="630"/>
        <w:gridCol w:w="585"/>
      </w:tblGrid>
      <w:tr>
        <w:tblPrEx>
          <w:tblCellMar>
            <w:top w:w="0" w:type="dxa"/>
            <w:left w:w="108" w:type="dxa"/>
            <w:bottom w:w="0" w:type="dxa"/>
            <w:right w:w="108" w:type="dxa"/>
          </w:tblCellMar>
        </w:tblPrEx>
        <w:trPr>
          <w:trHeight w:val="680" w:hRule="atLeast"/>
        </w:trPr>
        <w:tc>
          <w:tcPr>
            <w:tcW w:w="9760" w:type="dxa"/>
            <w:gridSpan w:val="6"/>
            <w:tcBorders>
              <w:top w:val="single" w:color="auto" w:sz="4" w:space="0"/>
              <w:left w:val="single" w:color="auto" w:sz="4" w:space="0"/>
              <w:bottom w:val="single" w:color="auto" w:sz="4" w:space="0"/>
              <w:right w:val="single" w:color="auto" w:sz="4" w:space="0"/>
            </w:tcBorders>
            <w:vAlign w:val="center"/>
          </w:tcPr>
          <w:p>
            <w:pPr>
              <w:widowControl/>
              <w:ind w:firstLine="3915" w:firstLineChars="1300"/>
              <w:jc w:val="both"/>
              <w:rPr>
                <w:rFonts w:hint="eastAsia" w:ascii="仿宋" w:hAnsi="仿宋" w:eastAsia="仿宋" w:cs="宋体"/>
                <w:b/>
                <w:kern w:val="0"/>
                <w:sz w:val="22"/>
                <w:szCs w:val="22"/>
                <w:lang w:eastAsia="zh-CN"/>
              </w:rPr>
            </w:pPr>
            <w:r>
              <w:rPr>
                <w:rFonts w:hint="eastAsia" w:cs="宋体"/>
                <w:b/>
                <w:kern w:val="0"/>
                <w:sz w:val="30"/>
                <w:szCs w:val="30"/>
                <w:lang w:eastAsia="zh-CN"/>
              </w:rPr>
              <w:t>符合性审查表</w:t>
            </w:r>
          </w:p>
        </w:tc>
      </w:tr>
      <w:tr>
        <w:tblPrEx>
          <w:tblCellMar>
            <w:top w:w="0" w:type="dxa"/>
            <w:left w:w="108" w:type="dxa"/>
            <w:bottom w:w="0" w:type="dxa"/>
            <w:right w:w="108" w:type="dxa"/>
          </w:tblCellMar>
        </w:tblPrEx>
        <w:trPr>
          <w:trHeight w:val="248" w:hRule="atLeast"/>
        </w:trPr>
        <w:tc>
          <w:tcPr>
            <w:tcW w:w="7855" w:type="dxa"/>
            <w:gridSpan w:val="3"/>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center"/>
              <w:rPr>
                <w:rFonts w:hint="eastAsia" w:ascii="仿宋" w:hAnsi="仿宋" w:eastAsia="仿宋" w:cs="宋体"/>
                <w:b w:val="0"/>
                <w:bCs/>
                <w:kern w:val="0"/>
                <w:sz w:val="22"/>
                <w:szCs w:val="22"/>
              </w:rPr>
            </w:pPr>
            <w:r>
              <w:rPr>
                <w:rFonts w:hint="eastAsia" w:ascii="仿宋" w:hAnsi="仿宋" w:eastAsia="仿宋" w:cs="宋体"/>
                <w:b w:val="0"/>
                <w:bCs/>
                <w:kern w:val="0"/>
                <w:sz w:val="22"/>
                <w:szCs w:val="22"/>
              </w:rPr>
              <w:t>审查事项</w:t>
            </w:r>
          </w:p>
        </w:tc>
        <w:tc>
          <w:tcPr>
            <w:tcW w:w="1905" w:type="dxa"/>
            <w:gridSpan w:val="3"/>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center"/>
              <w:rPr>
                <w:rFonts w:hint="eastAsia" w:ascii="仿宋" w:hAnsi="仿宋" w:eastAsia="仿宋" w:cs="宋体"/>
                <w:b w:val="0"/>
                <w:bCs/>
                <w:kern w:val="0"/>
                <w:sz w:val="22"/>
                <w:szCs w:val="22"/>
              </w:rPr>
            </w:pPr>
            <w:r>
              <w:rPr>
                <w:rFonts w:hint="eastAsia" w:ascii="仿宋" w:hAnsi="仿宋" w:eastAsia="仿宋" w:cs="宋体"/>
                <w:b w:val="0"/>
                <w:bCs/>
                <w:kern w:val="0"/>
                <w:sz w:val="22"/>
                <w:szCs w:val="22"/>
              </w:rPr>
              <w:t>投标人名称及审查情况</w:t>
            </w:r>
          </w:p>
        </w:tc>
      </w:tr>
      <w:tr>
        <w:tblPrEx>
          <w:tblCellMar>
            <w:top w:w="0" w:type="dxa"/>
            <w:left w:w="108" w:type="dxa"/>
            <w:bottom w:w="0" w:type="dxa"/>
            <w:right w:w="108" w:type="dxa"/>
          </w:tblCellMar>
        </w:tblPrEx>
        <w:trPr>
          <w:trHeight w:val="763" w:hRule="atLeast"/>
        </w:trPr>
        <w:tc>
          <w:tcPr>
            <w:tcW w:w="48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b w:val="0"/>
                <w:bCs/>
                <w:kern w:val="0"/>
                <w:sz w:val="22"/>
                <w:szCs w:val="22"/>
                <w:lang w:eastAsia="zh-CN"/>
              </w:rPr>
            </w:pPr>
            <w:r>
              <w:rPr>
                <w:rFonts w:hint="eastAsia" w:cs="宋体"/>
                <w:b w:val="0"/>
                <w:bCs/>
                <w:kern w:val="0"/>
                <w:sz w:val="22"/>
                <w:szCs w:val="22"/>
                <w:lang w:eastAsia="zh-CN"/>
              </w:rPr>
              <w:t>序号</w:t>
            </w:r>
          </w:p>
        </w:tc>
        <w:tc>
          <w:tcPr>
            <w:tcW w:w="2418"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firstLine="220" w:firstLineChars="100"/>
              <w:jc w:val="left"/>
              <w:rPr>
                <w:rFonts w:hint="eastAsia" w:ascii="仿宋" w:hAnsi="仿宋" w:eastAsia="仿宋" w:cs="宋体"/>
                <w:kern w:val="0"/>
                <w:sz w:val="22"/>
                <w:szCs w:val="22"/>
                <w:lang w:val="zh-CN" w:eastAsia="zh-CN"/>
              </w:rPr>
            </w:pPr>
            <w:r>
              <w:rPr>
                <w:rFonts w:hint="eastAsia" w:cs="宋体"/>
                <w:kern w:val="0"/>
                <w:sz w:val="22"/>
                <w:szCs w:val="22"/>
                <w:lang w:eastAsia="zh-CN"/>
              </w:rPr>
              <w:t>审查内容</w:t>
            </w:r>
          </w:p>
        </w:tc>
        <w:tc>
          <w:tcPr>
            <w:tcW w:w="4949"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firstLine="1980" w:firstLineChars="900"/>
              <w:jc w:val="left"/>
              <w:rPr>
                <w:rFonts w:hint="eastAsia" w:ascii="仿宋" w:hAnsi="仿宋" w:eastAsia="仿宋" w:cs="宋体"/>
                <w:kern w:val="0"/>
                <w:sz w:val="22"/>
                <w:szCs w:val="22"/>
              </w:rPr>
            </w:pPr>
            <w:r>
              <w:rPr>
                <w:rFonts w:hint="eastAsia" w:ascii="仿宋" w:hAnsi="仿宋" w:eastAsia="仿宋" w:cs="宋体"/>
                <w:kern w:val="0"/>
                <w:sz w:val="22"/>
                <w:szCs w:val="22"/>
              </w:rPr>
              <w:t>本项目要求</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63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58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4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lang w:val="en-US" w:eastAsia="zh-CN"/>
              </w:rPr>
            </w:pPr>
            <w:r>
              <w:rPr>
                <w:rFonts w:hint="eastAsia" w:cs="宋体"/>
                <w:kern w:val="0"/>
                <w:sz w:val="22"/>
                <w:szCs w:val="22"/>
                <w:lang w:val="en-US" w:eastAsia="zh-CN"/>
              </w:rPr>
              <w:t>1</w:t>
            </w:r>
          </w:p>
        </w:tc>
        <w:tc>
          <w:tcPr>
            <w:tcW w:w="2418"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left"/>
              <w:rPr>
                <w:rFonts w:hint="eastAsia" w:ascii="仿宋" w:hAnsi="仿宋" w:eastAsia="仿宋" w:cs="宋体"/>
                <w:kern w:val="0"/>
                <w:sz w:val="22"/>
                <w:szCs w:val="22"/>
                <w:lang w:val="zh-CN" w:eastAsia="zh-CN"/>
              </w:rPr>
            </w:pPr>
            <w:r>
              <w:rPr>
                <w:rFonts w:hint="eastAsia" w:ascii="仿宋" w:hAnsi="仿宋" w:eastAsia="仿宋" w:cs="宋体"/>
                <w:kern w:val="0"/>
                <w:sz w:val="22"/>
                <w:szCs w:val="22"/>
                <w:lang w:val="en-US" w:eastAsia="zh-CN"/>
              </w:rPr>
              <w:t>投标人名称</w:t>
            </w:r>
          </w:p>
        </w:tc>
        <w:tc>
          <w:tcPr>
            <w:tcW w:w="4949" w:type="dxa"/>
            <w:tcBorders>
              <w:top w:val="single" w:color="auto" w:sz="4" w:space="0"/>
              <w:left w:val="nil"/>
              <w:bottom w:val="single" w:color="auto" w:sz="4" w:space="0"/>
              <w:right w:val="single" w:color="auto" w:sz="4" w:space="0"/>
            </w:tcBorders>
            <w:vAlign w:val="center"/>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是否与营业执照、资质证书一致</w:t>
            </w:r>
          </w:p>
        </w:tc>
        <w:tc>
          <w:tcPr>
            <w:tcW w:w="69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63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58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4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lang w:val="en-US" w:eastAsia="zh-CN"/>
              </w:rPr>
            </w:pPr>
            <w:r>
              <w:rPr>
                <w:rFonts w:hint="eastAsia" w:cs="宋体"/>
                <w:kern w:val="0"/>
                <w:sz w:val="22"/>
                <w:szCs w:val="22"/>
                <w:lang w:val="en-US" w:eastAsia="zh-CN"/>
              </w:rPr>
              <w:t>2</w:t>
            </w:r>
          </w:p>
        </w:tc>
        <w:tc>
          <w:tcPr>
            <w:tcW w:w="2418"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left"/>
              <w:rPr>
                <w:rFonts w:hint="eastAsia" w:ascii="仿宋" w:hAnsi="仿宋" w:eastAsia="仿宋" w:cs="宋体"/>
                <w:kern w:val="0"/>
                <w:sz w:val="22"/>
                <w:szCs w:val="22"/>
                <w:lang w:val="zh-CN" w:eastAsia="zh-CN"/>
              </w:rPr>
            </w:pPr>
            <w:r>
              <w:rPr>
                <w:rFonts w:hint="eastAsia" w:ascii="仿宋" w:hAnsi="仿宋" w:eastAsia="仿宋" w:cs="宋体"/>
                <w:kern w:val="0"/>
                <w:sz w:val="22"/>
                <w:szCs w:val="22"/>
                <w:lang w:val="en-US" w:eastAsia="zh-CN"/>
              </w:rPr>
              <w:t>供应商的资格声明函</w:t>
            </w:r>
          </w:p>
        </w:tc>
        <w:tc>
          <w:tcPr>
            <w:tcW w:w="4949" w:type="dxa"/>
            <w:tcBorders>
              <w:top w:val="single" w:color="auto" w:sz="4" w:space="0"/>
              <w:left w:val="nil"/>
              <w:bottom w:val="single" w:color="auto" w:sz="4" w:space="0"/>
              <w:right w:val="single" w:color="auto" w:sz="4" w:space="0"/>
            </w:tcBorders>
            <w:vAlign w:val="center"/>
          </w:tcPr>
          <w:p>
            <w:pPr>
              <w:widowControl/>
              <w:ind w:left="0" w:leftChars="0" w:right="0" w:rightChars="0"/>
              <w:jc w:val="left"/>
              <w:rPr>
                <w:rFonts w:hint="eastAsia" w:ascii="仿宋" w:hAnsi="仿宋" w:eastAsia="仿宋" w:cs="宋体"/>
                <w:kern w:val="0"/>
                <w:sz w:val="22"/>
                <w:szCs w:val="22"/>
                <w:lang w:val="zh-CN" w:eastAsia="zh-CN"/>
              </w:rPr>
            </w:pPr>
            <w:r>
              <w:rPr>
                <w:rFonts w:hint="eastAsia" w:ascii="仿宋" w:hAnsi="仿宋" w:eastAsia="仿宋" w:cs="宋体"/>
                <w:kern w:val="0"/>
                <w:sz w:val="22"/>
                <w:szCs w:val="22"/>
                <w:lang w:val="en-US" w:eastAsia="zh-CN"/>
              </w:rPr>
              <w:t>供应商的资格声明函</w:t>
            </w:r>
          </w:p>
        </w:tc>
        <w:tc>
          <w:tcPr>
            <w:tcW w:w="69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63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58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4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lang w:val="en-US" w:eastAsia="zh-CN"/>
              </w:rPr>
            </w:pPr>
            <w:r>
              <w:rPr>
                <w:rFonts w:hint="eastAsia" w:cs="宋体"/>
                <w:kern w:val="0"/>
                <w:sz w:val="22"/>
                <w:szCs w:val="22"/>
                <w:lang w:val="en-US" w:eastAsia="zh-CN"/>
              </w:rPr>
              <w:t>3</w:t>
            </w:r>
          </w:p>
        </w:tc>
        <w:tc>
          <w:tcPr>
            <w:tcW w:w="2418"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签署盖章要求</w:t>
            </w:r>
          </w:p>
        </w:tc>
        <w:tc>
          <w:tcPr>
            <w:tcW w:w="4949" w:type="dxa"/>
            <w:tcBorders>
              <w:top w:val="single" w:color="auto" w:sz="4" w:space="0"/>
              <w:left w:val="nil"/>
              <w:bottom w:val="single" w:color="auto" w:sz="4" w:space="0"/>
              <w:right w:val="single" w:color="auto" w:sz="4" w:space="0"/>
            </w:tcBorders>
            <w:vAlign w:val="center"/>
          </w:tcPr>
          <w:p>
            <w:pPr>
              <w:widowControl/>
              <w:ind w:left="0" w:leftChars="0" w:right="0" w:rightChars="0"/>
              <w:jc w:val="left"/>
              <w:rPr>
                <w:rFonts w:hint="eastAsia" w:ascii="仿宋" w:hAnsi="仿宋" w:eastAsia="仿宋" w:cs="宋体"/>
                <w:kern w:val="0"/>
                <w:sz w:val="22"/>
                <w:szCs w:val="22"/>
                <w:lang w:val="zh-CN" w:eastAsia="zh-CN"/>
              </w:rPr>
            </w:pPr>
            <w:r>
              <w:rPr>
                <w:rFonts w:hint="eastAsia" w:ascii="仿宋" w:hAnsi="仿宋" w:eastAsia="仿宋" w:cs="宋体"/>
                <w:kern w:val="0"/>
                <w:sz w:val="22"/>
                <w:szCs w:val="22"/>
                <w:lang w:val="en-US" w:eastAsia="zh-CN"/>
              </w:rPr>
              <w:t xml:space="preserve">投标文件签署符合采购文件要求在规定区域加盖公章 </w:t>
            </w:r>
          </w:p>
        </w:tc>
        <w:tc>
          <w:tcPr>
            <w:tcW w:w="69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63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58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4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lang w:val="en-US" w:eastAsia="zh-CN"/>
              </w:rPr>
            </w:pPr>
            <w:r>
              <w:rPr>
                <w:rFonts w:hint="eastAsia" w:cs="宋体"/>
                <w:kern w:val="0"/>
                <w:sz w:val="22"/>
                <w:szCs w:val="22"/>
                <w:lang w:val="en-US" w:eastAsia="zh-CN"/>
              </w:rPr>
              <w:t>4</w:t>
            </w:r>
          </w:p>
        </w:tc>
        <w:tc>
          <w:tcPr>
            <w:tcW w:w="2418"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投标有效期符合投标人须知前附表的规定</w:t>
            </w:r>
          </w:p>
        </w:tc>
        <w:tc>
          <w:tcPr>
            <w:tcW w:w="4949" w:type="dxa"/>
            <w:tcBorders>
              <w:top w:val="single" w:color="auto" w:sz="4" w:space="0"/>
              <w:left w:val="nil"/>
              <w:bottom w:val="single" w:color="auto" w:sz="4" w:space="0"/>
              <w:right w:val="single" w:color="auto" w:sz="4" w:space="0"/>
            </w:tcBorders>
            <w:vAlign w:val="center"/>
          </w:tcPr>
          <w:p>
            <w:pPr>
              <w:widowControl/>
              <w:ind w:left="0" w:leftChars="0" w:right="0" w:rightChars="0"/>
              <w:jc w:val="left"/>
              <w:rPr>
                <w:rFonts w:hint="eastAsia" w:ascii="仿宋" w:hAnsi="仿宋" w:eastAsia="仿宋" w:cs="宋体"/>
                <w:kern w:val="0"/>
                <w:sz w:val="22"/>
                <w:szCs w:val="22"/>
              </w:rPr>
            </w:pPr>
            <w:r>
              <w:rPr>
                <w:rFonts w:hint="eastAsia" w:ascii="仿宋" w:hAnsi="仿宋" w:eastAsia="仿宋" w:cs="宋体"/>
                <w:kern w:val="0"/>
                <w:sz w:val="22"/>
                <w:szCs w:val="22"/>
                <w:lang w:val="en-US" w:eastAsia="zh-CN"/>
              </w:rPr>
              <w:t>投标有效期符合投标人须知前附表的规定</w:t>
            </w:r>
          </w:p>
          <w:p>
            <w:pPr>
              <w:widowControl/>
              <w:ind w:left="0" w:leftChars="0" w:right="0" w:rightChars="0"/>
              <w:jc w:val="left"/>
              <w:rPr>
                <w:rFonts w:hint="eastAsia" w:ascii="仿宋" w:hAnsi="仿宋" w:eastAsia="仿宋" w:cs="宋体"/>
                <w:kern w:val="0"/>
                <w:sz w:val="22"/>
                <w:szCs w:val="22"/>
                <w:lang w:val="zh-CN" w:eastAsia="zh-CN"/>
              </w:rPr>
            </w:pPr>
          </w:p>
        </w:tc>
        <w:tc>
          <w:tcPr>
            <w:tcW w:w="69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63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58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4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lang w:val="en-US" w:eastAsia="zh-CN"/>
              </w:rPr>
            </w:pPr>
            <w:r>
              <w:rPr>
                <w:rFonts w:hint="eastAsia" w:cs="宋体"/>
                <w:kern w:val="0"/>
                <w:sz w:val="22"/>
                <w:szCs w:val="22"/>
                <w:lang w:val="en-US" w:eastAsia="zh-CN"/>
              </w:rPr>
              <w:t>5</w:t>
            </w:r>
          </w:p>
        </w:tc>
        <w:tc>
          <w:tcPr>
            <w:tcW w:w="2418"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left"/>
              <w:rPr>
                <w:rFonts w:hint="eastAsia" w:ascii="仿宋" w:hAnsi="仿宋" w:eastAsia="仿宋" w:cs="宋体"/>
                <w:kern w:val="0"/>
                <w:sz w:val="22"/>
                <w:szCs w:val="22"/>
                <w:lang w:val="zh-CN" w:eastAsia="zh-CN"/>
              </w:rPr>
            </w:pPr>
            <w:r>
              <w:rPr>
                <w:rFonts w:hint="eastAsia" w:ascii="仿宋" w:hAnsi="仿宋" w:eastAsia="仿宋" w:cs="宋体"/>
                <w:kern w:val="0"/>
                <w:sz w:val="22"/>
                <w:szCs w:val="22"/>
                <w:lang w:val="en-US" w:eastAsia="zh-CN"/>
              </w:rPr>
              <w:t>投标报价，有效报价未超过政府采购预算金额</w:t>
            </w:r>
          </w:p>
        </w:tc>
        <w:tc>
          <w:tcPr>
            <w:tcW w:w="4949" w:type="dxa"/>
            <w:tcBorders>
              <w:top w:val="single" w:color="auto" w:sz="4" w:space="0"/>
              <w:left w:val="nil"/>
              <w:bottom w:val="single" w:color="auto" w:sz="4" w:space="0"/>
              <w:right w:val="single" w:color="auto" w:sz="4" w:space="0"/>
            </w:tcBorders>
            <w:vAlign w:val="center"/>
          </w:tcPr>
          <w:p>
            <w:pPr>
              <w:widowControl/>
              <w:ind w:left="0" w:leftChars="0" w:right="0" w:rightChars="0"/>
              <w:jc w:val="left"/>
              <w:rPr>
                <w:rFonts w:hint="eastAsia" w:ascii="仿宋" w:hAnsi="仿宋" w:eastAsia="仿宋" w:cs="宋体"/>
                <w:kern w:val="0"/>
                <w:sz w:val="22"/>
                <w:szCs w:val="22"/>
              </w:rPr>
            </w:pPr>
            <w:r>
              <w:rPr>
                <w:rFonts w:hint="eastAsia" w:ascii="仿宋" w:hAnsi="仿宋" w:eastAsia="仿宋" w:cs="宋体"/>
                <w:kern w:val="0"/>
                <w:sz w:val="22"/>
                <w:szCs w:val="22"/>
                <w:lang w:val="en-US" w:eastAsia="zh-CN"/>
              </w:rPr>
              <w:t xml:space="preserve">投标报价，有效报价未超过政府采购预算 </w:t>
            </w:r>
          </w:p>
          <w:p>
            <w:pPr>
              <w:widowControl/>
              <w:ind w:left="0" w:leftChars="0" w:right="0" w:rightChars="0"/>
              <w:jc w:val="left"/>
              <w:rPr>
                <w:rFonts w:hint="eastAsia" w:ascii="仿宋" w:hAnsi="仿宋" w:eastAsia="仿宋" w:cs="宋体"/>
                <w:kern w:val="0"/>
                <w:sz w:val="22"/>
                <w:szCs w:val="22"/>
                <w:lang w:val="zh-CN" w:eastAsia="zh-CN"/>
              </w:rPr>
            </w:pPr>
            <w:r>
              <w:rPr>
                <w:rFonts w:hint="eastAsia" w:ascii="仿宋" w:hAnsi="仿宋" w:eastAsia="仿宋" w:cs="宋体"/>
                <w:kern w:val="0"/>
                <w:sz w:val="22"/>
                <w:szCs w:val="22"/>
                <w:lang w:val="en-US" w:eastAsia="zh-CN"/>
              </w:rPr>
              <w:t>金额（40 万元）</w:t>
            </w:r>
          </w:p>
        </w:tc>
        <w:tc>
          <w:tcPr>
            <w:tcW w:w="69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63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58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4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cs="宋体"/>
                <w:kern w:val="0"/>
                <w:sz w:val="22"/>
                <w:szCs w:val="22"/>
                <w:lang w:val="en-US" w:eastAsia="zh-CN"/>
              </w:rPr>
            </w:pPr>
            <w:r>
              <w:rPr>
                <w:rFonts w:hint="eastAsia" w:cs="宋体"/>
                <w:kern w:val="0"/>
                <w:sz w:val="22"/>
                <w:szCs w:val="22"/>
                <w:lang w:val="en-US" w:eastAsia="zh-CN"/>
              </w:rPr>
              <w:t>6</w:t>
            </w:r>
          </w:p>
        </w:tc>
        <w:tc>
          <w:tcPr>
            <w:tcW w:w="2418"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left"/>
              <w:rPr>
                <w:rFonts w:hint="eastAsia" w:ascii="仿宋" w:hAnsi="仿宋" w:eastAsia="仿宋" w:cs="宋体"/>
                <w:kern w:val="0"/>
                <w:sz w:val="22"/>
                <w:szCs w:val="22"/>
              </w:rPr>
            </w:pPr>
            <w:r>
              <w:rPr>
                <w:rFonts w:hint="eastAsia" w:ascii="仿宋" w:hAnsi="仿宋" w:eastAsia="仿宋" w:cs="宋体"/>
                <w:kern w:val="0"/>
                <w:sz w:val="22"/>
                <w:szCs w:val="22"/>
                <w:lang w:val="en-US" w:eastAsia="zh-CN"/>
              </w:rPr>
              <w:t>投标文件完全响应采购文件要求</w:t>
            </w:r>
          </w:p>
        </w:tc>
        <w:tc>
          <w:tcPr>
            <w:tcW w:w="4949" w:type="dxa"/>
            <w:tcBorders>
              <w:top w:val="single" w:color="auto" w:sz="4" w:space="0"/>
              <w:left w:val="nil"/>
              <w:bottom w:val="single" w:color="auto" w:sz="4" w:space="0"/>
              <w:right w:val="single" w:color="auto" w:sz="4" w:space="0"/>
            </w:tcBorders>
            <w:vAlign w:val="center"/>
          </w:tcPr>
          <w:p>
            <w:pPr>
              <w:widowControl/>
              <w:ind w:left="0" w:leftChars="0" w:right="0" w:rightChars="0"/>
              <w:jc w:val="left"/>
              <w:rPr>
                <w:rFonts w:hint="eastAsia" w:ascii="仿宋" w:hAnsi="仿宋" w:eastAsia="仿宋" w:cs="宋体"/>
                <w:kern w:val="0"/>
                <w:sz w:val="22"/>
                <w:szCs w:val="22"/>
              </w:rPr>
            </w:pPr>
            <w:r>
              <w:rPr>
                <w:rFonts w:hint="eastAsia" w:ascii="仿宋" w:hAnsi="仿宋" w:eastAsia="仿宋" w:cs="宋体"/>
                <w:kern w:val="0"/>
                <w:sz w:val="22"/>
                <w:szCs w:val="22"/>
                <w:lang w:val="en-US" w:eastAsia="zh-CN"/>
              </w:rPr>
              <w:t>投标文件完全响应采购文件要求</w:t>
            </w:r>
          </w:p>
        </w:tc>
        <w:tc>
          <w:tcPr>
            <w:tcW w:w="69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63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58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4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cs="宋体"/>
                <w:kern w:val="0"/>
                <w:sz w:val="22"/>
                <w:szCs w:val="22"/>
                <w:lang w:val="en-US" w:eastAsia="zh-CN"/>
              </w:rPr>
            </w:pPr>
            <w:r>
              <w:rPr>
                <w:rFonts w:hint="eastAsia" w:cs="宋体"/>
                <w:kern w:val="0"/>
                <w:sz w:val="22"/>
                <w:szCs w:val="22"/>
                <w:lang w:val="en-US" w:eastAsia="zh-CN"/>
              </w:rPr>
              <w:t>7</w:t>
            </w:r>
          </w:p>
        </w:tc>
        <w:tc>
          <w:tcPr>
            <w:tcW w:w="2418"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jc w:val="left"/>
              <w:rPr>
                <w:rFonts w:hint="eastAsia" w:ascii="仿宋" w:hAnsi="仿宋" w:eastAsia="仿宋" w:cs="宋体"/>
                <w:kern w:val="0"/>
                <w:sz w:val="22"/>
                <w:szCs w:val="22"/>
              </w:rPr>
            </w:pPr>
            <w:r>
              <w:rPr>
                <w:rFonts w:hint="eastAsia" w:ascii="仿宋" w:hAnsi="仿宋" w:eastAsia="仿宋" w:cs="宋体"/>
                <w:kern w:val="0"/>
                <w:sz w:val="22"/>
                <w:szCs w:val="22"/>
              </w:rPr>
              <w:t>无采购人不能接受的附加条件</w:t>
            </w:r>
          </w:p>
        </w:tc>
        <w:tc>
          <w:tcPr>
            <w:tcW w:w="4949" w:type="dxa"/>
            <w:tcBorders>
              <w:top w:val="single" w:color="auto" w:sz="4" w:space="0"/>
              <w:left w:val="nil"/>
              <w:bottom w:val="single" w:color="auto" w:sz="4" w:space="0"/>
              <w:right w:val="single" w:color="auto" w:sz="4" w:space="0"/>
            </w:tcBorders>
            <w:vAlign w:val="center"/>
          </w:tcPr>
          <w:p>
            <w:pPr>
              <w:widowControl/>
              <w:ind w:left="0" w:leftChars="0" w:right="0" w:rightChars="0"/>
              <w:jc w:val="left"/>
              <w:rPr>
                <w:rFonts w:hint="eastAsia" w:ascii="仿宋" w:hAnsi="仿宋" w:eastAsia="仿宋" w:cs="宋体"/>
                <w:kern w:val="0"/>
                <w:sz w:val="22"/>
                <w:szCs w:val="22"/>
              </w:rPr>
            </w:pPr>
            <w:r>
              <w:rPr>
                <w:rFonts w:hint="eastAsia" w:ascii="仿宋" w:hAnsi="仿宋" w:eastAsia="仿宋" w:cs="宋体"/>
                <w:kern w:val="0"/>
                <w:sz w:val="22"/>
                <w:szCs w:val="22"/>
              </w:rPr>
              <w:t>投标文件未含有采购人不能接受的附加条件。</w:t>
            </w:r>
          </w:p>
        </w:tc>
        <w:tc>
          <w:tcPr>
            <w:tcW w:w="69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63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58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700" w:hRule="atLeast"/>
        </w:trPr>
        <w:tc>
          <w:tcPr>
            <w:tcW w:w="785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69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63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585" w:type="dxa"/>
            <w:tcBorders>
              <w:top w:val="single" w:color="auto" w:sz="4" w:space="0"/>
              <w:left w:val="nil"/>
              <w:bottom w:val="single" w:color="auto" w:sz="4" w:space="0"/>
              <w:right w:val="single" w:color="auto" w:sz="4" w:space="0"/>
            </w:tcBorders>
            <w:vAlign w:val="center"/>
          </w:tcPr>
          <w:p>
            <w:pPr>
              <w:widowControl/>
              <w:ind w:right="187" w:rightChars="85"/>
              <w:jc w:val="center"/>
              <w:rPr>
                <w:rFonts w:ascii="仿宋" w:hAnsi="仿宋" w:eastAsia="仿宋" w:cs="宋体"/>
                <w:kern w:val="0"/>
                <w:sz w:val="22"/>
                <w:szCs w:val="22"/>
              </w:rPr>
            </w:pPr>
          </w:p>
        </w:tc>
      </w:tr>
    </w:tbl>
    <w:p>
      <w:pPr>
        <w:pStyle w:val="10"/>
        <w:spacing w:before="4"/>
        <w:ind w:firstLine="500" w:firstLineChars="200"/>
        <w:rPr>
          <w:rFonts w:hint="default" w:ascii="楷体"/>
          <w:color w:val="auto"/>
          <w:sz w:val="25"/>
          <w:lang w:val="en-US" w:eastAsia="zh-CN"/>
        </w:rPr>
      </w:pPr>
    </w:p>
    <w:p>
      <w:pPr>
        <w:pStyle w:val="8"/>
        <w:ind w:firstLine="480"/>
        <w:rPr>
          <w:rFonts w:hAnsi="宋体"/>
          <w:color w:val="000000"/>
        </w:rPr>
      </w:pPr>
      <w:r>
        <w:rPr>
          <w:rFonts w:hint="eastAsia" w:hAnsi="宋体"/>
          <w:color w:val="000000"/>
        </w:rPr>
        <w:t>备注：</w:t>
      </w:r>
    </w:p>
    <w:p>
      <w:pPr>
        <w:pStyle w:val="8"/>
        <w:ind w:firstLine="480"/>
        <w:rPr>
          <w:rFonts w:hAnsi="宋体"/>
          <w:color w:val="000000"/>
        </w:rPr>
      </w:pPr>
      <w:r>
        <w:rPr>
          <w:rFonts w:hint="eastAsia" w:hAnsi="宋体"/>
          <w:color w:val="000000"/>
        </w:rPr>
        <w:t>本表由评审小组</w:t>
      </w:r>
      <w:r>
        <w:rPr>
          <w:rFonts w:hint="eastAsia" w:hAnsi="宋体"/>
          <w:color w:val="000000"/>
          <w:lang w:eastAsia="zh-CN"/>
        </w:rPr>
        <w:t>组长</w:t>
      </w:r>
      <w:r>
        <w:rPr>
          <w:rFonts w:hint="eastAsia" w:hAnsi="宋体"/>
          <w:color w:val="000000"/>
        </w:rPr>
        <w:t>填写；</w:t>
      </w:r>
    </w:p>
    <w:p>
      <w:pPr>
        <w:pStyle w:val="8"/>
        <w:ind w:firstLine="480"/>
        <w:rPr>
          <w:rFonts w:hAnsi="宋体"/>
          <w:color w:val="000000"/>
        </w:rPr>
      </w:pPr>
      <w:r>
        <w:rPr>
          <w:rFonts w:hAnsi="宋体"/>
          <w:color w:val="000000"/>
        </w:rPr>
        <w:t>每一项目符合的打“</w:t>
      </w:r>
      <w:r>
        <w:rPr>
          <w:rFonts w:hint="eastAsia" w:hAnsi="宋体"/>
          <w:color w:val="000000"/>
        </w:rPr>
        <w:t>√</w:t>
      </w:r>
      <w:r>
        <w:rPr>
          <w:rFonts w:hAnsi="宋体"/>
          <w:color w:val="000000"/>
        </w:rPr>
        <w:t>”</w:t>
      </w:r>
      <w:r>
        <w:rPr>
          <w:rFonts w:hint="eastAsia" w:hAnsi="宋体"/>
          <w:color w:val="000000"/>
        </w:rPr>
        <w:t>；</w:t>
      </w:r>
      <w:r>
        <w:rPr>
          <w:rFonts w:hAnsi="宋体"/>
          <w:color w:val="000000"/>
        </w:rPr>
        <w:t>不符合的打“×”</w:t>
      </w:r>
      <w:r>
        <w:rPr>
          <w:rFonts w:hint="eastAsia" w:hAnsi="宋体"/>
          <w:color w:val="000000"/>
        </w:rPr>
        <w:t>，并注明不符合的具体内容</w:t>
      </w:r>
      <w:r>
        <w:rPr>
          <w:rFonts w:hAnsi="宋体"/>
          <w:color w:val="000000"/>
        </w:rPr>
        <w:t>；出现一个“×”的</w:t>
      </w:r>
      <w:r>
        <w:rPr>
          <w:rFonts w:hint="eastAsia" w:hAnsi="宋体"/>
          <w:color w:val="000000"/>
        </w:rPr>
        <w:t>审查</w:t>
      </w:r>
      <w:r>
        <w:rPr>
          <w:rFonts w:hAnsi="宋体"/>
          <w:color w:val="000000"/>
        </w:rPr>
        <w:t>结论为不通过</w:t>
      </w:r>
      <w:r>
        <w:rPr>
          <w:rFonts w:hint="eastAsia" w:hAnsi="宋体"/>
          <w:color w:val="000000"/>
        </w:rPr>
        <w:t>；</w:t>
      </w:r>
    </w:p>
    <w:p>
      <w:pPr>
        <w:pStyle w:val="8"/>
        <w:ind w:firstLine="480"/>
        <w:rPr>
          <w:rFonts w:hAnsi="宋体"/>
          <w:color w:val="000000"/>
        </w:rPr>
      </w:pPr>
      <w:r>
        <w:rPr>
          <w:rFonts w:hint="eastAsia" w:hAnsi="宋体"/>
          <w:color w:val="000000"/>
        </w:rPr>
        <w:t>审查</w:t>
      </w:r>
      <w:r>
        <w:rPr>
          <w:rFonts w:hAnsi="宋体"/>
          <w:color w:val="000000"/>
        </w:rPr>
        <w:t>结论一栏填写“</w:t>
      </w:r>
      <w:r>
        <w:rPr>
          <w:rFonts w:hint="eastAsia" w:hAnsi="宋体"/>
          <w:color w:val="000000"/>
        </w:rPr>
        <w:t>是</w:t>
      </w:r>
      <w:r>
        <w:rPr>
          <w:rFonts w:hAnsi="宋体"/>
          <w:color w:val="000000"/>
        </w:rPr>
        <w:t>”或“</w:t>
      </w:r>
      <w:r>
        <w:rPr>
          <w:rFonts w:hint="eastAsia" w:hAnsi="宋体"/>
          <w:color w:val="000000"/>
        </w:rPr>
        <w:t>否</w:t>
      </w:r>
      <w:r>
        <w:rPr>
          <w:rFonts w:hAnsi="宋体"/>
          <w:color w:val="000000"/>
        </w:rPr>
        <w:t>”。</w:t>
      </w:r>
    </w:p>
    <w:p>
      <w:pPr>
        <w:pStyle w:val="8"/>
        <w:ind w:firstLine="480"/>
        <w:rPr>
          <w:rFonts w:hAnsi="宋体"/>
          <w:color w:val="000000"/>
        </w:rPr>
      </w:pPr>
      <w:r>
        <w:rPr>
          <w:rFonts w:hint="eastAsia" w:hAnsi="宋体"/>
          <w:color w:val="000000"/>
          <w:lang w:eastAsia="zh-CN"/>
        </w:rPr>
        <w:t>任何一条</w:t>
      </w:r>
      <w:r>
        <w:rPr>
          <w:rFonts w:hint="eastAsia" w:hAnsi="宋体"/>
          <w:color w:val="000000"/>
        </w:rPr>
        <w:t>结论是“否”的投标人不能进入下一轮评标。</w:t>
      </w:r>
    </w:p>
    <w:p>
      <w:pPr>
        <w:pStyle w:val="11"/>
        <w:rPr>
          <w:rFonts w:hint="default" w:ascii="楷体"/>
          <w:color w:val="auto"/>
          <w:sz w:val="25"/>
          <w:lang w:val="en-US" w:eastAsia="zh-CN"/>
        </w:rPr>
      </w:pPr>
    </w:p>
    <w:p>
      <w:pPr>
        <w:pStyle w:val="11"/>
        <w:rPr>
          <w:rFonts w:hint="default" w:ascii="楷体"/>
          <w:color w:val="auto"/>
          <w:sz w:val="25"/>
          <w:lang w:val="en-US" w:eastAsia="zh-CN"/>
        </w:rPr>
      </w:pPr>
    </w:p>
    <w:p>
      <w:pPr>
        <w:pStyle w:val="11"/>
        <w:rPr>
          <w:rFonts w:hint="default" w:ascii="楷体"/>
          <w:color w:val="auto"/>
          <w:sz w:val="25"/>
          <w:lang w:val="en-US" w:eastAsia="zh-CN"/>
        </w:rPr>
      </w:pPr>
    </w:p>
    <w:p>
      <w:pPr>
        <w:pStyle w:val="11"/>
        <w:rPr>
          <w:rFonts w:hint="default" w:ascii="楷体"/>
          <w:color w:val="auto"/>
          <w:sz w:val="25"/>
          <w:lang w:val="en-US" w:eastAsia="zh-CN"/>
        </w:rPr>
      </w:pPr>
    </w:p>
    <w:p>
      <w:pPr>
        <w:pStyle w:val="11"/>
        <w:rPr>
          <w:rFonts w:hint="default" w:ascii="楷体"/>
          <w:color w:val="auto"/>
          <w:sz w:val="25"/>
          <w:lang w:val="en-US" w:eastAsia="zh-CN"/>
        </w:rPr>
      </w:pPr>
    </w:p>
    <w:p>
      <w:pPr>
        <w:pStyle w:val="11"/>
        <w:rPr>
          <w:rFonts w:hint="default" w:ascii="楷体"/>
          <w:color w:val="auto"/>
          <w:sz w:val="25"/>
          <w:lang w:val="en-US" w:eastAsia="zh-CN"/>
        </w:rPr>
      </w:pPr>
    </w:p>
    <w:p>
      <w:pPr>
        <w:spacing w:before="98" w:line="184" w:lineRule="auto"/>
        <w:ind w:firstLine="3027"/>
        <w:rPr>
          <w:rFonts w:ascii="仿宋" w:hAnsi="仿宋" w:eastAsia="仿宋" w:cs="仿宋"/>
          <w:spacing w:val="-5"/>
          <w:sz w:val="30"/>
          <w:szCs w:val="30"/>
          <w14:textOutline w14:w="5448" w14:cap="sq" w14:cmpd="sng">
            <w14:solidFill>
              <w14:srgbClr w14:val="000000"/>
            </w14:solidFill>
            <w14:prstDash w14:val="solid"/>
            <w14:bevel/>
          </w14:textOutline>
        </w:rPr>
      </w:pPr>
    </w:p>
    <w:p>
      <w:pPr>
        <w:spacing w:before="98" w:line="184" w:lineRule="auto"/>
        <w:ind w:firstLine="3027"/>
        <w:rPr>
          <w:rFonts w:ascii="仿宋" w:hAnsi="仿宋" w:eastAsia="仿宋" w:cs="仿宋"/>
          <w:spacing w:val="-5"/>
          <w:sz w:val="30"/>
          <w:szCs w:val="30"/>
          <w14:textOutline w14:w="5448" w14:cap="sq" w14:cmpd="sng">
            <w14:solidFill>
              <w14:srgbClr w14:val="000000"/>
            </w14:solidFill>
            <w14:prstDash w14:val="solid"/>
            <w14:bevel/>
          </w14:textOutline>
        </w:rPr>
      </w:pPr>
    </w:p>
    <w:p>
      <w:pPr>
        <w:spacing w:before="98" w:line="184" w:lineRule="auto"/>
        <w:ind w:firstLine="3480" w:firstLineChars="1200"/>
        <w:rPr>
          <w:rFonts w:ascii="仿宋" w:hAnsi="仿宋" w:eastAsia="仿宋" w:cs="仿宋"/>
          <w:sz w:val="30"/>
          <w:szCs w:val="30"/>
        </w:rPr>
      </w:pPr>
      <w:r>
        <w:rPr>
          <w:rFonts w:ascii="仿宋" w:hAnsi="仿宋" w:eastAsia="仿宋" w:cs="仿宋"/>
          <w:spacing w:val="-5"/>
          <w:sz w:val="30"/>
          <w:szCs w:val="30"/>
          <w14:textOutline w14:w="5448" w14:cap="sq" w14:cmpd="sng">
            <w14:solidFill>
              <w14:srgbClr w14:val="000000"/>
            </w14:solidFill>
            <w14:prstDash w14:val="solid"/>
            <w14:bevel/>
          </w14:textOutline>
        </w:rPr>
        <w:t>详细评分表（满分</w:t>
      </w:r>
      <w:r>
        <w:rPr>
          <w:rFonts w:ascii="仿宋" w:hAnsi="仿宋" w:eastAsia="仿宋" w:cs="仿宋"/>
          <w:spacing w:val="-34"/>
          <w:sz w:val="30"/>
          <w:szCs w:val="30"/>
        </w:rPr>
        <w:t xml:space="preserve"> </w:t>
      </w:r>
      <w:r>
        <w:rPr>
          <w:rFonts w:ascii="宋体" w:hAnsi="宋体" w:eastAsia="宋体" w:cs="宋体"/>
          <w:spacing w:val="-5"/>
          <w:sz w:val="30"/>
          <w:szCs w:val="30"/>
          <w14:textOutline w14:w="5448" w14:cap="sq" w14:cmpd="sng">
            <w14:solidFill>
              <w14:srgbClr w14:val="000000"/>
            </w14:solidFill>
            <w14:prstDash w14:val="solid"/>
            <w14:bevel/>
          </w14:textOutline>
        </w:rPr>
        <w:t>100</w:t>
      </w:r>
      <w:r>
        <w:rPr>
          <w:rFonts w:ascii="宋体" w:hAnsi="宋体" w:eastAsia="宋体" w:cs="宋体"/>
          <w:spacing w:val="-60"/>
          <w:sz w:val="30"/>
          <w:szCs w:val="30"/>
        </w:rPr>
        <w:t xml:space="preserve"> </w:t>
      </w:r>
      <w:r>
        <w:rPr>
          <w:rFonts w:ascii="仿宋" w:hAnsi="仿宋" w:eastAsia="仿宋" w:cs="仿宋"/>
          <w:spacing w:val="-5"/>
          <w:sz w:val="30"/>
          <w:szCs w:val="30"/>
          <w14:textOutline w14:w="5448" w14:cap="sq" w14:cmpd="sng">
            <w14:solidFill>
              <w14:srgbClr w14:val="000000"/>
            </w14:solidFill>
            <w14:prstDash w14:val="solid"/>
            <w14:bevel/>
          </w14:textOutline>
        </w:rPr>
        <w:t>分）</w:t>
      </w:r>
    </w:p>
    <w:p>
      <w:pPr>
        <w:widowControl/>
        <w:ind w:left="0" w:leftChars="0" w:right="0" w:rightChars="0"/>
        <w:jc w:val="left"/>
        <w:rPr>
          <w:rFonts w:hint="eastAsia" w:ascii="仿宋" w:hAnsi="仿宋" w:eastAsia="仿宋" w:cs="宋体"/>
          <w:kern w:val="0"/>
          <w:sz w:val="22"/>
          <w:szCs w:val="22"/>
          <w:lang w:val="en-US" w:eastAsia="zh-CN"/>
        </w:rPr>
      </w:pPr>
    </w:p>
    <w:tbl>
      <w:tblPr>
        <w:tblStyle w:val="28"/>
        <w:tblW w:w="1044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3990"/>
        <w:gridCol w:w="810"/>
        <w:gridCol w:w="46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14" w:type="dxa"/>
            <w:vAlign w:val="top"/>
          </w:tcPr>
          <w:p>
            <w:pPr>
              <w:widowControl/>
              <w:ind w:left="0" w:leftChars="0" w:right="0" w:rightChars="0"/>
              <w:jc w:val="left"/>
              <w:rPr>
                <w:rFonts w:hint="eastAsia" w:ascii="仿宋" w:hAnsi="仿宋" w:eastAsia="仿宋" w:cs="宋体"/>
                <w:kern w:val="0"/>
                <w:sz w:val="22"/>
                <w:szCs w:val="22"/>
                <w:lang w:val="en-US" w:eastAsia="zh-CN"/>
              </w:rPr>
            </w:pPr>
          </w:p>
        </w:tc>
        <w:tc>
          <w:tcPr>
            <w:tcW w:w="3990" w:type="dxa"/>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评审项目</w:t>
            </w:r>
          </w:p>
        </w:tc>
        <w:tc>
          <w:tcPr>
            <w:tcW w:w="810" w:type="dxa"/>
            <w:vAlign w:val="top"/>
          </w:tcPr>
          <w:p>
            <w:pPr>
              <w:widowControl/>
              <w:ind w:left="0" w:leftChars="0" w:right="0" w:rightChars="0"/>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分值</w:t>
            </w:r>
          </w:p>
        </w:tc>
        <w:tc>
          <w:tcPr>
            <w:tcW w:w="4627" w:type="dxa"/>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14" w:type="dxa"/>
            <w:vAlign w:val="top"/>
          </w:tcPr>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r>
              <w:rPr>
                <w:rFonts w:hint="eastAsia"/>
                <w:lang w:val="en-US" w:eastAsia="zh-CN"/>
              </w:rPr>
              <w:t>报价得分</w:t>
            </w:r>
          </w:p>
          <w:p>
            <w:pPr>
              <w:pStyle w:val="2"/>
              <w:jc w:val="center"/>
              <w:rPr>
                <w:rFonts w:hint="default"/>
                <w:lang w:val="en-US" w:eastAsia="zh-CN"/>
              </w:rPr>
            </w:pPr>
            <w:r>
              <w:rPr>
                <w:rFonts w:hint="eastAsia" w:ascii="仿宋" w:hAnsi="仿宋" w:eastAsia="仿宋" w:cs="仿宋"/>
                <w:color w:val="auto"/>
                <w:sz w:val="22"/>
                <w:szCs w:val="22"/>
                <w:lang w:val="en-US" w:eastAsia="zh-CN" w:bidi="zh-CN"/>
              </w:rPr>
              <w:t>20分</w:t>
            </w:r>
          </w:p>
        </w:tc>
        <w:tc>
          <w:tcPr>
            <w:tcW w:w="3990" w:type="dxa"/>
            <w:vAlign w:val="center"/>
          </w:tcPr>
          <w:p>
            <w:pPr>
              <w:widowControl/>
              <w:ind w:left="0" w:leftChars="0" w:right="0" w:rightChars="0" w:firstLine="1320" w:firstLineChars="60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响应报价</w:t>
            </w:r>
          </w:p>
        </w:tc>
        <w:tc>
          <w:tcPr>
            <w:tcW w:w="810" w:type="dxa"/>
            <w:vAlign w:val="center"/>
          </w:tcPr>
          <w:p>
            <w:pPr>
              <w:widowControl/>
              <w:ind w:left="0" w:leftChars="0" w:right="0" w:rightChars="0" w:firstLine="220" w:firstLineChars="100"/>
              <w:jc w:val="left"/>
              <w:rPr>
                <w:rFonts w:hint="default" w:ascii="仿宋" w:hAnsi="仿宋" w:eastAsia="仿宋" w:cs="宋体"/>
                <w:kern w:val="0"/>
                <w:sz w:val="22"/>
                <w:szCs w:val="22"/>
                <w:lang w:val="en-US" w:eastAsia="zh-CN"/>
              </w:rPr>
            </w:pPr>
            <w:r>
              <w:rPr>
                <w:rFonts w:hint="eastAsia" w:cs="宋体"/>
                <w:kern w:val="0"/>
                <w:sz w:val="22"/>
                <w:szCs w:val="22"/>
                <w:lang w:val="en-US" w:eastAsia="zh-CN"/>
              </w:rPr>
              <w:t>20分</w:t>
            </w:r>
          </w:p>
        </w:tc>
        <w:tc>
          <w:tcPr>
            <w:tcW w:w="4627" w:type="dxa"/>
            <w:vAlign w:val="center"/>
          </w:tcPr>
          <w:p>
            <w:pPr>
              <w:widowControl/>
              <w:ind w:left="0" w:leftChars="0" w:right="0" w:rightChars="0"/>
              <w:jc w:val="left"/>
              <w:rPr>
                <w:rFonts w:hint="eastAsia"/>
                <w:lang w:val="en-US" w:eastAsia="zh-CN"/>
              </w:rPr>
            </w:pPr>
            <w:r>
              <w:rPr>
                <w:rFonts w:hint="eastAsia"/>
                <w:lang w:val="en-US" w:eastAsia="zh-CN"/>
              </w:rPr>
              <w:t>价格分统一采用低价优先法计算，即满足招标文件要求且最后报价最低的投标人的价格为评标基准价，其价格分为满分。</w:t>
            </w:r>
          </w:p>
          <w:p>
            <w:pPr>
              <w:widowControl/>
              <w:ind w:left="0" w:leftChars="0" w:right="0" w:rightChars="0"/>
              <w:jc w:val="left"/>
              <w:rPr>
                <w:rFonts w:hint="eastAsia"/>
                <w:lang w:val="en-US" w:eastAsia="zh-CN"/>
              </w:rPr>
            </w:pPr>
            <w:r>
              <w:rPr>
                <w:rFonts w:hint="eastAsia"/>
                <w:lang w:val="en-US" w:eastAsia="zh-CN"/>
              </w:rPr>
              <w:t>投标人的价格分统一按照下列公式计算：</w:t>
            </w:r>
          </w:p>
          <w:p>
            <w:pPr>
              <w:widowControl/>
              <w:ind w:left="0" w:leftChars="0" w:right="0" w:rightChars="0"/>
              <w:jc w:val="left"/>
              <w:rPr>
                <w:rFonts w:hint="eastAsia"/>
                <w:lang w:val="en-US" w:eastAsia="zh-CN"/>
              </w:rPr>
            </w:pPr>
            <w:r>
              <w:rPr>
                <w:rFonts w:hint="eastAsia"/>
                <w:lang w:val="en-US" w:eastAsia="zh-CN"/>
              </w:rPr>
              <w:t>投标报价得分=（评标基准价/最后投标报价）X价格权值X100</w:t>
            </w:r>
          </w:p>
          <w:p>
            <w:pPr>
              <w:widowControl/>
              <w:ind w:left="0" w:leftChars="0" w:right="0" w:rightChars="0"/>
              <w:jc w:val="left"/>
              <w:rPr>
                <w:rFonts w:hint="eastAsia"/>
                <w:lang w:val="en-US" w:eastAsia="zh-CN"/>
              </w:rPr>
            </w:pPr>
            <w:r>
              <w:rPr>
                <w:rFonts w:hint="eastAsia"/>
                <w:lang w:val="en-US" w:eastAsia="zh-CN"/>
              </w:rPr>
              <w:t>供应商的价格分统一按照下列公式计算：</w:t>
            </w:r>
          </w:p>
          <w:p>
            <w:pPr>
              <w:widowControl/>
              <w:ind w:left="0" w:leftChars="0" w:right="0" w:rightChars="0"/>
              <w:jc w:val="left"/>
              <w:rPr>
                <w:rFonts w:hint="eastAsia"/>
                <w:lang w:val="en-US" w:eastAsia="zh-CN"/>
              </w:rPr>
            </w:pPr>
            <w:r>
              <w:rPr>
                <w:rFonts w:hint="eastAsia"/>
                <w:lang w:val="en-US" w:eastAsia="zh-CN"/>
              </w:rPr>
              <w:t>项目评审过程中，不得去掉最后报价中的最高报价和最低报价。</w:t>
            </w:r>
          </w:p>
          <w:p>
            <w:pPr>
              <w:widowControl/>
              <w:ind w:left="0" w:leftChars="0" w:right="0" w:rightChars="0"/>
              <w:jc w:val="left"/>
              <w:rPr>
                <w:rFonts w:hint="eastAsia"/>
                <w:lang w:val="en-US" w:eastAsia="zh-CN"/>
              </w:rPr>
            </w:pPr>
            <w:r>
              <w:rPr>
                <w:rFonts w:hint="eastAsia"/>
                <w:lang w:val="en-US" w:eastAsia="zh-CN"/>
              </w:rPr>
              <w:t>价格评审得分保留小数点后两位，第三位四舍五入。综合得分最高者优先推荐。</w:t>
            </w:r>
          </w:p>
          <w:p>
            <w:pPr>
              <w:pStyle w:val="2"/>
              <w:rPr>
                <w:rFonts w:hint="eastAsia"/>
                <w:lang w:val="en-US" w:eastAsia="zh-CN"/>
              </w:rPr>
            </w:pPr>
            <w:r>
              <w:rPr>
                <w:rFonts w:hint="eastAsia" w:ascii="仿宋" w:hAnsi="仿宋" w:eastAsia="仿宋" w:cs="仿宋"/>
                <w:color w:val="auto"/>
                <w:sz w:val="22"/>
                <w:szCs w:val="22"/>
                <w:lang w:val="en-US" w:eastAsia="zh-CN" w:bidi="zh-CN"/>
              </w:rPr>
              <w:t>中小微企业价格扣除幅度：价格给予 6%的扣除。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014" w:type="dxa"/>
            <w:vMerge w:val="restart"/>
            <w:vAlign w:val="top"/>
          </w:tcPr>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lang w:val="en-US" w:eastAsia="zh-CN"/>
              </w:rPr>
            </w:pPr>
          </w:p>
          <w:p>
            <w:pPr>
              <w:widowControl/>
              <w:ind w:left="0" w:leftChars="0" w:right="0" w:rightChars="0"/>
              <w:jc w:val="left"/>
              <w:rPr>
                <w:rFonts w:hint="eastAsia" w:ascii="仿宋" w:hAnsi="仿宋" w:eastAsia="仿宋" w:cs="宋体"/>
                <w:kern w:val="0"/>
                <w:sz w:val="22"/>
                <w:szCs w:val="22"/>
                <w:lang w:val="en-US" w:eastAsia="zh-CN"/>
              </w:rPr>
            </w:pPr>
            <w:r>
              <w:rPr>
                <w:rFonts w:hint="eastAsia"/>
                <w:lang w:val="en-US" w:eastAsia="zh-CN"/>
              </w:rPr>
              <w:t>商务技术得分</w:t>
            </w:r>
            <w:r>
              <w:rPr>
                <w:rFonts w:hint="eastAsia" w:cs="仿宋"/>
                <w:color w:val="auto"/>
                <w:sz w:val="22"/>
                <w:szCs w:val="22"/>
                <w:lang w:val="en-US" w:eastAsia="zh-CN" w:bidi="zh-CN"/>
              </w:rPr>
              <w:t>80</w:t>
            </w:r>
            <w:r>
              <w:rPr>
                <w:rFonts w:hint="eastAsia" w:ascii="仿宋" w:hAnsi="仿宋" w:eastAsia="仿宋" w:cs="仿宋"/>
                <w:color w:val="auto"/>
                <w:sz w:val="22"/>
                <w:szCs w:val="22"/>
                <w:lang w:val="en-US" w:eastAsia="zh-CN" w:bidi="zh-CN"/>
              </w:rPr>
              <w:t>分</w:t>
            </w:r>
          </w:p>
        </w:tc>
        <w:tc>
          <w:tcPr>
            <w:tcW w:w="3990" w:type="dxa"/>
            <w:vAlign w:val="top"/>
          </w:tcPr>
          <w:p>
            <w:pPr>
              <w:widowControl/>
              <w:ind w:left="0" w:leftChars="0" w:right="0" w:rightChars="0"/>
              <w:jc w:val="both"/>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依据充分，且目标任务明确</w:t>
            </w:r>
          </w:p>
        </w:tc>
        <w:tc>
          <w:tcPr>
            <w:tcW w:w="810" w:type="dxa"/>
            <w:vAlign w:val="top"/>
          </w:tcPr>
          <w:p>
            <w:pPr>
              <w:widowControl/>
              <w:ind w:left="0" w:leftChars="0" w:right="0" w:rightChars="0"/>
              <w:jc w:val="center"/>
              <w:rPr>
                <w:rFonts w:hint="eastAsia" w:cs="宋体"/>
                <w:kern w:val="0"/>
                <w:sz w:val="22"/>
                <w:szCs w:val="22"/>
                <w:lang w:val="en-US" w:eastAsia="zh-CN"/>
              </w:rPr>
            </w:pPr>
          </w:p>
          <w:p>
            <w:pPr>
              <w:widowControl/>
              <w:ind w:left="0" w:leftChars="0" w:right="0" w:rightChars="0"/>
              <w:jc w:val="center"/>
              <w:rPr>
                <w:rFonts w:hint="eastAsia" w:cs="宋体"/>
                <w:kern w:val="0"/>
                <w:sz w:val="22"/>
                <w:szCs w:val="22"/>
                <w:lang w:val="en-US" w:eastAsia="zh-CN"/>
              </w:rPr>
            </w:pPr>
            <w:r>
              <w:rPr>
                <w:rFonts w:hint="eastAsia" w:cs="宋体"/>
                <w:kern w:val="0"/>
                <w:sz w:val="22"/>
                <w:szCs w:val="22"/>
                <w:lang w:val="en-US" w:eastAsia="zh-CN"/>
              </w:rPr>
              <w:t>5分</w:t>
            </w:r>
          </w:p>
        </w:tc>
        <w:tc>
          <w:tcPr>
            <w:tcW w:w="4627" w:type="dxa"/>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 xml:space="preserve">完全符合要求 5 分； 基本符合要求 1-4 分； </w:t>
            </w:r>
          </w:p>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不 符合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1014" w:type="dxa"/>
            <w:vMerge w:val="continue"/>
            <w:vAlign w:val="top"/>
          </w:tcPr>
          <w:p>
            <w:pPr>
              <w:widowControl/>
              <w:ind w:left="0" w:leftChars="0" w:right="0" w:rightChars="0"/>
              <w:jc w:val="left"/>
              <w:rPr>
                <w:rFonts w:hint="eastAsia" w:ascii="仿宋" w:hAnsi="仿宋" w:eastAsia="仿宋" w:cs="宋体"/>
                <w:kern w:val="0"/>
                <w:sz w:val="22"/>
                <w:szCs w:val="22"/>
                <w:lang w:val="en-US" w:eastAsia="zh-CN"/>
              </w:rPr>
            </w:pPr>
          </w:p>
        </w:tc>
        <w:tc>
          <w:tcPr>
            <w:tcW w:w="3990" w:type="dxa"/>
            <w:tcBorders>
              <w:left w:val="single" w:color="auto" w:sz="4" w:space="0"/>
            </w:tcBorders>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全面收集了调查区自然地理、地质、社会经济、规 划等方面的资料，并结合调查工作进行了阐述。</w:t>
            </w:r>
          </w:p>
        </w:tc>
        <w:tc>
          <w:tcPr>
            <w:tcW w:w="810" w:type="dxa"/>
            <w:vAlign w:val="top"/>
          </w:tcPr>
          <w:p>
            <w:pPr>
              <w:widowControl/>
              <w:ind w:left="0" w:leftChars="0" w:right="0" w:rightChars="0"/>
              <w:jc w:val="center"/>
              <w:rPr>
                <w:rFonts w:hint="eastAsia" w:ascii="仿宋" w:hAnsi="仿宋" w:eastAsia="仿宋" w:cs="宋体"/>
                <w:kern w:val="0"/>
                <w:sz w:val="22"/>
                <w:szCs w:val="22"/>
                <w:lang w:val="en-US" w:eastAsia="zh-CN"/>
              </w:rPr>
            </w:pPr>
          </w:p>
          <w:p>
            <w:pPr>
              <w:widowControl/>
              <w:ind w:left="0" w:leftChars="0" w:right="0" w:rightChars="0"/>
              <w:jc w:val="center"/>
              <w:rPr>
                <w:rFonts w:hint="eastAsia" w:ascii="仿宋" w:hAnsi="仿宋" w:eastAsia="仿宋" w:cs="宋体"/>
                <w:kern w:val="0"/>
                <w:sz w:val="22"/>
                <w:szCs w:val="22"/>
                <w:lang w:val="en-US" w:eastAsia="zh-CN"/>
              </w:rPr>
            </w:pPr>
          </w:p>
          <w:p>
            <w:pPr>
              <w:widowControl/>
              <w:ind w:left="0" w:leftChars="0" w:right="0" w:rightChars="0"/>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8分</w:t>
            </w:r>
          </w:p>
        </w:tc>
        <w:tc>
          <w:tcPr>
            <w:tcW w:w="4627" w:type="dxa"/>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资料收集完整、内容全面 6-8 分；  资料收集基 本完整、内容基本全面 1-5 分； 无资料收集和阐 述内容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014" w:type="dxa"/>
            <w:vMerge w:val="continue"/>
            <w:vAlign w:val="top"/>
          </w:tcPr>
          <w:p>
            <w:pPr>
              <w:widowControl/>
              <w:ind w:left="0" w:leftChars="0" w:right="0" w:rightChars="0"/>
              <w:jc w:val="left"/>
              <w:rPr>
                <w:rFonts w:hint="eastAsia" w:ascii="仿宋" w:hAnsi="仿宋" w:eastAsia="仿宋" w:cs="宋体"/>
                <w:kern w:val="0"/>
                <w:sz w:val="22"/>
                <w:szCs w:val="22"/>
                <w:lang w:val="en-US" w:eastAsia="zh-CN"/>
              </w:rPr>
            </w:pPr>
          </w:p>
        </w:tc>
        <w:tc>
          <w:tcPr>
            <w:tcW w:w="3990" w:type="dxa"/>
            <w:tcBorders>
              <w:left w:val="single" w:color="auto" w:sz="4" w:space="0"/>
            </w:tcBorders>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工作思路、工作部署、工作量布置、进度安排明确 清晰。主要内容包括：                          1.调查、评价和预测滑坡、崩塌、泥石流发展趋势， 进行环境工程地质条件区划；2.调查潜在和已发生滑坡、崩塌、泥石流等地质灾 害点并评估复活性、危险性、危害性，提出防治措 施建议；                                      3.部署重要区域大比例尺风险调查、重大单体孕灾 机理研究等，工作部署和量科学合理；4.进行地质灾害分区评价，圈定易发区和危险区， 编制（或完善） 地质灾害防治区划（建议） ；协助 地方政府完善地质灾害群测群防网络，编制重要地 质灾害隐患点防灾预案；5、提出地质灾害风险管控对策建议，为防灾减灾  管理、国土空间规划和用途管制等提供基础依据。6、建立地质灾害风险调查空间数据库。</w:t>
            </w:r>
          </w:p>
        </w:tc>
        <w:tc>
          <w:tcPr>
            <w:tcW w:w="810" w:type="dxa"/>
            <w:vAlign w:val="top"/>
          </w:tcPr>
          <w:p>
            <w:pPr>
              <w:widowControl/>
              <w:ind w:left="0" w:leftChars="0" w:right="0" w:rightChars="0"/>
              <w:jc w:val="center"/>
              <w:rPr>
                <w:rFonts w:hint="eastAsia" w:ascii="仿宋" w:hAnsi="仿宋" w:eastAsia="仿宋" w:cs="宋体"/>
                <w:kern w:val="0"/>
                <w:sz w:val="22"/>
                <w:szCs w:val="22"/>
                <w:lang w:val="en-US" w:eastAsia="zh-CN"/>
              </w:rPr>
            </w:pPr>
          </w:p>
          <w:p>
            <w:pPr>
              <w:widowControl/>
              <w:ind w:left="0" w:leftChars="0" w:right="0" w:rightChars="0"/>
              <w:jc w:val="center"/>
              <w:rPr>
                <w:rFonts w:hint="eastAsia" w:ascii="仿宋" w:hAnsi="仿宋" w:eastAsia="仿宋" w:cs="宋体"/>
                <w:kern w:val="0"/>
                <w:sz w:val="22"/>
                <w:szCs w:val="22"/>
                <w:lang w:val="en-US" w:eastAsia="zh-CN"/>
              </w:rPr>
            </w:pPr>
          </w:p>
          <w:p>
            <w:pPr>
              <w:widowControl/>
              <w:ind w:left="0" w:leftChars="0" w:right="0" w:rightChars="0"/>
              <w:jc w:val="center"/>
              <w:rPr>
                <w:rFonts w:hint="eastAsia" w:ascii="仿宋" w:hAnsi="仿宋" w:eastAsia="仿宋" w:cs="宋体"/>
                <w:kern w:val="0"/>
                <w:sz w:val="22"/>
                <w:szCs w:val="22"/>
                <w:lang w:val="en-US" w:eastAsia="zh-CN"/>
              </w:rPr>
            </w:pPr>
          </w:p>
          <w:p>
            <w:pPr>
              <w:widowControl/>
              <w:ind w:left="0" w:leftChars="0" w:right="0" w:rightChars="0" w:firstLine="220" w:firstLineChars="100"/>
              <w:jc w:val="both"/>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20 分</w:t>
            </w:r>
          </w:p>
        </w:tc>
        <w:tc>
          <w:tcPr>
            <w:tcW w:w="4627" w:type="dxa"/>
            <w:vAlign w:val="top"/>
          </w:tcPr>
          <w:p>
            <w:pPr>
              <w:widowControl/>
              <w:ind w:left="0" w:leftChars="0" w:right="0" w:rightChars="0"/>
              <w:jc w:val="left"/>
              <w:rPr>
                <w:rFonts w:hint="eastAsia" w:ascii="仿宋" w:hAnsi="仿宋" w:eastAsia="仿宋" w:cs="宋体"/>
                <w:kern w:val="0"/>
                <w:sz w:val="22"/>
                <w:szCs w:val="22"/>
                <w:lang w:val="en-US" w:eastAsia="zh-CN"/>
              </w:rPr>
            </w:pPr>
          </w:p>
          <w:p>
            <w:pPr>
              <w:widowControl/>
              <w:ind w:left="0" w:leftChars="0" w:right="0" w:rightChars="0"/>
              <w:jc w:val="left"/>
              <w:rPr>
                <w:rFonts w:hint="eastAsia" w:ascii="仿宋" w:hAnsi="仿宋" w:eastAsia="仿宋" w:cs="宋体"/>
                <w:kern w:val="0"/>
                <w:sz w:val="22"/>
                <w:szCs w:val="22"/>
                <w:lang w:val="en-US" w:eastAsia="zh-CN"/>
              </w:rPr>
            </w:pPr>
          </w:p>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内容全面、合理 20 分，每缺 1 项扣 4 分，内 容不合理或不完整的每处扣 2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014" w:type="dxa"/>
            <w:vMerge w:val="continue"/>
            <w:vAlign w:val="top"/>
          </w:tcPr>
          <w:p>
            <w:pPr>
              <w:widowControl/>
              <w:ind w:left="0" w:leftChars="0" w:right="0" w:rightChars="0"/>
              <w:jc w:val="left"/>
              <w:rPr>
                <w:rFonts w:hint="eastAsia" w:ascii="仿宋" w:hAnsi="仿宋" w:eastAsia="仿宋" w:cs="宋体"/>
                <w:kern w:val="0"/>
                <w:sz w:val="22"/>
                <w:szCs w:val="22"/>
                <w:lang w:val="en-US" w:eastAsia="zh-CN"/>
              </w:rPr>
            </w:pPr>
          </w:p>
        </w:tc>
        <w:tc>
          <w:tcPr>
            <w:tcW w:w="3990" w:type="dxa"/>
            <w:tcBorders>
              <w:left w:val="single" w:color="auto" w:sz="4" w:space="0"/>
            </w:tcBorders>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工作方法手段得当、适宜，技术要求明确，采用遥 感解译、地面调查等工作手段等。完善地质灾害信 息系统，健全完善群测群防的监测网络，为减灾防 灾和制定防灾规划提供基础地质依据</w:t>
            </w:r>
          </w:p>
        </w:tc>
        <w:tc>
          <w:tcPr>
            <w:tcW w:w="810" w:type="dxa"/>
            <w:vAlign w:val="top"/>
          </w:tcPr>
          <w:p>
            <w:pPr>
              <w:widowControl/>
              <w:ind w:left="0" w:leftChars="0" w:right="0" w:rightChars="0"/>
              <w:jc w:val="center"/>
              <w:rPr>
                <w:rFonts w:hint="eastAsia" w:ascii="仿宋" w:hAnsi="仿宋" w:eastAsia="仿宋" w:cs="宋体"/>
                <w:kern w:val="0"/>
                <w:sz w:val="22"/>
                <w:szCs w:val="22"/>
                <w:lang w:val="en-US" w:eastAsia="zh-CN"/>
              </w:rPr>
            </w:pPr>
          </w:p>
          <w:p>
            <w:pPr>
              <w:widowControl/>
              <w:ind w:left="0" w:leftChars="0" w:right="0" w:rightChars="0"/>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10分</w:t>
            </w:r>
          </w:p>
        </w:tc>
        <w:tc>
          <w:tcPr>
            <w:tcW w:w="4627" w:type="dxa"/>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工作方法具有针对性，符合技术规范要求，适宜 明确 6-10 分； 针对</w:t>
            </w:r>
          </w:p>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性较好、基本符合规范要求 1-5 分；</w:t>
            </w:r>
          </w:p>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无针对性、不符合规范要求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014" w:type="dxa"/>
            <w:vMerge w:val="continue"/>
            <w:vAlign w:val="top"/>
          </w:tcPr>
          <w:p>
            <w:pPr>
              <w:widowControl/>
              <w:ind w:left="0" w:leftChars="0" w:right="0" w:rightChars="0"/>
              <w:jc w:val="left"/>
              <w:rPr>
                <w:rFonts w:hint="eastAsia" w:ascii="仿宋" w:hAnsi="仿宋" w:eastAsia="仿宋" w:cs="宋体"/>
                <w:kern w:val="0"/>
                <w:sz w:val="22"/>
                <w:szCs w:val="22"/>
                <w:lang w:val="en-US" w:eastAsia="zh-CN"/>
              </w:rPr>
            </w:pPr>
          </w:p>
        </w:tc>
        <w:tc>
          <w:tcPr>
            <w:tcW w:w="3990" w:type="dxa"/>
            <w:tcBorders>
              <w:left w:val="single" w:color="auto" w:sz="4" w:space="0"/>
            </w:tcBorders>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绩效目标明确合理</w:t>
            </w:r>
          </w:p>
        </w:tc>
        <w:tc>
          <w:tcPr>
            <w:tcW w:w="810" w:type="dxa"/>
            <w:vAlign w:val="top"/>
          </w:tcPr>
          <w:p>
            <w:pPr>
              <w:widowControl/>
              <w:ind w:left="0" w:leftChars="0" w:right="0" w:rightChars="0"/>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8分</w:t>
            </w:r>
          </w:p>
        </w:tc>
        <w:tc>
          <w:tcPr>
            <w:tcW w:w="4627" w:type="dxa"/>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与招标文件要求完全一致 8 分，基本一致 4-7 分，完全不一致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014" w:type="dxa"/>
            <w:vMerge w:val="continue"/>
            <w:vAlign w:val="top"/>
          </w:tcPr>
          <w:p>
            <w:pPr>
              <w:widowControl/>
              <w:ind w:left="0" w:leftChars="0" w:right="0" w:rightChars="0"/>
              <w:jc w:val="left"/>
              <w:rPr>
                <w:rFonts w:hint="eastAsia" w:ascii="仿宋" w:hAnsi="仿宋" w:eastAsia="仿宋" w:cs="宋体"/>
                <w:kern w:val="0"/>
                <w:sz w:val="22"/>
                <w:szCs w:val="22"/>
                <w:lang w:val="en-US" w:eastAsia="zh-CN"/>
              </w:rPr>
            </w:pPr>
          </w:p>
        </w:tc>
        <w:tc>
          <w:tcPr>
            <w:tcW w:w="3990" w:type="dxa"/>
            <w:tcBorders>
              <w:left w:val="single" w:color="auto" w:sz="4" w:space="0"/>
            </w:tcBorders>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预期成果应对提交的成果报告、附图、附件、信息 系统建设等予以明确</w:t>
            </w:r>
          </w:p>
        </w:tc>
        <w:tc>
          <w:tcPr>
            <w:tcW w:w="810" w:type="dxa"/>
            <w:vAlign w:val="top"/>
          </w:tcPr>
          <w:p>
            <w:pPr>
              <w:widowControl/>
              <w:ind w:left="0" w:leftChars="0" w:right="0" w:rightChars="0"/>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7分</w:t>
            </w:r>
          </w:p>
        </w:tc>
        <w:tc>
          <w:tcPr>
            <w:tcW w:w="4627" w:type="dxa"/>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预期成果与招标文件要求完全一致 7 分，基本一 致 1-6 分，完全不一致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014" w:type="dxa"/>
            <w:vMerge w:val="continue"/>
            <w:vAlign w:val="top"/>
          </w:tcPr>
          <w:p>
            <w:pPr>
              <w:widowControl/>
              <w:ind w:left="0" w:leftChars="0" w:right="0" w:rightChars="0"/>
              <w:jc w:val="left"/>
              <w:rPr>
                <w:rFonts w:hint="eastAsia" w:ascii="仿宋" w:hAnsi="仿宋" w:eastAsia="仿宋" w:cs="宋体"/>
                <w:kern w:val="0"/>
                <w:sz w:val="22"/>
                <w:szCs w:val="22"/>
                <w:lang w:val="en-US" w:eastAsia="zh-CN"/>
              </w:rPr>
            </w:pPr>
          </w:p>
        </w:tc>
        <w:tc>
          <w:tcPr>
            <w:tcW w:w="3990" w:type="dxa"/>
            <w:tcBorders>
              <w:left w:val="single" w:color="auto" w:sz="4" w:space="0"/>
            </w:tcBorders>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组织管理机构和主要技术人员配备</w:t>
            </w:r>
          </w:p>
        </w:tc>
        <w:tc>
          <w:tcPr>
            <w:tcW w:w="810" w:type="dxa"/>
            <w:vAlign w:val="top"/>
          </w:tcPr>
          <w:p>
            <w:pPr>
              <w:widowControl/>
              <w:ind w:left="0" w:leftChars="0" w:right="0" w:rightChars="0"/>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5分</w:t>
            </w:r>
          </w:p>
        </w:tc>
        <w:tc>
          <w:tcPr>
            <w:tcW w:w="4627" w:type="dxa"/>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管理机构健全明确、项目人员专业组成全面、分 工合理 5 分，基本健全明确、基本全面、合理、 基本满足 1-4 分，无内容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014" w:type="dxa"/>
            <w:vMerge w:val="continue"/>
            <w:vAlign w:val="top"/>
          </w:tcPr>
          <w:p>
            <w:pPr>
              <w:widowControl/>
              <w:ind w:left="0" w:leftChars="0" w:right="0" w:rightChars="0"/>
              <w:jc w:val="left"/>
              <w:rPr>
                <w:rFonts w:hint="eastAsia" w:ascii="仿宋" w:hAnsi="仿宋" w:eastAsia="仿宋" w:cs="宋体"/>
                <w:kern w:val="0"/>
                <w:sz w:val="22"/>
                <w:szCs w:val="22"/>
                <w:lang w:val="en-US" w:eastAsia="zh-CN"/>
              </w:rPr>
            </w:pPr>
          </w:p>
        </w:tc>
        <w:tc>
          <w:tcPr>
            <w:tcW w:w="3990" w:type="dxa"/>
            <w:tcBorders>
              <w:left w:val="single" w:color="auto" w:sz="4" w:space="0"/>
            </w:tcBorders>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主要设备配置应齐备</w:t>
            </w:r>
          </w:p>
        </w:tc>
        <w:tc>
          <w:tcPr>
            <w:tcW w:w="810" w:type="dxa"/>
            <w:vAlign w:val="top"/>
          </w:tcPr>
          <w:p>
            <w:pPr>
              <w:widowControl/>
              <w:ind w:left="0" w:leftChars="0" w:right="0" w:rightChars="0"/>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3分</w:t>
            </w:r>
          </w:p>
        </w:tc>
        <w:tc>
          <w:tcPr>
            <w:tcW w:w="4627" w:type="dxa"/>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符合项目技术要求、齐备 3 分，基本符合 1-2 分，不符合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014" w:type="dxa"/>
            <w:vAlign w:val="top"/>
          </w:tcPr>
          <w:p>
            <w:pPr>
              <w:widowControl/>
              <w:ind w:left="0" w:leftChars="0" w:right="0" w:rightChars="0"/>
              <w:jc w:val="left"/>
              <w:rPr>
                <w:rFonts w:hint="eastAsia" w:ascii="仿宋" w:hAnsi="仿宋" w:eastAsia="仿宋" w:cs="宋体"/>
                <w:kern w:val="0"/>
                <w:sz w:val="22"/>
                <w:szCs w:val="22"/>
                <w:lang w:val="en-US" w:eastAsia="zh-CN"/>
              </w:rPr>
            </w:pPr>
          </w:p>
        </w:tc>
        <w:tc>
          <w:tcPr>
            <w:tcW w:w="3990" w:type="dxa"/>
            <w:tcBorders>
              <w:left w:val="single" w:color="auto" w:sz="4" w:space="0"/>
            </w:tcBorders>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质量、进度、安全的保障体系应健全，主要措施应 明确</w:t>
            </w:r>
          </w:p>
        </w:tc>
        <w:tc>
          <w:tcPr>
            <w:tcW w:w="810" w:type="dxa"/>
            <w:vAlign w:val="top"/>
          </w:tcPr>
          <w:p>
            <w:pPr>
              <w:widowControl/>
              <w:ind w:left="0" w:leftChars="0" w:right="0" w:rightChars="0"/>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4分</w:t>
            </w:r>
          </w:p>
        </w:tc>
        <w:tc>
          <w:tcPr>
            <w:tcW w:w="4627" w:type="dxa"/>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健全明确 4 分，基本健全明确 1-3 分，无内容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014" w:type="dxa"/>
            <w:vAlign w:val="top"/>
          </w:tcPr>
          <w:p>
            <w:pPr>
              <w:widowControl/>
              <w:ind w:left="0" w:leftChars="0" w:right="0" w:rightChars="0"/>
              <w:jc w:val="left"/>
              <w:rPr>
                <w:rFonts w:hint="eastAsia" w:ascii="仿宋" w:hAnsi="仿宋" w:eastAsia="仿宋" w:cs="宋体"/>
                <w:kern w:val="0"/>
                <w:sz w:val="22"/>
                <w:szCs w:val="22"/>
                <w:lang w:val="en-US" w:eastAsia="zh-CN"/>
              </w:rPr>
            </w:pPr>
          </w:p>
        </w:tc>
        <w:tc>
          <w:tcPr>
            <w:tcW w:w="3990" w:type="dxa"/>
            <w:tcBorders>
              <w:left w:val="single" w:color="auto" w:sz="4" w:space="0"/>
            </w:tcBorders>
            <w:vAlign w:val="top"/>
          </w:tcPr>
          <w:p>
            <w:pPr>
              <w:widowControl/>
              <w:ind w:left="0" w:leftChars="0" w:right="0" w:rightChars="0"/>
              <w:jc w:val="left"/>
              <w:rPr>
                <w:rFonts w:hint="eastAsia" w:ascii="仿宋" w:hAnsi="仿宋" w:eastAsia="仿宋" w:cs="宋体"/>
                <w:kern w:val="0"/>
                <w:sz w:val="22"/>
                <w:szCs w:val="22"/>
                <w:lang w:val="en-US" w:eastAsia="zh-CN"/>
              </w:rPr>
            </w:pPr>
          </w:p>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业绩</w:t>
            </w:r>
          </w:p>
        </w:tc>
        <w:tc>
          <w:tcPr>
            <w:tcW w:w="810" w:type="dxa"/>
            <w:vAlign w:val="top"/>
          </w:tcPr>
          <w:p>
            <w:pPr>
              <w:widowControl/>
              <w:ind w:left="0" w:leftChars="0" w:right="0" w:rightChars="0"/>
              <w:jc w:val="center"/>
              <w:rPr>
                <w:rFonts w:hint="eastAsia" w:cs="宋体"/>
                <w:kern w:val="0"/>
                <w:sz w:val="22"/>
                <w:szCs w:val="22"/>
                <w:lang w:val="en-US" w:eastAsia="zh-CN"/>
              </w:rPr>
            </w:pPr>
          </w:p>
          <w:p>
            <w:pPr>
              <w:widowControl/>
              <w:ind w:left="0" w:leftChars="0" w:right="0" w:rightChars="0"/>
              <w:jc w:val="center"/>
              <w:rPr>
                <w:rFonts w:hint="eastAsia" w:ascii="仿宋" w:hAnsi="仿宋" w:eastAsia="仿宋" w:cs="宋体"/>
                <w:kern w:val="0"/>
                <w:sz w:val="22"/>
                <w:szCs w:val="22"/>
                <w:lang w:val="en-US" w:eastAsia="zh-CN"/>
              </w:rPr>
            </w:pPr>
            <w:r>
              <w:rPr>
                <w:rFonts w:hint="eastAsia" w:cs="宋体"/>
                <w:kern w:val="0"/>
                <w:sz w:val="22"/>
                <w:szCs w:val="22"/>
                <w:lang w:val="en-US" w:eastAsia="zh-CN"/>
              </w:rPr>
              <w:t>5分</w:t>
            </w:r>
          </w:p>
        </w:tc>
        <w:tc>
          <w:tcPr>
            <w:tcW w:w="4627" w:type="dxa"/>
            <w:vAlign w:val="top"/>
          </w:tcPr>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每提供近三年</w:t>
            </w:r>
            <w:r>
              <w:rPr>
                <w:rFonts w:hint="eastAsia" w:cs="宋体"/>
                <w:kern w:val="0"/>
                <w:sz w:val="22"/>
                <w:szCs w:val="22"/>
                <w:lang w:val="en-US" w:eastAsia="zh-CN"/>
              </w:rPr>
              <w:t>(2019年1月1日至今)</w:t>
            </w:r>
            <w:r>
              <w:rPr>
                <w:rFonts w:hint="eastAsia" w:ascii="仿宋" w:hAnsi="仿宋" w:eastAsia="仿宋" w:cs="宋体"/>
                <w:kern w:val="0"/>
                <w:sz w:val="22"/>
                <w:szCs w:val="22"/>
                <w:lang w:val="en-US" w:eastAsia="zh-CN"/>
              </w:rPr>
              <w:t>一项类似业绩并提供证明材料得</w:t>
            </w:r>
            <w:r>
              <w:rPr>
                <w:rFonts w:hint="eastAsia" w:cs="宋体"/>
                <w:kern w:val="0"/>
                <w:sz w:val="22"/>
                <w:szCs w:val="22"/>
                <w:lang w:val="en-US" w:eastAsia="zh-CN"/>
              </w:rPr>
              <w:t>1</w:t>
            </w:r>
            <w:r>
              <w:rPr>
                <w:rFonts w:hint="eastAsia" w:ascii="仿宋" w:hAnsi="仿宋" w:eastAsia="仿宋" w:cs="宋体"/>
                <w:kern w:val="0"/>
                <w:sz w:val="22"/>
                <w:szCs w:val="22"/>
                <w:lang w:val="en-US" w:eastAsia="zh-CN"/>
              </w:rPr>
              <w:t>分，未提供证明材料不得分，本项最高得</w:t>
            </w:r>
            <w:r>
              <w:rPr>
                <w:rFonts w:hint="eastAsia" w:cs="宋体"/>
                <w:kern w:val="0"/>
                <w:sz w:val="22"/>
                <w:szCs w:val="22"/>
                <w:lang w:val="en-US" w:eastAsia="zh-CN"/>
              </w:rPr>
              <w:t>5</w:t>
            </w:r>
            <w:r>
              <w:rPr>
                <w:rFonts w:hint="eastAsia" w:ascii="仿宋" w:hAnsi="仿宋" w:eastAsia="仿宋" w:cs="宋体"/>
                <w:kern w:val="0"/>
                <w:sz w:val="22"/>
                <w:szCs w:val="22"/>
                <w:lang w:val="en-US"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014" w:type="dxa"/>
            <w:vAlign w:val="top"/>
          </w:tcPr>
          <w:p>
            <w:pPr>
              <w:widowControl/>
              <w:ind w:left="0" w:leftChars="0" w:right="0" w:rightChars="0"/>
              <w:jc w:val="left"/>
              <w:rPr>
                <w:rFonts w:hint="eastAsia" w:ascii="仿宋" w:hAnsi="仿宋" w:eastAsia="仿宋" w:cs="宋体"/>
                <w:kern w:val="0"/>
                <w:sz w:val="22"/>
                <w:szCs w:val="22"/>
                <w:lang w:val="en-US" w:eastAsia="zh-CN"/>
              </w:rPr>
            </w:pPr>
          </w:p>
        </w:tc>
        <w:tc>
          <w:tcPr>
            <w:tcW w:w="3990" w:type="dxa"/>
            <w:tcBorders>
              <w:left w:val="single" w:color="auto" w:sz="4" w:space="0"/>
            </w:tcBorders>
            <w:vAlign w:val="center"/>
          </w:tcPr>
          <w:p>
            <w:pPr>
              <w:snapToGrid w:val="0"/>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仿宋"/>
                <w:szCs w:val="21"/>
              </w:rPr>
              <w:t>企业履约能力</w:t>
            </w:r>
          </w:p>
        </w:tc>
        <w:tc>
          <w:tcPr>
            <w:tcW w:w="810" w:type="dxa"/>
            <w:vAlign w:val="center"/>
          </w:tcPr>
          <w:p>
            <w:pPr>
              <w:snapToGrid w:val="0"/>
              <w:ind w:left="0" w:leftChars="0" w:right="0" w:rightChars="0"/>
              <w:jc w:val="center"/>
              <w:rPr>
                <w:rFonts w:hint="eastAsia" w:ascii="仿宋" w:hAnsi="仿宋" w:eastAsia="仿宋" w:cs="宋体"/>
                <w:kern w:val="0"/>
                <w:sz w:val="22"/>
                <w:szCs w:val="22"/>
                <w:lang w:val="en-US" w:eastAsia="zh-CN"/>
              </w:rPr>
            </w:pPr>
            <w:r>
              <w:rPr>
                <w:rFonts w:hint="eastAsia" w:cs="仿宋"/>
                <w:szCs w:val="21"/>
                <w:lang w:val="en-US" w:eastAsia="zh-CN"/>
              </w:rPr>
              <w:t>3分</w:t>
            </w:r>
          </w:p>
        </w:tc>
        <w:tc>
          <w:tcPr>
            <w:tcW w:w="4627" w:type="dxa"/>
            <w:vAlign w:val="center"/>
          </w:tcPr>
          <w:p>
            <w:pPr>
              <w:snapToGrid w:val="0"/>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仿宋"/>
                <w:szCs w:val="21"/>
              </w:rPr>
              <w:t>投标单位自行提供近年项目履约能力及相关证明材料</w:t>
            </w:r>
            <w:r>
              <w:rPr>
                <w:rFonts w:hint="eastAsia" w:ascii="仿宋" w:hAnsi="仿宋" w:eastAsia="仿宋" w:cs="仿宋"/>
                <w:szCs w:val="21"/>
                <w:highlight w:val="none"/>
                <w:lang w:val="en-US" w:eastAsia="zh-CN"/>
              </w:rPr>
              <w:t>，</w:t>
            </w:r>
            <w:r>
              <w:rPr>
                <w:rFonts w:hint="eastAsia" w:ascii="仿宋" w:hAnsi="仿宋" w:eastAsia="仿宋" w:cs="仿宋"/>
                <w:szCs w:val="21"/>
              </w:rPr>
              <w:t>投标单位自行阐述自己单位履约能力，证明对该项目履约无问题，不提供资料的不给分，由专家专家评委进行综合评定，视具体情况给分，分值0-</w:t>
            </w:r>
            <w:r>
              <w:rPr>
                <w:rFonts w:hint="eastAsia" w:cs="仿宋"/>
                <w:szCs w:val="21"/>
                <w:lang w:val="en-US" w:eastAsia="zh-CN"/>
              </w:rPr>
              <w:t>3</w:t>
            </w:r>
            <w:r>
              <w:rPr>
                <w:rFonts w:hint="eastAsia" w:ascii="仿宋" w:hAnsi="仿宋" w:eastAsia="仿宋" w:cs="仿宋"/>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014" w:type="dxa"/>
            <w:tcBorders>
              <w:bottom w:val="single" w:color="auto" w:sz="4" w:space="0"/>
            </w:tcBorders>
            <w:vAlign w:val="top"/>
          </w:tcPr>
          <w:p>
            <w:pPr>
              <w:widowControl/>
              <w:ind w:left="0" w:leftChars="0" w:right="0" w:rightChars="0"/>
              <w:jc w:val="left"/>
              <w:rPr>
                <w:rFonts w:hint="eastAsia" w:ascii="仿宋" w:hAnsi="仿宋" w:eastAsia="仿宋" w:cs="宋体"/>
                <w:kern w:val="0"/>
                <w:sz w:val="22"/>
                <w:szCs w:val="22"/>
                <w:lang w:val="en-US" w:eastAsia="zh-CN"/>
              </w:rPr>
            </w:pPr>
          </w:p>
        </w:tc>
        <w:tc>
          <w:tcPr>
            <w:tcW w:w="3990" w:type="dxa"/>
            <w:tcBorders>
              <w:left w:val="single" w:color="auto" w:sz="4" w:space="0"/>
            </w:tcBorders>
            <w:vAlign w:val="center"/>
          </w:tcPr>
          <w:p>
            <w:pPr>
              <w:snapToGrid w:val="0"/>
              <w:ind w:left="0" w:leftChars="0" w:right="0" w:rightChars="0"/>
              <w:jc w:val="left"/>
              <w:rPr>
                <w:rFonts w:hint="eastAsia" w:ascii="仿宋" w:hAnsi="仿宋" w:eastAsia="仿宋" w:cs="仿宋"/>
                <w:szCs w:val="21"/>
              </w:rPr>
            </w:pPr>
            <w:r>
              <w:rPr>
                <w:rFonts w:hint="eastAsia" w:ascii="仿宋" w:hAnsi="仿宋" w:eastAsia="仿宋" w:cs="仿宋"/>
                <w:szCs w:val="21"/>
              </w:rPr>
              <w:t>标函质量</w:t>
            </w:r>
          </w:p>
        </w:tc>
        <w:tc>
          <w:tcPr>
            <w:tcW w:w="810" w:type="dxa"/>
            <w:vAlign w:val="center"/>
          </w:tcPr>
          <w:p>
            <w:pPr>
              <w:snapToGrid w:val="0"/>
              <w:ind w:left="0" w:leftChars="0" w:right="0" w:rightChars="0" w:firstLine="220" w:firstLineChars="100"/>
              <w:jc w:val="both"/>
              <w:rPr>
                <w:rFonts w:hint="eastAsia" w:cs="仿宋"/>
                <w:szCs w:val="21"/>
                <w:lang w:val="en-US" w:eastAsia="zh-CN"/>
              </w:rPr>
            </w:pPr>
            <w:r>
              <w:rPr>
                <w:rFonts w:hint="eastAsia" w:cs="宋体"/>
                <w:kern w:val="0"/>
                <w:sz w:val="22"/>
                <w:szCs w:val="22"/>
                <w:lang w:val="en-US" w:eastAsia="zh-CN"/>
              </w:rPr>
              <w:t>2分</w:t>
            </w:r>
          </w:p>
        </w:tc>
        <w:tc>
          <w:tcPr>
            <w:tcW w:w="4627" w:type="dxa"/>
            <w:vAlign w:val="center"/>
          </w:tcPr>
          <w:p>
            <w:pPr>
              <w:snapToGrid w:val="0"/>
              <w:ind w:left="0" w:leftChars="0" w:right="0" w:rightChars="0"/>
              <w:jc w:val="left"/>
              <w:rPr>
                <w:rFonts w:hint="eastAsia" w:ascii="仿宋" w:hAnsi="仿宋" w:eastAsia="仿宋" w:cs="仿宋"/>
                <w:szCs w:val="21"/>
              </w:rPr>
            </w:pPr>
            <w:r>
              <w:rPr>
                <w:rFonts w:hint="eastAsia" w:ascii="仿宋" w:hAnsi="仿宋" w:eastAsia="仿宋" w:cs="仿宋"/>
                <w:szCs w:val="21"/>
              </w:rPr>
              <w:t>根据投标文件标函编制内容完整、齐全、叙述严谨；投标文件无涂改、错页、漏页现象；投标文件内容不得重复性、反复性出现资料，具体由评委视具体情况给分，分值0-</w:t>
            </w:r>
            <w:r>
              <w:rPr>
                <w:rFonts w:hint="eastAsia" w:ascii="仿宋" w:hAnsi="仿宋" w:eastAsia="仿宋" w:cs="仿宋"/>
                <w:szCs w:val="21"/>
                <w:lang w:val="en-US" w:eastAsia="zh-CN"/>
              </w:rPr>
              <w:t>2</w:t>
            </w:r>
            <w:r>
              <w:rPr>
                <w:rFonts w:hint="eastAsia" w:ascii="仿宋" w:hAnsi="仿宋" w:eastAsia="仿宋" w:cs="仿宋"/>
                <w:szCs w:val="21"/>
              </w:rPr>
              <w:t>分。</w:t>
            </w:r>
          </w:p>
        </w:tc>
      </w:tr>
    </w:tbl>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 xml:space="preserve">注：评标委员会根据汇总各投标企业的综合得分，按照得分高低进行排序，取前三名作为中标候选人 </w:t>
      </w:r>
    </w:p>
    <w:p>
      <w:pPr>
        <w:widowControl/>
        <w:ind w:left="0" w:leftChars="0" w:right="0" w:rightChars="0"/>
        <w:jc w:val="left"/>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 xml:space="preserve">推荐给招标人。如果投标人的得分相同，取投标报价低的排在前；如报价也相同，则由评标委员会抽 </w:t>
      </w:r>
    </w:p>
    <w:p>
      <w:pPr>
        <w:widowControl/>
        <w:ind w:left="0" w:leftChars="0" w:right="0" w:rightChars="0"/>
        <w:jc w:val="left"/>
        <w:rPr>
          <w:sz w:val="24"/>
        </w:rPr>
        <w:sectPr>
          <w:headerReference r:id="rId9" w:type="default"/>
          <w:footerReference r:id="rId10" w:type="default"/>
          <w:pgSz w:w="11910" w:h="16840"/>
          <w:pgMar w:top="1480" w:right="940" w:bottom="1180" w:left="940" w:header="0" w:footer="1000" w:gutter="0"/>
          <w:pgBorders>
            <w:top w:val="none" w:sz="0" w:space="0"/>
            <w:left w:val="none" w:sz="0" w:space="0"/>
            <w:bottom w:val="none" w:sz="0" w:space="0"/>
            <w:right w:val="none" w:sz="0" w:space="0"/>
          </w:pgBorders>
          <w:pgNumType w:fmt="decimal"/>
          <w:cols w:space="720" w:num="1"/>
        </w:sectPr>
      </w:pPr>
      <w:r>
        <w:rPr>
          <w:rFonts w:hint="eastAsia" w:ascii="仿宋" w:hAnsi="仿宋" w:eastAsia="仿宋" w:cs="宋体"/>
          <w:kern w:val="0"/>
          <w:sz w:val="22"/>
          <w:szCs w:val="22"/>
          <w:lang w:val="en-US" w:eastAsia="zh-CN"/>
        </w:rPr>
        <w:t>签确定</w:t>
      </w:r>
    </w:p>
    <w:p>
      <w:pPr>
        <w:pStyle w:val="10"/>
        <w:spacing w:before="9"/>
        <w:rPr>
          <w:rFonts w:ascii="楷体"/>
          <w:sz w:val="22"/>
        </w:rPr>
      </w:pPr>
      <w:bookmarkStart w:id="76" w:name="_bookmark33"/>
      <w:bookmarkEnd w:id="76"/>
      <w:bookmarkStart w:id="77" w:name="_bookmark33"/>
      <w:bookmarkEnd w:id="77"/>
    </w:p>
    <w:p>
      <w:pPr>
        <w:pStyle w:val="6"/>
        <w:numPr>
          <w:ilvl w:val="2"/>
          <w:numId w:val="11"/>
        </w:numPr>
        <w:tabs>
          <w:tab w:val="left" w:pos="1319"/>
        </w:tabs>
        <w:spacing w:before="62" w:after="0" w:line="240" w:lineRule="auto"/>
        <w:ind w:left="1318" w:right="0" w:hanging="282"/>
        <w:jc w:val="left"/>
        <w:rPr>
          <w:rFonts w:hint="eastAsia" w:ascii="楷体" w:eastAsia="楷体"/>
        </w:rPr>
      </w:pPr>
      <w:bookmarkStart w:id="78" w:name="3.评审方法"/>
      <w:bookmarkEnd w:id="78"/>
      <w:bookmarkStart w:id="79" w:name="3.评审方法"/>
      <w:bookmarkEnd w:id="79"/>
      <w:r>
        <w:rPr>
          <w:rFonts w:hint="eastAsia" w:ascii="楷体" w:eastAsia="楷体"/>
          <w:spacing w:val="-2"/>
        </w:rPr>
        <w:t>评审方法</w:t>
      </w:r>
    </w:p>
    <w:p>
      <w:pPr>
        <w:pStyle w:val="10"/>
        <w:spacing w:before="236" w:line="312" w:lineRule="auto"/>
        <w:ind w:left="478" w:right="425" w:firstLine="480"/>
        <w:jc w:val="both"/>
        <w:rPr>
          <w:sz w:val="21"/>
        </w:rPr>
      </w:pPr>
      <w:r>
        <w:rPr>
          <w:spacing w:val="-1"/>
        </w:rPr>
        <w:t>本项目评审办法为综合评分法。磋商小组对满足磋商文件实质性要求的响应文件， 按照本章第 2</w:t>
      </w:r>
      <w:r>
        <w:rPr>
          <w:rFonts w:hint="eastAsia"/>
          <w:spacing w:val="-1"/>
          <w:lang w:val="en-US" w:eastAsia="zh-CN"/>
        </w:rPr>
        <w:t>.1</w:t>
      </w:r>
      <w:r>
        <w:rPr>
          <w:spacing w:val="-1"/>
        </w:rPr>
        <w:t xml:space="preserve"> 款规定的评分标准进行打分，并按综合得分由高到低顺序推荐中标候选人</w:t>
      </w:r>
      <w:r>
        <w:rPr>
          <w:rFonts w:hint="eastAsia"/>
          <w:spacing w:val="-1"/>
          <w:lang w:eastAsia="zh-CN"/>
        </w:rPr>
        <w:t>，</w:t>
      </w:r>
      <w:r>
        <w:rPr>
          <w:spacing w:val="-1"/>
        </w:rPr>
        <w:t>合评分相等时，以报价低的优先</w:t>
      </w:r>
      <w:r>
        <w:rPr>
          <w:rFonts w:hint="eastAsia"/>
          <w:spacing w:val="-1"/>
          <w:lang w:eastAsia="zh-CN"/>
        </w:rPr>
        <w:t>。</w:t>
      </w:r>
    </w:p>
    <w:p>
      <w:pPr>
        <w:pStyle w:val="6"/>
        <w:numPr>
          <w:ilvl w:val="2"/>
          <w:numId w:val="11"/>
        </w:numPr>
        <w:tabs>
          <w:tab w:val="left" w:pos="1319"/>
        </w:tabs>
        <w:spacing w:before="0" w:after="0" w:line="240" w:lineRule="auto"/>
        <w:ind w:left="1318" w:right="0" w:hanging="282"/>
        <w:jc w:val="left"/>
        <w:rPr>
          <w:rFonts w:hint="eastAsia" w:ascii="楷体" w:eastAsia="楷体"/>
        </w:rPr>
      </w:pPr>
      <w:bookmarkStart w:id="80" w:name="_bookmark34"/>
      <w:bookmarkEnd w:id="80"/>
      <w:bookmarkStart w:id="81" w:name="4.评审标准"/>
      <w:bookmarkEnd w:id="81"/>
      <w:bookmarkStart w:id="82" w:name="_bookmark34"/>
      <w:bookmarkEnd w:id="82"/>
      <w:r>
        <w:rPr>
          <w:rFonts w:hint="eastAsia" w:ascii="楷体" w:eastAsia="楷体"/>
          <w:spacing w:val="-2"/>
        </w:rPr>
        <w:t>评审标准</w:t>
      </w:r>
    </w:p>
    <w:p>
      <w:pPr>
        <w:pStyle w:val="29"/>
        <w:numPr>
          <w:ilvl w:val="3"/>
          <w:numId w:val="11"/>
        </w:numPr>
        <w:tabs>
          <w:tab w:val="left" w:pos="1379"/>
        </w:tabs>
        <w:spacing w:before="159" w:after="0" w:line="240" w:lineRule="auto"/>
        <w:ind w:left="1378" w:right="0" w:hanging="421"/>
        <w:jc w:val="left"/>
        <w:rPr>
          <w:sz w:val="24"/>
        </w:rPr>
      </w:pPr>
      <w:r>
        <w:rPr>
          <w:sz w:val="24"/>
        </w:rPr>
        <w:t>初步评审标准</w:t>
      </w:r>
    </w:p>
    <w:p>
      <w:pPr>
        <w:pStyle w:val="29"/>
        <w:numPr>
          <w:ilvl w:val="4"/>
          <w:numId w:val="11"/>
        </w:numPr>
        <w:tabs>
          <w:tab w:val="left" w:pos="1619"/>
        </w:tabs>
        <w:spacing w:before="5" w:after="0" w:line="240" w:lineRule="auto"/>
        <w:ind w:left="1618" w:right="0" w:hanging="661"/>
        <w:jc w:val="left"/>
        <w:rPr>
          <w:sz w:val="24"/>
        </w:rPr>
      </w:pPr>
      <w:r>
        <w:rPr>
          <w:sz w:val="24"/>
        </w:rPr>
        <w:t>资格性审查：详见评审办法前附表；</w:t>
      </w:r>
    </w:p>
    <w:p>
      <w:pPr>
        <w:pStyle w:val="29"/>
        <w:numPr>
          <w:ilvl w:val="4"/>
          <w:numId w:val="11"/>
        </w:numPr>
        <w:tabs>
          <w:tab w:val="left" w:pos="1619"/>
        </w:tabs>
        <w:spacing w:before="4" w:after="0" w:line="240" w:lineRule="auto"/>
        <w:ind w:left="1618" w:right="0" w:hanging="661"/>
        <w:jc w:val="left"/>
        <w:rPr>
          <w:sz w:val="24"/>
        </w:rPr>
      </w:pPr>
      <w:r>
        <w:rPr>
          <w:sz w:val="24"/>
        </w:rPr>
        <w:t>符合性审查：详见评审办法前附表。</w:t>
      </w:r>
    </w:p>
    <w:p>
      <w:pPr>
        <w:pStyle w:val="29"/>
        <w:numPr>
          <w:ilvl w:val="3"/>
          <w:numId w:val="11"/>
        </w:numPr>
        <w:tabs>
          <w:tab w:val="left" w:pos="1379"/>
        </w:tabs>
        <w:spacing w:before="5" w:after="0" w:line="240" w:lineRule="auto"/>
        <w:ind w:left="1378" w:right="0" w:hanging="421"/>
        <w:jc w:val="left"/>
        <w:rPr>
          <w:sz w:val="24"/>
        </w:rPr>
      </w:pPr>
      <w:r>
        <w:rPr>
          <w:sz w:val="24"/>
        </w:rPr>
        <w:t>分值构成与评分标准</w:t>
      </w:r>
    </w:p>
    <w:p>
      <w:pPr>
        <w:pStyle w:val="29"/>
        <w:numPr>
          <w:ilvl w:val="4"/>
          <w:numId w:val="11"/>
        </w:numPr>
        <w:tabs>
          <w:tab w:val="left" w:pos="1619"/>
        </w:tabs>
        <w:spacing w:before="4" w:after="0" w:line="240" w:lineRule="auto"/>
        <w:ind w:left="1618" w:right="0" w:hanging="661"/>
        <w:jc w:val="left"/>
        <w:rPr>
          <w:sz w:val="24"/>
        </w:rPr>
      </w:pPr>
      <w:r>
        <w:rPr>
          <w:sz w:val="24"/>
        </w:rPr>
        <w:t>分值构成：详见评审办法前附表。</w:t>
      </w:r>
    </w:p>
    <w:p>
      <w:pPr>
        <w:pStyle w:val="29"/>
        <w:numPr>
          <w:ilvl w:val="4"/>
          <w:numId w:val="11"/>
        </w:numPr>
        <w:tabs>
          <w:tab w:val="left" w:pos="1619"/>
        </w:tabs>
        <w:spacing w:before="5" w:after="0" w:line="240" w:lineRule="auto"/>
        <w:ind w:left="1618" w:right="0" w:hanging="661"/>
        <w:jc w:val="left"/>
        <w:rPr>
          <w:sz w:val="27"/>
        </w:rPr>
      </w:pPr>
      <w:r>
        <w:rPr>
          <w:sz w:val="24"/>
        </w:rPr>
        <w:t>评分标准：详见评审附表。</w:t>
      </w:r>
    </w:p>
    <w:p>
      <w:pPr>
        <w:pStyle w:val="6"/>
        <w:numPr>
          <w:ilvl w:val="2"/>
          <w:numId w:val="11"/>
        </w:numPr>
        <w:tabs>
          <w:tab w:val="left" w:pos="1319"/>
        </w:tabs>
        <w:spacing w:before="1" w:after="0" w:line="240" w:lineRule="auto"/>
        <w:ind w:left="1318" w:right="0" w:hanging="282"/>
        <w:jc w:val="left"/>
        <w:rPr>
          <w:rFonts w:hint="eastAsia" w:ascii="楷体" w:eastAsia="楷体"/>
        </w:rPr>
      </w:pPr>
      <w:bookmarkStart w:id="83" w:name="5.评审程序"/>
      <w:bookmarkEnd w:id="83"/>
      <w:bookmarkStart w:id="84" w:name="_bookmark35"/>
      <w:bookmarkEnd w:id="84"/>
      <w:bookmarkStart w:id="85" w:name="_bookmark35"/>
      <w:bookmarkEnd w:id="85"/>
      <w:r>
        <w:rPr>
          <w:rFonts w:hint="eastAsia" w:ascii="楷体" w:eastAsia="楷体"/>
          <w:spacing w:val="-2"/>
        </w:rPr>
        <w:t>评审程序</w:t>
      </w:r>
    </w:p>
    <w:p>
      <w:pPr>
        <w:pStyle w:val="29"/>
        <w:numPr>
          <w:ilvl w:val="3"/>
          <w:numId w:val="11"/>
        </w:numPr>
        <w:tabs>
          <w:tab w:val="left" w:pos="1379"/>
        </w:tabs>
        <w:spacing w:before="235" w:after="0" w:line="240" w:lineRule="auto"/>
        <w:ind w:left="1378" w:right="0" w:hanging="421"/>
        <w:jc w:val="both"/>
        <w:rPr>
          <w:sz w:val="24"/>
        </w:rPr>
      </w:pPr>
      <w:r>
        <w:rPr>
          <w:sz w:val="24"/>
        </w:rPr>
        <w:t>初步评审</w:t>
      </w:r>
    </w:p>
    <w:p>
      <w:pPr>
        <w:pStyle w:val="29"/>
        <w:numPr>
          <w:ilvl w:val="4"/>
          <w:numId w:val="11"/>
        </w:numPr>
        <w:tabs>
          <w:tab w:val="left" w:pos="1619"/>
        </w:tabs>
        <w:spacing w:before="93" w:after="0" w:line="312" w:lineRule="auto"/>
        <w:ind w:left="478" w:right="477" w:firstLine="480"/>
        <w:jc w:val="both"/>
        <w:rPr>
          <w:sz w:val="24"/>
        </w:rPr>
      </w:pPr>
      <w:r>
        <w:rPr>
          <w:spacing w:val="-10"/>
          <w:sz w:val="24"/>
        </w:rPr>
        <w:t xml:space="preserve">磋商小组可以要求供应商提交第二章“供应商须知”第 </w:t>
      </w:r>
      <w:r>
        <w:rPr>
          <w:sz w:val="24"/>
        </w:rPr>
        <w:t>35.1</w:t>
      </w:r>
      <w:r>
        <w:rPr>
          <w:spacing w:val="-10"/>
          <w:sz w:val="24"/>
        </w:rPr>
        <w:t xml:space="preserve"> 项规定的有关证</w:t>
      </w:r>
      <w:r>
        <w:rPr>
          <w:spacing w:val="-9"/>
          <w:sz w:val="24"/>
        </w:rPr>
        <w:t xml:space="preserve">明和证件的原件，以便核验。磋商小组依据本章第 </w:t>
      </w:r>
      <w:r>
        <w:rPr>
          <w:sz w:val="24"/>
        </w:rPr>
        <w:t>2.1</w:t>
      </w:r>
      <w:r>
        <w:rPr>
          <w:spacing w:val="-9"/>
          <w:sz w:val="24"/>
        </w:rPr>
        <w:t xml:space="preserve"> 款规定的标准对响应文件进行初</w:t>
      </w:r>
      <w:r>
        <w:rPr>
          <w:sz w:val="24"/>
        </w:rPr>
        <w:t>步评审。有一项不符合评审标准的，作废标处理。</w:t>
      </w:r>
    </w:p>
    <w:p>
      <w:pPr>
        <w:pStyle w:val="29"/>
        <w:numPr>
          <w:ilvl w:val="4"/>
          <w:numId w:val="11"/>
        </w:numPr>
        <w:tabs>
          <w:tab w:val="left" w:pos="1619"/>
        </w:tabs>
        <w:spacing w:before="1" w:after="0" w:line="240" w:lineRule="auto"/>
        <w:ind w:left="1618" w:right="0" w:hanging="661"/>
        <w:jc w:val="both"/>
        <w:rPr>
          <w:sz w:val="24"/>
        </w:rPr>
      </w:pPr>
      <w:r>
        <w:rPr>
          <w:sz w:val="24"/>
        </w:rPr>
        <w:t>供应商有以下情形之一的，其投标作废标处理：</w:t>
      </w:r>
    </w:p>
    <w:p>
      <w:pPr>
        <w:pStyle w:val="29"/>
        <w:numPr>
          <w:ilvl w:val="0"/>
          <w:numId w:val="12"/>
        </w:numPr>
        <w:tabs>
          <w:tab w:val="left" w:pos="1560"/>
        </w:tabs>
        <w:spacing w:before="94" w:after="0" w:line="240" w:lineRule="auto"/>
        <w:ind w:left="1559" w:right="0" w:hanging="602"/>
        <w:jc w:val="left"/>
        <w:rPr>
          <w:sz w:val="24"/>
        </w:rPr>
      </w:pPr>
      <w:r>
        <w:rPr>
          <w:sz w:val="24"/>
        </w:rPr>
        <w:t>串通投标或弄虚作假或有其他违法行为的；</w:t>
      </w:r>
    </w:p>
    <w:p>
      <w:pPr>
        <w:pStyle w:val="29"/>
        <w:numPr>
          <w:ilvl w:val="0"/>
          <w:numId w:val="12"/>
        </w:numPr>
        <w:tabs>
          <w:tab w:val="left" w:pos="1560"/>
        </w:tabs>
        <w:spacing w:before="90" w:after="0" w:line="240" w:lineRule="auto"/>
        <w:ind w:left="1559" w:right="0" w:hanging="602"/>
        <w:jc w:val="left"/>
        <w:rPr>
          <w:sz w:val="24"/>
        </w:rPr>
      </w:pPr>
      <w:r>
        <w:rPr>
          <w:sz w:val="24"/>
        </w:rPr>
        <w:t>不按磋商小组要求澄清、说明或补正的。</w:t>
      </w:r>
    </w:p>
    <w:p>
      <w:pPr>
        <w:pStyle w:val="29"/>
        <w:numPr>
          <w:ilvl w:val="0"/>
          <w:numId w:val="12"/>
        </w:numPr>
        <w:tabs>
          <w:tab w:val="left" w:pos="1560"/>
        </w:tabs>
        <w:spacing w:before="94" w:after="0" w:line="240" w:lineRule="auto"/>
        <w:ind w:left="1559" w:right="0" w:hanging="602"/>
        <w:jc w:val="left"/>
        <w:rPr>
          <w:sz w:val="24"/>
        </w:rPr>
      </w:pPr>
      <w:r>
        <w:rPr>
          <w:sz w:val="24"/>
        </w:rPr>
        <w:t>报价函中报价与采购清单汇总价不一致时响应文件作废标处理。</w:t>
      </w:r>
    </w:p>
    <w:p>
      <w:pPr>
        <w:pStyle w:val="29"/>
        <w:numPr>
          <w:ilvl w:val="0"/>
          <w:numId w:val="12"/>
        </w:numPr>
        <w:tabs>
          <w:tab w:val="left" w:pos="1560"/>
        </w:tabs>
        <w:spacing w:before="93" w:after="0" w:line="240" w:lineRule="auto"/>
        <w:ind w:left="1559" w:right="0" w:hanging="602"/>
        <w:jc w:val="left"/>
        <w:rPr>
          <w:sz w:val="24"/>
        </w:rPr>
      </w:pPr>
      <w:r>
        <w:rPr>
          <w:sz w:val="24"/>
        </w:rPr>
        <w:t>提供虚假资料的其响应文件作废标处理。</w:t>
      </w:r>
    </w:p>
    <w:p>
      <w:pPr>
        <w:pStyle w:val="29"/>
        <w:numPr>
          <w:ilvl w:val="0"/>
          <w:numId w:val="12"/>
        </w:numPr>
        <w:tabs>
          <w:tab w:val="left" w:pos="1564"/>
        </w:tabs>
        <w:spacing w:before="91" w:after="0" w:line="312" w:lineRule="auto"/>
        <w:ind w:left="478" w:right="476" w:firstLine="480"/>
        <w:jc w:val="left"/>
        <w:rPr>
          <w:sz w:val="24"/>
        </w:rPr>
      </w:pPr>
      <w:r>
        <w:rPr>
          <w:sz w:val="24"/>
        </w:rPr>
        <w:t>供应商在开标时资格审查时递交的法人授权委托书公证件原件，其内容应与资格预审、响应文件的内容一致，其中委托代理人均为同一人，不一致作废标处理。</w:t>
      </w:r>
    </w:p>
    <w:p>
      <w:pPr>
        <w:pStyle w:val="29"/>
        <w:numPr>
          <w:ilvl w:val="0"/>
          <w:numId w:val="12"/>
        </w:numPr>
        <w:tabs>
          <w:tab w:val="left" w:pos="1560"/>
        </w:tabs>
        <w:spacing w:before="2" w:after="0" w:line="240" w:lineRule="auto"/>
        <w:ind w:left="1559" w:right="0" w:hanging="602"/>
        <w:jc w:val="left"/>
        <w:rPr>
          <w:sz w:val="24"/>
        </w:rPr>
      </w:pPr>
      <w:r>
        <w:rPr>
          <w:sz w:val="24"/>
        </w:rPr>
        <w:t>磋商小组认定供应商以低于成本报价竞标的。</w:t>
      </w:r>
    </w:p>
    <w:p>
      <w:pPr>
        <w:pStyle w:val="29"/>
        <w:numPr>
          <w:ilvl w:val="0"/>
          <w:numId w:val="12"/>
        </w:numPr>
        <w:tabs>
          <w:tab w:val="left" w:pos="1560"/>
        </w:tabs>
        <w:spacing w:before="91" w:after="0" w:line="240" w:lineRule="auto"/>
        <w:ind w:left="1559" w:right="0" w:hanging="602"/>
        <w:jc w:val="left"/>
        <w:rPr>
          <w:sz w:val="24"/>
        </w:rPr>
      </w:pPr>
      <w:r>
        <w:rPr>
          <w:sz w:val="24"/>
        </w:rPr>
        <w:t>供应商附有采购人不能接受的条件。</w:t>
      </w:r>
    </w:p>
    <w:p>
      <w:pPr>
        <w:pStyle w:val="29"/>
        <w:numPr>
          <w:ilvl w:val="0"/>
          <w:numId w:val="12"/>
        </w:numPr>
        <w:tabs>
          <w:tab w:val="left" w:pos="1560"/>
        </w:tabs>
        <w:spacing w:before="93" w:after="0" w:line="240" w:lineRule="auto"/>
        <w:ind w:left="1559" w:right="0" w:hanging="602"/>
        <w:jc w:val="left"/>
        <w:rPr>
          <w:sz w:val="24"/>
        </w:rPr>
      </w:pPr>
      <w:r>
        <w:rPr>
          <w:sz w:val="24"/>
        </w:rPr>
        <w:t>响应文件偏离磋商文件实质性要求和条件的。</w:t>
      </w:r>
    </w:p>
    <w:p>
      <w:pPr>
        <w:pStyle w:val="29"/>
        <w:numPr>
          <w:ilvl w:val="0"/>
          <w:numId w:val="12"/>
        </w:numPr>
        <w:tabs>
          <w:tab w:val="left" w:pos="1564"/>
        </w:tabs>
        <w:spacing w:before="94" w:after="0" w:line="312" w:lineRule="auto"/>
        <w:ind w:left="478" w:right="476" w:firstLine="480"/>
        <w:jc w:val="left"/>
        <w:rPr>
          <w:sz w:val="24"/>
        </w:rPr>
      </w:pPr>
      <w:r>
        <w:rPr>
          <w:sz w:val="24"/>
        </w:rPr>
        <w:t>一个供应商递交两份或多分内容不同的响应文件，或在一份响应文件中对同一招标项目有两个或多个报价，且未声明哪一个报价有效的。</w:t>
      </w:r>
    </w:p>
    <w:p>
      <w:pPr>
        <w:spacing w:after="0" w:line="312" w:lineRule="auto"/>
        <w:jc w:val="left"/>
        <w:rPr>
          <w:sz w:val="24"/>
        </w:rPr>
        <w:sectPr>
          <w:footerReference r:id="rId11" w:type="default"/>
          <w:pgSz w:w="11910" w:h="16840"/>
          <w:pgMar w:top="1400" w:right="940" w:bottom="1180" w:left="940" w:header="0" w:footer="1000" w:gutter="0"/>
          <w:pgBorders>
            <w:top w:val="none" w:sz="0" w:space="0"/>
            <w:left w:val="none" w:sz="0" w:space="0"/>
            <w:bottom w:val="none" w:sz="0" w:space="0"/>
            <w:right w:val="none" w:sz="0" w:space="0"/>
          </w:pgBorders>
          <w:pgNumType w:fmt="decimal"/>
          <w:cols w:space="720" w:num="1"/>
        </w:sectPr>
      </w:pPr>
    </w:p>
    <w:p>
      <w:pPr>
        <w:pStyle w:val="29"/>
        <w:numPr>
          <w:ilvl w:val="4"/>
          <w:numId w:val="11"/>
        </w:numPr>
        <w:tabs>
          <w:tab w:val="left" w:pos="1619"/>
        </w:tabs>
        <w:spacing w:before="40" w:after="0" w:line="312" w:lineRule="auto"/>
        <w:ind w:left="478" w:right="477" w:firstLine="480"/>
        <w:jc w:val="left"/>
        <w:rPr>
          <w:sz w:val="24"/>
        </w:rPr>
      </w:pPr>
      <w:bookmarkStart w:id="86" w:name="第五章  签订合同、合同主要条款"/>
      <w:bookmarkEnd w:id="86"/>
      <w:bookmarkStart w:id="87" w:name="第五章  签订合同、合同主要条款"/>
      <w:bookmarkEnd w:id="87"/>
      <w:r>
        <w:rPr>
          <w:spacing w:val="-1"/>
          <w:sz w:val="24"/>
        </w:rPr>
        <w:t>报价有算术错误的，磋商小组按以下原则对报价进行修正，修正的价格经供</w:t>
      </w:r>
      <w:r>
        <w:rPr>
          <w:sz w:val="24"/>
        </w:rPr>
        <w:t>应商书面确认后具有约束力。供应商不接受修正价格的，其投标作废标处理。</w:t>
      </w:r>
    </w:p>
    <w:p>
      <w:pPr>
        <w:pStyle w:val="29"/>
        <w:numPr>
          <w:ilvl w:val="0"/>
          <w:numId w:val="13"/>
        </w:numPr>
        <w:tabs>
          <w:tab w:val="left" w:pos="1560"/>
        </w:tabs>
        <w:spacing w:before="0" w:after="0" w:line="307" w:lineRule="exact"/>
        <w:ind w:left="1559" w:right="0" w:hanging="602"/>
        <w:jc w:val="left"/>
        <w:rPr>
          <w:sz w:val="24"/>
        </w:rPr>
      </w:pPr>
      <w:r>
        <w:rPr>
          <w:sz w:val="24"/>
        </w:rPr>
        <w:t>响应文件中的大写金额与小写金额不一致的，以大写金额为准；</w:t>
      </w:r>
    </w:p>
    <w:p>
      <w:pPr>
        <w:pStyle w:val="29"/>
        <w:numPr>
          <w:ilvl w:val="0"/>
          <w:numId w:val="13"/>
        </w:numPr>
        <w:tabs>
          <w:tab w:val="left" w:pos="1564"/>
        </w:tabs>
        <w:spacing w:before="94" w:after="0" w:line="312" w:lineRule="auto"/>
        <w:ind w:left="478" w:right="478" w:firstLine="480"/>
        <w:jc w:val="left"/>
        <w:rPr>
          <w:sz w:val="24"/>
        </w:rPr>
      </w:pPr>
      <w:r>
        <w:rPr>
          <w:sz w:val="24"/>
        </w:rPr>
        <w:t>总价金额与依据单价计算出的结果不一致的，以单价金额为准修正总价，但单价金额小数点有明显错误的除外。</w:t>
      </w:r>
    </w:p>
    <w:p>
      <w:pPr>
        <w:pStyle w:val="29"/>
        <w:numPr>
          <w:ilvl w:val="3"/>
          <w:numId w:val="11"/>
        </w:numPr>
        <w:tabs>
          <w:tab w:val="left" w:pos="1379"/>
        </w:tabs>
        <w:spacing w:before="0" w:after="0" w:line="307" w:lineRule="exact"/>
        <w:ind w:left="1378" w:right="0" w:hanging="421"/>
        <w:jc w:val="left"/>
        <w:rPr>
          <w:sz w:val="24"/>
        </w:rPr>
      </w:pPr>
      <w:r>
        <w:rPr>
          <w:sz w:val="24"/>
        </w:rPr>
        <w:t>详细评审</w:t>
      </w:r>
    </w:p>
    <w:p>
      <w:pPr>
        <w:pStyle w:val="10"/>
        <w:spacing w:before="93" w:line="312" w:lineRule="auto"/>
        <w:ind w:left="478" w:right="414" w:firstLine="480"/>
      </w:pPr>
      <w:r>
        <w:t>磋商小组分别进行技术评审、商务评审和信用与业绩评审，在技术组评委技术评分表提交后，在进行商务评分汇总。</w:t>
      </w:r>
    </w:p>
    <w:p>
      <w:pPr>
        <w:pStyle w:val="10"/>
        <w:spacing w:line="312" w:lineRule="auto"/>
        <w:ind w:left="478" w:right="425" w:firstLine="480"/>
        <w:jc w:val="both"/>
      </w:pPr>
      <w:r>
        <w:rPr>
          <w:spacing w:val="-3"/>
        </w:rPr>
        <w:t>报价部分由磋商小组与供应商进行磋商，供应商进行二轮报价。第一轮报价为响应</w:t>
      </w:r>
      <w:r>
        <w:rPr>
          <w:spacing w:val="-8"/>
        </w:rPr>
        <w:t>文件内报价，第二轮报价由磋商小组与供应商单独磋商后</w:t>
      </w:r>
      <w:r>
        <w:rPr>
          <w:rFonts w:hint="eastAsia"/>
          <w:spacing w:val="-8"/>
          <w:lang w:val="en-US" w:eastAsia="zh-CN"/>
        </w:rPr>
        <w:t>最终</w:t>
      </w:r>
      <w:r>
        <w:rPr>
          <w:spacing w:val="-8"/>
        </w:rPr>
        <w:t>报价。</w:t>
      </w:r>
    </w:p>
    <w:p>
      <w:pPr>
        <w:pStyle w:val="29"/>
        <w:numPr>
          <w:ilvl w:val="4"/>
          <w:numId w:val="11"/>
        </w:numPr>
        <w:tabs>
          <w:tab w:val="left" w:pos="1621"/>
        </w:tabs>
        <w:spacing w:before="1" w:after="0" w:line="312" w:lineRule="auto"/>
        <w:ind w:left="478" w:right="478" w:firstLine="480"/>
        <w:jc w:val="both"/>
        <w:rPr>
          <w:sz w:val="24"/>
        </w:rPr>
      </w:pPr>
      <w:r>
        <w:rPr>
          <w:spacing w:val="-6"/>
          <w:sz w:val="24"/>
        </w:rPr>
        <w:t xml:space="preserve">磋商小组按照本章第 </w:t>
      </w:r>
      <w:r>
        <w:rPr>
          <w:sz w:val="24"/>
        </w:rPr>
        <w:t>2.2</w:t>
      </w:r>
      <w:r>
        <w:rPr>
          <w:spacing w:val="-4"/>
          <w:sz w:val="24"/>
        </w:rPr>
        <w:t xml:space="preserve"> 款规定的量化因素和分值进行打分,计算出综合评分得分,供应商的总得分等于评委评分的算术和的平均值。</w:t>
      </w:r>
    </w:p>
    <w:p>
      <w:pPr>
        <w:pStyle w:val="29"/>
        <w:numPr>
          <w:ilvl w:val="0"/>
          <w:numId w:val="14"/>
        </w:numPr>
        <w:tabs>
          <w:tab w:val="left" w:pos="1560"/>
        </w:tabs>
        <w:spacing w:before="0" w:after="0" w:line="307" w:lineRule="exact"/>
        <w:ind w:left="1559" w:right="0" w:hanging="602"/>
        <w:jc w:val="left"/>
        <w:rPr>
          <w:sz w:val="24"/>
        </w:rPr>
      </w:pPr>
      <w:r>
        <w:rPr>
          <w:sz w:val="24"/>
        </w:rPr>
        <w:t>按本章规定的评审项目及内容对技术因素部分计算出得分∑1；</w:t>
      </w:r>
    </w:p>
    <w:p>
      <w:pPr>
        <w:pStyle w:val="29"/>
        <w:numPr>
          <w:ilvl w:val="0"/>
          <w:numId w:val="14"/>
        </w:numPr>
        <w:tabs>
          <w:tab w:val="left" w:pos="1560"/>
        </w:tabs>
        <w:spacing w:before="94" w:after="0" w:line="240" w:lineRule="auto"/>
        <w:ind w:left="1559" w:right="0" w:hanging="602"/>
        <w:jc w:val="left"/>
        <w:rPr>
          <w:sz w:val="24"/>
        </w:rPr>
      </w:pPr>
      <w:r>
        <w:rPr>
          <w:sz w:val="24"/>
        </w:rPr>
        <w:t>按本章规定的评审项目及内容对商务因素部分计算出∑2；</w:t>
      </w:r>
    </w:p>
    <w:p>
      <w:pPr>
        <w:pStyle w:val="29"/>
        <w:numPr>
          <w:ilvl w:val="4"/>
          <w:numId w:val="11"/>
        </w:numPr>
        <w:tabs>
          <w:tab w:val="left" w:pos="1619"/>
        </w:tabs>
        <w:spacing w:before="93" w:after="0" w:line="240" w:lineRule="auto"/>
        <w:ind w:left="1618" w:right="0" w:hanging="661"/>
        <w:jc w:val="left"/>
        <w:rPr>
          <w:sz w:val="24"/>
        </w:rPr>
      </w:pPr>
      <w:r>
        <w:rPr>
          <w:sz w:val="24"/>
        </w:rPr>
        <w:t>评分分值计算保留小数点后两位，小数点后第三位按“四舍五入”;</w:t>
      </w:r>
    </w:p>
    <w:p>
      <w:pPr>
        <w:pStyle w:val="10"/>
        <w:spacing w:before="91"/>
        <w:ind w:left="958"/>
      </w:pPr>
      <w:r>
        <w:t>5.2.3 供应商得分：∑1+∑2</w:t>
      </w:r>
    </w:p>
    <w:p>
      <w:pPr>
        <w:pStyle w:val="29"/>
        <w:numPr>
          <w:ilvl w:val="3"/>
          <w:numId w:val="11"/>
        </w:numPr>
        <w:tabs>
          <w:tab w:val="left" w:pos="1379"/>
        </w:tabs>
        <w:spacing w:before="93" w:after="0" w:line="240" w:lineRule="auto"/>
        <w:ind w:left="1378" w:right="0" w:hanging="421"/>
        <w:jc w:val="left"/>
        <w:rPr>
          <w:sz w:val="24"/>
        </w:rPr>
      </w:pPr>
      <w:r>
        <w:rPr>
          <w:sz w:val="24"/>
        </w:rPr>
        <w:t>响应文件的澄清和补正</w:t>
      </w:r>
    </w:p>
    <w:p>
      <w:pPr>
        <w:pStyle w:val="29"/>
        <w:numPr>
          <w:ilvl w:val="4"/>
          <w:numId w:val="11"/>
        </w:numPr>
        <w:tabs>
          <w:tab w:val="left" w:pos="1619"/>
        </w:tabs>
        <w:spacing w:before="93" w:after="0" w:line="312" w:lineRule="auto"/>
        <w:ind w:left="478" w:right="477" w:firstLine="480"/>
        <w:jc w:val="both"/>
        <w:rPr>
          <w:sz w:val="24"/>
        </w:rPr>
      </w:pPr>
      <w:r>
        <w:rPr>
          <w:spacing w:val="-1"/>
          <w:sz w:val="24"/>
        </w:rPr>
        <w:t>在评审过程中，磋商小组可以书面形式要求供应商对所提交响应文件中不明</w:t>
      </w:r>
      <w:r>
        <w:rPr>
          <w:spacing w:val="-4"/>
          <w:sz w:val="24"/>
        </w:rPr>
        <w:t>确的内容进行书面澄清或说明，或者对细微偏差进行补正。磋商小组不接受供应商主动</w:t>
      </w:r>
      <w:r>
        <w:rPr>
          <w:sz w:val="24"/>
        </w:rPr>
        <w:t>提出的澄清、说明或补正。</w:t>
      </w:r>
    </w:p>
    <w:p>
      <w:pPr>
        <w:pStyle w:val="29"/>
        <w:numPr>
          <w:ilvl w:val="4"/>
          <w:numId w:val="11"/>
        </w:numPr>
        <w:tabs>
          <w:tab w:val="left" w:pos="1619"/>
        </w:tabs>
        <w:spacing w:before="1" w:after="0" w:line="312" w:lineRule="auto"/>
        <w:ind w:left="478" w:right="357" w:firstLine="480"/>
        <w:jc w:val="both"/>
        <w:rPr>
          <w:sz w:val="24"/>
        </w:rPr>
      </w:pPr>
      <w:r>
        <w:rPr>
          <w:spacing w:val="-17"/>
          <w:sz w:val="24"/>
        </w:rPr>
        <w:t>澄清、说明和补正不得改变响应文件的实质性内容</w:t>
      </w:r>
      <w:r>
        <w:rPr>
          <w:sz w:val="24"/>
        </w:rPr>
        <w:t>（算术性错误修正的除外</w:t>
      </w:r>
      <w:r>
        <w:rPr>
          <w:spacing w:val="-120"/>
          <w:sz w:val="24"/>
        </w:rPr>
        <w:t>）</w:t>
      </w:r>
      <w:r>
        <w:rPr>
          <w:spacing w:val="-17"/>
          <w:sz w:val="24"/>
        </w:rPr>
        <w:t>。</w:t>
      </w:r>
      <w:r>
        <w:rPr>
          <w:sz w:val="24"/>
        </w:rPr>
        <w:t>供应商的书面澄清、说明和补正属于响应文件的组成部分。</w:t>
      </w:r>
    </w:p>
    <w:p>
      <w:pPr>
        <w:pStyle w:val="29"/>
        <w:numPr>
          <w:ilvl w:val="4"/>
          <w:numId w:val="11"/>
        </w:numPr>
        <w:tabs>
          <w:tab w:val="left" w:pos="1619"/>
        </w:tabs>
        <w:spacing w:before="0" w:after="0" w:line="312" w:lineRule="auto"/>
        <w:ind w:left="478" w:right="477" w:firstLine="480"/>
        <w:jc w:val="both"/>
        <w:rPr>
          <w:sz w:val="24"/>
        </w:rPr>
      </w:pPr>
      <w:r>
        <w:rPr>
          <w:spacing w:val="-1"/>
          <w:sz w:val="24"/>
        </w:rPr>
        <w:t>磋商小组对供应商提交的澄清、说明或补正有疑问的，可以要求供应商进一</w:t>
      </w:r>
      <w:r>
        <w:rPr>
          <w:sz w:val="24"/>
        </w:rPr>
        <w:t>步澄清、说明或补正，直至满足磋商小组的要求。</w:t>
      </w:r>
    </w:p>
    <w:p>
      <w:pPr>
        <w:pStyle w:val="29"/>
        <w:numPr>
          <w:ilvl w:val="3"/>
          <w:numId w:val="11"/>
        </w:numPr>
        <w:tabs>
          <w:tab w:val="left" w:pos="1379"/>
        </w:tabs>
        <w:spacing w:before="0" w:after="0" w:line="307" w:lineRule="exact"/>
        <w:ind w:left="1378" w:right="0" w:hanging="421"/>
        <w:jc w:val="both"/>
        <w:rPr>
          <w:sz w:val="24"/>
        </w:rPr>
      </w:pPr>
      <w:r>
        <w:rPr>
          <w:sz w:val="24"/>
        </w:rPr>
        <w:t>评审结果</w:t>
      </w:r>
    </w:p>
    <w:p>
      <w:pPr>
        <w:pStyle w:val="29"/>
        <w:numPr>
          <w:ilvl w:val="4"/>
          <w:numId w:val="11"/>
        </w:numPr>
        <w:tabs>
          <w:tab w:val="left" w:pos="1619"/>
        </w:tabs>
        <w:spacing w:before="93" w:after="0" w:line="312" w:lineRule="auto"/>
        <w:ind w:left="478" w:right="477" w:firstLine="480"/>
        <w:jc w:val="both"/>
        <w:rPr>
          <w:sz w:val="24"/>
        </w:rPr>
      </w:pPr>
      <w:r>
        <w:rPr>
          <w:spacing w:val="-1"/>
          <w:sz w:val="24"/>
        </w:rPr>
        <w:t>磋商小组依据本章第评分标准进行评分，按评审办法前附表的约定计算供应</w:t>
      </w:r>
      <w:r>
        <w:rPr>
          <w:spacing w:val="-3"/>
          <w:sz w:val="24"/>
        </w:rPr>
        <w:t xml:space="preserve">商最终得分，根据得分由高到低的顺序推荐 </w:t>
      </w:r>
      <w:r>
        <w:rPr>
          <w:sz w:val="24"/>
        </w:rPr>
        <w:t>3</w:t>
      </w:r>
      <w:r>
        <w:rPr>
          <w:spacing w:val="-8"/>
          <w:sz w:val="24"/>
        </w:rPr>
        <w:t xml:space="preserve"> 名中标候选人，并标明推荐顺序。</w:t>
      </w:r>
    </w:p>
    <w:p>
      <w:pPr>
        <w:pStyle w:val="29"/>
        <w:numPr>
          <w:ilvl w:val="4"/>
          <w:numId w:val="11"/>
        </w:numPr>
        <w:tabs>
          <w:tab w:val="left" w:pos="1619"/>
        </w:tabs>
        <w:spacing w:before="17" w:after="0" w:line="240" w:lineRule="auto"/>
        <w:ind w:left="1618" w:right="0" w:hanging="661"/>
        <w:jc w:val="both"/>
        <w:rPr>
          <w:sz w:val="24"/>
        </w:rPr>
      </w:pPr>
      <w:r>
        <w:rPr>
          <w:sz w:val="24"/>
        </w:rPr>
        <w:t>磋商小组完成评审后，应当向采购人提交书面评审报告。</w:t>
      </w:r>
    </w:p>
    <w:p>
      <w:pPr>
        <w:spacing w:after="0" w:line="240" w:lineRule="auto"/>
        <w:jc w:val="both"/>
        <w:rPr>
          <w:sz w:val="24"/>
        </w:rPr>
        <w:sectPr>
          <w:pgSz w:w="11910" w:h="16840"/>
          <w:pgMar w:top="1440" w:right="940" w:bottom="1180" w:left="940" w:header="0" w:footer="1000" w:gutter="0"/>
          <w:pgBorders>
            <w:top w:val="none" w:sz="0" w:space="0"/>
            <w:left w:val="none" w:sz="0" w:space="0"/>
            <w:bottom w:val="none" w:sz="0" w:space="0"/>
            <w:right w:val="none" w:sz="0" w:space="0"/>
          </w:pgBorders>
          <w:pgNumType w:fmt="decimal"/>
          <w:cols w:space="720" w:num="1"/>
        </w:sectPr>
      </w:pPr>
    </w:p>
    <w:p>
      <w:pPr>
        <w:pStyle w:val="5"/>
        <w:tabs>
          <w:tab w:val="left" w:pos="1281"/>
        </w:tabs>
        <w:outlineLvl w:val="0"/>
      </w:pPr>
      <w:bookmarkStart w:id="88" w:name="_bookmark36"/>
      <w:bookmarkEnd w:id="88"/>
      <w:bookmarkStart w:id="89" w:name="_Toc1751"/>
      <w:r>
        <w:t>第五章</w:t>
      </w:r>
      <w:r>
        <w:tab/>
      </w:r>
      <w:r>
        <w:t>签订合同、合同主要条款</w:t>
      </w:r>
      <w:bookmarkEnd w:id="89"/>
    </w:p>
    <w:p>
      <w:pPr>
        <w:pStyle w:val="10"/>
        <w:spacing w:before="7"/>
        <w:rPr>
          <w:rFonts w:ascii="黑体"/>
          <w:sz w:val="23"/>
        </w:rPr>
      </w:pPr>
    </w:p>
    <w:p>
      <w:pPr>
        <w:pStyle w:val="29"/>
        <w:numPr>
          <w:ilvl w:val="0"/>
          <w:numId w:val="15"/>
        </w:numPr>
        <w:tabs>
          <w:tab w:val="left" w:pos="1321"/>
        </w:tabs>
        <w:spacing w:before="1" w:after="0" w:line="240" w:lineRule="auto"/>
        <w:ind w:left="1320" w:right="0" w:hanging="284"/>
        <w:jc w:val="left"/>
        <w:rPr>
          <w:rFonts w:hint="eastAsia" w:ascii="楷体" w:eastAsia="楷体"/>
          <w:sz w:val="28"/>
        </w:rPr>
      </w:pPr>
      <w:bookmarkStart w:id="90" w:name="1.签订合同"/>
      <w:bookmarkEnd w:id="90"/>
      <w:bookmarkStart w:id="91" w:name="1.签订合同"/>
      <w:bookmarkEnd w:id="91"/>
      <w:r>
        <w:rPr>
          <w:rFonts w:hint="eastAsia" w:ascii="楷体" w:eastAsia="楷体"/>
          <w:spacing w:val="-2"/>
          <w:sz w:val="28"/>
        </w:rPr>
        <w:t>签订合同</w:t>
      </w:r>
    </w:p>
    <w:p>
      <w:pPr>
        <w:pStyle w:val="29"/>
        <w:numPr>
          <w:ilvl w:val="1"/>
          <w:numId w:val="15"/>
        </w:numPr>
        <w:tabs>
          <w:tab w:val="left" w:pos="1379"/>
        </w:tabs>
        <w:spacing w:before="82" w:after="0" w:line="312" w:lineRule="auto"/>
        <w:ind w:left="478" w:right="477" w:firstLine="480"/>
        <w:jc w:val="both"/>
        <w:rPr>
          <w:sz w:val="24"/>
        </w:rPr>
      </w:pPr>
      <w:r>
        <w:rPr>
          <w:spacing w:val="-1"/>
          <w:sz w:val="24"/>
        </w:rPr>
        <w:t>采购人应当自中标通知书发出之日起十日内，按照竞争性磋商文件和中标人</w:t>
      </w:r>
      <w:r>
        <w:rPr>
          <w:spacing w:val="-7"/>
          <w:sz w:val="24"/>
        </w:rPr>
        <w:t>响应文件的约定，与中标人签订书面合同。所签订合同不得对竞争性磋商文件和中标人</w:t>
      </w:r>
      <w:r>
        <w:rPr>
          <w:sz w:val="24"/>
        </w:rPr>
        <w:t>响应文件作实质性修改。</w:t>
      </w:r>
    </w:p>
    <w:p>
      <w:pPr>
        <w:pStyle w:val="29"/>
        <w:numPr>
          <w:ilvl w:val="1"/>
          <w:numId w:val="15"/>
        </w:numPr>
        <w:tabs>
          <w:tab w:val="left" w:pos="1379"/>
        </w:tabs>
        <w:spacing w:before="0" w:after="0" w:line="312" w:lineRule="auto"/>
        <w:ind w:left="478" w:right="477" w:firstLine="480"/>
        <w:jc w:val="both"/>
        <w:rPr>
          <w:sz w:val="24"/>
        </w:rPr>
      </w:pPr>
      <w:r>
        <w:rPr>
          <w:spacing w:val="-5"/>
          <w:sz w:val="24"/>
        </w:rPr>
        <w:t xml:space="preserve">签订的合同原则以本章第 </w:t>
      </w:r>
      <w:r>
        <w:rPr>
          <w:sz w:val="24"/>
        </w:rPr>
        <w:t>4</w:t>
      </w:r>
      <w:r>
        <w:rPr>
          <w:spacing w:val="-9"/>
          <w:sz w:val="24"/>
        </w:rPr>
        <w:t xml:space="preserve"> 条的规定为基础，并根据评标、答疑情况进行修改</w:t>
      </w:r>
      <w:r>
        <w:rPr>
          <w:spacing w:val="-7"/>
          <w:sz w:val="24"/>
        </w:rPr>
        <w:t>补充，但该款并不限制采购人以其他方式签订合同的权利。采购人不得向中标人提出任何不合理的要求，作为签订合同的条件，不得与中标人私下订立背离合同实质性内容的</w:t>
      </w:r>
      <w:r>
        <w:rPr>
          <w:sz w:val="24"/>
        </w:rPr>
        <w:t>协议。</w:t>
      </w:r>
    </w:p>
    <w:p>
      <w:pPr>
        <w:pStyle w:val="29"/>
        <w:numPr>
          <w:ilvl w:val="1"/>
          <w:numId w:val="15"/>
        </w:numPr>
        <w:tabs>
          <w:tab w:val="left" w:pos="1379"/>
        </w:tabs>
        <w:spacing w:before="0" w:after="0" w:line="312" w:lineRule="auto"/>
        <w:ind w:left="478" w:right="357" w:firstLine="480"/>
        <w:jc w:val="left"/>
        <w:rPr>
          <w:sz w:val="24"/>
        </w:rPr>
      </w:pPr>
      <w:r>
        <w:rPr>
          <w:spacing w:val="-12"/>
          <w:sz w:val="24"/>
        </w:rPr>
        <w:t xml:space="preserve">竞争性磋商文件、响应文件、书面承诺和中标通知书均作为经济合同的一部分， </w:t>
      </w:r>
      <w:r>
        <w:rPr>
          <w:spacing w:val="-5"/>
          <w:sz w:val="24"/>
        </w:rPr>
        <w:t>且具有法律效力。中标人应严格履行经济合同所规定的各项义务和责任，否则将依法处理。</w:t>
      </w:r>
    </w:p>
    <w:p>
      <w:pPr>
        <w:pStyle w:val="29"/>
        <w:numPr>
          <w:ilvl w:val="1"/>
          <w:numId w:val="15"/>
        </w:numPr>
        <w:tabs>
          <w:tab w:val="left" w:pos="1379"/>
        </w:tabs>
        <w:spacing w:before="1" w:after="0" w:line="312" w:lineRule="auto"/>
        <w:ind w:left="478" w:right="357" w:firstLine="480"/>
        <w:jc w:val="left"/>
        <w:rPr>
          <w:sz w:val="24"/>
        </w:rPr>
      </w:pPr>
      <w:r>
        <w:rPr>
          <w:spacing w:val="-1"/>
          <w:sz w:val="24"/>
        </w:rPr>
        <w:t>有关法规或者竞争性磋商文件明确不允许分包方式履行合同的，中标人不得分</w:t>
      </w:r>
      <w:r>
        <w:rPr>
          <w:spacing w:val="-16"/>
          <w:sz w:val="24"/>
        </w:rPr>
        <w:t xml:space="preserve">包履行合同，否则将依法承担法律责任。竞争性磋商文件明确允许分包方式履行合同的， </w:t>
      </w:r>
      <w:r>
        <w:rPr>
          <w:sz w:val="24"/>
        </w:rPr>
        <w:t>按照竞争性磋商文件相关规定执行。</w:t>
      </w:r>
    </w:p>
    <w:p>
      <w:pPr>
        <w:pStyle w:val="10"/>
        <w:spacing w:line="312" w:lineRule="auto"/>
        <w:ind w:left="478" w:right="357" w:firstLine="480"/>
      </w:pPr>
      <w:r>
        <w:rPr>
          <w:spacing w:val="-4"/>
        </w:rPr>
        <w:t>当中标人放弃中标结果或者因被质疑、投诉，经查属实或者因不可抗力而不能履行</w:t>
      </w:r>
      <w:r>
        <w:rPr>
          <w:spacing w:val="-15"/>
        </w:rPr>
        <w:t xml:space="preserve">合同的，采购人可从推荐中标候选人名单中按顺序重新确定中标人，但应符合相关规定； </w:t>
      </w:r>
      <w:r>
        <w:t>否则采购人应重新组织招标。</w:t>
      </w:r>
    </w:p>
    <w:p>
      <w:pPr>
        <w:pStyle w:val="29"/>
        <w:numPr>
          <w:ilvl w:val="1"/>
          <w:numId w:val="15"/>
        </w:numPr>
        <w:tabs>
          <w:tab w:val="left" w:pos="1379"/>
        </w:tabs>
        <w:spacing w:before="1" w:after="0" w:line="312" w:lineRule="auto"/>
        <w:ind w:left="478" w:right="478" w:firstLine="480"/>
        <w:jc w:val="left"/>
        <w:rPr>
          <w:sz w:val="24"/>
        </w:rPr>
      </w:pPr>
      <w:r>
        <w:rPr>
          <w:spacing w:val="-4"/>
          <w:sz w:val="24"/>
        </w:rPr>
        <w:t xml:space="preserve">采购人应当自采购合同签订之日起 </w:t>
      </w:r>
      <w:r>
        <w:rPr>
          <w:sz w:val="24"/>
        </w:rPr>
        <w:t>7</w:t>
      </w:r>
      <w:r>
        <w:rPr>
          <w:spacing w:val="-9"/>
          <w:sz w:val="24"/>
        </w:rPr>
        <w:t xml:space="preserve"> 个工作日内，将采购合同副本报同级财政</w:t>
      </w:r>
      <w:r>
        <w:rPr>
          <w:sz w:val="24"/>
        </w:rPr>
        <w:t>部门和有关部门备案。</w:t>
      </w:r>
    </w:p>
    <w:p>
      <w:pPr>
        <w:pStyle w:val="29"/>
        <w:numPr>
          <w:ilvl w:val="1"/>
          <w:numId w:val="15"/>
        </w:numPr>
        <w:tabs>
          <w:tab w:val="left" w:pos="1379"/>
        </w:tabs>
        <w:spacing w:before="2" w:after="0" w:line="240" w:lineRule="auto"/>
        <w:ind w:left="1378" w:right="0" w:hanging="421"/>
        <w:jc w:val="left"/>
        <w:rPr>
          <w:sz w:val="24"/>
        </w:rPr>
      </w:pPr>
      <w:r>
        <w:rPr>
          <w:sz w:val="24"/>
        </w:rPr>
        <w:t>法律、行政法规规定应当办理批准、登记等手续后生效的合同，依照其规定。</w:t>
      </w:r>
    </w:p>
    <w:p>
      <w:pPr>
        <w:pStyle w:val="29"/>
        <w:numPr>
          <w:ilvl w:val="0"/>
          <w:numId w:val="15"/>
        </w:numPr>
        <w:tabs>
          <w:tab w:val="left" w:pos="1321"/>
        </w:tabs>
        <w:spacing w:before="51" w:after="0" w:line="240" w:lineRule="auto"/>
        <w:ind w:left="1320" w:right="0" w:hanging="284"/>
        <w:jc w:val="left"/>
        <w:rPr>
          <w:rFonts w:hint="eastAsia" w:ascii="楷体" w:eastAsia="楷体"/>
          <w:sz w:val="28"/>
        </w:rPr>
      </w:pPr>
      <w:bookmarkStart w:id="92" w:name="2.追加合同金额"/>
      <w:bookmarkEnd w:id="92"/>
      <w:bookmarkStart w:id="93" w:name="2.追加合同金额"/>
      <w:bookmarkEnd w:id="93"/>
      <w:r>
        <w:rPr>
          <w:rFonts w:hint="eastAsia" w:ascii="楷体" w:eastAsia="楷体"/>
          <w:spacing w:val="-3"/>
          <w:sz w:val="28"/>
        </w:rPr>
        <w:t>追加合同金额</w:t>
      </w:r>
    </w:p>
    <w:p>
      <w:pPr>
        <w:pStyle w:val="10"/>
        <w:spacing w:before="82" w:line="312" w:lineRule="auto"/>
        <w:ind w:left="478" w:right="477" w:firstLine="480"/>
        <w:jc w:val="both"/>
      </w:pPr>
      <w:r>
        <w:rPr>
          <w:spacing w:val="-5"/>
        </w:rPr>
        <w:t>政府采购合同履行中，采购人需要追加与合同标的相同服务的，在不改变合同其他</w:t>
      </w:r>
      <w:r>
        <w:t>条款的前提下并且在签订合同后1年内，经采购人报同级财政部门批准后，可以与中标人协商签订补充合同，但所有补充合同的采购金额不得超过原合同采购金额的10%，否则采购人应重新组织招标。</w:t>
      </w:r>
    </w:p>
    <w:p>
      <w:pPr>
        <w:pStyle w:val="10"/>
        <w:spacing w:before="2" w:line="312" w:lineRule="auto"/>
        <w:ind w:left="478" w:right="477" w:firstLine="480"/>
        <w:jc w:val="both"/>
      </w:pPr>
      <w:r>
        <w:rPr>
          <w:spacing w:val="-4"/>
        </w:rPr>
        <w:t>采购合同双方当事人不得擅自变更、中止或者终止合同。采购合同继续履行将损害</w:t>
      </w:r>
      <w:r>
        <w:rPr>
          <w:spacing w:val="-5"/>
        </w:rPr>
        <w:t>国家利益和社会公共利益的，双方当事人应当变更、中止或者终止合同。有过错的一方</w:t>
      </w:r>
      <w:r>
        <w:t>应当承担赔偿责任，双方都有过错的，各自承担责任。</w:t>
      </w:r>
    </w:p>
    <w:p>
      <w:pPr>
        <w:pStyle w:val="29"/>
        <w:numPr>
          <w:ilvl w:val="0"/>
          <w:numId w:val="15"/>
        </w:numPr>
        <w:tabs>
          <w:tab w:val="left" w:pos="1321"/>
        </w:tabs>
        <w:spacing w:before="0" w:after="0" w:line="319" w:lineRule="exact"/>
        <w:ind w:left="1320" w:right="0" w:hanging="284"/>
        <w:jc w:val="left"/>
        <w:rPr>
          <w:rFonts w:hint="eastAsia" w:ascii="楷体" w:eastAsia="楷体"/>
          <w:sz w:val="28"/>
        </w:rPr>
      </w:pPr>
      <w:bookmarkStart w:id="94" w:name="3.服务质量与验收"/>
      <w:bookmarkEnd w:id="94"/>
      <w:bookmarkStart w:id="95" w:name="3.服务质量与验收"/>
      <w:bookmarkEnd w:id="95"/>
      <w:r>
        <w:rPr>
          <w:rFonts w:hint="eastAsia" w:ascii="楷体" w:eastAsia="楷体"/>
          <w:spacing w:val="-3"/>
          <w:sz w:val="28"/>
        </w:rPr>
        <w:t>服务质量与验收</w:t>
      </w:r>
    </w:p>
    <w:p>
      <w:pPr>
        <w:pStyle w:val="10"/>
        <w:spacing w:before="80" w:line="312" w:lineRule="auto"/>
        <w:ind w:left="478" w:right="425" w:firstLine="482"/>
        <w:jc w:val="both"/>
      </w:pPr>
      <w:r>
        <w:rPr>
          <w:spacing w:val="-4"/>
        </w:rPr>
        <w:t>竞争性磋商文件中的服务按照国标、部标、行业标准或者双方技术协议或者竞争性</w:t>
      </w:r>
      <w:r>
        <w:rPr>
          <w:spacing w:val="-9"/>
        </w:rPr>
        <w:t>磋商文件、响应文件、书面承诺提供服务。如对服务以及质量有争议，采购人组织相关</w:t>
      </w:r>
      <w:r>
        <w:rPr>
          <w:spacing w:val="-10"/>
        </w:rPr>
        <w:t>部门对服务和质量进行检验或者验收，未达到服务要求的，由成中标人承担全部责任。</w:t>
      </w:r>
    </w:p>
    <w:p>
      <w:pPr>
        <w:pStyle w:val="29"/>
        <w:numPr>
          <w:ilvl w:val="0"/>
          <w:numId w:val="15"/>
        </w:numPr>
        <w:tabs>
          <w:tab w:val="left" w:pos="1321"/>
        </w:tabs>
        <w:spacing w:before="0" w:after="0" w:line="319" w:lineRule="exact"/>
        <w:ind w:left="1320" w:right="0" w:hanging="284"/>
        <w:jc w:val="left"/>
        <w:rPr>
          <w:rFonts w:hint="eastAsia" w:ascii="楷体" w:eastAsia="楷体"/>
          <w:sz w:val="28"/>
        </w:rPr>
      </w:pPr>
      <w:bookmarkStart w:id="96" w:name="4.合同主要条款"/>
      <w:bookmarkEnd w:id="96"/>
      <w:bookmarkStart w:id="97" w:name="4.合同主要条款"/>
      <w:bookmarkEnd w:id="97"/>
      <w:r>
        <w:rPr>
          <w:rFonts w:hint="eastAsia" w:ascii="楷体" w:eastAsia="楷体"/>
          <w:spacing w:val="-3"/>
          <w:sz w:val="28"/>
        </w:rPr>
        <w:t>合同主要条款</w:t>
      </w:r>
    </w:p>
    <w:p>
      <w:pPr>
        <w:spacing w:after="0" w:line="319" w:lineRule="exact"/>
        <w:jc w:val="left"/>
        <w:rPr>
          <w:rFonts w:hint="eastAsia" w:ascii="楷体" w:eastAsia="楷体"/>
          <w:sz w:val="28"/>
        </w:rPr>
        <w:sectPr>
          <w:pgSz w:w="11910" w:h="16840"/>
          <w:pgMar w:top="1480" w:right="940" w:bottom="1180" w:left="940" w:header="0" w:footer="1000" w:gutter="0"/>
          <w:pgBorders>
            <w:top w:val="none" w:sz="0" w:space="0"/>
            <w:left w:val="none" w:sz="0" w:space="0"/>
            <w:bottom w:val="none" w:sz="0" w:space="0"/>
            <w:right w:val="none" w:sz="0" w:space="0"/>
          </w:pgBorders>
          <w:pgNumType w:fmt="decimal"/>
          <w:cols w:space="720" w:num="1"/>
        </w:sectPr>
      </w:pPr>
    </w:p>
    <w:p>
      <w:pPr>
        <w:pStyle w:val="10"/>
        <w:tabs>
          <w:tab w:val="left" w:pos="5097"/>
          <w:tab w:val="left" w:pos="5217"/>
          <w:tab w:val="left" w:pos="5337"/>
        </w:tabs>
        <w:spacing w:before="40" w:line="312" w:lineRule="auto"/>
        <w:ind w:left="958" w:right="4686"/>
        <w:rPr>
          <w:rFonts w:ascii="Times New Roman" w:eastAsia="Times New Roman"/>
        </w:rPr>
      </w:pPr>
      <w:r>
        <w:rPr>
          <w:spacing w:val="-1"/>
        </w:rPr>
        <w:t>合</w:t>
      </w:r>
      <w:r>
        <w:t>同编号：</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3"/>
          <w:u w:val="single"/>
        </w:rPr>
        <w:t xml:space="preserve"> </w:t>
      </w:r>
      <w:r>
        <w:rPr>
          <w:spacing w:val="-1"/>
        </w:rPr>
        <w:t>甲</w:t>
      </w:r>
      <w:r>
        <w:t>方（采购人）：</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18"/>
          <w:u w:val="single"/>
        </w:rPr>
        <w:t xml:space="preserve"> </w:t>
      </w:r>
      <w:r>
        <w:rPr>
          <w:spacing w:val="-1"/>
        </w:rPr>
        <w:t>住</w:t>
      </w:r>
      <w:r>
        <w:t>所地：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5"/>
          <w:u w:val="single"/>
        </w:rPr>
        <w:t xml:space="preserve"> </w:t>
      </w:r>
      <w:r>
        <w:rPr>
          <w:spacing w:val="-1"/>
        </w:rPr>
        <w:t>乙</w:t>
      </w:r>
      <w:r>
        <w:t>方（中标人）：</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18"/>
          <w:u w:val="single"/>
        </w:rPr>
        <w:t xml:space="preserve"> </w:t>
      </w:r>
      <w:r>
        <w:rPr>
          <w:spacing w:val="-1"/>
        </w:rPr>
        <w:t>住</w:t>
      </w:r>
      <w:r>
        <w:t>所地：</w:t>
      </w:r>
      <w:r>
        <w:rPr>
          <w:rFonts w:ascii="Times New Roman" w:eastAsia="Times New Roman"/>
          <w:u w:val="single"/>
        </w:rPr>
        <w:t xml:space="preserve"> </w:t>
      </w:r>
      <w:r>
        <w:rPr>
          <w:rFonts w:ascii="Times New Roman" w:eastAsia="Times New Roman"/>
          <w:u w:val="single"/>
        </w:rPr>
        <w:tab/>
      </w:r>
    </w:p>
    <w:p>
      <w:pPr>
        <w:pStyle w:val="10"/>
        <w:spacing w:before="1" w:line="312" w:lineRule="auto"/>
        <w:ind w:left="478" w:right="473" w:firstLine="482"/>
        <w:jc w:val="both"/>
      </w:pPr>
      <w:r>
        <w:t>乙方于</w:t>
      </w:r>
      <w:r>
        <w:rPr>
          <w:spacing w:val="5"/>
          <w:u w:val="single"/>
        </w:rPr>
        <w:t xml:space="preserve">   </w:t>
      </w:r>
      <w:r>
        <w:t>年</w:t>
      </w:r>
      <w:r>
        <w:rPr>
          <w:spacing w:val="4"/>
          <w:u w:val="single"/>
        </w:rPr>
        <w:t xml:space="preserve">  </w:t>
      </w:r>
      <w:r>
        <w:t>月</w:t>
      </w:r>
      <w:r>
        <w:rPr>
          <w:spacing w:val="4"/>
          <w:u w:val="single"/>
        </w:rPr>
        <w:t xml:space="preserve">   </w:t>
      </w:r>
      <w:r>
        <w:t>日参加了</w:t>
      </w:r>
      <w:r>
        <w:rPr>
          <w:u w:val="single"/>
        </w:rPr>
        <w:t xml:space="preserve"> （采购人或者代理机构） </w:t>
      </w:r>
      <w:r>
        <w:t>组织的“</w:t>
      </w:r>
      <w:r>
        <w:rPr>
          <w:spacing w:val="4"/>
          <w:u w:val="single"/>
        </w:rPr>
        <w:t xml:space="preserve">  </w:t>
      </w:r>
      <w:r>
        <w:rPr>
          <w:u w:val="single"/>
        </w:rPr>
        <w:t xml:space="preserve">（项目名称及项目编号） </w:t>
      </w:r>
      <w:r>
        <w:t>”政府采购活动，经谈判小组评审确定乙方为</w:t>
      </w:r>
      <w:r>
        <w:rPr>
          <w:u w:val="single"/>
        </w:rPr>
        <w:t xml:space="preserve"> （包及包名称） </w:t>
      </w:r>
      <w:r>
        <w:rPr>
          <w:spacing w:val="7"/>
        </w:rPr>
        <w:t xml:space="preserve"> 中标</w:t>
      </w:r>
      <w:r>
        <w:rPr>
          <w:spacing w:val="-8"/>
        </w:rPr>
        <w:t>人，按照《中华人民共和国合同法》、《中华人民共和国政府采购法》和相关的法律法</w:t>
      </w:r>
      <w:r>
        <w:t>规规定，以及竞争性磋商文件要求，经甲乙双方协商一致，签订本政府采购合同。</w:t>
      </w:r>
    </w:p>
    <w:p>
      <w:pPr>
        <w:pStyle w:val="10"/>
        <w:spacing w:before="2" w:line="312" w:lineRule="auto"/>
        <w:ind w:left="960" w:right="7263"/>
      </w:pPr>
      <w:r>
        <w:rPr>
          <w:spacing w:val="-3"/>
        </w:rPr>
        <w:t>第一条 合同标的</w:t>
      </w:r>
      <w:r>
        <w:t>服务名称：</w:t>
      </w:r>
    </w:p>
    <w:p>
      <w:pPr>
        <w:pStyle w:val="10"/>
        <w:spacing w:line="307" w:lineRule="exact"/>
        <w:ind w:left="960"/>
      </w:pPr>
      <w:r>
        <w:t>服务内容：</w:t>
      </w:r>
    </w:p>
    <w:p>
      <w:pPr>
        <w:pStyle w:val="10"/>
        <w:spacing w:before="93" w:line="312" w:lineRule="auto"/>
        <w:ind w:left="960" w:right="7863"/>
      </w:pPr>
      <w:r>
        <w:t xml:space="preserve">………… </w:t>
      </w:r>
      <w:r>
        <w:rPr>
          <w:spacing w:val="-4"/>
        </w:rPr>
        <w:t>技术标准：</w:t>
      </w:r>
    </w:p>
    <w:p>
      <w:pPr>
        <w:pStyle w:val="10"/>
        <w:spacing w:line="307" w:lineRule="exact"/>
        <w:ind w:left="960"/>
      </w:pPr>
      <w:r>
        <w:t>……</w:t>
      </w:r>
    </w:p>
    <w:p>
      <w:pPr>
        <w:pStyle w:val="10"/>
        <w:tabs>
          <w:tab w:val="left" w:pos="1920"/>
        </w:tabs>
        <w:spacing w:before="93"/>
        <w:ind w:left="960"/>
      </w:pPr>
      <w:r>
        <w:t>第二条</w:t>
      </w:r>
      <w:r>
        <w:tab/>
      </w:r>
      <w:r>
        <w:t>合同总金额</w:t>
      </w:r>
    </w:p>
    <w:p>
      <w:pPr>
        <w:pStyle w:val="10"/>
        <w:tabs>
          <w:tab w:val="left" w:pos="5880"/>
          <w:tab w:val="left" w:pos="7320"/>
        </w:tabs>
        <w:spacing w:before="93"/>
        <w:ind w:left="960"/>
      </w:pPr>
      <w:r>
        <w:t>合同总金额为人民币（大写）：</w:t>
      </w:r>
      <w:r>
        <w:rPr>
          <w:u w:val="single"/>
        </w:rPr>
        <w:t xml:space="preserve"> </w:t>
      </w:r>
      <w:r>
        <w:rPr>
          <w:u w:val="single"/>
        </w:rPr>
        <w:tab/>
      </w:r>
      <w:r>
        <w:t>（￥</w:t>
      </w:r>
      <w:r>
        <w:rPr>
          <w:u w:val="single"/>
        </w:rPr>
        <w:t xml:space="preserve"> </w:t>
      </w:r>
      <w:r>
        <w:rPr>
          <w:u w:val="single"/>
        </w:rPr>
        <w:tab/>
      </w:r>
      <w:r>
        <w:t>）</w:t>
      </w:r>
    </w:p>
    <w:p>
      <w:pPr>
        <w:pStyle w:val="10"/>
        <w:spacing w:before="91" w:line="312" w:lineRule="auto"/>
        <w:ind w:left="478" w:right="351" w:firstLine="482"/>
      </w:pPr>
      <w:r>
        <w:rPr>
          <w:spacing w:val="-4"/>
        </w:rPr>
        <w:t>此价格为合同执行不变价，不因国家政策变化而变化，该价款包括了服务价格及与</w:t>
      </w:r>
      <w:r>
        <w:rPr>
          <w:spacing w:val="-15"/>
        </w:rPr>
        <w:t>之配套的设计、制造、正版软件、检验、包装、运输、保险、税费以及安装、组织验收、</w:t>
      </w:r>
      <w:r>
        <w:t>培训、技术服务（包括技术资料、图纸提供等）、质保期服务等全部价款，除此之外， 甲方不再向乙方支付其他任何费用。</w:t>
      </w:r>
    </w:p>
    <w:p>
      <w:pPr>
        <w:pStyle w:val="10"/>
        <w:spacing w:before="2"/>
        <w:ind w:left="960"/>
      </w:pPr>
      <w:r>
        <w:t>……</w:t>
      </w:r>
    </w:p>
    <w:p>
      <w:pPr>
        <w:pStyle w:val="10"/>
        <w:tabs>
          <w:tab w:val="left" w:pos="1920"/>
        </w:tabs>
        <w:spacing w:before="93" w:line="312" w:lineRule="auto"/>
        <w:ind w:left="960" w:right="7143"/>
      </w:pPr>
      <w:r>
        <w:t>第三条</w:t>
      </w:r>
      <w:r>
        <w:tab/>
      </w:r>
      <w:r>
        <w:t>服务交</w:t>
      </w:r>
      <w:r>
        <w:rPr>
          <w:spacing w:val="-17"/>
        </w:rPr>
        <w:t>付</w:t>
      </w:r>
      <w:r>
        <w:t>1、交付日期：</w:t>
      </w:r>
    </w:p>
    <w:p>
      <w:pPr>
        <w:pStyle w:val="10"/>
        <w:spacing w:line="307" w:lineRule="exact"/>
        <w:ind w:left="960"/>
      </w:pPr>
      <w:r>
        <w:t>2、交付地点：</w:t>
      </w:r>
    </w:p>
    <w:p>
      <w:pPr>
        <w:pStyle w:val="10"/>
        <w:spacing w:before="94"/>
        <w:ind w:left="960"/>
      </w:pPr>
      <w:r>
        <w:t>……</w:t>
      </w:r>
    </w:p>
    <w:p>
      <w:pPr>
        <w:pStyle w:val="10"/>
        <w:tabs>
          <w:tab w:val="left" w:pos="1920"/>
        </w:tabs>
        <w:spacing w:before="91"/>
        <w:ind w:left="960"/>
      </w:pPr>
      <w:r>
        <w:t>第四条</w:t>
      </w:r>
      <w:r>
        <w:tab/>
      </w:r>
      <w:r>
        <w:t>交付验收</w:t>
      </w:r>
    </w:p>
    <w:p>
      <w:pPr>
        <w:pStyle w:val="10"/>
        <w:spacing w:before="93" w:line="312" w:lineRule="auto"/>
        <w:ind w:left="478" w:right="476" w:firstLine="482"/>
      </w:pPr>
      <w:r>
        <w:t>1、乙方应对提交的服务成果作出全面检查和整理，并列出清单，作为甲方验收和使用技术条件依据，清单应随提交的服务成果交给甲方。</w:t>
      </w:r>
    </w:p>
    <w:p>
      <w:pPr>
        <w:pStyle w:val="10"/>
        <w:spacing w:line="312" w:lineRule="auto"/>
        <w:ind w:left="478" w:right="476" w:firstLine="482"/>
      </w:pPr>
      <w:r>
        <w:t>2、乙方在指定地点提交服务成果后，甲乙双方应依据竞争性磋商文件、响应文件等文件材料的要求共同验收，并且出具书面验收报告。</w:t>
      </w:r>
    </w:p>
    <w:p>
      <w:pPr>
        <w:pStyle w:val="10"/>
        <w:spacing w:before="2" w:line="312" w:lineRule="auto"/>
        <w:ind w:left="478" w:right="476" w:firstLine="482"/>
      </w:pPr>
      <w:r>
        <w:t>3、对复杂的服务，甲方可邀请国家认可的专业机构参与验收，并出具验收报告， 相关费用负担由甲乙双方约定。</w:t>
      </w:r>
    </w:p>
    <w:p>
      <w:pPr>
        <w:pStyle w:val="10"/>
        <w:spacing w:line="307" w:lineRule="exact"/>
        <w:ind w:left="960"/>
      </w:pPr>
      <w:r>
        <w:t>……</w:t>
      </w:r>
    </w:p>
    <w:p>
      <w:pPr>
        <w:pStyle w:val="10"/>
        <w:tabs>
          <w:tab w:val="left" w:pos="1920"/>
        </w:tabs>
        <w:spacing w:before="93"/>
        <w:ind w:left="960"/>
      </w:pPr>
      <w:r>
        <w:t>第五条</w:t>
      </w:r>
      <w:r>
        <w:tab/>
      </w:r>
      <w:r>
        <w:t>所有权归属</w:t>
      </w:r>
    </w:p>
    <w:p>
      <w:pPr>
        <w:spacing w:after="0"/>
        <w:sectPr>
          <w:pgSz w:w="11910" w:h="16840"/>
          <w:pgMar w:top="1440" w:right="940" w:bottom="1180" w:left="940" w:header="0" w:footer="1000" w:gutter="0"/>
          <w:pgBorders>
            <w:top w:val="none" w:sz="0" w:space="0"/>
            <w:left w:val="none" w:sz="0" w:space="0"/>
            <w:bottom w:val="none" w:sz="0" w:space="0"/>
            <w:right w:val="none" w:sz="0" w:space="0"/>
          </w:pgBorders>
          <w:pgNumType w:fmt="decimal"/>
          <w:cols w:space="720" w:num="1"/>
        </w:sectPr>
      </w:pPr>
    </w:p>
    <w:p>
      <w:pPr>
        <w:pStyle w:val="10"/>
        <w:spacing w:before="40" w:line="312" w:lineRule="auto"/>
        <w:ind w:left="478" w:right="477" w:firstLine="482"/>
        <w:jc w:val="both"/>
      </w:pPr>
      <w:r>
        <w:rPr>
          <w:spacing w:val="-5"/>
        </w:rPr>
        <w:t>乙方将服务成果交付甲方，并且经甲乙双方共同验收合格后所有权转移给甲方，在</w:t>
      </w:r>
      <w:r>
        <w:rPr>
          <w:spacing w:val="-6"/>
        </w:rPr>
        <w:t>所有权转移之前，标的物损毁、灭失的风险归乙方，乙方保证所交付的服务成果的所有</w:t>
      </w:r>
      <w:r>
        <w:t>权完全属于乙方且无任何抵押、查封等产权瑕疵。</w:t>
      </w:r>
    </w:p>
    <w:p>
      <w:pPr>
        <w:pStyle w:val="10"/>
        <w:spacing w:before="1" w:line="312" w:lineRule="auto"/>
        <w:ind w:left="478" w:right="476" w:firstLine="482"/>
        <w:jc w:val="both"/>
      </w:pPr>
      <w: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pPr>
        <w:pStyle w:val="10"/>
        <w:spacing w:before="1"/>
        <w:ind w:left="960"/>
        <w:jc w:val="both"/>
      </w:pPr>
      <w:r>
        <w:t>第六条 包装、装运及运输</w:t>
      </w:r>
    </w:p>
    <w:p>
      <w:pPr>
        <w:pStyle w:val="10"/>
        <w:spacing w:before="93" w:line="312" w:lineRule="auto"/>
        <w:ind w:left="478" w:right="476" w:firstLine="482"/>
      </w:pPr>
      <w:r>
        <w:t>1、乙方负责包装、装运和运输，由于不适当的包装、装运和运输造成任何损坏均由乙方负责。</w:t>
      </w:r>
    </w:p>
    <w:p>
      <w:pPr>
        <w:pStyle w:val="10"/>
        <w:spacing w:line="307" w:lineRule="exact"/>
        <w:ind w:left="960"/>
      </w:pPr>
      <w:r>
        <w:t>2、包装费、运费及相关费用已包含在合同总金额内。</w:t>
      </w:r>
    </w:p>
    <w:p>
      <w:pPr>
        <w:pStyle w:val="10"/>
        <w:spacing w:before="93"/>
        <w:ind w:left="960"/>
      </w:pPr>
      <w:r>
        <w:t>……</w:t>
      </w:r>
    </w:p>
    <w:p>
      <w:pPr>
        <w:pStyle w:val="10"/>
        <w:tabs>
          <w:tab w:val="left" w:pos="1920"/>
        </w:tabs>
        <w:spacing w:before="91"/>
        <w:ind w:left="960"/>
      </w:pPr>
      <w:r>
        <w:t>第七条</w:t>
      </w:r>
      <w:r>
        <w:tab/>
      </w:r>
      <w:r>
        <w:t>款项支付</w:t>
      </w:r>
    </w:p>
    <w:p>
      <w:pPr>
        <w:pStyle w:val="10"/>
        <w:spacing w:before="94"/>
        <w:ind w:left="960"/>
      </w:pPr>
      <w:r>
        <w:t>1、服务成果交付甲方，经甲乙双方共同验收合格后由甲方负责办理支付手续。</w:t>
      </w:r>
    </w:p>
    <w:p>
      <w:pPr>
        <w:pStyle w:val="10"/>
        <w:spacing w:before="93" w:line="312" w:lineRule="auto"/>
        <w:ind w:left="478" w:right="476" w:firstLine="482"/>
      </w:pPr>
      <w:r>
        <w:t>2、属国库集中支付资金，甲方应按照双方约定的付款期限，及时向财政部门报送资金支付申请，财政部门对支付申请审核无误后，将款项直接支付至乙方账户。</w:t>
      </w:r>
    </w:p>
    <w:p>
      <w:pPr>
        <w:pStyle w:val="10"/>
        <w:spacing w:line="307" w:lineRule="exact"/>
        <w:ind w:left="960"/>
      </w:pPr>
      <w:r>
        <w:t>3、付款方式</w:t>
      </w:r>
    </w:p>
    <w:p>
      <w:pPr>
        <w:pStyle w:val="10"/>
        <w:spacing w:before="93" w:line="312" w:lineRule="auto"/>
        <w:ind w:left="478" w:right="423" w:firstLine="482"/>
        <w:jc w:val="both"/>
      </w:pPr>
      <w:r>
        <w:t>（</w:t>
      </w:r>
      <w:r>
        <w:rPr>
          <w:spacing w:val="-1"/>
        </w:rPr>
        <w:t>可采用分期付款方式，也可以采用一次性付款方式，具体由甲乙双方协商约定。</w:t>
      </w:r>
      <w:r>
        <w:rPr>
          <w:spacing w:val="-5"/>
        </w:rPr>
        <w:t>采用分期付款方式的，应约定首付、各分期支付的时间、条件及支付资金的比率；采用</w:t>
      </w:r>
      <w:r>
        <w:rPr>
          <w:spacing w:val="-9"/>
        </w:rPr>
        <w:t>一次性付款方式的，应约定支付的时间；甲方根据采购服务的具体情况确定是否预留质保金）。</w:t>
      </w:r>
    </w:p>
    <w:p>
      <w:pPr>
        <w:pStyle w:val="10"/>
        <w:spacing w:line="307" w:lineRule="exact"/>
        <w:ind w:left="960"/>
      </w:pPr>
      <w:r>
        <w:t>……</w:t>
      </w:r>
    </w:p>
    <w:p>
      <w:pPr>
        <w:pStyle w:val="10"/>
        <w:tabs>
          <w:tab w:val="left" w:pos="1920"/>
        </w:tabs>
        <w:spacing w:before="93"/>
        <w:ind w:left="960"/>
      </w:pPr>
      <w:r>
        <w:t>第八条</w:t>
      </w:r>
      <w:r>
        <w:tab/>
      </w:r>
      <w:r>
        <w:t>履约保证金</w:t>
      </w:r>
    </w:p>
    <w:p>
      <w:pPr>
        <w:pStyle w:val="10"/>
        <w:tabs>
          <w:tab w:val="left" w:pos="6403"/>
          <w:tab w:val="left" w:pos="7858"/>
        </w:tabs>
        <w:spacing w:before="94" w:line="312" w:lineRule="auto"/>
        <w:ind w:left="478" w:right="476" w:firstLine="482"/>
      </w:pPr>
      <w:r>
        <w:t>1、乙方须向甲方交纳人民币（大写）</w:t>
      </w:r>
      <w:r>
        <w:rPr>
          <w:u w:val="single"/>
        </w:rPr>
        <w:t xml:space="preserve"> </w:t>
      </w:r>
      <w:r>
        <w:rPr>
          <w:u w:val="single"/>
        </w:rPr>
        <w:tab/>
      </w:r>
      <w:r>
        <w:t>（￥</w:t>
      </w:r>
      <w:r>
        <w:rPr>
          <w:u w:val="single"/>
        </w:rPr>
        <w:t xml:space="preserve"> </w:t>
      </w:r>
      <w:r>
        <w:rPr>
          <w:u w:val="single"/>
        </w:rPr>
        <w:tab/>
      </w:r>
      <w:r>
        <w:t>）元作为本合</w:t>
      </w:r>
      <w:r>
        <w:rPr>
          <w:spacing w:val="-16"/>
        </w:rPr>
        <w:t>同</w:t>
      </w:r>
      <w:r>
        <w:t>的履约保证金。</w:t>
      </w:r>
    </w:p>
    <w:p>
      <w:pPr>
        <w:pStyle w:val="10"/>
        <w:spacing w:line="307" w:lineRule="exact"/>
        <w:ind w:left="960"/>
      </w:pPr>
      <w:r>
        <w:t>2、履约保证金用于补偿甲方因乙方不能履行或不能完全履行合同义务而蒙受的损</w:t>
      </w:r>
    </w:p>
    <w:p>
      <w:pPr>
        <w:pStyle w:val="10"/>
        <w:spacing w:before="93"/>
        <w:ind w:left="478"/>
      </w:pPr>
      <w:r>
        <w:t>失。</w:t>
      </w:r>
    </w:p>
    <w:p>
      <w:pPr>
        <w:pStyle w:val="10"/>
        <w:spacing w:before="91" w:line="312" w:lineRule="auto"/>
        <w:ind w:left="478" w:right="477" w:firstLine="480"/>
        <w:jc w:val="both"/>
      </w:pPr>
      <w:r>
        <w:t>3、履约保证金在服务交付验收合格</w:t>
      </w:r>
      <w:r>
        <w:rPr>
          <w:spacing w:val="18"/>
          <w:u w:val="single"/>
        </w:rPr>
        <w:t xml:space="preserve">   </w:t>
      </w:r>
      <w:r>
        <w:t>月无质量问题后，填写《政府采购项目履</w:t>
      </w:r>
      <w:r>
        <w:rPr>
          <w:spacing w:val="-6"/>
        </w:rPr>
        <w:t>约保证金退付表》、《政府采购项目验收单》和资金往来收款收据交监督部门后</w:t>
      </w:r>
      <w:r>
        <w:t>20</w:t>
      </w:r>
      <w:r>
        <w:rPr>
          <w:spacing w:val="-9"/>
        </w:rPr>
        <w:t>个工</w:t>
      </w:r>
      <w:r>
        <w:t>作日内退还。</w:t>
      </w:r>
    </w:p>
    <w:p>
      <w:pPr>
        <w:pStyle w:val="10"/>
        <w:spacing w:before="1"/>
        <w:ind w:left="960"/>
      </w:pPr>
      <w:r>
        <w:t>……</w:t>
      </w:r>
    </w:p>
    <w:p>
      <w:pPr>
        <w:pStyle w:val="10"/>
        <w:tabs>
          <w:tab w:val="left" w:pos="1920"/>
        </w:tabs>
        <w:spacing w:before="93"/>
        <w:ind w:left="960"/>
      </w:pPr>
      <w:r>
        <w:t>第九条</w:t>
      </w:r>
      <w:r>
        <w:tab/>
      </w:r>
      <w:r>
        <w:t>售后服务及承诺</w:t>
      </w:r>
    </w:p>
    <w:p>
      <w:pPr>
        <w:pStyle w:val="10"/>
        <w:tabs>
          <w:tab w:val="left" w:pos="6703"/>
        </w:tabs>
        <w:spacing w:before="93" w:line="312" w:lineRule="auto"/>
        <w:ind w:left="478" w:right="477" w:firstLine="482"/>
      </w:pPr>
      <w:r>
        <w:t>1</w:t>
      </w:r>
      <w:r>
        <w:rPr>
          <w:spacing w:val="-20"/>
        </w:rPr>
        <w:t>、</w:t>
      </w:r>
      <w:r>
        <w:t>服务质量保证期限自提交服务验收合格之日起</w:t>
      </w:r>
      <w:r>
        <w:rPr>
          <w:u w:val="single"/>
        </w:rPr>
        <w:t xml:space="preserve"> </w:t>
      </w:r>
      <w:r>
        <w:rPr>
          <w:u w:val="single"/>
        </w:rPr>
        <w:tab/>
      </w:r>
      <w:r>
        <w:t>年</w:t>
      </w:r>
      <w:r>
        <w:rPr>
          <w:spacing w:val="-20"/>
        </w:rPr>
        <w:t>，</w:t>
      </w:r>
      <w:r>
        <w:t>在质量保证期内</w:t>
      </w:r>
      <w:r>
        <w:rPr>
          <w:spacing w:val="-20"/>
        </w:rPr>
        <w:t>，</w:t>
      </w:r>
      <w:r>
        <w:t>乙</w:t>
      </w:r>
      <w:r>
        <w:rPr>
          <w:spacing w:val="-16"/>
        </w:rPr>
        <w:t>方</w:t>
      </w:r>
      <w:r>
        <w:t>应对服务出现的问题负责处理并承担一切费用，并且赔偿甲方的损失。</w:t>
      </w:r>
    </w:p>
    <w:p>
      <w:pPr>
        <w:pStyle w:val="10"/>
        <w:spacing w:line="307" w:lineRule="exact"/>
        <w:ind w:left="960"/>
      </w:pPr>
      <w:r>
        <w:t>2、乙方有完善的服务体系，有能力提供持续的、本地化售后服务。</w:t>
      </w:r>
    </w:p>
    <w:p>
      <w:pPr>
        <w:pStyle w:val="10"/>
        <w:spacing w:before="94"/>
        <w:ind w:left="960"/>
      </w:pPr>
      <w:r>
        <w:t>3、乙方负责系统安装和调试以及操作人员培训，并制定详细的培训计划，使操作</w:t>
      </w:r>
    </w:p>
    <w:p>
      <w:pPr>
        <w:spacing w:after="0"/>
        <w:sectPr>
          <w:pgSz w:w="11910" w:h="16840"/>
          <w:pgMar w:top="1440" w:right="940" w:bottom="1180" w:left="940" w:header="0" w:footer="1000" w:gutter="0"/>
          <w:pgBorders>
            <w:top w:val="none" w:sz="0" w:space="0"/>
            <w:left w:val="none" w:sz="0" w:space="0"/>
            <w:bottom w:val="none" w:sz="0" w:space="0"/>
            <w:right w:val="none" w:sz="0" w:space="0"/>
          </w:pgBorders>
          <w:pgNumType w:fmt="decimal"/>
          <w:cols w:space="720" w:num="1"/>
        </w:sectPr>
      </w:pPr>
    </w:p>
    <w:p>
      <w:pPr>
        <w:pStyle w:val="10"/>
        <w:spacing w:before="40" w:line="312" w:lineRule="auto"/>
        <w:ind w:left="478" w:right="426"/>
      </w:pPr>
      <w:r>
        <w:t>人员能独立进行管理、操作、维护和故障处理等工作，做好相关记录及技术文档收集整理，待验收后移交。</w:t>
      </w:r>
    </w:p>
    <w:p>
      <w:pPr>
        <w:pStyle w:val="10"/>
        <w:spacing w:line="307" w:lineRule="exact"/>
        <w:ind w:left="960"/>
      </w:pPr>
      <w:r>
        <w:t>4、服务范围：负责竞争性磋商文件所涉及到的所有服务。</w:t>
      </w:r>
    </w:p>
    <w:p>
      <w:pPr>
        <w:pStyle w:val="10"/>
        <w:spacing w:before="94"/>
        <w:ind w:left="960"/>
      </w:pPr>
      <w:r>
        <w:t>……</w:t>
      </w:r>
    </w:p>
    <w:p>
      <w:pPr>
        <w:pStyle w:val="10"/>
        <w:tabs>
          <w:tab w:val="left" w:pos="1920"/>
        </w:tabs>
        <w:spacing w:before="93"/>
        <w:ind w:left="960"/>
      </w:pPr>
      <w:r>
        <w:t>第十条</w:t>
      </w:r>
      <w:r>
        <w:tab/>
      </w:r>
      <w:r>
        <w:t>知识产权</w:t>
      </w:r>
    </w:p>
    <w:p>
      <w:pPr>
        <w:pStyle w:val="10"/>
        <w:spacing w:before="91" w:line="312" w:lineRule="auto"/>
        <w:ind w:left="478" w:right="477" w:firstLine="482"/>
        <w:jc w:val="both"/>
      </w:pPr>
      <w:r>
        <w:t>1、乙方保证，甲方在享受服务或者服务的任何一部分时，免受第三方提出的侵犯</w:t>
      </w:r>
      <w:r>
        <w:rPr>
          <w:spacing w:val="-7"/>
        </w:rPr>
        <w:t>其专利权、商标权或其他知识产权的起诉。如发生此类纠纷，由乙方承担一切责任；如</w:t>
      </w:r>
      <w:r>
        <w:t>因此给甲方造成损失的，乙方负责全额赔偿。</w:t>
      </w:r>
    </w:p>
    <w:p>
      <w:pPr>
        <w:pStyle w:val="10"/>
        <w:spacing w:before="1" w:line="312" w:lineRule="auto"/>
        <w:ind w:left="478" w:right="476" w:firstLine="482"/>
      </w:pPr>
      <w:r>
        <w:t>2、乙方为执行本合同而提供的技术资料或者其他相关资料、软件等由甲方永久免费使用。</w:t>
      </w:r>
    </w:p>
    <w:p>
      <w:pPr>
        <w:pStyle w:val="10"/>
        <w:spacing w:before="2"/>
        <w:ind w:left="960"/>
      </w:pPr>
      <w:r>
        <w:t>……</w:t>
      </w:r>
    </w:p>
    <w:p>
      <w:pPr>
        <w:pStyle w:val="10"/>
        <w:tabs>
          <w:tab w:val="left" w:pos="2160"/>
        </w:tabs>
        <w:spacing w:before="91"/>
        <w:ind w:left="960"/>
      </w:pPr>
      <w:r>
        <w:t>第十一条</w:t>
      </w:r>
      <w:r>
        <w:tab/>
      </w:r>
      <w:r>
        <w:t>甲方责任</w:t>
      </w:r>
    </w:p>
    <w:p>
      <w:pPr>
        <w:pStyle w:val="10"/>
        <w:spacing w:before="93"/>
        <w:ind w:left="960"/>
      </w:pPr>
      <w:r>
        <w:t>1、及时办理付款手续。</w:t>
      </w:r>
    </w:p>
    <w:p>
      <w:pPr>
        <w:pStyle w:val="10"/>
        <w:spacing w:before="93"/>
        <w:ind w:left="960"/>
      </w:pPr>
      <w:r>
        <w:t>2、负责提供工作场地，协助乙方办理有关事宜。</w:t>
      </w:r>
    </w:p>
    <w:p>
      <w:pPr>
        <w:pStyle w:val="10"/>
        <w:spacing w:before="91"/>
        <w:ind w:left="960"/>
      </w:pPr>
      <w:r>
        <w:t>3、对合同条款及所知悉的乙方商业秘密负有保密义务。</w:t>
      </w:r>
    </w:p>
    <w:p>
      <w:pPr>
        <w:pStyle w:val="10"/>
        <w:spacing w:before="93"/>
        <w:ind w:left="960"/>
      </w:pPr>
      <w:r>
        <w:t>……</w:t>
      </w:r>
    </w:p>
    <w:p>
      <w:pPr>
        <w:pStyle w:val="10"/>
        <w:tabs>
          <w:tab w:val="left" w:pos="2160"/>
        </w:tabs>
        <w:spacing w:before="94"/>
        <w:ind w:left="960"/>
      </w:pPr>
      <w:r>
        <w:t>第十二条</w:t>
      </w:r>
      <w:r>
        <w:tab/>
      </w:r>
      <w:r>
        <w:t>乙方责任</w:t>
      </w:r>
    </w:p>
    <w:p>
      <w:pPr>
        <w:pStyle w:val="10"/>
        <w:spacing w:before="91" w:line="312" w:lineRule="auto"/>
        <w:ind w:left="478" w:right="476" w:firstLine="482"/>
      </w:pPr>
      <w:r>
        <w:t>1、保证所提供服务为响应文件承诺服务，符合相关法律法规规定并且满足甲方的需求，保证其配套项目部件为全新的未使用的且符合相关的质量要求。</w:t>
      </w:r>
    </w:p>
    <w:p>
      <w:pPr>
        <w:pStyle w:val="10"/>
        <w:spacing w:before="2" w:line="312" w:lineRule="auto"/>
        <w:ind w:left="478" w:right="476" w:firstLine="482"/>
      </w:pPr>
      <w:r>
        <w:t>2、保证所提供服务的售后服务，严格依据响应文件及相关承诺，对服务以及与之配套的项目进行保修、维护等服务。</w:t>
      </w:r>
    </w:p>
    <w:p>
      <w:pPr>
        <w:pStyle w:val="10"/>
        <w:spacing w:line="312" w:lineRule="auto"/>
        <w:ind w:left="478" w:right="476" w:firstLine="482"/>
      </w:pPr>
      <w:r>
        <w:t>3、保证其所供服务不存在侵犯第三方知识产权的行为，否则由此产生的损失由乙方承担。</w:t>
      </w:r>
    </w:p>
    <w:p>
      <w:pPr>
        <w:pStyle w:val="10"/>
        <w:spacing w:line="307" w:lineRule="exact"/>
        <w:ind w:left="960"/>
      </w:pPr>
      <w:r>
        <w:t>……</w:t>
      </w:r>
    </w:p>
    <w:p>
      <w:pPr>
        <w:pStyle w:val="10"/>
        <w:tabs>
          <w:tab w:val="left" w:pos="2160"/>
        </w:tabs>
        <w:spacing w:before="93"/>
        <w:ind w:left="960"/>
      </w:pPr>
      <w:r>
        <w:t>第十三条</w:t>
      </w:r>
      <w:r>
        <w:tab/>
      </w:r>
      <w:r>
        <w:t>违约责任</w:t>
      </w:r>
    </w:p>
    <w:p>
      <w:pPr>
        <w:pStyle w:val="10"/>
        <w:spacing w:before="93" w:line="312" w:lineRule="auto"/>
        <w:ind w:left="478" w:right="476" w:firstLine="482"/>
      </w:pPr>
      <w:r>
        <w:t>1、乙方所供服务成果及与之配套项目等不符合合同约定标准，甲方有权拒收。同时，乙方向甲方支付合同总金额20%的违约金。</w:t>
      </w:r>
    </w:p>
    <w:p>
      <w:pPr>
        <w:pStyle w:val="10"/>
        <w:spacing w:line="307" w:lineRule="exact"/>
        <w:ind w:left="960"/>
      </w:pPr>
      <w:r>
        <w:t>2、乙方不能交付服务成果时，乙方向甲方支付合同总金额20%的违约金。</w:t>
      </w:r>
    </w:p>
    <w:p>
      <w:pPr>
        <w:pStyle w:val="10"/>
        <w:spacing w:before="93" w:line="312" w:lineRule="auto"/>
        <w:ind w:left="478" w:right="477" w:firstLine="482"/>
        <w:jc w:val="both"/>
      </w:pPr>
      <w:r>
        <w:t>3、乙方逾期交付服务成果时，每逾1日乙方向甲方支付合同总金额3‰的滞纳金。逾期交付超过30</w:t>
      </w:r>
      <w:r>
        <w:rPr>
          <w:spacing w:val="-7"/>
        </w:rPr>
        <w:t>日，甲方有权决定是否继续履行合同，如甲方决定终止履行合同的，乙</w:t>
      </w:r>
      <w:r>
        <w:t>方向甲方支付合同总金额20%的违约金，并且赔偿甲方因此所遭受的损失。</w:t>
      </w:r>
    </w:p>
    <w:p>
      <w:pPr>
        <w:pStyle w:val="10"/>
        <w:spacing w:before="1"/>
        <w:ind w:left="960"/>
      </w:pPr>
      <w:r>
        <w:t>4、因甲方过错而给乙方造成的损失，由甲方负担。</w:t>
      </w:r>
    </w:p>
    <w:p>
      <w:pPr>
        <w:pStyle w:val="10"/>
        <w:spacing w:before="91"/>
        <w:ind w:left="960"/>
      </w:pPr>
      <w:r>
        <w:t>……</w:t>
      </w:r>
    </w:p>
    <w:p>
      <w:pPr>
        <w:pStyle w:val="10"/>
        <w:tabs>
          <w:tab w:val="left" w:pos="2160"/>
        </w:tabs>
        <w:spacing w:before="93"/>
        <w:ind w:left="960"/>
      </w:pPr>
      <w:r>
        <w:t>第十四条</w:t>
      </w:r>
      <w:r>
        <w:tab/>
      </w:r>
      <w:r>
        <w:t>不可抗力</w:t>
      </w:r>
    </w:p>
    <w:p>
      <w:pPr>
        <w:pStyle w:val="10"/>
        <w:spacing w:before="93"/>
        <w:ind w:left="960"/>
      </w:pPr>
      <w:r>
        <w:t>甲乙双方的任何一方由于不可抗力不能履行合同时，应当及时通知对方不能履行或</w:t>
      </w:r>
    </w:p>
    <w:p>
      <w:pPr>
        <w:spacing w:after="0"/>
        <w:sectPr>
          <w:pgSz w:w="11910" w:h="16840"/>
          <w:pgMar w:top="1440" w:right="940" w:bottom="1180" w:left="940" w:header="0" w:footer="1000" w:gutter="0"/>
          <w:pgBorders>
            <w:top w:val="none" w:sz="0" w:space="0"/>
            <w:left w:val="none" w:sz="0" w:space="0"/>
            <w:bottom w:val="none" w:sz="0" w:space="0"/>
            <w:right w:val="none" w:sz="0" w:space="0"/>
          </w:pgBorders>
          <w:pgNumType w:fmt="decimal"/>
          <w:cols w:space="720" w:num="1"/>
        </w:sectPr>
      </w:pPr>
    </w:p>
    <w:p>
      <w:pPr>
        <w:pStyle w:val="10"/>
        <w:spacing w:before="40" w:line="312" w:lineRule="auto"/>
        <w:ind w:left="478" w:right="414"/>
      </w:pPr>
      <w:r>
        <w:t>不能完全履行的情况和理由；在取得有关主管机关证明以后，允许延期履行、部分履行或者终止履行合同的，根据情况可部分或全部免予承担违约责任。</w:t>
      </w:r>
    </w:p>
    <w:p>
      <w:pPr>
        <w:pStyle w:val="10"/>
        <w:spacing w:line="307" w:lineRule="exact"/>
        <w:ind w:left="960"/>
      </w:pPr>
      <w:r>
        <w:t>……</w:t>
      </w:r>
    </w:p>
    <w:p>
      <w:pPr>
        <w:pStyle w:val="10"/>
        <w:tabs>
          <w:tab w:val="left" w:pos="2160"/>
        </w:tabs>
        <w:spacing w:before="94"/>
        <w:ind w:left="960"/>
      </w:pPr>
      <w:r>
        <w:t>第十五条</w:t>
      </w:r>
      <w:r>
        <w:tab/>
      </w:r>
      <w:r>
        <w:t>保密</w:t>
      </w:r>
    </w:p>
    <w:p>
      <w:pPr>
        <w:pStyle w:val="10"/>
        <w:spacing w:before="93" w:line="312" w:lineRule="auto"/>
        <w:ind w:left="478" w:right="477" w:firstLine="482"/>
        <w:jc w:val="both"/>
      </w:pPr>
      <w:r>
        <w:rPr>
          <w:spacing w:val="-1"/>
        </w:rPr>
        <w:t>乙方在合同履行期间知悉甲方的工作秘密</w:t>
      </w:r>
      <w:r>
        <w:t>（包括相关业务信息</w:t>
      </w:r>
      <w:r>
        <w:rPr>
          <w:spacing w:val="-19"/>
        </w:rPr>
        <w:t>）</w:t>
      </w:r>
      <w:r>
        <w:rPr>
          <w:spacing w:val="-7"/>
        </w:rPr>
        <w:t>，不得透露或以其</w:t>
      </w:r>
      <w:r>
        <w:rPr>
          <w:spacing w:val="-2"/>
        </w:rPr>
        <w:t>他方式提供给合同双方以外的其他方</w:t>
      </w:r>
      <w:r>
        <w:t>（包括乙方内部与本合同无关的任何人员</w:t>
      </w:r>
      <w:r>
        <w:rPr>
          <w:spacing w:val="-17"/>
        </w:rPr>
        <w:t>），</w:t>
      </w:r>
      <w:r>
        <w:rPr>
          <w:spacing w:val="-9"/>
        </w:rPr>
        <w:t>乙方</w:t>
      </w:r>
      <w:r>
        <w:t>的保密责任不因本合同的终止而终止。</w:t>
      </w:r>
    </w:p>
    <w:p>
      <w:pPr>
        <w:pStyle w:val="10"/>
        <w:spacing w:before="1"/>
        <w:ind w:left="960"/>
      </w:pPr>
      <w:r>
        <w:t>乙方违反本合同所规定的保密义务，应按照本合同总金额的10%支付违约金。</w:t>
      </w:r>
    </w:p>
    <w:p>
      <w:pPr>
        <w:pStyle w:val="10"/>
        <w:spacing w:before="91"/>
        <w:ind w:left="960"/>
      </w:pPr>
      <w:r>
        <w:t>……</w:t>
      </w:r>
    </w:p>
    <w:p>
      <w:pPr>
        <w:pStyle w:val="10"/>
        <w:tabs>
          <w:tab w:val="left" w:pos="2160"/>
        </w:tabs>
        <w:spacing w:before="93"/>
        <w:ind w:left="960"/>
      </w:pPr>
      <w:r>
        <w:t>第十六条</w:t>
      </w:r>
      <w:r>
        <w:tab/>
      </w:r>
      <w:r>
        <w:t>争议解决</w:t>
      </w:r>
    </w:p>
    <w:p>
      <w:pPr>
        <w:pStyle w:val="10"/>
        <w:spacing w:before="93" w:line="312" w:lineRule="auto"/>
        <w:ind w:left="478" w:right="413" w:firstLine="482"/>
      </w:pPr>
      <w:r>
        <w:t>甲乙双方在合同履行中发生争议，应通过协商解决。如协商不成，可以向合同签订地法院提起诉讼。</w:t>
      </w:r>
    </w:p>
    <w:p>
      <w:pPr>
        <w:pStyle w:val="10"/>
        <w:spacing w:line="307" w:lineRule="exact"/>
        <w:ind w:left="960"/>
      </w:pPr>
      <w:r>
        <w:t>……</w:t>
      </w:r>
    </w:p>
    <w:p>
      <w:pPr>
        <w:pStyle w:val="10"/>
        <w:tabs>
          <w:tab w:val="left" w:pos="2160"/>
        </w:tabs>
        <w:spacing w:before="93"/>
        <w:ind w:left="960"/>
      </w:pPr>
      <w:r>
        <w:t>第十七条</w:t>
      </w:r>
      <w:r>
        <w:tab/>
      </w:r>
      <w:r>
        <w:t>合同生效及其他</w:t>
      </w:r>
    </w:p>
    <w:p>
      <w:pPr>
        <w:pStyle w:val="10"/>
        <w:spacing w:before="91" w:line="312" w:lineRule="auto"/>
        <w:ind w:left="478" w:right="476" w:firstLine="482"/>
      </w:pPr>
      <w:r>
        <w:t>1、除竞争性磋商文件规定且甲方事先书面同意外，乙方不得部分或者全部转让、分包履行其应履行的合同项下的义务。</w:t>
      </w:r>
    </w:p>
    <w:p>
      <w:pPr>
        <w:pStyle w:val="10"/>
        <w:spacing w:before="2"/>
        <w:ind w:left="960"/>
      </w:pPr>
      <w:r>
        <w:t>2、合同由甲、乙双方法定代表人（或者被授权代表）签字并加盖单位公章。</w:t>
      </w:r>
    </w:p>
    <w:p>
      <w:pPr>
        <w:pStyle w:val="10"/>
        <w:spacing w:before="91" w:line="312" w:lineRule="auto"/>
        <w:ind w:left="478" w:right="476" w:firstLine="482"/>
      </w:pPr>
      <w:r>
        <w:t>3、本合同一式六份，甲方一份，乙方一份，采购代理机构二份，同级财政部门一份，市公共资源交易管理办公室一份。</w:t>
      </w:r>
    </w:p>
    <w:p>
      <w:pPr>
        <w:pStyle w:val="10"/>
        <w:spacing w:before="2"/>
        <w:ind w:left="960"/>
      </w:pPr>
      <w:r>
        <w:t>……</w:t>
      </w:r>
    </w:p>
    <w:p>
      <w:pPr>
        <w:pStyle w:val="10"/>
        <w:tabs>
          <w:tab w:val="left" w:pos="2280"/>
        </w:tabs>
        <w:spacing w:before="91"/>
        <w:ind w:left="960"/>
      </w:pPr>
      <w:r>
        <w:t>第十八条</w:t>
      </w:r>
      <w:r>
        <w:tab/>
      </w:r>
      <w:r>
        <w:t>服务期限</w:t>
      </w:r>
    </w:p>
    <w:p>
      <w:pPr>
        <w:pStyle w:val="10"/>
        <w:tabs>
          <w:tab w:val="left" w:pos="5347"/>
          <w:tab w:val="left" w:pos="6067"/>
          <w:tab w:val="left" w:pos="6667"/>
          <w:tab w:val="left" w:pos="7747"/>
          <w:tab w:val="left" w:pos="8347"/>
          <w:tab w:val="left" w:pos="8947"/>
        </w:tabs>
        <w:spacing w:before="94" w:line="312" w:lineRule="auto"/>
        <w:ind w:left="478" w:right="357" w:firstLine="482"/>
      </w:pPr>
      <w:r>
        <w:t>本合同服务期限为</w:t>
      </w:r>
      <w:r>
        <w:rPr>
          <w:spacing w:val="119"/>
          <w:u w:val="single"/>
        </w:rPr>
        <w:t xml:space="preserve"> </w:t>
      </w:r>
      <w:r>
        <w:t>年</w:t>
      </w:r>
      <w:r>
        <w:rPr>
          <w:spacing w:val="-53"/>
        </w:rPr>
        <w:t>；</w:t>
      </w:r>
      <w:r>
        <w:t>服务期限自</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日止</w:t>
      </w:r>
      <w:r>
        <w:rPr>
          <w:spacing w:val="-18"/>
        </w:rPr>
        <w:t>。</w:t>
      </w:r>
      <w:r>
        <w:t>本合同期限届满</w:t>
      </w:r>
      <w:r>
        <w:rPr>
          <w:spacing w:val="-10"/>
        </w:rPr>
        <w:t>，</w:t>
      </w:r>
      <w:r>
        <w:t>如需续签</w:t>
      </w:r>
      <w:r>
        <w:rPr>
          <w:spacing w:val="-8"/>
        </w:rPr>
        <w:t>，</w:t>
      </w:r>
      <w:r>
        <w:t>根</w:t>
      </w:r>
      <w:r>
        <w:rPr>
          <w:spacing w:val="-8"/>
        </w:rPr>
        <w:t>据</w:t>
      </w:r>
      <w:r>
        <w:t>《政府采购目录</w:t>
      </w:r>
      <w:r>
        <w:rPr>
          <w:spacing w:val="-8"/>
        </w:rPr>
        <w:t>》</w:t>
      </w:r>
      <w:r>
        <w:t>有关规定</w:t>
      </w:r>
      <w:r>
        <w:rPr>
          <w:spacing w:val="-8"/>
        </w:rPr>
        <w:t>，</w:t>
      </w:r>
      <w:r>
        <w:t>经财政部门批准</w:t>
      </w:r>
      <w:r>
        <w:rPr>
          <w:spacing w:val="-10"/>
        </w:rPr>
        <w:t>，</w:t>
      </w:r>
      <w:r>
        <w:t>双方可以根据法律及各项规定另行签订书面合同。</w:t>
      </w:r>
    </w:p>
    <w:p>
      <w:pPr>
        <w:pStyle w:val="10"/>
        <w:tabs>
          <w:tab w:val="left" w:pos="2160"/>
        </w:tabs>
        <w:ind w:left="960"/>
      </w:pPr>
      <w:r>
        <w:t>第十九条</w:t>
      </w:r>
      <w:r>
        <w:tab/>
      </w:r>
      <w:r>
        <w:t>下列文件为本合同不可分割部分</w:t>
      </w:r>
    </w:p>
    <w:p>
      <w:pPr>
        <w:pStyle w:val="10"/>
        <w:spacing w:before="94"/>
        <w:ind w:left="960"/>
      </w:pPr>
      <w:r>
        <w:t>1、政府采购竞争性磋商文件（包括澄清、修改）；</w:t>
      </w:r>
    </w:p>
    <w:p>
      <w:pPr>
        <w:pStyle w:val="10"/>
        <w:spacing w:before="91"/>
        <w:ind w:left="960"/>
      </w:pPr>
      <w:r>
        <w:t>2、乙方响应文件；</w:t>
      </w:r>
    </w:p>
    <w:p>
      <w:pPr>
        <w:pStyle w:val="10"/>
        <w:spacing w:before="93"/>
        <w:ind w:left="960"/>
      </w:pPr>
      <w:r>
        <w:t>3、中标（成交）通知书；</w:t>
      </w:r>
    </w:p>
    <w:p>
      <w:pPr>
        <w:pStyle w:val="10"/>
        <w:spacing w:before="93"/>
        <w:ind w:left="960"/>
      </w:pPr>
      <w:r>
        <w:t>4、中标人在评标过程中做出的有关澄清、说明、承诺或者补正文件；</w:t>
      </w:r>
    </w:p>
    <w:p>
      <w:pPr>
        <w:pStyle w:val="10"/>
        <w:spacing w:before="91"/>
        <w:ind w:left="960"/>
      </w:pPr>
      <w:r>
        <w:t>5、政府采购委托协议书；</w:t>
      </w:r>
    </w:p>
    <w:p>
      <w:pPr>
        <w:pStyle w:val="10"/>
        <w:tabs>
          <w:tab w:val="left" w:pos="1680"/>
          <w:tab w:val="left" w:pos="5640"/>
          <w:tab w:val="left" w:pos="6360"/>
        </w:tabs>
        <w:spacing w:before="93"/>
        <w:ind w:left="960"/>
      </w:pPr>
      <w:r>
        <w:t>甲</w:t>
      </w:r>
      <w:r>
        <w:tab/>
      </w:r>
      <w:r>
        <w:t>方：</w:t>
      </w:r>
      <w:r>
        <w:tab/>
      </w:r>
      <w:r>
        <w:t>乙</w:t>
      </w:r>
      <w:r>
        <w:tab/>
      </w:r>
      <w:r>
        <w:t>方：</w:t>
      </w:r>
    </w:p>
    <w:p>
      <w:pPr>
        <w:pStyle w:val="10"/>
        <w:tabs>
          <w:tab w:val="left" w:pos="5640"/>
        </w:tabs>
        <w:spacing w:before="94"/>
        <w:ind w:left="960"/>
      </w:pPr>
      <w:r>
        <w:t>单位名称(公章)：</w:t>
      </w:r>
      <w:r>
        <w:tab/>
      </w:r>
      <w:r>
        <w:t>单位名称(公章)：</w:t>
      </w:r>
    </w:p>
    <w:p>
      <w:pPr>
        <w:pStyle w:val="10"/>
        <w:tabs>
          <w:tab w:val="left" w:pos="1680"/>
          <w:tab w:val="left" w:pos="5640"/>
          <w:tab w:val="left" w:pos="6360"/>
        </w:tabs>
        <w:spacing w:before="91" w:line="312" w:lineRule="auto"/>
        <w:ind w:left="960" w:right="783"/>
      </w:pPr>
      <w:r>
        <w:t>法定代表人（被授权代表）签字：</w:t>
      </w:r>
      <w:r>
        <w:tab/>
      </w:r>
      <w:r>
        <w:t>法定代表人（被授权代表）签字</w:t>
      </w:r>
      <w:r>
        <w:rPr>
          <w:spacing w:val="-17"/>
        </w:rPr>
        <w:t xml:space="preserve">： </w:t>
      </w:r>
      <w:r>
        <w:t>电</w:t>
      </w:r>
      <w:r>
        <w:tab/>
      </w:r>
      <w:r>
        <w:t>话：</w:t>
      </w:r>
      <w:r>
        <w:tab/>
      </w:r>
      <w:r>
        <w:t>电</w:t>
      </w:r>
      <w:r>
        <w:tab/>
      </w:r>
      <w:r>
        <w:t>话：</w:t>
      </w:r>
    </w:p>
    <w:p>
      <w:pPr>
        <w:pStyle w:val="10"/>
        <w:tabs>
          <w:tab w:val="left" w:pos="1560"/>
          <w:tab w:val="left" w:pos="2160"/>
          <w:tab w:val="left" w:pos="5640"/>
          <w:tab w:val="left" w:pos="6240"/>
          <w:tab w:val="left" w:pos="6840"/>
        </w:tabs>
        <w:spacing w:before="2"/>
        <w:ind w:left="960"/>
      </w:pPr>
      <w:r>
        <w:t>年</w:t>
      </w:r>
      <w:r>
        <w:tab/>
      </w:r>
      <w:r>
        <w:t>月</w:t>
      </w:r>
      <w:r>
        <w:tab/>
      </w:r>
      <w:r>
        <w:t>日</w:t>
      </w:r>
      <w:r>
        <w:tab/>
      </w:r>
      <w:r>
        <w:t>年</w:t>
      </w:r>
      <w:r>
        <w:tab/>
      </w:r>
      <w:r>
        <w:t>月</w:t>
      </w:r>
      <w:r>
        <w:tab/>
      </w:r>
      <w:r>
        <w:t>日</w:t>
      </w:r>
    </w:p>
    <w:p>
      <w:pPr>
        <w:spacing w:after="0"/>
        <w:sectPr>
          <w:pgSz w:w="11910" w:h="16840"/>
          <w:pgMar w:top="1440" w:right="940" w:bottom="1180" w:left="940" w:header="0" w:footer="1000" w:gutter="0"/>
          <w:pgBorders>
            <w:top w:val="none" w:sz="0" w:space="0"/>
            <w:left w:val="none" w:sz="0" w:space="0"/>
            <w:bottom w:val="none" w:sz="0" w:space="0"/>
            <w:right w:val="none" w:sz="0" w:space="0"/>
          </w:pgBorders>
          <w:pgNumType w:fmt="decimal"/>
          <w:cols w:space="720" w:num="1"/>
        </w:sectPr>
      </w:pPr>
    </w:p>
    <w:p>
      <w:pPr>
        <w:pStyle w:val="5"/>
        <w:tabs>
          <w:tab w:val="left" w:pos="1279"/>
        </w:tabs>
        <w:outlineLvl w:val="0"/>
      </w:pPr>
      <w:bookmarkStart w:id="98" w:name="_bookmark37"/>
      <w:bookmarkEnd w:id="98"/>
      <w:bookmarkStart w:id="99" w:name="第六章  响应文件格式"/>
      <w:bookmarkEnd w:id="99"/>
      <w:bookmarkStart w:id="100" w:name="_Toc13293"/>
      <w:r>
        <w:t>第六章</w:t>
      </w:r>
      <w:r>
        <w:tab/>
      </w:r>
      <w:r>
        <w:t>响应文件格式</w:t>
      </w:r>
      <w:bookmarkEnd w:id="100"/>
    </w:p>
    <w:p>
      <w:pPr>
        <w:spacing w:after="0"/>
        <w:sectPr>
          <w:pgSz w:w="11910" w:h="16840"/>
          <w:pgMar w:top="1480" w:right="940" w:bottom="1180" w:left="940" w:header="0" w:footer="1000" w:gutter="0"/>
          <w:pgBorders>
            <w:top w:val="none" w:sz="0" w:space="0"/>
            <w:left w:val="none" w:sz="0" w:space="0"/>
            <w:bottom w:val="none" w:sz="0" w:space="0"/>
            <w:right w:val="none" w:sz="0" w:space="0"/>
          </w:pgBorders>
          <w:pgNumType w:fmt="decimal"/>
          <w:cols w:space="720" w:num="1"/>
        </w:sectPr>
      </w:pPr>
    </w:p>
    <w:p>
      <w:pPr>
        <w:spacing w:before="35"/>
        <w:ind w:right="0"/>
        <w:jc w:val="center"/>
        <w:outlineLvl w:val="0"/>
        <w:rPr>
          <w:rFonts w:hint="eastAsia" w:ascii="宋体" w:eastAsia="宋体"/>
          <w:b/>
          <w:sz w:val="32"/>
        </w:rPr>
      </w:pPr>
      <w:r>
        <w:rPr>
          <w:rFonts w:hint="eastAsia" w:ascii="宋体" w:eastAsia="宋体"/>
          <w:b/>
          <w:sz w:val="32"/>
          <w:lang w:val="en-US" w:eastAsia="zh-CN"/>
        </w:rPr>
        <w:t xml:space="preserve">                    </w:t>
      </w:r>
      <w:bookmarkStart w:id="101" w:name="_Toc5001"/>
      <w:r>
        <w:rPr>
          <w:rFonts w:hint="eastAsia" w:ascii="宋体" w:eastAsia="宋体"/>
          <w:b/>
          <w:sz w:val="32"/>
        </w:rPr>
        <w:t>（响应文件标书封皮</w:t>
      </w:r>
      <w:r>
        <w:rPr>
          <w:rFonts w:hint="eastAsia" w:ascii="宋体" w:eastAsia="宋体"/>
          <w:b/>
          <w:spacing w:val="-15"/>
          <w:sz w:val="32"/>
        </w:rPr>
        <w:t>）</w:t>
      </w:r>
      <w:bookmarkEnd w:id="101"/>
    </w:p>
    <w:p>
      <w:pPr>
        <w:pStyle w:val="10"/>
        <w:spacing w:before="2"/>
        <w:rPr>
          <w:rFonts w:ascii="宋体"/>
          <w:b/>
          <w:sz w:val="50"/>
        </w:rPr>
      </w:pPr>
      <w:r>
        <w:br w:type="column"/>
      </w:r>
    </w:p>
    <w:p>
      <w:pPr>
        <w:spacing w:before="0"/>
        <w:ind w:left="1064" w:right="0" w:firstLine="0"/>
        <w:jc w:val="left"/>
        <w:outlineLvl w:val="0"/>
        <w:rPr>
          <w:rFonts w:hint="eastAsia" w:ascii="宋体" w:eastAsia="宋体"/>
          <w:b/>
          <w:sz w:val="36"/>
        </w:rPr>
      </w:pPr>
      <w:bookmarkStart w:id="102" w:name="_Toc974"/>
      <w:r>
        <w:rPr>
          <w:rFonts w:hint="eastAsia" w:ascii="宋体" w:eastAsia="宋体"/>
          <w:b/>
          <w:sz w:val="36"/>
        </w:rPr>
        <w:t>正（副）本</w:t>
      </w:r>
      <w:bookmarkEnd w:id="102"/>
    </w:p>
    <w:p>
      <w:pPr>
        <w:spacing w:after="0"/>
        <w:jc w:val="left"/>
        <w:rPr>
          <w:rFonts w:hint="eastAsia" w:ascii="宋体" w:eastAsia="宋体"/>
          <w:sz w:val="36"/>
        </w:rPr>
        <w:sectPr>
          <w:pgSz w:w="11910" w:h="16840"/>
          <w:pgMar w:top="1500" w:right="940" w:bottom="1180" w:left="940" w:header="0" w:footer="1000" w:gutter="0"/>
          <w:pgBorders>
            <w:top w:val="none" w:sz="0" w:space="0"/>
            <w:left w:val="none" w:sz="0" w:space="0"/>
            <w:bottom w:val="none" w:sz="0" w:space="0"/>
            <w:right w:val="none" w:sz="0" w:space="0"/>
          </w:pgBorders>
          <w:pgNumType w:fmt="decimal"/>
          <w:cols w:equalWidth="0" w:num="2">
            <w:col w:w="6618" w:space="40"/>
            <w:col w:w="3372"/>
          </w:cols>
        </w:sectPr>
      </w:pPr>
    </w:p>
    <w:p>
      <w:pPr>
        <w:pStyle w:val="10"/>
        <w:rPr>
          <w:rFonts w:ascii="宋体"/>
          <w:b/>
          <w:sz w:val="20"/>
        </w:rPr>
      </w:pPr>
    </w:p>
    <w:p>
      <w:pPr>
        <w:pStyle w:val="10"/>
        <w:rPr>
          <w:rFonts w:ascii="宋体"/>
          <w:b/>
          <w:sz w:val="20"/>
        </w:rPr>
      </w:pPr>
    </w:p>
    <w:p>
      <w:pPr>
        <w:tabs>
          <w:tab w:val="left" w:pos="3638"/>
        </w:tabs>
        <w:spacing w:before="191"/>
        <w:ind w:left="0" w:right="0" w:firstLine="0"/>
        <w:jc w:val="center"/>
        <w:outlineLvl w:val="0"/>
        <w:rPr>
          <w:rFonts w:hint="eastAsia" w:ascii="宋体" w:eastAsia="宋体"/>
          <w:b/>
          <w:sz w:val="52"/>
        </w:rPr>
      </w:pPr>
      <w:bookmarkStart w:id="103" w:name="_Toc31396"/>
      <w:r>
        <w:rPr>
          <w:rFonts w:ascii="Times New Roman" w:eastAsia="Times New Roman"/>
          <w:b/>
          <w:sz w:val="52"/>
          <w:u w:val="thick"/>
        </w:rPr>
        <w:t>****</w:t>
      </w:r>
      <w:r>
        <w:rPr>
          <w:rFonts w:ascii="Times New Roman" w:eastAsia="Times New Roman"/>
          <w:b/>
          <w:sz w:val="52"/>
          <w:u w:val="thick"/>
        </w:rPr>
        <w:tab/>
      </w:r>
      <w:r>
        <w:rPr>
          <w:rFonts w:hint="eastAsia" w:ascii="宋体" w:eastAsia="宋体"/>
          <w:b/>
          <w:sz w:val="52"/>
        </w:rPr>
        <w:t>项目</w:t>
      </w:r>
      <w:bookmarkEnd w:id="103"/>
    </w:p>
    <w:p>
      <w:pPr>
        <w:pStyle w:val="10"/>
        <w:spacing w:before="226"/>
        <w:ind w:left="4412"/>
        <w:rPr>
          <w:rFonts w:hint="eastAsia" w:ascii="宋体" w:eastAsia="宋体"/>
        </w:rPr>
      </w:pPr>
      <w:r>
        <w:rPr>
          <w:rFonts w:hint="eastAsia" w:ascii="宋体" w:eastAsia="宋体"/>
        </w:rPr>
        <w:t>项目编号：</w:t>
      </w:r>
    </w:p>
    <w:p>
      <w:pPr>
        <w:pStyle w:val="10"/>
        <w:rPr>
          <w:rFonts w:ascii="宋体"/>
        </w:rPr>
      </w:pPr>
    </w:p>
    <w:p>
      <w:pPr>
        <w:pStyle w:val="10"/>
        <w:rPr>
          <w:rFonts w:ascii="宋体"/>
        </w:rPr>
      </w:pPr>
    </w:p>
    <w:p>
      <w:pPr>
        <w:pStyle w:val="10"/>
        <w:rPr>
          <w:rFonts w:ascii="宋体"/>
        </w:rPr>
      </w:pPr>
    </w:p>
    <w:p>
      <w:pPr>
        <w:pStyle w:val="10"/>
        <w:rPr>
          <w:rFonts w:ascii="宋体"/>
        </w:rPr>
      </w:pPr>
    </w:p>
    <w:p>
      <w:pPr>
        <w:pStyle w:val="10"/>
        <w:rPr>
          <w:rFonts w:ascii="宋体"/>
        </w:rPr>
      </w:pPr>
    </w:p>
    <w:p>
      <w:pPr>
        <w:pStyle w:val="10"/>
        <w:rPr>
          <w:rFonts w:ascii="宋体"/>
        </w:rPr>
      </w:pPr>
    </w:p>
    <w:p>
      <w:pPr>
        <w:pStyle w:val="10"/>
        <w:rPr>
          <w:rFonts w:ascii="宋体"/>
        </w:rPr>
      </w:pPr>
    </w:p>
    <w:p>
      <w:pPr>
        <w:pStyle w:val="10"/>
        <w:rPr>
          <w:rFonts w:ascii="宋体"/>
        </w:rPr>
      </w:pPr>
    </w:p>
    <w:p>
      <w:pPr>
        <w:pStyle w:val="10"/>
        <w:rPr>
          <w:rFonts w:ascii="宋体"/>
        </w:rPr>
      </w:pPr>
    </w:p>
    <w:p>
      <w:pPr>
        <w:pStyle w:val="10"/>
        <w:rPr>
          <w:rFonts w:ascii="宋体"/>
        </w:rPr>
      </w:pPr>
    </w:p>
    <w:p>
      <w:pPr>
        <w:pStyle w:val="10"/>
        <w:spacing w:before="6"/>
        <w:rPr>
          <w:rFonts w:ascii="宋体"/>
          <w:sz w:val="27"/>
        </w:rPr>
      </w:pPr>
    </w:p>
    <w:p>
      <w:pPr>
        <w:spacing w:before="0"/>
        <w:ind w:left="429" w:right="429" w:firstLine="0"/>
        <w:jc w:val="center"/>
        <w:outlineLvl w:val="0"/>
        <w:rPr>
          <w:rFonts w:hint="eastAsia" w:ascii="宋体" w:eastAsia="宋体"/>
          <w:b/>
          <w:sz w:val="72"/>
        </w:rPr>
      </w:pPr>
      <w:bookmarkStart w:id="104" w:name="_Toc8288"/>
      <w:r>
        <w:rPr>
          <w:rFonts w:hint="eastAsia" w:ascii="宋体" w:eastAsia="宋体"/>
          <w:b/>
          <w:sz w:val="72"/>
        </w:rPr>
        <w:t>响 应 文 件</w:t>
      </w:r>
      <w:bookmarkEnd w:id="104"/>
    </w:p>
    <w:p>
      <w:pPr>
        <w:pStyle w:val="10"/>
        <w:rPr>
          <w:rFonts w:ascii="宋体"/>
          <w:b/>
          <w:sz w:val="72"/>
        </w:rPr>
      </w:pPr>
    </w:p>
    <w:p>
      <w:pPr>
        <w:pStyle w:val="10"/>
        <w:rPr>
          <w:rFonts w:ascii="宋体"/>
          <w:b/>
          <w:sz w:val="72"/>
        </w:rPr>
      </w:pPr>
    </w:p>
    <w:p>
      <w:pPr>
        <w:pStyle w:val="10"/>
        <w:rPr>
          <w:rFonts w:ascii="宋体"/>
          <w:b/>
          <w:sz w:val="72"/>
        </w:rPr>
      </w:pPr>
    </w:p>
    <w:p>
      <w:pPr>
        <w:tabs>
          <w:tab w:val="left" w:pos="4279"/>
        </w:tabs>
        <w:spacing w:before="554"/>
        <w:ind w:left="500" w:right="0" w:firstLine="0"/>
        <w:jc w:val="left"/>
        <w:rPr>
          <w:rFonts w:hint="eastAsia" w:ascii="宋体" w:eastAsia="宋体"/>
          <w:sz w:val="28"/>
        </w:rPr>
      </w:pPr>
      <w:r>
        <w:rPr>
          <w:rFonts w:hint="eastAsia" w:ascii="宋体" w:eastAsia="宋体"/>
          <w:sz w:val="28"/>
        </w:rPr>
        <w:t>供</w:t>
      </w:r>
      <w:r>
        <w:rPr>
          <w:rFonts w:hint="eastAsia" w:ascii="宋体" w:eastAsia="宋体"/>
          <w:spacing w:val="-3"/>
          <w:sz w:val="28"/>
        </w:rPr>
        <w:t>应</w:t>
      </w:r>
      <w:r>
        <w:rPr>
          <w:rFonts w:hint="eastAsia" w:ascii="宋体" w:eastAsia="宋体"/>
          <w:sz w:val="28"/>
        </w:rPr>
        <w:t>商名</w:t>
      </w:r>
      <w:r>
        <w:rPr>
          <w:rFonts w:hint="eastAsia" w:ascii="宋体" w:eastAsia="宋体"/>
          <w:spacing w:val="-3"/>
          <w:sz w:val="28"/>
        </w:rPr>
        <w:t>称</w:t>
      </w:r>
      <w:r>
        <w:rPr>
          <w:rFonts w:hint="eastAsia" w:ascii="宋体" w:eastAsia="宋体"/>
          <w:sz w:val="28"/>
        </w:rPr>
        <w:t>：</w:t>
      </w:r>
      <w:r>
        <w:rPr>
          <w:rFonts w:hint="eastAsia" w:ascii="宋体" w:eastAsia="宋体"/>
          <w:sz w:val="28"/>
          <w:u w:val="single"/>
        </w:rPr>
        <w:t xml:space="preserve"> </w:t>
      </w:r>
      <w:r>
        <w:rPr>
          <w:rFonts w:hint="eastAsia" w:ascii="宋体" w:eastAsia="宋体"/>
          <w:sz w:val="28"/>
          <w:u w:val="single"/>
        </w:rPr>
        <w:tab/>
      </w:r>
      <w:r>
        <w:rPr>
          <w:rFonts w:hint="eastAsia" w:ascii="宋体" w:eastAsia="宋体"/>
          <w:sz w:val="28"/>
        </w:rPr>
        <w:t>（</w:t>
      </w:r>
      <w:r>
        <w:rPr>
          <w:rFonts w:hint="eastAsia" w:ascii="宋体" w:eastAsia="宋体"/>
          <w:spacing w:val="-3"/>
          <w:sz w:val="28"/>
        </w:rPr>
        <w:t>盖</w:t>
      </w:r>
      <w:r>
        <w:rPr>
          <w:rFonts w:hint="eastAsia" w:ascii="宋体" w:eastAsia="宋体"/>
          <w:sz w:val="28"/>
        </w:rPr>
        <w:t>章）</w:t>
      </w:r>
    </w:p>
    <w:p>
      <w:pPr>
        <w:pStyle w:val="10"/>
        <w:spacing w:before="5"/>
        <w:rPr>
          <w:rFonts w:ascii="宋体"/>
          <w:sz w:val="21"/>
        </w:rPr>
      </w:pPr>
    </w:p>
    <w:p>
      <w:pPr>
        <w:tabs>
          <w:tab w:val="left" w:pos="4279"/>
        </w:tabs>
        <w:spacing w:before="1"/>
        <w:ind w:left="500" w:right="0" w:firstLine="0"/>
        <w:jc w:val="left"/>
        <w:rPr>
          <w:rFonts w:hint="eastAsia" w:ascii="宋体" w:eastAsia="宋体"/>
          <w:sz w:val="28"/>
        </w:rPr>
      </w:pPr>
      <w:r>
        <w:rPr>
          <w:rFonts w:hint="eastAsia" w:ascii="宋体" w:eastAsia="宋体"/>
          <w:sz w:val="28"/>
        </w:rPr>
        <w:t>法</w:t>
      </w:r>
      <w:r>
        <w:rPr>
          <w:rFonts w:hint="eastAsia" w:ascii="宋体" w:eastAsia="宋体"/>
          <w:spacing w:val="-3"/>
          <w:sz w:val="28"/>
        </w:rPr>
        <w:t>定</w:t>
      </w:r>
      <w:r>
        <w:rPr>
          <w:rFonts w:hint="eastAsia" w:ascii="宋体" w:eastAsia="宋体"/>
          <w:sz w:val="28"/>
        </w:rPr>
        <w:t>代表</w:t>
      </w:r>
      <w:r>
        <w:rPr>
          <w:rFonts w:hint="eastAsia" w:ascii="宋体" w:eastAsia="宋体"/>
          <w:spacing w:val="-3"/>
          <w:sz w:val="28"/>
        </w:rPr>
        <w:t>人</w:t>
      </w:r>
      <w:r>
        <w:rPr>
          <w:rFonts w:hint="eastAsia" w:ascii="宋体" w:eastAsia="宋体"/>
          <w:sz w:val="28"/>
        </w:rPr>
        <w:t>：</w:t>
      </w:r>
      <w:r>
        <w:rPr>
          <w:rFonts w:hint="eastAsia" w:ascii="宋体" w:eastAsia="宋体"/>
          <w:sz w:val="28"/>
          <w:u w:val="single"/>
        </w:rPr>
        <w:t xml:space="preserve"> </w:t>
      </w:r>
      <w:r>
        <w:rPr>
          <w:rFonts w:hint="eastAsia" w:ascii="宋体" w:eastAsia="宋体"/>
          <w:sz w:val="28"/>
          <w:u w:val="single"/>
        </w:rPr>
        <w:tab/>
      </w:r>
      <w:r>
        <w:rPr>
          <w:rFonts w:hint="eastAsia" w:ascii="宋体" w:eastAsia="宋体"/>
          <w:sz w:val="28"/>
        </w:rPr>
        <w:t>（</w:t>
      </w:r>
      <w:r>
        <w:rPr>
          <w:rFonts w:hint="eastAsia" w:ascii="宋体" w:eastAsia="宋体"/>
          <w:spacing w:val="-3"/>
          <w:sz w:val="28"/>
        </w:rPr>
        <w:t>签</w:t>
      </w:r>
      <w:r>
        <w:rPr>
          <w:rFonts w:hint="eastAsia" w:ascii="宋体" w:eastAsia="宋体"/>
          <w:sz w:val="28"/>
        </w:rPr>
        <w:t>字或</w:t>
      </w:r>
      <w:r>
        <w:rPr>
          <w:rFonts w:hint="eastAsia" w:ascii="宋体" w:eastAsia="宋体"/>
          <w:spacing w:val="-3"/>
          <w:sz w:val="28"/>
        </w:rPr>
        <w:t>盖</w:t>
      </w:r>
      <w:r>
        <w:rPr>
          <w:rFonts w:hint="eastAsia" w:ascii="宋体" w:eastAsia="宋体"/>
          <w:sz w:val="28"/>
        </w:rPr>
        <w:t>章）</w:t>
      </w:r>
    </w:p>
    <w:p>
      <w:pPr>
        <w:pStyle w:val="10"/>
        <w:spacing w:before="8"/>
        <w:rPr>
          <w:rFonts w:ascii="宋体"/>
          <w:sz w:val="21"/>
        </w:rPr>
      </w:pPr>
    </w:p>
    <w:p>
      <w:pPr>
        <w:tabs>
          <w:tab w:val="left" w:pos="5431"/>
          <w:tab w:val="left" w:pos="6413"/>
        </w:tabs>
        <w:spacing w:before="0"/>
        <w:ind w:left="4452" w:right="0" w:firstLine="0"/>
        <w:jc w:val="left"/>
        <w:rPr>
          <w:rFonts w:hint="eastAsia" w:ascii="宋体" w:eastAsia="宋体"/>
          <w:sz w:val="28"/>
        </w:rPr>
      </w:pPr>
      <w:r>
        <w:rPr>
          <w:rFonts w:hint="eastAsia" w:ascii="宋体" w:eastAsia="宋体"/>
          <w:sz w:val="28"/>
        </w:rPr>
        <w:t>年</w:t>
      </w:r>
      <w:r>
        <w:rPr>
          <w:rFonts w:hint="eastAsia" w:ascii="宋体" w:eastAsia="宋体"/>
          <w:sz w:val="28"/>
        </w:rPr>
        <w:tab/>
      </w:r>
      <w:r>
        <w:rPr>
          <w:rFonts w:hint="eastAsia" w:ascii="宋体" w:eastAsia="宋体"/>
          <w:sz w:val="28"/>
        </w:rPr>
        <w:t>月</w:t>
      </w:r>
      <w:r>
        <w:rPr>
          <w:rFonts w:hint="eastAsia" w:ascii="宋体" w:eastAsia="宋体"/>
          <w:sz w:val="28"/>
        </w:rPr>
        <w:tab/>
      </w:r>
      <w:r>
        <w:rPr>
          <w:rFonts w:hint="eastAsia" w:ascii="宋体" w:eastAsia="宋体"/>
          <w:sz w:val="28"/>
        </w:rPr>
        <w:t>日</w:t>
      </w:r>
    </w:p>
    <w:p>
      <w:pPr>
        <w:spacing w:after="0"/>
        <w:jc w:val="left"/>
        <w:rPr>
          <w:rFonts w:hint="eastAsia" w:ascii="宋体" w:eastAsia="宋体"/>
          <w:sz w:val="28"/>
        </w:rPr>
        <w:sectPr>
          <w:type w:val="continuous"/>
          <w:pgSz w:w="11910" w:h="16840"/>
          <w:pgMar w:top="1460" w:right="940" w:bottom="280" w:left="940" w:header="720" w:footer="720" w:gutter="0"/>
          <w:pgBorders>
            <w:top w:val="none" w:sz="0" w:space="0"/>
            <w:left w:val="none" w:sz="0" w:space="0"/>
            <w:bottom w:val="none" w:sz="0" w:space="0"/>
            <w:right w:val="none" w:sz="0" w:space="0"/>
          </w:pgBorders>
          <w:pgNumType w:fmt="decimal"/>
          <w:cols w:space="720" w:num="1"/>
        </w:sectPr>
      </w:pPr>
    </w:p>
    <w:p/>
    <w:p>
      <w:pPr>
        <w:spacing w:before="218"/>
        <w:ind w:left="909" w:right="429" w:firstLine="0"/>
        <w:jc w:val="center"/>
        <w:rPr>
          <w:sz w:val="28"/>
        </w:rPr>
      </w:pPr>
      <w:r>
        <w:rPr>
          <w:sz w:val="28"/>
        </w:rPr>
        <w:t>一、报价函</w:t>
      </w:r>
    </w:p>
    <w:p>
      <w:pPr>
        <w:pStyle w:val="10"/>
        <w:rPr>
          <w:sz w:val="20"/>
        </w:rPr>
      </w:pPr>
    </w:p>
    <w:p>
      <w:pPr>
        <w:pStyle w:val="10"/>
        <w:spacing w:before="4"/>
      </w:pPr>
    </w:p>
    <w:p>
      <w:pPr>
        <w:pStyle w:val="10"/>
        <w:spacing w:before="67"/>
        <w:ind w:left="500"/>
      </w:pPr>
      <w:r>
        <w:rPr>
          <w:u w:val="single"/>
        </w:rPr>
        <w:t>（采购人）</w:t>
      </w:r>
      <w:r>
        <w:t>：</w:t>
      </w:r>
    </w:p>
    <w:p>
      <w:pPr>
        <w:pStyle w:val="10"/>
      </w:pPr>
    </w:p>
    <w:p>
      <w:pPr>
        <w:pStyle w:val="10"/>
        <w:spacing w:before="1"/>
      </w:pPr>
    </w:p>
    <w:p>
      <w:pPr>
        <w:pStyle w:val="10"/>
        <w:tabs>
          <w:tab w:val="left" w:pos="7939"/>
        </w:tabs>
        <w:ind w:left="980"/>
      </w:pPr>
      <w:r>
        <w:rPr>
          <w:u w:val="single"/>
        </w:rPr>
        <w:t>（供应商名称）</w:t>
      </w:r>
      <w:r>
        <w:t>系中华人民共和国合法企业，经营地址</w:t>
      </w:r>
      <w:r>
        <w:rPr>
          <w:u w:val="single"/>
        </w:rPr>
        <w:t xml:space="preserve"> </w:t>
      </w:r>
      <w:r>
        <w:rPr>
          <w:u w:val="single"/>
        </w:rPr>
        <w:tab/>
      </w:r>
      <w:r>
        <w:t>。</w:t>
      </w:r>
    </w:p>
    <w:p>
      <w:pPr>
        <w:pStyle w:val="10"/>
        <w:spacing w:before="151"/>
        <w:ind w:left="980"/>
      </w:pPr>
      <w:r>
        <w:t>我</w:t>
      </w:r>
      <w:r>
        <w:rPr>
          <w:u w:val="single"/>
        </w:rPr>
        <w:t>（姓名）</w:t>
      </w:r>
      <w:r>
        <w:t>系</w:t>
      </w:r>
      <w:r>
        <w:rPr>
          <w:u w:val="single"/>
        </w:rPr>
        <w:t>（供应商名称）</w:t>
      </w:r>
      <w:r>
        <w:t>的法定代表人，我方愿意参加贵方组织的</w:t>
      </w:r>
      <w:r>
        <w:rPr>
          <w:u w:val="single"/>
        </w:rPr>
        <w:t>（项目名称）</w:t>
      </w:r>
    </w:p>
    <w:p>
      <w:pPr>
        <w:pStyle w:val="10"/>
        <w:tabs>
          <w:tab w:val="left" w:pos="3139"/>
        </w:tabs>
        <w:spacing w:before="153" w:line="360" w:lineRule="auto"/>
        <w:ind w:left="980" w:right="645" w:hanging="480"/>
      </w:pPr>
      <w:r>
        <w:rPr>
          <w:u w:val="single"/>
        </w:rPr>
        <w:t>（编号为</w:t>
      </w:r>
      <w:r>
        <w:rPr>
          <w:u w:val="single"/>
        </w:rPr>
        <w:tab/>
      </w:r>
      <w:r>
        <w:rPr>
          <w:u w:val="single"/>
        </w:rPr>
        <w:t>）</w:t>
      </w:r>
      <w:r>
        <w:t>的报价，为此，我方就本次报价有关事项郑重声明如下</w:t>
      </w:r>
      <w:r>
        <w:rPr>
          <w:spacing w:val="-18"/>
        </w:rPr>
        <w:t xml:space="preserve">： </w:t>
      </w:r>
      <w:r>
        <w:t>1、我方已详细审查全部磋商文件，同意磋商文件的各项要求。</w:t>
      </w:r>
    </w:p>
    <w:p>
      <w:pPr>
        <w:pStyle w:val="10"/>
        <w:spacing w:line="304" w:lineRule="exact"/>
        <w:ind w:left="980"/>
      </w:pPr>
      <w:r>
        <w:t>2、我方向贵方提交的所有响应文件、资料都是准确的和真实的。</w:t>
      </w:r>
    </w:p>
    <w:p>
      <w:pPr>
        <w:pStyle w:val="10"/>
        <w:spacing w:before="154"/>
        <w:ind w:left="980"/>
      </w:pPr>
      <w:r>
        <w:t>3、若中标，我方将按照磋商文件规定履行合同责任和义务。</w:t>
      </w:r>
    </w:p>
    <w:p>
      <w:pPr>
        <w:pStyle w:val="10"/>
        <w:spacing w:before="153" w:line="357" w:lineRule="auto"/>
        <w:ind w:left="500" w:right="497" w:firstLine="480"/>
      </w:pPr>
      <w:r>
        <w:t>4、我方不是采购人的附属机构；在获知本项目采购信息后，与采购人聘请的为此项目提供咨询服务的公司以及其附属机构没有任何联系。</w:t>
      </w:r>
    </w:p>
    <w:p>
      <w:pPr>
        <w:pStyle w:val="10"/>
        <w:spacing w:before="3"/>
        <w:ind w:left="980"/>
      </w:pPr>
      <w:r>
        <w:t>5、响应文件自开启响应文件日起有效期为</w:t>
      </w:r>
      <w:r>
        <w:rPr>
          <w:u w:val="single"/>
        </w:rPr>
        <w:t xml:space="preserve"> 30 </w:t>
      </w:r>
      <w:r>
        <w:t>日历日。</w:t>
      </w:r>
    </w:p>
    <w:p>
      <w:pPr>
        <w:pStyle w:val="10"/>
        <w:spacing w:before="153"/>
        <w:ind w:left="980"/>
      </w:pPr>
      <w:r>
        <w:t>6、以上事项如有虚假或者隐瞒我方愿意承担一切后果。</w:t>
      </w:r>
    </w:p>
    <w:p>
      <w:pPr>
        <w:pStyle w:val="10"/>
      </w:pPr>
    </w:p>
    <w:p>
      <w:pPr>
        <w:pStyle w:val="10"/>
      </w:pPr>
    </w:p>
    <w:p>
      <w:pPr>
        <w:pStyle w:val="10"/>
      </w:pPr>
    </w:p>
    <w:p>
      <w:pPr>
        <w:pStyle w:val="10"/>
      </w:pPr>
    </w:p>
    <w:p>
      <w:pPr>
        <w:pStyle w:val="10"/>
      </w:pPr>
    </w:p>
    <w:p>
      <w:pPr>
        <w:pStyle w:val="10"/>
      </w:pPr>
    </w:p>
    <w:p>
      <w:pPr>
        <w:pStyle w:val="10"/>
      </w:pPr>
    </w:p>
    <w:p>
      <w:pPr>
        <w:pStyle w:val="10"/>
        <w:spacing w:before="5"/>
        <w:rPr>
          <w:sz w:val="17"/>
        </w:rPr>
      </w:pPr>
    </w:p>
    <w:p>
      <w:pPr>
        <w:pStyle w:val="10"/>
        <w:tabs>
          <w:tab w:val="left" w:pos="7966"/>
        </w:tabs>
        <w:spacing w:before="1" w:line="343"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10"/>
        <w:tabs>
          <w:tab w:val="left" w:pos="5568"/>
          <w:tab w:val="left" w:pos="6768"/>
          <w:tab w:val="left" w:pos="7368"/>
          <w:tab w:val="left" w:pos="7968"/>
        </w:tabs>
        <w:spacing w:before="1"/>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footerReference r:id="rId12" w:type="default"/>
          <w:pgSz w:w="11910" w:h="16840"/>
          <w:pgMar w:top="1580" w:right="940" w:bottom="1180" w:left="940" w:header="0" w:footer="1000" w:gutter="0"/>
          <w:pgBorders>
            <w:top w:val="none" w:sz="0" w:space="0"/>
            <w:left w:val="none" w:sz="0" w:space="0"/>
            <w:bottom w:val="none" w:sz="0" w:space="0"/>
            <w:right w:val="none" w:sz="0" w:space="0"/>
          </w:pgBorders>
          <w:pgNumType w:fmt="decimal"/>
          <w:cols w:space="720" w:num="1"/>
        </w:sectPr>
      </w:pPr>
    </w:p>
    <w:p>
      <w:pPr>
        <w:pStyle w:val="10"/>
        <w:numPr>
          <w:ilvl w:val="0"/>
          <w:numId w:val="0"/>
        </w:numPr>
        <w:ind w:right="0" w:rightChars="0"/>
        <w:jc w:val="center"/>
        <w:rPr>
          <w:rFonts w:hint="eastAsia"/>
          <w:sz w:val="28"/>
        </w:rPr>
      </w:pPr>
      <w:r>
        <w:rPr>
          <w:rFonts w:hint="eastAsia"/>
          <w:sz w:val="28"/>
          <w:lang w:val="en-US" w:eastAsia="zh-CN"/>
        </w:rPr>
        <w:t>二、</w:t>
      </w:r>
      <w:r>
        <w:rPr>
          <w:rFonts w:hint="eastAsia"/>
          <w:sz w:val="28"/>
        </w:rPr>
        <w:t>报价</w:t>
      </w:r>
      <w:r>
        <w:rPr>
          <w:rFonts w:hint="eastAsia"/>
          <w:sz w:val="28"/>
          <w:lang w:val="en-US" w:eastAsia="zh-CN"/>
        </w:rPr>
        <w:t>一览</w:t>
      </w:r>
      <w:r>
        <w:rPr>
          <w:rFonts w:hint="eastAsia"/>
          <w:sz w:val="28"/>
        </w:rPr>
        <w:t>表</w:t>
      </w:r>
    </w:p>
    <w:p>
      <w:pPr>
        <w:pStyle w:val="10"/>
        <w:numPr>
          <w:ilvl w:val="0"/>
          <w:numId w:val="0"/>
        </w:numPr>
        <w:ind w:right="0" w:rightChars="0"/>
        <w:jc w:val="both"/>
        <w:rPr>
          <w:rFonts w:hint="eastAsia"/>
          <w:sz w:val="28"/>
        </w:rPr>
      </w:pPr>
    </w:p>
    <w:p>
      <w:pPr>
        <w:pStyle w:val="10"/>
        <w:rPr>
          <w:rFonts w:hint="eastAsia"/>
          <w:sz w:val="28"/>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7"/>
        <w:gridCol w:w="1814"/>
        <w:gridCol w:w="1050"/>
        <w:gridCol w:w="1488"/>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3277" w:type="dxa"/>
            <w:noWrap w:val="0"/>
            <w:vAlign w:val="center"/>
          </w:tcPr>
          <w:p>
            <w:pPr>
              <w:pStyle w:val="10"/>
              <w:jc w:val="center"/>
              <w:rPr>
                <w:rFonts w:hint="eastAsia"/>
                <w:sz w:val="28"/>
              </w:rPr>
            </w:pPr>
            <w:r>
              <w:rPr>
                <w:rFonts w:hint="eastAsia"/>
                <w:sz w:val="28"/>
              </w:rPr>
              <w:t>项目名称</w:t>
            </w:r>
          </w:p>
        </w:tc>
        <w:tc>
          <w:tcPr>
            <w:tcW w:w="1814" w:type="dxa"/>
            <w:noWrap w:val="0"/>
            <w:vAlign w:val="center"/>
          </w:tcPr>
          <w:p>
            <w:pPr>
              <w:pStyle w:val="10"/>
              <w:jc w:val="center"/>
              <w:rPr>
                <w:rFonts w:hint="eastAsia"/>
                <w:sz w:val="28"/>
              </w:rPr>
            </w:pPr>
            <w:r>
              <w:rPr>
                <w:rFonts w:hint="eastAsia"/>
                <w:sz w:val="28"/>
              </w:rPr>
              <w:t>总</w:t>
            </w:r>
            <w:r>
              <w:rPr>
                <w:rFonts w:hint="eastAsia"/>
                <w:sz w:val="28"/>
                <w:lang w:val="en-US" w:eastAsia="zh-CN"/>
              </w:rPr>
              <w:t>价</w:t>
            </w:r>
            <w:r>
              <w:rPr>
                <w:rFonts w:hint="eastAsia"/>
                <w:sz w:val="28"/>
              </w:rPr>
              <w:t>（元）</w:t>
            </w:r>
          </w:p>
        </w:tc>
        <w:tc>
          <w:tcPr>
            <w:tcW w:w="1050" w:type="dxa"/>
            <w:noWrap w:val="0"/>
            <w:vAlign w:val="center"/>
          </w:tcPr>
          <w:p>
            <w:pPr>
              <w:pStyle w:val="10"/>
              <w:jc w:val="center"/>
              <w:rPr>
                <w:rFonts w:hint="eastAsia"/>
                <w:sz w:val="28"/>
              </w:rPr>
            </w:pPr>
            <w:r>
              <w:rPr>
                <w:rFonts w:hint="eastAsia"/>
                <w:sz w:val="28"/>
              </w:rPr>
              <w:t>工程质量</w:t>
            </w:r>
          </w:p>
        </w:tc>
        <w:tc>
          <w:tcPr>
            <w:tcW w:w="1488" w:type="dxa"/>
            <w:noWrap w:val="0"/>
            <w:vAlign w:val="center"/>
          </w:tcPr>
          <w:p>
            <w:pPr>
              <w:pStyle w:val="10"/>
              <w:jc w:val="center"/>
              <w:rPr>
                <w:rFonts w:hint="eastAsia"/>
                <w:sz w:val="28"/>
              </w:rPr>
            </w:pPr>
            <w:r>
              <w:rPr>
                <w:rFonts w:hint="eastAsia"/>
                <w:sz w:val="28"/>
              </w:rPr>
              <w:t>工期</w:t>
            </w:r>
          </w:p>
        </w:tc>
        <w:tc>
          <w:tcPr>
            <w:tcW w:w="1488" w:type="dxa"/>
            <w:noWrap w:val="0"/>
            <w:vAlign w:val="center"/>
          </w:tcPr>
          <w:p>
            <w:pPr>
              <w:pStyle w:val="10"/>
              <w:jc w:val="center"/>
              <w:rPr>
                <w:rFonts w:hint="eastAsia" w:eastAsia="仿宋"/>
                <w:sz w:val="28"/>
                <w:lang w:val="en-US" w:eastAsia="zh-CN"/>
              </w:rPr>
            </w:pPr>
            <w:r>
              <w:rPr>
                <w:rFonts w:hint="eastAsia"/>
                <w:sz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3277" w:type="dxa"/>
            <w:noWrap w:val="0"/>
            <w:vAlign w:val="top"/>
          </w:tcPr>
          <w:p>
            <w:pPr>
              <w:pStyle w:val="10"/>
              <w:jc w:val="center"/>
              <w:rPr>
                <w:rFonts w:hint="eastAsia"/>
                <w:sz w:val="28"/>
              </w:rPr>
            </w:pPr>
          </w:p>
        </w:tc>
        <w:tc>
          <w:tcPr>
            <w:tcW w:w="1814" w:type="dxa"/>
            <w:noWrap w:val="0"/>
            <w:vAlign w:val="top"/>
          </w:tcPr>
          <w:p>
            <w:pPr>
              <w:pStyle w:val="10"/>
              <w:jc w:val="center"/>
              <w:rPr>
                <w:rFonts w:hint="eastAsia"/>
                <w:sz w:val="28"/>
              </w:rPr>
            </w:pPr>
          </w:p>
        </w:tc>
        <w:tc>
          <w:tcPr>
            <w:tcW w:w="1050" w:type="dxa"/>
            <w:noWrap w:val="0"/>
            <w:vAlign w:val="top"/>
          </w:tcPr>
          <w:p>
            <w:pPr>
              <w:pStyle w:val="10"/>
              <w:jc w:val="center"/>
              <w:rPr>
                <w:rFonts w:hint="eastAsia"/>
                <w:sz w:val="28"/>
              </w:rPr>
            </w:pPr>
          </w:p>
        </w:tc>
        <w:tc>
          <w:tcPr>
            <w:tcW w:w="1488" w:type="dxa"/>
            <w:noWrap w:val="0"/>
            <w:vAlign w:val="top"/>
          </w:tcPr>
          <w:p>
            <w:pPr>
              <w:pStyle w:val="10"/>
              <w:jc w:val="center"/>
              <w:rPr>
                <w:rFonts w:hint="eastAsia"/>
                <w:sz w:val="28"/>
              </w:rPr>
            </w:pPr>
          </w:p>
        </w:tc>
        <w:tc>
          <w:tcPr>
            <w:tcW w:w="1488" w:type="dxa"/>
            <w:noWrap w:val="0"/>
            <w:vAlign w:val="top"/>
          </w:tcPr>
          <w:p>
            <w:pPr>
              <w:pStyle w:val="10"/>
              <w:jc w:val="center"/>
              <w:rPr>
                <w:rFonts w:hint="eastAsia"/>
                <w:sz w:val="28"/>
              </w:rPr>
            </w:pPr>
          </w:p>
        </w:tc>
      </w:tr>
    </w:tbl>
    <w:p>
      <w:pPr>
        <w:pStyle w:val="10"/>
        <w:ind w:firstLine="1120" w:firstLineChars="400"/>
        <w:rPr>
          <w:rFonts w:hint="eastAsia"/>
          <w:sz w:val="28"/>
        </w:rPr>
      </w:pPr>
      <w:r>
        <w:rPr>
          <w:rFonts w:hint="eastAsia"/>
          <w:sz w:val="28"/>
        </w:rPr>
        <w:t>注：总</w:t>
      </w:r>
      <w:r>
        <w:rPr>
          <w:rFonts w:hint="eastAsia"/>
          <w:sz w:val="28"/>
          <w:lang w:val="en-US" w:eastAsia="zh-CN"/>
        </w:rPr>
        <w:t>报</w:t>
      </w:r>
      <w:r>
        <w:rPr>
          <w:rFonts w:hint="eastAsia"/>
          <w:sz w:val="28"/>
        </w:rPr>
        <w:t>价应与已标价工程清单中“总报价”的金额一致。</w:t>
      </w:r>
    </w:p>
    <w:p>
      <w:pPr>
        <w:pStyle w:val="10"/>
        <w:rPr>
          <w:rFonts w:hint="eastAsia"/>
          <w:sz w:val="28"/>
        </w:rPr>
      </w:pPr>
    </w:p>
    <w:p>
      <w:pPr>
        <w:pStyle w:val="10"/>
        <w:rPr>
          <w:sz w:val="36"/>
        </w:rPr>
      </w:pPr>
    </w:p>
    <w:p>
      <w:pPr>
        <w:pStyle w:val="10"/>
        <w:tabs>
          <w:tab w:val="left" w:pos="7966"/>
        </w:tabs>
        <w:spacing w:line="345"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10"/>
        <w:tabs>
          <w:tab w:val="left" w:pos="5568"/>
          <w:tab w:val="left" w:pos="6768"/>
          <w:tab w:val="left" w:pos="7368"/>
          <w:tab w:val="left" w:pos="7968"/>
        </w:tabs>
        <w:spacing w:line="303" w:lineRule="exact"/>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line="303" w:lineRule="exact"/>
        <w:sectPr>
          <w:pgSz w:w="11910" w:h="16840"/>
          <w:pgMar w:top="1460" w:right="940" w:bottom="1180" w:left="940" w:header="0" w:footer="1000" w:gutter="0"/>
          <w:pgBorders>
            <w:top w:val="none" w:sz="0" w:space="0"/>
            <w:left w:val="none" w:sz="0" w:space="0"/>
            <w:bottom w:val="none" w:sz="0" w:space="0"/>
            <w:right w:val="none" w:sz="0" w:space="0"/>
          </w:pgBorders>
          <w:pgNumType w:fmt="decimal"/>
          <w:cols w:space="720" w:num="1"/>
        </w:sectPr>
      </w:pPr>
    </w:p>
    <w:p>
      <w:pPr>
        <w:pStyle w:val="10"/>
        <w:spacing w:before="4"/>
        <w:rPr>
          <w:sz w:val="10"/>
        </w:rPr>
      </w:pPr>
    </w:p>
    <w:p>
      <w:pPr>
        <w:pStyle w:val="10"/>
        <w:spacing w:before="7"/>
        <w:rPr>
          <w:sz w:val="26"/>
        </w:rPr>
      </w:pPr>
    </w:p>
    <w:p>
      <w:pPr>
        <w:spacing w:before="61"/>
        <w:ind w:left="429" w:right="429" w:firstLine="0"/>
        <w:jc w:val="center"/>
        <w:rPr>
          <w:sz w:val="28"/>
        </w:rPr>
      </w:pPr>
      <w:r>
        <w:rPr>
          <w:rFonts w:hint="eastAsia"/>
          <w:sz w:val="28"/>
          <w:lang w:eastAsia="zh-CN"/>
        </w:rPr>
        <w:t>三</w:t>
      </w:r>
      <w:r>
        <w:rPr>
          <w:sz w:val="28"/>
        </w:rPr>
        <w:t>、法定代表人身份证明</w:t>
      </w:r>
    </w:p>
    <w:p>
      <w:pPr>
        <w:pStyle w:val="10"/>
        <w:spacing w:before="4"/>
        <w:rPr>
          <w:sz w:val="31"/>
        </w:rPr>
      </w:pPr>
    </w:p>
    <w:p>
      <w:pPr>
        <w:pStyle w:val="10"/>
        <w:tabs>
          <w:tab w:val="left" w:pos="2779"/>
          <w:tab w:val="left" w:pos="3859"/>
          <w:tab w:val="left" w:pos="4939"/>
          <w:tab w:val="left" w:pos="5359"/>
          <w:tab w:val="left" w:pos="5479"/>
        </w:tabs>
        <w:spacing w:line="343" w:lineRule="auto"/>
        <w:ind w:left="500" w:right="4544"/>
        <w:rPr>
          <w:rFonts w:ascii="Times New Roman" w:eastAsia="Times New Roman"/>
        </w:rPr>
      </w:pPr>
      <w:r>
        <w:t>供应商名称：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单位性质：</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成立时间：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 经营期限：</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10"/>
        <w:rPr>
          <w:rFonts w:ascii="Times New Roman"/>
          <w:sz w:val="20"/>
        </w:rPr>
      </w:pPr>
    </w:p>
    <w:p>
      <w:pPr>
        <w:pStyle w:val="10"/>
        <w:tabs>
          <w:tab w:val="left" w:pos="2719"/>
          <w:tab w:val="left" w:pos="4279"/>
          <w:tab w:val="left" w:pos="4639"/>
          <w:tab w:val="left" w:pos="6379"/>
          <w:tab w:val="left" w:pos="8119"/>
        </w:tabs>
        <w:spacing w:before="212" w:line="345" w:lineRule="auto"/>
        <w:ind w:left="500" w:right="1904"/>
      </w:pPr>
      <w:r>
        <w:t>姓名：</w:t>
      </w:r>
      <w:r>
        <w:rPr>
          <w:u w:val="single"/>
        </w:rPr>
        <w:t xml:space="preserve"> </w:t>
      </w:r>
      <w:r>
        <w:rPr>
          <w:u w:val="single"/>
        </w:rPr>
        <w:tab/>
      </w:r>
      <w:r>
        <w:t>性别：</w:t>
      </w:r>
      <w:r>
        <w:rPr>
          <w:u w:val="single"/>
        </w:rPr>
        <w:t xml:space="preserve"> </w:t>
      </w:r>
      <w:r>
        <w:rPr>
          <w:u w:val="single"/>
        </w:rPr>
        <w:tab/>
      </w:r>
      <w:r>
        <w:rPr>
          <w:u w:val="single"/>
        </w:rPr>
        <w:tab/>
      </w:r>
      <w:r>
        <w:t>年龄：</w:t>
      </w:r>
      <w:r>
        <w:rPr>
          <w:u w:val="single"/>
        </w:rPr>
        <w:t xml:space="preserve"> </w:t>
      </w:r>
      <w:r>
        <w:rPr>
          <w:u w:val="single"/>
        </w:rPr>
        <w:tab/>
      </w:r>
      <w:r>
        <w:t>职务：</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系</w:t>
      </w:r>
      <w:r>
        <w:rPr>
          <w:u w:val="single"/>
        </w:rPr>
        <w:t xml:space="preserve"> </w:t>
      </w:r>
      <w:r>
        <w:rPr>
          <w:u w:val="single"/>
        </w:rPr>
        <w:tab/>
      </w:r>
      <w:r>
        <w:rPr>
          <w:u w:val="single"/>
        </w:rPr>
        <w:tab/>
      </w:r>
      <w:r>
        <w:t>（供应商名称）的法定代表人。</w:t>
      </w:r>
    </w:p>
    <w:p>
      <w:pPr>
        <w:pStyle w:val="10"/>
        <w:spacing w:line="303" w:lineRule="exact"/>
        <w:ind w:left="980"/>
      </w:pPr>
      <w:r>
        <w:t>特此证明。</w:t>
      </w:r>
    </w:p>
    <w:p>
      <w:pPr>
        <w:pStyle w:val="10"/>
      </w:pPr>
    </w:p>
    <w:p>
      <w:pPr>
        <w:pStyle w:val="10"/>
        <w:spacing w:before="9"/>
        <w:rPr>
          <w:sz w:val="20"/>
        </w:rPr>
      </w:pPr>
    </w:p>
    <w:p>
      <w:pPr>
        <w:pStyle w:val="10"/>
        <w:ind w:left="500"/>
      </w:pPr>
      <w:r>
        <w:t>附：法定代表人身份证复印件。</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spacing w:before="4"/>
      </w:pPr>
    </w:p>
    <w:p>
      <w:pPr>
        <w:pStyle w:val="10"/>
        <w:tabs>
          <w:tab w:val="left" w:pos="7219"/>
          <w:tab w:val="left" w:pos="7459"/>
        </w:tabs>
        <w:spacing w:line="343" w:lineRule="auto"/>
        <w:ind w:left="4100" w:right="1605" w:firstLine="120"/>
      </w:pPr>
      <w:r>
        <w:t>供应商：</w:t>
      </w:r>
      <w:r>
        <w:rPr>
          <w:u w:val="single"/>
        </w:rPr>
        <w:t xml:space="preserve"> </w:t>
      </w:r>
      <w:r>
        <w:rPr>
          <w:u w:val="single"/>
        </w:rPr>
        <w:tab/>
      </w:r>
      <w:r>
        <w:t>（公章） 法定代表人：</w:t>
      </w:r>
      <w:r>
        <w:rPr>
          <w:u w:val="single"/>
        </w:rPr>
        <w:t xml:space="preserve"> </w:t>
      </w:r>
      <w:r>
        <w:rPr>
          <w:u w:val="single"/>
        </w:rPr>
        <w:tab/>
      </w:r>
      <w:r>
        <w:rPr>
          <w:u w:val="single"/>
        </w:rPr>
        <w:tab/>
      </w:r>
      <w:r>
        <w:t>（签字</w:t>
      </w:r>
      <w:r>
        <w:rPr>
          <w:spacing w:val="-18"/>
        </w:rPr>
        <w:t>）</w:t>
      </w:r>
    </w:p>
    <w:p>
      <w:pPr>
        <w:pStyle w:val="10"/>
        <w:spacing w:before="8"/>
        <w:rPr>
          <w:sz w:val="28"/>
        </w:rPr>
      </w:pPr>
    </w:p>
    <w:p>
      <w:pPr>
        <w:pStyle w:val="10"/>
        <w:tabs>
          <w:tab w:val="left" w:pos="5419"/>
          <w:tab w:val="left" w:pos="6379"/>
          <w:tab w:val="left" w:pos="7039"/>
        </w:tabs>
        <w:spacing w:before="74"/>
        <w:ind w:left="4340"/>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pStyle w:val="10"/>
        <w:rPr>
          <w:sz w:val="26"/>
        </w:rPr>
      </w:pPr>
    </w:p>
    <w:p>
      <w:pPr>
        <w:pStyle w:val="10"/>
        <w:rPr>
          <w:sz w:val="26"/>
        </w:rPr>
      </w:pPr>
    </w:p>
    <w:p>
      <w:pPr>
        <w:pStyle w:val="10"/>
        <w:spacing w:before="7"/>
        <w:rPr>
          <w:sz w:val="35"/>
        </w:rPr>
      </w:pPr>
    </w:p>
    <w:p>
      <w:pPr>
        <w:spacing w:before="0" w:line="424" w:lineRule="auto"/>
        <w:ind w:left="920" w:right="2465" w:hanging="420"/>
        <w:jc w:val="left"/>
        <w:rPr>
          <w:rFonts w:hint="eastAsia" w:ascii="宋体" w:eastAsia="宋体"/>
          <w:b/>
          <w:sz w:val="21"/>
        </w:rPr>
      </w:pPr>
      <w:r>
        <w:rPr>
          <w:rFonts w:hint="eastAsia" w:ascii="宋体" w:eastAsia="宋体"/>
          <w:b/>
          <w:sz w:val="21"/>
        </w:rPr>
        <w:t xml:space="preserve">注：1、法定代表人参加本次投标的应签署本文件并附本人身份证复印件；  </w:t>
      </w:r>
      <w:r>
        <w:rPr>
          <w:rFonts w:hint="eastAsia" w:ascii="宋体" w:eastAsia="宋体"/>
          <w:b/>
          <w:w w:val="95"/>
          <w:sz w:val="21"/>
        </w:rPr>
        <w:t>2、如法定代表人不参加本次投标，应签署《法定代表人授权委托书》。</w:t>
      </w:r>
    </w:p>
    <w:p>
      <w:pPr>
        <w:spacing w:after="0" w:line="424" w:lineRule="auto"/>
        <w:jc w:val="left"/>
        <w:rPr>
          <w:rFonts w:hint="eastAsia" w:ascii="宋体" w:eastAsia="宋体"/>
          <w:sz w:val="21"/>
        </w:rPr>
        <w:sectPr>
          <w:pgSz w:w="11910" w:h="16840"/>
          <w:pgMar w:top="1580" w:right="940" w:bottom="1180" w:left="940" w:header="0" w:footer="1000" w:gutter="0"/>
          <w:pgBorders>
            <w:top w:val="none" w:sz="0" w:space="0"/>
            <w:left w:val="none" w:sz="0" w:space="0"/>
            <w:bottom w:val="none" w:sz="0" w:space="0"/>
            <w:right w:val="none" w:sz="0" w:space="0"/>
          </w:pgBorders>
          <w:pgNumType w:fmt="decimal"/>
          <w:cols w:space="720" w:num="1"/>
        </w:sectPr>
      </w:pPr>
    </w:p>
    <w:p>
      <w:pPr>
        <w:pStyle w:val="10"/>
        <w:spacing w:before="11"/>
        <w:rPr>
          <w:rFonts w:ascii="宋体"/>
          <w:b/>
          <w:sz w:val="22"/>
        </w:rPr>
      </w:pPr>
    </w:p>
    <w:p>
      <w:pPr>
        <w:spacing w:before="62"/>
        <w:ind w:left="429" w:right="429" w:firstLine="0"/>
        <w:jc w:val="center"/>
        <w:rPr>
          <w:sz w:val="28"/>
        </w:rPr>
      </w:pPr>
      <w:r>
        <w:rPr>
          <w:rFonts w:hint="eastAsia"/>
          <w:sz w:val="28"/>
          <w:lang w:eastAsia="zh-CN"/>
        </w:rPr>
        <w:t>四、</w:t>
      </w:r>
      <w:r>
        <w:rPr>
          <w:sz w:val="28"/>
        </w:rPr>
        <w:t>法定代表人授权委托书</w:t>
      </w:r>
    </w:p>
    <w:p>
      <w:pPr>
        <w:pStyle w:val="10"/>
        <w:rPr>
          <w:sz w:val="28"/>
        </w:rPr>
      </w:pPr>
    </w:p>
    <w:p>
      <w:pPr>
        <w:pStyle w:val="10"/>
        <w:spacing w:before="203"/>
        <w:ind w:left="500"/>
        <w:jc w:val="both"/>
      </w:pPr>
      <w:r>
        <w:rPr>
          <w:rFonts w:ascii="Times New Roman" w:eastAsia="Times New Roman"/>
          <w:u w:val="single"/>
        </w:rPr>
        <w:t xml:space="preserve">      </w:t>
      </w:r>
      <w:r>
        <w:rPr>
          <w:u w:val="single"/>
        </w:rPr>
        <w:t xml:space="preserve">（采购人） </w:t>
      </w:r>
      <w:r>
        <w:t>：</w:t>
      </w:r>
    </w:p>
    <w:p>
      <w:pPr>
        <w:pStyle w:val="10"/>
        <w:tabs>
          <w:tab w:val="left" w:pos="5131"/>
        </w:tabs>
        <w:spacing w:before="132" w:line="343" w:lineRule="auto"/>
        <w:ind w:left="500" w:right="375" w:firstLine="480"/>
        <w:jc w:val="both"/>
      </w:pPr>
      <w:r>
        <w:t>我</w:t>
      </w:r>
      <w:r>
        <w:rPr>
          <w:u w:val="single"/>
        </w:rPr>
        <w:t xml:space="preserve"> </w:t>
      </w:r>
      <w:r>
        <w:rPr>
          <w:spacing w:val="84"/>
          <w:u w:val="single"/>
        </w:rPr>
        <w:t xml:space="preserve"> </w:t>
      </w:r>
      <w:r>
        <w:rPr>
          <w:u w:val="single"/>
        </w:rPr>
        <w:t>（姓名）</w:t>
      </w:r>
      <w:r>
        <w:rPr>
          <w:spacing w:val="-36"/>
        </w:rPr>
        <w:t xml:space="preserve"> </w:t>
      </w:r>
      <w:r>
        <w:t>系</w:t>
      </w:r>
      <w:r>
        <w:rPr>
          <w:u w:val="single"/>
        </w:rPr>
        <w:t xml:space="preserve"> </w:t>
      </w:r>
      <w:r>
        <w:rPr>
          <w:spacing w:val="86"/>
          <w:u w:val="single"/>
        </w:rPr>
        <w:t xml:space="preserve"> </w:t>
      </w:r>
      <w:r>
        <w:rPr>
          <w:spacing w:val="-3"/>
          <w:u w:val="single"/>
        </w:rPr>
        <w:t>（</w:t>
      </w:r>
      <w:r>
        <w:rPr>
          <w:u w:val="single"/>
        </w:rPr>
        <w:t>供应商名称</w:t>
      </w:r>
      <w:r>
        <w:rPr>
          <w:spacing w:val="-34"/>
          <w:u w:val="single"/>
        </w:rPr>
        <w:t>）</w:t>
      </w:r>
      <w:r>
        <w:t>法定代表人</w:t>
      </w:r>
      <w:r>
        <w:rPr>
          <w:spacing w:val="-36"/>
        </w:rPr>
        <w:t>，</w:t>
      </w:r>
      <w:r>
        <w:t>现授权委托我公司的</w:t>
      </w:r>
      <w:r>
        <w:rPr>
          <w:spacing w:val="87"/>
          <w:u w:val="single"/>
        </w:rPr>
        <w:t xml:space="preserve"> </w:t>
      </w:r>
      <w:r>
        <w:rPr>
          <w:spacing w:val="-3"/>
          <w:u w:val="single"/>
        </w:rPr>
        <w:t>（</w:t>
      </w:r>
      <w:r>
        <w:rPr>
          <w:u w:val="single"/>
        </w:rPr>
        <w:t>姓名</w:t>
      </w:r>
      <w:r>
        <w:rPr>
          <w:spacing w:val="-14"/>
          <w:u w:val="single"/>
        </w:rPr>
        <w:t>、</w:t>
      </w:r>
      <w:r>
        <w:rPr>
          <w:spacing w:val="-220"/>
          <w:u w:val="single"/>
        </w:rPr>
        <w:t>职</w:t>
      </w:r>
      <w:r>
        <w:rPr>
          <w:u w:val="single"/>
        </w:rPr>
        <w:t>务或者职称</w:t>
      </w:r>
      <w:r>
        <w:rPr>
          <w:spacing w:val="-48"/>
          <w:u w:val="single"/>
        </w:rPr>
        <w:t>）</w:t>
      </w:r>
      <w:r>
        <w:t>为我公司本次</w:t>
      </w:r>
      <w:r>
        <w:rPr>
          <w:u w:val="single"/>
        </w:rPr>
        <w:t xml:space="preserve"> </w:t>
      </w:r>
      <w:r>
        <w:rPr>
          <w:u w:val="single"/>
        </w:rPr>
        <w:tab/>
      </w:r>
      <w:r>
        <w:t>项目的授权代表</w:t>
      </w:r>
      <w:r>
        <w:rPr>
          <w:spacing w:val="-46"/>
        </w:rPr>
        <w:t>，</w:t>
      </w:r>
      <w:r>
        <w:t>代表我方办理本次投标、签约等相关事宜，签署全部有关的文件、协议、合同并具有法律效力。</w:t>
      </w:r>
    </w:p>
    <w:p>
      <w:pPr>
        <w:pStyle w:val="10"/>
        <w:spacing w:before="1" w:line="343" w:lineRule="auto"/>
        <w:ind w:left="500" w:right="497" w:firstLine="480"/>
      </w:pPr>
      <w:r>
        <w:rPr>
          <w:spacing w:val="-6"/>
        </w:rPr>
        <w:t>在我方未发出撤销授权委托书的书面通知以前，本授权委托书一直有效。被授权人</w:t>
      </w:r>
      <w:r>
        <w:t>签署的所有文件（在授权书有效期内签署的）不因授权撤销而失效。</w:t>
      </w:r>
    </w:p>
    <w:p>
      <w:pPr>
        <w:pStyle w:val="10"/>
        <w:spacing w:before="1"/>
        <w:ind w:left="980"/>
      </w:pPr>
      <w:r>
        <w:t>被授权代表无权转让委托权。特此授权。</w:t>
      </w:r>
    </w:p>
    <w:p>
      <w:pPr>
        <w:pStyle w:val="10"/>
        <w:tabs>
          <w:tab w:val="left" w:pos="3619"/>
          <w:tab w:val="left" w:pos="4819"/>
          <w:tab w:val="left" w:pos="6019"/>
        </w:tabs>
        <w:spacing w:before="132" w:line="686" w:lineRule="auto"/>
        <w:ind w:left="2612" w:right="1485" w:hanging="1632"/>
      </w:pPr>
      <w:r>
        <w:t>本授权委托书于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日签字生效,特此声明</w:t>
      </w:r>
      <w:r>
        <w:rPr>
          <w:spacing w:val="-18"/>
        </w:rPr>
        <w:t>。</w:t>
      </w:r>
      <w:r>
        <w:t>(附法人代表身份证以及被授权代表身份证复印件)</w:t>
      </w:r>
    </w:p>
    <w:p>
      <w:pPr>
        <w:pStyle w:val="10"/>
        <w:rPr>
          <w:sz w:val="20"/>
        </w:rPr>
      </w:pPr>
    </w:p>
    <w:p>
      <w:pPr>
        <w:pStyle w:val="10"/>
        <w:spacing w:before="1"/>
        <w:rPr>
          <w:sz w:val="17"/>
        </w:rPr>
      </w:pPr>
    </w:p>
    <w:tbl>
      <w:tblPr>
        <w:tblStyle w:val="23"/>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50"/>
        <w:gridCol w:w="2460"/>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50" w:type="dxa"/>
          </w:tcPr>
          <w:p>
            <w:pPr>
              <w:pStyle w:val="30"/>
              <w:spacing w:line="274" w:lineRule="exact"/>
              <w:ind w:left="50"/>
              <w:rPr>
                <w:sz w:val="24"/>
              </w:rPr>
            </w:pPr>
            <w:r>
              <w:rPr>
                <w:sz w:val="24"/>
              </w:rPr>
              <w:t>被授权代表姓名：</w:t>
            </w:r>
          </w:p>
        </w:tc>
        <w:tc>
          <w:tcPr>
            <w:tcW w:w="2460" w:type="dxa"/>
          </w:tcPr>
          <w:p>
            <w:pPr>
              <w:pStyle w:val="30"/>
              <w:spacing w:line="274" w:lineRule="exact"/>
              <w:ind w:left="780"/>
              <w:rPr>
                <w:sz w:val="24"/>
              </w:rPr>
            </w:pPr>
            <w:r>
              <w:rPr>
                <w:sz w:val="24"/>
              </w:rPr>
              <w:t>性 别：</w:t>
            </w:r>
          </w:p>
        </w:tc>
        <w:tc>
          <w:tcPr>
            <w:tcW w:w="1730" w:type="dxa"/>
          </w:tcPr>
          <w:p>
            <w:pPr>
              <w:pStyle w:val="30"/>
              <w:spacing w:line="274" w:lineRule="exact"/>
              <w:ind w:right="49"/>
              <w:jc w:val="right"/>
              <w:rPr>
                <w:sz w:val="24"/>
              </w:rPr>
            </w:pPr>
            <w:r>
              <w:rPr>
                <w:sz w:val="24"/>
              </w:rPr>
              <w:t>年 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50" w:type="dxa"/>
          </w:tcPr>
          <w:p>
            <w:pPr>
              <w:pStyle w:val="30"/>
              <w:tabs>
                <w:tab w:val="left" w:pos="529"/>
              </w:tabs>
              <w:spacing w:before="66" w:line="254" w:lineRule="exact"/>
              <w:ind w:left="50"/>
              <w:rPr>
                <w:sz w:val="24"/>
              </w:rPr>
            </w:pPr>
            <w:r>
              <w:rPr>
                <w:sz w:val="24"/>
              </w:rPr>
              <w:t>单</w:t>
            </w:r>
            <w:r>
              <w:rPr>
                <w:sz w:val="24"/>
              </w:rPr>
              <w:tab/>
            </w:r>
            <w:r>
              <w:rPr>
                <w:sz w:val="24"/>
              </w:rPr>
              <w:t>位：</w:t>
            </w:r>
          </w:p>
        </w:tc>
        <w:tc>
          <w:tcPr>
            <w:tcW w:w="2460" w:type="dxa"/>
          </w:tcPr>
          <w:p>
            <w:pPr>
              <w:pStyle w:val="30"/>
              <w:spacing w:before="66" w:line="254" w:lineRule="exact"/>
              <w:ind w:left="780"/>
              <w:rPr>
                <w:sz w:val="24"/>
              </w:rPr>
            </w:pPr>
            <w:r>
              <w:rPr>
                <w:sz w:val="24"/>
              </w:rPr>
              <w:t>部 门：</w:t>
            </w:r>
          </w:p>
        </w:tc>
        <w:tc>
          <w:tcPr>
            <w:tcW w:w="1730" w:type="dxa"/>
          </w:tcPr>
          <w:p>
            <w:pPr>
              <w:pStyle w:val="30"/>
              <w:spacing w:before="66" w:line="254" w:lineRule="exact"/>
              <w:ind w:right="49"/>
              <w:jc w:val="right"/>
              <w:rPr>
                <w:sz w:val="24"/>
              </w:rPr>
            </w:pPr>
            <w:r>
              <w:rPr>
                <w:sz w:val="24"/>
              </w:rPr>
              <w:t>职 务：</w:t>
            </w:r>
          </w:p>
        </w:tc>
      </w:tr>
    </w:tbl>
    <w:p>
      <w:pPr>
        <w:pStyle w:val="10"/>
        <w:rPr>
          <w:sz w:val="20"/>
        </w:rPr>
      </w:pPr>
    </w:p>
    <w:p>
      <w:pPr>
        <w:pStyle w:val="10"/>
        <w:spacing w:before="7"/>
        <w:rPr>
          <w:sz w:val="21"/>
        </w:rPr>
      </w:pPr>
    </w:p>
    <w:p>
      <w:pPr>
        <w:pStyle w:val="10"/>
        <w:tabs>
          <w:tab w:val="left" w:pos="7966"/>
        </w:tabs>
        <w:spacing w:before="74" w:line="343"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10"/>
        <w:spacing w:before="11"/>
        <w:rPr>
          <w:sz w:val="21"/>
        </w:rPr>
      </w:pPr>
    </w:p>
    <w:p>
      <w:pPr>
        <w:pStyle w:val="10"/>
        <w:tabs>
          <w:tab w:val="left" w:pos="5539"/>
          <w:tab w:val="left" w:pos="6739"/>
          <w:tab w:val="left" w:pos="7339"/>
          <w:tab w:val="left" w:pos="7939"/>
        </w:tabs>
        <w:ind w:left="4580"/>
        <w:sectPr>
          <w:pgSz w:w="11910" w:h="16840"/>
          <w:pgMar w:top="1580" w:right="940" w:bottom="1180" w:left="940" w:header="0" w:footer="1000" w:gutter="0"/>
          <w:pgBorders>
            <w:top w:val="none" w:sz="0" w:space="0"/>
            <w:left w:val="none" w:sz="0" w:space="0"/>
            <w:bottom w:val="none" w:sz="0" w:space="0"/>
            <w:right w:val="none" w:sz="0" w:space="0"/>
          </w:pgBorders>
          <w:pgNumType w:fmt="decimal"/>
          <w:cols w:space="720" w:num="1"/>
        </w:sectPr>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10"/>
        <w:spacing w:before="11"/>
        <w:rPr>
          <w:sz w:val="29"/>
        </w:rPr>
      </w:pPr>
    </w:p>
    <w:p>
      <w:pPr>
        <w:spacing w:before="61"/>
        <w:ind w:left="429" w:right="429" w:firstLine="0"/>
        <w:jc w:val="center"/>
        <w:rPr>
          <w:sz w:val="28"/>
        </w:rPr>
      </w:pPr>
      <w:r>
        <w:rPr>
          <w:sz w:val="28"/>
        </w:rPr>
        <w:t>五、商务偏离表</w:t>
      </w:r>
    </w:p>
    <w:p>
      <w:pPr>
        <w:pStyle w:val="10"/>
        <w:rPr>
          <w:sz w:val="20"/>
        </w:rPr>
      </w:pPr>
    </w:p>
    <w:p>
      <w:pPr>
        <w:pStyle w:val="10"/>
        <w:spacing w:before="6"/>
        <w:rPr>
          <w:sz w:val="15"/>
        </w:rPr>
      </w:pPr>
    </w:p>
    <w:tbl>
      <w:tblPr>
        <w:tblStyle w:val="2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3248"/>
        <w:gridCol w:w="3087"/>
        <w:gridCol w:w="20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30"/>
              <w:spacing w:before="89"/>
              <w:ind w:left="475"/>
              <w:rPr>
                <w:sz w:val="24"/>
              </w:rPr>
            </w:pPr>
            <w:r>
              <w:rPr>
                <w:sz w:val="24"/>
              </w:rPr>
              <w:t>序号</w:t>
            </w:r>
          </w:p>
        </w:tc>
        <w:tc>
          <w:tcPr>
            <w:tcW w:w="3248" w:type="dxa"/>
          </w:tcPr>
          <w:p>
            <w:pPr>
              <w:pStyle w:val="30"/>
              <w:spacing w:before="89"/>
              <w:ind w:left="423"/>
              <w:rPr>
                <w:sz w:val="24"/>
              </w:rPr>
            </w:pPr>
            <w:r>
              <w:rPr>
                <w:sz w:val="24"/>
              </w:rPr>
              <w:t>磋商文件章节及条款号</w:t>
            </w:r>
          </w:p>
        </w:tc>
        <w:tc>
          <w:tcPr>
            <w:tcW w:w="3087" w:type="dxa"/>
          </w:tcPr>
          <w:p>
            <w:pPr>
              <w:pStyle w:val="30"/>
              <w:spacing w:before="89"/>
              <w:ind w:left="343"/>
              <w:rPr>
                <w:sz w:val="24"/>
              </w:rPr>
            </w:pPr>
            <w:r>
              <w:rPr>
                <w:sz w:val="24"/>
              </w:rPr>
              <w:t>响应文件章节及条款号</w:t>
            </w:r>
          </w:p>
        </w:tc>
        <w:tc>
          <w:tcPr>
            <w:tcW w:w="2013" w:type="dxa"/>
          </w:tcPr>
          <w:p>
            <w:pPr>
              <w:pStyle w:val="30"/>
              <w:spacing w:before="89"/>
              <w:ind w:left="524"/>
              <w:rPr>
                <w:sz w:val="24"/>
              </w:rPr>
            </w:pPr>
            <w:r>
              <w:rPr>
                <w:sz w:val="24"/>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30"/>
              <w:rPr>
                <w:rFonts w:ascii="Times New Roman"/>
                <w:sz w:val="24"/>
              </w:rPr>
            </w:pP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30"/>
              <w:rPr>
                <w:rFonts w:ascii="Times New Roman"/>
                <w:sz w:val="24"/>
              </w:rPr>
            </w:pP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30"/>
              <w:rPr>
                <w:rFonts w:ascii="Times New Roman"/>
                <w:sz w:val="24"/>
              </w:rPr>
            </w:pP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30"/>
              <w:rPr>
                <w:rFonts w:ascii="Times New Roman"/>
                <w:sz w:val="24"/>
              </w:rPr>
            </w:pP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30"/>
              <w:rPr>
                <w:rFonts w:ascii="Times New Roman"/>
                <w:sz w:val="24"/>
              </w:rPr>
            </w:pP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30"/>
              <w:rPr>
                <w:rFonts w:ascii="Times New Roman"/>
                <w:sz w:val="24"/>
              </w:rPr>
            </w:pP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32" w:type="dxa"/>
          </w:tcPr>
          <w:p>
            <w:pPr>
              <w:pStyle w:val="30"/>
              <w:rPr>
                <w:rFonts w:ascii="Times New Roman"/>
                <w:sz w:val="24"/>
              </w:rPr>
            </w:pP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30"/>
              <w:rPr>
                <w:rFonts w:ascii="Times New Roman"/>
                <w:sz w:val="24"/>
              </w:rPr>
            </w:pP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30"/>
              <w:rPr>
                <w:rFonts w:ascii="Times New Roman"/>
                <w:sz w:val="24"/>
              </w:rPr>
            </w:pP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bl>
    <w:p>
      <w:pPr>
        <w:pStyle w:val="10"/>
        <w:spacing w:before="7"/>
        <w:rPr>
          <w:sz w:val="25"/>
        </w:rPr>
      </w:pPr>
    </w:p>
    <w:p>
      <w:pPr>
        <w:pStyle w:val="10"/>
        <w:spacing w:before="66"/>
        <w:ind w:left="500"/>
      </w:pPr>
      <w:r>
        <w:t>注：偏离情况填写为正偏离、负偏离、无偏离。</w:t>
      </w:r>
    </w:p>
    <w:p>
      <w:pPr>
        <w:pStyle w:val="10"/>
        <w:spacing w:before="2"/>
        <w:rPr>
          <w:sz w:val="32"/>
        </w:rPr>
      </w:pPr>
    </w:p>
    <w:p>
      <w:pPr>
        <w:pStyle w:val="10"/>
        <w:spacing w:line="343" w:lineRule="auto"/>
        <w:ind w:left="500" w:right="375" w:firstLine="480"/>
      </w:pPr>
      <w:r>
        <w:t>1</w:t>
      </w:r>
      <w:r>
        <w:rPr>
          <w:spacing w:val="-1"/>
        </w:rPr>
        <w:t>、投标人应根据自身的商务指标，对照竞争性磋商文件中“第三章 采购需求</w:t>
      </w:r>
      <w:r>
        <w:t xml:space="preserve">-3. </w:t>
      </w:r>
      <w:r>
        <w:rPr>
          <w:spacing w:val="-16"/>
        </w:rPr>
        <w:t xml:space="preserve">商务要求”中的各项商务要求，如实逐条一一对应填写响应情况，如有未响应商务要求， </w:t>
      </w:r>
      <w:r>
        <w:t>评标委员会有权视其为负偏离；</w:t>
      </w:r>
    </w:p>
    <w:p>
      <w:pPr>
        <w:pStyle w:val="10"/>
        <w:spacing w:before="1" w:line="343" w:lineRule="auto"/>
        <w:ind w:left="500" w:right="497" w:firstLine="480"/>
      </w:pPr>
      <w:r>
        <w:t>2、请投标人在“偏离情况”一栏详细描述存在正偏离或负偏离商务指标，并标明偏离情况；</w:t>
      </w:r>
    </w:p>
    <w:p>
      <w:pPr>
        <w:pStyle w:val="10"/>
        <w:spacing w:before="2"/>
        <w:ind w:left="980"/>
      </w:pPr>
      <w:r>
        <w:t>3、竞争性磋商文件商务指标未做要求的，不视为正偏离。</w:t>
      </w:r>
    </w:p>
    <w:p>
      <w:pPr>
        <w:pStyle w:val="10"/>
        <w:spacing w:before="131"/>
        <w:ind w:left="980"/>
      </w:pPr>
      <w:r>
        <w:t>4、商务指标不允许负偏离，负偏离视为不响应竞争性磋商文件。</w:t>
      </w:r>
    </w:p>
    <w:p>
      <w:pPr>
        <w:pStyle w:val="10"/>
      </w:pPr>
    </w:p>
    <w:p>
      <w:pPr>
        <w:pStyle w:val="10"/>
      </w:pPr>
    </w:p>
    <w:p>
      <w:pPr>
        <w:pStyle w:val="10"/>
        <w:rPr>
          <w:sz w:val="31"/>
        </w:rPr>
      </w:pPr>
    </w:p>
    <w:p>
      <w:pPr>
        <w:pStyle w:val="10"/>
        <w:tabs>
          <w:tab w:val="left" w:pos="7846"/>
          <w:tab w:val="left" w:pos="7968"/>
        </w:tabs>
        <w:spacing w:before="1" w:line="343" w:lineRule="auto"/>
        <w:ind w:left="4608" w:right="497" w:hanging="3"/>
      </w:pPr>
      <w:r>
        <w:t>供应商名称：</w:t>
      </w:r>
      <w:r>
        <w:rPr>
          <w:u w:val="single"/>
        </w:rPr>
        <w:t xml:space="preserve"> </w:t>
      </w:r>
      <w:r>
        <w:rPr>
          <w:u w:val="single"/>
        </w:rPr>
        <w:tab/>
      </w:r>
      <w:r>
        <w:t>（盖单位公章</w:t>
      </w:r>
      <w:r>
        <w:rPr>
          <w:spacing w:val="-17"/>
        </w:rPr>
        <w:t xml:space="preserve">） </w:t>
      </w:r>
      <w:r>
        <w:t>法定代表人：</w:t>
      </w:r>
      <w:r>
        <w:rPr>
          <w:u w:val="single"/>
        </w:rPr>
        <w:t xml:space="preserve"> </w:t>
      </w:r>
      <w:r>
        <w:rPr>
          <w:u w:val="single"/>
        </w:rPr>
        <w:tab/>
      </w:r>
      <w:r>
        <w:rPr>
          <w:u w:val="single"/>
        </w:rPr>
        <w:tab/>
      </w:r>
      <w:r>
        <w:t>（签字）</w:t>
      </w:r>
    </w:p>
    <w:p>
      <w:pPr>
        <w:pStyle w:val="10"/>
        <w:tabs>
          <w:tab w:val="left" w:pos="5568"/>
          <w:tab w:val="left" w:pos="6768"/>
          <w:tab w:val="left" w:pos="7368"/>
          <w:tab w:val="left" w:pos="7968"/>
        </w:tabs>
        <w:spacing w:before="1"/>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580" w:right="940" w:bottom="1180" w:left="940" w:header="0" w:footer="1000" w:gutter="0"/>
          <w:pgBorders>
            <w:top w:val="none" w:sz="0" w:space="0"/>
            <w:left w:val="none" w:sz="0" w:space="0"/>
            <w:bottom w:val="none" w:sz="0" w:space="0"/>
            <w:right w:val="none" w:sz="0" w:space="0"/>
          </w:pgBorders>
          <w:pgNumType w:fmt="decimal"/>
          <w:cols w:space="720" w:num="1"/>
        </w:sectPr>
      </w:pPr>
    </w:p>
    <w:p>
      <w:pPr>
        <w:spacing w:before="40"/>
        <w:ind w:left="571" w:right="429" w:firstLine="0"/>
        <w:jc w:val="center"/>
        <w:rPr>
          <w:sz w:val="28"/>
        </w:rPr>
      </w:pPr>
      <w:r>
        <w:rPr>
          <w:sz w:val="28"/>
        </w:rPr>
        <w:t>六、供应商基本情况表</w:t>
      </w:r>
    </w:p>
    <w:p>
      <w:pPr>
        <w:pStyle w:val="10"/>
        <w:rPr>
          <w:sz w:val="20"/>
        </w:rPr>
      </w:pPr>
    </w:p>
    <w:p>
      <w:pPr>
        <w:pStyle w:val="10"/>
        <w:spacing w:before="5" w:after="1"/>
        <w:rPr>
          <w:sz w:val="15"/>
        </w:rPr>
      </w:pPr>
    </w:p>
    <w:tbl>
      <w:tblPr>
        <w:tblStyle w:val="23"/>
        <w:tblW w:w="0" w:type="auto"/>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3"/>
        <w:gridCol w:w="1350"/>
        <w:gridCol w:w="1138"/>
        <w:gridCol w:w="1406"/>
        <w:gridCol w:w="1426"/>
        <w:gridCol w:w="1059"/>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7" w:hRule="atLeast"/>
        </w:trPr>
        <w:tc>
          <w:tcPr>
            <w:tcW w:w="1773" w:type="dxa"/>
          </w:tcPr>
          <w:p>
            <w:pPr>
              <w:pStyle w:val="30"/>
              <w:spacing w:before="180"/>
              <w:ind w:left="10"/>
              <w:jc w:val="center"/>
              <w:rPr>
                <w:sz w:val="24"/>
              </w:rPr>
            </w:pPr>
            <w:r>
              <w:rPr>
                <w:sz w:val="24"/>
              </w:rPr>
              <w:t>供应商名称</w:t>
            </w:r>
          </w:p>
        </w:tc>
        <w:tc>
          <w:tcPr>
            <w:tcW w:w="7947" w:type="dxa"/>
            <w:gridSpan w:val="6"/>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tcPr>
          <w:p>
            <w:pPr>
              <w:pStyle w:val="30"/>
              <w:spacing w:before="179"/>
              <w:ind w:left="10"/>
              <w:jc w:val="center"/>
              <w:rPr>
                <w:sz w:val="24"/>
              </w:rPr>
            </w:pPr>
            <w:r>
              <w:rPr>
                <w:sz w:val="24"/>
              </w:rPr>
              <w:t>注册地址</w:t>
            </w:r>
          </w:p>
        </w:tc>
        <w:tc>
          <w:tcPr>
            <w:tcW w:w="3894" w:type="dxa"/>
            <w:gridSpan w:val="3"/>
          </w:tcPr>
          <w:p>
            <w:pPr>
              <w:pStyle w:val="30"/>
              <w:rPr>
                <w:rFonts w:ascii="Times New Roman"/>
                <w:sz w:val="24"/>
              </w:rPr>
            </w:pPr>
          </w:p>
        </w:tc>
        <w:tc>
          <w:tcPr>
            <w:tcW w:w="1426" w:type="dxa"/>
          </w:tcPr>
          <w:p>
            <w:pPr>
              <w:pStyle w:val="30"/>
              <w:spacing w:before="179"/>
              <w:ind w:left="10"/>
              <w:jc w:val="center"/>
              <w:rPr>
                <w:sz w:val="24"/>
              </w:rPr>
            </w:pPr>
            <w:r>
              <w:rPr>
                <w:sz w:val="24"/>
              </w:rPr>
              <w:t>邮政编码</w:t>
            </w:r>
          </w:p>
        </w:tc>
        <w:tc>
          <w:tcPr>
            <w:tcW w:w="2627" w:type="dxa"/>
            <w:gridSpan w:val="2"/>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vMerge w:val="restart"/>
          </w:tcPr>
          <w:p>
            <w:pPr>
              <w:pStyle w:val="30"/>
              <w:rPr>
                <w:sz w:val="24"/>
              </w:rPr>
            </w:pPr>
          </w:p>
          <w:p>
            <w:pPr>
              <w:pStyle w:val="30"/>
              <w:spacing w:before="211"/>
              <w:ind w:left="406"/>
              <w:rPr>
                <w:sz w:val="24"/>
              </w:rPr>
            </w:pPr>
            <w:r>
              <w:rPr>
                <w:sz w:val="24"/>
              </w:rPr>
              <w:t>联系方式</w:t>
            </w:r>
          </w:p>
        </w:tc>
        <w:tc>
          <w:tcPr>
            <w:tcW w:w="1350" w:type="dxa"/>
          </w:tcPr>
          <w:p>
            <w:pPr>
              <w:pStyle w:val="30"/>
              <w:spacing w:before="180"/>
              <w:ind w:left="7"/>
              <w:jc w:val="center"/>
              <w:rPr>
                <w:sz w:val="24"/>
              </w:rPr>
            </w:pPr>
            <w:r>
              <w:rPr>
                <w:sz w:val="24"/>
              </w:rPr>
              <w:t>联系人</w:t>
            </w:r>
          </w:p>
        </w:tc>
        <w:tc>
          <w:tcPr>
            <w:tcW w:w="2544" w:type="dxa"/>
            <w:gridSpan w:val="2"/>
          </w:tcPr>
          <w:p>
            <w:pPr>
              <w:pStyle w:val="30"/>
              <w:rPr>
                <w:rFonts w:ascii="Times New Roman"/>
                <w:sz w:val="24"/>
              </w:rPr>
            </w:pPr>
          </w:p>
        </w:tc>
        <w:tc>
          <w:tcPr>
            <w:tcW w:w="1426" w:type="dxa"/>
          </w:tcPr>
          <w:p>
            <w:pPr>
              <w:pStyle w:val="30"/>
              <w:tabs>
                <w:tab w:val="left" w:pos="490"/>
              </w:tabs>
              <w:spacing w:before="180"/>
              <w:ind w:left="10"/>
              <w:jc w:val="center"/>
              <w:rPr>
                <w:sz w:val="24"/>
              </w:rPr>
            </w:pPr>
            <w:r>
              <w:rPr>
                <w:sz w:val="24"/>
              </w:rPr>
              <w:t>电</w:t>
            </w:r>
            <w:r>
              <w:rPr>
                <w:sz w:val="24"/>
              </w:rPr>
              <w:tab/>
            </w:r>
            <w:r>
              <w:rPr>
                <w:sz w:val="24"/>
              </w:rPr>
              <w:t>话</w:t>
            </w:r>
          </w:p>
        </w:tc>
        <w:tc>
          <w:tcPr>
            <w:tcW w:w="2627" w:type="dxa"/>
            <w:gridSpan w:val="2"/>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vMerge w:val="continue"/>
            <w:tcBorders>
              <w:top w:val="nil"/>
            </w:tcBorders>
          </w:tcPr>
          <w:p>
            <w:pPr>
              <w:rPr>
                <w:sz w:val="2"/>
                <w:szCs w:val="2"/>
              </w:rPr>
            </w:pPr>
          </w:p>
        </w:tc>
        <w:tc>
          <w:tcPr>
            <w:tcW w:w="1350" w:type="dxa"/>
          </w:tcPr>
          <w:p>
            <w:pPr>
              <w:pStyle w:val="30"/>
              <w:tabs>
                <w:tab w:val="left" w:pos="487"/>
              </w:tabs>
              <w:spacing w:before="179"/>
              <w:ind w:left="7"/>
              <w:jc w:val="center"/>
              <w:rPr>
                <w:sz w:val="24"/>
              </w:rPr>
            </w:pPr>
            <w:r>
              <w:rPr>
                <w:sz w:val="24"/>
              </w:rPr>
              <w:t>传</w:t>
            </w:r>
            <w:r>
              <w:rPr>
                <w:sz w:val="24"/>
              </w:rPr>
              <w:tab/>
            </w:r>
            <w:r>
              <w:rPr>
                <w:sz w:val="24"/>
              </w:rPr>
              <w:t>真</w:t>
            </w:r>
          </w:p>
        </w:tc>
        <w:tc>
          <w:tcPr>
            <w:tcW w:w="2544" w:type="dxa"/>
            <w:gridSpan w:val="2"/>
          </w:tcPr>
          <w:p>
            <w:pPr>
              <w:pStyle w:val="30"/>
              <w:rPr>
                <w:rFonts w:ascii="Times New Roman"/>
                <w:sz w:val="24"/>
              </w:rPr>
            </w:pPr>
          </w:p>
        </w:tc>
        <w:tc>
          <w:tcPr>
            <w:tcW w:w="1426" w:type="dxa"/>
          </w:tcPr>
          <w:p>
            <w:pPr>
              <w:pStyle w:val="30"/>
              <w:tabs>
                <w:tab w:val="left" w:pos="490"/>
              </w:tabs>
              <w:spacing w:before="179"/>
              <w:ind w:left="10"/>
              <w:jc w:val="center"/>
              <w:rPr>
                <w:sz w:val="24"/>
              </w:rPr>
            </w:pPr>
            <w:r>
              <w:rPr>
                <w:sz w:val="24"/>
              </w:rPr>
              <w:t>网</w:t>
            </w:r>
            <w:r>
              <w:rPr>
                <w:sz w:val="24"/>
              </w:rPr>
              <w:tab/>
            </w:r>
            <w:r>
              <w:rPr>
                <w:sz w:val="24"/>
              </w:rPr>
              <w:t>址</w:t>
            </w:r>
          </w:p>
        </w:tc>
        <w:tc>
          <w:tcPr>
            <w:tcW w:w="2627" w:type="dxa"/>
            <w:gridSpan w:val="2"/>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8" w:hRule="atLeast"/>
        </w:trPr>
        <w:tc>
          <w:tcPr>
            <w:tcW w:w="1773" w:type="dxa"/>
          </w:tcPr>
          <w:p>
            <w:pPr>
              <w:pStyle w:val="30"/>
              <w:spacing w:before="180"/>
              <w:ind w:left="10"/>
              <w:jc w:val="center"/>
              <w:rPr>
                <w:sz w:val="24"/>
              </w:rPr>
            </w:pPr>
            <w:r>
              <w:rPr>
                <w:sz w:val="24"/>
              </w:rPr>
              <w:t>法定代表人</w:t>
            </w:r>
          </w:p>
        </w:tc>
        <w:tc>
          <w:tcPr>
            <w:tcW w:w="1350" w:type="dxa"/>
          </w:tcPr>
          <w:p>
            <w:pPr>
              <w:pStyle w:val="30"/>
              <w:spacing w:before="180"/>
              <w:ind w:left="7"/>
              <w:jc w:val="center"/>
              <w:rPr>
                <w:sz w:val="24"/>
              </w:rPr>
            </w:pPr>
            <w:r>
              <w:rPr>
                <w:sz w:val="24"/>
              </w:rPr>
              <w:t>姓名</w:t>
            </w:r>
          </w:p>
        </w:tc>
        <w:tc>
          <w:tcPr>
            <w:tcW w:w="1138" w:type="dxa"/>
          </w:tcPr>
          <w:p>
            <w:pPr>
              <w:pStyle w:val="30"/>
              <w:rPr>
                <w:rFonts w:ascii="Times New Roman"/>
                <w:sz w:val="24"/>
              </w:rPr>
            </w:pPr>
          </w:p>
        </w:tc>
        <w:tc>
          <w:tcPr>
            <w:tcW w:w="1406" w:type="dxa"/>
          </w:tcPr>
          <w:p>
            <w:pPr>
              <w:pStyle w:val="30"/>
              <w:spacing w:before="180"/>
              <w:ind w:left="223"/>
              <w:rPr>
                <w:sz w:val="24"/>
              </w:rPr>
            </w:pPr>
            <w:r>
              <w:rPr>
                <w:sz w:val="24"/>
              </w:rPr>
              <w:t>技术职称</w:t>
            </w:r>
          </w:p>
        </w:tc>
        <w:tc>
          <w:tcPr>
            <w:tcW w:w="1426" w:type="dxa"/>
          </w:tcPr>
          <w:p>
            <w:pPr>
              <w:pStyle w:val="30"/>
              <w:rPr>
                <w:rFonts w:ascii="Times New Roman"/>
                <w:sz w:val="24"/>
              </w:rPr>
            </w:pPr>
          </w:p>
        </w:tc>
        <w:tc>
          <w:tcPr>
            <w:tcW w:w="1059" w:type="dxa"/>
          </w:tcPr>
          <w:p>
            <w:pPr>
              <w:pStyle w:val="30"/>
              <w:spacing w:before="180"/>
              <w:ind w:left="288"/>
              <w:rPr>
                <w:sz w:val="24"/>
              </w:rPr>
            </w:pPr>
            <w:r>
              <w:rPr>
                <w:sz w:val="24"/>
              </w:rPr>
              <w:t>电话</w:t>
            </w:r>
          </w:p>
        </w:tc>
        <w:tc>
          <w:tcPr>
            <w:tcW w:w="1568"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7" w:hRule="atLeast"/>
        </w:trPr>
        <w:tc>
          <w:tcPr>
            <w:tcW w:w="1773" w:type="dxa"/>
          </w:tcPr>
          <w:p>
            <w:pPr>
              <w:pStyle w:val="30"/>
              <w:spacing w:before="179"/>
              <w:ind w:left="10"/>
              <w:jc w:val="center"/>
              <w:rPr>
                <w:sz w:val="24"/>
              </w:rPr>
            </w:pPr>
            <w:r>
              <w:rPr>
                <w:sz w:val="24"/>
              </w:rPr>
              <w:t>成立时间</w:t>
            </w:r>
          </w:p>
        </w:tc>
        <w:tc>
          <w:tcPr>
            <w:tcW w:w="7947" w:type="dxa"/>
            <w:gridSpan w:val="6"/>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8" w:hRule="atLeast"/>
        </w:trPr>
        <w:tc>
          <w:tcPr>
            <w:tcW w:w="1773" w:type="dxa"/>
          </w:tcPr>
          <w:p>
            <w:pPr>
              <w:pStyle w:val="30"/>
              <w:spacing w:before="180"/>
              <w:ind w:left="10"/>
              <w:jc w:val="center"/>
              <w:rPr>
                <w:sz w:val="24"/>
              </w:rPr>
            </w:pPr>
            <w:r>
              <w:rPr>
                <w:sz w:val="24"/>
              </w:rPr>
              <w:t>营业执照号</w:t>
            </w:r>
          </w:p>
        </w:tc>
        <w:tc>
          <w:tcPr>
            <w:tcW w:w="2488" w:type="dxa"/>
            <w:gridSpan w:val="2"/>
          </w:tcPr>
          <w:p>
            <w:pPr>
              <w:pStyle w:val="30"/>
              <w:rPr>
                <w:rFonts w:ascii="Times New Roman"/>
                <w:sz w:val="24"/>
              </w:rPr>
            </w:pPr>
          </w:p>
        </w:tc>
        <w:tc>
          <w:tcPr>
            <w:tcW w:w="1406" w:type="dxa"/>
            <w:vMerge w:val="restart"/>
          </w:tcPr>
          <w:p>
            <w:pPr>
              <w:pStyle w:val="30"/>
              <w:rPr>
                <w:sz w:val="24"/>
              </w:rPr>
            </w:pPr>
          </w:p>
          <w:p>
            <w:pPr>
              <w:pStyle w:val="30"/>
              <w:rPr>
                <w:sz w:val="24"/>
              </w:rPr>
            </w:pPr>
          </w:p>
          <w:p>
            <w:pPr>
              <w:pStyle w:val="30"/>
              <w:rPr>
                <w:sz w:val="24"/>
              </w:rPr>
            </w:pPr>
          </w:p>
          <w:p>
            <w:pPr>
              <w:pStyle w:val="30"/>
              <w:spacing w:before="6"/>
              <w:rPr>
                <w:sz w:val="21"/>
              </w:rPr>
            </w:pPr>
          </w:p>
          <w:p>
            <w:pPr>
              <w:pStyle w:val="30"/>
              <w:ind w:left="223"/>
              <w:rPr>
                <w:sz w:val="24"/>
              </w:rPr>
            </w:pPr>
            <w:r>
              <w:rPr>
                <w:sz w:val="24"/>
              </w:rPr>
              <w:t>企业人员</w:t>
            </w:r>
          </w:p>
        </w:tc>
        <w:tc>
          <w:tcPr>
            <w:tcW w:w="1426" w:type="dxa"/>
          </w:tcPr>
          <w:p>
            <w:pPr>
              <w:pStyle w:val="30"/>
              <w:rPr>
                <w:rFonts w:ascii="Times New Roman"/>
                <w:sz w:val="24"/>
              </w:rPr>
            </w:pPr>
          </w:p>
        </w:tc>
        <w:tc>
          <w:tcPr>
            <w:tcW w:w="2627" w:type="dxa"/>
            <w:gridSpan w:val="2"/>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8" w:hRule="atLeast"/>
        </w:trPr>
        <w:tc>
          <w:tcPr>
            <w:tcW w:w="1773" w:type="dxa"/>
          </w:tcPr>
          <w:p>
            <w:pPr>
              <w:pStyle w:val="30"/>
              <w:spacing w:before="179"/>
              <w:ind w:left="10"/>
              <w:jc w:val="center"/>
              <w:rPr>
                <w:sz w:val="24"/>
              </w:rPr>
            </w:pPr>
            <w:r>
              <w:rPr>
                <w:sz w:val="24"/>
              </w:rPr>
              <w:t>注册资金</w:t>
            </w:r>
          </w:p>
        </w:tc>
        <w:tc>
          <w:tcPr>
            <w:tcW w:w="2488" w:type="dxa"/>
            <w:gridSpan w:val="2"/>
          </w:tcPr>
          <w:p>
            <w:pPr>
              <w:pStyle w:val="30"/>
              <w:rPr>
                <w:rFonts w:ascii="Times New Roman"/>
                <w:sz w:val="24"/>
              </w:rPr>
            </w:pPr>
          </w:p>
        </w:tc>
        <w:tc>
          <w:tcPr>
            <w:tcW w:w="1406" w:type="dxa"/>
            <w:vMerge w:val="continue"/>
            <w:tcBorders>
              <w:top w:val="nil"/>
            </w:tcBorders>
          </w:tcPr>
          <w:p>
            <w:pPr>
              <w:rPr>
                <w:sz w:val="2"/>
                <w:szCs w:val="2"/>
              </w:rPr>
            </w:pPr>
          </w:p>
        </w:tc>
        <w:tc>
          <w:tcPr>
            <w:tcW w:w="1426" w:type="dxa"/>
          </w:tcPr>
          <w:p>
            <w:pPr>
              <w:pStyle w:val="30"/>
              <w:rPr>
                <w:rFonts w:ascii="Times New Roman"/>
                <w:sz w:val="24"/>
              </w:rPr>
            </w:pPr>
          </w:p>
        </w:tc>
        <w:tc>
          <w:tcPr>
            <w:tcW w:w="2627" w:type="dxa"/>
            <w:gridSpan w:val="2"/>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7" w:hRule="atLeast"/>
        </w:trPr>
        <w:tc>
          <w:tcPr>
            <w:tcW w:w="1773" w:type="dxa"/>
          </w:tcPr>
          <w:p>
            <w:pPr>
              <w:pStyle w:val="30"/>
              <w:spacing w:before="180"/>
              <w:ind w:left="10"/>
              <w:jc w:val="center"/>
              <w:rPr>
                <w:sz w:val="24"/>
              </w:rPr>
            </w:pPr>
            <w:r>
              <w:rPr>
                <w:sz w:val="24"/>
              </w:rPr>
              <w:t>开户银行</w:t>
            </w:r>
          </w:p>
        </w:tc>
        <w:tc>
          <w:tcPr>
            <w:tcW w:w="2488" w:type="dxa"/>
            <w:gridSpan w:val="2"/>
          </w:tcPr>
          <w:p>
            <w:pPr>
              <w:pStyle w:val="30"/>
              <w:rPr>
                <w:rFonts w:ascii="Times New Roman"/>
                <w:sz w:val="24"/>
              </w:rPr>
            </w:pPr>
          </w:p>
        </w:tc>
        <w:tc>
          <w:tcPr>
            <w:tcW w:w="1406" w:type="dxa"/>
            <w:vMerge w:val="continue"/>
            <w:tcBorders>
              <w:top w:val="nil"/>
            </w:tcBorders>
          </w:tcPr>
          <w:p>
            <w:pPr>
              <w:rPr>
                <w:sz w:val="2"/>
                <w:szCs w:val="2"/>
              </w:rPr>
            </w:pPr>
          </w:p>
        </w:tc>
        <w:tc>
          <w:tcPr>
            <w:tcW w:w="1426" w:type="dxa"/>
          </w:tcPr>
          <w:p>
            <w:pPr>
              <w:pStyle w:val="30"/>
              <w:rPr>
                <w:rFonts w:ascii="Times New Roman"/>
                <w:sz w:val="24"/>
              </w:rPr>
            </w:pPr>
          </w:p>
        </w:tc>
        <w:tc>
          <w:tcPr>
            <w:tcW w:w="2627" w:type="dxa"/>
            <w:gridSpan w:val="2"/>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8" w:hRule="atLeast"/>
        </w:trPr>
        <w:tc>
          <w:tcPr>
            <w:tcW w:w="1773" w:type="dxa"/>
          </w:tcPr>
          <w:p>
            <w:pPr>
              <w:pStyle w:val="30"/>
              <w:tabs>
                <w:tab w:val="left" w:pos="610"/>
              </w:tabs>
              <w:spacing w:before="179"/>
              <w:ind w:left="10"/>
              <w:jc w:val="center"/>
              <w:rPr>
                <w:sz w:val="24"/>
              </w:rPr>
            </w:pPr>
            <w:r>
              <w:rPr>
                <w:sz w:val="24"/>
              </w:rPr>
              <w:t>账</w:t>
            </w:r>
            <w:r>
              <w:rPr>
                <w:sz w:val="24"/>
              </w:rPr>
              <w:tab/>
            </w:r>
            <w:r>
              <w:rPr>
                <w:sz w:val="24"/>
              </w:rPr>
              <w:t>号</w:t>
            </w:r>
          </w:p>
        </w:tc>
        <w:tc>
          <w:tcPr>
            <w:tcW w:w="2488" w:type="dxa"/>
            <w:gridSpan w:val="2"/>
          </w:tcPr>
          <w:p>
            <w:pPr>
              <w:pStyle w:val="30"/>
              <w:rPr>
                <w:rFonts w:ascii="Times New Roman"/>
                <w:sz w:val="24"/>
              </w:rPr>
            </w:pPr>
          </w:p>
        </w:tc>
        <w:tc>
          <w:tcPr>
            <w:tcW w:w="1406" w:type="dxa"/>
            <w:vMerge w:val="continue"/>
            <w:tcBorders>
              <w:top w:val="nil"/>
            </w:tcBorders>
          </w:tcPr>
          <w:p>
            <w:pPr>
              <w:rPr>
                <w:sz w:val="2"/>
                <w:szCs w:val="2"/>
              </w:rPr>
            </w:pPr>
          </w:p>
        </w:tc>
        <w:tc>
          <w:tcPr>
            <w:tcW w:w="1426" w:type="dxa"/>
          </w:tcPr>
          <w:p>
            <w:pPr>
              <w:pStyle w:val="30"/>
              <w:rPr>
                <w:rFonts w:ascii="Times New Roman"/>
                <w:sz w:val="24"/>
              </w:rPr>
            </w:pPr>
          </w:p>
        </w:tc>
        <w:tc>
          <w:tcPr>
            <w:tcW w:w="2627" w:type="dxa"/>
            <w:gridSpan w:val="2"/>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4" w:hRule="atLeast"/>
        </w:trPr>
        <w:tc>
          <w:tcPr>
            <w:tcW w:w="1773" w:type="dxa"/>
          </w:tcPr>
          <w:p>
            <w:pPr>
              <w:pStyle w:val="30"/>
              <w:rPr>
                <w:sz w:val="24"/>
              </w:rPr>
            </w:pPr>
          </w:p>
          <w:p>
            <w:pPr>
              <w:pStyle w:val="30"/>
              <w:rPr>
                <w:sz w:val="24"/>
              </w:rPr>
            </w:pPr>
          </w:p>
          <w:p>
            <w:pPr>
              <w:pStyle w:val="30"/>
              <w:rPr>
                <w:sz w:val="24"/>
              </w:rPr>
            </w:pPr>
          </w:p>
          <w:p>
            <w:pPr>
              <w:pStyle w:val="30"/>
              <w:rPr>
                <w:sz w:val="25"/>
              </w:rPr>
            </w:pPr>
          </w:p>
          <w:p>
            <w:pPr>
              <w:pStyle w:val="30"/>
              <w:ind w:left="10"/>
              <w:jc w:val="center"/>
              <w:rPr>
                <w:sz w:val="24"/>
              </w:rPr>
            </w:pPr>
            <w:r>
              <w:rPr>
                <w:sz w:val="24"/>
              </w:rPr>
              <w:t>经营范围</w:t>
            </w:r>
          </w:p>
        </w:tc>
        <w:tc>
          <w:tcPr>
            <w:tcW w:w="7947" w:type="dxa"/>
            <w:gridSpan w:val="6"/>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7" w:hRule="atLeast"/>
        </w:trPr>
        <w:tc>
          <w:tcPr>
            <w:tcW w:w="1773" w:type="dxa"/>
          </w:tcPr>
          <w:p>
            <w:pPr>
              <w:pStyle w:val="30"/>
              <w:tabs>
                <w:tab w:val="left" w:pos="610"/>
              </w:tabs>
              <w:spacing w:before="210"/>
              <w:ind w:left="10"/>
              <w:jc w:val="center"/>
              <w:rPr>
                <w:sz w:val="24"/>
              </w:rPr>
            </w:pPr>
            <w:r>
              <w:rPr>
                <w:sz w:val="24"/>
              </w:rPr>
              <w:t>备</w:t>
            </w:r>
            <w:r>
              <w:rPr>
                <w:sz w:val="24"/>
              </w:rPr>
              <w:tab/>
            </w:r>
            <w:r>
              <w:rPr>
                <w:sz w:val="24"/>
              </w:rPr>
              <w:t>注</w:t>
            </w:r>
          </w:p>
        </w:tc>
        <w:tc>
          <w:tcPr>
            <w:tcW w:w="7947" w:type="dxa"/>
            <w:gridSpan w:val="6"/>
          </w:tcPr>
          <w:p>
            <w:pPr>
              <w:pStyle w:val="30"/>
              <w:rPr>
                <w:rFonts w:ascii="Times New Roman"/>
                <w:sz w:val="24"/>
              </w:rPr>
            </w:pPr>
          </w:p>
        </w:tc>
      </w:tr>
    </w:tbl>
    <w:p>
      <w:pPr>
        <w:pStyle w:val="10"/>
        <w:spacing w:before="8"/>
        <w:rPr>
          <w:sz w:val="7"/>
        </w:rPr>
      </w:pPr>
    </w:p>
    <w:p>
      <w:pPr>
        <w:pStyle w:val="7"/>
        <w:spacing w:before="66" w:line="247" w:lineRule="auto"/>
        <w:ind w:left="500" w:right="464"/>
      </w:pPr>
      <w:r>
        <w:rPr>
          <w:w w:val="95"/>
        </w:rPr>
        <w:t xml:space="preserve">注：本表后应附企业法人营业执照、开户许可证、社保、审计报告等相关材料的复印  </w:t>
      </w:r>
      <w:r>
        <w:t>件。（供应商可根据本表自行编制）</w:t>
      </w:r>
    </w:p>
    <w:p>
      <w:pPr>
        <w:spacing w:after="0" w:line="247" w:lineRule="auto"/>
        <w:sectPr>
          <w:pgSz w:w="11910" w:h="16840"/>
          <w:pgMar w:top="1520" w:right="940" w:bottom="1180" w:left="940" w:header="0" w:footer="1000" w:gutter="0"/>
          <w:pgBorders>
            <w:top w:val="none" w:sz="0" w:space="0"/>
            <w:left w:val="none" w:sz="0" w:space="0"/>
            <w:bottom w:val="none" w:sz="0" w:space="0"/>
            <w:right w:val="none" w:sz="0" w:space="0"/>
          </w:pgBorders>
          <w:pgNumType w:fmt="decimal"/>
          <w:cols w:space="720" w:num="1"/>
        </w:sectPr>
      </w:pPr>
    </w:p>
    <w:p>
      <w:pPr>
        <w:pStyle w:val="10"/>
        <w:spacing w:before="4"/>
        <w:rPr>
          <w:b/>
          <w:sz w:val="10"/>
        </w:rPr>
      </w:pPr>
    </w:p>
    <w:p>
      <w:pPr>
        <w:spacing w:before="35"/>
        <w:ind w:right="429" w:firstLine="280" w:firstLineChars="100"/>
        <w:jc w:val="both"/>
        <w:rPr>
          <w:sz w:val="28"/>
        </w:rPr>
      </w:pPr>
      <w:r>
        <w:rPr>
          <w:sz w:val="28"/>
        </w:rPr>
        <w:t>七、</w:t>
      </w:r>
      <w:r>
        <w:rPr>
          <w:rFonts w:hint="eastAsia"/>
          <w:sz w:val="28"/>
          <w:lang w:val="en-US" w:eastAsia="zh-CN"/>
        </w:rPr>
        <w:t>履行合同所必需的货物和专业技术能力的声明函</w:t>
      </w:r>
    </w:p>
    <w:p>
      <w:pPr>
        <w:pStyle w:val="10"/>
        <w:spacing w:before="2"/>
        <w:rPr>
          <w:rFonts w:hint="eastAsia"/>
        </w:rPr>
      </w:pPr>
    </w:p>
    <w:p>
      <w:pPr>
        <w:pStyle w:val="10"/>
        <w:spacing w:before="2"/>
        <w:rPr>
          <w:rFonts w:hint="eastAsia"/>
        </w:rPr>
      </w:pPr>
    </w:p>
    <w:p>
      <w:pPr>
        <w:pStyle w:val="10"/>
        <w:spacing w:before="2"/>
        <w:ind w:firstLine="1200" w:firstLineChars="500"/>
        <w:rPr>
          <w:rFonts w:hint="eastAsia"/>
        </w:rPr>
      </w:pPr>
      <w:r>
        <w:rPr>
          <w:rFonts w:hint="eastAsia"/>
        </w:rPr>
        <w:t>我公司在完全理解本项目招标的技术要求，商务条款及其他内容后，决定参与该</w:t>
      </w:r>
    </w:p>
    <w:p>
      <w:pPr>
        <w:pStyle w:val="10"/>
        <w:spacing w:before="2"/>
        <w:rPr>
          <w:rFonts w:hint="eastAsia"/>
        </w:rPr>
      </w:pPr>
    </w:p>
    <w:p>
      <w:pPr>
        <w:pStyle w:val="10"/>
        <w:spacing w:before="2"/>
        <w:ind w:firstLine="480" w:firstLineChars="200"/>
        <w:rPr>
          <w:rFonts w:hint="eastAsia"/>
        </w:rPr>
      </w:pPr>
      <w:r>
        <w:rPr>
          <w:rFonts w:hint="eastAsia"/>
        </w:rPr>
        <w:t>项目的投标活动。并声明，如中标，我公司将提供足够的设备和专业技术能力保证合</w:t>
      </w:r>
    </w:p>
    <w:p>
      <w:pPr>
        <w:pStyle w:val="10"/>
        <w:spacing w:before="2"/>
        <w:ind w:left="980"/>
        <w:rPr>
          <w:rFonts w:hint="eastAsia"/>
        </w:rPr>
      </w:pPr>
    </w:p>
    <w:p>
      <w:pPr>
        <w:pStyle w:val="10"/>
        <w:spacing w:before="2"/>
        <w:ind w:firstLine="480" w:firstLineChars="200"/>
        <w:rPr>
          <w:rFonts w:hint="eastAsia"/>
        </w:rPr>
      </w:pPr>
      <w:r>
        <w:rPr>
          <w:rFonts w:hint="eastAsia"/>
        </w:rPr>
        <w:t>同履行。货物及服务满足招标文件中的要求。</w:t>
      </w:r>
    </w:p>
    <w:p>
      <w:pPr>
        <w:pStyle w:val="10"/>
        <w:spacing w:before="2"/>
        <w:ind w:left="980"/>
        <w:rPr>
          <w:rFonts w:hint="eastAsia"/>
        </w:rPr>
      </w:pPr>
    </w:p>
    <w:p>
      <w:pPr>
        <w:pStyle w:val="10"/>
        <w:spacing w:before="2"/>
        <w:ind w:firstLine="480" w:firstLineChars="200"/>
        <w:rPr>
          <w:rFonts w:hint="eastAsia"/>
        </w:rPr>
      </w:pPr>
      <w:r>
        <w:rPr>
          <w:rFonts w:hint="eastAsia"/>
        </w:rPr>
        <w:t>本公司对上述声明的真实性负责。如有虚假，我公司同意按我方合同违约处理，</w:t>
      </w:r>
    </w:p>
    <w:p>
      <w:pPr>
        <w:pStyle w:val="10"/>
        <w:spacing w:before="2"/>
        <w:rPr>
          <w:rFonts w:hint="eastAsia"/>
          <w:lang w:val="en-US" w:eastAsia="zh-CN"/>
        </w:rPr>
      </w:pPr>
      <w:r>
        <w:rPr>
          <w:rFonts w:hint="eastAsia"/>
          <w:lang w:val="en-US" w:eastAsia="zh-CN"/>
        </w:rPr>
        <w:t xml:space="preserve">    </w:t>
      </w:r>
    </w:p>
    <w:p>
      <w:pPr>
        <w:pStyle w:val="10"/>
        <w:spacing w:before="2"/>
        <w:ind w:firstLine="480" w:firstLineChars="200"/>
      </w:pPr>
      <w:r>
        <w:rPr>
          <w:rFonts w:hint="eastAsia"/>
        </w:rPr>
        <w:t>并依法承担相应法律责任。</w:t>
      </w:r>
    </w:p>
    <w:p>
      <w:pPr>
        <w:pStyle w:val="10"/>
      </w:pPr>
    </w:p>
    <w:p>
      <w:pPr>
        <w:pStyle w:val="10"/>
        <w:spacing w:before="10"/>
        <w:rPr>
          <w:sz w:val="20"/>
        </w:rPr>
      </w:pPr>
    </w:p>
    <w:p>
      <w:pPr>
        <w:pStyle w:val="10"/>
        <w:tabs>
          <w:tab w:val="left" w:pos="7966"/>
        </w:tabs>
        <w:spacing w:line="343"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10"/>
        <w:tabs>
          <w:tab w:val="left" w:pos="5568"/>
          <w:tab w:val="left" w:pos="6768"/>
          <w:tab w:val="left" w:pos="7368"/>
          <w:tab w:val="left" w:pos="7968"/>
        </w:tabs>
        <w:spacing w:before="1"/>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10"/>
        <w:rPr>
          <w:sz w:val="26"/>
        </w:rPr>
      </w:pPr>
    </w:p>
    <w:p>
      <w:pPr>
        <w:pStyle w:val="10"/>
        <w:rPr>
          <w:sz w:val="26"/>
        </w:rPr>
      </w:pPr>
    </w:p>
    <w:p>
      <w:pPr>
        <w:pStyle w:val="10"/>
        <w:rPr>
          <w:sz w:val="26"/>
        </w:rPr>
      </w:pPr>
    </w:p>
    <w:p>
      <w:pPr>
        <w:pStyle w:val="10"/>
        <w:spacing w:before="4"/>
        <w:rPr>
          <w:sz w:val="35"/>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pStyle w:val="2"/>
      </w:pPr>
    </w:p>
    <w:p>
      <w:pPr>
        <w:spacing w:before="62"/>
        <w:ind w:right="429"/>
        <w:jc w:val="both"/>
        <w:rPr>
          <w:sz w:val="28"/>
        </w:rPr>
      </w:pPr>
    </w:p>
    <w:p>
      <w:pPr>
        <w:pStyle w:val="10"/>
        <w:rPr>
          <w:sz w:val="28"/>
        </w:rPr>
      </w:pPr>
      <w:r>
        <w:rPr>
          <w:rFonts w:hint="eastAsia"/>
          <w:sz w:val="28"/>
          <w:lang w:eastAsia="zh-CN"/>
        </w:rPr>
        <w:t>八</w:t>
      </w:r>
      <w:r>
        <w:rPr>
          <w:sz w:val="28"/>
        </w:rPr>
        <w:t>、</w:t>
      </w:r>
      <w:r>
        <w:rPr>
          <w:rFonts w:hint="eastAsia"/>
          <w:sz w:val="28"/>
          <w:lang w:val="en-US" w:eastAsia="zh-CN"/>
        </w:rPr>
        <w:t>供应商的资格声明函</w:t>
      </w:r>
    </w:p>
    <w:p>
      <w:pPr>
        <w:spacing w:before="35"/>
        <w:ind w:right="429"/>
        <w:jc w:val="both"/>
        <w:rPr>
          <w:sz w:val="28"/>
        </w:rPr>
      </w:pPr>
    </w:p>
    <w:p>
      <w:pPr>
        <w:pStyle w:val="10"/>
        <w:spacing w:before="2" w:line="360" w:lineRule="auto"/>
        <w:ind w:firstLine="240" w:firstLineChars="100"/>
        <w:rPr>
          <w:rFonts w:hint="eastAsia"/>
        </w:rPr>
      </w:pPr>
      <w:r>
        <w:rPr>
          <w:rFonts w:hint="eastAsia"/>
        </w:rPr>
        <w:t>致: (采购人)</w:t>
      </w:r>
    </w:p>
    <w:p>
      <w:pPr>
        <w:spacing w:before="35" w:line="360" w:lineRule="auto"/>
        <w:ind w:right="429" w:firstLine="240" w:firstLineChars="100"/>
        <w:jc w:val="both"/>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本单位申明如下:</w:t>
      </w:r>
    </w:p>
    <w:p>
      <w:pPr>
        <w:spacing w:before="35" w:line="360" w:lineRule="auto"/>
        <w:ind w:right="429" w:firstLine="240" w:firstLineChars="100"/>
        <w:jc w:val="both"/>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1、具有独立承担民事责任的能力;</w:t>
      </w:r>
    </w:p>
    <w:p>
      <w:pPr>
        <w:spacing w:before="35" w:line="360" w:lineRule="auto"/>
        <w:ind w:right="429" w:firstLine="240" w:firstLineChars="100"/>
        <w:jc w:val="both"/>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2、具有良好的商业信誉和健全的财务会计制度;</w:t>
      </w:r>
    </w:p>
    <w:p>
      <w:pPr>
        <w:spacing w:before="35" w:line="360" w:lineRule="auto"/>
        <w:ind w:right="429" w:firstLine="240" w:firstLineChars="100"/>
        <w:jc w:val="both"/>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3、具有履行合同所必需的设备和专业技术能力;</w:t>
      </w:r>
    </w:p>
    <w:p>
      <w:pPr>
        <w:spacing w:before="35" w:line="360" w:lineRule="auto"/>
        <w:ind w:right="429" w:firstLine="240" w:firstLineChars="100"/>
        <w:jc w:val="both"/>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4、有依法缴纳税收和社会保障资金的良好记录;</w:t>
      </w:r>
    </w:p>
    <w:p>
      <w:pPr>
        <w:spacing w:before="35" w:line="360" w:lineRule="auto"/>
        <w:ind w:right="429" w:firstLine="240" w:firstLineChars="100"/>
        <w:jc w:val="both"/>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5、参加政府采购活动前三年内，在经营活动中没有重大违法记录;</w:t>
      </w:r>
    </w:p>
    <w:p>
      <w:pPr>
        <w:spacing w:before="35" w:line="360" w:lineRule="auto"/>
        <w:ind w:right="429" w:firstLine="240" w:firstLineChars="100"/>
        <w:jc w:val="both"/>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6、法律、行政法规规定的其他条件。</w:t>
      </w:r>
    </w:p>
    <w:p>
      <w:pPr>
        <w:spacing w:before="35" w:line="360" w:lineRule="auto"/>
        <w:ind w:right="429" w:firstLine="240" w:firstLineChars="100"/>
        <w:jc w:val="both"/>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7、未被列入失信被执行人、重大税收违法案件当事人名单、政府采购严重</w:t>
      </w:r>
    </w:p>
    <w:p>
      <w:pPr>
        <w:spacing w:before="35" w:line="360" w:lineRule="auto"/>
        <w:ind w:right="429" w:firstLine="240" w:firstLineChars="100"/>
        <w:jc w:val="both"/>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违法失信行为记录名单。</w:t>
      </w:r>
    </w:p>
    <w:p>
      <w:pPr>
        <w:spacing w:before="35"/>
        <w:ind w:right="429" w:firstLine="280" w:firstLineChars="100"/>
        <w:jc w:val="both"/>
        <w:rPr>
          <w:sz w:val="28"/>
        </w:rPr>
      </w:pPr>
    </w:p>
    <w:p>
      <w:pPr>
        <w:spacing w:before="35"/>
        <w:ind w:right="429" w:firstLine="280" w:firstLineChars="100"/>
        <w:jc w:val="both"/>
        <w:rPr>
          <w:sz w:val="28"/>
        </w:rPr>
      </w:pPr>
    </w:p>
    <w:p>
      <w:pPr>
        <w:pStyle w:val="2"/>
        <w:rPr>
          <w:sz w:val="28"/>
        </w:rPr>
      </w:pPr>
    </w:p>
    <w:p>
      <w:pPr>
        <w:pStyle w:val="10"/>
        <w:spacing w:before="10"/>
        <w:rPr>
          <w:sz w:val="20"/>
        </w:rPr>
      </w:pPr>
    </w:p>
    <w:p>
      <w:pPr>
        <w:pStyle w:val="10"/>
        <w:tabs>
          <w:tab w:val="left" w:pos="7966"/>
        </w:tabs>
        <w:spacing w:line="343"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10"/>
        <w:tabs>
          <w:tab w:val="left" w:pos="5568"/>
          <w:tab w:val="left" w:pos="6768"/>
          <w:tab w:val="left" w:pos="7368"/>
          <w:tab w:val="left" w:pos="7968"/>
        </w:tabs>
        <w:spacing w:before="1"/>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10"/>
        <w:rPr>
          <w:sz w:val="26"/>
        </w:rPr>
      </w:pPr>
    </w:p>
    <w:p>
      <w:pPr>
        <w:pStyle w:val="3"/>
      </w:pPr>
    </w:p>
    <w:p>
      <w:pPr>
        <w:spacing w:before="35"/>
        <w:ind w:right="429" w:firstLine="280" w:firstLineChars="100"/>
        <w:jc w:val="both"/>
        <w:rPr>
          <w:sz w:val="28"/>
        </w:rPr>
      </w:pPr>
    </w:p>
    <w:p>
      <w:pPr>
        <w:spacing w:before="35"/>
        <w:ind w:right="429" w:firstLine="280" w:firstLineChars="100"/>
        <w:jc w:val="both"/>
        <w:rPr>
          <w:sz w:val="28"/>
        </w:rPr>
      </w:pPr>
    </w:p>
    <w:p>
      <w:pPr>
        <w:spacing w:before="35"/>
        <w:ind w:right="429" w:firstLine="280" w:firstLineChars="100"/>
        <w:jc w:val="both"/>
        <w:rPr>
          <w:sz w:val="28"/>
        </w:rPr>
      </w:pPr>
    </w:p>
    <w:p>
      <w:pPr>
        <w:spacing w:before="35"/>
        <w:ind w:right="429" w:firstLine="280" w:firstLineChars="100"/>
        <w:jc w:val="both"/>
        <w:rPr>
          <w:sz w:val="28"/>
        </w:rPr>
      </w:pPr>
    </w:p>
    <w:p>
      <w:pPr>
        <w:spacing w:before="35"/>
        <w:ind w:right="429" w:firstLine="280" w:firstLineChars="100"/>
        <w:jc w:val="both"/>
        <w:rPr>
          <w:sz w:val="28"/>
        </w:rPr>
      </w:pPr>
    </w:p>
    <w:p>
      <w:pPr>
        <w:spacing w:before="35"/>
        <w:ind w:right="429" w:firstLine="280" w:firstLineChars="100"/>
        <w:jc w:val="both"/>
        <w:rPr>
          <w:sz w:val="28"/>
        </w:rPr>
      </w:pPr>
    </w:p>
    <w:p>
      <w:pPr>
        <w:spacing w:before="35"/>
        <w:ind w:right="429" w:firstLine="280" w:firstLineChars="100"/>
        <w:jc w:val="both"/>
        <w:rPr>
          <w:sz w:val="28"/>
        </w:rPr>
      </w:pPr>
    </w:p>
    <w:p>
      <w:pPr>
        <w:spacing w:before="35"/>
        <w:ind w:right="429" w:firstLine="280" w:firstLineChars="100"/>
        <w:jc w:val="both"/>
        <w:rPr>
          <w:sz w:val="28"/>
        </w:rPr>
      </w:pPr>
    </w:p>
    <w:p>
      <w:pPr>
        <w:spacing w:before="35"/>
        <w:ind w:right="429" w:firstLine="280" w:firstLineChars="100"/>
        <w:jc w:val="both"/>
        <w:rPr>
          <w:sz w:val="28"/>
        </w:rPr>
      </w:pPr>
    </w:p>
    <w:p>
      <w:pPr>
        <w:spacing w:before="35"/>
        <w:ind w:right="429" w:firstLine="280" w:firstLineChars="100"/>
        <w:jc w:val="both"/>
        <w:rPr>
          <w:sz w:val="28"/>
        </w:rPr>
      </w:pPr>
    </w:p>
    <w:p>
      <w:pPr>
        <w:spacing w:before="35"/>
        <w:ind w:right="429" w:firstLine="280" w:firstLineChars="100"/>
        <w:jc w:val="both"/>
        <w:rPr>
          <w:sz w:val="28"/>
        </w:rPr>
      </w:pPr>
    </w:p>
    <w:p>
      <w:pPr>
        <w:spacing w:before="35"/>
        <w:ind w:right="429" w:firstLine="280" w:firstLineChars="100"/>
        <w:jc w:val="both"/>
        <w:rPr>
          <w:sz w:val="28"/>
        </w:rPr>
      </w:pPr>
    </w:p>
    <w:p>
      <w:pPr>
        <w:spacing w:before="35"/>
        <w:ind w:right="429"/>
        <w:jc w:val="both"/>
        <w:rPr>
          <w:sz w:val="28"/>
        </w:rPr>
      </w:pPr>
    </w:p>
    <w:p>
      <w:pPr>
        <w:spacing w:before="35"/>
        <w:ind w:right="429" w:firstLine="280" w:firstLineChars="100"/>
        <w:jc w:val="both"/>
        <w:rPr>
          <w:sz w:val="28"/>
        </w:rPr>
      </w:pPr>
      <w:r>
        <w:rPr>
          <w:rFonts w:hint="eastAsia"/>
          <w:sz w:val="28"/>
          <w:lang w:eastAsia="zh-CN"/>
        </w:rPr>
        <w:t>九</w:t>
      </w:r>
      <w:r>
        <w:rPr>
          <w:sz w:val="28"/>
        </w:rPr>
        <w:t>、在经营活动中没有重大违法记录的书面声明</w:t>
      </w:r>
    </w:p>
    <w:p>
      <w:pPr>
        <w:pStyle w:val="10"/>
        <w:rPr>
          <w:sz w:val="28"/>
        </w:rPr>
      </w:pPr>
    </w:p>
    <w:p>
      <w:pPr>
        <w:pStyle w:val="10"/>
        <w:spacing w:before="8"/>
        <w:rPr>
          <w:sz w:val="37"/>
        </w:rPr>
      </w:pPr>
    </w:p>
    <w:p>
      <w:pPr>
        <w:pStyle w:val="10"/>
        <w:tabs>
          <w:tab w:val="left" w:pos="3828"/>
          <w:tab w:val="left" w:pos="6451"/>
        </w:tabs>
        <w:spacing w:line="343" w:lineRule="auto"/>
        <w:ind w:left="500" w:right="497" w:firstLine="480"/>
        <w:jc w:val="both"/>
      </w:pPr>
      <w:r>
        <w:t>我方在参加</w:t>
      </w:r>
      <w:r>
        <w:rPr>
          <w:u w:val="single"/>
        </w:rPr>
        <w:t xml:space="preserve"> </w:t>
      </w:r>
      <w:r>
        <w:rPr>
          <w:u w:val="single"/>
        </w:rPr>
        <w:tab/>
      </w:r>
      <w:r>
        <w:t>（项目名称</w:t>
      </w:r>
      <w:r>
        <w:rPr>
          <w:spacing w:val="-32"/>
        </w:rPr>
        <w:t>）</w:t>
      </w:r>
      <w:r>
        <w:t>政府采购活动前</w:t>
      </w:r>
      <w:r>
        <w:rPr>
          <w:spacing w:val="-60"/>
        </w:rPr>
        <w:t xml:space="preserve"> </w:t>
      </w:r>
      <w:r>
        <w:t>3</w:t>
      </w:r>
      <w:r>
        <w:rPr>
          <w:spacing w:val="-59"/>
        </w:rPr>
        <w:t xml:space="preserve"> </w:t>
      </w:r>
      <w:r>
        <w:t>年内</w:t>
      </w:r>
      <w:r>
        <w:rPr>
          <w:spacing w:val="-34"/>
        </w:rPr>
        <w:t>，</w:t>
      </w:r>
      <w:r>
        <w:t>我方被公开披</w:t>
      </w:r>
      <w:r>
        <w:rPr>
          <w:spacing w:val="-15"/>
        </w:rPr>
        <w:t>露</w:t>
      </w:r>
      <w:r>
        <w:t>或查处的违法违规行为有：</w:t>
      </w:r>
      <w:r>
        <w:tab/>
      </w:r>
      <w:r>
        <w:tab/>
      </w:r>
      <w:r>
        <w:rPr>
          <w:spacing w:val="-46"/>
        </w:rPr>
        <w:t>，</w:t>
      </w:r>
      <w:r>
        <w:t>但在经营活动中没有重大</w:t>
      </w:r>
      <w:r>
        <w:rPr>
          <w:spacing w:val="-16"/>
        </w:rPr>
        <w:t>违</w:t>
      </w:r>
      <w:r>
        <w:t>法记</w:t>
      </w:r>
      <w:r>
        <w:rPr>
          <w:spacing w:val="-48"/>
        </w:rPr>
        <w:t>录</w:t>
      </w:r>
      <w:r>
        <w:t>（重大违法记录指供应商因违法经营受到刑事处罚或者责令停产停业</w:t>
      </w:r>
      <w:r>
        <w:rPr>
          <w:spacing w:val="-46"/>
        </w:rPr>
        <w:t>、</w:t>
      </w:r>
      <w:r>
        <w:t>吊销许</w:t>
      </w:r>
      <w:r>
        <w:rPr>
          <w:spacing w:val="-17"/>
        </w:rPr>
        <w:t>可</w:t>
      </w:r>
      <w:r>
        <w:t>证或者执照、较大数额罚款等行政处罚）。</w:t>
      </w:r>
    </w:p>
    <w:p>
      <w:pPr>
        <w:pStyle w:val="10"/>
      </w:pPr>
    </w:p>
    <w:p>
      <w:pPr>
        <w:pStyle w:val="10"/>
      </w:pPr>
    </w:p>
    <w:p>
      <w:pPr>
        <w:pStyle w:val="10"/>
        <w:spacing w:before="10"/>
        <w:rPr>
          <w:sz w:val="20"/>
        </w:rPr>
      </w:pPr>
    </w:p>
    <w:p>
      <w:pPr>
        <w:pStyle w:val="10"/>
        <w:tabs>
          <w:tab w:val="left" w:pos="7966"/>
        </w:tabs>
        <w:spacing w:line="343"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10"/>
        <w:tabs>
          <w:tab w:val="left" w:pos="5568"/>
          <w:tab w:val="left" w:pos="6768"/>
          <w:tab w:val="left" w:pos="7368"/>
          <w:tab w:val="left" w:pos="7968"/>
        </w:tabs>
        <w:spacing w:before="1"/>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10"/>
        <w:rPr>
          <w:sz w:val="26"/>
        </w:rPr>
      </w:pPr>
    </w:p>
    <w:p>
      <w:pPr>
        <w:pStyle w:val="10"/>
        <w:rPr>
          <w:sz w:val="26"/>
        </w:rPr>
      </w:pPr>
    </w:p>
    <w:p>
      <w:pPr>
        <w:pStyle w:val="10"/>
        <w:rPr>
          <w:sz w:val="26"/>
        </w:rPr>
      </w:pPr>
    </w:p>
    <w:p>
      <w:pPr>
        <w:pStyle w:val="10"/>
        <w:spacing w:before="4"/>
        <w:rPr>
          <w:sz w:val="35"/>
        </w:rPr>
      </w:pPr>
    </w:p>
    <w:p>
      <w:pPr>
        <w:pStyle w:val="30"/>
        <w:numPr>
          <w:ilvl w:val="0"/>
          <w:numId w:val="0"/>
        </w:numPr>
        <w:tabs>
          <w:tab w:val="left" w:pos="709"/>
        </w:tabs>
        <w:spacing w:before="60" w:after="0" w:line="240" w:lineRule="auto"/>
        <w:ind w:left="106" w:leftChars="0" w:right="0" w:rightChars="0"/>
        <w:jc w:val="both"/>
        <w:rPr>
          <w:sz w:val="24"/>
        </w:rPr>
      </w:pPr>
      <w:r>
        <w:rPr>
          <w:sz w:val="24"/>
        </w:rPr>
        <w:t>备注：供应商没有被公开披露或查处违法违规行为的，注明“无”即可。</w:t>
      </w:r>
    </w:p>
    <w:p>
      <w:pPr>
        <w:pStyle w:val="30"/>
        <w:numPr>
          <w:ilvl w:val="0"/>
          <w:numId w:val="0"/>
        </w:numPr>
        <w:tabs>
          <w:tab w:val="left" w:pos="709"/>
        </w:tabs>
        <w:spacing w:before="60" w:after="0" w:line="240" w:lineRule="auto"/>
        <w:ind w:left="106" w:leftChars="0" w:right="0" w:rightChars="0"/>
        <w:jc w:val="both"/>
        <w:rPr>
          <w:b w:val="0"/>
          <w:bCs/>
          <w:sz w:val="24"/>
        </w:rPr>
      </w:pPr>
      <w:r>
        <w:rPr>
          <w:b w:val="0"/>
          <w:bCs/>
          <w:sz w:val="24"/>
        </w:rPr>
        <w:t>附：</w:t>
      </w:r>
      <w:r>
        <w:rPr>
          <w:rFonts w:hint="eastAsia"/>
          <w:b w:val="0"/>
          <w:bCs/>
          <w:sz w:val="24"/>
          <w:lang w:val="en-US" w:eastAsia="zh-CN"/>
        </w:rPr>
        <w:t>“信用中国”、“中国政府采购网”、“国家企业信用信息公示系统”和“中国裁判文书网”查询截图并加盖公章</w:t>
      </w:r>
      <w:r>
        <w:rPr>
          <w:b w:val="0"/>
          <w:bCs/>
          <w:sz w:val="24"/>
        </w:rPr>
        <w:t>。</w:t>
      </w:r>
    </w:p>
    <w:p>
      <w:pPr>
        <w:spacing w:before="62"/>
        <w:ind w:left="429" w:right="429" w:firstLine="0"/>
        <w:jc w:val="center"/>
        <w:rPr>
          <w:rFonts w:hint="eastAsia"/>
          <w:sz w:val="28"/>
          <w:lang w:val="en-US" w:eastAsia="zh-CN"/>
        </w:rPr>
      </w:pPr>
    </w:p>
    <w:p>
      <w:pPr>
        <w:spacing w:before="62"/>
        <w:ind w:left="429" w:right="429" w:firstLine="0"/>
        <w:jc w:val="center"/>
        <w:rPr>
          <w:rFonts w:hint="eastAsia"/>
          <w:sz w:val="28"/>
          <w:lang w:val="en-US" w:eastAsia="zh-CN"/>
        </w:rPr>
      </w:pPr>
    </w:p>
    <w:p>
      <w:pPr>
        <w:spacing w:before="62"/>
        <w:ind w:left="429" w:right="429" w:firstLine="0"/>
        <w:jc w:val="center"/>
        <w:rPr>
          <w:rFonts w:hint="eastAsia"/>
          <w:sz w:val="28"/>
          <w:lang w:val="en-US" w:eastAsia="zh-CN"/>
        </w:rPr>
      </w:pPr>
    </w:p>
    <w:p>
      <w:pPr>
        <w:spacing w:before="62"/>
        <w:ind w:left="429" w:right="429" w:firstLine="0"/>
        <w:jc w:val="center"/>
        <w:rPr>
          <w:rFonts w:hint="eastAsia"/>
          <w:sz w:val="28"/>
          <w:lang w:val="en-US" w:eastAsia="zh-CN"/>
        </w:rPr>
      </w:pPr>
    </w:p>
    <w:p>
      <w:pPr>
        <w:spacing w:before="62"/>
        <w:ind w:left="429" w:right="429" w:firstLine="0"/>
        <w:jc w:val="center"/>
        <w:rPr>
          <w:rFonts w:hint="eastAsia"/>
          <w:sz w:val="28"/>
          <w:lang w:val="en-US" w:eastAsia="zh-CN"/>
        </w:rPr>
      </w:pPr>
    </w:p>
    <w:p>
      <w:pPr>
        <w:spacing w:before="62"/>
        <w:ind w:left="429" w:right="429" w:firstLine="0"/>
        <w:jc w:val="center"/>
        <w:rPr>
          <w:rFonts w:hint="eastAsia"/>
          <w:sz w:val="28"/>
          <w:lang w:val="en-US" w:eastAsia="zh-CN"/>
        </w:rPr>
      </w:pPr>
    </w:p>
    <w:p>
      <w:pPr>
        <w:spacing w:before="62"/>
        <w:ind w:left="429" w:right="429" w:firstLine="0"/>
        <w:jc w:val="center"/>
        <w:rPr>
          <w:rFonts w:hint="eastAsia"/>
          <w:sz w:val="28"/>
          <w:lang w:val="en-US" w:eastAsia="zh-CN"/>
        </w:rPr>
      </w:pPr>
    </w:p>
    <w:p>
      <w:pPr>
        <w:spacing w:before="62"/>
        <w:ind w:left="429" w:right="429" w:firstLine="0"/>
        <w:jc w:val="center"/>
        <w:rPr>
          <w:rFonts w:hint="eastAsia"/>
          <w:sz w:val="28"/>
          <w:lang w:val="en-US" w:eastAsia="zh-CN"/>
        </w:rPr>
      </w:pPr>
    </w:p>
    <w:p>
      <w:pPr>
        <w:spacing w:before="62"/>
        <w:ind w:left="429" w:right="429" w:firstLine="0"/>
        <w:jc w:val="center"/>
        <w:rPr>
          <w:rFonts w:hint="eastAsia"/>
          <w:sz w:val="28"/>
          <w:lang w:val="en-US" w:eastAsia="zh-CN"/>
        </w:rPr>
      </w:pPr>
    </w:p>
    <w:p>
      <w:pPr>
        <w:spacing w:before="62"/>
        <w:ind w:left="429" w:right="429" w:firstLine="0"/>
        <w:jc w:val="center"/>
        <w:rPr>
          <w:rFonts w:hint="eastAsia"/>
          <w:sz w:val="28"/>
          <w:lang w:val="en-US" w:eastAsia="zh-CN"/>
        </w:rPr>
      </w:pPr>
    </w:p>
    <w:p>
      <w:pPr>
        <w:spacing w:before="62"/>
        <w:ind w:left="429" w:right="429" w:firstLine="0"/>
        <w:jc w:val="center"/>
        <w:rPr>
          <w:rFonts w:hint="eastAsia"/>
          <w:sz w:val="28"/>
          <w:lang w:val="en-US" w:eastAsia="zh-CN"/>
        </w:rPr>
      </w:pPr>
    </w:p>
    <w:p>
      <w:pPr>
        <w:spacing w:before="62"/>
        <w:ind w:left="429" w:right="429" w:firstLine="0"/>
        <w:jc w:val="center"/>
        <w:rPr>
          <w:rFonts w:hint="eastAsia"/>
          <w:sz w:val="28"/>
          <w:lang w:val="en-US" w:eastAsia="zh-CN"/>
        </w:rPr>
      </w:pPr>
    </w:p>
    <w:p>
      <w:pPr>
        <w:spacing w:before="62"/>
        <w:ind w:left="429" w:right="429" w:firstLine="0"/>
        <w:jc w:val="center"/>
        <w:rPr>
          <w:rFonts w:hint="eastAsia"/>
          <w:sz w:val="28"/>
          <w:lang w:val="en-US" w:eastAsia="zh-CN"/>
        </w:rPr>
      </w:pPr>
    </w:p>
    <w:p>
      <w:pPr>
        <w:spacing w:before="62"/>
        <w:ind w:left="429" w:right="429" w:firstLine="0"/>
        <w:jc w:val="center"/>
        <w:rPr>
          <w:rFonts w:hint="eastAsia"/>
          <w:sz w:val="28"/>
          <w:lang w:val="en-US" w:eastAsia="zh-CN"/>
        </w:rPr>
      </w:pPr>
    </w:p>
    <w:p>
      <w:pPr>
        <w:spacing w:before="62"/>
        <w:ind w:right="429"/>
        <w:jc w:val="both"/>
        <w:rPr>
          <w:rFonts w:hint="eastAsia"/>
          <w:sz w:val="28"/>
          <w:lang w:val="en-US" w:eastAsia="zh-CN"/>
        </w:rPr>
      </w:pPr>
    </w:p>
    <w:p>
      <w:pPr>
        <w:spacing w:before="62"/>
        <w:ind w:left="429" w:right="429" w:firstLine="0"/>
        <w:jc w:val="center"/>
        <w:rPr>
          <w:sz w:val="28"/>
        </w:rPr>
      </w:pPr>
      <w:r>
        <w:rPr>
          <w:rFonts w:hint="eastAsia"/>
          <w:sz w:val="28"/>
          <w:lang w:val="en-US" w:eastAsia="zh-CN"/>
        </w:rPr>
        <w:t>十、</w:t>
      </w:r>
      <w:r>
        <w:rPr>
          <w:sz w:val="28"/>
        </w:rPr>
        <w:t>政府采购诚信承诺书</w:t>
      </w:r>
    </w:p>
    <w:p>
      <w:pPr>
        <w:pStyle w:val="10"/>
        <w:rPr>
          <w:sz w:val="28"/>
        </w:rPr>
      </w:pPr>
    </w:p>
    <w:p>
      <w:pPr>
        <w:pStyle w:val="10"/>
        <w:spacing w:before="203"/>
        <w:ind w:left="500"/>
      </w:pPr>
      <w:r>
        <w:rPr>
          <w:rFonts w:ascii="Times New Roman" w:eastAsia="Times New Roman"/>
          <w:u w:val="single"/>
        </w:rPr>
        <w:t xml:space="preserve">  </w:t>
      </w:r>
      <w:r>
        <w:rPr>
          <w:u w:val="single"/>
        </w:rPr>
        <w:t xml:space="preserve">（采购人） </w:t>
      </w:r>
      <w:r>
        <w:t>：</w:t>
      </w:r>
    </w:p>
    <w:p>
      <w:pPr>
        <w:pStyle w:val="10"/>
        <w:tabs>
          <w:tab w:val="left" w:pos="2179"/>
          <w:tab w:val="left" w:pos="3468"/>
          <w:tab w:val="left" w:pos="8119"/>
        </w:tabs>
        <w:spacing w:before="132" w:line="343" w:lineRule="auto"/>
        <w:ind w:left="500" w:right="497" w:firstLine="480"/>
      </w:pPr>
      <w:r>
        <w:t>我公司</w:t>
      </w:r>
      <w:r>
        <w:rPr>
          <w:u w:val="single"/>
        </w:rPr>
        <w:t xml:space="preserve"> </w:t>
      </w:r>
      <w:r>
        <w:rPr>
          <w:u w:val="single"/>
        </w:rPr>
        <w:tab/>
      </w:r>
      <w:r>
        <w:rPr>
          <w:u w:val="single"/>
        </w:rPr>
        <w:tab/>
      </w:r>
      <w:r>
        <w:t>（供应商名称</w:t>
      </w:r>
      <w:r>
        <w:rPr>
          <w:spacing w:val="-32"/>
        </w:rPr>
        <w:t>）</w:t>
      </w:r>
      <w:r>
        <w:t>已详细阅读了</w:t>
      </w:r>
      <w:r>
        <w:rPr>
          <w:u w:val="single"/>
        </w:rPr>
        <w:t xml:space="preserve"> </w:t>
      </w:r>
      <w:r>
        <w:rPr>
          <w:u w:val="single"/>
        </w:rPr>
        <w:tab/>
      </w:r>
      <w:r>
        <w:t>项</w:t>
      </w:r>
      <w:r>
        <w:rPr>
          <w:spacing w:val="-32"/>
        </w:rPr>
        <w:t>目</w:t>
      </w:r>
      <w:r>
        <w:rPr>
          <w:spacing w:val="-3"/>
        </w:rPr>
        <w:t>（</w:t>
      </w:r>
      <w:r>
        <w:t>项目</w:t>
      </w:r>
      <w:r>
        <w:rPr>
          <w:spacing w:val="-15"/>
        </w:rPr>
        <w:t>编</w:t>
      </w:r>
      <w:r>
        <w:t>号：</w:t>
      </w:r>
      <w:r>
        <w:rPr>
          <w:u w:val="single"/>
        </w:rPr>
        <w:t xml:space="preserve"> </w:t>
      </w:r>
      <w:r>
        <w:rPr>
          <w:u w:val="single"/>
        </w:rPr>
        <w:tab/>
      </w:r>
      <w:r>
        <w:t>）磋商文件，自愿参加本次投标，现就有关事项做出郑重承诺如下：</w:t>
      </w:r>
    </w:p>
    <w:p>
      <w:pPr>
        <w:pStyle w:val="10"/>
        <w:spacing w:before="1" w:line="343" w:lineRule="auto"/>
        <w:ind w:left="500" w:right="377" w:firstLine="480"/>
      </w:pPr>
      <w:r>
        <w:rPr>
          <w:spacing w:val="-15"/>
        </w:rPr>
        <w:t>一、诚信投标，材料真实。我公司保证所提供的全部材料、投标内容均真实、合法、</w:t>
      </w:r>
      <w:r>
        <w:t>有效，保证不出借或者借用其他企业资质，不以他人名义投标，不弄虚作假；</w:t>
      </w:r>
    </w:p>
    <w:p>
      <w:pPr>
        <w:pStyle w:val="10"/>
        <w:spacing w:line="345" w:lineRule="auto"/>
        <w:ind w:left="500" w:right="497" w:firstLine="480"/>
      </w:pPr>
      <w:r>
        <w:rPr>
          <w:spacing w:val="-12"/>
        </w:rPr>
        <w:t>二、遵纪守法，公平竞争。不与其他供应商相互串通、哄抬价格，不排挤其他供应</w:t>
      </w:r>
      <w:r>
        <w:t>商，不损害采购人的合法权益；不向评标委员会、采购人提供利益以牟取中标。</w:t>
      </w:r>
    </w:p>
    <w:p>
      <w:pPr>
        <w:pStyle w:val="10"/>
        <w:spacing w:line="343" w:lineRule="auto"/>
        <w:ind w:left="500" w:right="377" w:firstLine="480"/>
      </w:pPr>
      <w:r>
        <w:rPr>
          <w:spacing w:val="-10"/>
        </w:rPr>
        <w:t>三、若中标后，将按照规定及时与采购人签订政府采购合同，不与采购人订立有悖</w:t>
      </w:r>
      <w:r>
        <w:rPr>
          <w:spacing w:val="-19"/>
        </w:rPr>
        <w:t xml:space="preserve">于采购结果的合同或协议；严格履行政府采购合同，不降低合同约定的产品质量和服务， </w:t>
      </w:r>
      <w:r>
        <w:t>不擅自变更、中止、终止合同，或者拒绝履行合同义务；</w:t>
      </w:r>
    </w:p>
    <w:p>
      <w:pPr>
        <w:pStyle w:val="10"/>
        <w:spacing w:line="343" w:lineRule="auto"/>
        <w:ind w:left="500" w:right="495" w:firstLine="480"/>
        <w:jc w:val="both"/>
      </w:pPr>
      <w:r>
        <w:rPr>
          <w:spacing w:val="-7"/>
        </w:rPr>
        <w:t>若有违反以上承诺内容的行为，我公司自愿接受取消投标资格、记入信用档案、没</w:t>
      </w:r>
      <w:r>
        <w:t>收投标保证金、媒体通报、1-3</w:t>
      </w:r>
      <w:r>
        <w:rPr>
          <w:spacing w:val="-1"/>
        </w:rPr>
        <w:t>年内禁止参与政府采购等处罚；如已中标的，自动放弃</w:t>
      </w:r>
      <w:r>
        <w:t>中标资格，并承担全部法律责任；给采购人造成损失的，依法承担赔偿责任。</w:t>
      </w:r>
    </w:p>
    <w:p>
      <w:pPr>
        <w:pStyle w:val="10"/>
      </w:pPr>
    </w:p>
    <w:p>
      <w:pPr>
        <w:pStyle w:val="10"/>
      </w:pPr>
    </w:p>
    <w:p>
      <w:pPr>
        <w:pStyle w:val="10"/>
      </w:pPr>
    </w:p>
    <w:p>
      <w:pPr>
        <w:pStyle w:val="10"/>
        <w:spacing w:before="9"/>
        <w:rPr>
          <w:sz w:val="30"/>
        </w:rPr>
      </w:pPr>
    </w:p>
    <w:p>
      <w:pPr>
        <w:pStyle w:val="10"/>
        <w:tabs>
          <w:tab w:val="left" w:pos="7966"/>
        </w:tabs>
        <w:spacing w:line="343"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10"/>
        <w:tabs>
          <w:tab w:val="left" w:pos="5568"/>
          <w:tab w:val="left" w:pos="6768"/>
          <w:tab w:val="left" w:pos="7368"/>
          <w:tab w:val="left" w:pos="7968"/>
        </w:tabs>
        <w:spacing w:before="1"/>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footerReference r:id="rId13" w:type="default"/>
          <w:pgSz w:w="11910" w:h="16840"/>
          <w:pgMar w:top="1580" w:right="940" w:bottom="1180" w:left="940" w:header="0" w:footer="1000" w:gutter="0"/>
          <w:pgBorders>
            <w:top w:val="none" w:sz="0" w:space="0"/>
            <w:left w:val="none" w:sz="0" w:space="0"/>
            <w:bottom w:val="none" w:sz="0" w:space="0"/>
            <w:right w:val="none" w:sz="0" w:space="0"/>
          </w:pgBorders>
          <w:pgNumType w:fmt="decimal"/>
          <w:cols w:space="720" w:num="1"/>
        </w:sectPr>
      </w:pPr>
    </w:p>
    <w:p>
      <w:pPr>
        <w:pStyle w:val="10"/>
        <w:tabs>
          <w:tab w:val="left" w:pos="5568"/>
          <w:tab w:val="left" w:pos="6768"/>
          <w:tab w:val="left" w:pos="7368"/>
          <w:tab w:val="left" w:pos="7968"/>
        </w:tabs>
        <w:spacing w:before="1"/>
        <w:ind w:firstLine="3640" w:firstLineChars="1300"/>
        <w:rPr>
          <w:sz w:val="28"/>
        </w:rPr>
      </w:pPr>
      <w:r>
        <w:rPr>
          <w:rFonts w:hint="eastAsia"/>
          <w:sz w:val="28"/>
          <w:lang w:eastAsia="zh-CN"/>
        </w:rPr>
        <w:t>十一</w:t>
      </w:r>
      <w:r>
        <w:rPr>
          <w:sz w:val="28"/>
        </w:rPr>
        <w:t>、技术偏离表</w:t>
      </w:r>
    </w:p>
    <w:p>
      <w:pPr>
        <w:pStyle w:val="10"/>
        <w:spacing w:before="4"/>
        <w:rPr>
          <w:sz w:val="25"/>
        </w:rPr>
      </w:pPr>
    </w:p>
    <w:tbl>
      <w:tblPr>
        <w:tblStyle w:val="23"/>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3248"/>
        <w:gridCol w:w="3087"/>
        <w:gridCol w:w="20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trPr>
        <w:tc>
          <w:tcPr>
            <w:tcW w:w="1432" w:type="dxa"/>
          </w:tcPr>
          <w:p>
            <w:pPr>
              <w:pStyle w:val="30"/>
              <w:spacing w:before="88"/>
              <w:ind w:left="455" w:right="447"/>
              <w:jc w:val="center"/>
              <w:rPr>
                <w:sz w:val="24"/>
              </w:rPr>
            </w:pPr>
            <w:r>
              <w:rPr>
                <w:sz w:val="24"/>
              </w:rPr>
              <w:t>序号</w:t>
            </w:r>
          </w:p>
        </w:tc>
        <w:tc>
          <w:tcPr>
            <w:tcW w:w="3248" w:type="dxa"/>
          </w:tcPr>
          <w:p>
            <w:pPr>
              <w:pStyle w:val="30"/>
              <w:spacing w:before="88"/>
              <w:ind w:left="423"/>
              <w:rPr>
                <w:sz w:val="24"/>
              </w:rPr>
            </w:pPr>
            <w:r>
              <w:rPr>
                <w:sz w:val="24"/>
              </w:rPr>
              <w:t>磋商文件章节及条款号</w:t>
            </w:r>
          </w:p>
        </w:tc>
        <w:tc>
          <w:tcPr>
            <w:tcW w:w="3087" w:type="dxa"/>
          </w:tcPr>
          <w:p>
            <w:pPr>
              <w:pStyle w:val="30"/>
              <w:spacing w:before="88"/>
              <w:ind w:left="343"/>
              <w:rPr>
                <w:sz w:val="24"/>
              </w:rPr>
            </w:pPr>
            <w:r>
              <w:rPr>
                <w:sz w:val="24"/>
              </w:rPr>
              <w:t>响应文件章节及条款号</w:t>
            </w:r>
          </w:p>
        </w:tc>
        <w:tc>
          <w:tcPr>
            <w:tcW w:w="2013" w:type="dxa"/>
          </w:tcPr>
          <w:p>
            <w:pPr>
              <w:pStyle w:val="30"/>
              <w:spacing w:before="88"/>
              <w:ind w:left="524"/>
              <w:rPr>
                <w:sz w:val="24"/>
              </w:rPr>
            </w:pPr>
            <w:r>
              <w:rPr>
                <w:sz w:val="24"/>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30"/>
              <w:spacing w:before="90"/>
              <w:ind w:left="8"/>
              <w:jc w:val="center"/>
              <w:rPr>
                <w:sz w:val="24"/>
              </w:rPr>
            </w:pPr>
            <w:r>
              <w:rPr>
                <w:sz w:val="24"/>
              </w:rPr>
              <w:t>1</w:t>
            </w: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30"/>
              <w:spacing w:before="89"/>
              <w:ind w:left="128"/>
              <w:jc w:val="center"/>
              <w:rPr>
                <w:sz w:val="24"/>
              </w:rPr>
            </w:pPr>
            <w:r>
              <w:rPr>
                <w:sz w:val="24"/>
              </w:rPr>
              <w:t>2</w:t>
            </w: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30"/>
              <w:spacing w:before="89"/>
              <w:ind w:left="8"/>
              <w:jc w:val="center"/>
              <w:rPr>
                <w:sz w:val="24"/>
              </w:rPr>
            </w:pPr>
            <w:r>
              <w:rPr>
                <w:sz w:val="24"/>
              </w:rPr>
              <w:t>3</w:t>
            </w: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trPr>
        <w:tc>
          <w:tcPr>
            <w:tcW w:w="1432" w:type="dxa"/>
          </w:tcPr>
          <w:p>
            <w:pPr>
              <w:pStyle w:val="30"/>
              <w:spacing w:before="88"/>
              <w:ind w:left="8"/>
              <w:jc w:val="center"/>
              <w:rPr>
                <w:sz w:val="24"/>
              </w:rPr>
            </w:pPr>
            <w:r>
              <w:rPr>
                <w:sz w:val="24"/>
              </w:rPr>
              <w:t>4</w:t>
            </w: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trPr>
        <w:tc>
          <w:tcPr>
            <w:tcW w:w="1432" w:type="dxa"/>
          </w:tcPr>
          <w:p>
            <w:pPr>
              <w:pStyle w:val="30"/>
              <w:spacing w:before="90"/>
              <w:ind w:left="8"/>
              <w:jc w:val="center"/>
              <w:rPr>
                <w:sz w:val="24"/>
              </w:rPr>
            </w:pPr>
            <w:r>
              <w:rPr>
                <w:sz w:val="24"/>
              </w:rPr>
              <w:t>5</w:t>
            </w: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trPr>
        <w:tc>
          <w:tcPr>
            <w:tcW w:w="1432" w:type="dxa"/>
          </w:tcPr>
          <w:p>
            <w:pPr>
              <w:pStyle w:val="30"/>
              <w:spacing w:before="85"/>
              <w:ind w:left="455" w:right="447"/>
              <w:jc w:val="center"/>
              <w:rPr>
                <w:sz w:val="24"/>
              </w:rPr>
            </w:pPr>
            <w:r>
              <w:rPr>
                <w:sz w:val="24"/>
              </w:rPr>
              <w:t>……</w:t>
            </w: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trPr>
        <w:tc>
          <w:tcPr>
            <w:tcW w:w="1432" w:type="dxa"/>
          </w:tcPr>
          <w:p>
            <w:pPr>
              <w:pStyle w:val="30"/>
              <w:rPr>
                <w:rFonts w:ascii="Times New Roman"/>
                <w:sz w:val="24"/>
              </w:rPr>
            </w:pP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trPr>
        <w:tc>
          <w:tcPr>
            <w:tcW w:w="1432" w:type="dxa"/>
          </w:tcPr>
          <w:p>
            <w:pPr>
              <w:pStyle w:val="30"/>
              <w:rPr>
                <w:rFonts w:ascii="Times New Roman"/>
                <w:sz w:val="24"/>
              </w:rPr>
            </w:pP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trPr>
        <w:tc>
          <w:tcPr>
            <w:tcW w:w="1432" w:type="dxa"/>
          </w:tcPr>
          <w:p>
            <w:pPr>
              <w:pStyle w:val="30"/>
              <w:rPr>
                <w:rFonts w:ascii="Times New Roman"/>
                <w:sz w:val="24"/>
              </w:rPr>
            </w:pPr>
          </w:p>
        </w:tc>
        <w:tc>
          <w:tcPr>
            <w:tcW w:w="3248" w:type="dxa"/>
          </w:tcPr>
          <w:p>
            <w:pPr>
              <w:pStyle w:val="30"/>
              <w:rPr>
                <w:rFonts w:ascii="Times New Roman"/>
                <w:sz w:val="24"/>
              </w:rPr>
            </w:pPr>
          </w:p>
        </w:tc>
        <w:tc>
          <w:tcPr>
            <w:tcW w:w="3087" w:type="dxa"/>
          </w:tcPr>
          <w:p>
            <w:pPr>
              <w:pStyle w:val="30"/>
              <w:rPr>
                <w:rFonts w:ascii="Times New Roman"/>
                <w:sz w:val="24"/>
              </w:rPr>
            </w:pPr>
          </w:p>
        </w:tc>
        <w:tc>
          <w:tcPr>
            <w:tcW w:w="2013" w:type="dxa"/>
          </w:tcPr>
          <w:p>
            <w:pPr>
              <w:pStyle w:val="30"/>
              <w:rPr>
                <w:rFonts w:ascii="Times New Roman"/>
                <w:sz w:val="24"/>
              </w:rPr>
            </w:pPr>
          </w:p>
        </w:tc>
      </w:tr>
    </w:tbl>
    <w:p>
      <w:pPr>
        <w:pStyle w:val="10"/>
        <w:spacing w:before="112"/>
        <w:ind w:left="500"/>
      </w:pPr>
      <w:r>
        <w:t>注：偏离情况填写为正偏离、负偏离、无偏离。</w:t>
      </w:r>
    </w:p>
    <w:p>
      <w:pPr>
        <w:pStyle w:val="10"/>
        <w:spacing w:before="134" w:line="343" w:lineRule="auto"/>
        <w:ind w:left="500" w:right="497" w:firstLine="480"/>
        <w:jc w:val="both"/>
      </w:pPr>
      <w:r>
        <w:t>1、供应商应根据投标设备的性能指标、对照磋商文件中“第三章 采购需求</w:t>
      </w:r>
      <w:r>
        <w:rPr>
          <w:spacing w:val="-3"/>
        </w:rPr>
        <w:t xml:space="preserve">---2. </w:t>
      </w:r>
      <w:r>
        <w:rPr>
          <w:spacing w:val="-10"/>
        </w:rPr>
        <w:t>采购内容”中的各项技术参数要求，如实逐条一一对应填写响应情况，如有未响应技术</w:t>
      </w:r>
      <w:r>
        <w:t>指标，评标委员会有权视其为负偏离；</w:t>
      </w:r>
    </w:p>
    <w:p>
      <w:pPr>
        <w:pStyle w:val="10"/>
        <w:spacing w:before="1" w:line="343" w:lineRule="auto"/>
        <w:ind w:left="500" w:right="497" w:firstLine="480"/>
      </w:pPr>
      <w:r>
        <w:t>2、请供应商在“偏离情况”一栏详细描述存在正偏离或负偏离技术指标，并标明偏离情况；</w:t>
      </w:r>
    </w:p>
    <w:p>
      <w:pPr>
        <w:pStyle w:val="10"/>
        <w:spacing w:line="306" w:lineRule="exact"/>
        <w:ind w:left="980"/>
      </w:pPr>
      <w:r>
        <w:t>3、磋商文件技术指标未做要求的，不视为正偏离。</w:t>
      </w:r>
    </w:p>
    <w:p>
      <w:pPr>
        <w:pStyle w:val="10"/>
      </w:pPr>
    </w:p>
    <w:p>
      <w:pPr>
        <w:pStyle w:val="10"/>
      </w:pPr>
    </w:p>
    <w:p>
      <w:pPr>
        <w:pStyle w:val="10"/>
        <w:rPr>
          <w:sz w:val="31"/>
        </w:rPr>
      </w:pPr>
    </w:p>
    <w:p>
      <w:pPr>
        <w:pStyle w:val="10"/>
        <w:tabs>
          <w:tab w:val="left" w:pos="7966"/>
        </w:tabs>
        <w:spacing w:line="345"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10"/>
        <w:tabs>
          <w:tab w:val="left" w:pos="5539"/>
          <w:tab w:val="left" w:pos="6739"/>
          <w:tab w:val="left" w:pos="7339"/>
          <w:tab w:val="left" w:pos="7939"/>
        </w:tabs>
        <w:spacing w:line="303" w:lineRule="exact"/>
        <w:ind w:left="4580"/>
        <w:sectPr>
          <w:pgSz w:w="11910" w:h="16840"/>
          <w:pgMar w:top="1580" w:right="940" w:bottom="1180" w:left="940" w:header="0" w:footer="1000" w:gutter="0"/>
          <w:pgBorders>
            <w:top w:val="none" w:sz="0" w:space="0"/>
            <w:left w:val="none" w:sz="0" w:space="0"/>
            <w:bottom w:val="none" w:sz="0" w:space="0"/>
            <w:right w:val="none" w:sz="0" w:space="0"/>
          </w:pgBorders>
          <w:pgNumType w:fmt="decimal"/>
          <w:cols w:space="720" w:num="1"/>
        </w:sectPr>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27"/>
        <w:ind w:left="0" w:leftChars="0" w:firstLine="0" w:firstLineChars="0"/>
        <w:rPr>
          <w:rFonts w:hint="default"/>
          <w:sz w:val="28"/>
          <w:lang w:val="en-US" w:eastAsia="zh-CN"/>
        </w:rPr>
      </w:pPr>
      <w:r>
        <w:rPr>
          <w:rFonts w:hint="eastAsia"/>
          <w:sz w:val="28"/>
          <w:lang w:val="en-US" w:eastAsia="zh-CN"/>
        </w:rPr>
        <w:t xml:space="preserve">  </w:t>
      </w:r>
    </w:p>
    <w:p>
      <w:pPr>
        <w:pStyle w:val="27"/>
        <w:numPr>
          <w:ilvl w:val="0"/>
          <w:numId w:val="0"/>
        </w:numPr>
        <w:ind w:left="909" w:leftChars="0" w:right="0" w:rightChars="0" w:firstLine="2240" w:firstLineChars="800"/>
        <w:jc w:val="both"/>
        <w:rPr>
          <w:rFonts w:hint="eastAsia"/>
          <w:sz w:val="28"/>
          <w:lang w:val="en-US" w:eastAsia="zh-CN"/>
        </w:rPr>
      </w:pPr>
      <w:r>
        <w:rPr>
          <w:rFonts w:hint="eastAsia"/>
          <w:sz w:val="28"/>
          <w:lang w:eastAsia="zh-CN"/>
        </w:rPr>
        <w:t>十二、</w:t>
      </w:r>
      <w:r>
        <w:rPr>
          <w:rFonts w:hint="eastAsia"/>
          <w:sz w:val="28"/>
          <w:lang w:val="en-US" w:eastAsia="zh-CN"/>
        </w:rPr>
        <w:t>项目管理机构</w:t>
      </w:r>
    </w:p>
    <w:p>
      <w:pPr>
        <w:pStyle w:val="27"/>
        <w:numPr>
          <w:ilvl w:val="0"/>
          <w:numId w:val="0"/>
        </w:numPr>
        <w:ind w:left="909" w:leftChars="0" w:right="0" w:rightChars="0"/>
        <w:jc w:val="both"/>
        <w:rPr>
          <w:rFonts w:hint="eastAsia"/>
          <w:sz w:val="28"/>
          <w:lang w:val="en-US" w:eastAsia="zh-CN"/>
        </w:rPr>
      </w:pPr>
    </w:p>
    <w:p>
      <w:pPr>
        <w:topLinePunct/>
        <w:jc w:val="center"/>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项目管理机构组成表</w:t>
      </w:r>
    </w:p>
    <w:p>
      <w:pPr>
        <w:jc w:val="center"/>
        <w:rPr>
          <w:rFonts w:hint="eastAsia" w:ascii="宋体" w:hAnsi="宋体"/>
          <w:b/>
          <w:sz w:val="28"/>
          <w:szCs w:val="28"/>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noWrap w:val="0"/>
            <w:vAlign w:val="center"/>
          </w:tcPr>
          <w:p>
            <w:pPr>
              <w:jc w:val="center"/>
              <w:rPr>
                <w:rFonts w:hint="eastAsia" w:ascii="宋体" w:hAnsi="宋体"/>
                <w:szCs w:val="21"/>
              </w:rPr>
            </w:pPr>
            <w:r>
              <w:rPr>
                <w:rFonts w:hint="eastAsia" w:ascii="宋体" w:hAnsi="宋体"/>
                <w:szCs w:val="21"/>
              </w:rPr>
              <w:t>职务</w:t>
            </w:r>
          </w:p>
        </w:tc>
        <w:tc>
          <w:tcPr>
            <w:tcW w:w="1153" w:type="dxa"/>
            <w:vMerge w:val="restart"/>
            <w:noWrap w:val="0"/>
            <w:vAlign w:val="center"/>
          </w:tcPr>
          <w:p>
            <w:pPr>
              <w:jc w:val="center"/>
              <w:rPr>
                <w:rFonts w:hint="eastAsia" w:ascii="宋体" w:hAnsi="宋体"/>
                <w:szCs w:val="21"/>
              </w:rPr>
            </w:pPr>
            <w:r>
              <w:rPr>
                <w:rFonts w:hint="eastAsia" w:ascii="宋体" w:hAnsi="宋体"/>
                <w:szCs w:val="21"/>
              </w:rPr>
              <w:t>姓名</w:t>
            </w:r>
          </w:p>
        </w:tc>
        <w:tc>
          <w:tcPr>
            <w:tcW w:w="929" w:type="dxa"/>
            <w:vMerge w:val="restart"/>
            <w:noWrap w:val="0"/>
            <w:vAlign w:val="center"/>
          </w:tcPr>
          <w:p>
            <w:pPr>
              <w:jc w:val="center"/>
              <w:rPr>
                <w:rFonts w:hint="eastAsia" w:ascii="宋体" w:hAnsi="宋体"/>
                <w:szCs w:val="21"/>
              </w:rPr>
            </w:pPr>
            <w:r>
              <w:rPr>
                <w:rFonts w:hint="eastAsia" w:ascii="宋体" w:hAnsi="宋体"/>
                <w:szCs w:val="21"/>
              </w:rPr>
              <w:t>职称</w:t>
            </w:r>
          </w:p>
        </w:tc>
        <w:tc>
          <w:tcPr>
            <w:tcW w:w="5244" w:type="dxa"/>
            <w:gridSpan w:val="5"/>
            <w:noWrap w:val="0"/>
            <w:vAlign w:val="center"/>
          </w:tcPr>
          <w:p>
            <w:pPr>
              <w:jc w:val="center"/>
              <w:rPr>
                <w:rFonts w:hint="eastAsia" w:ascii="宋体" w:hAnsi="宋体"/>
                <w:szCs w:val="21"/>
              </w:rPr>
            </w:pPr>
            <w:r>
              <w:rPr>
                <w:rFonts w:hint="eastAsia" w:ascii="宋体" w:hAnsi="宋体"/>
                <w:szCs w:val="21"/>
              </w:rPr>
              <w:t>执业或职业资格证明</w:t>
            </w:r>
          </w:p>
        </w:tc>
        <w:tc>
          <w:tcPr>
            <w:tcW w:w="742" w:type="dxa"/>
            <w:noWrap w:val="0"/>
            <w:vAlign w:val="center"/>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noWrap w:val="0"/>
            <w:vAlign w:val="center"/>
          </w:tcPr>
          <w:p>
            <w:pPr>
              <w:jc w:val="center"/>
              <w:rPr>
                <w:rFonts w:hint="eastAsia" w:ascii="宋体" w:hAnsi="宋体"/>
                <w:szCs w:val="21"/>
              </w:rPr>
            </w:pPr>
          </w:p>
        </w:tc>
        <w:tc>
          <w:tcPr>
            <w:tcW w:w="1153" w:type="dxa"/>
            <w:vMerge w:val="continue"/>
            <w:noWrap w:val="0"/>
            <w:vAlign w:val="center"/>
          </w:tcPr>
          <w:p>
            <w:pPr>
              <w:jc w:val="center"/>
              <w:rPr>
                <w:rFonts w:hint="eastAsia" w:ascii="宋体" w:hAnsi="宋体"/>
                <w:szCs w:val="21"/>
              </w:rPr>
            </w:pPr>
          </w:p>
        </w:tc>
        <w:tc>
          <w:tcPr>
            <w:tcW w:w="929" w:type="dxa"/>
            <w:vMerge w:val="continue"/>
            <w:noWrap w:val="0"/>
            <w:vAlign w:val="center"/>
          </w:tcPr>
          <w:p>
            <w:pPr>
              <w:jc w:val="center"/>
              <w:rPr>
                <w:rFonts w:hint="eastAsia" w:ascii="宋体" w:hAnsi="宋体"/>
                <w:szCs w:val="21"/>
              </w:rPr>
            </w:pPr>
          </w:p>
        </w:tc>
        <w:tc>
          <w:tcPr>
            <w:tcW w:w="1157" w:type="dxa"/>
            <w:noWrap w:val="0"/>
            <w:vAlign w:val="center"/>
          </w:tcPr>
          <w:p>
            <w:pPr>
              <w:jc w:val="center"/>
              <w:rPr>
                <w:rFonts w:hint="eastAsia" w:ascii="宋体" w:hAnsi="宋体"/>
                <w:szCs w:val="21"/>
              </w:rPr>
            </w:pPr>
            <w:r>
              <w:rPr>
                <w:rFonts w:hint="eastAsia" w:ascii="宋体" w:hAnsi="宋体"/>
                <w:szCs w:val="21"/>
              </w:rPr>
              <w:t>证书名称</w:t>
            </w:r>
          </w:p>
        </w:tc>
        <w:tc>
          <w:tcPr>
            <w:tcW w:w="803" w:type="dxa"/>
            <w:noWrap w:val="0"/>
            <w:vAlign w:val="center"/>
          </w:tcPr>
          <w:p>
            <w:pPr>
              <w:jc w:val="center"/>
              <w:rPr>
                <w:rFonts w:hint="eastAsia" w:ascii="宋体" w:hAnsi="宋体"/>
                <w:szCs w:val="21"/>
              </w:rPr>
            </w:pPr>
            <w:r>
              <w:rPr>
                <w:rFonts w:hint="eastAsia" w:ascii="宋体" w:hAnsi="宋体"/>
                <w:szCs w:val="21"/>
              </w:rPr>
              <w:t>级别</w:t>
            </w:r>
          </w:p>
        </w:tc>
        <w:tc>
          <w:tcPr>
            <w:tcW w:w="1317" w:type="dxa"/>
            <w:noWrap w:val="0"/>
            <w:vAlign w:val="center"/>
          </w:tcPr>
          <w:p>
            <w:pPr>
              <w:jc w:val="center"/>
              <w:rPr>
                <w:rFonts w:hint="eastAsia" w:ascii="宋体" w:hAnsi="宋体"/>
                <w:szCs w:val="21"/>
              </w:rPr>
            </w:pPr>
            <w:r>
              <w:rPr>
                <w:rFonts w:hint="eastAsia" w:ascii="宋体" w:hAnsi="宋体"/>
                <w:szCs w:val="21"/>
              </w:rPr>
              <w:t>证号</w:t>
            </w:r>
          </w:p>
        </w:tc>
        <w:tc>
          <w:tcPr>
            <w:tcW w:w="801" w:type="dxa"/>
            <w:noWrap w:val="0"/>
            <w:vAlign w:val="center"/>
          </w:tcPr>
          <w:p>
            <w:pPr>
              <w:jc w:val="center"/>
              <w:rPr>
                <w:rFonts w:hint="eastAsia" w:ascii="宋体" w:hAnsi="宋体"/>
                <w:szCs w:val="21"/>
              </w:rPr>
            </w:pPr>
            <w:r>
              <w:rPr>
                <w:rFonts w:hint="eastAsia" w:ascii="宋体" w:hAnsi="宋体"/>
                <w:szCs w:val="21"/>
              </w:rPr>
              <w:t>专业</w:t>
            </w:r>
          </w:p>
        </w:tc>
        <w:tc>
          <w:tcPr>
            <w:tcW w:w="1166" w:type="dxa"/>
            <w:noWrap w:val="0"/>
            <w:vAlign w:val="center"/>
          </w:tcPr>
          <w:p>
            <w:pPr>
              <w:ind w:right="114" w:rightChars="52"/>
              <w:jc w:val="center"/>
              <w:rPr>
                <w:rFonts w:hint="eastAsia" w:ascii="宋体" w:hAnsi="宋体"/>
                <w:szCs w:val="21"/>
              </w:rPr>
            </w:pPr>
            <w:r>
              <w:rPr>
                <w:rFonts w:hint="eastAsia" w:ascii="宋体" w:hAnsi="宋体"/>
                <w:szCs w:val="21"/>
              </w:rPr>
              <w:t>养老保险</w:t>
            </w:r>
          </w:p>
        </w:tc>
        <w:tc>
          <w:tcPr>
            <w:tcW w:w="742"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szCs w:val="21"/>
              </w:rPr>
            </w:pPr>
          </w:p>
        </w:tc>
        <w:tc>
          <w:tcPr>
            <w:tcW w:w="1153" w:type="dxa"/>
            <w:noWrap w:val="0"/>
            <w:vAlign w:val="center"/>
          </w:tcPr>
          <w:p>
            <w:pPr>
              <w:jc w:val="center"/>
              <w:rPr>
                <w:rFonts w:hint="eastAsia" w:ascii="宋体" w:hAnsi="宋体"/>
                <w:szCs w:val="21"/>
              </w:rPr>
            </w:pPr>
          </w:p>
        </w:tc>
        <w:tc>
          <w:tcPr>
            <w:tcW w:w="929" w:type="dxa"/>
            <w:noWrap w:val="0"/>
            <w:vAlign w:val="center"/>
          </w:tcPr>
          <w:p>
            <w:pPr>
              <w:jc w:val="center"/>
              <w:rPr>
                <w:rFonts w:hint="eastAsia" w:ascii="宋体" w:hAnsi="宋体"/>
                <w:szCs w:val="21"/>
              </w:rPr>
            </w:pPr>
          </w:p>
        </w:tc>
        <w:tc>
          <w:tcPr>
            <w:tcW w:w="1157" w:type="dxa"/>
            <w:noWrap w:val="0"/>
            <w:vAlign w:val="center"/>
          </w:tcPr>
          <w:p>
            <w:pPr>
              <w:jc w:val="center"/>
              <w:rPr>
                <w:rFonts w:hint="eastAsia" w:ascii="宋体" w:hAnsi="宋体"/>
                <w:szCs w:val="21"/>
              </w:rPr>
            </w:pPr>
          </w:p>
        </w:tc>
        <w:tc>
          <w:tcPr>
            <w:tcW w:w="803" w:type="dxa"/>
            <w:noWrap w:val="0"/>
            <w:vAlign w:val="center"/>
          </w:tcPr>
          <w:p>
            <w:pPr>
              <w:jc w:val="center"/>
              <w:rPr>
                <w:rFonts w:hint="eastAsia" w:ascii="宋体" w:hAnsi="宋体"/>
                <w:szCs w:val="21"/>
              </w:rPr>
            </w:pPr>
          </w:p>
        </w:tc>
        <w:tc>
          <w:tcPr>
            <w:tcW w:w="1317" w:type="dxa"/>
            <w:noWrap w:val="0"/>
            <w:vAlign w:val="center"/>
          </w:tcPr>
          <w:p>
            <w:pPr>
              <w:jc w:val="center"/>
              <w:rPr>
                <w:rFonts w:hint="eastAsia" w:ascii="宋体" w:hAnsi="宋体"/>
                <w:szCs w:val="21"/>
              </w:rPr>
            </w:pPr>
          </w:p>
        </w:tc>
        <w:tc>
          <w:tcPr>
            <w:tcW w:w="801" w:type="dxa"/>
            <w:noWrap w:val="0"/>
            <w:vAlign w:val="center"/>
          </w:tcPr>
          <w:p>
            <w:pPr>
              <w:jc w:val="center"/>
              <w:rPr>
                <w:rFonts w:hint="eastAsia" w:ascii="宋体" w:hAnsi="宋体"/>
                <w:szCs w:val="21"/>
              </w:rPr>
            </w:pPr>
          </w:p>
        </w:tc>
        <w:tc>
          <w:tcPr>
            <w:tcW w:w="1166" w:type="dxa"/>
            <w:noWrap w:val="0"/>
            <w:vAlign w:val="center"/>
          </w:tcPr>
          <w:p>
            <w:pPr>
              <w:jc w:val="center"/>
              <w:rPr>
                <w:rFonts w:hint="eastAsia" w:ascii="宋体" w:hAnsi="宋体"/>
                <w:szCs w:val="21"/>
              </w:rPr>
            </w:pPr>
          </w:p>
        </w:tc>
        <w:tc>
          <w:tcPr>
            <w:tcW w:w="742"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8" w:type="dxa"/>
            <w:noWrap w:val="0"/>
            <w:vAlign w:val="center"/>
          </w:tcPr>
          <w:p>
            <w:pPr>
              <w:jc w:val="center"/>
              <w:rPr>
                <w:rFonts w:hint="eastAsia" w:ascii="宋体" w:hAnsi="宋体"/>
                <w:bCs/>
                <w:szCs w:val="21"/>
              </w:rPr>
            </w:pPr>
          </w:p>
        </w:tc>
        <w:tc>
          <w:tcPr>
            <w:tcW w:w="1153" w:type="dxa"/>
            <w:noWrap w:val="0"/>
            <w:vAlign w:val="center"/>
          </w:tcPr>
          <w:p>
            <w:pPr>
              <w:jc w:val="center"/>
              <w:rPr>
                <w:rFonts w:hint="eastAsia" w:ascii="宋体" w:hAnsi="宋体"/>
                <w:szCs w:val="21"/>
              </w:rPr>
            </w:pPr>
          </w:p>
        </w:tc>
        <w:tc>
          <w:tcPr>
            <w:tcW w:w="929" w:type="dxa"/>
            <w:noWrap w:val="0"/>
            <w:vAlign w:val="center"/>
          </w:tcPr>
          <w:p>
            <w:pPr>
              <w:jc w:val="center"/>
              <w:rPr>
                <w:rFonts w:hint="eastAsia" w:ascii="宋体" w:hAnsi="宋体"/>
                <w:szCs w:val="21"/>
              </w:rPr>
            </w:pPr>
          </w:p>
        </w:tc>
        <w:tc>
          <w:tcPr>
            <w:tcW w:w="1157" w:type="dxa"/>
            <w:noWrap w:val="0"/>
            <w:vAlign w:val="center"/>
          </w:tcPr>
          <w:p>
            <w:pPr>
              <w:jc w:val="center"/>
              <w:rPr>
                <w:rFonts w:hint="eastAsia" w:ascii="宋体" w:hAnsi="宋体"/>
                <w:szCs w:val="21"/>
              </w:rPr>
            </w:pPr>
          </w:p>
        </w:tc>
        <w:tc>
          <w:tcPr>
            <w:tcW w:w="803" w:type="dxa"/>
            <w:noWrap w:val="0"/>
            <w:vAlign w:val="center"/>
          </w:tcPr>
          <w:p>
            <w:pPr>
              <w:jc w:val="center"/>
              <w:rPr>
                <w:rFonts w:hint="eastAsia" w:ascii="宋体" w:hAnsi="宋体"/>
                <w:szCs w:val="21"/>
              </w:rPr>
            </w:pPr>
          </w:p>
        </w:tc>
        <w:tc>
          <w:tcPr>
            <w:tcW w:w="1317" w:type="dxa"/>
            <w:noWrap w:val="0"/>
            <w:vAlign w:val="center"/>
          </w:tcPr>
          <w:p>
            <w:pPr>
              <w:jc w:val="center"/>
              <w:rPr>
                <w:rFonts w:hint="eastAsia" w:ascii="宋体" w:hAnsi="宋体"/>
                <w:szCs w:val="21"/>
              </w:rPr>
            </w:pPr>
          </w:p>
        </w:tc>
        <w:tc>
          <w:tcPr>
            <w:tcW w:w="801" w:type="dxa"/>
            <w:noWrap w:val="0"/>
            <w:vAlign w:val="center"/>
          </w:tcPr>
          <w:p>
            <w:pPr>
              <w:jc w:val="center"/>
              <w:rPr>
                <w:rFonts w:hint="eastAsia" w:ascii="宋体" w:hAnsi="宋体"/>
                <w:szCs w:val="21"/>
              </w:rPr>
            </w:pPr>
          </w:p>
        </w:tc>
        <w:tc>
          <w:tcPr>
            <w:tcW w:w="1166" w:type="dxa"/>
            <w:noWrap w:val="0"/>
            <w:vAlign w:val="center"/>
          </w:tcPr>
          <w:p>
            <w:pPr>
              <w:jc w:val="center"/>
              <w:rPr>
                <w:rFonts w:hint="eastAsia" w:ascii="宋体" w:hAnsi="宋体"/>
                <w:szCs w:val="21"/>
              </w:rPr>
            </w:pPr>
          </w:p>
        </w:tc>
        <w:tc>
          <w:tcPr>
            <w:tcW w:w="742"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ind w:left="0" w:leftChars="0" w:right="0" w:rightChars="0"/>
              <w:jc w:val="center"/>
              <w:rPr>
                <w:rFonts w:hint="eastAsia" w:ascii="宋体" w:hAnsi="宋体" w:eastAsia="仿宋" w:cs="仿宋"/>
                <w:bCs/>
                <w:sz w:val="22"/>
                <w:szCs w:val="21"/>
                <w:lang w:val="zh-CN" w:eastAsia="zh-CN" w:bidi="zh-CN"/>
              </w:rPr>
            </w:pP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ind w:left="0" w:leftChars="0" w:right="0" w:rightChars="0"/>
              <w:jc w:val="center"/>
              <w:rPr>
                <w:rFonts w:hint="eastAsia" w:ascii="宋体" w:hAnsi="宋体" w:eastAsia="仿宋" w:cs="仿宋"/>
                <w:bCs/>
                <w:sz w:val="22"/>
                <w:szCs w:val="21"/>
                <w:lang w:val="zh-CN" w:eastAsia="zh-CN" w:bidi="zh-CN"/>
              </w:rPr>
            </w:pP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ind w:left="0" w:leftChars="0" w:right="0" w:rightChars="0"/>
              <w:jc w:val="center"/>
              <w:rPr>
                <w:rFonts w:hint="eastAsia" w:ascii="宋体" w:hAnsi="宋体" w:eastAsia="仿宋" w:cs="仿宋"/>
                <w:bCs/>
                <w:sz w:val="22"/>
                <w:szCs w:val="21"/>
                <w:lang w:val="zh-CN" w:eastAsia="zh-CN" w:bidi="zh-CN"/>
              </w:rPr>
            </w:pP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8" w:type="dxa"/>
            <w:noWrap w:val="0"/>
            <w:vAlign w:val="center"/>
          </w:tcPr>
          <w:p>
            <w:pPr>
              <w:ind w:left="0" w:leftChars="0" w:right="0" w:rightChars="0"/>
              <w:jc w:val="center"/>
              <w:rPr>
                <w:rFonts w:hint="eastAsia" w:ascii="宋体" w:hAnsi="宋体" w:eastAsia="仿宋" w:cs="仿宋"/>
                <w:bCs/>
                <w:sz w:val="22"/>
                <w:szCs w:val="21"/>
                <w:lang w:val="zh-CN" w:eastAsia="zh-CN" w:bidi="zh-CN"/>
              </w:rPr>
            </w:pP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ind w:left="0" w:leftChars="0" w:right="0" w:rightChars="0"/>
              <w:jc w:val="center"/>
              <w:rPr>
                <w:rFonts w:hint="eastAsia" w:ascii="宋体" w:hAnsi="宋体" w:eastAsia="仿宋" w:cs="仿宋"/>
                <w:bCs/>
                <w:sz w:val="22"/>
                <w:szCs w:val="21"/>
                <w:lang w:val="zh-CN" w:eastAsia="zh-CN" w:bidi="zh-CN"/>
              </w:rPr>
            </w:pP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ind w:left="0" w:leftChars="0" w:right="0" w:rightChars="0"/>
              <w:jc w:val="center"/>
              <w:rPr>
                <w:rFonts w:hint="eastAsia" w:ascii="宋体" w:hAnsi="宋体" w:eastAsia="仿宋" w:cs="仿宋"/>
                <w:bCs/>
                <w:sz w:val="22"/>
                <w:szCs w:val="21"/>
                <w:lang w:val="zh-CN" w:eastAsia="zh-CN" w:bidi="zh-CN"/>
              </w:rPr>
            </w:pP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jc w:val="center"/>
              <w:rPr>
                <w:rFonts w:ascii="宋体" w:hAnsi="宋体"/>
                <w:szCs w:val="21"/>
              </w:rPr>
            </w:pP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8" w:type="dxa"/>
            <w:noWrap w:val="0"/>
            <w:vAlign w:val="top"/>
          </w:tcPr>
          <w:p>
            <w:pPr>
              <w:jc w:val="center"/>
              <w:rPr>
                <w:rFonts w:hint="eastAsia" w:ascii="宋体" w:hAnsi="宋体"/>
                <w:szCs w:val="21"/>
              </w:rPr>
            </w:pP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jc w:val="center"/>
              <w:rPr>
                <w:rFonts w:hint="eastAsia" w:ascii="宋体" w:hAnsi="宋体"/>
                <w:szCs w:val="21"/>
              </w:rPr>
            </w:pPr>
          </w:p>
        </w:tc>
        <w:tc>
          <w:tcPr>
            <w:tcW w:w="1153" w:type="dxa"/>
            <w:noWrap w:val="0"/>
            <w:vAlign w:val="top"/>
          </w:tcPr>
          <w:p>
            <w:pPr>
              <w:jc w:val="center"/>
              <w:rPr>
                <w:rFonts w:hint="eastAsia" w:ascii="宋体" w:hAnsi="宋体"/>
                <w:szCs w:val="21"/>
              </w:rPr>
            </w:pPr>
          </w:p>
        </w:tc>
        <w:tc>
          <w:tcPr>
            <w:tcW w:w="929" w:type="dxa"/>
            <w:noWrap w:val="0"/>
            <w:vAlign w:val="top"/>
          </w:tcPr>
          <w:p>
            <w:pPr>
              <w:jc w:val="center"/>
              <w:rPr>
                <w:rFonts w:hint="eastAsia" w:ascii="宋体" w:hAnsi="宋体"/>
                <w:szCs w:val="21"/>
              </w:rPr>
            </w:pPr>
          </w:p>
        </w:tc>
        <w:tc>
          <w:tcPr>
            <w:tcW w:w="1157" w:type="dxa"/>
            <w:noWrap w:val="0"/>
            <w:vAlign w:val="top"/>
          </w:tcPr>
          <w:p>
            <w:pPr>
              <w:jc w:val="center"/>
              <w:rPr>
                <w:rFonts w:hint="eastAsia" w:ascii="宋体" w:hAnsi="宋体"/>
                <w:szCs w:val="21"/>
              </w:rPr>
            </w:pPr>
          </w:p>
        </w:tc>
        <w:tc>
          <w:tcPr>
            <w:tcW w:w="803" w:type="dxa"/>
            <w:noWrap w:val="0"/>
            <w:vAlign w:val="top"/>
          </w:tcPr>
          <w:p>
            <w:pPr>
              <w:jc w:val="center"/>
              <w:rPr>
                <w:rFonts w:hint="eastAsia" w:ascii="宋体" w:hAnsi="宋体"/>
                <w:szCs w:val="21"/>
              </w:rPr>
            </w:pPr>
          </w:p>
        </w:tc>
        <w:tc>
          <w:tcPr>
            <w:tcW w:w="1317" w:type="dxa"/>
            <w:noWrap w:val="0"/>
            <w:vAlign w:val="top"/>
          </w:tcPr>
          <w:p>
            <w:pPr>
              <w:jc w:val="center"/>
              <w:rPr>
                <w:rFonts w:hint="eastAsia" w:ascii="宋体" w:hAnsi="宋体"/>
                <w:szCs w:val="21"/>
              </w:rPr>
            </w:pPr>
          </w:p>
        </w:tc>
        <w:tc>
          <w:tcPr>
            <w:tcW w:w="801" w:type="dxa"/>
            <w:noWrap w:val="0"/>
            <w:vAlign w:val="top"/>
          </w:tcPr>
          <w:p>
            <w:pPr>
              <w:jc w:val="center"/>
              <w:rPr>
                <w:rFonts w:hint="eastAsia" w:ascii="宋体" w:hAnsi="宋体"/>
                <w:szCs w:val="21"/>
              </w:rPr>
            </w:pPr>
          </w:p>
        </w:tc>
        <w:tc>
          <w:tcPr>
            <w:tcW w:w="1166" w:type="dxa"/>
            <w:noWrap w:val="0"/>
            <w:vAlign w:val="top"/>
          </w:tcPr>
          <w:p>
            <w:pPr>
              <w:jc w:val="center"/>
              <w:rPr>
                <w:rFonts w:hint="eastAsia" w:ascii="宋体" w:hAnsi="宋体"/>
                <w:szCs w:val="21"/>
              </w:rPr>
            </w:pPr>
          </w:p>
        </w:tc>
        <w:tc>
          <w:tcPr>
            <w:tcW w:w="742" w:type="dxa"/>
            <w:noWrap w:val="0"/>
            <w:vAlign w:val="top"/>
          </w:tcPr>
          <w:p>
            <w:pPr>
              <w:jc w:val="center"/>
              <w:rPr>
                <w:rFonts w:hint="eastAsia" w:ascii="宋体" w:hAnsi="宋体"/>
                <w:szCs w:val="21"/>
              </w:rPr>
            </w:pPr>
          </w:p>
        </w:tc>
      </w:tr>
    </w:tbl>
    <w:p>
      <w:pPr>
        <w:rPr>
          <w:rFonts w:hint="eastAsia" w:ascii="宋体" w:hAnsi="宋体"/>
          <w:sz w:val="24"/>
          <w:szCs w:val="21"/>
        </w:rPr>
      </w:pPr>
    </w:p>
    <w:p>
      <w:pPr>
        <w:rPr>
          <w:rFonts w:hint="eastAsia" w:ascii="宋体" w:hAnsi="宋体"/>
          <w:kern w:val="0"/>
          <w:sz w:val="24"/>
          <w:szCs w:val="21"/>
        </w:rPr>
      </w:pPr>
      <w:r>
        <w:rPr>
          <w:rFonts w:hint="eastAsia" w:ascii="宋体" w:hAnsi="宋体"/>
          <w:kern w:val="0"/>
          <w:sz w:val="24"/>
          <w:szCs w:val="21"/>
        </w:rPr>
        <w:t xml:space="preserve">    </w:t>
      </w:r>
    </w:p>
    <w:p>
      <w:pPr>
        <w:ind w:left="-2" w:leftChars="-28" w:hanging="60"/>
        <w:rPr>
          <w:rFonts w:hint="eastAsia" w:ascii="宋体" w:hAnsi="宋体"/>
          <w:iCs/>
          <w:sz w:val="24"/>
          <w:szCs w:val="21"/>
        </w:rPr>
      </w:pPr>
      <w:r>
        <w:rPr>
          <w:rFonts w:hint="eastAsia" w:ascii="宋体" w:hAnsi="宋体"/>
          <w:iCs/>
          <w:sz w:val="24"/>
          <w:szCs w:val="21"/>
        </w:rPr>
        <w:t>注：</w:t>
      </w:r>
    </w:p>
    <w:p>
      <w:pPr>
        <w:ind w:left="-2" w:leftChars="-28" w:hanging="60"/>
        <w:rPr>
          <w:rFonts w:hint="eastAsia" w:ascii="宋体" w:hAnsi="宋体"/>
          <w:iCs/>
          <w:sz w:val="24"/>
          <w:szCs w:val="21"/>
        </w:rPr>
      </w:pPr>
      <w:r>
        <w:rPr>
          <w:rFonts w:hint="eastAsia" w:ascii="宋体" w:hAnsi="宋体"/>
          <w:iCs/>
          <w:sz w:val="24"/>
          <w:szCs w:val="21"/>
        </w:rPr>
        <w:t>1、此表格可扩展</w:t>
      </w:r>
    </w:p>
    <w:p>
      <w:pPr>
        <w:ind w:left="-2" w:leftChars="-28" w:hanging="60"/>
        <w:rPr>
          <w:rFonts w:hint="eastAsia" w:ascii="宋体" w:hAnsi="宋体"/>
          <w:iCs/>
          <w:sz w:val="24"/>
          <w:szCs w:val="21"/>
        </w:rPr>
      </w:pPr>
      <w:r>
        <w:rPr>
          <w:rFonts w:hint="eastAsia" w:ascii="宋体" w:hAnsi="宋体"/>
          <w:iCs/>
          <w:sz w:val="24"/>
          <w:szCs w:val="21"/>
          <w:lang w:val="en-US" w:eastAsia="zh-CN"/>
        </w:rPr>
        <w:t>2、</w:t>
      </w:r>
      <w:r>
        <w:rPr>
          <w:rFonts w:hint="eastAsia" w:ascii="宋体" w:hAnsi="宋体"/>
          <w:iCs/>
          <w:sz w:val="24"/>
          <w:szCs w:val="21"/>
        </w:rPr>
        <w:t>投标人需随此表附上主要管理人员的资格证书；</w:t>
      </w:r>
    </w:p>
    <w:p>
      <w:pPr>
        <w:ind w:left="-2" w:leftChars="-28" w:hanging="60"/>
        <w:rPr>
          <w:rFonts w:hint="default" w:ascii="宋体" w:hAnsi="宋体"/>
          <w:iCs/>
          <w:sz w:val="24"/>
          <w:szCs w:val="21"/>
          <w:lang w:val="en-US" w:eastAsia="zh-CN"/>
        </w:rPr>
        <w:sectPr>
          <w:footerReference r:id="rId14" w:type="default"/>
          <w:pgSz w:w="11910" w:h="16840"/>
          <w:pgMar w:top="1400" w:right="1134" w:bottom="1260" w:left="1310" w:header="998" w:footer="1078" w:gutter="0"/>
          <w:pgNumType w:fmt="decimal"/>
          <w:cols w:space="720" w:num="1"/>
        </w:sectPr>
      </w:pPr>
      <w:r>
        <w:rPr>
          <w:rFonts w:hint="eastAsia" w:ascii="宋体" w:hAnsi="宋体"/>
          <w:iCs/>
          <w:sz w:val="24"/>
          <w:szCs w:val="21"/>
          <w:lang w:val="en-US" w:eastAsia="zh-CN"/>
        </w:rPr>
        <w:t>4.</w:t>
      </w:r>
      <w:r>
        <w:rPr>
          <w:rFonts w:hint="default" w:ascii="宋体" w:hAnsi="宋体"/>
          <w:iCs/>
          <w:sz w:val="24"/>
          <w:szCs w:val="21"/>
          <w:lang w:val="en-US" w:eastAsia="zh-CN"/>
        </w:rPr>
        <w:t>本</w:t>
      </w:r>
      <w:r>
        <w:rPr>
          <w:rFonts w:hint="eastAsia" w:ascii="宋体" w:hAnsi="宋体"/>
          <w:iCs/>
          <w:sz w:val="24"/>
          <w:szCs w:val="21"/>
          <w:lang w:val="en-US" w:eastAsia="zh-CN"/>
        </w:rPr>
        <w:t>项目</w:t>
      </w:r>
      <w:r>
        <w:rPr>
          <w:rFonts w:hint="default" w:ascii="宋体" w:hAnsi="宋体"/>
          <w:iCs/>
          <w:sz w:val="24"/>
          <w:szCs w:val="21"/>
          <w:lang w:val="en-US" w:eastAsia="zh-CN"/>
        </w:rPr>
        <w:t>一旦我单位中标，将配备上述项目管理人员。上述填报内容真实，如不真实，将按照有关规定接受处理</w:t>
      </w:r>
    </w:p>
    <w:p>
      <w:pPr>
        <w:jc w:val="both"/>
        <w:rPr>
          <w:rFonts w:hint="eastAsia" w:ascii="宋体" w:hAnsi="宋体"/>
          <w:sz w:val="28"/>
          <w:szCs w:val="28"/>
        </w:rPr>
      </w:pPr>
    </w:p>
    <w:p>
      <w:pPr>
        <w:jc w:val="center"/>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项目负责人简历表</w:t>
      </w:r>
    </w:p>
    <w:p>
      <w:pPr>
        <w:jc w:val="center"/>
        <w:rPr>
          <w:rFonts w:hint="eastAsia" w:ascii="宋体" w:hAnsi="宋体"/>
          <w:sz w:val="28"/>
          <w:szCs w:val="28"/>
        </w:rPr>
      </w:pPr>
    </w:p>
    <w:p>
      <w:pPr>
        <w:ind w:firstLine="480" w:firstLineChars="200"/>
        <w:rPr>
          <w:rFonts w:hint="eastAsia" w:ascii="宋体" w:hAnsi="宋体" w:eastAsia="仿宋"/>
          <w:sz w:val="24"/>
          <w:szCs w:val="21"/>
          <w:lang w:eastAsia="zh-CN"/>
        </w:rPr>
      </w:pPr>
      <w:r>
        <w:rPr>
          <w:rFonts w:hint="eastAsia" w:ascii="宋体" w:hAnsi="宋体"/>
          <w:sz w:val="24"/>
          <w:szCs w:val="21"/>
        </w:rPr>
        <w:t>项目负责人应附身份证、职称证、学历证、养老保险复印件</w:t>
      </w:r>
      <w:r>
        <w:rPr>
          <w:rFonts w:hint="eastAsia" w:ascii="宋体" w:hAnsi="宋体"/>
          <w:sz w:val="24"/>
          <w:szCs w:val="21"/>
          <w:lang w:eastAsia="zh-CN"/>
        </w:rPr>
        <w:t>等</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1035"/>
        <w:gridCol w:w="1134"/>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pPr>
              <w:jc w:val="center"/>
              <w:rPr>
                <w:rFonts w:hint="eastAsia" w:ascii="宋体" w:hAnsi="宋体"/>
                <w:szCs w:val="21"/>
              </w:rPr>
            </w:pPr>
            <w:r>
              <w:rPr>
                <w:rFonts w:hint="eastAsia" w:ascii="宋体" w:hAnsi="宋体"/>
                <w:szCs w:val="21"/>
              </w:rPr>
              <w:t>姓  名</w:t>
            </w:r>
          </w:p>
        </w:tc>
        <w:tc>
          <w:tcPr>
            <w:tcW w:w="1035" w:type="dxa"/>
            <w:noWrap w:val="0"/>
            <w:vAlign w:val="center"/>
          </w:tcPr>
          <w:p>
            <w:pPr>
              <w:jc w:val="center"/>
              <w:rPr>
                <w:rFonts w:hint="eastAsia" w:ascii="宋体" w:hAnsi="宋体"/>
                <w:szCs w:val="21"/>
              </w:rPr>
            </w:pPr>
          </w:p>
        </w:tc>
        <w:tc>
          <w:tcPr>
            <w:tcW w:w="1134" w:type="dxa"/>
            <w:noWrap w:val="0"/>
            <w:vAlign w:val="center"/>
          </w:tcPr>
          <w:p>
            <w:pPr>
              <w:jc w:val="center"/>
              <w:rPr>
                <w:rFonts w:hint="eastAsia" w:ascii="宋体" w:hAnsi="宋体"/>
                <w:szCs w:val="21"/>
              </w:rPr>
            </w:pPr>
            <w:r>
              <w:rPr>
                <w:rFonts w:hint="eastAsia" w:ascii="宋体" w:hAnsi="宋体"/>
                <w:szCs w:val="21"/>
              </w:rPr>
              <w:t>年  龄</w:t>
            </w: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r>
              <w:rPr>
                <w:rFonts w:hint="eastAsia" w:ascii="宋体" w:hAnsi="宋体"/>
                <w:szCs w:val="21"/>
              </w:rPr>
              <w:t>学历</w:t>
            </w:r>
          </w:p>
        </w:tc>
        <w:tc>
          <w:tcPr>
            <w:tcW w:w="2126"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pPr>
              <w:jc w:val="center"/>
              <w:rPr>
                <w:rFonts w:hint="eastAsia" w:ascii="宋体" w:hAnsi="宋体"/>
                <w:szCs w:val="21"/>
              </w:rPr>
            </w:pPr>
            <w:r>
              <w:rPr>
                <w:rFonts w:hint="eastAsia" w:ascii="宋体" w:hAnsi="宋体"/>
                <w:szCs w:val="21"/>
              </w:rPr>
              <w:t>职  称</w:t>
            </w:r>
          </w:p>
        </w:tc>
        <w:tc>
          <w:tcPr>
            <w:tcW w:w="1035" w:type="dxa"/>
            <w:noWrap w:val="0"/>
            <w:vAlign w:val="center"/>
          </w:tcPr>
          <w:p>
            <w:pPr>
              <w:jc w:val="center"/>
              <w:rPr>
                <w:rFonts w:hint="eastAsia" w:ascii="宋体" w:hAnsi="宋体"/>
                <w:szCs w:val="21"/>
              </w:rPr>
            </w:pPr>
          </w:p>
        </w:tc>
        <w:tc>
          <w:tcPr>
            <w:tcW w:w="1134" w:type="dxa"/>
            <w:noWrap w:val="0"/>
            <w:vAlign w:val="center"/>
          </w:tcPr>
          <w:p>
            <w:pPr>
              <w:jc w:val="center"/>
              <w:rPr>
                <w:rFonts w:hint="eastAsia" w:ascii="宋体" w:hAnsi="宋体"/>
                <w:szCs w:val="21"/>
              </w:rPr>
            </w:pPr>
            <w:r>
              <w:rPr>
                <w:rFonts w:hint="eastAsia" w:ascii="宋体" w:hAnsi="宋体"/>
                <w:szCs w:val="21"/>
              </w:rPr>
              <w:t>职  务</w:t>
            </w: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r>
              <w:rPr>
                <w:rFonts w:hint="eastAsia" w:ascii="宋体" w:hAnsi="宋体"/>
                <w:szCs w:val="21"/>
              </w:rPr>
              <w:t>拟在本工程任职</w:t>
            </w:r>
          </w:p>
        </w:tc>
        <w:tc>
          <w:tcPr>
            <w:tcW w:w="2126" w:type="dxa"/>
            <w:noWrap w:val="0"/>
            <w:vAlign w:val="center"/>
          </w:tcPr>
          <w:p>
            <w:pPr>
              <w:jc w:val="center"/>
              <w:rPr>
                <w:rFonts w:hint="eastAsia" w:ascii="宋体" w:hAnsi="宋体"/>
                <w:szCs w:val="21"/>
              </w:rPr>
            </w:pPr>
            <w:r>
              <w:rPr>
                <w:rFonts w:hint="eastAsia" w:ascii="宋体" w:hAnsi="宋体"/>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宋体" w:hAnsi="宋体"/>
                <w:szCs w:val="21"/>
              </w:rPr>
            </w:pPr>
            <w:r>
              <w:rPr>
                <w:rFonts w:hint="eastAsia" w:ascii="宋体" w:hAnsi="宋体"/>
                <w:szCs w:val="21"/>
              </w:rPr>
              <w:t>毕业学校</w:t>
            </w:r>
          </w:p>
        </w:tc>
        <w:tc>
          <w:tcPr>
            <w:tcW w:w="7920" w:type="dxa"/>
            <w:gridSpan w:val="8"/>
            <w:noWrap w:val="0"/>
            <w:vAlign w:val="center"/>
          </w:tcPr>
          <w:p>
            <w:pPr>
              <w:jc w:val="center"/>
              <w:rPr>
                <w:rFonts w:hint="eastAsia"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9"/>
            <w:noWrap w:val="0"/>
            <w:vAlign w:val="center"/>
          </w:tcPr>
          <w:p>
            <w:pPr>
              <w:jc w:val="center"/>
              <w:rPr>
                <w:rFonts w:hint="eastAsia" w:ascii="宋体" w:hAns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宋体" w:hAnsi="宋体"/>
                <w:szCs w:val="21"/>
              </w:rPr>
            </w:pPr>
            <w:r>
              <w:rPr>
                <w:rFonts w:hint="eastAsia" w:ascii="宋体" w:hAnsi="宋体"/>
                <w:szCs w:val="21"/>
              </w:rPr>
              <w:t>时  间</w:t>
            </w:r>
          </w:p>
        </w:tc>
        <w:tc>
          <w:tcPr>
            <w:tcW w:w="3444" w:type="dxa"/>
            <w:gridSpan w:val="4"/>
            <w:noWrap w:val="0"/>
            <w:vAlign w:val="center"/>
          </w:tcPr>
          <w:p>
            <w:pPr>
              <w:jc w:val="center"/>
              <w:rPr>
                <w:rFonts w:hint="eastAsia" w:ascii="宋体" w:hAnsi="宋体"/>
                <w:szCs w:val="21"/>
              </w:rPr>
            </w:pPr>
            <w:r>
              <w:rPr>
                <w:rFonts w:hint="eastAsia" w:ascii="宋体" w:hAnsi="宋体"/>
                <w:szCs w:val="21"/>
              </w:rPr>
              <w:t>参加过的类似项目名称</w:t>
            </w:r>
          </w:p>
        </w:tc>
        <w:tc>
          <w:tcPr>
            <w:tcW w:w="1843" w:type="dxa"/>
            <w:gridSpan w:val="2"/>
            <w:noWrap w:val="0"/>
            <w:vAlign w:val="center"/>
          </w:tcPr>
          <w:p>
            <w:pPr>
              <w:jc w:val="center"/>
              <w:rPr>
                <w:rFonts w:hint="eastAsia" w:ascii="宋体" w:hAnsi="宋体"/>
                <w:szCs w:val="21"/>
              </w:rPr>
            </w:pPr>
            <w:r>
              <w:rPr>
                <w:rFonts w:hint="eastAsia" w:ascii="宋体" w:hAnsi="宋体"/>
                <w:szCs w:val="21"/>
              </w:rPr>
              <w:t>工程概况说明</w:t>
            </w:r>
          </w:p>
        </w:tc>
        <w:tc>
          <w:tcPr>
            <w:tcW w:w="2633" w:type="dxa"/>
            <w:gridSpan w:val="2"/>
            <w:noWrap w:val="0"/>
            <w:vAlign w:val="center"/>
          </w:tcPr>
          <w:p>
            <w:pPr>
              <w:jc w:val="center"/>
              <w:rPr>
                <w:rFonts w:hint="eastAsia" w:ascii="宋体" w:hAnsi="宋体"/>
                <w:szCs w:val="21"/>
              </w:rPr>
            </w:pPr>
            <w:r>
              <w:rPr>
                <w:rFonts w:hint="eastAsia" w:ascii="宋体" w:hAnsi="宋体"/>
                <w:szCs w:val="21"/>
                <w:lang w:eastAsia="zh-CN"/>
              </w:rPr>
              <w:t>采购人</w:t>
            </w: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3444" w:type="dxa"/>
            <w:gridSpan w:val="4"/>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3444" w:type="dxa"/>
            <w:gridSpan w:val="4"/>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3444" w:type="dxa"/>
            <w:gridSpan w:val="4"/>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3444" w:type="dxa"/>
            <w:gridSpan w:val="4"/>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3444" w:type="dxa"/>
            <w:gridSpan w:val="4"/>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3444" w:type="dxa"/>
            <w:gridSpan w:val="4"/>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3444" w:type="dxa"/>
            <w:gridSpan w:val="4"/>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bl>
    <w:p>
      <w:pPr>
        <w:ind w:left="-2" w:leftChars="-28" w:hanging="60"/>
        <w:rPr>
          <w:rFonts w:hint="eastAsia" w:ascii="宋体" w:hAnsi="宋体"/>
          <w:iCs/>
          <w:szCs w:val="21"/>
        </w:rPr>
      </w:pPr>
    </w:p>
    <w:p>
      <w:pPr>
        <w:ind w:left="-2" w:leftChars="-28" w:hanging="60"/>
        <w:rPr>
          <w:rFonts w:hint="eastAsia" w:ascii="宋体" w:hAnsi="宋体"/>
          <w:iCs/>
          <w:szCs w:val="21"/>
        </w:rPr>
      </w:pPr>
      <w:r>
        <w:rPr>
          <w:rFonts w:hint="eastAsia" w:ascii="宋体" w:hAnsi="宋体"/>
          <w:iCs/>
          <w:sz w:val="24"/>
          <w:szCs w:val="21"/>
        </w:rPr>
        <w:t>注：本</w:t>
      </w:r>
      <w:r>
        <w:rPr>
          <w:rFonts w:hint="eastAsia" w:ascii="宋体" w:hAnsi="宋体"/>
          <w:iCs/>
          <w:sz w:val="24"/>
          <w:szCs w:val="21"/>
          <w:lang w:val="en-US" w:eastAsia="zh-CN"/>
        </w:rPr>
        <w:t>项目</w:t>
      </w:r>
      <w:r>
        <w:rPr>
          <w:rFonts w:hint="eastAsia" w:ascii="宋体" w:hAnsi="宋体"/>
          <w:iCs/>
          <w:sz w:val="24"/>
          <w:szCs w:val="21"/>
        </w:rPr>
        <w:t>一旦我单位中标，将配备上述项目管理人员。上述填报内容真实， 如不真实，将按照有关规定接受处理。</w:t>
      </w:r>
    </w:p>
    <w:p>
      <w:pPr>
        <w:pStyle w:val="27"/>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7"/>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pStyle w:val="27"/>
        <w:widowControl w:val="0"/>
        <w:numPr>
          <w:ilvl w:val="0"/>
          <w:numId w:val="0"/>
        </w:numPr>
        <w:autoSpaceDE w:val="0"/>
        <w:autoSpaceDN w:val="0"/>
        <w:spacing w:before="0" w:after="0" w:line="360" w:lineRule="atLeast"/>
        <w:ind w:right="0" w:rightChars="0"/>
        <w:jc w:val="both"/>
        <w:textAlignment w:val="baseline"/>
        <w:rPr>
          <w:rFonts w:hint="default"/>
          <w:lang w:val="en-US" w:eastAsia="zh-CN"/>
        </w:rPr>
      </w:pPr>
    </w:p>
    <w:p>
      <w:pPr>
        <w:spacing w:before="218"/>
        <w:ind w:right="429"/>
        <w:jc w:val="both"/>
        <w:rPr>
          <w:sz w:val="28"/>
        </w:rPr>
      </w:pPr>
    </w:p>
    <w:p>
      <w:pPr>
        <w:pStyle w:val="2"/>
        <w:rPr>
          <w:sz w:val="28"/>
        </w:rPr>
      </w:pPr>
    </w:p>
    <w:p>
      <w:pPr>
        <w:pStyle w:val="3"/>
        <w:rPr>
          <w:sz w:val="28"/>
        </w:rPr>
      </w:pPr>
    </w:p>
    <w:p>
      <w:pPr>
        <w:rPr>
          <w:sz w:val="28"/>
        </w:rPr>
      </w:pPr>
    </w:p>
    <w:p>
      <w:pPr>
        <w:pStyle w:val="2"/>
        <w:rPr>
          <w:sz w:val="28"/>
        </w:rPr>
      </w:pPr>
    </w:p>
    <w:p>
      <w:pPr>
        <w:pStyle w:val="3"/>
        <w:rPr>
          <w:sz w:val="28"/>
        </w:rPr>
      </w:pPr>
    </w:p>
    <w:p>
      <w:pPr>
        <w:rPr>
          <w:sz w:val="28"/>
        </w:rPr>
      </w:pPr>
    </w:p>
    <w:p>
      <w:pPr>
        <w:pStyle w:val="2"/>
      </w:pPr>
    </w:p>
    <w:p>
      <w:pPr>
        <w:tabs>
          <w:tab w:val="left" w:pos="6300"/>
        </w:tabs>
        <w:snapToGrid w:val="0"/>
        <w:spacing w:line="540" w:lineRule="exact"/>
        <w:jc w:val="both"/>
        <w:outlineLvl w:val="0"/>
        <w:rPr>
          <w:rFonts w:hint="eastAsia" w:ascii="仿宋_GB2312" w:hAnsi="仿宋_GB2312" w:eastAsia="仿宋_GB2312" w:cs="仿宋"/>
          <w:b/>
          <w:color w:val="000000"/>
          <w:sz w:val="30"/>
          <w:szCs w:val="30"/>
          <w:lang w:val="en-US" w:eastAsia="zh-CN"/>
        </w:rPr>
      </w:pPr>
      <w:bookmarkStart w:id="105" w:name="_Toc30932"/>
      <w:r>
        <w:rPr>
          <w:rFonts w:hint="eastAsia" w:ascii="宋体" w:hAnsi="宋体" w:eastAsia="宋体" w:cs="宋体"/>
          <w:kern w:val="2"/>
          <w:sz w:val="24"/>
          <w:szCs w:val="22"/>
          <w:u w:val="none"/>
          <w:lang w:val="en-US" w:eastAsia="zh-CN" w:bidi="ar-SA"/>
        </w:rPr>
        <w:t>十三、磋商保证金缴纳凭证（以电汇或网银转账）或磋商保证金收据（以支票、汇票、本票或者金融机构、担保机构出具的保函等非现金形式）复印件加盖公章</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outlineLvl w:val="0"/>
        <w:rPr>
          <w:rFonts w:hint="eastAsia" w:ascii="宋体" w:hAnsi="宋体" w:eastAsia="宋体" w:cs="宋体"/>
          <w:kern w:val="2"/>
          <w:sz w:val="24"/>
          <w:szCs w:val="22"/>
          <w:u w:val="none"/>
          <w:lang w:val="en-US" w:eastAsia="zh-CN" w:bidi="ar-SA"/>
        </w:rPr>
      </w:pPr>
    </w:p>
    <w:bookmarkEnd w:id="105"/>
    <w:p>
      <w:pPr>
        <w:pStyle w:val="32"/>
        <w:rPr>
          <w:rFonts w:hint="default"/>
          <w:lang w:val="en-US" w:eastAsia="zh-CN"/>
        </w:rPr>
      </w:pPr>
    </w:p>
    <w:p>
      <w:pPr>
        <w:rPr>
          <w:rFonts w:hint="eastAsia"/>
          <w:lang w:val="en-US" w:eastAsia="zh-CN"/>
        </w:rPr>
      </w:pPr>
    </w:p>
    <w:p>
      <w:pPr>
        <w:pStyle w:val="32"/>
        <w:rPr>
          <w:rFonts w:hint="eastAsia"/>
          <w:lang w:val="en-US" w:eastAsia="zh-CN"/>
        </w:rPr>
      </w:pPr>
    </w:p>
    <w:p>
      <w:pPr>
        <w:rPr>
          <w:rFonts w:hint="eastAsia"/>
          <w:lang w:val="en-US" w:eastAsia="zh-CN"/>
        </w:rPr>
      </w:pPr>
    </w:p>
    <w:p>
      <w:pPr>
        <w:pStyle w:val="32"/>
        <w:rPr>
          <w:rFonts w:hint="eastAsia"/>
          <w:lang w:val="en-US" w:eastAsia="zh-CN"/>
        </w:rPr>
      </w:pPr>
    </w:p>
    <w:p>
      <w:pPr>
        <w:rPr>
          <w:rFonts w:hint="eastAsia"/>
          <w:lang w:val="en-US" w:eastAsia="zh-CN"/>
        </w:rPr>
      </w:pPr>
    </w:p>
    <w:p>
      <w:pPr>
        <w:pStyle w:val="32"/>
        <w:rPr>
          <w:rFonts w:hint="default"/>
          <w:lang w:val="en-US" w:eastAsia="zh-CN"/>
        </w:rPr>
        <w:sectPr>
          <w:footerReference r:id="rId15" w:type="default"/>
          <w:pgSz w:w="11910" w:h="16840"/>
          <w:pgMar w:top="1580" w:right="940" w:bottom="1180" w:left="940" w:header="0" w:footer="1000" w:gutter="0"/>
          <w:pgBorders>
            <w:top w:val="none" w:sz="0" w:space="0"/>
            <w:left w:val="none" w:sz="0" w:space="0"/>
            <w:bottom w:val="none" w:sz="0" w:space="0"/>
            <w:right w:val="none" w:sz="0" w:space="0"/>
          </w:pgBorders>
          <w:pgNumType w:fmt="decimal"/>
          <w:cols w:space="720" w:num="1"/>
        </w:sectPr>
      </w:pPr>
    </w:p>
    <w:p>
      <w:pPr>
        <w:numPr>
          <w:ilvl w:val="0"/>
          <w:numId w:val="0"/>
        </w:numPr>
        <w:spacing w:before="0"/>
        <w:ind w:left="0" w:leftChars="0" w:right="0" w:rightChars="0"/>
        <w:jc w:val="both"/>
        <w:rPr>
          <w:rFonts w:hint="eastAsia" w:eastAsia="仿宋"/>
          <w:lang w:eastAsia="zh-CN"/>
        </w:rPr>
        <w:sectPr>
          <w:type w:val="continuous"/>
          <w:pgSz w:w="11910" w:h="16840"/>
          <w:pgMar w:top="1460" w:right="940" w:bottom="280" w:left="940" w:header="720" w:footer="720" w:gutter="0"/>
          <w:pgBorders>
            <w:top w:val="none" w:sz="0" w:space="0"/>
            <w:left w:val="none" w:sz="0" w:space="0"/>
            <w:bottom w:val="none" w:sz="0" w:space="0"/>
            <w:right w:val="none" w:sz="0" w:space="0"/>
          </w:pgBorders>
          <w:pgNumType w:fmt="decimal"/>
          <w:cols w:equalWidth="0" w:num="2">
            <w:col w:w="2190" w:space="364"/>
            <w:col w:w="7476"/>
          </w:cols>
        </w:sectPr>
      </w:pPr>
      <w:r>
        <w:rPr>
          <w:rFonts w:hint="eastAsia" w:cs="仿宋"/>
          <w:sz w:val="28"/>
          <w:szCs w:val="22"/>
          <w:lang w:val="en-US" w:eastAsia="zh-CN" w:bidi="zh-CN"/>
        </w:rPr>
        <w:t xml:space="preserve">                                </w:t>
      </w:r>
    </w:p>
    <w:p>
      <w:pPr>
        <w:spacing w:line="360" w:lineRule="auto"/>
        <w:jc w:val="center"/>
        <w:outlineLvl w:val="0"/>
        <w:rPr>
          <w:rFonts w:hint="eastAsia" w:ascii="宋体" w:hAnsi="Times New Roman" w:eastAsia="宋体" w:cs="Times New Roman"/>
          <w:sz w:val="24"/>
          <w:szCs w:val="22"/>
          <w:lang w:val="en-US" w:eastAsia="zh-CN" w:bidi="ar-SA"/>
        </w:rPr>
      </w:pPr>
      <w:bookmarkStart w:id="106" w:name="_Toc16506"/>
      <w:r>
        <w:rPr>
          <w:rFonts w:hint="eastAsia" w:ascii="宋体" w:hAnsi="Times New Roman" w:eastAsia="宋体" w:cs="Times New Roman"/>
          <w:sz w:val="24"/>
          <w:szCs w:val="22"/>
          <w:lang w:val="en-US" w:eastAsia="zh-CN" w:bidi="ar-SA"/>
        </w:rPr>
        <w:t>十四、中小微企业声明函</w:t>
      </w:r>
      <w:bookmarkEnd w:id="106"/>
    </w:p>
    <w:p>
      <w:pPr>
        <w:spacing w:before="145" w:beforeLines="50" w:after="145" w:afterLines="50" w:line="30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本公司郑重声明，根据《政府采购促进中小企业发展暂行办法》(财库[2011]181号)的规定，本公司为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(请填写：小型、微型)企业。即，本公司同时满足以下条件：</w:t>
      </w:r>
    </w:p>
    <w:p>
      <w:pPr>
        <w:spacing w:before="145" w:beforeLines="50" w:after="145" w:afterLines="50" w:line="30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1、根据《工业和信息化部、国家统计局、国家发展和改革委员会、财政部关于印发中小企业划型标准规定的通知》(工信部联企业[2011]300号)规定的划分标准，本公司为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(请填写：小型、微型)企业。</w:t>
      </w:r>
    </w:p>
    <w:p>
      <w:pPr>
        <w:spacing w:before="145" w:beforeLines="50" w:after="145" w:afterLines="50" w:line="30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2、本公司参加______单位的</w:t>
      </w:r>
      <w:r>
        <w:rPr>
          <w:rFonts w:hint="eastAsia" w:ascii="宋体" w:hAnsi="宋体" w:eastAsia="宋体" w:cs="宋体"/>
          <w:color w:val="auto"/>
          <w:sz w:val="24"/>
          <w:lang w:eastAsia="zh-CN"/>
        </w:rPr>
        <w:t>项目</w:t>
      </w:r>
      <w:r>
        <w:rPr>
          <w:rFonts w:hint="eastAsia" w:ascii="宋体" w:hAnsi="宋体" w:eastAsia="宋体" w:cs="宋体"/>
          <w:color w:val="auto"/>
          <w:sz w:val="24"/>
        </w:rPr>
        <w:t>编号为______的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项目政府采购活动提供本企业制造的服务或产品，由本企业承担工程、提供服务，或者提供其他</w:t>
      </w:r>
      <w:r>
        <w:rPr>
          <w:rFonts w:hint="eastAsia" w:ascii="宋体" w:hAnsi="宋体" w:eastAsia="宋体" w:cs="宋体"/>
          <w:color w:val="auto"/>
          <w:sz w:val="24"/>
          <w:u w:val="single"/>
        </w:rPr>
        <w:t xml:space="preserve">    </w:t>
      </w:r>
      <w:r>
        <w:rPr>
          <w:rFonts w:hint="eastAsia" w:ascii="宋体" w:hAnsi="宋体" w:eastAsia="宋体" w:cs="宋体"/>
          <w:color w:val="auto"/>
          <w:sz w:val="24"/>
        </w:rPr>
        <w:t>(请填写：小型、微型)企业制造的服务或产品。本条所称服务或产品不包括使用大型企业注册商标的服务或产品。</w:t>
      </w:r>
    </w:p>
    <w:p>
      <w:pPr>
        <w:spacing w:before="145" w:beforeLines="50" w:after="145" w:afterLines="50" w:line="30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3、本公司在本次政府采购活动中提供的小微型企业产品报价合计为人民币（大写）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圆整（￥：</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before="145" w:beforeLines="50" w:after="145" w:afterLines="50" w:line="30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本公司对上述声明的真实性负责。如有虚假，将依法承担相应责任。</w:t>
      </w:r>
    </w:p>
    <w:p>
      <w:pPr>
        <w:pStyle w:val="22"/>
        <w:rPr>
          <w:rFonts w:hint="eastAsia"/>
          <w:color w:val="auto"/>
        </w:rPr>
      </w:pPr>
    </w:p>
    <w:p>
      <w:pPr>
        <w:spacing w:before="145" w:beforeLines="50" w:after="145" w:afterLines="50" w:line="300" w:lineRule="auto"/>
        <w:ind w:firstLine="360" w:firstLineChars="150"/>
        <w:jc w:val="center"/>
        <w:rPr>
          <w:rFonts w:hint="eastAsia" w:ascii="宋体" w:hAnsi="宋体" w:eastAsia="宋体" w:cs="宋体"/>
          <w:color w:val="auto"/>
          <w:sz w:val="24"/>
          <w:u w:val="single"/>
          <w:lang w:val="en-US" w:eastAsia="zh-CN"/>
        </w:rPr>
      </w:pPr>
      <w:r>
        <w:rPr>
          <w:rFonts w:hint="eastAsia" w:ascii="宋体" w:hAnsi="宋体" w:eastAsia="宋体" w:cs="宋体"/>
          <w:color w:val="auto"/>
          <w:sz w:val="24"/>
        </w:rPr>
        <w:t>企业名称（</w:t>
      </w:r>
      <w:r>
        <w:rPr>
          <w:rFonts w:hint="eastAsia" w:ascii="宋体" w:hAnsi="宋体" w:eastAsia="宋体" w:cs="宋体"/>
          <w:color w:val="auto"/>
          <w:sz w:val="24"/>
          <w:lang w:eastAsia="zh-CN"/>
        </w:rPr>
        <w:t>公</w:t>
      </w:r>
      <w:r>
        <w:rPr>
          <w:rFonts w:hint="eastAsia" w:ascii="宋体" w:hAnsi="宋体" w:eastAsia="宋体" w:cs="宋体"/>
          <w:color w:val="auto"/>
          <w:sz w:val="24"/>
        </w:rPr>
        <w:t>章）：</w:t>
      </w:r>
      <w:r>
        <w:rPr>
          <w:rFonts w:hint="eastAsia" w:ascii="宋体" w:hAnsi="宋体" w:eastAsia="宋体" w:cs="宋体"/>
          <w:color w:val="auto"/>
          <w:sz w:val="24"/>
          <w:u w:val="single"/>
          <w:lang w:val="en-US" w:eastAsia="zh-CN"/>
        </w:rPr>
        <w:t xml:space="preserve">                       </w:t>
      </w:r>
    </w:p>
    <w:p>
      <w:pPr>
        <w:spacing w:before="145" w:beforeLines="50" w:after="145" w:afterLines="50" w:line="300" w:lineRule="auto"/>
        <w:ind w:firstLine="360" w:firstLineChars="150"/>
        <w:jc w:val="center"/>
        <w:rPr>
          <w:rFonts w:hint="default" w:ascii="宋体" w:hAnsi="宋体" w:eastAsia="宋体" w:cs="宋体"/>
          <w:color w:val="auto"/>
          <w:sz w:val="24"/>
          <w:lang w:val="en-US" w:eastAsia="zh-CN"/>
        </w:rPr>
      </w:pPr>
      <w:r>
        <w:rPr>
          <w:rFonts w:hint="eastAsia" w:ascii="宋体" w:hAnsi="宋体" w:eastAsia="宋体" w:cs="宋体"/>
          <w:color w:val="auto"/>
          <w:sz w:val="24"/>
        </w:rPr>
        <w:t>日  期：</w:t>
      </w:r>
      <w:r>
        <w:rPr>
          <w:rFonts w:hint="eastAsia" w:ascii="宋体" w:hAnsi="宋体" w:eastAsia="宋体" w:cs="宋体"/>
          <w:color w:val="auto"/>
          <w:sz w:val="24"/>
          <w:u w:val="single"/>
          <w:lang w:val="en-US" w:eastAsia="zh-CN"/>
        </w:rPr>
        <w:t xml:space="preserve">                         </w:t>
      </w:r>
    </w:p>
    <w:p>
      <w:pPr>
        <w:spacing w:before="145" w:beforeLines="50" w:after="145" w:afterLines="50" w:line="30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（备注：</w:t>
      </w:r>
      <w:r>
        <w:rPr>
          <w:rFonts w:hint="eastAsia" w:ascii="宋体" w:hAnsi="宋体" w:cs="宋体"/>
          <w:color w:val="auto"/>
          <w:sz w:val="24"/>
          <w:lang w:eastAsia="zh-CN"/>
        </w:rPr>
        <w:t>若非中小微企业则</w:t>
      </w:r>
      <w:r>
        <w:rPr>
          <w:rFonts w:hint="eastAsia" w:ascii="宋体" w:hAnsi="宋体" w:cs="宋体"/>
          <w:color w:val="auto"/>
          <w:sz w:val="24"/>
          <w:lang w:val="en-US" w:eastAsia="zh-CN"/>
        </w:rPr>
        <w:t>/填入</w:t>
      </w:r>
      <w:r>
        <w:rPr>
          <w:rFonts w:hint="eastAsia" w:ascii="宋体" w:hAnsi="宋体" w:eastAsia="宋体" w:cs="宋体"/>
          <w:color w:val="auto"/>
          <w:sz w:val="24"/>
        </w:rPr>
        <w:t>，价格将不做相应扣除）</w:t>
      </w:r>
    </w:p>
    <w:p>
      <w:pPr>
        <w:spacing w:before="145" w:beforeLines="50" w:after="145" w:afterLines="50" w:line="300" w:lineRule="auto"/>
        <w:rPr>
          <w:rFonts w:hint="eastAsia" w:ascii="宋体" w:hAnsi="宋体" w:eastAsia="宋体" w:cs="宋体"/>
          <w:bCs/>
          <w:color w:val="auto"/>
          <w:sz w:val="24"/>
        </w:rPr>
      </w:pPr>
    </w:p>
    <w:p>
      <w:pPr>
        <w:spacing w:before="145" w:beforeLines="50" w:after="145" w:afterLines="50" w:line="300" w:lineRule="auto"/>
        <w:rPr>
          <w:rFonts w:hint="eastAsia" w:ascii="宋体" w:hAnsi="宋体" w:eastAsia="宋体" w:cs="宋体"/>
          <w:bCs/>
          <w:color w:val="auto"/>
          <w:sz w:val="24"/>
        </w:rPr>
      </w:pPr>
    </w:p>
    <w:p>
      <w:pPr>
        <w:spacing w:before="145" w:beforeLines="50" w:after="145" w:afterLines="50" w:line="300" w:lineRule="auto"/>
        <w:rPr>
          <w:rFonts w:hint="eastAsia" w:ascii="宋体" w:hAnsi="宋体" w:eastAsia="宋体" w:cs="宋体"/>
          <w:bCs/>
          <w:color w:val="auto"/>
          <w:sz w:val="24"/>
        </w:rPr>
      </w:pPr>
    </w:p>
    <w:p>
      <w:pPr>
        <w:pStyle w:val="33"/>
        <w:rPr>
          <w:rFonts w:hint="eastAsia" w:ascii="宋体" w:hAnsi="宋体" w:eastAsia="宋体" w:cs="宋体"/>
          <w:bCs/>
          <w:color w:val="auto"/>
          <w:sz w:val="24"/>
        </w:rPr>
      </w:pPr>
    </w:p>
    <w:p>
      <w:pPr>
        <w:pStyle w:val="33"/>
        <w:rPr>
          <w:rFonts w:hint="eastAsia" w:ascii="宋体" w:hAnsi="宋体" w:eastAsia="宋体" w:cs="宋体"/>
          <w:bCs/>
          <w:color w:val="auto"/>
          <w:sz w:val="24"/>
        </w:rPr>
      </w:pPr>
    </w:p>
    <w:p>
      <w:pPr>
        <w:pStyle w:val="33"/>
        <w:rPr>
          <w:rFonts w:hint="eastAsia" w:ascii="宋体" w:hAnsi="宋体" w:eastAsia="宋体" w:cs="宋体"/>
          <w:bCs/>
          <w:color w:val="auto"/>
          <w:sz w:val="24"/>
        </w:rPr>
      </w:pPr>
    </w:p>
    <w:p>
      <w:pPr>
        <w:pStyle w:val="33"/>
        <w:rPr>
          <w:rFonts w:hint="eastAsia" w:ascii="宋体" w:hAnsi="宋体" w:eastAsia="宋体" w:cs="宋体"/>
          <w:bCs/>
          <w:color w:val="auto"/>
          <w:sz w:val="24"/>
        </w:rPr>
      </w:pPr>
    </w:p>
    <w:p>
      <w:pPr>
        <w:pStyle w:val="33"/>
        <w:rPr>
          <w:rFonts w:hint="eastAsia" w:ascii="宋体" w:hAnsi="宋体" w:eastAsia="宋体" w:cs="宋体"/>
          <w:bCs/>
          <w:color w:val="auto"/>
          <w:sz w:val="24"/>
        </w:rPr>
      </w:pPr>
    </w:p>
    <w:p>
      <w:pPr>
        <w:pStyle w:val="33"/>
        <w:rPr>
          <w:rFonts w:hint="eastAsia" w:ascii="宋体" w:hAnsi="宋体" w:eastAsia="宋体" w:cs="宋体"/>
          <w:bCs/>
          <w:color w:val="auto"/>
          <w:sz w:val="24"/>
        </w:rPr>
      </w:pPr>
    </w:p>
    <w:p>
      <w:pPr>
        <w:pStyle w:val="33"/>
        <w:rPr>
          <w:rFonts w:hint="eastAsia" w:ascii="宋体" w:hAnsi="宋体" w:eastAsia="宋体" w:cs="宋体"/>
          <w:bCs/>
          <w:color w:val="auto"/>
          <w:sz w:val="24"/>
        </w:rPr>
      </w:pPr>
    </w:p>
    <w:p>
      <w:pPr>
        <w:pStyle w:val="33"/>
        <w:rPr>
          <w:rFonts w:hint="eastAsia" w:ascii="宋体" w:hAnsi="宋体" w:eastAsia="宋体" w:cs="宋体"/>
          <w:bCs/>
          <w:color w:val="auto"/>
          <w:sz w:val="24"/>
        </w:rPr>
      </w:pPr>
    </w:p>
    <w:p>
      <w:pPr>
        <w:pStyle w:val="33"/>
        <w:rPr>
          <w:rFonts w:hint="eastAsia" w:ascii="宋体" w:hAnsi="宋体" w:eastAsia="宋体" w:cs="宋体"/>
          <w:bCs/>
          <w:color w:val="auto"/>
          <w:sz w:val="24"/>
        </w:rPr>
      </w:pPr>
    </w:p>
    <w:p>
      <w:pPr>
        <w:pStyle w:val="33"/>
        <w:rPr>
          <w:rFonts w:hint="eastAsia" w:ascii="宋体" w:hAnsi="宋体" w:eastAsia="宋体" w:cs="宋体"/>
          <w:bCs/>
          <w:color w:val="auto"/>
          <w:sz w:val="24"/>
        </w:rPr>
      </w:pPr>
    </w:p>
    <w:p>
      <w:pPr>
        <w:pStyle w:val="33"/>
        <w:rPr>
          <w:rFonts w:hint="eastAsia" w:ascii="宋体" w:hAnsi="宋体" w:eastAsia="宋体" w:cs="宋体"/>
          <w:bCs/>
          <w:color w:val="auto"/>
          <w:sz w:val="24"/>
        </w:rPr>
      </w:pPr>
    </w:p>
    <w:p>
      <w:pPr>
        <w:pStyle w:val="33"/>
        <w:rPr>
          <w:rFonts w:hint="eastAsia" w:ascii="宋体" w:hAnsi="宋体" w:eastAsia="宋体" w:cs="宋体"/>
          <w:bCs/>
          <w:color w:val="auto"/>
          <w:sz w:val="24"/>
        </w:rPr>
      </w:pPr>
    </w:p>
    <w:p>
      <w:pPr>
        <w:pStyle w:val="33"/>
        <w:rPr>
          <w:rFonts w:hint="eastAsia" w:ascii="宋体" w:hAnsi="宋体" w:eastAsia="宋体" w:cs="宋体"/>
          <w:bCs/>
          <w:color w:val="auto"/>
          <w:sz w:val="24"/>
        </w:rPr>
      </w:pPr>
    </w:p>
    <w:p>
      <w:pPr>
        <w:pStyle w:val="33"/>
        <w:rPr>
          <w:rFonts w:hint="eastAsia" w:ascii="宋体" w:hAnsi="宋体" w:eastAsia="宋体" w:cs="宋体"/>
          <w:bCs/>
          <w:color w:val="auto"/>
          <w:sz w:val="24"/>
        </w:rPr>
      </w:pPr>
    </w:p>
    <w:p>
      <w:pPr>
        <w:pStyle w:val="33"/>
        <w:rPr>
          <w:rFonts w:hint="eastAsia" w:ascii="宋体" w:hAnsi="宋体" w:eastAsia="宋体" w:cs="宋体"/>
          <w:bCs/>
          <w:color w:val="auto"/>
          <w:sz w:val="24"/>
        </w:rPr>
      </w:pPr>
    </w:p>
    <w:p>
      <w:pPr>
        <w:pStyle w:val="33"/>
        <w:rPr>
          <w:rFonts w:hint="eastAsia" w:ascii="宋体" w:hAnsi="宋体" w:eastAsia="宋体" w:cs="宋体"/>
          <w:bCs/>
          <w:color w:val="auto"/>
          <w:sz w:val="24"/>
        </w:rPr>
      </w:pPr>
    </w:p>
    <w:p>
      <w:pPr>
        <w:spacing w:line="360" w:lineRule="auto"/>
        <w:jc w:val="center"/>
        <w:outlineLvl w:val="0"/>
        <w:rPr>
          <w:rFonts w:hint="eastAsia" w:ascii="宋体" w:hAnsi="Times New Roman" w:eastAsia="宋体" w:cs="Times New Roman"/>
          <w:sz w:val="24"/>
          <w:szCs w:val="22"/>
          <w:lang w:val="en-US" w:eastAsia="zh-CN" w:bidi="ar-SA"/>
        </w:rPr>
      </w:pPr>
      <w:bookmarkStart w:id="107" w:name="_Toc26894"/>
      <w:bookmarkStart w:id="108" w:name="_Toc10081"/>
      <w:r>
        <w:rPr>
          <w:rFonts w:hint="eastAsia" w:ascii="宋体" w:hAnsi="Times New Roman" w:eastAsia="宋体" w:cs="Times New Roman"/>
          <w:sz w:val="24"/>
          <w:szCs w:val="22"/>
          <w:lang w:val="en-US" w:eastAsia="zh-CN" w:bidi="ar-SA"/>
        </w:rPr>
        <w:t>十五、残疾人福利性单位声明函</w:t>
      </w:r>
      <w:bookmarkEnd w:id="107"/>
      <w:bookmarkEnd w:id="108"/>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w:t>
      </w:r>
      <w:r>
        <w:rPr>
          <w:rFonts w:hint="eastAsia" w:ascii="宋体" w:hAnsi="宋体" w:eastAsia="宋体" w:cs="宋体"/>
          <w:color w:val="auto"/>
          <w:sz w:val="24"/>
          <w:lang w:eastAsia="zh-CN"/>
        </w:rPr>
        <w:t>项目</w:t>
      </w:r>
      <w:r>
        <w:rPr>
          <w:rFonts w:hint="eastAsia" w:ascii="宋体" w:hAnsi="宋体" w:eastAsia="宋体" w:cs="宋体"/>
          <w:color w:val="auto"/>
          <w:sz w:val="24"/>
        </w:rPr>
        <w:t>编号为______的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本单位在本次政府采购活动中提供的残疾人福利单位产品报价合计为人民币（大写）圆整（￥：     ）。</w:t>
      </w: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color w:val="auto"/>
          <w:sz w:val="24"/>
        </w:rPr>
      </w:pPr>
    </w:p>
    <w:p>
      <w:pPr>
        <w:spacing w:before="145" w:beforeLines="50" w:after="145" w:afterLines="50" w:line="30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（备注：1、（备注：</w:t>
      </w:r>
      <w:r>
        <w:rPr>
          <w:rFonts w:hint="eastAsia" w:ascii="宋体" w:hAnsi="宋体" w:cs="宋体"/>
          <w:color w:val="auto"/>
          <w:sz w:val="24"/>
          <w:lang w:eastAsia="zh-CN"/>
        </w:rPr>
        <w:t>若非中小微企业则</w:t>
      </w:r>
      <w:r>
        <w:rPr>
          <w:rFonts w:hint="eastAsia" w:ascii="宋体" w:hAnsi="宋体" w:cs="宋体"/>
          <w:color w:val="auto"/>
          <w:sz w:val="24"/>
          <w:lang w:val="en-US" w:eastAsia="zh-CN"/>
        </w:rPr>
        <w:t>/填入</w:t>
      </w:r>
      <w:r>
        <w:rPr>
          <w:rFonts w:hint="eastAsia" w:ascii="宋体" w:hAnsi="宋体" w:eastAsia="宋体" w:cs="宋体"/>
          <w:color w:val="auto"/>
          <w:sz w:val="24"/>
        </w:rPr>
        <w:t>，价格将不做相应扣除）。2、中标供应商为残疾人福利单位的，此声明函将随中标结果同时公告，接受社会监督）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color w:val="auto"/>
          <w:spacing w:val="6"/>
          <w:sz w:val="30"/>
          <w:szCs w:val="30"/>
        </w:rPr>
      </w:pPr>
    </w:p>
    <w:p>
      <w:pPr>
        <w:spacing w:before="145" w:beforeLines="50" w:after="145" w:afterLines="50" w:line="300" w:lineRule="auto"/>
        <w:ind w:firstLine="468" w:firstLineChars="150"/>
        <w:jc w:val="center"/>
        <w:rPr>
          <w:rFonts w:hint="eastAsia" w:ascii="宋体" w:hAnsi="宋体" w:eastAsia="宋体" w:cs="宋体"/>
          <w:color w:val="auto"/>
          <w:sz w:val="24"/>
          <w:lang w:val="en-US" w:eastAsia="zh-CN"/>
        </w:rPr>
      </w:pPr>
      <w:r>
        <w:rPr>
          <w:rFonts w:hint="eastAsia" w:ascii="宋体" w:hAnsi="宋体" w:eastAsia="宋体" w:cs="宋体"/>
          <w:color w:val="auto"/>
          <w:spacing w:val="6"/>
          <w:sz w:val="30"/>
          <w:szCs w:val="30"/>
        </w:rPr>
        <w:t xml:space="preserve">             </w:t>
      </w:r>
      <w:r>
        <w:rPr>
          <w:rFonts w:hint="eastAsia" w:ascii="宋体" w:hAnsi="宋体" w:eastAsia="宋体" w:cs="宋体"/>
          <w:color w:val="auto"/>
          <w:sz w:val="24"/>
        </w:rPr>
        <w:t xml:space="preserve">            企业名称（</w:t>
      </w:r>
      <w:r>
        <w:rPr>
          <w:rFonts w:hint="eastAsia" w:ascii="宋体" w:hAnsi="宋体" w:eastAsia="宋体" w:cs="宋体"/>
          <w:color w:val="auto"/>
          <w:sz w:val="24"/>
          <w:lang w:eastAsia="zh-CN"/>
        </w:rPr>
        <w:t>公</w:t>
      </w:r>
      <w:r>
        <w:rPr>
          <w:rFonts w:hint="eastAsia" w:ascii="宋体" w:hAnsi="宋体" w:eastAsia="宋体" w:cs="宋体"/>
          <w:color w:val="auto"/>
          <w:sz w:val="24"/>
        </w:rPr>
        <w:t>章）：</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 xml:space="preserve"> </w:t>
      </w:r>
    </w:p>
    <w:p>
      <w:pPr>
        <w:spacing w:before="145" w:beforeLines="50" w:after="145" w:afterLines="50" w:line="300" w:lineRule="auto"/>
        <w:ind w:firstLine="360" w:firstLineChars="150"/>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  期：</w:t>
      </w:r>
      <w:r>
        <w:rPr>
          <w:rFonts w:hint="eastAsia" w:ascii="宋体" w:hAnsi="宋体" w:eastAsia="宋体" w:cs="宋体"/>
          <w:color w:val="auto"/>
          <w:sz w:val="24"/>
          <w:u w:val="singl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8"/>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8"/>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8"/>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8"/>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8"/>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8"/>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8"/>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8"/>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宋体" w:eastAsia="宋体" w:cs="宋体"/>
          <w:color w:val="auto"/>
          <w:sz w:val="18"/>
          <w:szCs w:val="18"/>
        </w:rPr>
      </w:pPr>
    </w:p>
    <w:p>
      <w:pPr>
        <w:pStyle w:val="8"/>
        <w:keepNext w:val="0"/>
        <w:keepLines w:val="0"/>
        <w:pageBreakBefore w:val="0"/>
        <w:widowControl w:val="0"/>
        <w:kinsoku/>
        <w:wordWrap/>
        <w:overflowPunct/>
        <w:topLinePunct w:val="0"/>
        <w:autoSpaceDE/>
        <w:autoSpaceDN/>
        <w:bidi w:val="0"/>
        <w:adjustRightInd/>
        <w:snapToGrid w:val="0"/>
        <w:spacing w:before="480" w:beforeLines="200" w:after="96" w:afterLines="40" w:line="240" w:lineRule="atLeast"/>
        <w:ind w:left="0" w:leftChars="0" w:firstLine="0" w:firstLineChars="0"/>
        <w:textAlignment w:val="auto"/>
        <w:rPr>
          <w:rFonts w:hint="eastAsia" w:ascii="宋体" w:hAnsi="Times New Roman" w:eastAsia="宋体" w:cs="Times New Roman"/>
          <w:sz w:val="24"/>
          <w:szCs w:val="22"/>
          <w:lang w:val="zh-CN" w:eastAsia="zh-CN" w:bidi="ar-SA"/>
        </w:rPr>
      </w:pPr>
    </w:p>
    <w:p>
      <w:pPr>
        <w:spacing w:line="360" w:lineRule="auto"/>
        <w:ind w:firstLine="2400" w:firstLineChars="1000"/>
        <w:jc w:val="both"/>
        <w:outlineLvl w:val="0"/>
        <w:rPr>
          <w:rFonts w:hint="eastAsia" w:cs="Times New Roman"/>
          <w:b/>
          <w:sz w:val="32"/>
          <w:szCs w:val="32"/>
          <w:lang w:val="zh-CN" w:eastAsia="zh-CN"/>
        </w:rPr>
      </w:pPr>
      <w:bookmarkStart w:id="109" w:name="_Toc14481"/>
      <w:r>
        <w:rPr>
          <w:rFonts w:hint="eastAsia" w:ascii="宋体" w:hAnsi="Times New Roman" w:eastAsia="宋体" w:cs="Times New Roman"/>
          <w:sz w:val="24"/>
          <w:szCs w:val="22"/>
          <w:lang w:val="zh-CN" w:eastAsia="zh-CN" w:bidi="ar-SA"/>
        </w:rPr>
        <w:t>十六、投标单位（供应商）反商业贿赂承诺书</w:t>
      </w:r>
      <w:bookmarkEnd w:id="109"/>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在          号（             项目）招标活动中，我公司承诺如下 ：</w:t>
      </w: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1、不给予国家工作人员及其亲属各种形式的商业贿赂（包括送礼金礼品、有价证券、购物券、回扣、佣金、咨询费、劳务费、赞助费、宣传费、支付旅游费用、报销各种消费凭证、宴请、娱乐等）；</w:t>
      </w: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2、不与投标人相互勾结私下协议，弄虚作假，搞假招标、陪标、串通投标，明招暗定，暗箱操作。</w:t>
      </w: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3、我公司法人及项目参与人员有亲戚担任业主方副科级以上领导职务时，自愿放弃此次投标权。</w:t>
      </w: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如有上述行为，一经发现，我公司及项目参与人员愿意按照《政府采购法》、《招投标法》、《反不正当竞争法》的有关规定接受处罚。</w:t>
      </w:r>
    </w:p>
    <w:p>
      <w:pPr>
        <w:spacing w:before="145" w:beforeLines="50" w:after="145" w:afterLines="50" w:line="300" w:lineRule="auto"/>
        <w:ind w:firstLine="480" w:firstLineChars="200"/>
        <w:rPr>
          <w:rFonts w:hint="eastAsia" w:ascii="宋体" w:hAnsi="宋体" w:eastAsia="宋体" w:cs="宋体"/>
          <w:color w:val="auto"/>
          <w:sz w:val="24"/>
        </w:rPr>
      </w:pP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公司法人代表：（签字）                   </w:t>
      </w:r>
    </w:p>
    <w:p>
      <w:pPr>
        <w:spacing w:before="145" w:beforeLines="50" w:after="145" w:afterLines="50"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法人授权代表：（签字）                    </w:t>
      </w:r>
    </w:p>
    <w:p>
      <w:pPr>
        <w:spacing w:before="145" w:beforeLines="50" w:after="145" w:afterLines="50" w:line="300" w:lineRule="auto"/>
        <w:ind w:firstLine="480" w:firstLineChars="200"/>
        <w:jc w:val="right"/>
        <w:rPr>
          <w:rFonts w:hint="eastAsia" w:ascii="宋体" w:hAnsi="宋体" w:eastAsia="宋体" w:cs="宋体"/>
          <w:color w:val="auto"/>
          <w:sz w:val="24"/>
        </w:rPr>
      </w:pPr>
    </w:p>
    <w:p>
      <w:pPr>
        <w:spacing w:before="145" w:beforeLines="50" w:after="145" w:afterLines="50" w:line="300" w:lineRule="auto"/>
        <w:ind w:firstLine="480" w:firstLineChars="200"/>
        <w:jc w:val="right"/>
        <w:rPr>
          <w:rFonts w:hint="eastAsia" w:ascii="宋体" w:hAnsi="宋体" w:eastAsia="宋体" w:cs="宋体"/>
          <w:color w:val="auto"/>
          <w:sz w:val="24"/>
        </w:rPr>
      </w:pPr>
      <w:r>
        <w:rPr>
          <w:rFonts w:hint="eastAsia" w:ascii="宋体" w:hAnsi="宋体" w:eastAsia="宋体" w:cs="宋体"/>
          <w:color w:val="auto"/>
          <w:sz w:val="24"/>
        </w:rPr>
        <w:t xml:space="preserve">       公司签章       </w:t>
      </w:r>
    </w:p>
    <w:p>
      <w:pPr>
        <w:spacing w:before="145" w:beforeLines="50" w:after="145" w:afterLines="50" w:line="300" w:lineRule="auto"/>
        <w:ind w:firstLine="480" w:firstLineChars="200"/>
        <w:jc w:val="right"/>
        <w:rPr>
          <w:rFonts w:hint="eastAsia" w:ascii="宋体" w:hAnsi="宋体" w:eastAsia="宋体" w:cs="宋体"/>
          <w:color w:val="auto"/>
          <w:sz w:val="24"/>
        </w:rPr>
      </w:pPr>
      <w:r>
        <w:rPr>
          <w:rFonts w:hint="eastAsia" w:ascii="宋体" w:hAnsi="宋体" w:eastAsia="宋体" w:cs="宋体"/>
          <w:color w:val="auto"/>
          <w:sz w:val="24"/>
        </w:rPr>
        <w:t>年      月     日</w:t>
      </w:r>
    </w:p>
    <w:p>
      <w:pPr>
        <w:pStyle w:val="10"/>
        <w:tabs>
          <w:tab w:val="left" w:pos="5871"/>
          <w:tab w:val="left" w:pos="7071"/>
          <w:tab w:val="left" w:pos="7671"/>
          <w:tab w:val="left" w:pos="8271"/>
        </w:tabs>
        <w:spacing w:before="134"/>
      </w:pPr>
    </w:p>
    <w:p>
      <w:pPr>
        <w:pStyle w:val="9"/>
      </w:pPr>
    </w:p>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2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outlineLvl w:val="0"/>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十七、供应商认为需要提供的其他材料和说明（格式自拟）</w:t>
      </w:r>
    </w:p>
    <w:p>
      <w:pPr>
        <w:pStyle w:val="19"/>
      </w:pPr>
    </w:p>
    <w:p>
      <w:pPr>
        <w:tabs>
          <w:tab w:val="left" w:pos="6300"/>
        </w:tabs>
        <w:snapToGrid w:val="0"/>
        <w:spacing w:line="540" w:lineRule="exact"/>
        <w:ind w:firstLine="3614" w:firstLineChars="900"/>
        <w:jc w:val="both"/>
        <w:outlineLvl w:val="0"/>
        <w:rPr>
          <w:rFonts w:hint="eastAsia" w:ascii="仿宋_GB2312" w:hAnsi="仿宋_GB2312" w:eastAsia="仿宋_GB2312" w:cs="仿宋"/>
          <w:b/>
          <w:color w:val="000000"/>
          <w:sz w:val="40"/>
          <w:szCs w:val="40"/>
          <w:lang w:val="en-US" w:eastAsia="zh-CN"/>
        </w:rPr>
      </w:pPr>
    </w:p>
    <w:p>
      <w:pPr>
        <w:tabs>
          <w:tab w:val="left" w:pos="6300"/>
        </w:tabs>
        <w:snapToGrid w:val="0"/>
        <w:spacing w:line="540" w:lineRule="exact"/>
        <w:ind w:firstLine="3614" w:firstLineChars="900"/>
        <w:jc w:val="both"/>
        <w:outlineLvl w:val="0"/>
        <w:rPr>
          <w:rFonts w:hint="eastAsia" w:ascii="仿宋_GB2312" w:hAnsi="仿宋_GB2312" w:eastAsia="仿宋_GB2312" w:cs="仿宋"/>
          <w:b/>
          <w:color w:val="000000"/>
          <w:sz w:val="40"/>
          <w:szCs w:val="40"/>
          <w:lang w:val="en-US" w:eastAsia="zh-CN"/>
        </w:rPr>
      </w:pPr>
    </w:p>
    <w:p>
      <w:pPr>
        <w:tabs>
          <w:tab w:val="left" w:pos="6300"/>
        </w:tabs>
        <w:snapToGrid w:val="0"/>
        <w:spacing w:line="540" w:lineRule="exact"/>
        <w:jc w:val="both"/>
        <w:outlineLvl w:val="0"/>
        <w:rPr>
          <w:rFonts w:hint="eastAsia" w:ascii="仿宋_GB2312" w:hAnsi="仿宋_GB2312" w:eastAsia="仿宋_GB2312" w:cs="仿宋"/>
          <w:b/>
          <w:color w:val="000000"/>
          <w:sz w:val="30"/>
          <w:szCs w:val="30"/>
          <w:lang w:val="en-US" w:eastAsia="zh-CN" w:bidi="ar-SA"/>
        </w:rPr>
      </w:pPr>
    </w:p>
    <w:p>
      <w:pPr>
        <w:tabs>
          <w:tab w:val="left" w:pos="6300"/>
        </w:tabs>
        <w:snapToGrid w:val="0"/>
        <w:spacing w:line="540" w:lineRule="exact"/>
        <w:ind w:firstLine="720" w:firstLineChars="300"/>
        <w:jc w:val="both"/>
        <w:outlineLvl w:val="0"/>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十八、技术部分</w:t>
      </w:r>
    </w:p>
    <w:p>
      <w:pPr>
        <w:pStyle w:val="2"/>
        <w:rPr>
          <w:rFonts w:hint="eastAsia" w:ascii="仿宋_GB2312" w:hAnsi="仿宋_GB2312" w:eastAsia="仿宋_GB2312" w:cs="仿宋"/>
          <w:b w:val="0"/>
          <w:bCs/>
          <w:color w:val="000000"/>
          <w:sz w:val="30"/>
          <w:szCs w:val="30"/>
          <w:lang w:val="en-US" w:eastAsia="zh-CN"/>
        </w:rPr>
      </w:pPr>
      <w:r>
        <w:rPr>
          <w:rFonts w:hint="eastAsia" w:ascii="仿宋_GB2312" w:hAnsi="仿宋_GB2312" w:eastAsia="仿宋_GB2312" w:cs="仿宋"/>
          <w:b/>
          <w:color w:val="000000"/>
          <w:sz w:val="30"/>
          <w:szCs w:val="30"/>
          <w:lang w:val="en-US" w:eastAsia="zh-CN"/>
        </w:rPr>
        <w:t>（</w:t>
      </w:r>
      <w:r>
        <w:rPr>
          <w:rFonts w:hint="eastAsia" w:ascii="仿宋_GB2312" w:hAnsi="仿宋_GB2312" w:eastAsia="仿宋_GB2312" w:cs="仿宋"/>
          <w:b w:val="0"/>
          <w:bCs/>
          <w:color w:val="000000"/>
          <w:sz w:val="30"/>
          <w:szCs w:val="30"/>
          <w:lang w:val="en-US" w:eastAsia="zh-CN"/>
        </w:rPr>
        <w:t>地质灾害风险普查实施方案等格式自拟）</w:t>
      </w:r>
    </w:p>
    <w:p>
      <w:pPr>
        <w:pStyle w:val="3"/>
        <w:rPr>
          <w:rFonts w:hint="eastAsia" w:ascii="仿宋_GB2312" w:hAnsi="仿宋_GB2312" w:eastAsia="仿宋_GB2312" w:cs="仿宋"/>
          <w:b w:val="0"/>
          <w:bCs/>
          <w:color w:val="000000"/>
          <w:sz w:val="30"/>
          <w:szCs w:val="30"/>
          <w:lang w:val="en-US" w:eastAsia="zh-CN"/>
        </w:rPr>
      </w:pPr>
    </w:p>
    <w:p>
      <w:pPr>
        <w:rPr>
          <w:rFonts w:hint="eastAsia" w:ascii="仿宋_GB2312" w:hAnsi="仿宋_GB2312" w:eastAsia="仿宋_GB2312" w:cs="仿宋"/>
          <w:b w:val="0"/>
          <w:bCs/>
          <w:color w:val="000000"/>
          <w:sz w:val="30"/>
          <w:szCs w:val="30"/>
          <w:lang w:val="en-US" w:eastAsia="zh-CN"/>
        </w:rPr>
      </w:pPr>
    </w:p>
    <w:p>
      <w:pPr>
        <w:pStyle w:val="2"/>
        <w:rPr>
          <w:rFonts w:hint="eastAsia" w:ascii="仿宋_GB2312" w:hAnsi="仿宋_GB2312" w:eastAsia="仿宋_GB2312" w:cs="仿宋"/>
          <w:b w:val="0"/>
          <w:bCs/>
          <w:color w:val="000000"/>
          <w:sz w:val="30"/>
          <w:szCs w:val="30"/>
          <w:lang w:val="en-US" w:eastAsia="zh-CN"/>
        </w:rPr>
      </w:pPr>
    </w:p>
    <w:p>
      <w:pPr>
        <w:pStyle w:val="3"/>
        <w:rPr>
          <w:rFonts w:hint="eastAsia" w:ascii="仿宋_GB2312" w:hAnsi="仿宋_GB2312" w:eastAsia="仿宋_GB2312" w:cs="仿宋"/>
          <w:b w:val="0"/>
          <w:bCs/>
          <w:color w:val="000000"/>
          <w:sz w:val="30"/>
          <w:szCs w:val="30"/>
          <w:lang w:val="en-US" w:eastAsia="zh-CN"/>
        </w:rPr>
      </w:pPr>
    </w:p>
    <w:p>
      <w:pPr>
        <w:rPr>
          <w:rFonts w:hint="eastAsia" w:ascii="仿宋_GB2312" w:hAnsi="仿宋_GB2312" w:eastAsia="仿宋_GB2312" w:cs="仿宋"/>
          <w:b w:val="0"/>
          <w:bCs/>
          <w:color w:val="000000"/>
          <w:sz w:val="30"/>
          <w:szCs w:val="30"/>
          <w:lang w:val="en-US" w:eastAsia="zh-CN"/>
        </w:rPr>
      </w:pPr>
    </w:p>
    <w:p>
      <w:pPr>
        <w:pStyle w:val="2"/>
        <w:rPr>
          <w:rFonts w:hint="eastAsia" w:ascii="仿宋_GB2312" w:hAnsi="仿宋_GB2312" w:eastAsia="仿宋_GB2312" w:cs="仿宋"/>
          <w:b w:val="0"/>
          <w:bCs/>
          <w:color w:val="000000"/>
          <w:sz w:val="30"/>
          <w:szCs w:val="30"/>
          <w:lang w:val="en-US" w:eastAsia="zh-CN"/>
        </w:rPr>
      </w:pPr>
    </w:p>
    <w:p>
      <w:pPr>
        <w:pStyle w:val="3"/>
        <w:rPr>
          <w:rFonts w:hint="eastAsia" w:ascii="仿宋_GB2312" w:hAnsi="仿宋_GB2312" w:eastAsia="仿宋_GB2312" w:cs="仿宋"/>
          <w:b w:val="0"/>
          <w:bCs/>
          <w:color w:val="000000"/>
          <w:sz w:val="30"/>
          <w:szCs w:val="30"/>
          <w:lang w:val="en-US" w:eastAsia="zh-CN"/>
        </w:rPr>
      </w:pPr>
    </w:p>
    <w:p>
      <w:pPr>
        <w:rPr>
          <w:rFonts w:hint="eastAsia" w:ascii="仿宋_GB2312" w:hAnsi="仿宋_GB2312" w:eastAsia="仿宋_GB2312" w:cs="仿宋"/>
          <w:b w:val="0"/>
          <w:bCs/>
          <w:color w:val="000000"/>
          <w:sz w:val="30"/>
          <w:szCs w:val="30"/>
          <w:lang w:val="en-US" w:eastAsia="zh-CN"/>
        </w:rPr>
      </w:pPr>
    </w:p>
    <w:p>
      <w:pPr>
        <w:pStyle w:val="2"/>
        <w:rPr>
          <w:rFonts w:hint="eastAsia" w:ascii="仿宋_GB2312" w:hAnsi="仿宋_GB2312" w:eastAsia="仿宋_GB2312" w:cs="仿宋"/>
          <w:b w:val="0"/>
          <w:bCs/>
          <w:color w:val="000000"/>
          <w:sz w:val="30"/>
          <w:szCs w:val="30"/>
          <w:lang w:val="en-US" w:eastAsia="zh-CN"/>
        </w:rPr>
      </w:pPr>
    </w:p>
    <w:p>
      <w:pPr>
        <w:pStyle w:val="3"/>
        <w:rPr>
          <w:rFonts w:hint="eastAsia" w:ascii="仿宋_GB2312" w:hAnsi="仿宋_GB2312" w:eastAsia="仿宋_GB2312" w:cs="仿宋"/>
          <w:b w:val="0"/>
          <w:bCs/>
          <w:color w:val="000000"/>
          <w:sz w:val="30"/>
          <w:szCs w:val="30"/>
          <w:lang w:val="en-US" w:eastAsia="zh-CN"/>
        </w:rPr>
      </w:pPr>
    </w:p>
    <w:p>
      <w:pPr>
        <w:rPr>
          <w:rFonts w:hint="eastAsia" w:ascii="仿宋_GB2312" w:hAnsi="仿宋_GB2312" w:eastAsia="仿宋_GB2312" w:cs="仿宋"/>
          <w:b w:val="0"/>
          <w:bCs/>
          <w:color w:val="000000"/>
          <w:sz w:val="30"/>
          <w:szCs w:val="30"/>
          <w:lang w:val="en-US" w:eastAsia="zh-CN"/>
        </w:rPr>
      </w:pPr>
    </w:p>
    <w:p>
      <w:pPr>
        <w:pStyle w:val="2"/>
        <w:rPr>
          <w:rFonts w:hint="eastAsia" w:ascii="仿宋_GB2312" w:hAnsi="仿宋_GB2312" w:eastAsia="仿宋_GB2312" w:cs="仿宋"/>
          <w:b w:val="0"/>
          <w:bCs/>
          <w:color w:val="000000"/>
          <w:sz w:val="30"/>
          <w:szCs w:val="30"/>
          <w:lang w:val="en-US" w:eastAsia="zh-CN"/>
        </w:rPr>
      </w:pPr>
    </w:p>
    <w:p>
      <w:pPr>
        <w:pStyle w:val="3"/>
        <w:rPr>
          <w:rFonts w:hint="eastAsia" w:ascii="仿宋_GB2312" w:hAnsi="仿宋_GB2312" w:eastAsia="仿宋_GB2312" w:cs="仿宋"/>
          <w:b w:val="0"/>
          <w:bCs/>
          <w:color w:val="000000"/>
          <w:sz w:val="30"/>
          <w:szCs w:val="30"/>
          <w:lang w:val="en-US" w:eastAsia="zh-CN"/>
        </w:rPr>
      </w:pPr>
    </w:p>
    <w:p>
      <w:pPr>
        <w:rPr>
          <w:rFonts w:hint="eastAsia" w:ascii="仿宋_GB2312" w:hAnsi="仿宋_GB2312" w:eastAsia="仿宋_GB2312" w:cs="仿宋"/>
          <w:b w:val="0"/>
          <w:bCs/>
          <w:color w:val="000000"/>
          <w:sz w:val="30"/>
          <w:szCs w:val="30"/>
          <w:lang w:val="en-US" w:eastAsia="zh-CN"/>
        </w:rPr>
      </w:pPr>
    </w:p>
    <w:p>
      <w:pPr>
        <w:pStyle w:val="2"/>
        <w:rPr>
          <w:rFonts w:hint="eastAsia" w:ascii="仿宋_GB2312" w:hAnsi="仿宋_GB2312" w:eastAsia="仿宋_GB2312" w:cs="仿宋"/>
          <w:b w:val="0"/>
          <w:bCs/>
          <w:color w:val="000000"/>
          <w:sz w:val="30"/>
          <w:szCs w:val="30"/>
          <w:lang w:val="en-US" w:eastAsia="zh-CN"/>
        </w:rPr>
      </w:pPr>
    </w:p>
    <w:p>
      <w:pPr>
        <w:pStyle w:val="3"/>
        <w:rPr>
          <w:rFonts w:hint="eastAsia" w:ascii="仿宋_GB2312" w:hAnsi="仿宋_GB2312" w:eastAsia="仿宋_GB2312" w:cs="仿宋"/>
          <w:b w:val="0"/>
          <w:bCs/>
          <w:color w:val="000000"/>
          <w:sz w:val="30"/>
          <w:szCs w:val="30"/>
          <w:lang w:val="en-US" w:eastAsia="zh-CN"/>
        </w:rPr>
      </w:pPr>
    </w:p>
    <w:p>
      <w:pPr>
        <w:rPr>
          <w:rFonts w:hint="eastAsia" w:ascii="仿宋_GB2312" w:hAnsi="仿宋_GB2312" w:eastAsia="仿宋_GB2312" w:cs="仿宋"/>
          <w:b w:val="0"/>
          <w:bCs/>
          <w:color w:val="000000"/>
          <w:sz w:val="30"/>
          <w:szCs w:val="30"/>
          <w:lang w:val="en-US" w:eastAsia="zh-CN"/>
        </w:rPr>
      </w:pPr>
    </w:p>
    <w:p>
      <w:pPr>
        <w:pStyle w:val="2"/>
        <w:rPr>
          <w:rFonts w:hint="eastAsia" w:ascii="仿宋_GB2312" w:hAnsi="仿宋_GB2312" w:eastAsia="仿宋_GB2312" w:cs="仿宋"/>
          <w:b w:val="0"/>
          <w:bCs/>
          <w:color w:val="000000"/>
          <w:sz w:val="30"/>
          <w:szCs w:val="30"/>
          <w:lang w:val="en-US" w:eastAsia="zh-CN"/>
        </w:rPr>
      </w:pPr>
    </w:p>
    <w:p>
      <w:pPr>
        <w:pStyle w:val="3"/>
        <w:rPr>
          <w:rFonts w:hint="eastAsia" w:ascii="仿宋_GB2312" w:hAnsi="仿宋_GB2312" w:eastAsia="仿宋_GB2312" w:cs="仿宋"/>
          <w:b w:val="0"/>
          <w:bCs/>
          <w:color w:val="000000"/>
          <w:sz w:val="30"/>
          <w:szCs w:val="30"/>
          <w:lang w:val="en-US" w:eastAsia="zh-CN"/>
        </w:rPr>
      </w:pPr>
    </w:p>
    <w:p>
      <w:pPr>
        <w:rPr>
          <w:rFonts w:hint="eastAsia" w:ascii="仿宋_GB2312" w:hAnsi="仿宋_GB2312" w:eastAsia="仿宋_GB2312" w:cs="仿宋"/>
          <w:b w:val="0"/>
          <w:bCs/>
          <w:color w:val="000000"/>
          <w:sz w:val="30"/>
          <w:szCs w:val="30"/>
          <w:lang w:val="en-US" w:eastAsia="zh-CN"/>
        </w:rPr>
      </w:pPr>
    </w:p>
    <w:p>
      <w:pPr>
        <w:pStyle w:val="2"/>
        <w:rPr>
          <w:rFonts w:hint="eastAsia" w:ascii="仿宋_GB2312" w:hAnsi="仿宋_GB2312" w:eastAsia="仿宋_GB2312" w:cs="仿宋"/>
          <w:b w:val="0"/>
          <w:bCs/>
          <w:color w:val="000000"/>
          <w:sz w:val="30"/>
          <w:szCs w:val="30"/>
          <w:lang w:val="en-US" w:eastAsia="zh-CN"/>
        </w:rPr>
      </w:pPr>
    </w:p>
    <w:p>
      <w:pPr>
        <w:pStyle w:val="3"/>
        <w:rPr>
          <w:rFonts w:hint="eastAsia" w:ascii="仿宋_GB2312" w:hAnsi="仿宋_GB2312" w:eastAsia="仿宋_GB2312" w:cs="仿宋"/>
          <w:b w:val="0"/>
          <w:bCs/>
          <w:color w:val="000000"/>
          <w:sz w:val="30"/>
          <w:szCs w:val="30"/>
          <w:lang w:val="en-US" w:eastAsia="zh-CN"/>
        </w:rPr>
      </w:pPr>
    </w:p>
    <w:p>
      <w:pPr>
        <w:rPr>
          <w:rFonts w:hint="eastAsia" w:ascii="仿宋_GB2312" w:hAnsi="仿宋_GB2312" w:eastAsia="仿宋_GB2312" w:cs="仿宋"/>
          <w:b w:val="0"/>
          <w:bCs/>
          <w:color w:val="000000"/>
          <w:sz w:val="30"/>
          <w:szCs w:val="30"/>
          <w:lang w:val="en-US" w:eastAsia="zh-CN"/>
        </w:rPr>
      </w:pPr>
    </w:p>
    <w:p>
      <w:pPr>
        <w:pStyle w:val="2"/>
        <w:rPr>
          <w:rFonts w:hint="eastAsia" w:ascii="仿宋_GB2312" w:hAnsi="仿宋_GB2312" w:eastAsia="仿宋_GB2312" w:cs="仿宋"/>
          <w:b w:val="0"/>
          <w:bCs/>
          <w:color w:val="000000"/>
          <w:sz w:val="30"/>
          <w:szCs w:val="30"/>
          <w:lang w:val="en-US" w:eastAsia="zh-CN"/>
        </w:rPr>
      </w:pPr>
    </w:p>
    <w:p>
      <w:pPr>
        <w:pStyle w:val="3"/>
        <w:rPr>
          <w:rFonts w:hint="eastAsia" w:ascii="仿宋_GB2312" w:hAnsi="仿宋_GB2312" w:eastAsia="仿宋_GB2312" w:cs="仿宋"/>
          <w:b w:val="0"/>
          <w:bCs/>
          <w:color w:val="000000"/>
          <w:sz w:val="30"/>
          <w:szCs w:val="30"/>
          <w:lang w:val="en-US" w:eastAsia="zh-CN"/>
        </w:rPr>
      </w:pPr>
    </w:p>
    <w:p>
      <w:pPr>
        <w:rPr>
          <w:rFonts w:hint="eastAsia" w:ascii="仿宋_GB2312" w:hAnsi="仿宋_GB2312" w:eastAsia="仿宋_GB2312" w:cs="仿宋"/>
          <w:b w:val="0"/>
          <w:bCs/>
          <w:color w:val="000000"/>
          <w:sz w:val="30"/>
          <w:szCs w:val="30"/>
          <w:lang w:val="en-US" w:eastAsia="zh-CN"/>
        </w:rPr>
      </w:pPr>
    </w:p>
    <w:p>
      <w:pPr>
        <w:pStyle w:val="2"/>
        <w:rPr>
          <w:rFonts w:hint="eastAsia" w:ascii="仿宋_GB2312" w:hAnsi="仿宋_GB2312" w:eastAsia="仿宋_GB2312" w:cs="仿宋"/>
          <w:b w:val="0"/>
          <w:bCs/>
          <w:color w:val="000000"/>
          <w:sz w:val="30"/>
          <w:szCs w:val="30"/>
          <w:lang w:val="en-US" w:eastAsia="zh-CN"/>
        </w:rPr>
      </w:pPr>
    </w:p>
    <w:p>
      <w:pPr>
        <w:pStyle w:val="19"/>
      </w:pPr>
    </w:p>
    <w:p>
      <w:pPr>
        <w:autoSpaceDE w:val="0"/>
        <w:autoSpaceDN w:val="0"/>
        <w:adjustRightInd w:val="0"/>
        <w:jc w:val="center"/>
        <w:rPr>
          <w:rFonts w:ascii="宋体" w:hAnsi="Arial" w:cs="宋体"/>
          <w:b/>
          <w:bCs/>
          <w:kern w:val="0"/>
          <w:sz w:val="32"/>
          <w:szCs w:val="32"/>
          <w:lang w:val="zh-CN"/>
        </w:rPr>
      </w:pPr>
      <w:r>
        <w:rPr>
          <w:rFonts w:hint="eastAsia" w:ascii="宋体" w:hAnsi="Arial" w:cs="宋体"/>
          <w:b/>
          <w:bCs/>
          <w:kern w:val="0"/>
          <w:sz w:val="32"/>
          <w:szCs w:val="32"/>
          <w:lang w:val="zh-CN"/>
        </w:rPr>
        <w:t>最后报价一览表</w:t>
      </w:r>
    </w:p>
    <w:p>
      <w:pPr>
        <w:autoSpaceDE w:val="0"/>
        <w:autoSpaceDN w:val="0"/>
        <w:adjustRightInd w:val="0"/>
        <w:jc w:val="center"/>
        <w:rPr>
          <w:rFonts w:ascii="宋体" w:hAnsi="Arial" w:cs="宋体"/>
          <w:kern w:val="0"/>
          <w:sz w:val="24"/>
          <w:lang w:val="zh-CN"/>
        </w:rPr>
      </w:pPr>
    </w:p>
    <w:p>
      <w:pPr>
        <w:spacing w:line="360" w:lineRule="exact"/>
        <w:rPr>
          <w:rFonts w:hint="eastAsia" w:ascii="FangSong_GB2312" w:hAnsi="宋体" w:eastAsia="FangSong_GB2312"/>
          <w:sz w:val="24"/>
        </w:rPr>
      </w:pPr>
      <w:r>
        <w:rPr>
          <w:rFonts w:hint="eastAsia" w:ascii="FangSong_GB2312" w:hAnsi="宋体" w:eastAsia="FangSong_GB2312"/>
          <w:sz w:val="24"/>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7"/>
        <w:gridCol w:w="2482"/>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4" w:hRule="atLeast"/>
        </w:trPr>
        <w:tc>
          <w:tcPr>
            <w:tcW w:w="757" w:type="dxa"/>
            <w:tcBorders>
              <w:top w:val="single" w:color="000000" w:sz="2" w:space="0"/>
              <w:left w:val="single" w:color="000000" w:sz="2" w:space="0"/>
              <w:right w:val="single" w:color="000000" w:sz="2" w:space="0"/>
            </w:tcBorders>
            <w:noWrap w:val="0"/>
            <w:vAlign w:val="center"/>
          </w:tcPr>
          <w:p>
            <w:pPr>
              <w:jc w:val="center"/>
              <w:rPr>
                <w:rFonts w:hint="eastAsia" w:ascii="宋体" w:hAnsi="Arial" w:cs="宋体"/>
                <w:kern w:val="0"/>
                <w:sz w:val="24"/>
                <w:lang w:val="zh-CN"/>
              </w:rPr>
            </w:pPr>
            <w:r>
              <w:rPr>
                <w:rFonts w:hint="eastAsia" w:ascii="宋体" w:hAnsi="宋体" w:cs="宋体"/>
                <w:kern w:val="0"/>
                <w:sz w:val="24"/>
                <w:lang w:val="zh-CN"/>
              </w:rPr>
              <w:t>序号</w:t>
            </w:r>
          </w:p>
        </w:tc>
        <w:tc>
          <w:tcPr>
            <w:tcW w:w="2482" w:type="dxa"/>
            <w:tcBorders>
              <w:top w:val="single" w:color="000000" w:sz="2" w:space="0"/>
              <w:left w:val="single" w:color="auto" w:sz="4" w:space="0"/>
            </w:tcBorders>
            <w:noWrap w:val="0"/>
            <w:vAlign w:val="center"/>
          </w:tcPr>
          <w:p>
            <w:pPr>
              <w:jc w:val="center"/>
              <w:rPr>
                <w:rFonts w:hint="eastAsia" w:ascii="宋体" w:hAnsi="Arial" w:cs="宋体"/>
                <w:kern w:val="0"/>
                <w:sz w:val="24"/>
                <w:lang w:val="zh-CN"/>
              </w:rPr>
            </w:pPr>
            <w:r>
              <w:rPr>
                <w:rFonts w:hint="eastAsia" w:ascii="宋体" w:hAnsi="宋体" w:cs="宋体"/>
                <w:kern w:val="0"/>
                <w:sz w:val="24"/>
                <w:lang w:val="zh-CN"/>
              </w:rPr>
              <w:t>项目名称</w:t>
            </w:r>
          </w:p>
        </w:tc>
        <w:tc>
          <w:tcPr>
            <w:tcW w:w="6139" w:type="dxa"/>
            <w:tcBorders>
              <w:top w:val="single" w:color="000000" w:sz="2" w:space="0"/>
              <w:left w:val="single" w:color="auto" w:sz="4" w:space="0"/>
            </w:tcBorders>
            <w:noWrap w:val="0"/>
            <w:vAlign w:val="center"/>
          </w:tcPr>
          <w:p>
            <w:pPr>
              <w:jc w:val="left"/>
              <w:rPr>
                <w:rFonts w:hint="eastAsia" w:ascii="宋体" w:hAnsi="Arial" w:cs="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trPr>
        <w:tc>
          <w:tcPr>
            <w:tcW w:w="757" w:type="dxa"/>
            <w:vMerge w:val="restart"/>
            <w:tcBorders>
              <w:top w:val="single" w:color="auto" w:sz="4" w:space="0"/>
              <w:left w:val="single" w:color="000000" w:sz="2" w:space="0"/>
              <w:right w:val="single" w:color="000000" w:sz="2" w:space="0"/>
            </w:tcBorders>
            <w:noWrap w:val="0"/>
            <w:vAlign w:val="center"/>
          </w:tcPr>
          <w:p>
            <w:pPr>
              <w:jc w:val="center"/>
              <w:rPr>
                <w:rFonts w:hint="eastAsia" w:ascii="宋体" w:hAnsi="Arial" w:cs="宋体"/>
                <w:kern w:val="0"/>
                <w:sz w:val="24"/>
                <w:lang w:val="zh-CN"/>
              </w:rPr>
            </w:pPr>
            <w:r>
              <w:rPr>
                <w:rFonts w:hint="eastAsia" w:ascii="宋体" w:hAnsi="宋体" w:cs="宋体"/>
                <w:kern w:val="0"/>
                <w:sz w:val="24"/>
                <w:lang w:val="zh-CN"/>
              </w:rPr>
              <w:t>1</w:t>
            </w:r>
          </w:p>
        </w:tc>
        <w:tc>
          <w:tcPr>
            <w:tcW w:w="248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kern w:val="0"/>
                <w:sz w:val="24"/>
                <w:lang w:val="zh-CN"/>
              </w:rPr>
            </w:pPr>
            <w:r>
              <w:rPr>
                <w:rFonts w:hint="eastAsia" w:ascii="宋体" w:hAnsi="宋体" w:cs="宋体"/>
                <w:kern w:val="0"/>
                <w:sz w:val="24"/>
                <w:lang w:val="zh-CN"/>
              </w:rPr>
              <w:t>报价</w:t>
            </w:r>
          </w:p>
          <w:p>
            <w:pPr>
              <w:jc w:val="center"/>
              <w:rPr>
                <w:rFonts w:hint="eastAsia" w:ascii="宋体" w:hAnsi="Arial" w:cs="宋体"/>
                <w:kern w:val="0"/>
                <w:sz w:val="24"/>
                <w:lang w:val="zh-CN"/>
              </w:rPr>
            </w:pPr>
            <w:r>
              <w:rPr>
                <w:rFonts w:hint="eastAsia" w:ascii="宋体" w:hAnsi="宋体" w:cs="宋体"/>
                <w:kern w:val="0"/>
                <w:sz w:val="24"/>
                <w:lang w:val="zh-CN"/>
              </w:rPr>
              <w:t>（币种：人民币）</w:t>
            </w:r>
          </w:p>
        </w:tc>
        <w:tc>
          <w:tcPr>
            <w:tcW w:w="6139" w:type="dxa"/>
            <w:tcBorders>
              <w:top w:val="single" w:color="auto" w:sz="4" w:space="0"/>
              <w:left w:val="single" w:color="auto" w:sz="4" w:space="0"/>
              <w:right w:val="single" w:color="000000" w:sz="2" w:space="0"/>
            </w:tcBorders>
            <w:noWrap w:val="0"/>
            <w:vAlign w:val="center"/>
          </w:tcPr>
          <w:p>
            <w:pPr>
              <w:jc w:val="left"/>
              <w:rPr>
                <w:rFonts w:ascii="宋体" w:hAnsi="Arial" w:cs="宋体"/>
                <w:kern w:val="0"/>
                <w:sz w:val="24"/>
                <w:lang w:val="zh-CN"/>
              </w:rPr>
            </w:pPr>
            <w:r>
              <w:rPr>
                <w:rFonts w:hint="eastAsia" w:ascii="宋体" w:hAnsi="宋体" w:cs="宋体"/>
                <w:kern w:val="0"/>
                <w:sz w:val="24"/>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7" w:hRule="atLeast"/>
        </w:trPr>
        <w:tc>
          <w:tcPr>
            <w:tcW w:w="757" w:type="dxa"/>
            <w:vMerge w:val="continue"/>
            <w:tcBorders>
              <w:left w:val="single" w:color="000000" w:sz="2" w:space="0"/>
              <w:right w:val="single" w:color="000000" w:sz="2" w:space="0"/>
            </w:tcBorders>
            <w:noWrap w:val="0"/>
            <w:vAlign w:val="center"/>
          </w:tcPr>
          <w:p>
            <w:pPr>
              <w:jc w:val="center"/>
              <w:rPr>
                <w:rFonts w:hint="eastAsia" w:ascii="宋体" w:hAnsi="Arial" w:cs="宋体"/>
                <w:kern w:val="0"/>
                <w:sz w:val="24"/>
                <w:lang w:val="zh-CN"/>
              </w:rPr>
            </w:pPr>
          </w:p>
        </w:tc>
        <w:tc>
          <w:tcPr>
            <w:tcW w:w="2482" w:type="dxa"/>
            <w:vMerge w:val="continue"/>
            <w:tcBorders>
              <w:left w:val="single" w:color="auto" w:sz="4" w:space="0"/>
              <w:right w:val="single" w:color="auto" w:sz="4" w:space="0"/>
            </w:tcBorders>
            <w:noWrap w:val="0"/>
            <w:vAlign w:val="center"/>
          </w:tcPr>
          <w:p>
            <w:pPr>
              <w:jc w:val="center"/>
              <w:rPr>
                <w:rFonts w:hint="eastAsia" w:ascii="宋体" w:hAnsi="Arial" w:cs="宋体"/>
                <w:kern w:val="0"/>
                <w:sz w:val="24"/>
                <w:lang w:val="zh-CN"/>
              </w:rPr>
            </w:pPr>
          </w:p>
        </w:tc>
        <w:tc>
          <w:tcPr>
            <w:tcW w:w="6139" w:type="dxa"/>
            <w:tcBorders>
              <w:top w:val="single" w:color="auto" w:sz="4" w:space="0"/>
              <w:left w:val="single" w:color="auto" w:sz="4" w:space="0"/>
              <w:right w:val="single" w:color="000000" w:sz="2" w:space="0"/>
            </w:tcBorders>
            <w:noWrap w:val="0"/>
            <w:vAlign w:val="center"/>
          </w:tcPr>
          <w:p>
            <w:pPr>
              <w:jc w:val="left"/>
              <w:rPr>
                <w:rFonts w:ascii="宋体" w:hAnsi="Arial" w:cs="宋体"/>
                <w:kern w:val="0"/>
                <w:sz w:val="24"/>
                <w:lang w:val="zh-CN"/>
              </w:rPr>
            </w:pPr>
            <w:r>
              <w:rPr>
                <w:rFonts w:hint="eastAsia" w:ascii="宋体" w:hAnsi="宋体" w:cs="宋体"/>
                <w:kern w:val="0"/>
                <w:sz w:val="24"/>
                <w:lang w:val="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7" w:hRule="atLeast"/>
        </w:trPr>
        <w:tc>
          <w:tcPr>
            <w:tcW w:w="757" w:type="dxa"/>
            <w:tcBorders>
              <w:left w:val="single" w:color="000000" w:sz="2" w:space="0"/>
              <w:bottom w:val="single" w:color="000000" w:sz="2" w:space="0"/>
              <w:right w:val="single" w:color="000000" w:sz="2" w:space="0"/>
            </w:tcBorders>
            <w:noWrap w:val="0"/>
            <w:vAlign w:val="center"/>
          </w:tcPr>
          <w:p>
            <w:pPr>
              <w:jc w:val="center"/>
              <w:rPr>
                <w:rFonts w:hint="eastAsia" w:ascii="宋体" w:hAnsi="Arial" w:cs="宋体"/>
                <w:kern w:val="0"/>
                <w:sz w:val="24"/>
                <w:lang w:val="zh-CN"/>
              </w:rPr>
            </w:pPr>
            <w:r>
              <w:rPr>
                <w:rFonts w:hint="eastAsia" w:ascii="宋体" w:hAnsi="宋体" w:cs="宋体"/>
                <w:kern w:val="0"/>
                <w:sz w:val="24"/>
                <w:lang w:val="zh-CN"/>
              </w:rPr>
              <w:t>2</w:t>
            </w:r>
          </w:p>
        </w:tc>
        <w:tc>
          <w:tcPr>
            <w:tcW w:w="2482" w:type="dxa"/>
            <w:tcBorders>
              <w:top w:val="single" w:color="auto" w:sz="4" w:space="0"/>
              <w:left w:val="single" w:color="auto" w:sz="4" w:space="0"/>
              <w:bottom w:val="single" w:color="000000" w:sz="2" w:space="0"/>
              <w:right w:val="single" w:color="auto" w:sz="4" w:space="0"/>
            </w:tcBorders>
            <w:noWrap w:val="0"/>
            <w:vAlign w:val="center"/>
          </w:tcPr>
          <w:p>
            <w:pPr>
              <w:jc w:val="center"/>
              <w:rPr>
                <w:rFonts w:hint="eastAsia" w:ascii="宋体" w:hAnsi="Arial" w:cs="宋体"/>
                <w:kern w:val="0"/>
                <w:sz w:val="24"/>
                <w:lang w:val="zh-CN"/>
              </w:rPr>
            </w:pPr>
            <w:r>
              <w:rPr>
                <w:rFonts w:hint="eastAsia" w:ascii="宋体" w:hAnsi="宋体" w:cs="宋体"/>
                <w:kern w:val="0"/>
                <w:sz w:val="24"/>
                <w:lang w:val="zh-CN"/>
              </w:rPr>
              <w:t>服务期限</w:t>
            </w:r>
          </w:p>
        </w:tc>
        <w:tc>
          <w:tcPr>
            <w:tcW w:w="6139" w:type="dxa"/>
            <w:tcBorders>
              <w:top w:val="single" w:color="auto" w:sz="4" w:space="0"/>
              <w:left w:val="single" w:color="auto" w:sz="4" w:space="0"/>
              <w:bottom w:val="single" w:color="000000" w:sz="2" w:space="0"/>
              <w:right w:val="single" w:color="000000" w:sz="2" w:space="0"/>
            </w:tcBorders>
            <w:noWrap w:val="0"/>
            <w:vAlign w:val="center"/>
          </w:tcPr>
          <w:p>
            <w:pPr>
              <w:jc w:val="left"/>
              <w:rPr>
                <w:rFonts w:hint="eastAsia" w:ascii="宋体" w:hAnsi="Arial" w:cs="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96" w:hRule="atLeast"/>
        </w:trPr>
        <w:tc>
          <w:tcPr>
            <w:tcW w:w="757" w:type="dxa"/>
            <w:tcBorders>
              <w:top w:val="single" w:color="auto" w:sz="4" w:space="0"/>
              <w:left w:val="single" w:color="000000" w:sz="2" w:space="0"/>
              <w:bottom w:val="single" w:color="000000" w:sz="2" w:space="0"/>
              <w:right w:val="single" w:color="000000" w:sz="2" w:space="0"/>
            </w:tcBorders>
            <w:noWrap w:val="0"/>
            <w:vAlign w:val="center"/>
          </w:tcPr>
          <w:p>
            <w:pPr>
              <w:jc w:val="center"/>
              <w:rPr>
                <w:rFonts w:ascii="宋体" w:hAnsi="Arial" w:cs="宋体"/>
                <w:kern w:val="0"/>
                <w:sz w:val="24"/>
                <w:lang w:val="zh-CN"/>
              </w:rPr>
            </w:pPr>
            <w:r>
              <w:rPr>
                <w:rFonts w:hint="eastAsia" w:ascii="宋体" w:hAnsi="宋体" w:cs="宋体"/>
                <w:kern w:val="0"/>
                <w:sz w:val="24"/>
                <w:lang w:val="zh-CN"/>
              </w:rPr>
              <w:t>3</w:t>
            </w:r>
          </w:p>
        </w:tc>
        <w:tc>
          <w:tcPr>
            <w:tcW w:w="2482" w:type="dxa"/>
            <w:tcBorders>
              <w:top w:val="single" w:color="auto" w:sz="4" w:space="0"/>
              <w:left w:val="single" w:color="auto" w:sz="4" w:space="0"/>
              <w:bottom w:val="single" w:color="000000" w:sz="2" w:space="0"/>
              <w:right w:val="single" w:color="000000" w:sz="2" w:space="0"/>
            </w:tcBorders>
            <w:noWrap w:val="0"/>
            <w:vAlign w:val="center"/>
          </w:tcPr>
          <w:p>
            <w:pPr>
              <w:jc w:val="center"/>
              <w:rPr>
                <w:rFonts w:hint="eastAsia" w:ascii="宋体" w:hAnsi="宋体" w:cs="宋体"/>
                <w:sz w:val="24"/>
              </w:rPr>
            </w:pPr>
            <w:r>
              <w:rPr>
                <w:rFonts w:hint="eastAsia" w:ascii="宋体" w:hAnsi="宋体" w:cs="宋体"/>
                <w:kern w:val="0"/>
                <w:sz w:val="24"/>
                <w:lang w:val="zh-CN"/>
              </w:rPr>
              <w:t>质量标准</w:t>
            </w:r>
          </w:p>
        </w:tc>
        <w:tc>
          <w:tcPr>
            <w:tcW w:w="6139" w:type="dxa"/>
            <w:tcBorders>
              <w:top w:val="single" w:color="auto" w:sz="4" w:space="0"/>
              <w:left w:val="single" w:color="auto" w:sz="4" w:space="0"/>
              <w:bottom w:val="single" w:color="000000" w:sz="2" w:space="0"/>
              <w:right w:val="single" w:color="000000" w:sz="2" w:space="0"/>
            </w:tcBorders>
            <w:noWrap w:val="0"/>
            <w:vAlign w:val="center"/>
          </w:tcPr>
          <w:p>
            <w:pPr>
              <w:jc w:val="left"/>
              <w:rPr>
                <w:rFonts w:hint="eastAsia" w:ascii="宋体" w:hAnsi="Arial" w:cs="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3" w:hRule="atLeast"/>
        </w:trPr>
        <w:tc>
          <w:tcPr>
            <w:tcW w:w="3239" w:type="dxa"/>
            <w:gridSpan w:val="2"/>
            <w:tcBorders>
              <w:top w:val="single" w:color="auto" w:sz="4" w:space="0"/>
              <w:left w:val="single" w:color="000000" w:sz="2" w:space="0"/>
              <w:bottom w:val="single" w:color="000000" w:sz="2" w:space="0"/>
              <w:right w:val="single" w:color="000000" w:sz="2" w:space="0"/>
            </w:tcBorders>
            <w:noWrap w:val="0"/>
            <w:vAlign w:val="center"/>
          </w:tcPr>
          <w:p>
            <w:pPr>
              <w:jc w:val="center"/>
              <w:rPr>
                <w:rFonts w:hint="eastAsia" w:ascii="宋体" w:hAnsi="宋体" w:eastAsia="仿宋" w:cs="宋体"/>
                <w:sz w:val="24"/>
                <w:lang w:eastAsia="zh-CN"/>
              </w:rPr>
            </w:pPr>
            <w:r>
              <w:rPr>
                <w:rFonts w:hint="eastAsia" w:ascii="宋体" w:hAnsi="宋体" w:cs="宋体"/>
                <w:sz w:val="24"/>
                <w:lang w:eastAsia="zh-CN"/>
              </w:rPr>
              <w:t>法人或授权人确认签字</w:t>
            </w:r>
          </w:p>
        </w:tc>
        <w:tc>
          <w:tcPr>
            <w:tcW w:w="6139" w:type="dxa"/>
            <w:tcBorders>
              <w:top w:val="single" w:color="auto" w:sz="4" w:space="0"/>
              <w:left w:val="single" w:color="auto" w:sz="4" w:space="0"/>
              <w:bottom w:val="single" w:color="000000" w:sz="2" w:space="0"/>
              <w:right w:val="single" w:color="000000" w:sz="2" w:space="0"/>
            </w:tcBorders>
            <w:noWrap w:val="0"/>
            <w:vAlign w:val="center"/>
          </w:tcPr>
          <w:p>
            <w:pPr>
              <w:jc w:val="left"/>
              <w:rPr>
                <w:rFonts w:hint="eastAsia" w:ascii="宋体" w:hAnsi="Arial" w:cs="宋体"/>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96" w:hRule="atLeast"/>
        </w:trPr>
        <w:tc>
          <w:tcPr>
            <w:tcW w:w="9378" w:type="dxa"/>
            <w:gridSpan w:val="3"/>
            <w:tcBorders>
              <w:top w:val="single" w:color="auto" w:sz="4" w:space="0"/>
              <w:left w:val="single" w:color="000000" w:sz="2" w:space="0"/>
              <w:bottom w:val="single" w:color="000000" w:sz="2" w:space="0"/>
              <w:right w:val="single" w:color="000000" w:sz="2" w:space="0"/>
            </w:tcBorders>
            <w:noWrap w:val="0"/>
            <w:vAlign w:val="center"/>
          </w:tcPr>
          <w:p>
            <w:pPr>
              <w:pStyle w:val="15"/>
              <w:ind w:firstLine="480" w:firstLineChars="200"/>
              <w:outlineLvl w:val="1"/>
              <w:rPr>
                <w:rFonts w:hint="eastAsia" w:hAnsi="Arial" w:cs="宋体"/>
                <w:kern w:val="0"/>
                <w:sz w:val="24"/>
                <w:lang w:val="zh-CN"/>
              </w:rPr>
            </w:pPr>
            <w:r>
              <w:rPr>
                <w:rFonts w:hint="eastAsia" w:hAnsi="宋体" w:cs="宋体"/>
                <w:kern w:val="0"/>
                <w:sz w:val="24"/>
                <w:szCs w:val="24"/>
                <w:lang w:val="zh-CN"/>
              </w:rPr>
              <w:t>备注：</w:t>
            </w:r>
          </w:p>
        </w:tc>
      </w:tr>
    </w:tbl>
    <w:p>
      <w:pPr>
        <w:spacing w:line="360" w:lineRule="exact"/>
        <w:rPr>
          <w:rFonts w:hint="eastAsia" w:ascii="宋体" w:hAnsi="Arial" w:cs="宋体"/>
          <w:kern w:val="0"/>
          <w:sz w:val="24"/>
          <w:lang w:val="zh-CN"/>
        </w:rPr>
      </w:pPr>
    </w:p>
    <w:p>
      <w:pPr>
        <w:tabs>
          <w:tab w:val="left" w:pos="5580"/>
        </w:tabs>
        <w:autoSpaceDE w:val="0"/>
        <w:autoSpaceDN w:val="0"/>
        <w:adjustRightInd w:val="0"/>
        <w:ind w:left="630" w:hanging="630"/>
        <w:rPr>
          <w:rFonts w:hint="eastAsia" w:ascii="宋体" w:cs="宋体"/>
          <w:kern w:val="0"/>
          <w:sz w:val="24"/>
          <w:lang w:val="zh-CN"/>
        </w:rPr>
      </w:pPr>
      <w:r>
        <w:rPr>
          <w:rFonts w:hint="eastAsia" w:ascii="宋体" w:cs="宋体"/>
          <w:kern w:val="0"/>
          <w:sz w:val="24"/>
          <w:lang w:val="zh-CN"/>
        </w:rPr>
        <w:t xml:space="preserve">                                         </w:t>
      </w:r>
    </w:p>
    <w:p>
      <w:pPr>
        <w:tabs>
          <w:tab w:val="left" w:pos="5580"/>
        </w:tabs>
        <w:autoSpaceDE w:val="0"/>
        <w:autoSpaceDN w:val="0"/>
        <w:adjustRightInd w:val="0"/>
        <w:ind w:left="630" w:hanging="630"/>
        <w:rPr>
          <w:rFonts w:hint="eastAsia" w:ascii="宋体" w:cs="宋体"/>
          <w:kern w:val="0"/>
          <w:sz w:val="24"/>
          <w:lang w:val="zh-CN"/>
        </w:rPr>
      </w:pPr>
    </w:p>
    <w:p>
      <w:pPr>
        <w:tabs>
          <w:tab w:val="left" w:pos="5580"/>
        </w:tabs>
        <w:autoSpaceDE w:val="0"/>
        <w:autoSpaceDN w:val="0"/>
        <w:adjustRightInd w:val="0"/>
        <w:ind w:left="630" w:hanging="630"/>
        <w:rPr>
          <w:rFonts w:hint="eastAsia" w:ascii="宋体" w:cs="宋体"/>
          <w:kern w:val="0"/>
          <w:sz w:val="24"/>
          <w:lang w:val="zh-CN"/>
        </w:rPr>
      </w:pPr>
    </w:p>
    <w:p>
      <w:pPr>
        <w:tabs>
          <w:tab w:val="left" w:pos="5580"/>
        </w:tabs>
        <w:autoSpaceDE w:val="0"/>
        <w:autoSpaceDN w:val="0"/>
        <w:adjustRightInd w:val="0"/>
        <w:ind w:left="669" w:leftChars="304" w:firstLine="4320" w:firstLineChars="1800"/>
        <w:rPr>
          <w:rFonts w:hint="eastAsia" w:ascii="宋体" w:cs="宋体"/>
          <w:kern w:val="0"/>
          <w:sz w:val="24"/>
        </w:rPr>
      </w:pPr>
      <w:r>
        <w:rPr>
          <w:rFonts w:hint="eastAsia" w:ascii="宋体" w:cs="宋体"/>
          <w:kern w:val="0"/>
          <w:sz w:val="24"/>
          <w:lang w:val="zh-CN"/>
        </w:rPr>
        <w:t>日期</w:t>
      </w:r>
      <w:r>
        <w:rPr>
          <w:rFonts w:hint="eastAsia" w:ascii="宋体" w:cs="宋体"/>
          <w:kern w:val="0"/>
          <w:sz w:val="24"/>
        </w:rPr>
        <w:t>：</w:t>
      </w:r>
      <w:r>
        <w:rPr>
          <w:rFonts w:hint="eastAsia" w:ascii="宋体" w:cs="宋体"/>
          <w:kern w:val="0"/>
          <w:sz w:val="24"/>
          <w:lang w:val="en-US" w:eastAsia="zh-CN"/>
        </w:rPr>
        <w:t xml:space="preserve">    </w:t>
      </w:r>
      <w:r>
        <w:rPr>
          <w:rFonts w:hint="eastAsia" w:ascii="宋体" w:cs="宋体"/>
          <w:kern w:val="0"/>
          <w:sz w:val="24"/>
        </w:rPr>
        <w:t>年    月      日</w:t>
      </w:r>
    </w:p>
    <w:p>
      <w:pPr>
        <w:pStyle w:val="2"/>
        <w:rPr>
          <w:rFonts w:hint="eastAsia" w:ascii="宋体" w:cs="宋体"/>
          <w:kern w:val="0"/>
          <w:sz w:val="24"/>
        </w:rPr>
      </w:pPr>
    </w:p>
    <w:p>
      <w:pPr>
        <w:pStyle w:val="3"/>
        <w:rPr>
          <w:rFonts w:hint="eastAsia"/>
          <w:lang w:val="zh-CN"/>
        </w:rPr>
      </w:pPr>
    </w:p>
    <w:p>
      <w:pPr>
        <w:pStyle w:val="2"/>
        <w:ind w:firstLine="3534" w:firstLineChars="800"/>
        <w:rPr>
          <w:rStyle w:val="36"/>
          <w:rFonts w:hint="eastAsia" w:ascii="宋体" w:hAnsi="宋体"/>
          <w:b/>
          <w:kern w:val="2"/>
          <w:sz w:val="44"/>
          <w:szCs w:val="44"/>
          <w:lang w:val="en-US" w:eastAsia="zh-CN" w:bidi="ar-SA"/>
        </w:rPr>
      </w:pPr>
    </w:p>
    <w:p>
      <w:pPr>
        <w:pStyle w:val="19"/>
      </w:pPr>
    </w:p>
    <w:sectPr>
      <w:pgSz w:w="11910" w:h="16840"/>
      <w:pgMar w:top="1580" w:right="940" w:bottom="1180" w:left="940" w:header="0" w:footer="100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FangSong_GB2312">
    <w:altName w:val="仿宋"/>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5170"/>
      <w:rPr>
        <w:rFonts w:ascii="Times New Roman" w:hAnsi="Times New Roman" w:eastAsia="Times New Roman" w:cs="Times New Roman"/>
        <w:sz w:val="18"/>
        <w:szCs w:val="18"/>
      </w:rPr>
    </w:pPr>
    <w:r>
      <w:rPr>
        <w:rFonts w:ascii="Times New Roman" w:hAnsi="Times New Roman" w:eastAsia="Times New Roman" w:cs="Times New Roman"/>
        <w:spacing w:val="-2"/>
        <w:position w:val="-2"/>
        <w:sz w:val="18"/>
        <w:szCs w:val="18"/>
      </w:rPr>
      <w:t>25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新疆玛纳斯县地质灾害风险普查</w:t>
    </w:r>
    <w:r>
      <w:rPr>
        <w:rFonts w:hint="eastAsia"/>
        <w:lang w:eastAsia="zh-CN"/>
      </w:rPr>
      <w:t>项目</w:t>
    </w: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8"/>
      <w:numFmt w:val="decimal"/>
      <w:lvlText w:val="%1"/>
      <w:lvlJc w:val="left"/>
      <w:pPr>
        <w:ind w:left="1498" w:hanging="540"/>
        <w:jc w:val="left"/>
      </w:pPr>
      <w:rPr>
        <w:rFonts w:hint="default"/>
        <w:lang w:val="zh-CN" w:eastAsia="zh-CN" w:bidi="zh-CN"/>
      </w:rPr>
    </w:lvl>
    <w:lvl w:ilvl="1" w:tentative="0">
      <w:start w:val="3"/>
      <w:numFmt w:val="decimal"/>
      <w:lvlText w:val="%1.%2"/>
      <w:lvlJc w:val="left"/>
      <w:pPr>
        <w:ind w:left="1498" w:hanging="54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1738" w:hanging="780"/>
        <w:jc w:val="left"/>
      </w:pPr>
      <w:rPr>
        <w:rFonts w:hint="default" w:ascii="仿宋" w:hAnsi="仿宋" w:eastAsia="仿宋" w:cs="仿宋"/>
        <w:w w:val="100"/>
        <w:sz w:val="24"/>
        <w:szCs w:val="24"/>
        <w:lang w:val="zh-CN" w:eastAsia="zh-CN" w:bidi="zh-CN"/>
      </w:rPr>
    </w:lvl>
    <w:lvl w:ilvl="3" w:tentative="0">
      <w:start w:val="1"/>
      <w:numFmt w:val="decimal"/>
      <w:lvlText w:val="%1.%2.%3.%4"/>
      <w:lvlJc w:val="left"/>
      <w:pPr>
        <w:ind w:left="478" w:hanging="1023"/>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1980" w:hanging="1023"/>
      </w:pPr>
      <w:rPr>
        <w:rFonts w:hint="default"/>
        <w:lang w:val="zh-CN" w:eastAsia="zh-CN" w:bidi="zh-CN"/>
      </w:rPr>
    </w:lvl>
    <w:lvl w:ilvl="5" w:tentative="0">
      <w:start w:val="0"/>
      <w:numFmt w:val="bullet"/>
      <w:lvlText w:val="•"/>
      <w:lvlJc w:val="left"/>
      <w:pPr>
        <w:ind w:left="2100" w:hanging="1023"/>
      </w:pPr>
      <w:rPr>
        <w:rFonts w:hint="default"/>
        <w:lang w:val="zh-CN" w:eastAsia="zh-CN" w:bidi="zh-CN"/>
      </w:rPr>
    </w:lvl>
    <w:lvl w:ilvl="6" w:tentative="0">
      <w:start w:val="0"/>
      <w:numFmt w:val="bullet"/>
      <w:lvlText w:val="•"/>
      <w:lvlJc w:val="left"/>
      <w:pPr>
        <w:ind w:left="3685" w:hanging="1023"/>
      </w:pPr>
      <w:rPr>
        <w:rFonts w:hint="default"/>
        <w:lang w:val="zh-CN" w:eastAsia="zh-CN" w:bidi="zh-CN"/>
      </w:rPr>
    </w:lvl>
    <w:lvl w:ilvl="7" w:tentative="0">
      <w:start w:val="0"/>
      <w:numFmt w:val="bullet"/>
      <w:lvlText w:val="•"/>
      <w:lvlJc w:val="left"/>
      <w:pPr>
        <w:ind w:left="5270" w:hanging="1023"/>
      </w:pPr>
      <w:rPr>
        <w:rFonts w:hint="default"/>
        <w:lang w:val="zh-CN" w:eastAsia="zh-CN" w:bidi="zh-CN"/>
      </w:rPr>
    </w:lvl>
    <w:lvl w:ilvl="8" w:tentative="0">
      <w:start w:val="0"/>
      <w:numFmt w:val="bullet"/>
      <w:lvlText w:val="•"/>
      <w:lvlJc w:val="left"/>
      <w:pPr>
        <w:ind w:left="6855" w:hanging="1023"/>
      </w:pPr>
      <w:rPr>
        <w:rFonts w:hint="default"/>
        <w:lang w:val="zh-CN" w:eastAsia="zh-CN" w:bidi="zh-CN"/>
      </w:rPr>
    </w:lvl>
  </w:abstractNum>
  <w:abstractNum w:abstractNumId="1">
    <w:nsid w:val="B0F1ACD9"/>
    <w:multiLevelType w:val="multilevel"/>
    <w:tmpl w:val="B0F1ACD9"/>
    <w:lvl w:ilvl="0" w:tentative="0">
      <w:start w:val="1"/>
      <w:numFmt w:val="decimal"/>
      <w:lvlText w:val="%1."/>
      <w:lvlJc w:val="left"/>
      <w:pPr>
        <w:ind w:left="1320" w:hanging="284"/>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478" w:hanging="420"/>
        <w:jc w:val="left"/>
      </w:pPr>
      <w:rPr>
        <w:rFonts w:hint="default" w:ascii="仿宋" w:hAnsi="仿宋" w:eastAsia="仿宋" w:cs="仿宋"/>
        <w:w w:val="100"/>
        <w:sz w:val="24"/>
        <w:szCs w:val="24"/>
        <w:lang w:val="zh-CN" w:eastAsia="zh-CN" w:bidi="zh-CN"/>
      </w:rPr>
    </w:lvl>
    <w:lvl w:ilvl="2" w:tentative="0">
      <w:start w:val="0"/>
      <w:numFmt w:val="bullet"/>
      <w:lvlText w:val="•"/>
      <w:lvlJc w:val="left"/>
      <w:pPr>
        <w:ind w:left="2287" w:hanging="420"/>
      </w:pPr>
      <w:rPr>
        <w:rFonts w:hint="default"/>
        <w:lang w:val="zh-CN" w:eastAsia="zh-CN" w:bidi="zh-CN"/>
      </w:rPr>
    </w:lvl>
    <w:lvl w:ilvl="3" w:tentative="0">
      <w:start w:val="0"/>
      <w:numFmt w:val="bullet"/>
      <w:lvlText w:val="•"/>
      <w:lvlJc w:val="left"/>
      <w:pPr>
        <w:ind w:left="3254" w:hanging="420"/>
      </w:pPr>
      <w:rPr>
        <w:rFonts w:hint="default"/>
        <w:lang w:val="zh-CN" w:eastAsia="zh-CN" w:bidi="zh-CN"/>
      </w:rPr>
    </w:lvl>
    <w:lvl w:ilvl="4" w:tentative="0">
      <w:start w:val="0"/>
      <w:numFmt w:val="bullet"/>
      <w:lvlText w:val="•"/>
      <w:lvlJc w:val="left"/>
      <w:pPr>
        <w:ind w:left="4222" w:hanging="420"/>
      </w:pPr>
      <w:rPr>
        <w:rFonts w:hint="default"/>
        <w:lang w:val="zh-CN" w:eastAsia="zh-CN" w:bidi="zh-CN"/>
      </w:rPr>
    </w:lvl>
    <w:lvl w:ilvl="5" w:tentative="0">
      <w:start w:val="0"/>
      <w:numFmt w:val="bullet"/>
      <w:lvlText w:val="•"/>
      <w:lvlJc w:val="left"/>
      <w:pPr>
        <w:ind w:left="5189" w:hanging="420"/>
      </w:pPr>
      <w:rPr>
        <w:rFonts w:hint="default"/>
        <w:lang w:val="zh-CN" w:eastAsia="zh-CN" w:bidi="zh-CN"/>
      </w:rPr>
    </w:lvl>
    <w:lvl w:ilvl="6" w:tentative="0">
      <w:start w:val="0"/>
      <w:numFmt w:val="bullet"/>
      <w:lvlText w:val="•"/>
      <w:lvlJc w:val="left"/>
      <w:pPr>
        <w:ind w:left="6156" w:hanging="420"/>
      </w:pPr>
      <w:rPr>
        <w:rFonts w:hint="default"/>
        <w:lang w:val="zh-CN" w:eastAsia="zh-CN" w:bidi="zh-CN"/>
      </w:rPr>
    </w:lvl>
    <w:lvl w:ilvl="7" w:tentative="0">
      <w:start w:val="0"/>
      <w:numFmt w:val="bullet"/>
      <w:lvlText w:val="•"/>
      <w:lvlJc w:val="left"/>
      <w:pPr>
        <w:ind w:left="7124" w:hanging="420"/>
      </w:pPr>
      <w:rPr>
        <w:rFonts w:hint="default"/>
        <w:lang w:val="zh-CN" w:eastAsia="zh-CN" w:bidi="zh-CN"/>
      </w:rPr>
    </w:lvl>
    <w:lvl w:ilvl="8" w:tentative="0">
      <w:start w:val="0"/>
      <w:numFmt w:val="bullet"/>
      <w:lvlText w:val="•"/>
      <w:lvlJc w:val="left"/>
      <w:pPr>
        <w:ind w:left="8091" w:hanging="420"/>
      </w:pPr>
      <w:rPr>
        <w:rFonts w:hint="default"/>
        <w:lang w:val="zh-CN" w:eastAsia="zh-CN" w:bidi="zh-CN"/>
      </w:rPr>
    </w:lvl>
  </w:abstractNum>
  <w:abstractNum w:abstractNumId="2">
    <w:nsid w:val="C8879AEF"/>
    <w:multiLevelType w:val="multilevel"/>
    <w:tmpl w:val="C8879AEF"/>
    <w:lvl w:ilvl="0" w:tentative="0">
      <w:start w:val="1"/>
      <w:numFmt w:val="decimal"/>
      <w:lvlText w:val="%1."/>
      <w:lvlJc w:val="left"/>
      <w:pPr>
        <w:ind w:left="1318" w:hanging="281"/>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1319" w:hanging="36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478" w:hanging="6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2460" w:hanging="660"/>
      </w:pPr>
      <w:rPr>
        <w:rFonts w:hint="default"/>
        <w:lang w:val="zh-CN" w:eastAsia="zh-CN" w:bidi="zh-CN"/>
      </w:rPr>
    </w:lvl>
    <w:lvl w:ilvl="4" w:tentative="0">
      <w:start w:val="0"/>
      <w:numFmt w:val="bullet"/>
      <w:lvlText w:val="•"/>
      <w:lvlJc w:val="left"/>
      <w:pPr>
        <w:ind w:left="3541" w:hanging="660"/>
      </w:pPr>
      <w:rPr>
        <w:rFonts w:hint="default"/>
        <w:lang w:val="zh-CN" w:eastAsia="zh-CN" w:bidi="zh-CN"/>
      </w:rPr>
    </w:lvl>
    <w:lvl w:ilvl="5" w:tentative="0">
      <w:start w:val="0"/>
      <w:numFmt w:val="bullet"/>
      <w:lvlText w:val="•"/>
      <w:lvlJc w:val="left"/>
      <w:pPr>
        <w:ind w:left="4622" w:hanging="660"/>
      </w:pPr>
      <w:rPr>
        <w:rFonts w:hint="default"/>
        <w:lang w:val="zh-CN" w:eastAsia="zh-CN" w:bidi="zh-CN"/>
      </w:rPr>
    </w:lvl>
    <w:lvl w:ilvl="6" w:tentative="0">
      <w:start w:val="0"/>
      <w:numFmt w:val="bullet"/>
      <w:lvlText w:val="•"/>
      <w:lvlJc w:val="left"/>
      <w:pPr>
        <w:ind w:left="5703" w:hanging="660"/>
      </w:pPr>
      <w:rPr>
        <w:rFonts w:hint="default"/>
        <w:lang w:val="zh-CN" w:eastAsia="zh-CN" w:bidi="zh-CN"/>
      </w:rPr>
    </w:lvl>
    <w:lvl w:ilvl="7" w:tentative="0">
      <w:start w:val="0"/>
      <w:numFmt w:val="bullet"/>
      <w:lvlText w:val="•"/>
      <w:lvlJc w:val="left"/>
      <w:pPr>
        <w:ind w:left="6783" w:hanging="660"/>
      </w:pPr>
      <w:rPr>
        <w:rFonts w:hint="default"/>
        <w:lang w:val="zh-CN" w:eastAsia="zh-CN" w:bidi="zh-CN"/>
      </w:rPr>
    </w:lvl>
    <w:lvl w:ilvl="8" w:tentative="0">
      <w:start w:val="0"/>
      <w:numFmt w:val="bullet"/>
      <w:lvlText w:val="•"/>
      <w:lvlJc w:val="left"/>
      <w:pPr>
        <w:ind w:left="7864" w:hanging="660"/>
      </w:pPr>
      <w:rPr>
        <w:rFonts w:hint="default"/>
        <w:lang w:val="zh-CN" w:eastAsia="zh-CN" w:bidi="zh-CN"/>
      </w:rPr>
    </w:lvl>
  </w:abstractNum>
  <w:abstractNum w:abstractNumId="3">
    <w:nsid w:val="D7F9FE59"/>
    <w:multiLevelType w:val="multilevel"/>
    <w:tmpl w:val="D7F9FE59"/>
    <w:lvl w:ilvl="0" w:tentative="0">
      <w:start w:val="18"/>
      <w:numFmt w:val="decimal"/>
      <w:lvlText w:val="%1"/>
      <w:lvlJc w:val="left"/>
      <w:pPr>
        <w:ind w:left="478" w:hanging="780"/>
        <w:jc w:val="left"/>
      </w:pPr>
      <w:rPr>
        <w:rFonts w:hint="default"/>
        <w:lang w:val="zh-CN" w:eastAsia="zh-CN" w:bidi="zh-CN"/>
      </w:rPr>
    </w:lvl>
    <w:lvl w:ilvl="1" w:tentative="0">
      <w:start w:val="2"/>
      <w:numFmt w:val="decimal"/>
      <w:lvlText w:val="%1.%2"/>
      <w:lvlJc w:val="left"/>
      <w:pPr>
        <w:ind w:left="478" w:hanging="780"/>
        <w:jc w:val="left"/>
      </w:pPr>
      <w:rPr>
        <w:rFonts w:hint="default"/>
        <w:lang w:val="zh-CN" w:eastAsia="zh-CN" w:bidi="zh-CN"/>
      </w:rPr>
    </w:lvl>
    <w:lvl w:ilvl="2" w:tentative="0">
      <w:start w:val="1"/>
      <w:numFmt w:val="decimal"/>
      <w:lvlText w:val="%1.%2.%3"/>
      <w:lvlJc w:val="left"/>
      <w:pPr>
        <w:ind w:left="47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43" w:hanging="780"/>
      </w:pPr>
      <w:rPr>
        <w:rFonts w:hint="default"/>
        <w:lang w:val="zh-CN" w:eastAsia="zh-CN" w:bidi="zh-CN"/>
      </w:rPr>
    </w:lvl>
    <w:lvl w:ilvl="4" w:tentative="0">
      <w:start w:val="0"/>
      <w:numFmt w:val="bullet"/>
      <w:lvlText w:val="•"/>
      <w:lvlJc w:val="left"/>
      <w:pPr>
        <w:ind w:left="4298" w:hanging="780"/>
      </w:pPr>
      <w:rPr>
        <w:rFonts w:hint="default"/>
        <w:lang w:val="zh-CN" w:eastAsia="zh-CN" w:bidi="zh-CN"/>
      </w:rPr>
    </w:lvl>
    <w:lvl w:ilvl="5" w:tentative="0">
      <w:start w:val="0"/>
      <w:numFmt w:val="bullet"/>
      <w:lvlText w:val="•"/>
      <w:lvlJc w:val="left"/>
      <w:pPr>
        <w:ind w:left="5253" w:hanging="780"/>
      </w:pPr>
      <w:rPr>
        <w:rFonts w:hint="default"/>
        <w:lang w:val="zh-CN" w:eastAsia="zh-CN" w:bidi="zh-CN"/>
      </w:rPr>
    </w:lvl>
    <w:lvl w:ilvl="6" w:tentative="0">
      <w:start w:val="0"/>
      <w:numFmt w:val="bullet"/>
      <w:lvlText w:val="•"/>
      <w:lvlJc w:val="left"/>
      <w:pPr>
        <w:ind w:left="6207" w:hanging="780"/>
      </w:pPr>
      <w:rPr>
        <w:rFonts w:hint="default"/>
        <w:lang w:val="zh-CN" w:eastAsia="zh-CN" w:bidi="zh-CN"/>
      </w:rPr>
    </w:lvl>
    <w:lvl w:ilvl="7" w:tentative="0">
      <w:start w:val="0"/>
      <w:numFmt w:val="bullet"/>
      <w:lvlText w:val="•"/>
      <w:lvlJc w:val="left"/>
      <w:pPr>
        <w:ind w:left="7162" w:hanging="780"/>
      </w:pPr>
      <w:rPr>
        <w:rFonts w:hint="default"/>
        <w:lang w:val="zh-CN" w:eastAsia="zh-CN" w:bidi="zh-CN"/>
      </w:rPr>
    </w:lvl>
    <w:lvl w:ilvl="8" w:tentative="0">
      <w:start w:val="0"/>
      <w:numFmt w:val="bullet"/>
      <w:lvlText w:val="•"/>
      <w:lvlJc w:val="left"/>
      <w:pPr>
        <w:ind w:left="8116" w:hanging="780"/>
      </w:pPr>
      <w:rPr>
        <w:rFonts w:hint="default"/>
        <w:lang w:val="zh-CN" w:eastAsia="zh-CN" w:bidi="zh-CN"/>
      </w:rPr>
    </w:lvl>
  </w:abstractNum>
  <w:abstractNum w:abstractNumId="4">
    <w:nsid w:val="DCBA6B53"/>
    <w:multiLevelType w:val="multilevel"/>
    <w:tmpl w:val="DCBA6B53"/>
    <w:lvl w:ilvl="0" w:tentative="0">
      <w:start w:val="18"/>
      <w:numFmt w:val="decimal"/>
      <w:lvlText w:val="%1"/>
      <w:lvlJc w:val="left"/>
      <w:pPr>
        <w:ind w:left="1559" w:hanging="601"/>
        <w:jc w:val="left"/>
      </w:pPr>
      <w:rPr>
        <w:rFonts w:hint="default"/>
        <w:lang w:val="zh-CN" w:eastAsia="zh-CN" w:bidi="zh-CN"/>
      </w:rPr>
    </w:lvl>
    <w:lvl w:ilvl="1" w:tentative="0">
      <w:start w:val="1"/>
      <w:numFmt w:val="decimal"/>
      <w:lvlText w:val="%1.%2."/>
      <w:lvlJc w:val="left"/>
      <w:pPr>
        <w:ind w:left="1559" w:hanging="60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173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581" w:hanging="780"/>
      </w:pPr>
      <w:rPr>
        <w:rFonts w:hint="default"/>
        <w:lang w:val="zh-CN" w:eastAsia="zh-CN" w:bidi="zh-CN"/>
      </w:rPr>
    </w:lvl>
    <w:lvl w:ilvl="4" w:tentative="0">
      <w:start w:val="0"/>
      <w:numFmt w:val="bullet"/>
      <w:lvlText w:val="•"/>
      <w:lvlJc w:val="left"/>
      <w:pPr>
        <w:ind w:left="4502" w:hanging="780"/>
      </w:pPr>
      <w:rPr>
        <w:rFonts w:hint="default"/>
        <w:lang w:val="zh-CN" w:eastAsia="zh-CN" w:bidi="zh-CN"/>
      </w:rPr>
    </w:lvl>
    <w:lvl w:ilvl="5" w:tentative="0">
      <w:start w:val="0"/>
      <w:numFmt w:val="bullet"/>
      <w:lvlText w:val="•"/>
      <w:lvlJc w:val="left"/>
      <w:pPr>
        <w:ind w:left="5422" w:hanging="780"/>
      </w:pPr>
      <w:rPr>
        <w:rFonts w:hint="default"/>
        <w:lang w:val="zh-CN" w:eastAsia="zh-CN" w:bidi="zh-CN"/>
      </w:rPr>
    </w:lvl>
    <w:lvl w:ilvl="6" w:tentative="0">
      <w:start w:val="0"/>
      <w:numFmt w:val="bullet"/>
      <w:lvlText w:val="•"/>
      <w:lvlJc w:val="left"/>
      <w:pPr>
        <w:ind w:left="6343" w:hanging="780"/>
      </w:pPr>
      <w:rPr>
        <w:rFonts w:hint="default"/>
        <w:lang w:val="zh-CN" w:eastAsia="zh-CN" w:bidi="zh-CN"/>
      </w:rPr>
    </w:lvl>
    <w:lvl w:ilvl="7" w:tentative="0">
      <w:start w:val="0"/>
      <w:numFmt w:val="bullet"/>
      <w:lvlText w:val="•"/>
      <w:lvlJc w:val="left"/>
      <w:pPr>
        <w:ind w:left="7264" w:hanging="780"/>
      </w:pPr>
      <w:rPr>
        <w:rFonts w:hint="default"/>
        <w:lang w:val="zh-CN" w:eastAsia="zh-CN" w:bidi="zh-CN"/>
      </w:rPr>
    </w:lvl>
    <w:lvl w:ilvl="8" w:tentative="0">
      <w:start w:val="0"/>
      <w:numFmt w:val="bullet"/>
      <w:lvlText w:val="•"/>
      <w:lvlJc w:val="left"/>
      <w:pPr>
        <w:ind w:left="8184" w:hanging="780"/>
      </w:pPr>
      <w:rPr>
        <w:rFonts w:hint="default"/>
        <w:lang w:val="zh-CN" w:eastAsia="zh-CN" w:bidi="zh-CN"/>
      </w:rPr>
    </w:lvl>
  </w:abstractNum>
  <w:abstractNum w:abstractNumId="5">
    <w:nsid w:val="E6B37476"/>
    <w:multiLevelType w:val="singleLevel"/>
    <w:tmpl w:val="E6B37476"/>
    <w:lvl w:ilvl="0" w:tentative="0">
      <w:start w:val="6"/>
      <w:numFmt w:val="chineseCounting"/>
      <w:suff w:val="nothing"/>
      <w:lvlText w:val="%1、"/>
      <w:lvlJc w:val="left"/>
      <w:rPr>
        <w:rFonts w:hint="eastAsia"/>
      </w:rPr>
    </w:lvl>
  </w:abstractNum>
  <w:abstractNum w:abstractNumId="6">
    <w:nsid w:val="F4B5D9F5"/>
    <w:multiLevelType w:val="multilevel"/>
    <w:tmpl w:val="F4B5D9F5"/>
    <w:lvl w:ilvl="0" w:tentative="0">
      <w:start w:val="11"/>
      <w:numFmt w:val="decimal"/>
      <w:lvlText w:val="%1."/>
      <w:lvlJc w:val="left"/>
      <w:pPr>
        <w:ind w:left="1459" w:hanging="423"/>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478" w:hanging="54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173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740" w:hanging="780"/>
      </w:pPr>
      <w:rPr>
        <w:rFonts w:hint="default"/>
        <w:lang w:val="zh-CN" w:eastAsia="zh-CN" w:bidi="zh-CN"/>
      </w:rPr>
    </w:lvl>
    <w:lvl w:ilvl="4" w:tentative="0">
      <w:start w:val="0"/>
      <w:numFmt w:val="bullet"/>
      <w:lvlText w:val="•"/>
      <w:lvlJc w:val="left"/>
      <w:pPr>
        <w:ind w:left="2923" w:hanging="780"/>
      </w:pPr>
      <w:rPr>
        <w:rFonts w:hint="default"/>
        <w:lang w:val="zh-CN" w:eastAsia="zh-CN" w:bidi="zh-CN"/>
      </w:rPr>
    </w:lvl>
    <w:lvl w:ilvl="5" w:tentative="0">
      <w:start w:val="0"/>
      <w:numFmt w:val="bullet"/>
      <w:lvlText w:val="•"/>
      <w:lvlJc w:val="left"/>
      <w:pPr>
        <w:ind w:left="4107" w:hanging="780"/>
      </w:pPr>
      <w:rPr>
        <w:rFonts w:hint="default"/>
        <w:lang w:val="zh-CN" w:eastAsia="zh-CN" w:bidi="zh-CN"/>
      </w:rPr>
    </w:lvl>
    <w:lvl w:ilvl="6" w:tentative="0">
      <w:start w:val="0"/>
      <w:numFmt w:val="bullet"/>
      <w:lvlText w:val="•"/>
      <w:lvlJc w:val="left"/>
      <w:pPr>
        <w:ind w:left="5291" w:hanging="780"/>
      </w:pPr>
      <w:rPr>
        <w:rFonts w:hint="default"/>
        <w:lang w:val="zh-CN" w:eastAsia="zh-CN" w:bidi="zh-CN"/>
      </w:rPr>
    </w:lvl>
    <w:lvl w:ilvl="7" w:tentative="0">
      <w:start w:val="0"/>
      <w:numFmt w:val="bullet"/>
      <w:lvlText w:val="•"/>
      <w:lvlJc w:val="left"/>
      <w:pPr>
        <w:ind w:left="6474" w:hanging="780"/>
      </w:pPr>
      <w:rPr>
        <w:rFonts w:hint="default"/>
        <w:lang w:val="zh-CN" w:eastAsia="zh-CN" w:bidi="zh-CN"/>
      </w:rPr>
    </w:lvl>
    <w:lvl w:ilvl="8" w:tentative="0">
      <w:start w:val="0"/>
      <w:numFmt w:val="bullet"/>
      <w:lvlText w:val="•"/>
      <w:lvlJc w:val="left"/>
      <w:pPr>
        <w:ind w:left="7658" w:hanging="780"/>
      </w:pPr>
      <w:rPr>
        <w:rFonts w:hint="default"/>
        <w:lang w:val="zh-CN" w:eastAsia="zh-CN" w:bidi="zh-CN"/>
      </w:rPr>
    </w:lvl>
  </w:abstractNum>
  <w:abstractNum w:abstractNumId="7">
    <w:nsid w:val="0E640482"/>
    <w:multiLevelType w:val="multilevel"/>
    <w:tmpl w:val="0E640482"/>
    <w:lvl w:ilvl="0" w:tentative="0">
      <w:start w:val="1"/>
      <w:numFmt w:val="decimal"/>
      <w:lvlText w:val="（%1）"/>
      <w:lvlJc w:val="left"/>
      <w:pPr>
        <w:ind w:left="155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406" w:hanging="601"/>
      </w:pPr>
      <w:rPr>
        <w:rFonts w:hint="default"/>
        <w:lang w:val="zh-CN" w:eastAsia="zh-CN" w:bidi="zh-CN"/>
      </w:rPr>
    </w:lvl>
    <w:lvl w:ilvl="2" w:tentative="0">
      <w:start w:val="0"/>
      <w:numFmt w:val="bullet"/>
      <w:lvlText w:val="•"/>
      <w:lvlJc w:val="left"/>
      <w:pPr>
        <w:ind w:left="3253" w:hanging="601"/>
      </w:pPr>
      <w:rPr>
        <w:rFonts w:hint="default"/>
        <w:lang w:val="zh-CN" w:eastAsia="zh-CN" w:bidi="zh-CN"/>
      </w:rPr>
    </w:lvl>
    <w:lvl w:ilvl="3" w:tentative="0">
      <w:start w:val="0"/>
      <w:numFmt w:val="bullet"/>
      <w:lvlText w:val="•"/>
      <w:lvlJc w:val="left"/>
      <w:pPr>
        <w:ind w:left="4099" w:hanging="601"/>
      </w:pPr>
      <w:rPr>
        <w:rFonts w:hint="default"/>
        <w:lang w:val="zh-CN" w:eastAsia="zh-CN" w:bidi="zh-CN"/>
      </w:rPr>
    </w:lvl>
    <w:lvl w:ilvl="4" w:tentative="0">
      <w:start w:val="0"/>
      <w:numFmt w:val="bullet"/>
      <w:lvlText w:val="•"/>
      <w:lvlJc w:val="left"/>
      <w:pPr>
        <w:ind w:left="4946" w:hanging="601"/>
      </w:pPr>
      <w:rPr>
        <w:rFonts w:hint="default"/>
        <w:lang w:val="zh-CN" w:eastAsia="zh-CN" w:bidi="zh-CN"/>
      </w:rPr>
    </w:lvl>
    <w:lvl w:ilvl="5" w:tentative="0">
      <w:start w:val="0"/>
      <w:numFmt w:val="bullet"/>
      <w:lvlText w:val="•"/>
      <w:lvlJc w:val="left"/>
      <w:pPr>
        <w:ind w:left="5793" w:hanging="601"/>
      </w:pPr>
      <w:rPr>
        <w:rFonts w:hint="default"/>
        <w:lang w:val="zh-CN" w:eastAsia="zh-CN" w:bidi="zh-CN"/>
      </w:rPr>
    </w:lvl>
    <w:lvl w:ilvl="6" w:tentative="0">
      <w:start w:val="0"/>
      <w:numFmt w:val="bullet"/>
      <w:lvlText w:val="•"/>
      <w:lvlJc w:val="left"/>
      <w:pPr>
        <w:ind w:left="663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abstractNum w:abstractNumId="8">
    <w:nsid w:val="2470EC97"/>
    <w:multiLevelType w:val="multilevel"/>
    <w:tmpl w:val="2470EC97"/>
    <w:lvl w:ilvl="0" w:tentative="0">
      <w:start w:val="1"/>
      <w:numFmt w:val="decimal"/>
      <w:lvlText w:val="（%1）"/>
      <w:lvlJc w:val="left"/>
      <w:pPr>
        <w:ind w:left="155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406" w:hanging="601"/>
      </w:pPr>
      <w:rPr>
        <w:rFonts w:hint="default"/>
        <w:lang w:val="zh-CN" w:eastAsia="zh-CN" w:bidi="zh-CN"/>
      </w:rPr>
    </w:lvl>
    <w:lvl w:ilvl="2" w:tentative="0">
      <w:start w:val="0"/>
      <w:numFmt w:val="bullet"/>
      <w:lvlText w:val="•"/>
      <w:lvlJc w:val="left"/>
      <w:pPr>
        <w:ind w:left="3253" w:hanging="601"/>
      </w:pPr>
      <w:rPr>
        <w:rFonts w:hint="default"/>
        <w:lang w:val="zh-CN" w:eastAsia="zh-CN" w:bidi="zh-CN"/>
      </w:rPr>
    </w:lvl>
    <w:lvl w:ilvl="3" w:tentative="0">
      <w:start w:val="0"/>
      <w:numFmt w:val="bullet"/>
      <w:lvlText w:val="•"/>
      <w:lvlJc w:val="left"/>
      <w:pPr>
        <w:ind w:left="4099" w:hanging="601"/>
      </w:pPr>
      <w:rPr>
        <w:rFonts w:hint="default"/>
        <w:lang w:val="zh-CN" w:eastAsia="zh-CN" w:bidi="zh-CN"/>
      </w:rPr>
    </w:lvl>
    <w:lvl w:ilvl="4" w:tentative="0">
      <w:start w:val="0"/>
      <w:numFmt w:val="bullet"/>
      <w:lvlText w:val="•"/>
      <w:lvlJc w:val="left"/>
      <w:pPr>
        <w:ind w:left="4946" w:hanging="601"/>
      </w:pPr>
      <w:rPr>
        <w:rFonts w:hint="default"/>
        <w:lang w:val="zh-CN" w:eastAsia="zh-CN" w:bidi="zh-CN"/>
      </w:rPr>
    </w:lvl>
    <w:lvl w:ilvl="5" w:tentative="0">
      <w:start w:val="0"/>
      <w:numFmt w:val="bullet"/>
      <w:lvlText w:val="•"/>
      <w:lvlJc w:val="left"/>
      <w:pPr>
        <w:ind w:left="5793" w:hanging="601"/>
      </w:pPr>
      <w:rPr>
        <w:rFonts w:hint="default"/>
        <w:lang w:val="zh-CN" w:eastAsia="zh-CN" w:bidi="zh-CN"/>
      </w:rPr>
    </w:lvl>
    <w:lvl w:ilvl="6" w:tentative="0">
      <w:start w:val="0"/>
      <w:numFmt w:val="bullet"/>
      <w:lvlText w:val="•"/>
      <w:lvlJc w:val="left"/>
      <w:pPr>
        <w:ind w:left="663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abstractNum w:abstractNumId="9">
    <w:nsid w:val="2D1A0D70"/>
    <w:multiLevelType w:val="singleLevel"/>
    <w:tmpl w:val="2D1A0D70"/>
    <w:lvl w:ilvl="0" w:tentative="0">
      <w:start w:val="1"/>
      <w:numFmt w:val="decimal"/>
      <w:lvlText w:val="%1."/>
      <w:lvlJc w:val="left"/>
      <w:pPr>
        <w:tabs>
          <w:tab w:val="left" w:pos="312"/>
        </w:tabs>
      </w:pPr>
    </w:lvl>
  </w:abstractNum>
  <w:abstractNum w:abstractNumId="10">
    <w:nsid w:val="46A08BB8"/>
    <w:multiLevelType w:val="multilevel"/>
    <w:tmpl w:val="46A08BB8"/>
    <w:lvl w:ilvl="0" w:tentative="0">
      <w:start w:val="1"/>
      <w:numFmt w:val="decimal"/>
      <w:lvlText w:val="（%1）"/>
      <w:lvlJc w:val="left"/>
      <w:pPr>
        <w:ind w:left="1559" w:hanging="601"/>
        <w:jc w:val="left"/>
      </w:pPr>
      <w:rPr>
        <w:rFonts w:hint="default" w:ascii="仿宋" w:hAnsi="仿宋" w:eastAsia="仿宋" w:cs="仿宋"/>
        <w:spacing w:val="-1"/>
        <w:w w:val="100"/>
        <w:sz w:val="22"/>
        <w:szCs w:val="22"/>
        <w:lang w:val="zh-CN" w:eastAsia="zh-CN" w:bidi="zh-CN"/>
      </w:rPr>
    </w:lvl>
    <w:lvl w:ilvl="1" w:tentative="0">
      <w:start w:val="0"/>
      <w:numFmt w:val="bullet"/>
      <w:lvlText w:val="•"/>
      <w:lvlJc w:val="left"/>
      <w:pPr>
        <w:ind w:left="2406" w:hanging="601"/>
      </w:pPr>
      <w:rPr>
        <w:rFonts w:hint="default"/>
        <w:lang w:val="zh-CN" w:eastAsia="zh-CN" w:bidi="zh-CN"/>
      </w:rPr>
    </w:lvl>
    <w:lvl w:ilvl="2" w:tentative="0">
      <w:start w:val="0"/>
      <w:numFmt w:val="bullet"/>
      <w:lvlText w:val="•"/>
      <w:lvlJc w:val="left"/>
      <w:pPr>
        <w:ind w:left="3253" w:hanging="601"/>
      </w:pPr>
      <w:rPr>
        <w:rFonts w:hint="default"/>
        <w:lang w:val="zh-CN" w:eastAsia="zh-CN" w:bidi="zh-CN"/>
      </w:rPr>
    </w:lvl>
    <w:lvl w:ilvl="3" w:tentative="0">
      <w:start w:val="0"/>
      <w:numFmt w:val="bullet"/>
      <w:lvlText w:val="•"/>
      <w:lvlJc w:val="left"/>
      <w:pPr>
        <w:ind w:left="4099" w:hanging="601"/>
      </w:pPr>
      <w:rPr>
        <w:rFonts w:hint="default"/>
        <w:lang w:val="zh-CN" w:eastAsia="zh-CN" w:bidi="zh-CN"/>
      </w:rPr>
    </w:lvl>
    <w:lvl w:ilvl="4" w:tentative="0">
      <w:start w:val="0"/>
      <w:numFmt w:val="bullet"/>
      <w:lvlText w:val="•"/>
      <w:lvlJc w:val="left"/>
      <w:pPr>
        <w:ind w:left="4946" w:hanging="601"/>
      </w:pPr>
      <w:rPr>
        <w:rFonts w:hint="default"/>
        <w:lang w:val="zh-CN" w:eastAsia="zh-CN" w:bidi="zh-CN"/>
      </w:rPr>
    </w:lvl>
    <w:lvl w:ilvl="5" w:tentative="0">
      <w:start w:val="0"/>
      <w:numFmt w:val="bullet"/>
      <w:lvlText w:val="•"/>
      <w:lvlJc w:val="left"/>
      <w:pPr>
        <w:ind w:left="5793" w:hanging="601"/>
      </w:pPr>
      <w:rPr>
        <w:rFonts w:hint="default"/>
        <w:lang w:val="zh-CN" w:eastAsia="zh-CN" w:bidi="zh-CN"/>
      </w:rPr>
    </w:lvl>
    <w:lvl w:ilvl="6" w:tentative="0">
      <w:start w:val="0"/>
      <w:numFmt w:val="bullet"/>
      <w:lvlText w:val="•"/>
      <w:lvlJc w:val="left"/>
      <w:pPr>
        <w:ind w:left="663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abstractNum w:abstractNumId="11">
    <w:nsid w:val="4C1BAE26"/>
    <w:multiLevelType w:val="multilevel"/>
    <w:tmpl w:val="4C1BAE26"/>
    <w:lvl w:ilvl="0" w:tentative="0">
      <w:start w:val="1"/>
      <w:numFmt w:val="decimal"/>
      <w:lvlText w:val="%1."/>
      <w:lvlJc w:val="left"/>
      <w:pPr>
        <w:ind w:left="1320" w:hanging="284"/>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1378" w:hanging="420"/>
        <w:jc w:val="left"/>
      </w:pPr>
      <w:rPr>
        <w:rFonts w:hint="default" w:ascii="仿宋" w:hAnsi="仿宋" w:eastAsia="仿宋" w:cs="仿宋"/>
        <w:w w:val="100"/>
        <w:sz w:val="24"/>
        <w:szCs w:val="24"/>
        <w:lang w:val="zh-CN" w:eastAsia="zh-CN" w:bidi="zh-CN"/>
      </w:rPr>
    </w:lvl>
    <w:lvl w:ilvl="2" w:tentative="0">
      <w:start w:val="1"/>
      <w:numFmt w:val="decimal"/>
      <w:lvlText w:val="%3."/>
      <w:lvlJc w:val="left"/>
      <w:pPr>
        <w:ind w:left="1320" w:hanging="284"/>
        <w:jc w:val="left"/>
      </w:pPr>
      <w:rPr>
        <w:rFonts w:hint="default" w:ascii="楷体" w:hAnsi="楷体" w:eastAsia="楷体" w:cs="楷体"/>
        <w:spacing w:val="-2"/>
        <w:w w:val="100"/>
        <w:sz w:val="26"/>
        <w:szCs w:val="26"/>
        <w:lang w:val="zh-CN" w:eastAsia="zh-CN" w:bidi="zh-CN"/>
      </w:rPr>
    </w:lvl>
    <w:lvl w:ilvl="3" w:tentative="0">
      <w:start w:val="1"/>
      <w:numFmt w:val="decimal"/>
      <w:lvlText w:val="%3.%4"/>
      <w:lvlJc w:val="left"/>
      <w:pPr>
        <w:ind w:left="1378" w:hanging="420"/>
        <w:jc w:val="left"/>
      </w:pPr>
      <w:rPr>
        <w:rFonts w:hint="default"/>
        <w:w w:val="100"/>
        <w:lang w:val="zh-CN" w:eastAsia="zh-CN" w:bidi="zh-CN"/>
      </w:rPr>
    </w:lvl>
    <w:lvl w:ilvl="4" w:tentative="0">
      <w:start w:val="1"/>
      <w:numFmt w:val="decimal"/>
      <w:lvlText w:val="%3.%4.%5"/>
      <w:lvlJc w:val="left"/>
      <w:pPr>
        <w:ind w:left="1618" w:hanging="420"/>
        <w:jc w:val="left"/>
      </w:pPr>
      <w:rPr>
        <w:rFonts w:hint="default" w:ascii="仿宋" w:hAnsi="仿宋" w:eastAsia="仿宋" w:cs="仿宋"/>
        <w:w w:val="100"/>
        <w:sz w:val="24"/>
        <w:szCs w:val="24"/>
        <w:lang w:val="zh-CN" w:eastAsia="zh-CN" w:bidi="zh-CN"/>
      </w:rPr>
    </w:lvl>
    <w:lvl w:ilvl="5" w:tentative="0">
      <w:start w:val="0"/>
      <w:numFmt w:val="bullet"/>
      <w:lvlText w:val="•"/>
      <w:lvlJc w:val="left"/>
      <w:pPr>
        <w:ind w:left="4021" w:hanging="420"/>
      </w:pPr>
      <w:rPr>
        <w:rFonts w:hint="default"/>
        <w:lang w:val="zh-CN" w:eastAsia="zh-CN" w:bidi="zh-CN"/>
      </w:rPr>
    </w:lvl>
    <w:lvl w:ilvl="6" w:tentative="0">
      <w:start w:val="0"/>
      <w:numFmt w:val="bullet"/>
      <w:lvlText w:val="•"/>
      <w:lvlJc w:val="left"/>
      <w:pPr>
        <w:ind w:left="5222" w:hanging="420"/>
      </w:pPr>
      <w:rPr>
        <w:rFonts w:hint="default"/>
        <w:lang w:val="zh-CN" w:eastAsia="zh-CN" w:bidi="zh-CN"/>
      </w:rPr>
    </w:lvl>
    <w:lvl w:ilvl="7" w:tentative="0">
      <w:start w:val="0"/>
      <w:numFmt w:val="bullet"/>
      <w:lvlText w:val="•"/>
      <w:lvlJc w:val="left"/>
      <w:pPr>
        <w:ind w:left="6423" w:hanging="420"/>
      </w:pPr>
      <w:rPr>
        <w:rFonts w:hint="default"/>
        <w:lang w:val="zh-CN" w:eastAsia="zh-CN" w:bidi="zh-CN"/>
      </w:rPr>
    </w:lvl>
    <w:lvl w:ilvl="8" w:tentative="0">
      <w:start w:val="0"/>
      <w:numFmt w:val="bullet"/>
      <w:lvlText w:val="•"/>
      <w:lvlJc w:val="left"/>
      <w:pPr>
        <w:ind w:left="7624" w:hanging="420"/>
      </w:pPr>
      <w:rPr>
        <w:rFonts w:hint="default"/>
        <w:lang w:val="zh-CN" w:eastAsia="zh-CN" w:bidi="zh-CN"/>
      </w:rPr>
    </w:lvl>
  </w:abstractNum>
  <w:abstractNum w:abstractNumId="12">
    <w:nsid w:val="4D4DC07F"/>
    <w:multiLevelType w:val="multilevel"/>
    <w:tmpl w:val="4D4DC07F"/>
    <w:lvl w:ilvl="0" w:tentative="0">
      <w:start w:val="10"/>
      <w:numFmt w:val="decimal"/>
      <w:lvlText w:val="%1"/>
      <w:lvlJc w:val="left"/>
      <w:pPr>
        <w:ind w:left="1498" w:hanging="540"/>
        <w:jc w:val="left"/>
      </w:pPr>
      <w:rPr>
        <w:rFonts w:hint="default"/>
        <w:lang w:val="zh-CN" w:eastAsia="zh-CN" w:bidi="zh-CN"/>
      </w:rPr>
    </w:lvl>
    <w:lvl w:ilvl="1" w:tentative="0">
      <w:start w:val="1"/>
      <w:numFmt w:val="decimal"/>
      <w:lvlText w:val="%1.%2"/>
      <w:lvlJc w:val="left"/>
      <w:pPr>
        <w:ind w:left="1498" w:hanging="54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478" w:hanging="78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94" w:hanging="783"/>
      </w:pPr>
      <w:rPr>
        <w:rFonts w:hint="default"/>
        <w:lang w:val="zh-CN" w:eastAsia="zh-CN" w:bidi="zh-CN"/>
      </w:rPr>
    </w:lvl>
    <w:lvl w:ilvl="4" w:tentative="0">
      <w:start w:val="0"/>
      <w:numFmt w:val="bullet"/>
      <w:lvlText w:val="•"/>
      <w:lvlJc w:val="left"/>
      <w:pPr>
        <w:ind w:left="4342" w:hanging="783"/>
      </w:pPr>
      <w:rPr>
        <w:rFonts w:hint="default"/>
        <w:lang w:val="zh-CN" w:eastAsia="zh-CN" w:bidi="zh-CN"/>
      </w:rPr>
    </w:lvl>
    <w:lvl w:ilvl="5" w:tentative="0">
      <w:start w:val="0"/>
      <w:numFmt w:val="bullet"/>
      <w:lvlText w:val="•"/>
      <w:lvlJc w:val="left"/>
      <w:pPr>
        <w:ind w:left="5289" w:hanging="783"/>
      </w:pPr>
      <w:rPr>
        <w:rFonts w:hint="default"/>
        <w:lang w:val="zh-CN" w:eastAsia="zh-CN" w:bidi="zh-CN"/>
      </w:rPr>
    </w:lvl>
    <w:lvl w:ilvl="6" w:tentative="0">
      <w:start w:val="0"/>
      <w:numFmt w:val="bullet"/>
      <w:lvlText w:val="•"/>
      <w:lvlJc w:val="left"/>
      <w:pPr>
        <w:ind w:left="6236" w:hanging="783"/>
      </w:pPr>
      <w:rPr>
        <w:rFonts w:hint="default"/>
        <w:lang w:val="zh-CN" w:eastAsia="zh-CN" w:bidi="zh-CN"/>
      </w:rPr>
    </w:lvl>
    <w:lvl w:ilvl="7" w:tentative="0">
      <w:start w:val="0"/>
      <w:numFmt w:val="bullet"/>
      <w:lvlText w:val="•"/>
      <w:lvlJc w:val="left"/>
      <w:pPr>
        <w:ind w:left="7184" w:hanging="783"/>
      </w:pPr>
      <w:rPr>
        <w:rFonts w:hint="default"/>
        <w:lang w:val="zh-CN" w:eastAsia="zh-CN" w:bidi="zh-CN"/>
      </w:rPr>
    </w:lvl>
    <w:lvl w:ilvl="8" w:tentative="0">
      <w:start w:val="0"/>
      <w:numFmt w:val="bullet"/>
      <w:lvlText w:val="•"/>
      <w:lvlJc w:val="left"/>
      <w:pPr>
        <w:ind w:left="8131" w:hanging="783"/>
      </w:pPr>
      <w:rPr>
        <w:rFonts w:hint="default"/>
        <w:lang w:val="zh-CN" w:eastAsia="zh-CN" w:bidi="zh-CN"/>
      </w:rPr>
    </w:lvl>
  </w:abstractNum>
  <w:abstractNum w:abstractNumId="13">
    <w:nsid w:val="5C42E322"/>
    <w:multiLevelType w:val="singleLevel"/>
    <w:tmpl w:val="5C42E322"/>
    <w:lvl w:ilvl="0" w:tentative="0">
      <w:start w:val="3"/>
      <w:numFmt w:val="decimal"/>
      <w:lvlText w:val="%1."/>
      <w:lvlJc w:val="left"/>
      <w:pPr>
        <w:tabs>
          <w:tab w:val="left" w:pos="312"/>
        </w:tabs>
      </w:pPr>
    </w:lvl>
  </w:abstractNum>
  <w:abstractNum w:abstractNumId="14">
    <w:nsid w:val="60382F6E"/>
    <w:multiLevelType w:val="multilevel"/>
    <w:tmpl w:val="60382F6E"/>
    <w:lvl w:ilvl="0" w:tentative="0">
      <w:start w:val="1"/>
      <w:numFmt w:val="decimal"/>
      <w:lvlText w:val="（%1）"/>
      <w:lvlJc w:val="left"/>
      <w:pPr>
        <w:ind w:left="155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406" w:hanging="601"/>
      </w:pPr>
      <w:rPr>
        <w:rFonts w:hint="default"/>
        <w:lang w:val="zh-CN" w:eastAsia="zh-CN" w:bidi="zh-CN"/>
      </w:rPr>
    </w:lvl>
    <w:lvl w:ilvl="2" w:tentative="0">
      <w:start w:val="0"/>
      <w:numFmt w:val="bullet"/>
      <w:lvlText w:val="•"/>
      <w:lvlJc w:val="left"/>
      <w:pPr>
        <w:ind w:left="3253" w:hanging="601"/>
      </w:pPr>
      <w:rPr>
        <w:rFonts w:hint="default"/>
        <w:lang w:val="zh-CN" w:eastAsia="zh-CN" w:bidi="zh-CN"/>
      </w:rPr>
    </w:lvl>
    <w:lvl w:ilvl="3" w:tentative="0">
      <w:start w:val="0"/>
      <w:numFmt w:val="bullet"/>
      <w:lvlText w:val="•"/>
      <w:lvlJc w:val="left"/>
      <w:pPr>
        <w:ind w:left="4099" w:hanging="601"/>
      </w:pPr>
      <w:rPr>
        <w:rFonts w:hint="default"/>
        <w:lang w:val="zh-CN" w:eastAsia="zh-CN" w:bidi="zh-CN"/>
      </w:rPr>
    </w:lvl>
    <w:lvl w:ilvl="4" w:tentative="0">
      <w:start w:val="0"/>
      <w:numFmt w:val="bullet"/>
      <w:lvlText w:val="•"/>
      <w:lvlJc w:val="left"/>
      <w:pPr>
        <w:ind w:left="4946" w:hanging="601"/>
      </w:pPr>
      <w:rPr>
        <w:rFonts w:hint="default"/>
        <w:lang w:val="zh-CN" w:eastAsia="zh-CN" w:bidi="zh-CN"/>
      </w:rPr>
    </w:lvl>
    <w:lvl w:ilvl="5" w:tentative="0">
      <w:start w:val="0"/>
      <w:numFmt w:val="bullet"/>
      <w:lvlText w:val="•"/>
      <w:lvlJc w:val="left"/>
      <w:pPr>
        <w:ind w:left="5793" w:hanging="601"/>
      </w:pPr>
      <w:rPr>
        <w:rFonts w:hint="default"/>
        <w:lang w:val="zh-CN" w:eastAsia="zh-CN" w:bidi="zh-CN"/>
      </w:rPr>
    </w:lvl>
    <w:lvl w:ilvl="6" w:tentative="0">
      <w:start w:val="0"/>
      <w:numFmt w:val="bullet"/>
      <w:lvlText w:val="•"/>
      <w:lvlJc w:val="left"/>
      <w:pPr>
        <w:ind w:left="663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num w:numId="1">
    <w:abstractNumId w:val="13"/>
  </w:num>
  <w:num w:numId="2">
    <w:abstractNumId w:val="5"/>
  </w:num>
  <w:num w:numId="3">
    <w:abstractNumId w:val="9"/>
  </w:num>
  <w:num w:numId="4">
    <w:abstractNumId w:val="2"/>
  </w:num>
  <w:num w:numId="5">
    <w:abstractNumId w:val="12"/>
  </w:num>
  <w:num w:numId="6">
    <w:abstractNumId w:val="6"/>
  </w:num>
  <w:num w:numId="7">
    <w:abstractNumId w:val="8"/>
  </w:num>
  <w:num w:numId="8">
    <w:abstractNumId w:val="4"/>
  </w:num>
  <w:num w:numId="9">
    <w:abstractNumId w:val="3"/>
  </w:num>
  <w:num w:numId="10">
    <w:abstractNumId w:val="0"/>
  </w:num>
  <w:num w:numId="11">
    <w:abstractNumId w:val="11"/>
  </w:num>
  <w:num w:numId="12">
    <w:abstractNumId w:val="14"/>
  </w:num>
  <w:num w:numId="13">
    <w:abstractNumId w:val="7"/>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287C"/>
    <w:rsid w:val="001F6C73"/>
    <w:rsid w:val="003D0404"/>
    <w:rsid w:val="005A2D64"/>
    <w:rsid w:val="0060249C"/>
    <w:rsid w:val="00861EFB"/>
    <w:rsid w:val="008913DB"/>
    <w:rsid w:val="00A65FA9"/>
    <w:rsid w:val="00DC7C1D"/>
    <w:rsid w:val="00DF3E8B"/>
    <w:rsid w:val="00E537D2"/>
    <w:rsid w:val="01086C64"/>
    <w:rsid w:val="011949CD"/>
    <w:rsid w:val="015679D0"/>
    <w:rsid w:val="017F6DDD"/>
    <w:rsid w:val="01813682"/>
    <w:rsid w:val="0192652E"/>
    <w:rsid w:val="01BC24F6"/>
    <w:rsid w:val="01C7267B"/>
    <w:rsid w:val="01CE3A0A"/>
    <w:rsid w:val="01E936EA"/>
    <w:rsid w:val="01F176F8"/>
    <w:rsid w:val="01FB6747"/>
    <w:rsid w:val="020531A4"/>
    <w:rsid w:val="025A23D4"/>
    <w:rsid w:val="02624152"/>
    <w:rsid w:val="0286224B"/>
    <w:rsid w:val="02994018"/>
    <w:rsid w:val="02AB5AF9"/>
    <w:rsid w:val="02F0175E"/>
    <w:rsid w:val="02F4124E"/>
    <w:rsid w:val="03092820"/>
    <w:rsid w:val="031A4A2D"/>
    <w:rsid w:val="03962305"/>
    <w:rsid w:val="039857AC"/>
    <w:rsid w:val="03AC1B29"/>
    <w:rsid w:val="03D53871"/>
    <w:rsid w:val="0410607B"/>
    <w:rsid w:val="04180384"/>
    <w:rsid w:val="043C0BB5"/>
    <w:rsid w:val="044004C3"/>
    <w:rsid w:val="04826D2E"/>
    <w:rsid w:val="04A722F0"/>
    <w:rsid w:val="04B74C29"/>
    <w:rsid w:val="04BC5D9C"/>
    <w:rsid w:val="04C2712A"/>
    <w:rsid w:val="04D70E27"/>
    <w:rsid w:val="04F55751"/>
    <w:rsid w:val="051C4A8C"/>
    <w:rsid w:val="052A0696"/>
    <w:rsid w:val="055D38B2"/>
    <w:rsid w:val="05AA2BBD"/>
    <w:rsid w:val="05C3315A"/>
    <w:rsid w:val="05C42308"/>
    <w:rsid w:val="05E53B52"/>
    <w:rsid w:val="063D4CBA"/>
    <w:rsid w:val="06493676"/>
    <w:rsid w:val="06573DA7"/>
    <w:rsid w:val="0661169D"/>
    <w:rsid w:val="06823015"/>
    <w:rsid w:val="06994A87"/>
    <w:rsid w:val="06A304A9"/>
    <w:rsid w:val="06A74829"/>
    <w:rsid w:val="06B13147"/>
    <w:rsid w:val="06E17D3B"/>
    <w:rsid w:val="06E9003D"/>
    <w:rsid w:val="072E0AA7"/>
    <w:rsid w:val="07721E9D"/>
    <w:rsid w:val="077E37DC"/>
    <w:rsid w:val="078C35D8"/>
    <w:rsid w:val="07B2792A"/>
    <w:rsid w:val="07D12550"/>
    <w:rsid w:val="07E063E9"/>
    <w:rsid w:val="08273E74"/>
    <w:rsid w:val="08283748"/>
    <w:rsid w:val="086A577A"/>
    <w:rsid w:val="088459E9"/>
    <w:rsid w:val="089112ED"/>
    <w:rsid w:val="08C72F61"/>
    <w:rsid w:val="0912365F"/>
    <w:rsid w:val="09167A44"/>
    <w:rsid w:val="091C14FF"/>
    <w:rsid w:val="093E18BE"/>
    <w:rsid w:val="09436A8B"/>
    <w:rsid w:val="094F019D"/>
    <w:rsid w:val="097F1913"/>
    <w:rsid w:val="0998621A"/>
    <w:rsid w:val="09BC05EC"/>
    <w:rsid w:val="09C0632E"/>
    <w:rsid w:val="09EB0FFC"/>
    <w:rsid w:val="09ED69F7"/>
    <w:rsid w:val="09F064E7"/>
    <w:rsid w:val="09FA58FE"/>
    <w:rsid w:val="0A297A6D"/>
    <w:rsid w:val="0A596A76"/>
    <w:rsid w:val="0A6C1D69"/>
    <w:rsid w:val="0A6D317D"/>
    <w:rsid w:val="0A8A2F12"/>
    <w:rsid w:val="0A8F5D00"/>
    <w:rsid w:val="0ABF0394"/>
    <w:rsid w:val="0AD713F0"/>
    <w:rsid w:val="0ADF18AA"/>
    <w:rsid w:val="0AEE6ECB"/>
    <w:rsid w:val="0B04049C"/>
    <w:rsid w:val="0B136931"/>
    <w:rsid w:val="0B16053C"/>
    <w:rsid w:val="0B266665"/>
    <w:rsid w:val="0B3643CE"/>
    <w:rsid w:val="0B7F3FC7"/>
    <w:rsid w:val="0B8E420A"/>
    <w:rsid w:val="0BD0037E"/>
    <w:rsid w:val="0BF57DE5"/>
    <w:rsid w:val="0C196CC8"/>
    <w:rsid w:val="0C280EA3"/>
    <w:rsid w:val="0C364685"/>
    <w:rsid w:val="0C560573"/>
    <w:rsid w:val="0C630232"/>
    <w:rsid w:val="0C9B6BDE"/>
    <w:rsid w:val="0CA3211A"/>
    <w:rsid w:val="0CAD06C0"/>
    <w:rsid w:val="0CC7352F"/>
    <w:rsid w:val="0CE73BD2"/>
    <w:rsid w:val="0D214807"/>
    <w:rsid w:val="0D26294C"/>
    <w:rsid w:val="0D3606B5"/>
    <w:rsid w:val="0D4234FE"/>
    <w:rsid w:val="0D47336D"/>
    <w:rsid w:val="0D55214C"/>
    <w:rsid w:val="0D5E66ED"/>
    <w:rsid w:val="0D774F56"/>
    <w:rsid w:val="0D9F74FE"/>
    <w:rsid w:val="0DAE4EC1"/>
    <w:rsid w:val="0DB92C90"/>
    <w:rsid w:val="0DC67C8B"/>
    <w:rsid w:val="0DCA2867"/>
    <w:rsid w:val="0DD73C46"/>
    <w:rsid w:val="0DDD2DC7"/>
    <w:rsid w:val="0DE325EB"/>
    <w:rsid w:val="0DFA6370"/>
    <w:rsid w:val="0E570697"/>
    <w:rsid w:val="0E5A03D3"/>
    <w:rsid w:val="0E8F62CF"/>
    <w:rsid w:val="0E96629E"/>
    <w:rsid w:val="0E9D6BF5"/>
    <w:rsid w:val="0EB21FBD"/>
    <w:rsid w:val="0EB72A9C"/>
    <w:rsid w:val="0F1F65F6"/>
    <w:rsid w:val="0F31382A"/>
    <w:rsid w:val="0F3474F7"/>
    <w:rsid w:val="0F3F1AA3"/>
    <w:rsid w:val="0FB51D65"/>
    <w:rsid w:val="0FC61F08"/>
    <w:rsid w:val="0FDB5C66"/>
    <w:rsid w:val="0FE87106"/>
    <w:rsid w:val="101153A2"/>
    <w:rsid w:val="102A64CE"/>
    <w:rsid w:val="103572DB"/>
    <w:rsid w:val="10705C31"/>
    <w:rsid w:val="1085336A"/>
    <w:rsid w:val="10914580"/>
    <w:rsid w:val="109776BD"/>
    <w:rsid w:val="10B244F7"/>
    <w:rsid w:val="10E24DDC"/>
    <w:rsid w:val="10FA65D8"/>
    <w:rsid w:val="110F6CD4"/>
    <w:rsid w:val="11137298"/>
    <w:rsid w:val="112F3D99"/>
    <w:rsid w:val="11390E60"/>
    <w:rsid w:val="114E2471"/>
    <w:rsid w:val="115926F4"/>
    <w:rsid w:val="11592BC4"/>
    <w:rsid w:val="11625F1D"/>
    <w:rsid w:val="11C10E95"/>
    <w:rsid w:val="12015736"/>
    <w:rsid w:val="12182DE9"/>
    <w:rsid w:val="1237395F"/>
    <w:rsid w:val="123C051C"/>
    <w:rsid w:val="1253125E"/>
    <w:rsid w:val="12551CF1"/>
    <w:rsid w:val="12574F77"/>
    <w:rsid w:val="128B3251"/>
    <w:rsid w:val="12AF6F40"/>
    <w:rsid w:val="12B74046"/>
    <w:rsid w:val="12C02EFB"/>
    <w:rsid w:val="12E12E71"/>
    <w:rsid w:val="12F40E79"/>
    <w:rsid w:val="13070B2A"/>
    <w:rsid w:val="13267167"/>
    <w:rsid w:val="135B70C7"/>
    <w:rsid w:val="136467D5"/>
    <w:rsid w:val="137D3D29"/>
    <w:rsid w:val="13A26AA4"/>
    <w:rsid w:val="13A46379"/>
    <w:rsid w:val="13AE71F7"/>
    <w:rsid w:val="13B567D8"/>
    <w:rsid w:val="13C90FB6"/>
    <w:rsid w:val="13D22D30"/>
    <w:rsid w:val="13DC0A55"/>
    <w:rsid w:val="13E05441"/>
    <w:rsid w:val="13F60B9E"/>
    <w:rsid w:val="13F7780E"/>
    <w:rsid w:val="142C23A5"/>
    <w:rsid w:val="143C2A55"/>
    <w:rsid w:val="14752551"/>
    <w:rsid w:val="147A4DA0"/>
    <w:rsid w:val="147A677F"/>
    <w:rsid w:val="147C5547"/>
    <w:rsid w:val="14A917F5"/>
    <w:rsid w:val="14C34F24"/>
    <w:rsid w:val="14D7277E"/>
    <w:rsid w:val="151A784F"/>
    <w:rsid w:val="151B1CAC"/>
    <w:rsid w:val="15444CA7"/>
    <w:rsid w:val="155362A8"/>
    <w:rsid w:val="15714980"/>
    <w:rsid w:val="15933DDC"/>
    <w:rsid w:val="15A83257"/>
    <w:rsid w:val="16066A1B"/>
    <w:rsid w:val="164125A5"/>
    <w:rsid w:val="165878EE"/>
    <w:rsid w:val="165A5414"/>
    <w:rsid w:val="16753FFC"/>
    <w:rsid w:val="169A1CB5"/>
    <w:rsid w:val="169F72CB"/>
    <w:rsid w:val="16AE750E"/>
    <w:rsid w:val="16EA49EA"/>
    <w:rsid w:val="16F52060"/>
    <w:rsid w:val="171E28E6"/>
    <w:rsid w:val="172A57D0"/>
    <w:rsid w:val="17386B00"/>
    <w:rsid w:val="176C453B"/>
    <w:rsid w:val="178C784F"/>
    <w:rsid w:val="17FB6783"/>
    <w:rsid w:val="180970F2"/>
    <w:rsid w:val="18316649"/>
    <w:rsid w:val="1834279A"/>
    <w:rsid w:val="183775BA"/>
    <w:rsid w:val="183A54FD"/>
    <w:rsid w:val="18626802"/>
    <w:rsid w:val="186E1244"/>
    <w:rsid w:val="18963534"/>
    <w:rsid w:val="189E588D"/>
    <w:rsid w:val="189F7D2E"/>
    <w:rsid w:val="18AA48E5"/>
    <w:rsid w:val="18B52DD6"/>
    <w:rsid w:val="19145D4E"/>
    <w:rsid w:val="196D1903"/>
    <w:rsid w:val="19762565"/>
    <w:rsid w:val="197A3EAE"/>
    <w:rsid w:val="197B650A"/>
    <w:rsid w:val="198F3627"/>
    <w:rsid w:val="19A72D9E"/>
    <w:rsid w:val="19A8655A"/>
    <w:rsid w:val="19B27315"/>
    <w:rsid w:val="19BD29C3"/>
    <w:rsid w:val="19CD0478"/>
    <w:rsid w:val="1A047158"/>
    <w:rsid w:val="1A473F02"/>
    <w:rsid w:val="1A5328A6"/>
    <w:rsid w:val="1A7171D0"/>
    <w:rsid w:val="1A81019F"/>
    <w:rsid w:val="1A872550"/>
    <w:rsid w:val="1A907657"/>
    <w:rsid w:val="1AB07CF9"/>
    <w:rsid w:val="1AB73AE3"/>
    <w:rsid w:val="1ABD2416"/>
    <w:rsid w:val="1AC13CB4"/>
    <w:rsid w:val="1AC45552"/>
    <w:rsid w:val="1ACE017F"/>
    <w:rsid w:val="1ACE63D1"/>
    <w:rsid w:val="1AE36298"/>
    <w:rsid w:val="1B642891"/>
    <w:rsid w:val="1B6D231C"/>
    <w:rsid w:val="1B9A0316"/>
    <w:rsid w:val="1BB3279E"/>
    <w:rsid w:val="1BBB4BA7"/>
    <w:rsid w:val="1BE20386"/>
    <w:rsid w:val="1BE71EF4"/>
    <w:rsid w:val="1C0E196D"/>
    <w:rsid w:val="1C2C47A2"/>
    <w:rsid w:val="1C3267D2"/>
    <w:rsid w:val="1C362480"/>
    <w:rsid w:val="1C36422E"/>
    <w:rsid w:val="1C4D3480"/>
    <w:rsid w:val="1C697F1A"/>
    <w:rsid w:val="1C737230"/>
    <w:rsid w:val="1CAB4E14"/>
    <w:rsid w:val="1CBF4223"/>
    <w:rsid w:val="1CE43C8A"/>
    <w:rsid w:val="1CEB326A"/>
    <w:rsid w:val="1CF85987"/>
    <w:rsid w:val="1D0D1432"/>
    <w:rsid w:val="1D171A8B"/>
    <w:rsid w:val="1D1E53EE"/>
    <w:rsid w:val="1D207FAE"/>
    <w:rsid w:val="1D50131F"/>
    <w:rsid w:val="1D5C7CC4"/>
    <w:rsid w:val="1D8334A3"/>
    <w:rsid w:val="1D905BC0"/>
    <w:rsid w:val="1DC91BFF"/>
    <w:rsid w:val="1DD12460"/>
    <w:rsid w:val="1DD43CFE"/>
    <w:rsid w:val="1DDE09EA"/>
    <w:rsid w:val="1DE859FC"/>
    <w:rsid w:val="1E114F52"/>
    <w:rsid w:val="1E1B1120"/>
    <w:rsid w:val="1E1C0A73"/>
    <w:rsid w:val="1E2C288E"/>
    <w:rsid w:val="1E4F7829"/>
    <w:rsid w:val="1E62130A"/>
    <w:rsid w:val="1E733517"/>
    <w:rsid w:val="1E870D71"/>
    <w:rsid w:val="1ECE074D"/>
    <w:rsid w:val="1EE241F9"/>
    <w:rsid w:val="1EE45788"/>
    <w:rsid w:val="1EEC5078"/>
    <w:rsid w:val="1F1F369F"/>
    <w:rsid w:val="1F2B2044"/>
    <w:rsid w:val="1F376E7A"/>
    <w:rsid w:val="1F3C7DAD"/>
    <w:rsid w:val="1F434B04"/>
    <w:rsid w:val="1F7E6617"/>
    <w:rsid w:val="1F8359DC"/>
    <w:rsid w:val="1F9C084C"/>
    <w:rsid w:val="1FB57B5F"/>
    <w:rsid w:val="1FBE4C66"/>
    <w:rsid w:val="1FBE6A14"/>
    <w:rsid w:val="1FC63B1B"/>
    <w:rsid w:val="20170666"/>
    <w:rsid w:val="205F0B33"/>
    <w:rsid w:val="20717F2A"/>
    <w:rsid w:val="2091237A"/>
    <w:rsid w:val="2096173F"/>
    <w:rsid w:val="2098677C"/>
    <w:rsid w:val="20B00A53"/>
    <w:rsid w:val="21091F11"/>
    <w:rsid w:val="212A1E87"/>
    <w:rsid w:val="212B632B"/>
    <w:rsid w:val="21311468"/>
    <w:rsid w:val="21A8172A"/>
    <w:rsid w:val="21B53E47"/>
    <w:rsid w:val="21B7671A"/>
    <w:rsid w:val="21E34163"/>
    <w:rsid w:val="21F51EAF"/>
    <w:rsid w:val="22234EC0"/>
    <w:rsid w:val="2228286B"/>
    <w:rsid w:val="22835CF3"/>
    <w:rsid w:val="228F28EA"/>
    <w:rsid w:val="228F3654"/>
    <w:rsid w:val="22DB5B2F"/>
    <w:rsid w:val="22F64690"/>
    <w:rsid w:val="22F866E1"/>
    <w:rsid w:val="23052BAC"/>
    <w:rsid w:val="23243EF0"/>
    <w:rsid w:val="232F19D7"/>
    <w:rsid w:val="23421D8D"/>
    <w:rsid w:val="23587280"/>
    <w:rsid w:val="236A13A9"/>
    <w:rsid w:val="23871813"/>
    <w:rsid w:val="238E494F"/>
    <w:rsid w:val="23B1063E"/>
    <w:rsid w:val="23BF0FAD"/>
    <w:rsid w:val="23D700A4"/>
    <w:rsid w:val="23F24EDE"/>
    <w:rsid w:val="23FE56AA"/>
    <w:rsid w:val="242F7EE0"/>
    <w:rsid w:val="2435126F"/>
    <w:rsid w:val="244F5155"/>
    <w:rsid w:val="24852874"/>
    <w:rsid w:val="248B25A5"/>
    <w:rsid w:val="24A84FF5"/>
    <w:rsid w:val="24C55A12"/>
    <w:rsid w:val="24D942F0"/>
    <w:rsid w:val="24DE36B4"/>
    <w:rsid w:val="24F21B94"/>
    <w:rsid w:val="25097BC2"/>
    <w:rsid w:val="253634F0"/>
    <w:rsid w:val="25700B25"/>
    <w:rsid w:val="2580723F"/>
    <w:rsid w:val="2584425C"/>
    <w:rsid w:val="25845E1E"/>
    <w:rsid w:val="25965D3D"/>
    <w:rsid w:val="25996102"/>
    <w:rsid w:val="25AB0177"/>
    <w:rsid w:val="25BE7793"/>
    <w:rsid w:val="25EC60DD"/>
    <w:rsid w:val="25F74A2E"/>
    <w:rsid w:val="25F807A6"/>
    <w:rsid w:val="263E265D"/>
    <w:rsid w:val="2674147A"/>
    <w:rsid w:val="267729FA"/>
    <w:rsid w:val="269E30FB"/>
    <w:rsid w:val="26E2140E"/>
    <w:rsid w:val="26E22CDB"/>
    <w:rsid w:val="26EC5BCC"/>
    <w:rsid w:val="270C1A00"/>
    <w:rsid w:val="271D7FA2"/>
    <w:rsid w:val="27231852"/>
    <w:rsid w:val="272950BB"/>
    <w:rsid w:val="2734580E"/>
    <w:rsid w:val="27704CF1"/>
    <w:rsid w:val="278169A2"/>
    <w:rsid w:val="27861D5F"/>
    <w:rsid w:val="2790513A"/>
    <w:rsid w:val="27CB7F20"/>
    <w:rsid w:val="27D668C5"/>
    <w:rsid w:val="27DB0E62"/>
    <w:rsid w:val="28192A99"/>
    <w:rsid w:val="281B576E"/>
    <w:rsid w:val="282039AE"/>
    <w:rsid w:val="283E3C47"/>
    <w:rsid w:val="285E23E9"/>
    <w:rsid w:val="28EA087A"/>
    <w:rsid w:val="29162058"/>
    <w:rsid w:val="29182E05"/>
    <w:rsid w:val="291D29FD"/>
    <w:rsid w:val="29235B3A"/>
    <w:rsid w:val="292518B2"/>
    <w:rsid w:val="292930E0"/>
    <w:rsid w:val="292F039C"/>
    <w:rsid w:val="294A756A"/>
    <w:rsid w:val="296A19BB"/>
    <w:rsid w:val="296B64C2"/>
    <w:rsid w:val="29930F11"/>
    <w:rsid w:val="29A749BD"/>
    <w:rsid w:val="29A924E3"/>
    <w:rsid w:val="29C63095"/>
    <w:rsid w:val="29DD429D"/>
    <w:rsid w:val="29F80D74"/>
    <w:rsid w:val="2A151926"/>
    <w:rsid w:val="2A3A138D"/>
    <w:rsid w:val="2A3D2C2B"/>
    <w:rsid w:val="2A781EB5"/>
    <w:rsid w:val="2A832D34"/>
    <w:rsid w:val="2AAE58D7"/>
    <w:rsid w:val="2AB90504"/>
    <w:rsid w:val="2B0C0F7B"/>
    <w:rsid w:val="2B110340"/>
    <w:rsid w:val="2B146082"/>
    <w:rsid w:val="2B175ADE"/>
    <w:rsid w:val="2B2111E5"/>
    <w:rsid w:val="2B434271"/>
    <w:rsid w:val="2B554E8C"/>
    <w:rsid w:val="2B6568DD"/>
    <w:rsid w:val="2B840620"/>
    <w:rsid w:val="2B852ADC"/>
    <w:rsid w:val="2B8A1EA0"/>
    <w:rsid w:val="2B944ACD"/>
    <w:rsid w:val="2BC26591"/>
    <w:rsid w:val="2BEA02F7"/>
    <w:rsid w:val="2BEB6DE3"/>
    <w:rsid w:val="2C0C4FAB"/>
    <w:rsid w:val="2C1F6A8C"/>
    <w:rsid w:val="2C46226B"/>
    <w:rsid w:val="2C4E2ECE"/>
    <w:rsid w:val="2C4F4EEE"/>
    <w:rsid w:val="2C5524AE"/>
    <w:rsid w:val="2C7E70CA"/>
    <w:rsid w:val="2CA156F3"/>
    <w:rsid w:val="2CA451E4"/>
    <w:rsid w:val="2CB82A3D"/>
    <w:rsid w:val="2CD3650D"/>
    <w:rsid w:val="2D104627"/>
    <w:rsid w:val="2D2520DA"/>
    <w:rsid w:val="2D3622E0"/>
    <w:rsid w:val="2D4B565F"/>
    <w:rsid w:val="2D5E35E4"/>
    <w:rsid w:val="2D686211"/>
    <w:rsid w:val="2D7323A6"/>
    <w:rsid w:val="2D7746A6"/>
    <w:rsid w:val="2D7A5AC4"/>
    <w:rsid w:val="2DAC25A2"/>
    <w:rsid w:val="2DD90EBD"/>
    <w:rsid w:val="2DEE0111"/>
    <w:rsid w:val="2E0D437C"/>
    <w:rsid w:val="2E402CEA"/>
    <w:rsid w:val="2E4C5B33"/>
    <w:rsid w:val="2E642E7C"/>
    <w:rsid w:val="2EC61441"/>
    <w:rsid w:val="2ED1142B"/>
    <w:rsid w:val="2EFF3447"/>
    <w:rsid w:val="2F2E6FE6"/>
    <w:rsid w:val="2F656EAC"/>
    <w:rsid w:val="2F6D5AE4"/>
    <w:rsid w:val="2F7E7F6E"/>
    <w:rsid w:val="2FA54BEE"/>
    <w:rsid w:val="2FDE17A4"/>
    <w:rsid w:val="2FED0C50"/>
    <w:rsid w:val="2FF975F4"/>
    <w:rsid w:val="30107441"/>
    <w:rsid w:val="30183F1E"/>
    <w:rsid w:val="302A1EA4"/>
    <w:rsid w:val="30556F21"/>
    <w:rsid w:val="3059093C"/>
    <w:rsid w:val="309C4B4F"/>
    <w:rsid w:val="30A62CBC"/>
    <w:rsid w:val="30C23E8A"/>
    <w:rsid w:val="30C505E2"/>
    <w:rsid w:val="30CE0A81"/>
    <w:rsid w:val="30E958BB"/>
    <w:rsid w:val="30ED53AB"/>
    <w:rsid w:val="310557EE"/>
    <w:rsid w:val="3146450B"/>
    <w:rsid w:val="314B2999"/>
    <w:rsid w:val="315E3BB3"/>
    <w:rsid w:val="31684A32"/>
    <w:rsid w:val="31B23EFF"/>
    <w:rsid w:val="31B94209"/>
    <w:rsid w:val="31D2634F"/>
    <w:rsid w:val="31D81FDB"/>
    <w:rsid w:val="31F6203D"/>
    <w:rsid w:val="32244DFC"/>
    <w:rsid w:val="32454D73"/>
    <w:rsid w:val="32690A61"/>
    <w:rsid w:val="32A23F73"/>
    <w:rsid w:val="32BA750F"/>
    <w:rsid w:val="32BF4B25"/>
    <w:rsid w:val="32D560F7"/>
    <w:rsid w:val="32F02F31"/>
    <w:rsid w:val="32F90352"/>
    <w:rsid w:val="3301513E"/>
    <w:rsid w:val="331309CD"/>
    <w:rsid w:val="332350B4"/>
    <w:rsid w:val="33462B51"/>
    <w:rsid w:val="336D5341"/>
    <w:rsid w:val="33B977C6"/>
    <w:rsid w:val="33D12D62"/>
    <w:rsid w:val="33D42E09"/>
    <w:rsid w:val="33D463AE"/>
    <w:rsid w:val="34142C4F"/>
    <w:rsid w:val="3417273F"/>
    <w:rsid w:val="34351807"/>
    <w:rsid w:val="344277BC"/>
    <w:rsid w:val="34690F59"/>
    <w:rsid w:val="34AF2977"/>
    <w:rsid w:val="34CD274D"/>
    <w:rsid w:val="34DA2B3D"/>
    <w:rsid w:val="34DA79F4"/>
    <w:rsid w:val="34F144AE"/>
    <w:rsid w:val="34F97DDE"/>
    <w:rsid w:val="35042CC3"/>
    <w:rsid w:val="350B4052"/>
    <w:rsid w:val="351A3769"/>
    <w:rsid w:val="35213875"/>
    <w:rsid w:val="35377F77"/>
    <w:rsid w:val="353D61D5"/>
    <w:rsid w:val="35577297"/>
    <w:rsid w:val="35685D12"/>
    <w:rsid w:val="35725E7F"/>
    <w:rsid w:val="357E7AF8"/>
    <w:rsid w:val="35845BB2"/>
    <w:rsid w:val="35867DC0"/>
    <w:rsid w:val="358B6F41"/>
    <w:rsid w:val="35E60839"/>
    <w:rsid w:val="35EF74CF"/>
    <w:rsid w:val="35F44AE6"/>
    <w:rsid w:val="361B6516"/>
    <w:rsid w:val="365732C7"/>
    <w:rsid w:val="36617CA1"/>
    <w:rsid w:val="367125DA"/>
    <w:rsid w:val="36835E6A"/>
    <w:rsid w:val="369D33CF"/>
    <w:rsid w:val="36A24542"/>
    <w:rsid w:val="36BF2AF4"/>
    <w:rsid w:val="37103BA1"/>
    <w:rsid w:val="37104F56"/>
    <w:rsid w:val="372B50A7"/>
    <w:rsid w:val="372C02AF"/>
    <w:rsid w:val="3733252E"/>
    <w:rsid w:val="375717D0"/>
    <w:rsid w:val="37757EA8"/>
    <w:rsid w:val="37D94B8F"/>
    <w:rsid w:val="37EF12F0"/>
    <w:rsid w:val="381D13B1"/>
    <w:rsid w:val="382611A3"/>
    <w:rsid w:val="386D0B7F"/>
    <w:rsid w:val="38D806EF"/>
    <w:rsid w:val="39113643"/>
    <w:rsid w:val="39186D3D"/>
    <w:rsid w:val="391B3701"/>
    <w:rsid w:val="393B1CED"/>
    <w:rsid w:val="396D4144"/>
    <w:rsid w:val="397D3044"/>
    <w:rsid w:val="3982065B"/>
    <w:rsid w:val="39AA1EA5"/>
    <w:rsid w:val="39B76556"/>
    <w:rsid w:val="39F1010E"/>
    <w:rsid w:val="3A2D4A6A"/>
    <w:rsid w:val="3A3A2CE3"/>
    <w:rsid w:val="3A5C70FE"/>
    <w:rsid w:val="3A747B8A"/>
    <w:rsid w:val="3A9C399E"/>
    <w:rsid w:val="3AA54A91"/>
    <w:rsid w:val="3AB24CBD"/>
    <w:rsid w:val="3AC0143A"/>
    <w:rsid w:val="3AC0768C"/>
    <w:rsid w:val="3AC30F2B"/>
    <w:rsid w:val="3AC727C9"/>
    <w:rsid w:val="3AD46983"/>
    <w:rsid w:val="3AEE41FA"/>
    <w:rsid w:val="3AF305E5"/>
    <w:rsid w:val="3AFD5BAD"/>
    <w:rsid w:val="3B0C3BD8"/>
    <w:rsid w:val="3B537DE4"/>
    <w:rsid w:val="3B60677A"/>
    <w:rsid w:val="3B640562"/>
    <w:rsid w:val="3B6D6E59"/>
    <w:rsid w:val="3BCB453B"/>
    <w:rsid w:val="3BF21AC7"/>
    <w:rsid w:val="3C0C45CB"/>
    <w:rsid w:val="3C1A101E"/>
    <w:rsid w:val="3C261771"/>
    <w:rsid w:val="3C291261"/>
    <w:rsid w:val="3C2A03B9"/>
    <w:rsid w:val="3C2B322B"/>
    <w:rsid w:val="3C3245BA"/>
    <w:rsid w:val="3C5462DE"/>
    <w:rsid w:val="3CBC3E83"/>
    <w:rsid w:val="3CC97668"/>
    <w:rsid w:val="3D015D3A"/>
    <w:rsid w:val="3D483712"/>
    <w:rsid w:val="3D974BD1"/>
    <w:rsid w:val="3DA037A5"/>
    <w:rsid w:val="3DB1131D"/>
    <w:rsid w:val="3E2B5480"/>
    <w:rsid w:val="3E3208A1"/>
    <w:rsid w:val="3E772758"/>
    <w:rsid w:val="3E794F64"/>
    <w:rsid w:val="3E936742"/>
    <w:rsid w:val="3EFD0DB8"/>
    <w:rsid w:val="3F0044FB"/>
    <w:rsid w:val="3F1B487A"/>
    <w:rsid w:val="3F2301EA"/>
    <w:rsid w:val="3F381EE7"/>
    <w:rsid w:val="3F520ACF"/>
    <w:rsid w:val="3F6A5E19"/>
    <w:rsid w:val="3FA00BF0"/>
    <w:rsid w:val="3FA72D2A"/>
    <w:rsid w:val="3FD02C9E"/>
    <w:rsid w:val="3FD41D67"/>
    <w:rsid w:val="3FE77469"/>
    <w:rsid w:val="3FEC0F24"/>
    <w:rsid w:val="405640BE"/>
    <w:rsid w:val="405745EF"/>
    <w:rsid w:val="408353E4"/>
    <w:rsid w:val="40923879"/>
    <w:rsid w:val="4099688A"/>
    <w:rsid w:val="40F956A6"/>
    <w:rsid w:val="414F3518"/>
    <w:rsid w:val="416F5968"/>
    <w:rsid w:val="4185620E"/>
    <w:rsid w:val="41B642C2"/>
    <w:rsid w:val="41F45E6E"/>
    <w:rsid w:val="421E36B7"/>
    <w:rsid w:val="422C3859"/>
    <w:rsid w:val="425C1804"/>
    <w:rsid w:val="425F778B"/>
    <w:rsid w:val="42B06238"/>
    <w:rsid w:val="42D61E33"/>
    <w:rsid w:val="42D71A17"/>
    <w:rsid w:val="42E3216A"/>
    <w:rsid w:val="43210EE4"/>
    <w:rsid w:val="432A4D6B"/>
    <w:rsid w:val="43480C23"/>
    <w:rsid w:val="434D397B"/>
    <w:rsid w:val="437B7CB1"/>
    <w:rsid w:val="43917E18"/>
    <w:rsid w:val="439E365C"/>
    <w:rsid w:val="43D25E8C"/>
    <w:rsid w:val="43D43068"/>
    <w:rsid w:val="43DB72E5"/>
    <w:rsid w:val="43E94CB9"/>
    <w:rsid w:val="43EA577A"/>
    <w:rsid w:val="43EF03C3"/>
    <w:rsid w:val="44114659"/>
    <w:rsid w:val="44150A7B"/>
    <w:rsid w:val="44323217"/>
    <w:rsid w:val="4436276D"/>
    <w:rsid w:val="44384737"/>
    <w:rsid w:val="443B42DA"/>
    <w:rsid w:val="443E20F5"/>
    <w:rsid w:val="44436393"/>
    <w:rsid w:val="444F2B36"/>
    <w:rsid w:val="4450382F"/>
    <w:rsid w:val="445B21D4"/>
    <w:rsid w:val="44664DEF"/>
    <w:rsid w:val="4476700E"/>
    <w:rsid w:val="447C2011"/>
    <w:rsid w:val="4493196E"/>
    <w:rsid w:val="44AC5CF0"/>
    <w:rsid w:val="44AE67A8"/>
    <w:rsid w:val="44B442A9"/>
    <w:rsid w:val="44DF24B2"/>
    <w:rsid w:val="45085FA3"/>
    <w:rsid w:val="451A6F6C"/>
    <w:rsid w:val="4533421C"/>
    <w:rsid w:val="45464C32"/>
    <w:rsid w:val="45617CBE"/>
    <w:rsid w:val="45A56182"/>
    <w:rsid w:val="45A86549"/>
    <w:rsid w:val="45C51FFB"/>
    <w:rsid w:val="460C19D8"/>
    <w:rsid w:val="46274A64"/>
    <w:rsid w:val="462D47F6"/>
    <w:rsid w:val="462E5DF2"/>
    <w:rsid w:val="462F3A96"/>
    <w:rsid w:val="463B22BD"/>
    <w:rsid w:val="46537607"/>
    <w:rsid w:val="466C06C8"/>
    <w:rsid w:val="466E61EE"/>
    <w:rsid w:val="467639A4"/>
    <w:rsid w:val="46783983"/>
    <w:rsid w:val="46A2233C"/>
    <w:rsid w:val="46BF4B75"/>
    <w:rsid w:val="46D85D5E"/>
    <w:rsid w:val="46DF0E9A"/>
    <w:rsid w:val="46E50381"/>
    <w:rsid w:val="47264D1B"/>
    <w:rsid w:val="47354F5E"/>
    <w:rsid w:val="47370455"/>
    <w:rsid w:val="473A1C5C"/>
    <w:rsid w:val="475100CB"/>
    <w:rsid w:val="475E3A53"/>
    <w:rsid w:val="47A81519"/>
    <w:rsid w:val="47D94543"/>
    <w:rsid w:val="47E66258"/>
    <w:rsid w:val="482079BC"/>
    <w:rsid w:val="48272AF9"/>
    <w:rsid w:val="483366F6"/>
    <w:rsid w:val="48547666"/>
    <w:rsid w:val="48591B2B"/>
    <w:rsid w:val="485C51D7"/>
    <w:rsid w:val="486C49B0"/>
    <w:rsid w:val="487D34C2"/>
    <w:rsid w:val="48877A3B"/>
    <w:rsid w:val="48A00AFD"/>
    <w:rsid w:val="48A56114"/>
    <w:rsid w:val="48F82291"/>
    <w:rsid w:val="48FC3F85"/>
    <w:rsid w:val="490B41C9"/>
    <w:rsid w:val="49583186"/>
    <w:rsid w:val="495C2A9A"/>
    <w:rsid w:val="49975A5C"/>
    <w:rsid w:val="49A457AF"/>
    <w:rsid w:val="49B5799A"/>
    <w:rsid w:val="49B9745E"/>
    <w:rsid w:val="49BE748D"/>
    <w:rsid w:val="49D071C0"/>
    <w:rsid w:val="49E35145"/>
    <w:rsid w:val="49F75DDD"/>
    <w:rsid w:val="4A02381D"/>
    <w:rsid w:val="4A080708"/>
    <w:rsid w:val="4A121587"/>
    <w:rsid w:val="4A132DDE"/>
    <w:rsid w:val="4A27726D"/>
    <w:rsid w:val="4A3E237C"/>
    <w:rsid w:val="4A5E4422"/>
    <w:rsid w:val="4A8F397A"/>
    <w:rsid w:val="4AC24D5B"/>
    <w:rsid w:val="4AF07B1A"/>
    <w:rsid w:val="4B1C4574"/>
    <w:rsid w:val="4B221C03"/>
    <w:rsid w:val="4B645E12"/>
    <w:rsid w:val="4B6C5BC8"/>
    <w:rsid w:val="4B72052F"/>
    <w:rsid w:val="4B92297F"/>
    <w:rsid w:val="4BBC5C4E"/>
    <w:rsid w:val="4BE76167"/>
    <w:rsid w:val="4BFC24EE"/>
    <w:rsid w:val="4C4A7DB2"/>
    <w:rsid w:val="4C5C727E"/>
    <w:rsid w:val="4C72455F"/>
    <w:rsid w:val="4C786019"/>
    <w:rsid w:val="4C9269AF"/>
    <w:rsid w:val="4C9D50D4"/>
    <w:rsid w:val="4CAD5597"/>
    <w:rsid w:val="4CB42DC9"/>
    <w:rsid w:val="4CDB0356"/>
    <w:rsid w:val="4D072EF9"/>
    <w:rsid w:val="4D0870FA"/>
    <w:rsid w:val="4D137AF0"/>
    <w:rsid w:val="4D1E16D7"/>
    <w:rsid w:val="4D3A507C"/>
    <w:rsid w:val="4D3A61C4"/>
    <w:rsid w:val="4D3E4EC9"/>
    <w:rsid w:val="4D73058E"/>
    <w:rsid w:val="4DB81EDF"/>
    <w:rsid w:val="4DDF5C24"/>
    <w:rsid w:val="4DEF40B9"/>
    <w:rsid w:val="4E117747"/>
    <w:rsid w:val="4E377EEF"/>
    <w:rsid w:val="4E451F2B"/>
    <w:rsid w:val="4E5B79A0"/>
    <w:rsid w:val="4E6323B1"/>
    <w:rsid w:val="4E760336"/>
    <w:rsid w:val="4EA613CC"/>
    <w:rsid w:val="4EB250E6"/>
    <w:rsid w:val="4ED824E8"/>
    <w:rsid w:val="4ED84B4D"/>
    <w:rsid w:val="4EED7C20"/>
    <w:rsid w:val="4F0022F6"/>
    <w:rsid w:val="4F013401"/>
    <w:rsid w:val="4F5B0C0F"/>
    <w:rsid w:val="4F6B3C13"/>
    <w:rsid w:val="4F7B197C"/>
    <w:rsid w:val="4F8B7E11"/>
    <w:rsid w:val="4F9E6952"/>
    <w:rsid w:val="4FF21C3E"/>
    <w:rsid w:val="50137E07"/>
    <w:rsid w:val="50680152"/>
    <w:rsid w:val="50BC51E3"/>
    <w:rsid w:val="50C96801"/>
    <w:rsid w:val="50D43A3A"/>
    <w:rsid w:val="50D77086"/>
    <w:rsid w:val="50D80658"/>
    <w:rsid w:val="50FF3888"/>
    <w:rsid w:val="5104294E"/>
    <w:rsid w:val="512027DB"/>
    <w:rsid w:val="515459CD"/>
    <w:rsid w:val="515A3F3F"/>
    <w:rsid w:val="51907961"/>
    <w:rsid w:val="51924411"/>
    <w:rsid w:val="51974326"/>
    <w:rsid w:val="519D31E6"/>
    <w:rsid w:val="51C66E49"/>
    <w:rsid w:val="51D84E64"/>
    <w:rsid w:val="51E542A0"/>
    <w:rsid w:val="51F53C68"/>
    <w:rsid w:val="51FE6A20"/>
    <w:rsid w:val="52195BA8"/>
    <w:rsid w:val="522F2F93"/>
    <w:rsid w:val="526D37FE"/>
    <w:rsid w:val="529C3DB8"/>
    <w:rsid w:val="52F21F55"/>
    <w:rsid w:val="52F46A67"/>
    <w:rsid w:val="52F61A46"/>
    <w:rsid w:val="530C1269"/>
    <w:rsid w:val="5315693C"/>
    <w:rsid w:val="53385D17"/>
    <w:rsid w:val="533F1F43"/>
    <w:rsid w:val="53407165"/>
    <w:rsid w:val="537A4A16"/>
    <w:rsid w:val="53A2397B"/>
    <w:rsid w:val="53A5346C"/>
    <w:rsid w:val="53A96AB8"/>
    <w:rsid w:val="53CC09F8"/>
    <w:rsid w:val="53CC52E0"/>
    <w:rsid w:val="53D004E8"/>
    <w:rsid w:val="53D5199E"/>
    <w:rsid w:val="53DD3535"/>
    <w:rsid w:val="53F1045F"/>
    <w:rsid w:val="53F64465"/>
    <w:rsid w:val="53F817ED"/>
    <w:rsid w:val="5411465D"/>
    <w:rsid w:val="54574766"/>
    <w:rsid w:val="547F1F0F"/>
    <w:rsid w:val="54972DB4"/>
    <w:rsid w:val="549C03CB"/>
    <w:rsid w:val="54C05D1E"/>
    <w:rsid w:val="54CF2535"/>
    <w:rsid w:val="54F9581D"/>
    <w:rsid w:val="55404102"/>
    <w:rsid w:val="55480552"/>
    <w:rsid w:val="55780E38"/>
    <w:rsid w:val="55CE6CAA"/>
    <w:rsid w:val="55D20806"/>
    <w:rsid w:val="55E55DA1"/>
    <w:rsid w:val="55E62944"/>
    <w:rsid w:val="55EC5382"/>
    <w:rsid w:val="565439AC"/>
    <w:rsid w:val="565C6063"/>
    <w:rsid w:val="565E0272"/>
    <w:rsid w:val="56690780"/>
    <w:rsid w:val="569C2F2A"/>
    <w:rsid w:val="56A63783"/>
    <w:rsid w:val="56CA600D"/>
    <w:rsid w:val="56E66275"/>
    <w:rsid w:val="56EF512A"/>
    <w:rsid w:val="56F97D56"/>
    <w:rsid w:val="573C463C"/>
    <w:rsid w:val="57623B4D"/>
    <w:rsid w:val="576C68E1"/>
    <w:rsid w:val="57CA34A1"/>
    <w:rsid w:val="57FD3876"/>
    <w:rsid w:val="583B614D"/>
    <w:rsid w:val="58466FCB"/>
    <w:rsid w:val="58615BB3"/>
    <w:rsid w:val="58753BE3"/>
    <w:rsid w:val="58A67A6A"/>
    <w:rsid w:val="58BA1767"/>
    <w:rsid w:val="58F86849"/>
    <w:rsid w:val="58FF131E"/>
    <w:rsid w:val="594352B9"/>
    <w:rsid w:val="59513E7A"/>
    <w:rsid w:val="59617E35"/>
    <w:rsid w:val="597E6ADF"/>
    <w:rsid w:val="59853B23"/>
    <w:rsid w:val="59C81C62"/>
    <w:rsid w:val="59CA7788"/>
    <w:rsid w:val="5A0C7744"/>
    <w:rsid w:val="5A2275C4"/>
    <w:rsid w:val="5A2732FD"/>
    <w:rsid w:val="5A2E7D17"/>
    <w:rsid w:val="5A3606BD"/>
    <w:rsid w:val="5A4E2167"/>
    <w:rsid w:val="5A820063"/>
    <w:rsid w:val="5AD34936"/>
    <w:rsid w:val="5AD54636"/>
    <w:rsid w:val="5B0311A3"/>
    <w:rsid w:val="5B150ED7"/>
    <w:rsid w:val="5B323837"/>
    <w:rsid w:val="5B35266D"/>
    <w:rsid w:val="5B3A26EB"/>
    <w:rsid w:val="5B6F05E7"/>
    <w:rsid w:val="5B785CA1"/>
    <w:rsid w:val="5B7A0358"/>
    <w:rsid w:val="5B8816A9"/>
    <w:rsid w:val="5B8B1199"/>
    <w:rsid w:val="5B9237E2"/>
    <w:rsid w:val="5BA565AD"/>
    <w:rsid w:val="5BCB77E7"/>
    <w:rsid w:val="5BED4FC0"/>
    <w:rsid w:val="5C0A2523"/>
    <w:rsid w:val="5C0A6562"/>
    <w:rsid w:val="5C245875"/>
    <w:rsid w:val="5C354F12"/>
    <w:rsid w:val="5C427AAA"/>
    <w:rsid w:val="5C6B34A4"/>
    <w:rsid w:val="5CAB38A1"/>
    <w:rsid w:val="5CF17781"/>
    <w:rsid w:val="5CF5267B"/>
    <w:rsid w:val="5CFE5B62"/>
    <w:rsid w:val="5D18088A"/>
    <w:rsid w:val="5D315701"/>
    <w:rsid w:val="5D8660BC"/>
    <w:rsid w:val="5D9562FF"/>
    <w:rsid w:val="5DBF1D59"/>
    <w:rsid w:val="5DE11544"/>
    <w:rsid w:val="5DEB7A66"/>
    <w:rsid w:val="5E2556E9"/>
    <w:rsid w:val="5E2D6537"/>
    <w:rsid w:val="5E4D70D5"/>
    <w:rsid w:val="5E736640"/>
    <w:rsid w:val="5E800D5D"/>
    <w:rsid w:val="5EA20CD3"/>
    <w:rsid w:val="5EAC3900"/>
    <w:rsid w:val="5EE17A4E"/>
    <w:rsid w:val="5EEB72EE"/>
    <w:rsid w:val="5F0279C4"/>
    <w:rsid w:val="5F1F40D2"/>
    <w:rsid w:val="5F3B6A32"/>
    <w:rsid w:val="5F3D09FC"/>
    <w:rsid w:val="5FCB13FB"/>
    <w:rsid w:val="5FFE63DD"/>
    <w:rsid w:val="604B4867"/>
    <w:rsid w:val="608763D3"/>
    <w:rsid w:val="608B3CC1"/>
    <w:rsid w:val="609A54CA"/>
    <w:rsid w:val="60B92304"/>
    <w:rsid w:val="60DD1A0B"/>
    <w:rsid w:val="60EA0710"/>
    <w:rsid w:val="60EE6452"/>
    <w:rsid w:val="60F11A9E"/>
    <w:rsid w:val="60F9058A"/>
    <w:rsid w:val="611D2893"/>
    <w:rsid w:val="61241E74"/>
    <w:rsid w:val="6155027F"/>
    <w:rsid w:val="615564D1"/>
    <w:rsid w:val="61686204"/>
    <w:rsid w:val="617225FD"/>
    <w:rsid w:val="618C33ED"/>
    <w:rsid w:val="619061C1"/>
    <w:rsid w:val="619568CD"/>
    <w:rsid w:val="61C176C2"/>
    <w:rsid w:val="61CF50F8"/>
    <w:rsid w:val="61D76EE6"/>
    <w:rsid w:val="62037856"/>
    <w:rsid w:val="62157A0E"/>
    <w:rsid w:val="624F180B"/>
    <w:rsid w:val="629848C7"/>
    <w:rsid w:val="62AC0373"/>
    <w:rsid w:val="62E02B47"/>
    <w:rsid w:val="630A5099"/>
    <w:rsid w:val="63142A83"/>
    <w:rsid w:val="637569B7"/>
    <w:rsid w:val="637D3ABD"/>
    <w:rsid w:val="637F7835"/>
    <w:rsid w:val="63846BFA"/>
    <w:rsid w:val="63C143B7"/>
    <w:rsid w:val="63CB65D6"/>
    <w:rsid w:val="64175202"/>
    <w:rsid w:val="6418674C"/>
    <w:rsid w:val="641B57B0"/>
    <w:rsid w:val="644621A1"/>
    <w:rsid w:val="647E5D3F"/>
    <w:rsid w:val="64A357A5"/>
    <w:rsid w:val="64D43238"/>
    <w:rsid w:val="64D5744C"/>
    <w:rsid w:val="64DF4A2F"/>
    <w:rsid w:val="64F152B6"/>
    <w:rsid w:val="65062D4A"/>
    <w:rsid w:val="6511270F"/>
    <w:rsid w:val="65165F77"/>
    <w:rsid w:val="65183A9D"/>
    <w:rsid w:val="651B5B71"/>
    <w:rsid w:val="6554084E"/>
    <w:rsid w:val="65705687"/>
    <w:rsid w:val="65735178"/>
    <w:rsid w:val="658B24C1"/>
    <w:rsid w:val="65906375"/>
    <w:rsid w:val="65921AA2"/>
    <w:rsid w:val="65A672FB"/>
    <w:rsid w:val="65F242EE"/>
    <w:rsid w:val="66044022"/>
    <w:rsid w:val="660F5591"/>
    <w:rsid w:val="661B009E"/>
    <w:rsid w:val="663314D9"/>
    <w:rsid w:val="663A28B8"/>
    <w:rsid w:val="66756CCD"/>
    <w:rsid w:val="66951ABF"/>
    <w:rsid w:val="66BC2B4E"/>
    <w:rsid w:val="66EA1469"/>
    <w:rsid w:val="66F81601"/>
    <w:rsid w:val="67136C12"/>
    <w:rsid w:val="671415AF"/>
    <w:rsid w:val="671C251F"/>
    <w:rsid w:val="671E1113"/>
    <w:rsid w:val="674335AA"/>
    <w:rsid w:val="67501023"/>
    <w:rsid w:val="676E5BF7"/>
    <w:rsid w:val="678D7F9E"/>
    <w:rsid w:val="67966EFB"/>
    <w:rsid w:val="67BC1058"/>
    <w:rsid w:val="67BF28F6"/>
    <w:rsid w:val="67C65A33"/>
    <w:rsid w:val="67D21ADF"/>
    <w:rsid w:val="67DC5256"/>
    <w:rsid w:val="67E429FE"/>
    <w:rsid w:val="680575DB"/>
    <w:rsid w:val="68282249"/>
    <w:rsid w:val="683F2F11"/>
    <w:rsid w:val="685F3791"/>
    <w:rsid w:val="68727968"/>
    <w:rsid w:val="68730694"/>
    <w:rsid w:val="68A11FFC"/>
    <w:rsid w:val="68AC429F"/>
    <w:rsid w:val="68BC6E36"/>
    <w:rsid w:val="68E1689C"/>
    <w:rsid w:val="68FE11FC"/>
    <w:rsid w:val="690507DD"/>
    <w:rsid w:val="69472BA3"/>
    <w:rsid w:val="69517461"/>
    <w:rsid w:val="695B03FD"/>
    <w:rsid w:val="695E41AD"/>
    <w:rsid w:val="69855479"/>
    <w:rsid w:val="69913E1E"/>
    <w:rsid w:val="69A47FF6"/>
    <w:rsid w:val="69BA15C7"/>
    <w:rsid w:val="69BD4C13"/>
    <w:rsid w:val="69DB5193"/>
    <w:rsid w:val="69F83E9D"/>
    <w:rsid w:val="69FF347E"/>
    <w:rsid w:val="6A042842"/>
    <w:rsid w:val="6A0B32F6"/>
    <w:rsid w:val="6A1257C7"/>
    <w:rsid w:val="6A2D7FEB"/>
    <w:rsid w:val="6A3A44B6"/>
    <w:rsid w:val="6A5135AE"/>
    <w:rsid w:val="6A5A06B4"/>
    <w:rsid w:val="6A6D6639"/>
    <w:rsid w:val="6A723C50"/>
    <w:rsid w:val="6A731776"/>
    <w:rsid w:val="6A815C41"/>
    <w:rsid w:val="6AA52968"/>
    <w:rsid w:val="6ACB72D7"/>
    <w:rsid w:val="6ACC352D"/>
    <w:rsid w:val="6AFB621B"/>
    <w:rsid w:val="6AFD409F"/>
    <w:rsid w:val="6B032AFA"/>
    <w:rsid w:val="6B0F76F1"/>
    <w:rsid w:val="6B2C5AA5"/>
    <w:rsid w:val="6B5B46E4"/>
    <w:rsid w:val="6B6D4417"/>
    <w:rsid w:val="6B7B4032"/>
    <w:rsid w:val="6B7E4BFD"/>
    <w:rsid w:val="6BB34520"/>
    <w:rsid w:val="6BB362CE"/>
    <w:rsid w:val="6BD4761B"/>
    <w:rsid w:val="6BD82154"/>
    <w:rsid w:val="6BD83F86"/>
    <w:rsid w:val="6BFE09D7"/>
    <w:rsid w:val="6C054650"/>
    <w:rsid w:val="6C061D72"/>
    <w:rsid w:val="6C5A2BED"/>
    <w:rsid w:val="6C6A5ECF"/>
    <w:rsid w:val="6C81461E"/>
    <w:rsid w:val="6C8E0F0A"/>
    <w:rsid w:val="6CB542C8"/>
    <w:rsid w:val="6CBA18DE"/>
    <w:rsid w:val="6CBB235A"/>
    <w:rsid w:val="6CF941B4"/>
    <w:rsid w:val="6D3276C6"/>
    <w:rsid w:val="6D3E42BD"/>
    <w:rsid w:val="6D687A41"/>
    <w:rsid w:val="6DB17F76"/>
    <w:rsid w:val="6DCC18C9"/>
    <w:rsid w:val="6DD6058E"/>
    <w:rsid w:val="6DDE4FBC"/>
    <w:rsid w:val="6DFD531E"/>
    <w:rsid w:val="6E0E1EE1"/>
    <w:rsid w:val="6E192634"/>
    <w:rsid w:val="6E2C2368"/>
    <w:rsid w:val="6E3B25AB"/>
    <w:rsid w:val="6E4A56B7"/>
    <w:rsid w:val="6E6F6D59"/>
    <w:rsid w:val="6EB20ABF"/>
    <w:rsid w:val="6EF6451B"/>
    <w:rsid w:val="6F0155A2"/>
    <w:rsid w:val="6F037FCD"/>
    <w:rsid w:val="6F3C4132"/>
    <w:rsid w:val="6F52101E"/>
    <w:rsid w:val="6F563B40"/>
    <w:rsid w:val="6F8A3ABE"/>
    <w:rsid w:val="6F963F3C"/>
    <w:rsid w:val="6FA348AB"/>
    <w:rsid w:val="6FF77227"/>
    <w:rsid w:val="6FF91690"/>
    <w:rsid w:val="70003AAC"/>
    <w:rsid w:val="700F1F41"/>
    <w:rsid w:val="704F058F"/>
    <w:rsid w:val="705F6A24"/>
    <w:rsid w:val="70626515"/>
    <w:rsid w:val="7064403B"/>
    <w:rsid w:val="70980188"/>
    <w:rsid w:val="70BF3967"/>
    <w:rsid w:val="70F60729"/>
    <w:rsid w:val="71077895"/>
    <w:rsid w:val="71257C6E"/>
    <w:rsid w:val="71297032"/>
    <w:rsid w:val="7176543B"/>
    <w:rsid w:val="71836742"/>
    <w:rsid w:val="71AA5CF8"/>
    <w:rsid w:val="71AF5789"/>
    <w:rsid w:val="71B01C92"/>
    <w:rsid w:val="71B1246E"/>
    <w:rsid w:val="71C64881"/>
    <w:rsid w:val="71CD3E62"/>
    <w:rsid w:val="71CE1AEC"/>
    <w:rsid w:val="71D46F9E"/>
    <w:rsid w:val="71D848A5"/>
    <w:rsid w:val="71E74F23"/>
    <w:rsid w:val="71EA36CF"/>
    <w:rsid w:val="72563B1B"/>
    <w:rsid w:val="7269652D"/>
    <w:rsid w:val="72914E8F"/>
    <w:rsid w:val="729329B5"/>
    <w:rsid w:val="72D75819"/>
    <w:rsid w:val="730D2493"/>
    <w:rsid w:val="73700F48"/>
    <w:rsid w:val="73D17C39"/>
    <w:rsid w:val="741C0B04"/>
    <w:rsid w:val="7423420D"/>
    <w:rsid w:val="74382EF0"/>
    <w:rsid w:val="744A1799"/>
    <w:rsid w:val="745E6FF3"/>
    <w:rsid w:val="74650381"/>
    <w:rsid w:val="746D43B8"/>
    <w:rsid w:val="74803C62"/>
    <w:rsid w:val="74897085"/>
    <w:rsid w:val="74987D80"/>
    <w:rsid w:val="749F7D37"/>
    <w:rsid w:val="74A7099A"/>
    <w:rsid w:val="74AC4202"/>
    <w:rsid w:val="74DF0134"/>
    <w:rsid w:val="75095D71"/>
    <w:rsid w:val="75265EB8"/>
    <w:rsid w:val="753057C7"/>
    <w:rsid w:val="754D1541"/>
    <w:rsid w:val="75526B58"/>
    <w:rsid w:val="7553467E"/>
    <w:rsid w:val="756D3991"/>
    <w:rsid w:val="757A7E5C"/>
    <w:rsid w:val="758D7B90"/>
    <w:rsid w:val="75A66EA3"/>
    <w:rsid w:val="75BA64AB"/>
    <w:rsid w:val="75C37A55"/>
    <w:rsid w:val="75DE03EB"/>
    <w:rsid w:val="75E41B95"/>
    <w:rsid w:val="75EA4FE2"/>
    <w:rsid w:val="76147BA6"/>
    <w:rsid w:val="761E2EDE"/>
    <w:rsid w:val="762D3121"/>
    <w:rsid w:val="764861AD"/>
    <w:rsid w:val="76514FF8"/>
    <w:rsid w:val="766366F1"/>
    <w:rsid w:val="76897A83"/>
    <w:rsid w:val="76D07144"/>
    <w:rsid w:val="76E03DD8"/>
    <w:rsid w:val="76FA1255"/>
    <w:rsid w:val="77265FBF"/>
    <w:rsid w:val="7729712E"/>
    <w:rsid w:val="77550B81"/>
    <w:rsid w:val="775748F9"/>
    <w:rsid w:val="7769462C"/>
    <w:rsid w:val="777E57F6"/>
    <w:rsid w:val="77AB4CB0"/>
    <w:rsid w:val="77CF26E1"/>
    <w:rsid w:val="77FF289B"/>
    <w:rsid w:val="77FF64BE"/>
    <w:rsid w:val="78000AED"/>
    <w:rsid w:val="78005643"/>
    <w:rsid w:val="78202DB6"/>
    <w:rsid w:val="783562BD"/>
    <w:rsid w:val="784007C3"/>
    <w:rsid w:val="7851759A"/>
    <w:rsid w:val="785B3F75"/>
    <w:rsid w:val="785C5777"/>
    <w:rsid w:val="78770F3A"/>
    <w:rsid w:val="788E7F1F"/>
    <w:rsid w:val="789456D9"/>
    <w:rsid w:val="789D668F"/>
    <w:rsid w:val="78D43D28"/>
    <w:rsid w:val="78DB50B6"/>
    <w:rsid w:val="7947274B"/>
    <w:rsid w:val="794A3F56"/>
    <w:rsid w:val="79562EAC"/>
    <w:rsid w:val="79764DDF"/>
    <w:rsid w:val="79903865"/>
    <w:rsid w:val="79AD1F1B"/>
    <w:rsid w:val="79DC7338"/>
    <w:rsid w:val="79E955B1"/>
    <w:rsid w:val="7A1940C6"/>
    <w:rsid w:val="7A1A1C0E"/>
    <w:rsid w:val="7A2F56B9"/>
    <w:rsid w:val="7A794B87"/>
    <w:rsid w:val="7A7B26AD"/>
    <w:rsid w:val="7A886B78"/>
    <w:rsid w:val="7AB660E9"/>
    <w:rsid w:val="7AB7745D"/>
    <w:rsid w:val="7B0703E4"/>
    <w:rsid w:val="7B087CB8"/>
    <w:rsid w:val="7B0A3A31"/>
    <w:rsid w:val="7B3B1E3C"/>
    <w:rsid w:val="7B471569"/>
    <w:rsid w:val="7B62386D"/>
    <w:rsid w:val="7B7A2964"/>
    <w:rsid w:val="7B954A8C"/>
    <w:rsid w:val="7BB56F39"/>
    <w:rsid w:val="7BB75966"/>
    <w:rsid w:val="7BF22E42"/>
    <w:rsid w:val="7C1032C9"/>
    <w:rsid w:val="7C174657"/>
    <w:rsid w:val="7C1A5EF5"/>
    <w:rsid w:val="7C217284"/>
    <w:rsid w:val="7C286864"/>
    <w:rsid w:val="7C345209"/>
    <w:rsid w:val="7C6D24C9"/>
    <w:rsid w:val="7C8D4919"/>
    <w:rsid w:val="7C977546"/>
    <w:rsid w:val="7C9E6B26"/>
    <w:rsid w:val="7CB24380"/>
    <w:rsid w:val="7CCA16C9"/>
    <w:rsid w:val="7CFD384D"/>
    <w:rsid w:val="7D2F59D0"/>
    <w:rsid w:val="7D52346D"/>
    <w:rsid w:val="7D5F0F52"/>
    <w:rsid w:val="7D6D39EF"/>
    <w:rsid w:val="7DAA32A9"/>
    <w:rsid w:val="7DB52379"/>
    <w:rsid w:val="7DBB7264"/>
    <w:rsid w:val="7DBF74D1"/>
    <w:rsid w:val="7DD02D0F"/>
    <w:rsid w:val="7E24305B"/>
    <w:rsid w:val="7E3314F0"/>
    <w:rsid w:val="7E3808B5"/>
    <w:rsid w:val="7E394D59"/>
    <w:rsid w:val="7E5E7D6B"/>
    <w:rsid w:val="7E6B0C8A"/>
    <w:rsid w:val="7E6D67B0"/>
    <w:rsid w:val="7E7F4735"/>
    <w:rsid w:val="7ECD0914"/>
    <w:rsid w:val="7EDB5E10"/>
    <w:rsid w:val="7EE051D4"/>
    <w:rsid w:val="7EF173E1"/>
    <w:rsid w:val="7EFF4CD9"/>
    <w:rsid w:val="7F02182B"/>
    <w:rsid w:val="7F0A046A"/>
    <w:rsid w:val="7F8738A2"/>
    <w:rsid w:val="7F932247"/>
    <w:rsid w:val="7FA93A2C"/>
    <w:rsid w:val="7FCD194E"/>
    <w:rsid w:val="7FEE39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4">
    <w:name w:val="heading 1"/>
    <w:basedOn w:val="1"/>
    <w:next w:val="1"/>
    <w:qFormat/>
    <w:uiPriority w:val="1"/>
    <w:pPr>
      <w:spacing w:before="1"/>
      <w:ind w:left="431" w:right="429"/>
      <w:jc w:val="center"/>
      <w:outlineLvl w:val="1"/>
    </w:pPr>
    <w:rPr>
      <w:rFonts w:ascii="黑体" w:hAnsi="黑体" w:eastAsia="黑体" w:cs="黑体"/>
      <w:sz w:val="70"/>
      <w:szCs w:val="70"/>
      <w:lang w:val="zh-CN" w:eastAsia="zh-CN" w:bidi="zh-CN"/>
    </w:rPr>
  </w:style>
  <w:style w:type="paragraph" w:styleId="5">
    <w:name w:val="heading 2"/>
    <w:basedOn w:val="1"/>
    <w:next w:val="1"/>
    <w:qFormat/>
    <w:uiPriority w:val="1"/>
    <w:pPr>
      <w:spacing w:before="28"/>
      <w:jc w:val="center"/>
      <w:outlineLvl w:val="2"/>
    </w:pPr>
    <w:rPr>
      <w:rFonts w:ascii="黑体" w:hAnsi="黑体" w:eastAsia="黑体" w:cs="黑体"/>
      <w:sz w:val="32"/>
      <w:szCs w:val="32"/>
      <w:lang w:val="zh-CN" w:eastAsia="zh-CN" w:bidi="zh-CN"/>
    </w:rPr>
  </w:style>
  <w:style w:type="paragraph" w:styleId="6">
    <w:name w:val="heading 3"/>
    <w:basedOn w:val="1"/>
    <w:next w:val="1"/>
    <w:qFormat/>
    <w:uiPriority w:val="1"/>
    <w:pPr>
      <w:ind w:left="429"/>
      <w:outlineLvl w:val="3"/>
    </w:pPr>
    <w:rPr>
      <w:rFonts w:ascii="仿宋" w:hAnsi="仿宋" w:eastAsia="仿宋" w:cs="仿宋"/>
      <w:sz w:val="28"/>
      <w:szCs w:val="28"/>
      <w:lang w:val="zh-CN" w:eastAsia="zh-CN" w:bidi="zh-CN"/>
    </w:rPr>
  </w:style>
  <w:style w:type="paragraph" w:styleId="7">
    <w:name w:val="heading 4"/>
    <w:basedOn w:val="1"/>
    <w:next w:val="1"/>
    <w:qFormat/>
    <w:uiPriority w:val="1"/>
    <w:pPr>
      <w:spacing w:before="1"/>
      <w:ind w:left="478" w:right="442"/>
      <w:outlineLvl w:val="4"/>
    </w:pPr>
    <w:rPr>
      <w:rFonts w:ascii="仿宋" w:hAnsi="仿宋" w:eastAsia="仿宋" w:cs="仿宋"/>
      <w:b/>
      <w:bCs/>
      <w:sz w:val="24"/>
      <w:szCs w:val="24"/>
      <w:lang w:val="zh-CN" w:eastAsia="zh-CN" w:bidi="zh-CN"/>
    </w:rPr>
  </w:style>
  <w:style w:type="character" w:default="1" w:styleId="24">
    <w:name w:val="Default Paragraph Font"/>
    <w:semiHidden/>
    <w:unhideWhenUsed/>
    <w:qFormat/>
    <w:uiPriority w:val="1"/>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index 5"/>
    <w:basedOn w:val="1"/>
    <w:next w:val="1"/>
    <w:unhideWhenUsed/>
    <w:qFormat/>
    <w:uiPriority w:val="99"/>
    <w:pPr>
      <w:ind w:left="1680"/>
    </w:pPr>
  </w:style>
  <w:style w:type="paragraph" w:styleId="8">
    <w:name w:val="Normal Indent"/>
    <w:basedOn w:val="1"/>
    <w:next w:val="1"/>
    <w:qFormat/>
    <w:uiPriority w:val="0"/>
    <w:pPr>
      <w:ind w:firstLine="420" w:firstLineChars="200"/>
    </w:pPr>
    <w:rPr>
      <w:rFonts w:ascii="Calibri" w:hAnsi="Calibri" w:eastAsia="宋体" w:cs="Times New Roman"/>
    </w:rPr>
  </w:style>
  <w:style w:type="paragraph" w:styleId="9">
    <w:name w:val="Body Text 3"/>
    <w:basedOn w:val="1"/>
    <w:next w:val="1"/>
    <w:qFormat/>
    <w:uiPriority w:val="0"/>
    <w:pPr>
      <w:spacing w:line="440" w:lineRule="exact"/>
    </w:pPr>
    <w:rPr>
      <w:color w:val="000000"/>
      <w:kern w:val="2"/>
      <w:sz w:val="21"/>
      <w:szCs w:val="20"/>
    </w:rPr>
  </w:style>
  <w:style w:type="paragraph" w:styleId="10">
    <w:name w:val="Body Text"/>
    <w:basedOn w:val="1"/>
    <w:next w:val="11"/>
    <w:qFormat/>
    <w:uiPriority w:val="1"/>
    <w:rPr>
      <w:rFonts w:ascii="仿宋" w:hAnsi="仿宋" w:eastAsia="仿宋" w:cs="仿宋"/>
      <w:sz w:val="24"/>
      <w:szCs w:val="24"/>
      <w:lang w:val="zh-CN" w:eastAsia="zh-CN" w:bidi="zh-CN"/>
    </w:rPr>
  </w:style>
  <w:style w:type="paragraph" w:styleId="11">
    <w:name w:val="Body Text 2"/>
    <w:basedOn w:val="1"/>
    <w:qFormat/>
    <w:uiPriority w:val="0"/>
    <w:pPr>
      <w:spacing w:after="120" w:line="480" w:lineRule="auto"/>
    </w:pPr>
    <w:rPr>
      <w:rFonts w:ascii="Arial" w:hAnsi="Arial"/>
      <w:sz w:val="24"/>
    </w:rPr>
  </w:style>
  <w:style w:type="paragraph" w:styleId="12">
    <w:name w:val="Body Text Indent"/>
    <w:basedOn w:val="1"/>
    <w:next w:val="13"/>
    <w:unhideWhenUsed/>
    <w:qFormat/>
    <w:uiPriority w:val="0"/>
    <w:pPr>
      <w:ind w:firstLine="630"/>
    </w:pPr>
    <w:rPr>
      <w:rFonts w:ascii="Times New Roman"/>
      <w:kern w:val="2"/>
      <w:sz w:val="32"/>
    </w:rPr>
  </w:style>
  <w:style w:type="paragraph" w:styleId="13">
    <w:name w:val="Body Text First Indent"/>
    <w:basedOn w:val="10"/>
    <w:next w:val="1"/>
    <w:qFormat/>
    <w:uiPriority w:val="0"/>
    <w:pPr>
      <w:widowControl/>
      <w:ind w:firstLine="420" w:firstLineChars="100"/>
      <w:jc w:val="left"/>
    </w:pPr>
    <w:rPr>
      <w:rFonts w:ascii="Times New Roman" w:hAnsi="Times New Roman"/>
    </w:rPr>
  </w:style>
  <w:style w:type="paragraph" w:styleId="14">
    <w:name w:val="toc 3"/>
    <w:basedOn w:val="1"/>
    <w:next w:val="1"/>
    <w:qFormat/>
    <w:uiPriority w:val="1"/>
    <w:pPr>
      <w:spacing w:before="110"/>
      <w:ind w:left="1529" w:hanging="212"/>
    </w:pPr>
    <w:rPr>
      <w:rFonts w:ascii="楷体" w:hAnsi="楷体" w:eastAsia="楷体" w:cs="楷体"/>
      <w:sz w:val="21"/>
      <w:szCs w:val="21"/>
      <w:lang w:val="zh-CN" w:eastAsia="zh-CN" w:bidi="zh-CN"/>
    </w:rPr>
  </w:style>
  <w:style w:type="paragraph" w:styleId="15">
    <w:name w:val="Plain Text"/>
    <w:basedOn w:val="1"/>
    <w:qFormat/>
    <w:uiPriority w:val="0"/>
    <w:rPr>
      <w:rFonts w:ascii="宋体" w:hAnsi="Courier New" w:cs="Courier New"/>
      <w:szCs w:val="21"/>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1"/>
    <w:pPr>
      <w:spacing w:before="110"/>
      <w:ind w:left="478"/>
    </w:pPr>
    <w:rPr>
      <w:rFonts w:ascii="黑体" w:hAnsi="黑体" w:eastAsia="黑体" w:cs="黑体"/>
      <w:sz w:val="21"/>
      <w:szCs w:val="21"/>
      <w:lang w:val="zh-CN" w:eastAsia="zh-CN" w:bidi="zh-CN"/>
    </w:rPr>
  </w:style>
  <w:style w:type="paragraph" w:styleId="19">
    <w:name w:val="footnote text"/>
    <w:basedOn w:val="1"/>
    <w:qFormat/>
    <w:uiPriority w:val="0"/>
    <w:pPr>
      <w:snapToGrid w:val="0"/>
      <w:jc w:val="left"/>
    </w:pPr>
    <w:rPr>
      <w:rFonts w:eastAsia="楷体_GB2312"/>
      <w:sz w:val="18"/>
      <w:szCs w:val="18"/>
    </w:rPr>
  </w:style>
  <w:style w:type="paragraph" w:styleId="20">
    <w:name w:val="toc 2"/>
    <w:basedOn w:val="1"/>
    <w:next w:val="1"/>
    <w:qFormat/>
    <w:uiPriority w:val="1"/>
    <w:pPr>
      <w:spacing w:before="110"/>
      <w:ind w:left="898"/>
    </w:pPr>
    <w:rPr>
      <w:rFonts w:ascii="黑体" w:hAnsi="黑体" w:eastAsia="黑体" w:cs="黑体"/>
      <w:sz w:val="21"/>
      <w:szCs w:val="21"/>
      <w:lang w:val="zh-CN" w:eastAsia="zh-CN" w:bidi="zh-CN"/>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Body Text First Indent 2"/>
    <w:basedOn w:val="12"/>
    <w:next w:val="1"/>
    <w:qFormat/>
    <w:uiPriority w:val="0"/>
    <w:pPr>
      <w:spacing w:after="120" w:line="240" w:lineRule="auto"/>
      <w:ind w:left="200" w:leftChars="200" w:firstLine="200" w:firstLineChars="200"/>
    </w:pPr>
  </w:style>
  <w:style w:type="character" w:styleId="25">
    <w:name w:val="Strong"/>
    <w:qFormat/>
    <w:uiPriority w:val="0"/>
    <w:rPr>
      <w:b/>
      <w:bCs/>
    </w:rPr>
  </w:style>
  <w:style w:type="paragraph" w:customStyle="1" w:styleId="26">
    <w:name w:val="Acetate"/>
    <w:basedOn w:val="1"/>
    <w:qFormat/>
    <w:uiPriority w:val="0"/>
    <w:pPr>
      <w:jc w:val="both"/>
      <w:textAlignment w:val="baseline"/>
    </w:pPr>
    <w:rPr>
      <w:kern w:val="2"/>
      <w:sz w:val="18"/>
      <w:szCs w:val="24"/>
      <w:lang w:val="en-US" w:eastAsia="zh-CN" w:bidi="ar-SA"/>
    </w:rPr>
  </w:style>
  <w:style w:type="paragraph" w:customStyle="1" w:styleId="27">
    <w:name w:val="NormalIndent"/>
    <w:basedOn w:val="1"/>
    <w:qFormat/>
    <w:uiPriority w:val="0"/>
    <w:pPr>
      <w:spacing w:line="360" w:lineRule="atLeast"/>
      <w:ind w:firstLine="420"/>
      <w:jc w:val="both"/>
      <w:textAlignment w:val="baseline"/>
    </w:pPr>
    <w:rPr>
      <w:rFonts w:ascii="Calibri" w:hAnsi="Calibri" w:eastAsia="宋体"/>
      <w:kern w:val="2"/>
      <w:sz w:val="21"/>
      <w:szCs w:val="20"/>
      <w:lang w:val="en-US" w:eastAsia="zh-CN" w:bidi="ar-SA"/>
    </w:rPr>
  </w:style>
  <w:style w:type="table" w:customStyle="1" w:styleId="28">
    <w:name w:val="Table Normal"/>
    <w:semiHidden/>
    <w:unhideWhenUsed/>
    <w:qFormat/>
    <w:uiPriority w:val="2"/>
    <w:tblPr>
      <w:tblCellMar>
        <w:top w:w="0" w:type="dxa"/>
        <w:left w:w="0" w:type="dxa"/>
        <w:bottom w:w="0" w:type="dxa"/>
        <w:right w:w="0" w:type="dxa"/>
      </w:tblCellMar>
    </w:tblPr>
  </w:style>
  <w:style w:type="paragraph" w:styleId="29">
    <w:name w:val="List Paragraph"/>
    <w:basedOn w:val="1"/>
    <w:qFormat/>
    <w:uiPriority w:val="1"/>
    <w:pPr>
      <w:spacing w:before="161"/>
      <w:ind w:left="478" w:firstLine="480"/>
    </w:pPr>
    <w:rPr>
      <w:rFonts w:ascii="仿宋" w:hAnsi="仿宋" w:eastAsia="仿宋" w:cs="仿宋"/>
      <w:lang w:val="zh-CN" w:eastAsia="zh-CN" w:bidi="zh-CN"/>
    </w:rPr>
  </w:style>
  <w:style w:type="paragraph" w:customStyle="1" w:styleId="30">
    <w:name w:val="Table Paragraph"/>
    <w:basedOn w:val="1"/>
    <w:qFormat/>
    <w:uiPriority w:val="1"/>
    <w:rPr>
      <w:rFonts w:ascii="仿宋" w:hAnsi="仿宋" w:eastAsia="仿宋" w:cs="仿宋"/>
      <w:lang w:val="zh-CN" w:eastAsia="zh-CN" w:bidi="zh-CN"/>
    </w:rPr>
  </w:style>
  <w:style w:type="paragraph" w:customStyle="1" w:styleId="31">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33">
    <w:name w:val="No Spacing"/>
    <w:basedOn w:val="1"/>
    <w:qFormat/>
    <w:uiPriority w:val="1"/>
    <w:pPr>
      <w:widowControl w:val="0"/>
      <w:jc w:val="both"/>
    </w:pPr>
    <w:rPr>
      <w:kern w:val="2"/>
      <w:sz w:val="21"/>
      <w:szCs w:val="24"/>
      <w:lang w:val="en-US" w:eastAsia="zh-CN" w:bidi="ar-SA"/>
    </w:rPr>
  </w:style>
  <w:style w:type="paragraph" w:customStyle="1" w:styleId="34">
    <w:name w:val="WPS Plain"/>
    <w:qFormat/>
    <w:uiPriority w:val="0"/>
    <w:rPr>
      <w:rFonts w:ascii="Times New Roman" w:hAnsi="Times New Roman" w:eastAsia="宋体" w:cs="Times New Roman"/>
      <w:lang w:val="en-US" w:eastAsia="zh-CN" w:bidi="ar-SA"/>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character" w:customStyle="1" w:styleId="36">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26935</Words>
  <Characters>27995</Characters>
  <TotalTime>8</TotalTime>
  <ScaleCrop>false</ScaleCrop>
  <LinksUpToDate>false</LinksUpToDate>
  <CharactersWithSpaces>29365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2021-10-14T11:57:00Z</dcterms:created>
  <dc:creator>市政务服务办</dc:creator>
  <cp:lastModifiedBy>顺子</cp:lastModifiedBy>
  <dcterms:modified xsi:type="dcterms:W3CDTF">2022-04-24T10:50:33Z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2021-09-22T00:00:00Z</vt:filetime>
  </property>
  <property fmtid="{D5CDD505-2E9C-101B-9397-08002B2CF9AE}" pid="3" name="Creator">
    <vt:lpwstr>WPS 文字</vt:lpwstr>
  </property>
  <property fmtid="{D5CDD505-2E9C-101B-9397-08002B2CF9AE}" pid="4" name="LastSaved">
    <vt:filetime>2021-10-14T00:00:00Z</vt:filetime>
  </property>
  <property fmtid="{D5CDD505-2E9C-101B-9397-08002B2CF9AE}" pid="5" name="KSOProductBuildVer">
    <vt:lpwstr>2052-11.1.0.11636</vt:lpwstr>
  </property>
  <property fmtid="{D5CDD505-2E9C-101B-9397-08002B2CF9AE}" pid="6" name="ICV">
    <vt:lpwstr>2CB1A16CB3A643B4931E72F25B3B3BE4</vt:lpwstr>
  </property>
  <property fmtid="{D5CDD505-2E9C-101B-9397-08002B2CF9AE}" pid="7" name="commondata">
    <vt:lpwstr>eyJoZGlkIjoiNmYxZTMzNjBiNjAyODczMTQ4ZmUxYjY3ZTdlZWI4NTcifQ==</vt:lpwstr>
  </property>
</Properties>
</file>