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560" w:lineRule="exact"/>
        <w:ind w:left="2650" w:hanging="1687" w:hangingChars="600"/>
        <w:jc w:val="center"/>
        <w:textAlignment w:val="auto"/>
        <w:rPr>
          <w:rFonts w:hint="eastAsia" w:ascii="华文中宋" w:hAnsi="华文中宋" w:eastAsia="华文中宋"/>
          <w:sz w:val="28"/>
          <w:szCs w:val="28"/>
          <w:lang w:val="en-US" w:eastAsia="zh-CN"/>
        </w:rPr>
      </w:pPr>
      <w:bookmarkStart w:id="0" w:name="_Toc35393789"/>
      <w:bookmarkStart w:id="1" w:name="_Toc28359001"/>
      <w:r>
        <w:rPr>
          <w:rFonts w:hint="eastAsia" w:ascii="华文中宋" w:hAnsi="华文中宋" w:eastAsia="华文中宋"/>
          <w:sz w:val="28"/>
          <w:szCs w:val="28"/>
          <w:lang w:val="en-US" w:eastAsia="zh-CN"/>
        </w:rPr>
        <w:t xml:space="preserve"> 阿勒泰市创建"绿水青山就是金山银山"实践创新基地实施方案</w:t>
      </w:r>
    </w:p>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560" w:lineRule="exact"/>
        <w:ind w:left="2650" w:hanging="1687" w:hangingChars="600"/>
        <w:jc w:val="center"/>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磋商</w:t>
      </w:r>
      <w:r>
        <w:rPr>
          <w:rFonts w:hint="eastAsia" w:ascii="华文中宋" w:hAnsi="华文中宋" w:eastAsia="华文中宋"/>
          <w:sz w:val="28"/>
          <w:szCs w:val="28"/>
        </w:rPr>
        <w:t>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textAlignment w:val="auto"/>
        <w:rPr>
          <w:sz w:val="28"/>
          <w:szCs w:val="28"/>
        </w:rPr>
      </w:pPr>
      <w:r>
        <w:rPr>
          <w:rFonts w:hint="eastAsia" w:ascii="仿宋" w:hAnsi="仿宋" w:eastAsia="仿宋"/>
          <w:i w:val="0"/>
          <w:iCs/>
          <w:sz w:val="28"/>
          <w:szCs w:val="28"/>
          <w:u w:val="single"/>
          <w:lang w:val="en-US" w:eastAsia="zh-CN"/>
        </w:rPr>
        <w:t xml:space="preserve"> (阿勒泰市创建"绿水青山就是金山银山"实践创新基地实施方案</w:t>
      </w:r>
      <w:r>
        <w:rPr>
          <w:rFonts w:hint="eastAsia" w:ascii="仿宋" w:hAnsi="仿宋" w:eastAsia="仿宋"/>
          <w:sz w:val="28"/>
          <w:szCs w:val="28"/>
        </w:rPr>
        <w:t xml:space="preserve"> 招标项目的潜在投标人应在</w:t>
      </w:r>
      <w:r>
        <w:rPr>
          <w:rFonts w:hint="eastAsia" w:ascii="仿宋" w:hAnsi="仿宋" w:eastAsia="仿宋"/>
          <w:i w:val="0"/>
          <w:iCs w:val="0"/>
          <w:sz w:val="28"/>
          <w:szCs w:val="28"/>
          <w:u w:val="single"/>
        </w:rPr>
        <w:t>（</w:t>
      </w:r>
      <w:r>
        <w:rPr>
          <w:rFonts w:hint="eastAsia" w:ascii="仿宋" w:hAnsi="仿宋" w:eastAsia="仿宋"/>
          <w:i w:val="0"/>
          <w:iCs w:val="0"/>
          <w:sz w:val="28"/>
          <w:szCs w:val="28"/>
          <w:u w:val="single"/>
          <w:lang w:val="en-US" w:eastAsia="zh-CN"/>
        </w:rPr>
        <w:t>阿勒泰市南区万驰广场七楼</w:t>
      </w:r>
      <w:r>
        <w:rPr>
          <w:rFonts w:hint="eastAsia" w:ascii="仿宋" w:hAnsi="仿宋" w:eastAsia="仿宋"/>
          <w:i w:val="0"/>
          <w:iCs w:val="0"/>
          <w:sz w:val="28"/>
          <w:szCs w:val="28"/>
          <w:u w:val="single"/>
        </w:rPr>
        <w:t>）</w:t>
      </w:r>
      <w:r>
        <w:rPr>
          <w:rFonts w:hint="eastAsia" w:ascii="仿宋" w:hAnsi="仿宋" w:eastAsia="仿宋"/>
          <w:sz w:val="28"/>
          <w:szCs w:val="28"/>
        </w:rPr>
        <w:t>获取</w:t>
      </w:r>
      <w:r>
        <w:rPr>
          <w:rFonts w:hint="eastAsia" w:ascii="仿宋" w:hAnsi="仿宋" w:eastAsia="仿宋"/>
          <w:sz w:val="28"/>
          <w:szCs w:val="28"/>
          <w:lang w:val="en-US" w:eastAsia="zh-CN"/>
        </w:rPr>
        <w:t>磋商</w:t>
      </w:r>
      <w:r>
        <w:rPr>
          <w:rFonts w:hint="eastAsia" w:ascii="仿宋" w:hAnsi="仿宋" w:eastAsia="仿宋"/>
          <w:sz w:val="28"/>
          <w:szCs w:val="28"/>
        </w:rPr>
        <w:t>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4</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27</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上午12</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北京时间）前递交</w:t>
      </w:r>
      <w:r>
        <w:rPr>
          <w:rFonts w:hint="eastAsia" w:ascii="仿宋" w:hAnsi="仿宋" w:eastAsia="仿宋"/>
          <w:bCs/>
          <w:sz w:val="28"/>
          <w:szCs w:val="28"/>
          <w:lang w:val="en-US" w:eastAsia="zh-CN"/>
        </w:rPr>
        <w:t>投标</w:t>
      </w:r>
      <w:r>
        <w:rPr>
          <w:rFonts w:hint="eastAsia" w:ascii="仿宋" w:hAnsi="仿宋" w:eastAsia="仿宋"/>
          <w:bCs/>
          <w:sz w:val="28"/>
          <w:szCs w:val="28"/>
          <w:lang w:eastAsia="zh-CN"/>
        </w:rPr>
        <w:t>文件</w:t>
      </w:r>
      <w:r>
        <w:rPr>
          <w:rFonts w:hint="eastAsia" w:ascii="仿宋" w:hAnsi="仿宋" w:eastAsia="仿宋"/>
          <w:sz w:val="28"/>
          <w:szCs w:val="28"/>
        </w:rPr>
        <w:t>。</w:t>
      </w:r>
    </w:p>
    <w:p>
      <w:pPr>
        <w:pStyle w:val="4"/>
        <w:pageBreakBefore w:val="0"/>
        <w:numPr>
          <w:ilvl w:val="0"/>
          <w:numId w:val="0"/>
        </w:numPr>
        <w:kinsoku/>
        <w:wordWrap/>
        <w:overflowPunct/>
        <w:topLinePunct w:val="0"/>
        <w:bidi w:val="0"/>
        <w:snapToGrid/>
        <w:spacing w:line="560" w:lineRule="exact"/>
        <w:ind w:leftChars="0"/>
        <w:textAlignment w:val="auto"/>
        <w:rPr>
          <w:rFonts w:ascii="黑体" w:hAnsi="黑体" w:cs="宋体"/>
          <w:b w:val="0"/>
          <w:sz w:val="28"/>
          <w:szCs w:val="28"/>
        </w:rPr>
      </w:pPr>
      <w:bookmarkStart w:id="2" w:name="_Toc28359002"/>
      <w:bookmarkStart w:id="3" w:name="_Toc35393790"/>
      <w:bookmarkStart w:id="4" w:name="_Toc35393621"/>
      <w:bookmarkStart w:id="5" w:name="_Toc28359079"/>
      <w:bookmarkStart w:id="6" w:name="_Hlk24379207"/>
      <w:r>
        <w:rPr>
          <w:rFonts w:hint="eastAsia" w:ascii="黑体" w:hAnsi="黑体" w:cs="宋体"/>
          <w:b w:val="0"/>
          <w:sz w:val="28"/>
          <w:szCs w:val="28"/>
        </w:rPr>
        <w:t>一、项目基本情况</w:t>
      </w:r>
      <w:bookmarkEnd w:id="2"/>
      <w:bookmarkEnd w:id="3"/>
      <w:bookmarkEnd w:id="4"/>
      <w:bookmarkEnd w:id="5"/>
    </w:p>
    <w:bookmarkEnd w:id="6"/>
    <w:p>
      <w:pPr>
        <w:pageBreakBefore w:val="0"/>
        <w:kinsoku/>
        <w:wordWrap/>
        <w:overflowPunct/>
        <w:topLinePunct w:val="0"/>
        <w:bidi w:val="0"/>
        <w:snapToGrid/>
        <w:spacing w:line="560" w:lineRule="exact"/>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rPr>
        <w:t>项目编号：</w:t>
      </w:r>
      <w:r>
        <w:rPr>
          <w:rFonts w:hint="eastAsia" w:ascii="仿宋" w:hAnsi="仿宋" w:eastAsia="仿宋" w:cs="Times New Roman"/>
          <w:sz w:val="28"/>
          <w:szCs w:val="28"/>
          <w:lang w:val="en-US" w:eastAsia="zh-CN"/>
        </w:rPr>
        <w:t>ZFCGRT2022018</w:t>
      </w:r>
    </w:p>
    <w:p>
      <w:pPr>
        <w:pageBreakBefore w:val="0"/>
        <w:kinsoku/>
        <w:wordWrap/>
        <w:overflowPunct/>
        <w:topLinePunct w:val="0"/>
        <w:bidi w:val="0"/>
        <w:snapToGrid/>
        <w:spacing w:line="56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rPr>
        <w:t>项目名称：</w:t>
      </w:r>
      <w:r>
        <w:rPr>
          <w:rFonts w:hint="eastAsia" w:ascii="仿宋" w:hAnsi="仿宋" w:eastAsia="仿宋" w:cs="Times New Roman"/>
          <w:sz w:val="28"/>
          <w:szCs w:val="28"/>
          <w:lang w:val="en-US" w:eastAsia="zh-CN"/>
        </w:rPr>
        <w:t>阿勒泰市创建"绿水青山就是金山银山"实践创新基地实施方案</w:t>
      </w:r>
    </w:p>
    <w:p>
      <w:pPr>
        <w:pageBreakBefore w:val="0"/>
        <w:kinsoku/>
        <w:wordWrap/>
        <w:overflowPunct/>
        <w:topLinePunct w:val="0"/>
        <w:bidi w:val="0"/>
        <w:snapToGrid/>
        <w:spacing w:line="60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96万元</w:t>
      </w:r>
    </w:p>
    <w:p>
      <w:pPr>
        <w:pageBreakBefore w:val="0"/>
        <w:kinsoku/>
        <w:wordWrap/>
        <w:overflowPunct/>
        <w:topLinePunct w:val="0"/>
        <w:bidi w:val="0"/>
        <w:snapToGrid/>
        <w:spacing w:line="60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cs="Times New Roman"/>
          <w:sz w:val="28"/>
          <w:szCs w:val="28"/>
          <w:lang w:val="en-US" w:eastAsia="zh-CN"/>
        </w:rPr>
        <w:t>96万元</w:t>
      </w:r>
    </w:p>
    <w:p>
      <w:pPr>
        <w:pageBreakBefore w:val="0"/>
        <w:kinsoku/>
        <w:wordWrap/>
        <w:overflowPunct/>
        <w:topLinePunct w:val="0"/>
        <w:bidi w:val="0"/>
        <w:snapToGrid/>
        <w:spacing w:line="560" w:lineRule="exact"/>
        <w:ind w:left="559" w:leftChars="266" w:firstLine="0" w:firstLineChars="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服务</w:t>
      </w:r>
      <w:r>
        <w:rPr>
          <w:rFonts w:hint="eastAsia" w:ascii="仿宋" w:hAnsi="仿宋" w:eastAsia="仿宋"/>
          <w:sz w:val="28"/>
          <w:szCs w:val="28"/>
        </w:rPr>
        <w:t>需求：绿水青山就是金山银山"实践创新基地</w:t>
      </w:r>
      <w:r>
        <w:rPr>
          <w:rFonts w:hint="eastAsia" w:ascii="仿宋" w:hAnsi="仿宋" w:eastAsia="仿宋"/>
          <w:sz w:val="28"/>
          <w:szCs w:val="28"/>
          <w:lang w:val="en-US" w:eastAsia="zh-CN"/>
        </w:rPr>
        <w:t>前期调研、资料收集及</w:t>
      </w:r>
      <w:r>
        <w:rPr>
          <w:rFonts w:hint="eastAsia" w:ascii="仿宋" w:hAnsi="仿宋" w:eastAsia="仿宋"/>
          <w:sz w:val="28"/>
          <w:szCs w:val="28"/>
        </w:rPr>
        <w:t>实施方案</w:t>
      </w:r>
      <w:r>
        <w:rPr>
          <w:rFonts w:hint="eastAsia" w:ascii="仿宋" w:hAnsi="仿宋" w:eastAsia="仿宋"/>
          <w:sz w:val="28"/>
          <w:szCs w:val="28"/>
          <w:lang w:val="en-US" w:eastAsia="zh-CN"/>
        </w:rPr>
        <w:t>的</w:t>
      </w:r>
      <w:r>
        <w:rPr>
          <w:rFonts w:hint="eastAsia" w:ascii="仿宋" w:hAnsi="仿宋" w:eastAsia="仿宋"/>
          <w:sz w:val="28"/>
          <w:szCs w:val="28"/>
        </w:rPr>
        <w:t>编制</w:t>
      </w:r>
      <w:r>
        <w:rPr>
          <w:rFonts w:hint="eastAsia" w:ascii="仿宋" w:hAnsi="仿宋" w:eastAsia="仿宋"/>
          <w:sz w:val="28"/>
          <w:szCs w:val="28"/>
          <w:lang w:eastAsia="zh-CN"/>
        </w:rPr>
        <w:t>。</w:t>
      </w:r>
    </w:p>
    <w:p>
      <w:pPr>
        <w:pageBreakBefore w:val="0"/>
        <w:kinsoku/>
        <w:wordWrap/>
        <w:overflowPunct/>
        <w:topLinePunct w:val="0"/>
        <w:bidi w:val="0"/>
        <w:snapToGrid/>
        <w:spacing w:line="560" w:lineRule="exact"/>
        <w:ind w:left="559" w:leftChars="266" w:firstLine="0" w:firstLineChars="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详见磋商文件</w:t>
      </w:r>
    </w:p>
    <w:p>
      <w:pPr>
        <w:pageBreakBefore w:val="0"/>
        <w:kinsoku/>
        <w:wordWrap/>
        <w:overflowPunct/>
        <w:topLinePunct w:val="0"/>
        <w:bidi w:val="0"/>
        <w:snapToGrid/>
        <w:spacing w:line="560" w:lineRule="exact"/>
        <w:ind w:left="559" w:leftChars="266" w:firstLine="0" w:firstLineChars="0"/>
        <w:textAlignment w:val="auto"/>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i w:val="0"/>
          <w:iCs/>
          <w:sz w:val="28"/>
          <w:szCs w:val="28"/>
          <w:lang w:val="en-US" w:eastAsia="zh-CN"/>
        </w:rPr>
        <w:t>是</w:t>
      </w:r>
      <w:r>
        <w:rPr>
          <w:rFonts w:hint="eastAsia" w:ascii="仿宋" w:hAnsi="仿宋" w:eastAsia="仿宋"/>
          <w:sz w:val="28"/>
          <w:szCs w:val="28"/>
        </w:rPr>
        <w:t>）接受联合体投标。</w:t>
      </w:r>
      <w:bookmarkStart w:id="7" w:name="_Toc35393791"/>
      <w:bookmarkStart w:id="8" w:name="_Toc35393622"/>
      <w:bookmarkStart w:id="9" w:name="_Toc28359080"/>
      <w:bookmarkStart w:id="10" w:name="_Toc28359003"/>
    </w:p>
    <w:p>
      <w:pPr>
        <w:pStyle w:val="2"/>
        <w:ind w:firstLine="560" w:firstLineChars="200"/>
        <w:rPr>
          <w:rFonts w:hint="eastAsia"/>
        </w:rPr>
      </w:pPr>
      <w:r>
        <w:rPr>
          <w:rFonts w:hint="eastAsia" w:ascii="仿宋" w:hAnsi="仿宋" w:eastAsia="仿宋" w:cs="Times New Roman"/>
          <w:sz w:val="28"/>
          <w:szCs w:val="28"/>
          <w:lang w:val="en-US" w:eastAsia="zh-CN"/>
        </w:rPr>
        <w:t>联合体牵头单位负责总体技术指导，并根据联合体成员单位完成的项目区域数据和资料收集情况等完成项目整体实施方案编制，组织完成专家评审等工作；联合体成员单位负责前期现场勘察、资料收集、数据分析资料收集等，负责编制完成实施方案区域概况、组织保障等章节内容"。</w:t>
      </w:r>
    </w:p>
    <w:p>
      <w:pPr>
        <w:pageBreakBefore w:val="0"/>
        <w:numPr>
          <w:ilvl w:val="0"/>
          <w:numId w:val="2"/>
        </w:numPr>
        <w:kinsoku/>
        <w:wordWrap/>
        <w:overflowPunct/>
        <w:topLinePunct w:val="0"/>
        <w:bidi w:val="0"/>
        <w:snapToGrid/>
        <w:spacing w:line="560" w:lineRule="exact"/>
        <w:ind w:firstLine="560" w:firstLineChars="200"/>
        <w:textAlignment w:val="auto"/>
        <w:rPr>
          <w:rFonts w:hint="eastAsia" w:ascii="黑体" w:hAnsi="黑体" w:cs="宋体"/>
          <w:b w:val="0"/>
          <w:sz w:val="28"/>
          <w:szCs w:val="28"/>
        </w:rPr>
      </w:pPr>
      <w:r>
        <w:rPr>
          <w:rFonts w:hint="eastAsia" w:ascii="黑体" w:hAnsi="黑体" w:cs="宋体"/>
          <w:b w:val="0"/>
          <w:sz w:val="28"/>
          <w:szCs w:val="28"/>
        </w:rPr>
        <w:t>申请人的资格要求：</w:t>
      </w:r>
      <w:bookmarkEnd w:id="7"/>
      <w:bookmarkEnd w:id="8"/>
      <w:bookmarkEnd w:id="9"/>
      <w:bookmarkEnd w:id="10"/>
      <w:bookmarkStart w:id="11" w:name="_Toc28359004"/>
      <w:bookmarkStart w:id="12" w:name="_Toc35393792"/>
      <w:bookmarkStart w:id="13" w:name="_Toc35393623"/>
      <w:bookmarkStart w:id="14" w:name="_Toc28359081"/>
    </w:p>
    <w:p>
      <w:pPr>
        <w:pageBreakBefore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val="en-US" w:eastAsia="zh-CN"/>
        </w:rPr>
        <w:t>1</w:t>
      </w:r>
      <w:r>
        <w:rPr>
          <w:rFonts w:hint="eastAsia" w:ascii="仿宋" w:hAnsi="仿宋" w:eastAsia="仿宋"/>
          <w:sz w:val="28"/>
          <w:szCs w:val="28"/>
        </w:rPr>
        <w:t>、《政府采购促进中小企业发展管理办法》(财库〔2020〕46号)；</w:t>
      </w:r>
      <w:r>
        <w:rPr>
          <w:rFonts w:hint="eastAsia" w:ascii="仿宋" w:hAnsi="仿宋" w:eastAsia="仿宋"/>
          <w:sz w:val="28"/>
          <w:szCs w:val="28"/>
          <w:lang w:val="en-US" w:eastAsia="zh-CN"/>
        </w:rPr>
        <w:t>2</w:t>
      </w:r>
      <w:r>
        <w:rPr>
          <w:rFonts w:hint="eastAsia" w:ascii="仿宋" w:hAnsi="仿宋" w:eastAsia="仿宋"/>
          <w:sz w:val="28"/>
          <w:szCs w:val="28"/>
        </w:rPr>
        <w:t>、《关于促进残疾人就业政府采购政策的通知》(财库〔2017〕141号)；</w:t>
      </w:r>
      <w:r>
        <w:rPr>
          <w:rFonts w:hint="eastAsia" w:ascii="仿宋" w:hAnsi="仿宋" w:eastAsia="仿宋"/>
          <w:sz w:val="28"/>
          <w:szCs w:val="28"/>
          <w:lang w:val="en-US" w:eastAsia="zh-CN"/>
        </w:rPr>
        <w:t>3</w:t>
      </w:r>
      <w:r>
        <w:rPr>
          <w:rFonts w:hint="eastAsia" w:ascii="仿宋" w:hAnsi="仿宋" w:eastAsia="仿宋"/>
          <w:sz w:val="28"/>
          <w:szCs w:val="28"/>
        </w:rPr>
        <w:t>、《关于政府采购支持监狱企业发展有关问题的通知》(财库〔2014〕68号)》等政府采购政策条件的，按规定给予评审优惠。</w:t>
      </w:r>
    </w:p>
    <w:p>
      <w:pPr>
        <w:pageBreakBefore w:val="0"/>
        <w:kinsoku/>
        <w:wordWrap/>
        <w:overflowPunct/>
        <w:topLinePunct w:val="0"/>
        <w:bidi w:val="0"/>
        <w:snapToGrid/>
        <w:spacing w:line="560" w:lineRule="exact"/>
        <w:ind w:firstLine="560" w:firstLineChars="200"/>
        <w:textAlignment w:val="auto"/>
      </w:pPr>
      <w:r>
        <w:rPr>
          <w:rFonts w:hint="eastAsia" w:ascii="仿宋" w:hAnsi="仿宋" w:eastAsia="仿宋"/>
          <w:sz w:val="28"/>
          <w:szCs w:val="28"/>
        </w:rPr>
        <w:t>3.本项目的特定资格要求：</w:t>
      </w:r>
      <w:r>
        <w:rPr>
          <w:rFonts w:hint="eastAsia" w:ascii="仿宋" w:hAnsi="仿宋" w:eastAsia="仿宋"/>
          <w:sz w:val="28"/>
          <w:szCs w:val="28"/>
          <w:lang w:val="en-US" w:eastAsia="zh-CN"/>
        </w:rPr>
        <w:t>（1）、</w:t>
      </w:r>
      <w:r>
        <w:rPr>
          <w:rFonts w:hint="eastAsia" w:ascii="仿宋" w:hAnsi="仿宋" w:eastAsia="仿宋" w:cs="Times New Roman"/>
          <w:sz w:val="28"/>
          <w:szCs w:val="28"/>
          <w:lang w:val="en-US" w:eastAsia="zh-CN"/>
        </w:rPr>
        <w:t>具有独立承担民事责任的企、事业法人单位，（2）、本项目接受联合体投标，联合体各方必须向招标人提供有效的联合体协议，但联合体成员不得超过2家：①组成联合体投标应符合相关法律法规对联合体投标的有关规定，联合体各方不得再以自己名义单独或参加其他联合体在同一项目的投标； ②以联合体方式参加本项目投标的，明确联合体牵头人及联合体各方承担的工作和责任，并提供联合体成员单位的营业执照，并将联合体协议连同投标文件一并递交招标人，以一个投标人的身份共同投标； ③所有成员单位在人员资金等方面具有相应的服务能力；（3）所有联合体成员单位</w:t>
      </w:r>
      <w:r>
        <w:rPr>
          <w:rFonts w:hint="eastAsia" w:ascii="仿宋" w:hAnsi="仿宋" w:eastAsia="仿宋"/>
          <w:sz w:val="28"/>
          <w:szCs w:val="28"/>
          <w:lang w:val="en-US" w:eastAsia="zh-CN"/>
        </w:rPr>
        <w:t>在“信用中国”（www.creditchina.gov.cn）和中国政府采购网（www.ccgp.gov.cn）网站上未被列入失信被执行人当事人名单以及政府采购严重违法失信行为记录名单；（4）</w:t>
      </w:r>
      <w:r>
        <w:rPr>
          <w:rFonts w:hint="eastAsia" w:ascii="仿宋" w:hAnsi="仿宋" w:eastAsia="仿宋" w:cs="Times New Roman"/>
          <w:sz w:val="28"/>
          <w:szCs w:val="28"/>
          <w:lang w:val="en-US" w:eastAsia="zh-CN"/>
        </w:rPr>
        <w:t>所有联合体成员</w:t>
      </w:r>
      <w:r>
        <w:rPr>
          <w:rFonts w:hint="eastAsia" w:ascii="仿宋" w:hAnsi="仿宋" w:eastAsia="仿宋"/>
          <w:sz w:val="28"/>
          <w:szCs w:val="28"/>
          <w:lang w:val="en-US" w:eastAsia="zh-CN"/>
        </w:rPr>
        <w:t>单位负责人为同一人或者存在直接控股、管理关系的不同供应商，不得参加同一合同项下的政府采购活动。</w:t>
      </w:r>
    </w:p>
    <w:p>
      <w:pPr>
        <w:pStyle w:val="4"/>
        <w:pageBreakBefore w:val="0"/>
        <w:numPr>
          <w:ilvl w:val="0"/>
          <w:numId w:val="0"/>
        </w:numPr>
        <w:kinsoku/>
        <w:wordWrap/>
        <w:overflowPunct/>
        <w:topLinePunct w:val="0"/>
        <w:bidi w:val="0"/>
        <w:snapToGrid/>
        <w:spacing w:line="560" w:lineRule="exact"/>
        <w:textAlignment w:val="auto"/>
        <w:rPr>
          <w:rFonts w:ascii="黑体" w:hAnsi="黑体" w:cs="宋体"/>
          <w:b w:val="0"/>
          <w:sz w:val="28"/>
          <w:szCs w:val="28"/>
        </w:rPr>
      </w:pPr>
      <w:r>
        <w:rPr>
          <w:rFonts w:hint="eastAsia" w:ascii="黑体" w:hAnsi="黑体" w:cs="宋体"/>
          <w:b w:val="0"/>
          <w:sz w:val="28"/>
          <w:szCs w:val="28"/>
        </w:rPr>
        <w:t>三、获取招标文件</w:t>
      </w:r>
      <w:bookmarkEnd w:id="11"/>
      <w:bookmarkEnd w:id="12"/>
      <w:bookmarkEnd w:id="13"/>
      <w:bookmarkEnd w:id="14"/>
    </w:p>
    <w:p>
      <w:pPr>
        <w:pageBreakBefore w:val="0"/>
        <w:kinsoku/>
        <w:wordWrap/>
        <w:overflowPunct/>
        <w:topLinePunct w:val="0"/>
        <w:bidi w:val="0"/>
        <w:snapToGrid/>
        <w:spacing w:line="56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2022</w:t>
      </w:r>
      <w:r>
        <w:rPr>
          <w:rFonts w:ascii="仿宋" w:hAnsi="仿宋" w:eastAsia="仿宋" w:cs="宋体"/>
          <w:sz w:val="28"/>
          <w:szCs w:val="28"/>
          <w:u w:val="single"/>
        </w:rPr>
        <w:t xml:space="preserve"> </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15</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21</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u w:val="single"/>
        </w:rPr>
        <w:t>　</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pageBreakBefore w:val="0"/>
        <w:kinsoku/>
        <w:wordWrap/>
        <w:overflowPunct/>
        <w:topLinePunct w:val="0"/>
        <w:bidi w:val="0"/>
        <w:snapToGrid/>
        <w:spacing w:line="56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地点：新疆新睿泰咨询有限公司</w:t>
      </w:r>
      <w:r>
        <w:rPr>
          <w:rFonts w:hint="eastAsia" w:ascii="仿宋" w:hAnsi="仿宋" w:eastAsia="仿宋" w:cs="宋体"/>
          <w:sz w:val="28"/>
          <w:szCs w:val="28"/>
          <w:lang w:eastAsia="zh-CN"/>
        </w:rPr>
        <w:t>（</w:t>
      </w:r>
      <w:r>
        <w:rPr>
          <w:rFonts w:hint="eastAsia" w:ascii="仿宋" w:hAnsi="仿宋" w:eastAsia="仿宋" w:cs="宋体"/>
          <w:sz w:val="28"/>
          <w:szCs w:val="28"/>
        </w:rPr>
        <w:t>阿勒泰市</w:t>
      </w:r>
      <w:r>
        <w:rPr>
          <w:rFonts w:hint="eastAsia" w:ascii="仿宋" w:hAnsi="仿宋" w:eastAsia="仿宋" w:cs="宋体"/>
          <w:sz w:val="28"/>
          <w:szCs w:val="28"/>
          <w:lang w:eastAsia="zh-CN"/>
        </w:rPr>
        <w:t>南区万驰广场七楼）</w:t>
      </w:r>
    </w:p>
    <w:p>
      <w:pPr>
        <w:pageBreakBefore w:val="0"/>
        <w:kinsoku/>
        <w:wordWrap/>
        <w:overflowPunct/>
        <w:topLinePunct w:val="0"/>
        <w:bidi w:val="0"/>
        <w:snapToGrid/>
        <w:spacing w:line="560" w:lineRule="exact"/>
        <w:ind w:firstLine="54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联合体牵头单位报名成功后获取</w:t>
      </w:r>
      <w:bookmarkStart w:id="33" w:name="_GoBack"/>
      <w:bookmarkEnd w:id="33"/>
    </w:p>
    <w:p>
      <w:pPr>
        <w:pageBreakBefore w:val="0"/>
        <w:kinsoku/>
        <w:wordWrap/>
        <w:overflowPunct/>
        <w:topLinePunct w:val="0"/>
        <w:bidi w:val="0"/>
        <w:snapToGrid/>
        <w:spacing w:line="560" w:lineRule="exact"/>
        <w:ind w:firstLine="54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w:t>
      </w:r>
    </w:p>
    <w:p>
      <w:pPr>
        <w:pStyle w:val="4"/>
        <w:pageBreakBefore w:val="0"/>
        <w:numPr>
          <w:ilvl w:val="0"/>
          <w:numId w:val="0"/>
        </w:numPr>
        <w:kinsoku/>
        <w:wordWrap/>
        <w:overflowPunct/>
        <w:topLinePunct w:val="0"/>
        <w:bidi w:val="0"/>
        <w:snapToGrid/>
        <w:spacing w:line="600" w:lineRule="exact"/>
        <w:textAlignment w:val="auto"/>
        <w:rPr>
          <w:rFonts w:ascii="黑体" w:hAnsi="黑体" w:cs="宋体"/>
          <w:b w:val="0"/>
          <w:sz w:val="28"/>
          <w:szCs w:val="28"/>
        </w:rPr>
      </w:pPr>
      <w:bookmarkStart w:id="15" w:name="_Toc28359005"/>
      <w:bookmarkStart w:id="16" w:name="_Toc28359082"/>
      <w:bookmarkStart w:id="17" w:name="_Toc35393793"/>
      <w:bookmarkStart w:id="18" w:name="_Toc35393624"/>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pageBreakBefore w:val="0"/>
        <w:kinsoku/>
        <w:wordWrap/>
        <w:overflowPunct/>
        <w:topLinePunct w:val="0"/>
        <w:bidi w:val="0"/>
        <w:snapToGrid/>
        <w:spacing w:line="560" w:lineRule="exact"/>
        <w:ind w:left="559" w:leftChars="266" w:firstLine="0" w:firstLineChars="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eastAsia="zh-CN"/>
        </w:rPr>
        <w:t xml:space="preserve">投标文件截止时间： </w:t>
      </w:r>
      <w:r>
        <w:rPr>
          <w:rFonts w:hint="eastAsia" w:ascii="仿宋" w:hAnsi="仿宋" w:eastAsia="仿宋" w:cs="宋体"/>
          <w:sz w:val="28"/>
          <w:szCs w:val="28"/>
          <w:lang w:val="en-US" w:eastAsia="zh-CN"/>
        </w:rPr>
        <w:t>2022</w:t>
      </w:r>
      <w:r>
        <w:rPr>
          <w:rFonts w:hint="eastAsia" w:ascii="仿宋" w:hAnsi="仿宋" w:eastAsia="仿宋" w:cs="宋体"/>
          <w:sz w:val="28"/>
          <w:szCs w:val="28"/>
          <w:lang w:eastAsia="zh-CN"/>
        </w:rPr>
        <w:t xml:space="preserve"> 年</w:t>
      </w:r>
      <w:r>
        <w:rPr>
          <w:rFonts w:hint="eastAsia" w:ascii="仿宋" w:hAnsi="仿宋" w:eastAsia="仿宋" w:cs="宋体"/>
          <w:sz w:val="28"/>
          <w:szCs w:val="28"/>
          <w:lang w:val="en-US" w:eastAsia="zh-CN"/>
        </w:rPr>
        <w:t>4</w:t>
      </w:r>
      <w:r>
        <w:rPr>
          <w:rFonts w:hint="eastAsia" w:ascii="仿宋" w:hAnsi="仿宋" w:eastAsia="仿宋" w:cs="宋体"/>
          <w:sz w:val="28"/>
          <w:szCs w:val="28"/>
          <w:lang w:eastAsia="zh-CN"/>
        </w:rPr>
        <w:t>月</w:t>
      </w:r>
      <w:r>
        <w:rPr>
          <w:rFonts w:hint="eastAsia" w:ascii="仿宋" w:hAnsi="仿宋" w:eastAsia="仿宋" w:cs="宋体"/>
          <w:sz w:val="28"/>
          <w:szCs w:val="28"/>
          <w:lang w:val="en-US" w:eastAsia="zh-CN"/>
        </w:rPr>
        <w:t>27</w:t>
      </w:r>
      <w:r>
        <w:rPr>
          <w:rFonts w:hint="eastAsia" w:ascii="仿宋" w:hAnsi="仿宋" w:eastAsia="仿宋" w:cs="宋体"/>
          <w:sz w:val="28"/>
          <w:szCs w:val="28"/>
          <w:lang w:eastAsia="zh-CN"/>
        </w:rPr>
        <w:t>日</w:t>
      </w:r>
      <w:r>
        <w:rPr>
          <w:rFonts w:hint="eastAsia" w:ascii="仿宋" w:hAnsi="仿宋" w:eastAsia="仿宋" w:cs="宋体"/>
          <w:sz w:val="28"/>
          <w:szCs w:val="28"/>
          <w:lang w:val="en-US" w:eastAsia="zh-CN"/>
        </w:rPr>
        <w:t>12</w:t>
      </w:r>
      <w:r>
        <w:rPr>
          <w:rFonts w:hint="eastAsia" w:ascii="仿宋" w:hAnsi="仿宋" w:eastAsia="仿宋" w:cs="宋体"/>
          <w:sz w:val="28"/>
          <w:szCs w:val="28"/>
          <w:lang w:eastAsia="zh-CN"/>
        </w:rPr>
        <w:t>点</w:t>
      </w:r>
      <w:r>
        <w:rPr>
          <w:rFonts w:hint="eastAsia" w:ascii="仿宋" w:hAnsi="仿宋" w:eastAsia="仿宋" w:cs="宋体"/>
          <w:sz w:val="28"/>
          <w:szCs w:val="28"/>
          <w:lang w:val="en-US" w:eastAsia="zh-CN"/>
        </w:rPr>
        <w:t>30</w:t>
      </w:r>
      <w:r>
        <w:rPr>
          <w:rFonts w:hint="eastAsia" w:ascii="仿宋" w:hAnsi="仿宋" w:eastAsia="仿宋" w:cs="宋体"/>
          <w:sz w:val="28"/>
          <w:szCs w:val="28"/>
          <w:lang w:eastAsia="zh-CN"/>
        </w:rPr>
        <w:t>分（北京时间）地点：</w:t>
      </w:r>
      <w:r>
        <w:rPr>
          <w:rFonts w:hint="eastAsia" w:ascii="仿宋" w:hAnsi="仿宋" w:eastAsia="仿宋" w:cs="宋体"/>
          <w:sz w:val="28"/>
          <w:szCs w:val="28"/>
        </w:rPr>
        <w:t>阿勒泰市</w:t>
      </w:r>
      <w:r>
        <w:rPr>
          <w:rFonts w:hint="eastAsia" w:ascii="仿宋" w:hAnsi="仿宋" w:eastAsia="仿宋" w:cs="宋体"/>
          <w:sz w:val="28"/>
          <w:szCs w:val="28"/>
          <w:lang w:eastAsia="zh-CN"/>
        </w:rPr>
        <w:t>南区万驰广场七楼</w:t>
      </w:r>
      <w:r>
        <w:rPr>
          <w:rFonts w:hint="eastAsia" w:ascii="仿宋" w:hAnsi="仿宋" w:eastAsia="仿宋" w:cs="宋体"/>
          <w:sz w:val="28"/>
          <w:szCs w:val="28"/>
          <w:lang w:val="en-US" w:eastAsia="zh-CN"/>
        </w:rPr>
        <w:t>会议室</w:t>
      </w:r>
    </w:p>
    <w:p>
      <w:pPr>
        <w:keepNext/>
        <w:keepLines/>
        <w:pageBreakBefore w:val="0"/>
        <w:numPr>
          <w:ilvl w:val="0"/>
          <w:numId w:val="0"/>
        </w:numPr>
        <w:kinsoku/>
        <w:wordWrap/>
        <w:overflowPunct/>
        <w:topLinePunct w:val="0"/>
        <w:bidi w:val="0"/>
        <w:snapToGrid/>
        <w:spacing w:before="260" w:after="260" w:line="560" w:lineRule="exact"/>
        <w:textAlignment w:val="auto"/>
        <w:outlineLvl w:val="1"/>
        <w:rPr>
          <w:rFonts w:hint="eastAsia" w:ascii="黑体" w:hAnsi="黑体" w:eastAsia="宋体" w:cs="宋体"/>
          <w:b w:val="0"/>
          <w:kern w:val="2"/>
          <w:sz w:val="28"/>
          <w:szCs w:val="28"/>
          <w:lang w:val="en-US" w:eastAsia="zh-CN" w:bidi="ar-SA"/>
        </w:rPr>
      </w:pPr>
      <w:bookmarkStart w:id="19" w:name="_Toc35393634"/>
      <w:bookmarkStart w:id="20" w:name="_Toc28359017"/>
      <w:bookmarkStart w:id="21" w:name="_Toc35393803"/>
      <w:bookmarkStart w:id="22" w:name="_Toc28359094"/>
      <w:bookmarkStart w:id="23" w:name="_Toc35393626"/>
      <w:bookmarkStart w:id="24" w:name="_Toc35393795"/>
      <w:r>
        <w:rPr>
          <w:rFonts w:hint="eastAsia" w:ascii="黑体" w:hAnsi="黑体" w:cs="宋体"/>
          <w:b w:val="0"/>
          <w:kern w:val="2"/>
          <w:sz w:val="28"/>
          <w:szCs w:val="28"/>
          <w:lang w:val="en-US" w:eastAsia="zh-CN" w:bidi="ar-SA"/>
        </w:rPr>
        <w:t>五、</w:t>
      </w:r>
      <w:r>
        <w:rPr>
          <w:rFonts w:hint="eastAsia" w:ascii="黑体" w:hAnsi="黑体" w:eastAsia="宋体" w:cs="宋体"/>
          <w:b w:val="0"/>
          <w:kern w:val="2"/>
          <w:sz w:val="28"/>
          <w:szCs w:val="28"/>
          <w:lang w:val="en-US" w:eastAsia="zh-CN" w:bidi="ar-SA"/>
        </w:rPr>
        <w:t>公告期限</w:t>
      </w:r>
      <w:bookmarkEnd w:id="19"/>
      <w:bookmarkEnd w:id="20"/>
      <w:bookmarkEnd w:id="21"/>
      <w:bookmarkEnd w:id="22"/>
    </w:p>
    <w:p>
      <w:pPr>
        <w:keepNext/>
        <w:keepLines/>
        <w:pageBreakBefore w:val="0"/>
        <w:numPr>
          <w:ilvl w:val="0"/>
          <w:numId w:val="0"/>
        </w:numPr>
        <w:kinsoku/>
        <w:wordWrap/>
        <w:overflowPunct/>
        <w:topLinePunct w:val="0"/>
        <w:bidi w:val="0"/>
        <w:snapToGrid/>
        <w:spacing w:before="260" w:after="260" w:line="560" w:lineRule="exact"/>
        <w:ind w:firstLine="560" w:firstLineChars="200"/>
        <w:textAlignment w:val="auto"/>
        <w:outlineLvl w:val="1"/>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自本公告发布之日起5个工作日。</w:t>
      </w:r>
    </w:p>
    <w:p>
      <w:pPr>
        <w:pStyle w:val="4"/>
        <w:pageBreakBefore w:val="0"/>
        <w:numPr>
          <w:ilvl w:val="0"/>
          <w:numId w:val="0"/>
        </w:numPr>
        <w:kinsoku/>
        <w:wordWrap/>
        <w:overflowPunct/>
        <w:topLinePunct w:val="0"/>
        <w:bidi w:val="0"/>
        <w:snapToGrid/>
        <w:spacing w:line="560" w:lineRule="exact"/>
        <w:textAlignment w:val="auto"/>
        <w:rPr>
          <w:rFonts w:ascii="黑体" w:hAnsi="黑体" w:cs="宋体"/>
          <w:b w:val="0"/>
          <w:sz w:val="28"/>
          <w:szCs w:val="28"/>
        </w:rPr>
      </w:pPr>
      <w:r>
        <w:rPr>
          <w:rFonts w:hint="eastAsia" w:ascii="黑体" w:hAnsi="黑体" w:cs="宋体"/>
          <w:b w:val="0"/>
          <w:sz w:val="28"/>
          <w:szCs w:val="28"/>
          <w:lang w:val="en-US" w:eastAsia="zh-CN"/>
        </w:rPr>
        <w:t>六、</w:t>
      </w:r>
      <w:r>
        <w:rPr>
          <w:rFonts w:hint="eastAsia" w:ascii="黑体" w:hAnsi="黑体" w:cs="宋体"/>
          <w:b w:val="0"/>
          <w:sz w:val="28"/>
          <w:szCs w:val="28"/>
        </w:rPr>
        <w:t>其他补充事宜</w:t>
      </w:r>
      <w:bookmarkEnd w:id="23"/>
      <w:bookmarkEnd w:id="24"/>
    </w:p>
    <w:p>
      <w:pPr>
        <w:pStyle w:val="4"/>
        <w:pageBreakBefore w:val="0"/>
        <w:numPr>
          <w:ilvl w:val="0"/>
          <w:numId w:val="0"/>
        </w:numPr>
        <w:kinsoku/>
        <w:wordWrap/>
        <w:overflowPunct/>
        <w:topLinePunct w:val="0"/>
        <w:bidi w:val="0"/>
        <w:snapToGrid/>
        <w:spacing w:line="560" w:lineRule="exact"/>
        <w:ind w:firstLine="560" w:firstLineChars="200"/>
        <w:textAlignment w:val="auto"/>
        <w:rPr>
          <w:rFonts w:hint="default" w:ascii="仿宋" w:hAnsi="仿宋" w:eastAsia="仿宋" w:cs="宋体"/>
          <w:b w:val="0"/>
          <w:kern w:val="0"/>
          <w:sz w:val="28"/>
          <w:szCs w:val="28"/>
          <w:lang w:val="en-US" w:eastAsia="zh-CN" w:bidi="ar-SA"/>
        </w:rPr>
      </w:pPr>
      <w:r>
        <w:rPr>
          <w:rFonts w:hint="eastAsia" w:ascii="仿宋" w:hAnsi="仿宋" w:eastAsia="仿宋" w:cs="宋体"/>
          <w:b w:val="0"/>
          <w:kern w:val="0"/>
          <w:sz w:val="28"/>
          <w:szCs w:val="28"/>
          <w:lang w:val="en-US" w:eastAsia="zh-CN" w:bidi="ar-SA"/>
        </w:rPr>
        <w:t>须提供的报名材料：</w:t>
      </w:r>
      <w:bookmarkStart w:id="25" w:name="_Toc28359008"/>
      <w:bookmarkStart w:id="26" w:name="_Toc35393796"/>
      <w:bookmarkStart w:id="27" w:name="_Toc35393627"/>
      <w:bookmarkStart w:id="28" w:name="_Toc28359085"/>
      <w:r>
        <w:rPr>
          <w:rFonts w:hint="eastAsia" w:ascii="仿宋" w:hAnsi="仿宋" w:eastAsia="仿宋" w:cs="宋体"/>
          <w:b w:val="0"/>
          <w:kern w:val="0"/>
          <w:sz w:val="28"/>
          <w:szCs w:val="28"/>
          <w:lang w:val="en-US" w:eastAsia="zh-CN" w:bidi="ar-SA"/>
        </w:rPr>
        <w:t>联合体投标的需提供联合体协议书，并授权联合体牵头单位携带企业法定代表人身份证明书或法定代表人授权委托书；法定代表人身份证或被委托人身份证及被委托人近期依法缴纳社保证明；营业执照；“信用中国”网站信用报告和中国政府采购网的查询结果的截图并加盖公章；（查询时间不得早于本公告发布时间）。以上所有证件均需提供联合体牵头单位及联合体成员原件及复印件一式三份加盖公章。</w:t>
      </w:r>
    </w:p>
    <w:p>
      <w:pPr>
        <w:pStyle w:val="4"/>
        <w:pageBreakBefore w:val="0"/>
        <w:numPr>
          <w:ilvl w:val="0"/>
          <w:numId w:val="0"/>
        </w:numPr>
        <w:kinsoku/>
        <w:wordWrap/>
        <w:overflowPunct/>
        <w:topLinePunct w:val="0"/>
        <w:bidi w:val="0"/>
        <w:snapToGrid/>
        <w:spacing w:line="560" w:lineRule="exact"/>
        <w:textAlignment w:val="auto"/>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pageBreakBefore w:val="0"/>
        <w:widowControl/>
        <w:kinsoku/>
        <w:wordWrap/>
        <w:overflowPunct/>
        <w:topLinePunct w:val="0"/>
        <w:bidi w:val="0"/>
        <w:snapToGrid/>
        <w:spacing w:line="56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pageBreakBefore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阿勒泰市环境保护局　　　</w:t>
      </w:r>
    </w:p>
    <w:p>
      <w:pPr>
        <w:pageBreakBefore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r>
        <w:rPr>
          <w:rFonts w:hint="eastAsia" w:ascii="仿宋" w:hAnsi="仿宋" w:eastAsia="仿宋"/>
          <w:sz w:val="28"/>
          <w:szCs w:val="28"/>
          <w:u w:val="single"/>
          <w:lang w:val="en-US" w:eastAsia="zh-CN"/>
        </w:rPr>
        <w:t>阿勒泰市</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pageBreakBefore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 xml:space="preserve"> 0906-2128137         </w:t>
      </w:r>
      <w:bookmarkStart w:id="29" w:name="_Toc28359009"/>
      <w:bookmarkStart w:id="30" w:name="_Toc28359086"/>
    </w:p>
    <w:p>
      <w:pPr>
        <w:pageBreakBefore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cs="宋体"/>
          <w:sz w:val="28"/>
          <w:szCs w:val="28"/>
        </w:rPr>
        <w:t>2.采购代理机构信息</w:t>
      </w:r>
      <w:bookmarkEnd w:id="29"/>
      <w:bookmarkEnd w:id="30"/>
    </w:p>
    <w:p>
      <w:pPr>
        <w:pageBreakBefore w:val="0"/>
        <w:kinsoku/>
        <w:wordWrap/>
        <w:overflowPunct/>
        <w:topLinePunct w:val="0"/>
        <w:bidi w:val="0"/>
        <w:snapToGrid/>
        <w:spacing w:line="56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　</w:t>
      </w:r>
      <w:r>
        <w:rPr>
          <w:rFonts w:hint="eastAsia" w:ascii="仿宋" w:hAnsi="仿宋" w:eastAsia="仿宋" w:cs="仿宋"/>
          <w:sz w:val="28"/>
          <w:szCs w:val="28"/>
          <w:u w:val="single"/>
          <w:lang w:eastAsia="zh-CN"/>
        </w:rPr>
        <w:t>新疆新睿泰咨询有限公司</w:t>
      </w:r>
      <w:r>
        <w:rPr>
          <w:rFonts w:hint="eastAsia" w:ascii="仿宋" w:hAnsi="仿宋" w:eastAsia="仿宋" w:cs="仿宋"/>
          <w:sz w:val="28"/>
          <w:szCs w:val="28"/>
          <w:u w:val="single"/>
        </w:rPr>
        <w:t>　</w:t>
      </w:r>
    </w:p>
    <w:p>
      <w:pPr>
        <w:pageBreakBefore w:val="0"/>
        <w:kinsoku/>
        <w:wordWrap/>
        <w:overflowPunct/>
        <w:topLinePunct w:val="0"/>
        <w:bidi w:val="0"/>
        <w:snapToGrid/>
        <w:spacing w:line="56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阿勒泰市南区万驰广场七楼   </w:t>
      </w:r>
    </w:p>
    <w:p>
      <w:pPr>
        <w:pageBreakBefore w:val="0"/>
        <w:kinsoku/>
        <w:wordWrap/>
        <w:overflowPunct/>
        <w:topLinePunct w:val="0"/>
        <w:bidi w:val="0"/>
        <w:snapToGrid/>
        <w:spacing w:line="560" w:lineRule="exact"/>
        <w:ind w:firstLine="840" w:firstLineChars="3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联系方式：</w:t>
      </w:r>
      <w:bookmarkStart w:id="31" w:name="_Toc28359010"/>
      <w:bookmarkStart w:id="32" w:name="_Toc28359087"/>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18809068892</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              </w:t>
      </w:r>
    </w:p>
    <w:p>
      <w:pPr>
        <w:pageBreakBefore w:val="0"/>
        <w:kinsoku/>
        <w:wordWrap/>
        <w:overflowPunct/>
        <w:topLinePunct w:val="0"/>
        <w:bidi w:val="0"/>
        <w:snapToGrid/>
        <w:spacing w:line="560" w:lineRule="exact"/>
        <w:ind w:firstLine="840" w:firstLineChars="300"/>
        <w:textAlignment w:val="auto"/>
        <w:rPr>
          <w:rFonts w:hint="eastAsia" w:ascii="仿宋" w:hAnsi="仿宋" w:eastAsia="仿宋" w:cs="仿宋"/>
          <w:sz w:val="28"/>
          <w:szCs w:val="28"/>
          <w:u w:val="single"/>
        </w:rPr>
      </w:pPr>
      <w:r>
        <w:rPr>
          <w:rFonts w:hint="eastAsia" w:ascii="仿宋" w:hAnsi="仿宋" w:eastAsia="仿宋" w:cs="仿宋"/>
          <w:sz w:val="28"/>
          <w:szCs w:val="28"/>
        </w:rPr>
        <w:t>3.项目联系方式</w:t>
      </w:r>
      <w:bookmarkEnd w:id="31"/>
      <w:bookmarkEnd w:id="32"/>
    </w:p>
    <w:p>
      <w:pPr>
        <w:pStyle w:val="7"/>
        <w:pageBreakBefore w:val="0"/>
        <w:kinsoku/>
        <w:wordWrap/>
        <w:overflowPunct/>
        <w:topLinePunct w:val="0"/>
        <w:bidi w:val="0"/>
        <w:snapToGrid/>
        <w:spacing w:line="560" w:lineRule="exact"/>
        <w:ind w:firstLine="840" w:firstLineChars="300"/>
        <w:textAlignment w:val="auto"/>
        <w:rPr>
          <w:rFonts w:hint="default" w:ascii="仿宋" w:hAnsi="仿宋" w:eastAsia="仿宋" w:cs="仿宋"/>
          <w:i w:val="0"/>
          <w:iCs/>
          <w:sz w:val="28"/>
          <w:szCs w:val="28"/>
          <w:lang w:val="en-US" w:eastAsia="zh-CN"/>
        </w:rPr>
      </w:pPr>
      <w:r>
        <w:rPr>
          <w:rFonts w:hint="eastAsia" w:ascii="仿宋" w:hAnsi="仿宋" w:eastAsia="仿宋" w:cs="仿宋"/>
          <w:sz w:val="28"/>
          <w:szCs w:val="28"/>
        </w:rPr>
        <w:t>项目联系人：</w:t>
      </w:r>
      <w:r>
        <w:rPr>
          <w:rFonts w:hint="eastAsia" w:ascii="仿宋" w:hAnsi="仿宋" w:eastAsia="仿宋" w:cs="仿宋"/>
          <w:sz w:val="28"/>
          <w:szCs w:val="28"/>
          <w:u w:val="single"/>
          <w:lang w:val="en-US" w:eastAsia="zh-CN"/>
        </w:rPr>
        <w:t xml:space="preserve">  </w:t>
      </w:r>
      <w:r>
        <w:rPr>
          <w:rFonts w:hint="eastAsia" w:ascii="仿宋" w:hAnsi="仿宋" w:eastAsia="仿宋" w:cs="仿宋"/>
          <w:i w:val="0"/>
          <w:iCs/>
          <w:sz w:val="28"/>
          <w:szCs w:val="28"/>
          <w:u w:val="single"/>
          <w:lang w:val="en-US" w:eastAsia="zh-CN"/>
        </w:rPr>
        <w:t xml:space="preserve">陈百元      </w:t>
      </w:r>
    </w:p>
    <w:p>
      <w:pPr>
        <w:pageBreakBefore w:val="0"/>
        <w:kinsoku/>
        <w:wordWrap/>
        <w:overflowPunct/>
        <w:topLinePunct w:val="0"/>
        <w:bidi w:val="0"/>
        <w:snapToGrid/>
        <w:spacing w:line="560" w:lineRule="exact"/>
        <w:ind w:firstLine="840" w:firstLineChars="300"/>
        <w:textAlignment w:val="auto"/>
        <w:rPr>
          <w:rFonts w:hint="eastAsia"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18809068892</w:t>
      </w:r>
      <w:r>
        <w:rPr>
          <w:rFonts w:hint="eastAsia" w:ascii="仿宋" w:hAnsi="仿宋" w:eastAsia="仿宋" w:cs="仿宋"/>
          <w:sz w:val="28"/>
          <w:szCs w:val="28"/>
          <w:u w:val="single"/>
        </w:rPr>
        <w:t>　　</w:t>
      </w:r>
    </w:p>
    <w:p>
      <w:pPr>
        <w:pStyle w:val="2"/>
        <w:ind w:firstLine="5040" w:firstLineChars="1800"/>
        <w:rPr>
          <w:rFonts w:hint="eastAsia" w:ascii="仿宋" w:hAnsi="仿宋" w:eastAsia="仿宋" w:cs="仿宋"/>
          <w:sz w:val="28"/>
          <w:szCs w:val="28"/>
          <w:u w:val="single"/>
          <w:lang w:val="en-US" w:eastAsia="zh-CN"/>
        </w:rPr>
      </w:pPr>
    </w:p>
    <w:p>
      <w:pPr>
        <w:pStyle w:val="2"/>
        <w:ind w:firstLine="5040" w:firstLineChars="1800"/>
        <w:rPr>
          <w:rFonts w:hint="default" w:eastAsia="仿宋"/>
          <w:lang w:val="en-US" w:eastAsia="zh-CN"/>
        </w:rPr>
      </w:pPr>
      <w:r>
        <w:rPr>
          <w:rFonts w:hint="eastAsia" w:ascii="仿宋" w:hAnsi="仿宋" w:eastAsia="仿宋" w:cs="仿宋"/>
          <w:sz w:val="28"/>
          <w:szCs w:val="28"/>
          <w:u w:val="single"/>
          <w:lang w:val="en-US" w:eastAsia="zh-CN"/>
        </w:rPr>
        <w:t>2022年4月14日</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upperLetter"/>
      <w:pStyle w:val="4"/>
      <w:lvlText w:val="%1."/>
      <w:lvlJc w:val="left"/>
      <w:pPr>
        <w:tabs>
          <w:tab w:val="left" w:pos="330"/>
        </w:tabs>
        <w:ind w:left="540" w:hanging="330"/>
      </w:pPr>
    </w:lvl>
  </w:abstractNum>
  <w:abstractNum w:abstractNumId="1">
    <w:nsid w:val="7A0052A0"/>
    <w:multiLevelType w:val="singleLevel"/>
    <w:tmpl w:val="7A0052A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5F94"/>
    <w:rsid w:val="025B42F5"/>
    <w:rsid w:val="0290053C"/>
    <w:rsid w:val="02D23086"/>
    <w:rsid w:val="030376E3"/>
    <w:rsid w:val="03211A10"/>
    <w:rsid w:val="03A10CAA"/>
    <w:rsid w:val="04E90B5B"/>
    <w:rsid w:val="05793C8D"/>
    <w:rsid w:val="05E40EAB"/>
    <w:rsid w:val="099C43EE"/>
    <w:rsid w:val="09A43CA1"/>
    <w:rsid w:val="0A1239A4"/>
    <w:rsid w:val="0BEB6F66"/>
    <w:rsid w:val="0C006EB6"/>
    <w:rsid w:val="0C056DEB"/>
    <w:rsid w:val="0C2B5329"/>
    <w:rsid w:val="0C662D64"/>
    <w:rsid w:val="0CF87B8D"/>
    <w:rsid w:val="0D0522AA"/>
    <w:rsid w:val="0D8E04F1"/>
    <w:rsid w:val="0EF3685E"/>
    <w:rsid w:val="0F900551"/>
    <w:rsid w:val="0FEA4DE8"/>
    <w:rsid w:val="0FF80960"/>
    <w:rsid w:val="1074577C"/>
    <w:rsid w:val="10F60887"/>
    <w:rsid w:val="11E339FC"/>
    <w:rsid w:val="13946135"/>
    <w:rsid w:val="14FE7DC5"/>
    <w:rsid w:val="1527405C"/>
    <w:rsid w:val="152B2E05"/>
    <w:rsid w:val="15C822ED"/>
    <w:rsid w:val="18AF6FF9"/>
    <w:rsid w:val="190119BB"/>
    <w:rsid w:val="1A293763"/>
    <w:rsid w:val="1B140288"/>
    <w:rsid w:val="1E1344A7"/>
    <w:rsid w:val="1E3E561C"/>
    <w:rsid w:val="1E4743C5"/>
    <w:rsid w:val="1F0625DD"/>
    <w:rsid w:val="1F955574"/>
    <w:rsid w:val="21423675"/>
    <w:rsid w:val="21C35049"/>
    <w:rsid w:val="229E1B97"/>
    <w:rsid w:val="231600AF"/>
    <w:rsid w:val="234B3233"/>
    <w:rsid w:val="2374390F"/>
    <w:rsid w:val="24D10F97"/>
    <w:rsid w:val="25BC6ED7"/>
    <w:rsid w:val="267E0CAB"/>
    <w:rsid w:val="27181100"/>
    <w:rsid w:val="280B656E"/>
    <w:rsid w:val="287A36F4"/>
    <w:rsid w:val="29C72969"/>
    <w:rsid w:val="2B710DDE"/>
    <w:rsid w:val="2C212804"/>
    <w:rsid w:val="2CC0356B"/>
    <w:rsid w:val="2E951288"/>
    <w:rsid w:val="2F120691"/>
    <w:rsid w:val="2F153B21"/>
    <w:rsid w:val="2F586EAD"/>
    <w:rsid w:val="2FF63FA8"/>
    <w:rsid w:val="30432ED0"/>
    <w:rsid w:val="30550CCF"/>
    <w:rsid w:val="310C0CB5"/>
    <w:rsid w:val="31425F70"/>
    <w:rsid w:val="31540F86"/>
    <w:rsid w:val="32AE1F8B"/>
    <w:rsid w:val="336A2CE3"/>
    <w:rsid w:val="33BA0E18"/>
    <w:rsid w:val="35D6501A"/>
    <w:rsid w:val="388C54AA"/>
    <w:rsid w:val="38AD71CE"/>
    <w:rsid w:val="38C23495"/>
    <w:rsid w:val="3A6164C2"/>
    <w:rsid w:val="3C137C90"/>
    <w:rsid w:val="3C2B2403"/>
    <w:rsid w:val="3C85590B"/>
    <w:rsid w:val="3CB422AF"/>
    <w:rsid w:val="3DD13C22"/>
    <w:rsid w:val="3EA80B63"/>
    <w:rsid w:val="407F3B46"/>
    <w:rsid w:val="43B56262"/>
    <w:rsid w:val="475573AE"/>
    <w:rsid w:val="49635483"/>
    <w:rsid w:val="4D4762F4"/>
    <w:rsid w:val="4DE33F0B"/>
    <w:rsid w:val="4DFC4E0F"/>
    <w:rsid w:val="50556F86"/>
    <w:rsid w:val="505C17AE"/>
    <w:rsid w:val="51E25CE3"/>
    <w:rsid w:val="525959DB"/>
    <w:rsid w:val="52D82F2C"/>
    <w:rsid w:val="5374721F"/>
    <w:rsid w:val="546A6695"/>
    <w:rsid w:val="56293EE0"/>
    <w:rsid w:val="571D6954"/>
    <w:rsid w:val="57441DFB"/>
    <w:rsid w:val="57DC1471"/>
    <w:rsid w:val="58613E05"/>
    <w:rsid w:val="59D32AE1"/>
    <w:rsid w:val="5A710748"/>
    <w:rsid w:val="5A9D4E9D"/>
    <w:rsid w:val="5AA77AC9"/>
    <w:rsid w:val="5AF26F96"/>
    <w:rsid w:val="5B3806AD"/>
    <w:rsid w:val="5C182A2D"/>
    <w:rsid w:val="5C311D40"/>
    <w:rsid w:val="5CB564CD"/>
    <w:rsid w:val="5E1D36F4"/>
    <w:rsid w:val="5E39312E"/>
    <w:rsid w:val="5F692468"/>
    <w:rsid w:val="5FEA2932"/>
    <w:rsid w:val="60093730"/>
    <w:rsid w:val="60D92493"/>
    <w:rsid w:val="614B1EFB"/>
    <w:rsid w:val="62516C98"/>
    <w:rsid w:val="64B26F04"/>
    <w:rsid w:val="65A74E21"/>
    <w:rsid w:val="66EC6F90"/>
    <w:rsid w:val="67AE324E"/>
    <w:rsid w:val="67BE3A94"/>
    <w:rsid w:val="69C45FA2"/>
    <w:rsid w:val="69D837FB"/>
    <w:rsid w:val="6AAF0CB8"/>
    <w:rsid w:val="6AE12B83"/>
    <w:rsid w:val="6DC26C9C"/>
    <w:rsid w:val="6EBD617B"/>
    <w:rsid w:val="6F0137F4"/>
    <w:rsid w:val="6F1E2BA9"/>
    <w:rsid w:val="716167CC"/>
    <w:rsid w:val="71722787"/>
    <w:rsid w:val="71D60F68"/>
    <w:rsid w:val="71FA5912"/>
    <w:rsid w:val="72920958"/>
    <w:rsid w:val="735008A6"/>
    <w:rsid w:val="73AE219E"/>
    <w:rsid w:val="74BD01BD"/>
    <w:rsid w:val="75412B9C"/>
    <w:rsid w:val="758111EB"/>
    <w:rsid w:val="758962F1"/>
    <w:rsid w:val="75F30AB6"/>
    <w:rsid w:val="76746FA2"/>
    <w:rsid w:val="77950F7E"/>
    <w:rsid w:val="77A63055"/>
    <w:rsid w:val="78252301"/>
    <w:rsid w:val="78634E3D"/>
    <w:rsid w:val="79E0216E"/>
    <w:rsid w:val="7A291661"/>
    <w:rsid w:val="7B3B62E0"/>
    <w:rsid w:val="7BAE6AB2"/>
    <w:rsid w:val="7C3C40BE"/>
    <w:rsid w:val="7C726892"/>
    <w:rsid w:val="7E411CAA"/>
    <w:rsid w:val="7EED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numPr>
        <w:ilvl w:val="0"/>
        <w:numId w:val="1"/>
      </w:numPr>
      <w:tabs>
        <w:tab w:val="left" w:pos="420"/>
        <w:tab w:val="clear" w:pos="330"/>
      </w:tabs>
      <w:spacing w:line="360" w:lineRule="auto"/>
      <w:outlineLvl w:val="1"/>
    </w:pPr>
    <w:rPr>
      <w:b/>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5">
    <w:name w:val="Body Text Indent"/>
    <w:basedOn w:val="1"/>
    <w:next w:val="6"/>
    <w:qFormat/>
    <w:uiPriority w:val="0"/>
    <w:pPr>
      <w:spacing w:after="120"/>
      <w:ind w:left="420" w:leftChars="200"/>
    </w:pPr>
    <w:rPr>
      <w:sz w:val="24"/>
    </w:rPr>
  </w:style>
  <w:style w:type="paragraph" w:styleId="6">
    <w:name w:val="envelope return"/>
    <w:basedOn w:val="1"/>
    <w:qFormat/>
    <w:uiPriority w:val="0"/>
    <w:pPr>
      <w:snapToGrid w:val="0"/>
    </w:pPr>
    <w:rPr>
      <w:rFonts w:ascii="Arial" w:hAnsi="Arial"/>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0">
    <w:name w:val="Body Text First Indent 2"/>
    <w:basedOn w:val="5"/>
    <w:qFormat/>
    <w:uiPriority w:val="0"/>
    <w:pPr>
      <w:tabs>
        <w:tab w:val="left" w:pos="0"/>
        <w:tab w:val="left" w:pos="993"/>
        <w:tab w:val="left" w:pos="1134"/>
      </w:tabs>
      <w:ind w:firstLine="420" w:firstLineChars="200"/>
    </w:pPr>
  </w:style>
  <w:style w:type="character" w:styleId="13">
    <w:name w:val="Hyperlink"/>
    <w:basedOn w:val="12"/>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1447</Words>
  <Characters>1584</Characters>
  <Lines>0</Lines>
  <Paragraphs>0</Paragraphs>
  <TotalTime>5</TotalTime>
  <ScaleCrop>false</ScaleCrop>
  <LinksUpToDate>false</LinksUpToDate>
  <CharactersWithSpaces>1665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平常心</cp:lastModifiedBy>
  <cp:lastPrinted>2022-04-07T03:44:00Z</cp:lastPrinted>
  <dcterms:modified xsi:type="dcterms:W3CDTF">2022-04-14T12:33:40Z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8058448EB8F44C02BE4569FB77010744</vt:lpwstr>
  </property>
</Properties>
</file>