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pPr>
      <w:r>
        <w:rPr>
          <w:rFonts w:hint="eastAsia" w:ascii="华文中宋" w:hAnsi="华文中宋" w:eastAsia="华文中宋"/>
          <w:lang w:eastAsia="zh-CN"/>
        </w:rPr>
        <w:t>招标</w:t>
      </w:r>
      <w:r>
        <w:rPr>
          <w:rFonts w:hint="eastAsia" w:ascii="华文中宋" w:hAnsi="华文中宋" w:eastAsia="华文中宋"/>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lang w:eastAsia="zh-CN"/>
        </w:rPr>
        <w:t>富蕴县可可托海职业技术学校建设项目全过程跟踪审计服务</w:t>
      </w:r>
      <w:r>
        <w:rPr>
          <w:rFonts w:hint="eastAsia" w:ascii="仿宋" w:hAnsi="仿宋" w:eastAsia="仿宋"/>
          <w:sz w:val="28"/>
          <w:szCs w:val="28"/>
        </w:rPr>
        <w:t>的潜在供应商应在</w:t>
      </w:r>
      <w:r>
        <w:rPr>
          <w:rFonts w:hint="eastAsia" w:ascii="仿宋" w:hAnsi="仿宋" w:eastAsia="仿宋"/>
          <w:sz w:val="28"/>
          <w:szCs w:val="28"/>
          <w:u w:val="single"/>
        </w:rPr>
        <w:t>新疆阿勒泰地区阿勒泰市团结南路东侧200号2层20号</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0" w:name="_Toc28359089"/>
      <w:bookmarkStart w:id="1" w:name="_Toc35393629"/>
      <w:bookmarkStart w:id="2" w:name="_Toc35393798"/>
      <w:bookmarkStart w:id="3" w:name="_Toc28359012"/>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ZD2022-026</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富蕴县可可托海职业技术学校建设项目</w:t>
      </w:r>
      <w:r>
        <w:rPr>
          <w:rFonts w:hint="eastAsia" w:ascii="仿宋" w:hAnsi="仿宋" w:eastAsia="仿宋"/>
          <w:sz w:val="28"/>
          <w:szCs w:val="28"/>
          <w:lang w:val="en-US" w:eastAsia="zh-CN"/>
        </w:rPr>
        <w:t>全过程跟踪审计服务</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采购方式：</w:t>
      </w:r>
      <w:r>
        <w:rPr>
          <w:rFonts w:hint="eastAsia" w:ascii="仿宋" w:hAnsi="仿宋" w:eastAsia="仿宋"/>
          <w:sz w:val="28"/>
          <w:szCs w:val="28"/>
          <w:lang w:eastAsia="zh-CN"/>
        </w:rPr>
        <w:t>竞争性磋商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预算金额：47.5</w:t>
      </w:r>
      <w:r>
        <w:rPr>
          <w:rFonts w:hint="eastAsia" w:ascii="仿宋" w:hAnsi="仿宋" w:eastAsia="仿宋"/>
          <w:sz w:val="28"/>
          <w:szCs w:val="28"/>
          <w:lang w:val="en-US" w:eastAsia="zh-CN"/>
        </w:rPr>
        <w:t>万元（本项目总投资为1.09亿元）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富蕴县可可托海职业技术学校建设项目</w:t>
      </w:r>
      <w:r>
        <w:rPr>
          <w:rFonts w:hint="eastAsia" w:ascii="仿宋" w:hAnsi="仿宋" w:eastAsia="仿宋"/>
          <w:sz w:val="28"/>
          <w:szCs w:val="28"/>
        </w:rPr>
        <w:t>全过程跟踪审计服务</w:t>
      </w:r>
      <w:r>
        <w:rPr>
          <w:rFonts w:hint="eastAsia" w:ascii="仿宋" w:hAnsi="仿宋" w:eastAsia="仿宋"/>
          <w:sz w:val="28"/>
          <w:szCs w:val="28"/>
          <w:lang w:eastAsia="zh-CN"/>
        </w:rPr>
        <w:t>（包含财务审计，不含控制价审核）</w:t>
      </w:r>
      <w:r>
        <w:rPr>
          <w:rFonts w:hint="eastAsia" w:ascii="仿宋" w:hAnsi="仿宋" w:eastAsia="仿宋"/>
          <w:sz w:val="28"/>
          <w:szCs w:val="28"/>
          <w:lang w:val="en-US" w:eastAsia="zh-CN"/>
        </w:rPr>
        <w:t>,</w:t>
      </w:r>
      <w:r>
        <w:rPr>
          <w:rFonts w:hint="eastAsia" w:ascii="仿宋" w:hAnsi="仿宋" w:eastAsia="仿宋"/>
          <w:sz w:val="28"/>
          <w:szCs w:val="28"/>
          <w:lang w:eastAsia="zh-CN"/>
        </w:rPr>
        <w:t>详见招标文件。</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合同履行期限：合同签订之日起至项目竣工验收合格、完成并出具</w:t>
      </w:r>
      <w:r>
        <w:rPr>
          <w:rFonts w:hint="eastAsia" w:ascii="仿宋" w:hAnsi="仿宋" w:eastAsia="仿宋"/>
          <w:sz w:val="28"/>
          <w:szCs w:val="28"/>
          <w:lang w:eastAsia="zh-CN"/>
        </w:rPr>
        <w:t>年度</w:t>
      </w:r>
      <w:r>
        <w:rPr>
          <w:rFonts w:hint="eastAsia" w:ascii="仿宋" w:hAnsi="仿宋" w:eastAsia="仿宋"/>
          <w:sz w:val="28"/>
          <w:szCs w:val="28"/>
        </w:rPr>
        <w:t>跟踪审计报告及竣工决算审计报告、相关档案资料移交招标人</w:t>
      </w:r>
      <w:r>
        <w:rPr>
          <w:rFonts w:hint="eastAsia" w:ascii="仿宋" w:hAnsi="仿宋" w:eastAsia="仿宋"/>
          <w:sz w:val="28"/>
          <w:szCs w:val="28"/>
          <w:lang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本项目接受联合体。</w:t>
      </w:r>
    </w:p>
    <w:p>
      <w:pPr>
        <w:pStyle w:val="4"/>
        <w:spacing w:line="360" w:lineRule="auto"/>
        <w:rPr>
          <w:rFonts w:hint="eastAsia" w:ascii="黑体" w:hAnsi="黑体" w:eastAsia="黑体" w:cs="宋体"/>
          <w:b w:val="0"/>
          <w:sz w:val="28"/>
          <w:szCs w:val="28"/>
          <w:lang w:eastAsia="zh-CN"/>
        </w:rPr>
      </w:pPr>
      <w:bookmarkStart w:id="4" w:name="_Toc28359013"/>
      <w:bookmarkStart w:id="5" w:name="_Toc35393799"/>
      <w:bookmarkStart w:id="6" w:name="_Toc35393630"/>
      <w:bookmarkStart w:id="7" w:name="_Toc28359090"/>
      <w:r>
        <w:rPr>
          <w:rFonts w:hint="eastAsia" w:ascii="黑体" w:hAnsi="黑体" w:cs="宋体"/>
          <w:b w:val="0"/>
          <w:sz w:val="28"/>
          <w:szCs w:val="28"/>
        </w:rPr>
        <w:t>二、申请人的资格要求：</w:t>
      </w:r>
      <w:bookmarkEnd w:id="4"/>
      <w:bookmarkEnd w:id="5"/>
      <w:bookmarkEnd w:id="6"/>
      <w:bookmarkEnd w:id="7"/>
    </w:p>
    <w:p>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8" w:name="_Toc28359014"/>
      <w:bookmarkStart w:id="9" w:name="_Toc28359091"/>
    </w:p>
    <w:p>
      <w:pPr>
        <w:pStyle w:val="5"/>
        <w:ind w:firstLine="560" w:firstLineChars="200"/>
        <w:rPr>
          <w:rFonts w:hint="eastAsia" w:ascii="仿宋" w:hAnsi="仿宋" w:eastAsia="仿宋"/>
          <w:sz w:val="28"/>
          <w:szCs w:val="28"/>
        </w:rPr>
      </w:pPr>
      <w:r>
        <w:rPr>
          <w:rFonts w:hint="eastAsia" w:ascii="仿宋" w:hAnsi="仿宋" w:eastAsia="仿宋" w:cs="Times New Roman"/>
          <w:kern w:val="2"/>
          <w:sz w:val="28"/>
          <w:szCs w:val="28"/>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 </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r>
        <w:rPr>
          <w:rFonts w:hint="eastAsia" w:ascii="仿宋" w:hAnsi="仿宋" w:eastAsia="仿宋"/>
          <w:sz w:val="28"/>
          <w:szCs w:val="28"/>
          <w:u w:val="single"/>
        </w:rPr>
        <w:t>（</w:t>
      </w:r>
      <w:r>
        <w:rPr>
          <w:rFonts w:hint="eastAsia" w:ascii="仿宋" w:hAnsi="仿宋" w:eastAsia="仿宋"/>
          <w:sz w:val="28"/>
          <w:szCs w:val="28"/>
          <w:u w:val="single"/>
          <w:lang w:val="en-US" w:eastAsia="zh-CN"/>
        </w:rPr>
        <w:t>1</w:t>
      </w:r>
      <w:r>
        <w:rPr>
          <w:rFonts w:hint="eastAsia" w:ascii="仿宋" w:hAnsi="仿宋" w:eastAsia="仿宋"/>
          <w:sz w:val="28"/>
          <w:szCs w:val="28"/>
          <w:u w:val="single"/>
        </w:rPr>
        <w:t>）有效的“三证合一”的营业执照，</w:t>
      </w:r>
      <w:r>
        <w:rPr>
          <w:rFonts w:hint="eastAsia" w:ascii="仿宋" w:hAnsi="仿宋" w:eastAsia="仿宋"/>
          <w:sz w:val="28"/>
          <w:szCs w:val="28"/>
          <w:u w:val="single"/>
          <w:lang w:eastAsia="zh-CN"/>
        </w:rPr>
        <w:t>外省企业已办理进疆信息报送；</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2</w:t>
      </w:r>
      <w:r>
        <w:rPr>
          <w:rFonts w:hint="eastAsia" w:ascii="仿宋" w:hAnsi="仿宋" w:eastAsia="仿宋"/>
          <w:sz w:val="28"/>
          <w:szCs w:val="28"/>
          <w:u w:val="single"/>
          <w:lang w:eastAsia="zh-CN"/>
        </w:rPr>
        <w:t>）具有健全的财务会计制度与良好的商业信誉；</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w:t>
      </w:r>
      <w:r>
        <w:rPr>
          <w:rFonts w:hint="eastAsia" w:ascii="仿宋" w:hAnsi="仿宋" w:eastAsia="仿宋"/>
          <w:sz w:val="28"/>
          <w:szCs w:val="28"/>
          <w:u w:val="single"/>
        </w:rPr>
        <w:t>需提供被委托人</w:t>
      </w:r>
      <w:r>
        <w:rPr>
          <w:rFonts w:hint="eastAsia" w:ascii="仿宋" w:hAnsi="仿宋" w:eastAsia="仿宋"/>
          <w:sz w:val="28"/>
          <w:szCs w:val="28"/>
          <w:u w:val="single"/>
          <w:lang w:eastAsia="zh-CN"/>
        </w:rPr>
        <w:t>在</w:t>
      </w:r>
      <w:r>
        <w:rPr>
          <w:rFonts w:hint="eastAsia" w:ascii="仿宋" w:hAnsi="仿宋" w:eastAsia="仿宋"/>
          <w:sz w:val="28"/>
          <w:szCs w:val="28"/>
          <w:u w:val="single"/>
        </w:rPr>
        <w:t>投标单位</w:t>
      </w:r>
      <w:r>
        <w:rPr>
          <w:rFonts w:hint="eastAsia" w:ascii="仿宋" w:hAnsi="仿宋" w:eastAsia="仿宋"/>
          <w:sz w:val="28"/>
          <w:szCs w:val="28"/>
          <w:u w:val="single"/>
          <w:lang w:eastAsia="zh-CN"/>
        </w:rPr>
        <w:t>的</w:t>
      </w:r>
      <w:r>
        <w:rPr>
          <w:rFonts w:hint="eastAsia" w:ascii="仿宋" w:hAnsi="仿宋" w:eastAsia="仿宋"/>
          <w:sz w:val="28"/>
          <w:szCs w:val="28"/>
          <w:u w:val="single"/>
        </w:rPr>
        <w:t>社保缴纳证明</w:t>
      </w:r>
      <w:r>
        <w:rPr>
          <w:rFonts w:hint="eastAsia" w:ascii="仿宋" w:hAnsi="仿宋" w:eastAsia="仿宋"/>
          <w:sz w:val="28"/>
          <w:szCs w:val="28"/>
          <w:u w:val="single"/>
          <w:lang w:eastAsia="zh-CN"/>
        </w:rPr>
        <w:t>（近一个月）；</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rPr>
        <w:t>（</w:t>
      </w:r>
      <w:r>
        <w:rPr>
          <w:rFonts w:hint="eastAsia" w:ascii="仿宋" w:hAnsi="仿宋" w:eastAsia="仿宋"/>
          <w:sz w:val="28"/>
          <w:szCs w:val="28"/>
          <w:u w:val="single"/>
          <w:lang w:val="en-US" w:eastAsia="zh-CN"/>
        </w:rPr>
        <w:t>4</w:t>
      </w:r>
      <w:r>
        <w:rPr>
          <w:rFonts w:hint="eastAsia" w:ascii="仿宋" w:hAnsi="仿宋" w:eastAsia="仿宋"/>
          <w:sz w:val="28"/>
          <w:szCs w:val="28"/>
          <w:u w:val="single"/>
        </w:rPr>
        <w:t>）未被“信用中国”（www.creditchina.gov.cn）、中国政府采购网（www.ccgp.gov.cn）列入失信被执行人、重大税收违法案件当事人名单、政府采购严重违法失信行为记录名单</w:t>
      </w:r>
      <w:r>
        <w:rPr>
          <w:rFonts w:hint="eastAsia" w:ascii="仿宋" w:hAnsi="仿宋" w:eastAsia="仿宋"/>
          <w:sz w:val="28"/>
          <w:szCs w:val="28"/>
          <w:u w:val="single"/>
          <w:lang w:eastAsia="zh-CN"/>
        </w:rPr>
        <w:t>；</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5</w:t>
      </w:r>
      <w:r>
        <w:rPr>
          <w:rFonts w:hint="eastAsia" w:ascii="仿宋" w:hAnsi="仿宋" w:eastAsia="仿宋"/>
          <w:sz w:val="28"/>
          <w:szCs w:val="28"/>
          <w:u w:val="single"/>
          <w:lang w:eastAsia="zh-CN"/>
        </w:rPr>
        <w:t>）投标人须具有会计师事务所职业资格；</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（6）造价咨询项目负责人须为建筑专业</w:t>
      </w:r>
      <w:r>
        <w:rPr>
          <w:rFonts w:hint="eastAsia" w:ascii="仿宋" w:hAnsi="仿宋" w:eastAsia="仿宋" w:cs="宋体"/>
          <w:kern w:val="0"/>
          <w:sz w:val="28"/>
          <w:szCs w:val="28"/>
          <w:u w:val="single"/>
          <w:lang w:val="en-US" w:eastAsia="zh-CN"/>
        </w:rPr>
        <w:t>一级注册造价工程师</w:t>
      </w:r>
      <w:r>
        <w:rPr>
          <w:rFonts w:hint="eastAsia" w:ascii="仿宋" w:hAnsi="仿宋" w:eastAsia="仿宋"/>
          <w:sz w:val="28"/>
          <w:szCs w:val="28"/>
          <w:u w:val="single"/>
          <w:lang w:val="en-US" w:eastAsia="zh-CN"/>
        </w:rPr>
        <w:t>且在投标单有效注册期内，财务咨询负责人须具有注册会计师资格；</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（7）单位负责人为同一人或者存在控股、管理关系的不同单位，不得同时参加本项目的投标；</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single"/>
          <w:lang w:val="en-US" w:eastAsia="zh-CN"/>
        </w:rPr>
        <w:t>（8）对联合体的要求：1、本项目接受联合体投标，但联合体成员总数不得超过2家；2、联合体牵头单位为造价咨询公司；3、按照要求提供联合体协议书，明确联合体双方的主要权利和义务。</w:t>
      </w:r>
    </w:p>
    <w:p>
      <w:pPr>
        <w:pStyle w:val="4"/>
        <w:spacing w:line="360" w:lineRule="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val="en-US" w:eastAsia="zh-CN"/>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u w:val="single"/>
        </w:rPr>
        <w:t>新疆阿勒泰地区阿勒泰市团结南路东侧200号2层20号</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u w:val="single"/>
          <w:lang w:eastAsia="zh-CN"/>
        </w:rPr>
        <w:t>现场报名获取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200元/现金</w:t>
      </w:r>
    </w:p>
    <w:p>
      <w:pPr>
        <w:pStyle w:val="4"/>
        <w:spacing w:line="360" w:lineRule="auto"/>
        <w:rPr>
          <w:rFonts w:ascii="黑体" w:hAnsi="黑体" w:cs="宋体"/>
          <w:b w:val="0"/>
          <w:sz w:val="28"/>
          <w:szCs w:val="28"/>
        </w:rPr>
      </w:pPr>
      <w:bookmarkStart w:id="12" w:name="_Toc28359015"/>
      <w:bookmarkStart w:id="13" w:name="_Toc35393632"/>
      <w:bookmarkStart w:id="14" w:name="_Toc28359092"/>
      <w:bookmarkStart w:id="15" w:name="_Toc35393801"/>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olor w:val="auto"/>
          <w:sz w:val="28"/>
          <w:szCs w:val="28"/>
          <w:u w:val="single"/>
        </w:rPr>
        <w:t>富蕴县联合企业大楼215室</w:t>
      </w:r>
    </w:p>
    <w:p>
      <w:pPr>
        <w:pStyle w:val="4"/>
        <w:spacing w:line="360" w:lineRule="auto"/>
        <w:rPr>
          <w:rFonts w:ascii="黑体" w:hAnsi="黑体" w:cs="宋体"/>
          <w:b w:val="0"/>
          <w:sz w:val="28"/>
          <w:szCs w:val="28"/>
        </w:rPr>
      </w:pPr>
      <w:bookmarkStart w:id="16" w:name="_Toc28359093"/>
      <w:bookmarkStart w:id="17" w:name="_Toc35393802"/>
      <w:bookmarkStart w:id="18" w:name="_Toc35393633"/>
      <w:bookmarkStart w:id="19" w:name="_Toc28359016"/>
      <w:r>
        <w:rPr>
          <w:rFonts w:hint="eastAsia" w:ascii="黑体" w:hAnsi="黑体" w:cs="宋体"/>
          <w:b w:val="0"/>
          <w:sz w:val="28"/>
          <w:szCs w:val="28"/>
        </w:rPr>
        <w:t>五、开启</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 xml:space="preserve">月 </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olor w:val="auto"/>
          <w:sz w:val="28"/>
          <w:szCs w:val="28"/>
          <w:u w:val="single"/>
        </w:rPr>
        <w:t>富蕴县联合企业大楼215室</w:t>
      </w:r>
    </w:p>
    <w:p>
      <w:pPr>
        <w:pStyle w:val="4"/>
        <w:spacing w:line="360" w:lineRule="auto"/>
        <w:rPr>
          <w:rFonts w:ascii="黑体" w:hAnsi="黑体" w:cs="宋体"/>
          <w:b w:val="0"/>
          <w:sz w:val="28"/>
          <w:szCs w:val="28"/>
        </w:rPr>
      </w:pPr>
      <w:bookmarkStart w:id="20" w:name="_Toc28359094"/>
      <w:bookmarkStart w:id="21" w:name="_Toc28359017"/>
      <w:bookmarkStart w:id="22" w:name="_Toc35393634"/>
      <w:bookmarkStart w:id="23" w:name="_Toc35393803"/>
      <w:r>
        <w:rPr>
          <w:rFonts w:hint="eastAsia" w:ascii="黑体" w:hAnsi="黑体" w:cs="宋体"/>
          <w:b w:val="0"/>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hint="eastAsia" w:ascii="黑体" w:hAnsi="黑体" w:cs="宋体"/>
          <w:b w:val="0"/>
          <w:sz w:val="28"/>
          <w:szCs w:val="28"/>
        </w:rPr>
      </w:pPr>
      <w:bookmarkStart w:id="24" w:name="_Toc35393804"/>
      <w:bookmarkStart w:id="25" w:name="_Toc35393635"/>
      <w:r>
        <w:rPr>
          <w:rFonts w:hint="eastAsia" w:ascii="黑体" w:hAnsi="黑体" w:cs="宋体"/>
          <w:b w:val="0"/>
          <w:sz w:val="28"/>
          <w:szCs w:val="28"/>
          <w:lang w:eastAsia="zh-CN"/>
        </w:rPr>
        <w:t>七、</w:t>
      </w:r>
      <w:r>
        <w:rPr>
          <w:rFonts w:hint="eastAsia" w:ascii="黑体" w:hAnsi="黑体" w:cs="宋体"/>
          <w:b w:val="0"/>
          <w:sz w:val="28"/>
          <w:szCs w:val="28"/>
        </w:rPr>
        <w:t>其他补充事宜</w:t>
      </w:r>
      <w:bookmarkEnd w:id="24"/>
      <w:bookmarkEnd w:id="25"/>
    </w:p>
    <w:p>
      <w:pPr>
        <w:rPr>
          <w:rFonts w:hint="eastAsia" w:ascii="黑体" w:hAnsi="黑体" w:cs="宋体"/>
          <w:b/>
          <w:bCs/>
          <w:sz w:val="28"/>
          <w:szCs w:val="28"/>
        </w:rPr>
      </w:pPr>
      <w:r>
        <w:rPr>
          <w:rFonts w:hint="eastAsia" w:ascii="仿宋" w:hAnsi="仿宋" w:eastAsia="仿宋" w:cs="宋体"/>
          <w:kern w:val="0"/>
          <w:sz w:val="28"/>
          <w:szCs w:val="28"/>
          <w:lang w:val="en-US" w:eastAsia="zh-CN"/>
        </w:rPr>
        <w:t>报名时需携带：</w:t>
      </w:r>
      <w:bookmarkStart w:id="38" w:name="_GoBack"/>
      <w:r>
        <w:rPr>
          <w:rFonts w:hint="eastAsia" w:ascii="仿宋" w:hAnsi="仿宋" w:eastAsia="仿宋" w:cs="宋体"/>
          <w:kern w:val="0"/>
          <w:sz w:val="28"/>
          <w:szCs w:val="28"/>
          <w:lang w:val="en-US" w:eastAsia="zh-CN"/>
        </w:rPr>
        <w:t>法定代表人授权委托书（附法定代表人、被委托人身份证复印件）及被委托人身份证原件、营业执照、会计师事务所职业资格、一级注册造价工程师职业资格证书、注册会计师职业资格证书、委托人社保证明（近一个月）、联合体投标还需提供联合体协议书（以上资料复印件一式二份，原件携带备查）</w:t>
      </w:r>
      <w:bookmarkStart w:id="26" w:name="_Toc35393636"/>
      <w:bookmarkStart w:id="27" w:name="_Toc28359018"/>
      <w:bookmarkStart w:id="28" w:name="_Toc35393805"/>
      <w:bookmarkStart w:id="29" w:name="_Toc28359095"/>
    </w:p>
    <w:bookmarkEnd w:id="38"/>
    <w:p>
      <w:pPr>
        <w:spacing w:line="360" w:lineRule="auto"/>
        <w:jc w:val="left"/>
        <w:rPr>
          <w:rFonts w:hint="eastAsia" w:ascii="仿宋" w:hAnsi="仿宋" w:eastAsia="仿宋"/>
          <w:b/>
          <w:bCs/>
          <w:sz w:val="28"/>
          <w:szCs w:val="28"/>
        </w:rPr>
      </w:pPr>
      <w:r>
        <w:rPr>
          <w:rFonts w:hint="eastAsia" w:ascii="黑体" w:hAnsi="黑体" w:cs="宋体"/>
          <w:b/>
          <w:bCs/>
          <w:sz w:val="28"/>
          <w:szCs w:val="28"/>
        </w:rPr>
        <w:t>八</w:t>
      </w:r>
      <w:r>
        <w:rPr>
          <w:rFonts w:hint="eastAsia" w:ascii="仿宋" w:hAnsi="仿宋" w:eastAsia="仿宋"/>
          <w:b/>
          <w:bCs/>
          <w:sz w:val="28"/>
          <w:szCs w:val="28"/>
        </w:rPr>
        <w:t>、凡对本次采购提出询问，请按以下方式联系。</w:t>
      </w:r>
      <w:bookmarkEnd w:id="26"/>
      <w:bookmarkEnd w:id="27"/>
      <w:bookmarkEnd w:id="28"/>
      <w:bookmarkEnd w:id="29"/>
    </w:p>
    <w:p>
      <w:pPr>
        <w:spacing w:line="360" w:lineRule="auto"/>
        <w:ind w:left="1129" w:leftChars="371" w:hanging="350" w:hangingChars="125"/>
        <w:jc w:val="left"/>
        <w:rPr>
          <w:rFonts w:hint="eastAsia" w:ascii="仿宋" w:hAnsi="仿宋" w:eastAsia="仿宋"/>
          <w:sz w:val="28"/>
          <w:szCs w:val="28"/>
        </w:rPr>
      </w:pPr>
      <w:bookmarkStart w:id="30" w:name="_Toc28359019"/>
      <w:bookmarkStart w:id="31" w:name="_Toc35393806"/>
      <w:bookmarkStart w:id="32" w:name="_Toc35393637"/>
      <w:bookmarkStart w:id="33" w:name="_Toc28359096"/>
      <w:r>
        <w:rPr>
          <w:rFonts w:hint="eastAsia" w:ascii="仿宋" w:hAnsi="仿宋" w:eastAsia="仿宋"/>
          <w:sz w:val="28"/>
          <w:szCs w:val="28"/>
        </w:rPr>
        <w:t>1.采购人信息</w:t>
      </w:r>
      <w:bookmarkEnd w:id="30"/>
      <w:bookmarkEnd w:id="31"/>
      <w:bookmarkEnd w:id="32"/>
      <w:bookmarkEnd w:id="33"/>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富蕴县审计局</w:t>
      </w:r>
    </w:p>
    <w:p>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富蕴县</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4" w:name="_Toc35393807"/>
      <w:bookmarkStart w:id="35" w:name="_Toc35393638"/>
      <w:bookmarkStart w:id="36" w:name="_Toc28359020"/>
      <w:bookmarkStart w:id="37" w:name="_Toc28359097"/>
      <w:r>
        <w:rPr>
          <w:rFonts w:hint="eastAsia" w:ascii="仿宋" w:hAnsi="仿宋" w:eastAsia="仿宋"/>
          <w:b w:val="0"/>
          <w:bCs w:val="0"/>
          <w:sz w:val="28"/>
          <w:szCs w:val="28"/>
          <w:u w:val="single"/>
          <w:lang w:val="en-US" w:eastAsia="zh-CN"/>
        </w:rPr>
        <w:t>0906-8720095</w:t>
      </w:r>
    </w:p>
    <w:p>
      <w:pPr>
        <w:spacing w:line="360" w:lineRule="auto"/>
        <w:ind w:firstLine="840" w:firstLineChars="300"/>
        <w:jc w:val="left"/>
        <w:rPr>
          <w:rFonts w:ascii="仿宋" w:hAnsi="仿宋" w:eastAsia="仿宋" w:cs="宋体"/>
          <w:b w:val="0"/>
          <w:sz w:val="28"/>
          <w:szCs w:val="28"/>
        </w:rPr>
      </w:pPr>
      <w:r>
        <w:rPr>
          <w:rFonts w:hint="eastAsia" w:ascii="仿宋" w:hAnsi="仿宋" w:eastAsia="仿宋" w:cs="宋体"/>
          <w:b w:val="0"/>
          <w:sz w:val="28"/>
          <w:szCs w:val="28"/>
        </w:rPr>
        <w:t>2.采购代理机构信息</w:t>
      </w:r>
      <w:bookmarkEnd w:id="34"/>
      <w:bookmarkEnd w:id="35"/>
      <w:bookmarkEnd w:id="36"/>
      <w:bookmarkEnd w:id="37"/>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正鼎工程管理有限公司</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新疆阿勒泰地区阿勒泰市团结南路东侧200号2层20号</w:t>
      </w:r>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u w:val="none"/>
          <w:lang w:eastAsia="zh-CN"/>
        </w:rPr>
        <w:t>联</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系</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人：</w:t>
      </w:r>
      <w:r>
        <w:rPr>
          <w:rFonts w:hint="eastAsia" w:ascii="仿宋" w:hAnsi="仿宋" w:eastAsia="仿宋"/>
          <w:sz w:val="28"/>
          <w:szCs w:val="28"/>
          <w:u w:val="single"/>
          <w:lang w:eastAsia="zh-CN"/>
        </w:rPr>
        <w:t>冯晓云</w:t>
      </w:r>
    </w:p>
    <w:p>
      <w:pPr>
        <w:spacing w:line="360" w:lineRule="auto"/>
        <w:ind w:firstLine="840" w:firstLineChars="300"/>
        <w:rPr>
          <w:rFonts w:hint="default"/>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13369069098</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41535"/>
    <w:rsid w:val="11F13C99"/>
    <w:rsid w:val="3D01128A"/>
    <w:rsid w:val="54F867DF"/>
    <w:rsid w:val="7868190B"/>
    <w:rsid w:val="79437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Body Text"/>
    <w:basedOn w:val="1"/>
    <w:qFormat/>
    <w:uiPriority w:val="0"/>
    <w:pPr>
      <w:widowControl/>
      <w:tabs>
        <w:tab w:val="left" w:pos="0"/>
        <w:tab w:val="left" w:pos="993"/>
        <w:tab w:val="left" w:pos="1134"/>
      </w:tabs>
      <w:spacing w:line="500" w:lineRule="exact"/>
    </w:pPr>
    <w:rPr>
      <w:rFonts w:ascii="宋体"/>
      <w:kern w:val="0"/>
      <w:sz w:val="28"/>
    </w:rPr>
  </w:style>
  <w:style w:type="character" w:styleId="8">
    <w:name w:val="Strong"/>
    <w:basedOn w:val="7"/>
    <w:qFormat/>
    <w:uiPriority w:val="0"/>
    <w:rPr>
      <w:b/>
      <w:bCs/>
    </w:rPr>
  </w:style>
  <w:style w:type="character" w:styleId="9">
    <w:name w:val="FollowedHyperlink"/>
    <w:basedOn w:val="7"/>
    <w:qFormat/>
    <w:uiPriority w:val="0"/>
    <w:rPr>
      <w:color w:val="3177FD"/>
      <w:u w:val="none"/>
    </w:rPr>
  </w:style>
  <w:style w:type="character" w:styleId="10">
    <w:name w:val="HTML Definition"/>
    <w:basedOn w:val="7"/>
    <w:qFormat/>
    <w:uiPriority w:val="0"/>
    <w:rPr>
      <w:i/>
      <w:iCs/>
    </w:rPr>
  </w:style>
  <w:style w:type="character" w:styleId="11">
    <w:name w:val="Hyperlink"/>
    <w:basedOn w:val="7"/>
    <w:qFormat/>
    <w:uiPriority w:val="0"/>
    <w:rPr>
      <w:color w:val="3177FD"/>
      <w:u w:val="none"/>
    </w:rPr>
  </w:style>
  <w:style w:type="character" w:styleId="12">
    <w:name w:val="HTML Code"/>
    <w:basedOn w:val="7"/>
    <w:qFormat/>
    <w:uiPriority w:val="0"/>
    <w:rPr>
      <w:rFonts w:ascii="Consolas" w:hAnsi="Consolas" w:eastAsia="Consolas" w:cs="Consolas"/>
      <w:sz w:val="21"/>
      <w:szCs w:val="21"/>
    </w:rPr>
  </w:style>
  <w:style w:type="character" w:styleId="13">
    <w:name w:val="HTML Keyboard"/>
    <w:basedOn w:val="7"/>
    <w:qFormat/>
    <w:uiPriority w:val="0"/>
    <w:rPr>
      <w:rFonts w:hint="default" w:ascii="Consolas" w:hAnsi="Consolas" w:eastAsia="Consolas" w:cs="Consolas"/>
      <w:sz w:val="21"/>
      <w:szCs w:val="21"/>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ant-tree-icon_loading"/>
    <w:basedOn w:val="7"/>
    <w:qFormat/>
    <w:uiPriority w:val="0"/>
    <w:rPr>
      <w:shd w:val="clear" w:fill="FFFFFF"/>
    </w:rPr>
  </w:style>
  <w:style w:type="character" w:customStyle="1" w:styleId="16">
    <w:name w:val="ant-select-tree-iconele"/>
    <w:basedOn w:val="7"/>
    <w:qFormat/>
    <w:uiPriority w:val="0"/>
  </w:style>
  <w:style w:type="character" w:customStyle="1" w:styleId="17">
    <w:name w:val="ant-select-tree-switcher"/>
    <w:basedOn w:val="7"/>
    <w:qFormat/>
    <w:uiPriority w:val="0"/>
  </w:style>
  <w:style w:type="character" w:customStyle="1" w:styleId="18">
    <w:name w:val="ant-select-tree-checkbox2"/>
    <w:basedOn w:val="7"/>
    <w:qFormat/>
    <w:uiPriority w:val="0"/>
  </w:style>
  <w:style w:type="character" w:customStyle="1" w:styleId="19">
    <w:name w:val="ant-radio+*"/>
    <w:basedOn w:val="7"/>
    <w:qFormat/>
    <w:uiPriority w:val="0"/>
  </w:style>
  <w:style w:type="character" w:customStyle="1" w:styleId="20">
    <w:name w:val="ant-radio+*1"/>
    <w:basedOn w:val="7"/>
    <w:qFormat/>
    <w:uiPriority w:val="0"/>
  </w:style>
  <w:style w:type="character" w:customStyle="1" w:styleId="21">
    <w:name w:val="ant-tree-iconele"/>
    <w:basedOn w:val="7"/>
    <w:qFormat/>
    <w:uiPriority w:val="0"/>
  </w:style>
  <w:style w:type="character" w:customStyle="1" w:styleId="22">
    <w:name w:val="ant-input14"/>
    <w:basedOn w:val="7"/>
    <w:qFormat/>
    <w:uiPriority w:val="0"/>
  </w:style>
  <w:style w:type="character" w:customStyle="1" w:styleId="23">
    <w:name w:val="ant-tree-checkbox2"/>
    <w:basedOn w:val="7"/>
    <w:qFormat/>
    <w:uiPriority w:val="0"/>
  </w:style>
  <w:style w:type="character" w:customStyle="1" w:styleId="24">
    <w:name w:val="ant-tree-switcher"/>
    <w:basedOn w:val="7"/>
    <w:qFormat/>
    <w:uiPriority w:val="0"/>
  </w:style>
  <w:style w:type="character" w:customStyle="1" w:styleId="25">
    <w:name w:val="ant-transfer-list-search-action"/>
    <w:basedOn w:val="7"/>
    <w:qFormat/>
    <w:uiPriority w:val="0"/>
  </w:style>
  <w:style w:type="character" w:customStyle="1" w:styleId="26">
    <w:name w:val="ant-input"/>
    <w:basedOn w:val="7"/>
    <w:qFormat/>
    <w:uiPriority w:val="0"/>
  </w:style>
  <w:style w:type="character" w:customStyle="1" w:styleId="27">
    <w:name w:val="ant-select-tree-checkbox"/>
    <w:basedOn w:val="7"/>
    <w:qFormat/>
    <w:uiPriority w:val="0"/>
  </w:style>
  <w:style w:type="character" w:customStyle="1" w:styleId="28">
    <w:name w:val="ant-tree-checkbox"/>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1441</Words>
  <Characters>1602</Characters>
  <Lines>0</Lines>
  <Paragraphs>0</Paragraphs>
  <TotalTime>18</TotalTime>
  <ScaleCrop>false</ScaleCrop>
  <LinksUpToDate>false</LinksUpToDate>
  <CharactersWithSpaces>1646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2022-04-21T21:37:00Z</dcterms:created>
  <dc:creator>苏转</dc:creator>
  <cp:lastModifiedBy>苏转</cp:lastModifiedBy>
  <dcterms:modified xsi:type="dcterms:W3CDTF">2022-04-23T04:51:52Z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330C67FE77FA44BDAEA9A93BD8DAD82A</vt:lpwstr>
  </property>
</Properties>
</file>