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sz w:val="20"/>
          <w:highlight w:val="none"/>
        </w:rPr>
      </w:pPr>
    </w:p>
    <w:p>
      <w:pPr>
        <w:pStyle w:val="5"/>
        <w:numPr>
          <w:ilvl w:val="0"/>
          <w:numId w:val="0"/>
        </w:numPr>
        <w:tabs>
          <w:tab w:val="left" w:pos="709"/>
          <w:tab w:val="left" w:pos="993"/>
        </w:tabs>
        <w:jc w:val="center"/>
        <w:rPr>
          <w:rFonts w:hint="eastAsia" w:ascii="宋体" w:hAnsi="宋体" w:eastAsia="宋体" w:cs="宋体"/>
          <w:b w:val="0"/>
          <w:bCs/>
          <w:i w:val="0"/>
          <w:iCs w:val="0"/>
          <w:color w:val="auto"/>
          <w:kern w:val="2"/>
          <w:sz w:val="48"/>
          <w:szCs w:val="48"/>
          <w:highlight w:val="none"/>
          <w:lang w:val="en-US" w:eastAsia="zh-CN" w:bidi="ar-SA"/>
        </w:rPr>
      </w:pPr>
    </w:p>
    <w:p>
      <w:pPr>
        <w:pStyle w:val="5"/>
        <w:numPr>
          <w:ilvl w:val="0"/>
          <w:numId w:val="0"/>
        </w:numPr>
        <w:tabs>
          <w:tab w:val="left" w:pos="709"/>
          <w:tab w:val="left" w:pos="993"/>
        </w:tabs>
        <w:jc w:val="center"/>
        <w:rPr>
          <w:rFonts w:hint="eastAsia" w:ascii="宋体" w:hAnsi="宋体" w:eastAsia="宋体" w:cs="宋体"/>
          <w:b w:val="0"/>
          <w:bCs/>
          <w:i w:val="0"/>
          <w:iCs w:val="0"/>
          <w:color w:val="auto"/>
          <w:kern w:val="2"/>
          <w:sz w:val="48"/>
          <w:szCs w:val="48"/>
          <w:highlight w:val="none"/>
          <w:lang w:val="en-US" w:eastAsia="zh-CN" w:bidi="ar-SA"/>
        </w:rPr>
      </w:pPr>
    </w:p>
    <w:p>
      <w:pPr>
        <w:pStyle w:val="5"/>
        <w:numPr>
          <w:ilvl w:val="0"/>
          <w:numId w:val="0"/>
        </w:numPr>
        <w:tabs>
          <w:tab w:val="left" w:pos="709"/>
          <w:tab w:val="left" w:pos="993"/>
        </w:tabs>
        <w:jc w:val="center"/>
        <w:rPr>
          <w:rFonts w:hint="eastAsia" w:ascii="宋体" w:hAnsi="宋体" w:eastAsia="宋体" w:cs="宋体"/>
          <w:b w:val="0"/>
          <w:bCs/>
          <w:i w:val="0"/>
          <w:iCs w:val="0"/>
          <w:color w:val="auto"/>
          <w:kern w:val="2"/>
          <w:sz w:val="48"/>
          <w:szCs w:val="48"/>
          <w:highlight w:val="none"/>
          <w:lang w:val="en-US" w:eastAsia="zh-CN" w:bidi="ar-SA"/>
        </w:rPr>
      </w:pPr>
      <w:r>
        <w:rPr>
          <w:rFonts w:hint="eastAsia" w:ascii="宋体" w:hAnsi="宋体" w:eastAsia="宋体" w:cs="宋体"/>
          <w:b w:val="0"/>
          <w:bCs/>
          <w:i w:val="0"/>
          <w:iCs w:val="0"/>
          <w:color w:val="auto"/>
          <w:kern w:val="2"/>
          <w:sz w:val="48"/>
          <w:szCs w:val="48"/>
          <w:highlight w:val="none"/>
          <w:lang w:val="en-US" w:eastAsia="zh-CN" w:bidi="ar-SA"/>
        </w:rPr>
        <w:t>新疆铁道职业技术学院1+X列车运行控制系统地面信号设备运用与维护实训室</w:t>
      </w:r>
    </w:p>
    <w:p>
      <w:pPr>
        <w:pStyle w:val="5"/>
        <w:numPr>
          <w:ilvl w:val="0"/>
          <w:numId w:val="0"/>
        </w:numPr>
        <w:tabs>
          <w:tab w:val="left" w:pos="709"/>
          <w:tab w:val="left" w:pos="993"/>
        </w:tabs>
        <w:jc w:val="center"/>
        <w:rPr>
          <w:rFonts w:hint="eastAsia" w:ascii="宋体" w:hAnsi="宋体" w:eastAsia="宋体" w:cs="宋体"/>
          <w:b w:val="0"/>
          <w:bCs/>
          <w:i w:val="0"/>
          <w:iCs w:val="0"/>
          <w:color w:val="auto"/>
          <w:kern w:val="2"/>
          <w:sz w:val="48"/>
          <w:szCs w:val="48"/>
          <w:highlight w:val="none"/>
          <w:lang w:val="en-US" w:eastAsia="zh-CN" w:bidi="ar-SA"/>
        </w:rPr>
      </w:pPr>
      <w:r>
        <w:rPr>
          <w:rFonts w:hint="eastAsia" w:ascii="宋体" w:hAnsi="宋体" w:eastAsia="宋体" w:cs="宋体"/>
          <w:b w:val="0"/>
          <w:bCs/>
          <w:i w:val="0"/>
          <w:iCs w:val="0"/>
          <w:color w:val="auto"/>
          <w:kern w:val="2"/>
          <w:sz w:val="48"/>
          <w:szCs w:val="48"/>
          <w:highlight w:val="none"/>
          <w:lang w:val="en-US" w:eastAsia="zh-CN" w:bidi="ar-SA"/>
        </w:rPr>
        <w:t>建设项目</w:t>
      </w:r>
    </w:p>
    <w:p>
      <w:pPr>
        <w:pStyle w:val="5"/>
        <w:numPr>
          <w:ilvl w:val="0"/>
          <w:numId w:val="0"/>
        </w:numPr>
        <w:tabs>
          <w:tab w:val="left" w:pos="709"/>
          <w:tab w:val="left" w:pos="993"/>
        </w:tabs>
        <w:rPr>
          <w:rFonts w:hint="eastAsia" w:ascii="宋体" w:hAnsi="宋体" w:eastAsia="宋体" w:cs="宋体"/>
          <w:color w:val="auto"/>
          <w:highlight w:val="none"/>
        </w:rPr>
      </w:pPr>
    </w:p>
    <w:p>
      <w:pPr>
        <w:spacing w:line="360" w:lineRule="auto"/>
        <w:rPr>
          <w:rFonts w:hint="eastAsia" w:ascii="宋体" w:hAnsi="宋体" w:eastAsia="宋体" w:cs="宋体"/>
          <w:i w:val="0"/>
          <w:iCs w:val="0"/>
          <w:color w:val="auto"/>
          <w:sz w:val="24"/>
          <w:highlight w:val="none"/>
        </w:rPr>
      </w:pPr>
    </w:p>
    <w:p>
      <w:pPr>
        <w:pStyle w:val="2"/>
        <w:rPr>
          <w:rFonts w:hint="eastAsia" w:ascii="宋体" w:hAnsi="宋体" w:eastAsia="宋体" w:cs="宋体"/>
          <w:color w:val="auto"/>
          <w:highlight w:val="none"/>
        </w:rPr>
      </w:pPr>
    </w:p>
    <w:p>
      <w:pPr>
        <w:tabs>
          <w:tab w:val="left" w:pos="1960"/>
          <w:tab w:val="left" w:pos="3480"/>
          <w:tab w:val="left" w:pos="4980"/>
        </w:tabs>
        <w:spacing w:line="360" w:lineRule="auto"/>
        <w:jc w:val="center"/>
        <w:rPr>
          <w:rFonts w:hint="eastAsia" w:ascii="宋体" w:hAnsi="宋体" w:eastAsia="宋体" w:cs="宋体"/>
          <w:i w:val="0"/>
          <w:iCs w:val="0"/>
          <w:color w:val="auto"/>
          <w:sz w:val="24"/>
          <w:highlight w:val="none"/>
        </w:rPr>
      </w:pPr>
      <w:r>
        <w:rPr>
          <w:rFonts w:hint="eastAsia" w:ascii="宋体" w:hAnsi="宋体" w:eastAsia="宋体" w:cs="宋体"/>
          <w:b/>
          <w:i w:val="0"/>
          <w:iCs w:val="0"/>
          <w:color w:val="auto"/>
          <w:sz w:val="84"/>
          <w:highlight w:val="none"/>
          <w:lang w:eastAsia="zh-CN"/>
        </w:rPr>
        <w:t>招标</w:t>
      </w:r>
      <w:r>
        <w:rPr>
          <w:rFonts w:hint="eastAsia" w:ascii="宋体" w:hAnsi="宋体" w:eastAsia="宋体" w:cs="宋体"/>
          <w:b/>
          <w:i w:val="0"/>
          <w:iCs w:val="0"/>
          <w:color w:val="auto"/>
          <w:sz w:val="84"/>
          <w:highlight w:val="none"/>
        </w:rPr>
        <w:t>文</w:t>
      </w:r>
      <w:r>
        <w:rPr>
          <w:rFonts w:hint="eastAsia" w:ascii="宋体" w:hAnsi="宋体" w:eastAsia="宋体" w:cs="宋体"/>
          <w:b/>
          <w:i w:val="0"/>
          <w:iCs w:val="0"/>
          <w:color w:val="auto"/>
          <w:sz w:val="83"/>
          <w:highlight w:val="none"/>
        </w:rPr>
        <w:t>件</w:t>
      </w:r>
    </w:p>
    <w:p>
      <w:pPr>
        <w:spacing w:line="360" w:lineRule="auto"/>
        <w:rPr>
          <w:rFonts w:hint="eastAsia" w:ascii="宋体" w:hAnsi="宋体" w:eastAsia="宋体" w:cs="宋体"/>
          <w:i w:val="0"/>
          <w:iCs w:val="0"/>
          <w:color w:val="auto"/>
          <w:sz w:val="24"/>
          <w:highlight w:val="none"/>
        </w:rPr>
      </w:pPr>
    </w:p>
    <w:p>
      <w:pPr>
        <w:spacing w:line="360" w:lineRule="auto"/>
        <w:jc w:val="center"/>
        <w:rPr>
          <w:rFonts w:hint="default" w:ascii="宋体" w:hAnsi="宋体" w:eastAsia="宋体" w:cs="宋体"/>
          <w:b/>
          <w:i w:val="0"/>
          <w:iCs w:val="0"/>
          <w:color w:val="auto"/>
          <w:sz w:val="28"/>
          <w:szCs w:val="16"/>
          <w:highlight w:val="none"/>
          <w:lang w:val="en-US" w:eastAsia="zh-CN"/>
        </w:rPr>
      </w:pPr>
      <w:r>
        <w:rPr>
          <w:rFonts w:hint="eastAsia" w:ascii="宋体" w:hAnsi="宋体" w:eastAsia="宋体" w:cs="宋体"/>
          <w:b/>
          <w:i w:val="0"/>
          <w:iCs w:val="0"/>
          <w:color w:val="auto"/>
          <w:sz w:val="28"/>
          <w:szCs w:val="16"/>
          <w:highlight w:val="none"/>
        </w:rPr>
        <w:t>项目编号：XJYHZB202</w:t>
      </w:r>
      <w:r>
        <w:rPr>
          <w:rFonts w:hint="eastAsia" w:ascii="宋体" w:hAnsi="宋体" w:eastAsia="宋体" w:cs="宋体"/>
          <w:b/>
          <w:i w:val="0"/>
          <w:iCs w:val="0"/>
          <w:color w:val="auto"/>
          <w:sz w:val="28"/>
          <w:szCs w:val="16"/>
          <w:highlight w:val="none"/>
          <w:lang w:val="en-US" w:eastAsia="zh-CN"/>
        </w:rPr>
        <w:t>2</w:t>
      </w:r>
      <w:r>
        <w:rPr>
          <w:rFonts w:hint="eastAsia" w:ascii="宋体" w:hAnsi="宋体" w:eastAsia="宋体" w:cs="宋体"/>
          <w:b/>
          <w:i w:val="0"/>
          <w:iCs w:val="0"/>
          <w:color w:val="auto"/>
          <w:sz w:val="28"/>
          <w:szCs w:val="16"/>
          <w:highlight w:val="none"/>
        </w:rPr>
        <w:t>-</w:t>
      </w:r>
      <w:r>
        <w:rPr>
          <w:rFonts w:hint="eastAsia" w:cs="宋体"/>
          <w:b/>
          <w:i w:val="0"/>
          <w:iCs w:val="0"/>
          <w:color w:val="auto"/>
          <w:sz w:val="28"/>
          <w:szCs w:val="16"/>
          <w:highlight w:val="none"/>
          <w:lang w:val="en-US" w:eastAsia="zh-CN"/>
        </w:rPr>
        <w:t>050</w:t>
      </w:r>
    </w:p>
    <w:p>
      <w:pPr>
        <w:pStyle w:val="23"/>
        <w:spacing w:line="360" w:lineRule="auto"/>
        <w:rPr>
          <w:rFonts w:hint="eastAsia" w:ascii="宋体" w:hAnsi="宋体" w:eastAsia="宋体" w:cs="宋体"/>
          <w:i w:val="0"/>
          <w:iCs w:val="0"/>
          <w:color w:val="auto"/>
          <w:sz w:val="24"/>
          <w:highlight w:val="none"/>
        </w:rPr>
      </w:pPr>
    </w:p>
    <w:p>
      <w:pPr>
        <w:pStyle w:val="23"/>
        <w:spacing w:line="360" w:lineRule="auto"/>
        <w:rPr>
          <w:rFonts w:hint="eastAsia" w:ascii="宋体" w:hAnsi="宋体" w:eastAsia="宋体" w:cs="宋体"/>
          <w:i w:val="0"/>
          <w:iCs w:val="0"/>
          <w:color w:val="auto"/>
          <w:sz w:val="24"/>
          <w:highlight w:val="none"/>
        </w:rPr>
      </w:pPr>
    </w:p>
    <w:p>
      <w:pPr>
        <w:pStyle w:val="23"/>
        <w:spacing w:line="360" w:lineRule="auto"/>
        <w:rPr>
          <w:rFonts w:hint="eastAsia" w:ascii="宋体" w:hAnsi="宋体" w:eastAsia="宋体" w:cs="宋体"/>
          <w:i w:val="0"/>
          <w:iCs w:val="0"/>
          <w:color w:val="auto"/>
          <w:sz w:val="24"/>
          <w:highlight w:val="none"/>
        </w:rPr>
      </w:pPr>
    </w:p>
    <w:p>
      <w:pPr>
        <w:pStyle w:val="23"/>
        <w:spacing w:line="360" w:lineRule="auto"/>
        <w:rPr>
          <w:rFonts w:hint="eastAsia" w:ascii="宋体" w:hAnsi="宋体" w:eastAsia="宋体" w:cs="宋体"/>
          <w:i w:val="0"/>
          <w:iCs w:val="0"/>
          <w:color w:val="auto"/>
          <w:sz w:val="24"/>
          <w:highlight w:val="none"/>
        </w:rPr>
      </w:pPr>
    </w:p>
    <w:p>
      <w:pPr>
        <w:spacing w:line="360" w:lineRule="auto"/>
        <w:rPr>
          <w:rFonts w:hint="eastAsia" w:ascii="宋体" w:hAnsi="宋体" w:eastAsia="宋体" w:cs="宋体"/>
          <w:i w:val="0"/>
          <w:iCs w:val="0"/>
          <w:color w:val="auto"/>
          <w:sz w:val="24"/>
          <w:highlight w:val="none"/>
        </w:rPr>
      </w:pPr>
    </w:p>
    <w:p>
      <w:pPr>
        <w:spacing w:line="360" w:lineRule="auto"/>
        <w:ind w:right="2520" w:firstLine="840" w:firstLineChars="300"/>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采购人：新疆铁道职业技术学院</w:t>
      </w:r>
      <w:r>
        <w:rPr>
          <w:rFonts w:hint="eastAsia" w:ascii="宋体" w:hAnsi="宋体" w:eastAsia="宋体" w:cs="宋体"/>
          <w:i w:val="0"/>
          <w:iCs w:val="0"/>
          <w:color w:val="auto"/>
          <w:sz w:val="28"/>
          <w:szCs w:val="28"/>
          <w:highlight w:val="none"/>
          <w:lang w:val="en-US" w:eastAsia="zh-CN"/>
        </w:rPr>
        <w:t xml:space="preserve"> </w:t>
      </w:r>
    </w:p>
    <w:p>
      <w:pPr>
        <w:spacing w:line="360" w:lineRule="auto"/>
        <w:ind w:right="2520" w:firstLine="840" w:firstLineChars="300"/>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联系人：</w:t>
      </w:r>
      <w:r>
        <w:rPr>
          <w:rFonts w:hint="eastAsia" w:ascii="宋体" w:hAnsi="宋体" w:eastAsia="宋体" w:cs="宋体"/>
          <w:i w:val="0"/>
          <w:iCs w:val="0"/>
          <w:color w:val="auto"/>
          <w:sz w:val="28"/>
          <w:szCs w:val="28"/>
          <w:highlight w:val="none"/>
          <w:lang w:val="en-US" w:eastAsia="zh-CN"/>
        </w:rPr>
        <w:t>李老师</w:t>
      </w:r>
    </w:p>
    <w:p>
      <w:pPr>
        <w:spacing w:line="360" w:lineRule="auto"/>
        <w:ind w:right="2520" w:firstLine="840" w:firstLineChars="300"/>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15688338557</w:t>
      </w:r>
    </w:p>
    <w:p>
      <w:pPr>
        <w:spacing w:line="360" w:lineRule="auto"/>
        <w:rPr>
          <w:rFonts w:hint="eastAsia" w:ascii="宋体" w:hAnsi="宋体" w:eastAsia="宋体" w:cs="宋体"/>
          <w:i w:val="0"/>
          <w:iCs w:val="0"/>
          <w:color w:val="auto"/>
          <w:sz w:val="28"/>
          <w:szCs w:val="28"/>
          <w:highlight w:val="none"/>
        </w:rPr>
      </w:pPr>
    </w:p>
    <w:p>
      <w:pPr>
        <w:spacing w:line="360" w:lineRule="auto"/>
        <w:ind w:firstLine="840" w:firstLineChars="300"/>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采购代理机构：</w:t>
      </w:r>
      <w:r>
        <w:rPr>
          <w:rFonts w:hint="eastAsia" w:ascii="宋体" w:hAnsi="宋体" w:eastAsia="宋体" w:cs="宋体"/>
          <w:i w:val="0"/>
          <w:iCs w:val="0"/>
          <w:color w:val="auto"/>
          <w:sz w:val="28"/>
          <w:szCs w:val="28"/>
          <w:highlight w:val="none"/>
          <w:lang w:eastAsia="zh-CN"/>
        </w:rPr>
        <w:t>新疆元泓工程项目管理咨询有限公司</w:t>
      </w:r>
    </w:p>
    <w:p>
      <w:pPr>
        <w:spacing w:line="360" w:lineRule="auto"/>
        <w:ind w:firstLine="280" w:firstLineChars="100"/>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 xml:space="preserve">    联系人：</w:t>
      </w:r>
      <w:r>
        <w:rPr>
          <w:rFonts w:hint="eastAsia" w:ascii="宋体" w:hAnsi="宋体" w:eastAsia="宋体" w:cs="宋体"/>
          <w:i w:val="0"/>
          <w:iCs w:val="0"/>
          <w:color w:val="auto"/>
          <w:sz w:val="28"/>
          <w:szCs w:val="28"/>
          <w:highlight w:val="none"/>
          <w:lang w:eastAsia="zh-CN"/>
        </w:rPr>
        <w:t>宋方方</w:t>
      </w:r>
    </w:p>
    <w:p>
      <w:pPr>
        <w:spacing w:line="360" w:lineRule="auto"/>
        <w:ind w:firstLine="840" w:firstLineChars="300"/>
        <w:rPr>
          <w:rFonts w:hint="eastAsia" w:ascii="宋体" w:hAnsi="宋体" w:eastAsia="宋体" w:cs="宋体"/>
          <w:i w:val="0"/>
          <w:iCs w:val="0"/>
          <w:color w:val="auto"/>
          <w:sz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15099177725</w:t>
      </w:r>
    </w:p>
    <w:p>
      <w:pPr>
        <w:tabs>
          <w:tab w:val="left" w:pos="1319"/>
        </w:tabs>
        <w:spacing w:before="15"/>
        <w:ind w:left="0" w:right="35" w:firstLine="0"/>
        <w:jc w:val="center"/>
        <w:rPr>
          <w:rFonts w:hint="eastAsia" w:ascii="宋体" w:hAnsi="宋体" w:eastAsia="宋体" w:cs="宋体"/>
          <w:color w:val="auto"/>
          <w:sz w:val="44"/>
          <w:highlight w:val="none"/>
        </w:rPr>
      </w:pPr>
    </w:p>
    <w:p>
      <w:pPr>
        <w:tabs>
          <w:tab w:val="left" w:pos="1319"/>
        </w:tabs>
        <w:spacing w:before="15"/>
        <w:ind w:left="0" w:right="35" w:firstLine="0"/>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w:t>
      </w:r>
      <w:r>
        <w:rPr>
          <w:rFonts w:hint="eastAsia" w:ascii="宋体" w:hAnsi="宋体" w:eastAsia="宋体" w:cs="宋体"/>
          <w:color w:val="auto"/>
          <w:sz w:val="44"/>
          <w:highlight w:val="none"/>
        </w:rPr>
        <w:tab/>
      </w:r>
      <w:r>
        <w:rPr>
          <w:rFonts w:hint="eastAsia" w:ascii="宋体" w:hAnsi="宋体" w:eastAsia="宋体" w:cs="宋体"/>
          <w:color w:val="auto"/>
          <w:sz w:val="44"/>
          <w:highlight w:val="none"/>
        </w:rPr>
        <w:t>录</w:t>
      </w:r>
    </w:p>
    <w:p>
      <w:pPr>
        <w:spacing w:before="6"/>
        <w:rPr>
          <w:rFonts w:hint="eastAsia" w:ascii="宋体" w:hAnsi="宋体" w:eastAsia="宋体" w:cs="宋体"/>
          <w:color w:val="auto"/>
          <w:sz w:val="52"/>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716" w:leftChars="0" w:right="5682" w:rightChars="0"/>
        <w:jc w:val="both"/>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lang w:eastAsia="zh-CN"/>
        </w:rPr>
        <w:t>第一部分</w:t>
      </w:r>
      <w:r>
        <w:rPr>
          <w:rFonts w:hint="eastAsia" w:ascii="宋体" w:hAnsi="宋体" w:eastAsia="宋体" w:cs="宋体"/>
          <w:b/>
          <w:color w:val="auto"/>
          <w:spacing w:val="13"/>
          <w:sz w:val="32"/>
          <w:highlight w:val="none"/>
        </w:rPr>
        <w:t xml:space="preserve"> </w:t>
      </w:r>
      <w:r>
        <w:rPr>
          <w:rFonts w:hint="eastAsia" w:ascii="宋体" w:hAnsi="宋体" w:eastAsia="宋体" w:cs="宋体"/>
          <w:b/>
          <w:color w:val="auto"/>
          <w:spacing w:val="13"/>
          <w:sz w:val="32"/>
          <w:highlight w:val="none"/>
          <w:lang w:val="en-US" w:eastAsia="zh-CN"/>
        </w:rPr>
        <w:t xml:space="preserve"> </w:t>
      </w:r>
      <w:r>
        <w:rPr>
          <w:rFonts w:hint="eastAsia" w:ascii="宋体" w:hAnsi="宋体" w:eastAsia="宋体" w:cs="宋体"/>
          <w:b/>
          <w:color w:val="auto"/>
          <w:sz w:val="32"/>
          <w:highlight w:val="none"/>
        </w:rPr>
        <w:t>招标公告</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716" w:leftChars="0" w:right="5242" w:rightChars="0"/>
        <w:jc w:val="both"/>
        <w:textAlignment w:val="auto"/>
        <w:rPr>
          <w:rFonts w:hint="eastAsia" w:ascii="宋体" w:hAnsi="宋体" w:eastAsia="宋体" w:cs="宋体"/>
          <w:b/>
          <w:color w:val="auto"/>
          <w:sz w:val="32"/>
          <w:highlight w:val="none"/>
        </w:rPr>
      </w:pPr>
      <w:r>
        <w:rPr>
          <w:rFonts w:hint="eastAsia" w:ascii="宋体" w:hAnsi="宋体" w:eastAsia="宋体" w:cs="宋体"/>
          <w:b/>
          <w:color w:val="auto"/>
          <w:spacing w:val="13"/>
          <w:sz w:val="32"/>
          <w:highlight w:val="none"/>
        </w:rPr>
        <w:t xml:space="preserve">第二部分 </w:t>
      </w:r>
      <w:r>
        <w:rPr>
          <w:rFonts w:hint="eastAsia" w:ascii="宋体" w:hAnsi="宋体" w:eastAsia="宋体" w:cs="宋体"/>
          <w:b/>
          <w:color w:val="auto"/>
          <w:spacing w:val="13"/>
          <w:sz w:val="32"/>
          <w:highlight w:val="none"/>
          <w:lang w:val="en-US" w:eastAsia="zh-CN"/>
        </w:rPr>
        <w:t xml:space="preserve"> </w:t>
      </w:r>
      <w:r>
        <w:rPr>
          <w:rFonts w:hint="eastAsia" w:ascii="宋体" w:hAnsi="宋体" w:eastAsia="宋体" w:cs="宋体"/>
          <w:b/>
          <w:color w:val="auto"/>
          <w:spacing w:val="13"/>
          <w:sz w:val="32"/>
          <w:highlight w:val="none"/>
        </w:rPr>
        <w:t>投标人须知</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0" w:firstLine="0"/>
        <w:jc w:val="both"/>
        <w:textAlignment w:val="auto"/>
        <w:rPr>
          <w:rFonts w:hint="eastAsia" w:ascii="宋体" w:hAnsi="宋体" w:eastAsia="宋体" w:cs="宋体"/>
          <w:color w:val="auto"/>
          <w:sz w:val="28"/>
          <w:highlight w:val="none"/>
        </w:rPr>
      </w:pPr>
      <w:r>
        <w:rPr>
          <w:rFonts w:hint="eastAsia" w:ascii="宋体" w:hAnsi="宋体" w:eastAsia="宋体" w:cs="宋体"/>
          <w:color w:val="auto"/>
          <w:spacing w:val="-3"/>
          <w:sz w:val="28"/>
          <w:highlight w:val="none"/>
        </w:rPr>
        <w:t>第一章  投标人须知</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5443" w:firstLine="0"/>
        <w:jc w:val="both"/>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第二章 招标文件的编写第三章 投标文件的编写第四章 投标文件的递交第五章 开 标</w:t>
      </w:r>
    </w:p>
    <w:p>
      <w:pPr>
        <w:keepNext w:val="0"/>
        <w:keepLines w:val="0"/>
        <w:pageBreakBefore w:val="0"/>
        <w:widowControl w:val="0"/>
        <w:tabs>
          <w:tab w:val="left" w:pos="2359"/>
          <w:tab w:val="left" w:pos="2921"/>
        </w:tabs>
        <w:kinsoku/>
        <w:wordWrap/>
        <w:overflowPunct/>
        <w:topLinePunct w:val="0"/>
        <w:autoSpaceDE w:val="0"/>
        <w:autoSpaceDN w:val="0"/>
        <w:bidi w:val="0"/>
        <w:adjustRightInd/>
        <w:snapToGrid/>
        <w:spacing w:before="0" w:line="360" w:lineRule="auto"/>
        <w:ind w:left="1241" w:right="5902" w:rightChars="0" w:firstLine="0"/>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第</w:t>
      </w:r>
      <w:r>
        <w:rPr>
          <w:rFonts w:hint="eastAsia" w:ascii="宋体" w:hAnsi="宋体" w:eastAsia="宋体" w:cs="宋体"/>
          <w:color w:val="auto"/>
          <w:spacing w:val="-3"/>
          <w:sz w:val="28"/>
          <w:highlight w:val="none"/>
        </w:rPr>
        <w:t>六</w:t>
      </w:r>
      <w:r>
        <w:rPr>
          <w:rFonts w:hint="eastAsia" w:ascii="宋体" w:hAnsi="宋体" w:eastAsia="宋体" w:cs="宋体"/>
          <w:color w:val="auto"/>
          <w:sz w:val="28"/>
          <w:highlight w:val="none"/>
        </w:rPr>
        <w:t>章</w:t>
      </w:r>
      <w:r>
        <w:rPr>
          <w:rFonts w:hint="eastAsia" w:ascii="宋体" w:hAnsi="宋体" w:eastAsia="宋体" w:cs="宋体"/>
          <w:color w:val="auto"/>
          <w:sz w:val="28"/>
          <w:highlight w:val="none"/>
        </w:rPr>
        <w:tab/>
      </w:r>
      <w:r>
        <w:rPr>
          <w:rFonts w:hint="eastAsia" w:ascii="宋体" w:hAnsi="宋体" w:eastAsia="宋体" w:cs="宋体"/>
          <w:color w:val="auto"/>
          <w:sz w:val="28"/>
          <w:highlight w:val="none"/>
        </w:rPr>
        <w:t>评</w:t>
      </w:r>
      <w:r>
        <w:rPr>
          <w:rFonts w:hint="eastAsia" w:ascii="宋体" w:hAnsi="宋体" w:eastAsia="宋体" w:cs="宋体"/>
          <w:color w:val="auto"/>
          <w:sz w:val="28"/>
          <w:highlight w:val="none"/>
        </w:rPr>
        <w:tab/>
      </w:r>
      <w:r>
        <w:rPr>
          <w:rFonts w:hint="eastAsia" w:ascii="宋体" w:hAnsi="宋体" w:eastAsia="宋体" w:cs="宋体"/>
          <w:color w:val="auto"/>
          <w:sz w:val="28"/>
          <w:highlight w:val="none"/>
        </w:rPr>
        <w:t xml:space="preserve">标 </w:t>
      </w:r>
    </w:p>
    <w:p>
      <w:pPr>
        <w:keepNext w:val="0"/>
        <w:keepLines w:val="0"/>
        <w:pageBreakBefore w:val="0"/>
        <w:widowControl w:val="0"/>
        <w:tabs>
          <w:tab w:val="left" w:pos="2359"/>
          <w:tab w:val="left" w:pos="2921"/>
        </w:tabs>
        <w:kinsoku/>
        <w:wordWrap/>
        <w:overflowPunct/>
        <w:topLinePunct w:val="0"/>
        <w:autoSpaceDE w:val="0"/>
        <w:autoSpaceDN w:val="0"/>
        <w:bidi w:val="0"/>
        <w:adjustRightInd/>
        <w:snapToGrid/>
        <w:spacing w:before="0" w:line="360" w:lineRule="auto"/>
        <w:ind w:left="1241" w:right="5902" w:rightChars="0" w:firstLine="0"/>
        <w:jc w:val="left"/>
        <w:textAlignment w:val="auto"/>
        <w:rPr>
          <w:rFonts w:hint="eastAsia" w:ascii="宋体" w:hAnsi="宋体" w:eastAsia="宋体" w:cs="宋体"/>
          <w:color w:val="auto"/>
          <w:spacing w:val="-15"/>
          <w:sz w:val="28"/>
          <w:highlight w:val="none"/>
        </w:rPr>
      </w:pPr>
      <w:r>
        <w:rPr>
          <w:rFonts w:hint="eastAsia" w:ascii="宋体" w:hAnsi="宋体" w:eastAsia="宋体" w:cs="宋体"/>
          <w:color w:val="auto"/>
          <w:sz w:val="28"/>
          <w:highlight w:val="none"/>
        </w:rPr>
        <w:t>第</w:t>
      </w:r>
      <w:r>
        <w:rPr>
          <w:rFonts w:hint="eastAsia" w:ascii="宋体" w:hAnsi="宋体" w:eastAsia="宋体" w:cs="宋体"/>
          <w:color w:val="auto"/>
          <w:spacing w:val="-3"/>
          <w:sz w:val="28"/>
          <w:highlight w:val="none"/>
        </w:rPr>
        <w:t>七</w:t>
      </w:r>
      <w:r>
        <w:rPr>
          <w:rFonts w:hint="eastAsia" w:ascii="宋体" w:hAnsi="宋体" w:eastAsia="宋体" w:cs="宋体"/>
          <w:color w:val="auto"/>
          <w:sz w:val="28"/>
          <w:highlight w:val="none"/>
        </w:rPr>
        <w:t>章</w:t>
      </w:r>
      <w:r>
        <w:rPr>
          <w:rFonts w:hint="eastAsia" w:ascii="宋体" w:hAnsi="宋体" w:eastAsia="宋体" w:cs="宋体"/>
          <w:color w:val="auto"/>
          <w:sz w:val="28"/>
          <w:highlight w:val="none"/>
        </w:rPr>
        <w:tab/>
      </w:r>
      <w:r>
        <w:rPr>
          <w:rFonts w:hint="eastAsia" w:ascii="宋体" w:hAnsi="宋体" w:eastAsia="宋体" w:cs="宋体"/>
          <w:color w:val="auto"/>
          <w:sz w:val="28"/>
          <w:highlight w:val="none"/>
        </w:rPr>
        <w:t>授</w:t>
      </w:r>
      <w:r>
        <w:rPr>
          <w:rFonts w:hint="eastAsia" w:ascii="宋体" w:hAnsi="宋体" w:eastAsia="宋体" w:cs="宋体"/>
          <w:color w:val="auto"/>
          <w:spacing w:val="-3"/>
          <w:sz w:val="28"/>
          <w:highlight w:val="none"/>
        </w:rPr>
        <w:t>予</w:t>
      </w:r>
      <w:r>
        <w:rPr>
          <w:rFonts w:hint="eastAsia" w:ascii="宋体" w:hAnsi="宋体" w:eastAsia="宋体" w:cs="宋体"/>
          <w:color w:val="auto"/>
          <w:sz w:val="28"/>
          <w:highlight w:val="none"/>
        </w:rPr>
        <w:t>合</w:t>
      </w:r>
      <w:r>
        <w:rPr>
          <w:rFonts w:hint="eastAsia" w:ascii="宋体" w:hAnsi="宋体" w:eastAsia="宋体" w:cs="宋体"/>
          <w:color w:val="auto"/>
          <w:spacing w:val="-15"/>
          <w:sz w:val="28"/>
          <w:highlight w:val="none"/>
        </w:rPr>
        <w:t>同</w:t>
      </w:r>
    </w:p>
    <w:p>
      <w:pPr>
        <w:keepNext w:val="0"/>
        <w:keepLines w:val="0"/>
        <w:pageBreakBefore w:val="0"/>
        <w:widowControl w:val="0"/>
        <w:tabs>
          <w:tab w:val="left" w:pos="2359"/>
          <w:tab w:val="left" w:pos="2921"/>
        </w:tabs>
        <w:kinsoku/>
        <w:wordWrap/>
        <w:overflowPunct/>
        <w:topLinePunct w:val="0"/>
        <w:autoSpaceDE w:val="0"/>
        <w:autoSpaceDN w:val="0"/>
        <w:bidi w:val="0"/>
        <w:adjustRightInd/>
        <w:snapToGrid/>
        <w:spacing w:before="0" w:line="360" w:lineRule="auto"/>
        <w:ind w:left="1241" w:right="5902" w:rightChars="0" w:firstLine="0"/>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第</w:t>
      </w:r>
      <w:r>
        <w:rPr>
          <w:rFonts w:hint="eastAsia" w:ascii="宋体" w:hAnsi="宋体" w:eastAsia="宋体" w:cs="宋体"/>
          <w:color w:val="auto"/>
          <w:spacing w:val="-3"/>
          <w:sz w:val="28"/>
          <w:highlight w:val="none"/>
        </w:rPr>
        <w:t>八</w:t>
      </w:r>
      <w:r>
        <w:rPr>
          <w:rFonts w:hint="eastAsia" w:ascii="宋体" w:hAnsi="宋体" w:eastAsia="宋体" w:cs="宋体"/>
          <w:color w:val="auto"/>
          <w:sz w:val="28"/>
          <w:highlight w:val="none"/>
        </w:rPr>
        <w:t>章</w:t>
      </w:r>
      <w:r>
        <w:rPr>
          <w:rFonts w:hint="eastAsia" w:ascii="宋体" w:hAnsi="宋体" w:eastAsia="宋体" w:cs="宋体"/>
          <w:color w:val="auto"/>
          <w:sz w:val="28"/>
          <w:highlight w:val="none"/>
        </w:rPr>
        <w:tab/>
      </w:r>
      <w:r>
        <w:rPr>
          <w:rFonts w:hint="eastAsia" w:ascii="宋体" w:hAnsi="宋体" w:eastAsia="宋体" w:cs="宋体"/>
          <w:color w:val="auto"/>
          <w:sz w:val="28"/>
          <w:highlight w:val="none"/>
        </w:rPr>
        <w:t>其他</w:t>
      </w:r>
    </w:p>
    <w:p>
      <w:pPr>
        <w:keepNext w:val="0"/>
        <w:keepLines w:val="0"/>
        <w:pageBreakBefore w:val="0"/>
        <w:widowControl w:val="0"/>
        <w:tabs>
          <w:tab w:val="left" w:pos="2359"/>
        </w:tabs>
        <w:kinsoku/>
        <w:wordWrap/>
        <w:overflowPunct/>
        <w:topLinePunct w:val="0"/>
        <w:autoSpaceDE w:val="0"/>
        <w:autoSpaceDN w:val="0"/>
        <w:bidi w:val="0"/>
        <w:adjustRightInd/>
        <w:snapToGrid/>
        <w:spacing w:before="0" w:line="360" w:lineRule="auto"/>
        <w:ind w:left="1241" w:right="0" w:firstLine="0"/>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第</w:t>
      </w:r>
      <w:r>
        <w:rPr>
          <w:rFonts w:hint="eastAsia" w:ascii="宋体" w:hAnsi="宋体" w:eastAsia="宋体" w:cs="宋体"/>
          <w:color w:val="auto"/>
          <w:spacing w:val="-3"/>
          <w:sz w:val="28"/>
          <w:highlight w:val="none"/>
        </w:rPr>
        <w:t>九</w:t>
      </w:r>
      <w:r>
        <w:rPr>
          <w:rFonts w:hint="eastAsia" w:ascii="宋体" w:hAnsi="宋体" w:eastAsia="宋体" w:cs="宋体"/>
          <w:color w:val="auto"/>
          <w:sz w:val="28"/>
          <w:highlight w:val="none"/>
        </w:rPr>
        <w:t>章</w:t>
      </w:r>
      <w:r>
        <w:rPr>
          <w:rFonts w:hint="eastAsia" w:ascii="宋体" w:hAnsi="宋体" w:eastAsia="宋体" w:cs="宋体"/>
          <w:color w:val="auto"/>
          <w:sz w:val="28"/>
          <w:highlight w:val="none"/>
        </w:rPr>
        <w:tab/>
      </w:r>
      <w:r>
        <w:rPr>
          <w:rFonts w:hint="eastAsia" w:ascii="宋体" w:hAnsi="宋体" w:eastAsia="宋体" w:cs="宋体"/>
          <w:color w:val="auto"/>
          <w:sz w:val="28"/>
          <w:highlight w:val="none"/>
        </w:rPr>
        <w:t>质</w:t>
      </w:r>
      <w:r>
        <w:rPr>
          <w:rFonts w:hint="eastAsia" w:ascii="宋体" w:hAnsi="宋体" w:eastAsia="宋体" w:cs="宋体"/>
          <w:color w:val="auto"/>
          <w:spacing w:val="-3"/>
          <w:sz w:val="28"/>
          <w:highlight w:val="none"/>
        </w:rPr>
        <w:t>疑</w:t>
      </w:r>
      <w:r>
        <w:rPr>
          <w:rFonts w:hint="eastAsia" w:ascii="宋体" w:hAnsi="宋体" w:eastAsia="宋体" w:cs="宋体"/>
          <w:color w:val="auto"/>
          <w:sz w:val="28"/>
          <w:highlight w:val="none"/>
        </w:rPr>
        <w:t>的提</w:t>
      </w:r>
      <w:r>
        <w:rPr>
          <w:rFonts w:hint="eastAsia" w:ascii="宋体" w:hAnsi="宋体" w:eastAsia="宋体" w:cs="宋体"/>
          <w:color w:val="auto"/>
          <w:spacing w:val="-3"/>
          <w:sz w:val="28"/>
          <w:highlight w:val="none"/>
        </w:rPr>
        <w:t>出</w:t>
      </w:r>
      <w:r>
        <w:rPr>
          <w:rFonts w:hint="eastAsia" w:ascii="宋体" w:hAnsi="宋体" w:eastAsia="宋体" w:cs="宋体"/>
          <w:color w:val="auto"/>
          <w:sz w:val="28"/>
          <w:highlight w:val="none"/>
        </w:rPr>
        <w:t>及处理</w:t>
      </w:r>
    </w:p>
    <w:p>
      <w:pPr>
        <w:keepNext w:val="0"/>
        <w:keepLines w:val="0"/>
        <w:pageBreakBefore w:val="0"/>
        <w:widowControl w:val="0"/>
        <w:tabs>
          <w:tab w:val="left" w:pos="2326"/>
        </w:tabs>
        <w:kinsoku/>
        <w:wordWrap/>
        <w:overflowPunct/>
        <w:topLinePunct w:val="0"/>
        <w:autoSpaceDE w:val="0"/>
        <w:autoSpaceDN w:val="0"/>
        <w:bidi w:val="0"/>
        <w:adjustRightInd/>
        <w:snapToGrid/>
        <w:spacing w:before="0" w:line="360" w:lineRule="auto"/>
        <w:ind w:left="720" w:right="3482" w:rightChars="0" w:firstLine="0"/>
        <w:jc w:val="left"/>
        <w:textAlignment w:val="auto"/>
        <w:rPr>
          <w:rFonts w:hint="eastAsia" w:ascii="宋体" w:hAnsi="宋体" w:eastAsia="宋体" w:cs="宋体"/>
          <w:b/>
          <w:color w:val="auto"/>
          <w:spacing w:val="-13"/>
          <w:sz w:val="32"/>
          <w:highlight w:val="none"/>
        </w:rPr>
      </w:pPr>
      <w:r>
        <w:rPr>
          <w:rFonts w:hint="eastAsia" w:ascii="宋体" w:hAnsi="宋体" w:eastAsia="宋体" w:cs="宋体"/>
          <w:b/>
          <w:color w:val="auto"/>
          <w:sz w:val="32"/>
          <w:highlight w:val="none"/>
        </w:rPr>
        <w:t>第三部分</w:t>
      </w:r>
      <w:r>
        <w:rPr>
          <w:rFonts w:hint="eastAsia" w:ascii="宋体" w:hAnsi="宋体" w:eastAsia="宋体" w:cs="宋体"/>
          <w:b/>
          <w:color w:val="auto"/>
          <w:sz w:val="32"/>
          <w:highlight w:val="none"/>
        </w:rPr>
        <w:tab/>
      </w:r>
      <w:r>
        <w:rPr>
          <w:rFonts w:hint="eastAsia" w:ascii="宋体" w:hAnsi="宋体" w:eastAsia="宋体" w:cs="宋体"/>
          <w:b/>
          <w:color w:val="auto"/>
          <w:sz w:val="32"/>
          <w:highlight w:val="none"/>
        </w:rPr>
        <w:t>采购内容及技术参数要</w:t>
      </w:r>
      <w:r>
        <w:rPr>
          <w:rFonts w:hint="eastAsia" w:ascii="宋体" w:hAnsi="宋体" w:eastAsia="宋体" w:cs="宋体"/>
          <w:b/>
          <w:color w:val="auto"/>
          <w:spacing w:val="-13"/>
          <w:sz w:val="32"/>
          <w:highlight w:val="none"/>
        </w:rPr>
        <w:t>求</w:t>
      </w:r>
    </w:p>
    <w:p>
      <w:pPr>
        <w:keepNext w:val="0"/>
        <w:keepLines w:val="0"/>
        <w:pageBreakBefore w:val="0"/>
        <w:widowControl w:val="0"/>
        <w:tabs>
          <w:tab w:val="left" w:pos="2326"/>
        </w:tabs>
        <w:kinsoku/>
        <w:wordWrap/>
        <w:overflowPunct/>
        <w:topLinePunct w:val="0"/>
        <w:autoSpaceDE w:val="0"/>
        <w:autoSpaceDN w:val="0"/>
        <w:bidi w:val="0"/>
        <w:adjustRightInd/>
        <w:snapToGrid/>
        <w:spacing w:before="0" w:line="360" w:lineRule="auto"/>
        <w:ind w:left="720" w:right="3482" w:rightChars="0" w:firstLine="0"/>
        <w:jc w:val="left"/>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第四部分</w:t>
      </w:r>
      <w:r>
        <w:rPr>
          <w:rFonts w:hint="eastAsia" w:ascii="宋体" w:hAnsi="宋体" w:eastAsia="宋体" w:cs="宋体"/>
          <w:b/>
          <w:color w:val="auto"/>
          <w:sz w:val="32"/>
          <w:highlight w:val="none"/>
        </w:rPr>
        <w:tab/>
      </w:r>
      <w:r>
        <w:rPr>
          <w:rFonts w:hint="eastAsia" w:ascii="宋体" w:hAnsi="宋体" w:eastAsia="宋体" w:cs="宋体"/>
          <w:b/>
          <w:color w:val="auto"/>
          <w:sz w:val="32"/>
          <w:highlight w:val="none"/>
        </w:rPr>
        <w:t>合同条款</w:t>
      </w:r>
    </w:p>
    <w:p>
      <w:pPr>
        <w:keepNext w:val="0"/>
        <w:keepLines w:val="0"/>
        <w:pageBreakBefore w:val="0"/>
        <w:widowControl w:val="0"/>
        <w:tabs>
          <w:tab w:val="left" w:pos="2326"/>
        </w:tabs>
        <w:kinsoku/>
        <w:wordWrap/>
        <w:overflowPunct/>
        <w:topLinePunct w:val="0"/>
        <w:autoSpaceDE w:val="0"/>
        <w:autoSpaceDN w:val="0"/>
        <w:bidi w:val="0"/>
        <w:adjustRightInd/>
        <w:snapToGrid/>
        <w:spacing w:before="0" w:line="360" w:lineRule="auto"/>
        <w:ind w:left="720" w:right="0" w:firstLine="0"/>
        <w:jc w:val="left"/>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第五部分</w:t>
      </w:r>
      <w:r>
        <w:rPr>
          <w:rFonts w:hint="eastAsia" w:ascii="宋体" w:hAnsi="宋体" w:eastAsia="宋体" w:cs="宋体"/>
          <w:b/>
          <w:color w:val="auto"/>
          <w:sz w:val="32"/>
          <w:highlight w:val="none"/>
        </w:rPr>
        <w:tab/>
      </w:r>
      <w:r>
        <w:rPr>
          <w:rFonts w:hint="eastAsia" w:ascii="宋体" w:hAnsi="宋体" w:eastAsia="宋体" w:cs="宋体"/>
          <w:b/>
          <w:color w:val="auto"/>
          <w:sz w:val="32"/>
          <w:highlight w:val="none"/>
        </w:rPr>
        <w:t>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0" w:firstLine="0"/>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投标文件编制顺序</w:t>
      </w:r>
    </w:p>
    <w:p>
      <w:pPr>
        <w:keepNext w:val="0"/>
        <w:keepLines w:val="0"/>
        <w:pageBreakBefore w:val="0"/>
        <w:widowControl w:val="0"/>
        <w:kinsoku/>
        <w:wordWrap/>
        <w:overflowPunct/>
        <w:topLinePunct w:val="0"/>
        <w:autoSpaceDE w:val="0"/>
        <w:autoSpaceDN w:val="0"/>
        <w:bidi w:val="0"/>
        <w:adjustRightInd/>
        <w:snapToGrid/>
        <w:spacing w:before="0" w:line="360" w:lineRule="auto"/>
        <w:ind w:left="1241" w:right="0" w:firstLine="0"/>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其他有关附件格式范本</w:t>
      </w:r>
    </w:p>
    <w:p>
      <w:pPr>
        <w:spacing w:after="0"/>
        <w:jc w:val="left"/>
        <w:rPr>
          <w:rFonts w:hint="eastAsia" w:ascii="宋体" w:hAnsi="宋体" w:eastAsia="宋体" w:cs="宋体"/>
          <w:color w:val="auto"/>
          <w:sz w:val="28"/>
          <w:highlight w:val="none"/>
        </w:rPr>
        <w:sectPr>
          <w:footerReference r:id="rId5" w:type="default"/>
          <w:pgSz w:w="11910" w:h="16840"/>
          <w:pgMar w:top="1134" w:right="1134" w:bottom="1134" w:left="1134" w:header="0" w:footer="998" w:gutter="0"/>
          <w:cols w:space="0" w:num="1"/>
          <w:rtlGutter w:val="0"/>
          <w:docGrid w:linePitch="0" w:charSpace="0"/>
        </w:sectPr>
      </w:pPr>
    </w:p>
    <w:p>
      <w:pPr>
        <w:spacing w:before="34" w:line="360" w:lineRule="auto"/>
        <w:ind w:left="668" w:right="698" w:firstLine="0"/>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第一部分 招标公告</w:t>
      </w:r>
    </w:p>
    <w:p>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新疆铁道职业技术学院1+X列车运行控制系统地面信号设备运用与维护实训室建设项目招标公告</w:t>
      </w:r>
    </w:p>
    <w:p>
      <w:pPr>
        <w:jc w:val="center"/>
        <w:rPr>
          <w:rFonts w:hint="eastAsia" w:ascii="宋体" w:hAnsi="宋体" w:eastAsia="宋体" w:cs="宋体"/>
          <w:b/>
          <w:bCs/>
          <w:color w:val="auto"/>
          <w:sz w:val="32"/>
          <w:szCs w:val="32"/>
          <w:highlight w:val="none"/>
          <w:lang w:val="en-US"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62" w:type="dxa"/>
            <w:noWrap w:val="0"/>
            <w:vAlign w:val="top"/>
          </w:tcPr>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rPr>
                <w:rFonts w:hint="eastAsia" w:ascii="宋体" w:hAnsi="宋体" w:eastAsia="宋体" w:cs="宋体"/>
                <w:color w:val="auto"/>
                <w:sz w:val="24"/>
                <w:szCs w:val="24"/>
                <w:highlight w:val="none"/>
                <w:vertAlign w:val="baseline"/>
              </w:rPr>
            </w:pPr>
            <w:r>
              <w:rPr>
                <w:rFonts w:hint="eastAsia" w:ascii="宋体" w:hAnsi="宋体" w:eastAsia="宋体" w:cs="宋体"/>
                <w:i w:val="0"/>
                <w:iCs w:val="0"/>
                <w:caps w:val="0"/>
                <w:color w:val="auto"/>
                <w:spacing w:val="0"/>
                <w:sz w:val="24"/>
                <w:szCs w:val="24"/>
                <w:highlight w:val="none"/>
              </w:rPr>
              <w:t>项目概况</w:t>
            </w:r>
            <w:r>
              <w:rPr>
                <w:rFonts w:hint="eastAsia" w:ascii="宋体" w:hAnsi="宋体" w:eastAsia="宋体" w:cs="宋体"/>
                <w:i w:val="0"/>
                <w:iCs w:val="0"/>
                <w:caps w:val="0"/>
                <w:color w:val="auto"/>
                <w:spacing w:val="0"/>
                <w:sz w:val="24"/>
                <w:szCs w:val="24"/>
                <w:highlight w:val="none"/>
                <w:u w:val="single"/>
                <w:lang w:val="en-US" w:eastAsia="zh-CN"/>
              </w:rPr>
              <w:t>新疆铁道职业技术学院1+X列车运行控制系统地面信号设备运用与维护实训室建设项目</w:t>
            </w:r>
            <w:r>
              <w:rPr>
                <w:rFonts w:hint="eastAsia" w:ascii="宋体" w:hAnsi="宋体" w:eastAsia="宋体" w:cs="宋体"/>
                <w:i w:val="0"/>
                <w:iCs w:val="0"/>
                <w:caps w:val="0"/>
                <w:color w:val="auto"/>
                <w:spacing w:val="0"/>
                <w:sz w:val="24"/>
                <w:szCs w:val="24"/>
                <w:highlight w:val="none"/>
                <w:u w:val="single"/>
              </w:rPr>
              <w:t xml:space="preserve"> </w:t>
            </w:r>
            <w:r>
              <w:rPr>
                <w:rFonts w:hint="eastAsia" w:ascii="宋体" w:hAnsi="宋体" w:eastAsia="宋体" w:cs="宋体"/>
                <w:i w:val="0"/>
                <w:iCs w:val="0"/>
                <w:caps w:val="0"/>
                <w:color w:val="auto"/>
                <w:spacing w:val="0"/>
                <w:sz w:val="24"/>
                <w:szCs w:val="24"/>
                <w:highlight w:val="none"/>
                <w:u w:val="none"/>
                <w:lang w:eastAsia="zh-CN"/>
              </w:rPr>
              <w:t>招标项目</w:t>
            </w:r>
            <w:r>
              <w:rPr>
                <w:rFonts w:hint="eastAsia" w:ascii="宋体" w:hAnsi="宋体" w:eastAsia="宋体" w:cs="宋体"/>
                <w:i w:val="0"/>
                <w:iCs w:val="0"/>
                <w:caps w:val="0"/>
                <w:color w:val="auto"/>
                <w:spacing w:val="0"/>
                <w:sz w:val="24"/>
                <w:szCs w:val="24"/>
                <w:highlight w:val="none"/>
              </w:rPr>
              <w:t>的潜在供应商应在新疆政府采购网（政采云）获取</w:t>
            </w:r>
            <w:r>
              <w:rPr>
                <w:rFonts w:hint="eastAsia" w:ascii="宋体" w:hAnsi="宋体" w:eastAsia="宋体" w:cs="宋体"/>
                <w:i w:val="0"/>
                <w:iCs w:val="0"/>
                <w:caps w:val="0"/>
                <w:color w:val="auto"/>
                <w:spacing w:val="0"/>
                <w:sz w:val="24"/>
                <w:szCs w:val="24"/>
                <w:highlight w:val="none"/>
                <w:lang w:eastAsia="zh-CN"/>
              </w:rPr>
              <w:t>招标</w:t>
            </w:r>
            <w:r>
              <w:rPr>
                <w:rFonts w:hint="eastAsia" w:ascii="宋体" w:hAnsi="宋体" w:eastAsia="宋体" w:cs="宋体"/>
                <w:i w:val="0"/>
                <w:iCs w:val="0"/>
                <w:caps w:val="0"/>
                <w:color w:val="auto"/>
                <w:spacing w:val="0"/>
                <w:sz w:val="24"/>
                <w:szCs w:val="24"/>
                <w:highlight w:val="none"/>
              </w:rPr>
              <w:t>文件，并于</w:t>
            </w:r>
            <w:r>
              <w:rPr>
                <w:rFonts w:hint="eastAsia" w:ascii="宋体" w:hAnsi="宋体" w:eastAsia="宋体" w:cs="宋体"/>
                <w:i w:val="0"/>
                <w:iCs w:val="0"/>
                <w:caps w:val="0"/>
                <w:color w:val="auto"/>
                <w:spacing w:val="0"/>
                <w:sz w:val="24"/>
                <w:szCs w:val="24"/>
                <w:highlight w:val="none"/>
                <w:u w:val="single"/>
              </w:rPr>
              <w:t>202</w:t>
            </w:r>
            <w:r>
              <w:rPr>
                <w:rFonts w:hint="eastAsia" w:ascii="宋体" w:hAnsi="宋体" w:eastAsia="宋体" w:cs="宋体"/>
                <w:i w:val="0"/>
                <w:iCs w:val="0"/>
                <w:caps w:val="0"/>
                <w:color w:val="auto"/>
                <w:spacing w:val="0"/>
                <w:sz w:val="24"/>
                <w:szCs w:val="24"/>
                <w:highlight w:val="none"/>
                <w:u w:val="single"/>
                <w:lang w:val="en-US" w:eastAsia="zh-CN"/>
              </w:rPr>
              <w:t>2</w:t>
            </w:r>
            <w:r>
              <w:rPr>
                <w:rFonts w:hint="eastAsia" w:ascii="宋体" w:hAnsi="宋体" w:eastAsia="宋体" w:cs="宋体"/>
                <w:i w:val="0"/>
                <w:iCs w:val="0"/>
                <w:caps w:val="0"/>
                <w:color w:val="auto"/>
                <w:spacing w:val="0"/>
                <w:sz w:val="24"/>
                <w:szCs w:val="24"/>
                <w:highlight w:val="none"/>
                <w:u w:val="single"/>
              </w:rPr>
              <w:t>年</w:t>
            </w:r>
            <w:r>
              <w:rPr>
                <w:rFonts w:hint="eastAsia" w:ascii="宋体" w:hAnsi="宋体" w:eastAsia="宋体" w:cs="宋体"/>
                <w:i w:val="0"/>
                <w:iCs w:val="0"/>
                <w:caps w:val="0"/>
                <w:color w:val="auto"/>
                <w:spacing w:val="0"/>
                <w:sz w:val="24"/>
                <w:szCs w:val="24"/>
                <w:highlight w:val="none"/>
                <w:u w:val="single"/>
                <w:lang w:val="en-US" w:eastAsia="zh-CN"/>
              </w:rPr>
              <w:t>05</w:t>
            </w:r>
            <w:r>
              <w:rPr>
                <w:rFonts w:hint="eastAsia" w:ascii="宋体" w:hAnsi="宋体" w:eastAsia="宋体" w:cs="宋体"/>
                <w:i w:val="0"/>
                <w:iCs w:val="0"/>
                <w:caps w:val="0"/>
                <w:color w:val="auto"/>
                <w:spacing w:val="0"/>
                <w:sz w:val="24"/>
                <w:szCs w:val="24"/>
                <w:highlight w:val="none"/>
                <w:u w:val="single"/>
              </w:rPr>
              <w:t>月</w:t>
            </w:r>
            <w:r>
              <w:rPr>
                <w:rFonts w:hint="eastAsia" w:cs="宋体"/>
                <w:i w:val="0"/>
                <w:iCs w:val="0"/>
                <w:caps w:val="0"/>
                <w:color w:val="auto"/>
                <w:spacing w:val="0"/>
                <w:sz w:val="24"/>
                <w:szCs w:val="24"/>
                <w:highlight w:val="none"/>
                <w:u w:val="single"/>
                <w:lang w:val="en-US" w:eastAsia="zh-CN"/>
              </w:rPr>
              <w:t>09</w:t>
            </w:r>
            <w:r>
              <w:rPr>
                <w:rFonts w:hint="eastAsia" w:ascii="宋体" w:hAnsi="宋体" w:eastAsia="宋体" w:cs="宋体"/>
                <w:i w:val="0"/>
                <w:iCs w:val="0"/>
                <w:caps w:val="0"/>
                <w:color w:val="auto"/>
                <w:spacing w:val="0"/>
                <w:sz w:val="24"/>
                <w:szCs w:val="24"/>
                <w:highlight w:val="none"/>
                <w:u w:val="single"/>
              </w:rPr>
              <w:t>日1</w:t>
            </w:r>
            <w:r>
              <w:rPr>
                <w:rFonts w:hint="eastAsia" w:ascii="宋体" w:hAnsi="宋体" w:eastAsia="宋体" w:cs="宋体"/>
                <w:i w:val="0"/>
                <w:iCs w:val="0"/>
                <w:caps w:val="0"/>
                <w:color w:val="auto"/>
                <w:spacing w:val="0"/>
                <w:sz w:val="24"/>
                <w:szCs w:val="24"/>
                <w:highlight w:val="none"/>
                <w:u w:val="single"/>
                <w:lang w:val="en-US" w:eastAsia="zh-CN"/>
              </w:rPr>
              <w:t>1</w:t>
            </w:r>
            <w:r>
              <w:rPr>
                <w:rFonts w:hint="eastAsia" w:ascii="宋体" w:hAnsi="宋体" w:eastAsia="宋体" w:cs="宋体"/>
                <w:i w:val="0"/>
                <w:iCs w:val="0"/>
                <w:caps w:val="0"/>
                <w:color w:val="auto"/>
                <w:spacing w:val="0"/>
                <w:sz w:val="24"/>
                <w:szCs w:val="24"/>
                <w:highlight w:val="none"/>
                <w:u w:val="single"/>
              </w:rPr>
              <w:t>:</w:t>
            </w:r>
            <w:r>
              <w:rPr>
                <w:rFonts w:hint="eastAsia" w:ascii="宋体" w:hAnsi="宋体" w:eastAsia="宋体" w:cs="宋体"/>
                <w:i w:val="0"/>
                <w:iCs w:val="0"/>
                <w:caps w:val="0"/>
                <w:color w:val="auto"/>
                <w:spacing w:val="0"/>
                <w:sz w:val="24"/>
                <w:szCs w:val="24"/>
                <w:highlight w:val="none"/>
                <w:u w:val="single"/>
                <w:lang w:val="en-US" w:eastAsia="zh-CN"/>
              </w:rPr>
              <w:t>00</w:t>
            </w:r>
            <w:r>
              <w:rPr>
                <w:rFonts w:hint="eastAsia" w:ascii="宋体" w:hAnsi="宋体" w:eastAsia="宋体" w:cs="宋体"/>
                <w:i w:val="0"/>
                <w:iCs w:val="0"/>
                <w:caps w:val="0"/>
                <w:color w:val="auto"/>
                <w:spacing w:val="0"/>
                <w:sz w:val="24"/>
                <w:szCs w:val="24"/>
                <w:highlight w:val="none"/>
              </w:rPr>
              <w:t>（北京时间）前递交投标文件。</w:t>
            </w:r>
          </w:p>
        </w:tc>
      </w:tr>
    </w:tbl>
    <w:p>
      <w:pPr>
        <w:pStyle w:val="5"/>
        <w:numPr>
          <w:ilvl w:val="0"/>
          <w:numId w:val="0"/>
        </w:numPr>
        <w:tabs>
          <w:tab w:val="left" w:pos="709"/>
          <w:tab w:val="left" w:pos="993"/>
        </w:tabs>
        <w:spacing w:line="360" w:lineRule="auto"/>
        <w:ind w:left="567" w:leftChars="0"/>
        <w:jc w:val="left"/>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一、项目基本情况</w:t>
      </w:r>
    </w:p>
    <w:p>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项目编号：XJYHZB202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050</w:t>
      </w:r>
    </w:p>
    <w:p>
      <w:pPr>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新疆铁道职业技术学院1+X列车运行控制系统地面信号设备运用与维护实训室建设项目</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2557500</w:t>
      </w:r>
      <w:r>
        <w:rPr>
          <w:rFonts w:hint="eastAsia" w:ascii="宋体" w:hAnsi="宋体" w:eastAsia="宋体" w:cs="宋体"/>
          <w:color w:val="auto"/>
          <w:sz w:val="24"/>
          <w:szCs w:val="24"/>
          <w:highlight w:val="none"/>
        </w:rPr>
        <w:t>元</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2557500</w:t>
      </w:r>
      <w:r>
        <w:rPr>
          <w:rFonts w:hint="eastAsia" w:ascii="宋体" w:hAnsi="宋体" w:eastAsia="宋体" w:cs="宋体"/>
          <w:color w:val="auto"/>
          <w:sz w:val="24"/>
          <w:szCs w:val="24"/>
          <w:highlight w:val="none"/>
        </w:rPr>
        <w:t>元</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5"/>
        <w:tblW w:w="5049"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46"/>
        <w:gridCol w:w="2758"/>
        <w:gridCol w:w="877"/>
        <w:gridCol w:w="1867"/>
        <w:gridCol w:w="874"/>
        <w:gridCol w:w="1906"/>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7" w:hRule="atLeast"/>
          <w:tblCellSpacing w:w="15" w:type="dxa"/>
          <w:jc w:val="center"/>
        </w:trPr>
        <w:tc>
          <w:tcPr>
            <w:tcW w:w="44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标项序号</w:t>
            </w:r>
          </w:p>
        </w:tc>
        <w:tc>
          <w:tcPr>
            <w:tcW w:w="134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标项名称</w:t>
            </w:r>
          </w:p>
        </w:tc>
        <w:tc>
          <w:tcPr>
            <w:tcW w:w="41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90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预算金额(元)</w:t>
            </w:r>
          </w:p>
        </w:tc>
        <w:tc>
          <w:tcPr>
            <w:tcW w:w="41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92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简要规格描述</w:t>
            </w:r>
          </w:p>
        </w:tc>
        <w:tc>
          <w:tcPr>
            <w:tcW w:w="42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jc w:val="center"/>
        </w:trPr>
        <w:tc>
          <w:tcPr>
            <w:tcW w:w="44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4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pStyle w:val="24"/>
              <w:keepNext w:val="0"/>
              <w:keepLines w:val="0"/>
              <w:widowControl/>
              <w:suppressLineNumbers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新疆铁道职业技术学院1+X列车运行控制系统地面信号设备运用与维护实训室建设项目</w:t>
            </w:r>
          </w:p>
        </w:tc>
        <w:tc>
          <w:tcPr>
            <w:tcW w:w="41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905"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pStyle w:val="24"/>
              <w:keepNext w:val="0"/>
              <w:keepLines w:val="0"/>
              <w:widowControl/>
              <w:suppressLineNumbers w:val="0"/>
              <w:spacing w:line="24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2557500</w:t>
            </w:r>
          </w:p>
        </w:tc>
        <w:tc>
          <w:tcPr>
            <w:tcW w:w="41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批</w:t>
            </w:r>
          </w:p>
        </w:tc>
        <w:tc>
          <w:tcPr>
            <w:tcW w:w="924"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1+X列车运行控制系统地面信号设备运用与维护实训室建设项目</w:t>
            </w:r>
            <w:r>
              <w:rPr>
                <w:rFonts w:hint="eastAsia" w:ascii="宋体" w:hAnsi="宋体" w:eastAsia="宋体" w:cs="宋体"/>
                <w:color w:val="auto"/>
                <w:sz w:val="22"/>
                <w:szCs w:val="22"/>
                <w:highlight w:val="none"/>
              </w:rPr>
              <w:t>（具体详见</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w:t>
            </w:r>
          </w:p>
        </w:tc>
        <w:tc>
          <w:tcPr>
            <w:tcW w:w="42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Autospacing="0" w:afterAutospacing="0"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bl>
    <w:p>
      <w:pPr>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合同履行期限：详见招标文件</w:t>
      </w:r>
    </w:p>
    <w:p>
      <w:pPr>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本项目（否）接受联合体投标。</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Style w:val="28"/>
          <w:rFonts w:hint="eastAsia" w:ascii="宋体" w:hAnsi="宋体" w:eastAsia="宋体" w:cs="宋体"/>
          <w:b/>
          <w:color w:val="auto"/>
          <w:sz w:val="24"/>
          <w:szCs w:val="24"/>
          <w:highlight w:val="none"/>
          <w:lang w:eastAsia="zh-CN"/>
        </w:rPr>
        <w:t>二</w:t>
      </w:r>
      <w:r>
        <w:rPr>
          <w:rStyle w:val="28"/>
          <w:rFonts w:hint="eastAsia" w:ascii="宋体" w:hAnsi="宋体" w:eastAsia="宋体" w:cs="宋体"/>
          <w:b/>
          <w:color w:val="auto"/>
          <w:sz w:val="24"/>
          <w:szCs w:val="24"/>
          <w:highlight w:val="none"/>
        </w:rPr>
        <w:t>、申请人的资格要求: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1.满足《中华人民共和国政府采购法》第二十二条规定；</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1）具有独立承担民事责任的能力；</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2）具有良好的商业信誉和健全的财务会计制度；</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3）具有履行合同所必需的设备和专业技术能力；</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4）有依法缴纳税收和社会保障资金的良好记录；</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5）参加政府采购活动前三年内，在经营活动中没有重大违法记录；</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2.落实政府采购政策需满足的资格要求：符合政府采购优先（节约能源、保护环境）采购政策及促进中小企业发展政策的，依据规定给予评审优惠；</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3.本项目的特定资格要求：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1）供应商须出具工商营业执照副本、税务登记证副本、组织机构代码证副本或“三证合一”的营业执照副本；</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3）单位负责人为同一人或者存在直接控股、管理关系的不同供应商，不得同时参加本项目的竞争； </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Style w:val="28"/>
          <w:rFonts w:hint="eastAsia" w:ascii="宋体" w:hAnsi="宋体" w:eastAsia="宋体" w:cs="宋体"/>
          <w:b/>
          <w:color w:val="auto"/>
          <w:sz w:val="24"/>
          <w:szCs w:val="24"/>
          <w:highlight w:val="none"/>
          <w:lang w:eastAsia="zh-CN"/>
        </w:rPr>
        <w:t>三</w:t>
      </w:r>
      <w:r>
        <w:rPr>
          <w:rStyle w:val="28"/>
          <w:rFonts w:hint="eastAsia" w:ascii="宋体" w:hAnsi="宋体" w:eastAsia="宋体" w:cs="宋体"/>
          <w:b/>
          <w:color w:val="auto"/>
          <w:sz w:val="24"/>
          <w:szCs w:val="24"/>
          <w:highlight w:val="none"/>
        </w:rPr>
        <w:t>、获取</w:t>
      </w:r>
      <w:r>
        <w:rPr>
          <w:rStyle w:val="28"/>
          <w:rFonts w:hint="eastAsia" w:ascii="宋体" w:hAnsi="宋体" w:eastAsia="宋体" w:cs="宋体"/>
          <w:b/>
          <w:color w:val="auto"/>
          <w:sz w:val="24"/>
          <w:szCs w:val="24"/>
          <w:highlight w:val="none"/>
          <w:lang w:eastAsia="zh-CN"/>
        </w:rPr>
        <w:t>采购</w:t>
      </w:r>
      <w:r>
        <w:rPr>
          <w:rStyle w:val="28"/>
          <w:rFonts w:hint="eastAsia" w:ascii="宋体" w:hAnsi="宋体" w:eastAsia="宋体" w:cs="宋体"/>
          <w:b/>
          <w:color w:val="auto"/>
          <w:sz w:val="24"/>
          <w:szCs w:val="24"/>
          <w:highlight w:val="none"/>
        </w:rPr>
        <w:t>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Style w:val="28"/>
          <w:rFonts w:hint="eastAsia" w:ascii="宋体" w:hAnsi="宋体" w:eastAsia="宋体" w:cs="宋体"/>
          <w:b w:val="0"/>
          <w:bCs/>
          <w:color w:val="auto"/>
          <w:sz w:val="24"/>
          <w:szCs w:val="24"/>
          <w:highlight w:val="none"/>
          <w:lang w:eastAsia="zh-CN"/>
        </w:rPr>
      </w:pPr>
      <w:r>
        <w:rPr>
          <w:rStyle w:val="28"/>
          <w:rFonts w:hint="eastAsia" w:ascii="宋体" w:hAnsi="宋体" w:eastAsia="宋体" w:cs="宋体"/>
          <w:b w:val="0"/>
          <w:bCs/>
          <w:color w:val="auto"/>
          <w:sz w:val="24"/>
          <w:szCs w:val="24"/>
          <w:highlight w:val="none"/>
          <w:lang w:eastAsia="zh-CN"/>
        </w:rPr>
        <w:t>时间：202</w:t>
      </w:r>
      <w:r>
        <w:rPr>
          <w:rStyle w:val="28"/>
          <w:rFonts w:hint="eastAsia" w:ascii="宋体" w:hAnsi="宋体" w:eastAsia="宋体" w:cs="宋体"/>
          <w:b w:val="0"/>
          <w:bCs/>
          <w:color w:val="auto"/>
          <w:sz w:val="24"/>
          <w:szCs w:val="24"/>
          <w:highlight w:val="none"/>
          <w:lang w:val="en-US" w:eastAsia="zh-CN"/>
        </w:rPr>
        <w:t>2</w:t>
      </w:r>
      <w:r>
        <w:rPr>
          <w:rStyle w:val="28"/>
          <w:rFonts w:hint="eastAsia" w:ascii="宋体" w:hAnsi="宋体" w:eastAsia="宋体" w:cs="宋体"/>
          <w:b w:val="0"/>
          <w:bCs/>
          <w:color w:val="auto"/>
          <w:sz w:val="24"/>
          <w:szCs w:val="24"/>
          <w:highlight w:val="none"/>
          <w:lang w:eastAsia="zh-CN"/>
        </w:rPr>
        <w:t>年</w:t>
      </w:r>
      <w:r>
        <w:rPr>
          <w:rStyle w:val="28"/>
          <w:rFonts w:hint="eastAsia" w:ascii="宋体" w:hAnsi="宋体" w:eastAsia="宋体" w:cs="宋体"/>
          <w:b w:val="0"/>
          <w:bCs/>
          <w:color w:val="auto"/>
          <w:sz w:val="24"/>
          <w:szCs w:val="24"/>
          <w:highlight w:val="none"/>
          <w:lang w:val="en-US" w:eastAsia="zh-CN"/>
        </w:rPr>
        <w:t>04</w:t>
      </w:r>
      <w:r>
        <w:rPr>
          <w:rStyle w:val="28"/>
          <w:rFonts w:hint="eastAsia" w:ascii="宋体" w:hAnsi="宋体" w:eastAsia="宋体" w:cs="宋体"/>
          <w:b w:val="0"/>
          <w:bCs/>
          <w:color w:val="auto"/>
          <w:sz w:val="24"/>
          <w:szCs w:val="24"/>
          <w:highlight w:val="none"/>
          <w:lang w:eastAsia="zh-CN"/>
        </w:rPr>
        <w:t>月</w:t>
      </w:r>
      <w:r>
        <w:rPr>
          <w:rStyle w:val="28"/>
          <w:rFonts w:hint="eastAsia" w:cs="宋体"/>
          <w:b w:val="0"/>
          <w:bCs/>
          <w:color w:val="auto"/>
          <w:sz w:val="24"/>
          <w:szCs w:val="24"/>
          <w:highlight w:val="none"/>
          <w:lang w:val="en-US" w:eastAsia="zh-CN"/>
        </w:rPr>
        <w:t>19</w:t>
      </w:r>
      <w:r>
        <w:rPr>
          <w:rStyle w:val="28"/>
          <w:rFonts w:hint="eastAsia" w:ascii="宋体" w:hAnsi="宋体" w:eastAsia="宋体" w:cs="宋体"/>
          <w:b w:val="0"/>
          <w:bCs/>
          <w:color w:val="auto"/>
          <w:sz w:val="24"/>
          <w:szCs w:val="24"/>
          <w:highlight w:val="none"/>
          <w:lang w:eastAsia="zh-CN"/>
        </w:rPr>
        <w:t>日至202</w:t>
      </w:r>
      <w:r>
        <w:rPr>
          <w:rStyle w:val="28"/>
          <w:rFonts w:hint="eastAsia" w:ascii="宋体" w:hAnsi="宋体" w:eastAsia="宋体" w:cs="宋体"/>
          <w:b w:val="0"/>
          <w:bCs/>
          <w:color w:val="auto"/>
          <w:sz w:val="24"/>
          <w:szCs w:val="24"/>
          <w:highlight w:val="none"/>
          <w:lang w:val="en-US" w:eastAsia="zh-CN"/>
        </w:rPr>
        <w:t>2</w:t>
      </w:r>
      <w:r>
        <w:rPr>
          <w:rStyle w:val="28"/>
          <w:rFonts w:hint="eastAsia" w:ascii="宋体" w:hAnsi="宋体" w:eastAsia="宋体" w:cs="宋体"/>
          <w:b w:val="0"/>
          <w:bCs/>
          <w:color w:val="auto"/>
          <w:sz w:val="24"/>
          <w:szCs w:val="24"/>
          <w:highlight w:val="none"/>
          <w:lang w:eastAsia="zh-CN"/>
        </w:rPr>
        <w:t>年</w:t>
      </w:r>
      <w:r>
        <w:rPr>
          <w:rStyle w:val="28"/>
          <w:rFonts w:hint="eastAsia" w:ascii="宋体" w:hAnsi="宋体" w:eastAsia="宋体" w:cs="宋体"/>
          <w:b w:val="0"/>
          <w:bCs/>
          <w:color w:val="auto"/>
          <w:sz w:val="24"/>
          <w:szCs w:val="24"/>
          <w:highlight w:val="none"/>
          <w:lang w:val="en-US" w:eastAsia="zh-CN"/>
        </w:rPr>
        <w:t>04</w:t>
      </w:r>
      <w:r>
        <w:rPr>
          <w:rStyle w:val="28"/>
          <w:rFonts w:hint="eastAsia" w:ascii="宋体" w:hAnsi="宋体" w:eastAsia="宋体" w:cs="宋体"/>
          <w:b w:val="0"/>
          <w:bCs/>
          <w:color w:val="auto"/>
          <w:sz w:val="24"/>
          <w:szCs w:val="24"/>
          <w:highlight w:val="none"/>
          <w:lang w:eastAsia="zh-CN"/>
        </w:rPr>
        <w:t>月</w:t>
      </w:r>
      <w:r>
        <w:rPr>
          <w:rStyle w:val="28"/>
          <w:rFonts w:hint="eastAsia" w:cs="宋体"/>
          <w:b w:val="0"/>
          <w:bCs/>
          <w:color w:val="auto"/>
          <w:sz w:val="24"/>
          <w:szCs w:val="24"/>
          <w:highlight w:val="none"/>
          <w:lang w:val="en-US" w:eastAsia="zh-CN"/>
        </w:rPr>
        <w:t>26</w:t>
      </w:r>
      <w:r>
        <w:rPr>
          <w:rStyle w:val="28"/>
          <w:rFonts w:hint="eastAsia" w:ascii="宋体" w:hAnsi="宋体" w:eastAsia="宋体" w:cs="宋体"/>
          <w:b w:val="0"/>
          <w:bCs/>
          <w:color w:val="auto"/>
          <w:sz w:val="24"/>
          <w:szCs w:val="24"/>
          <w:highlight w:val="none"/>
          <w:lang w:eastAsia="zh-CN"/>
        </w:rPr>
        <w:t>日，每天上午 10:00至13:30</w:t>
      </w:r>
      <w:r>
        <w:rPr>
          <w:rStyle w:val="28"/>
          <w:rFonts w:hint="eastAsia" w:cs="宋体"/>
          <w:b w:val="0"/>
          <w:bCs/>
          <w:color w:val="auto"/>
          <w:sz w:val="24"/>
          <w:szCs w:val="24"/>
          <w:highlight w:val="none"/>
          <w:lang w:eastAsia="zh-CN"/>
        </w:rPr>
        <w:t>，</w:t>
      </w:r>
      <w:r>
        <w:rPr>
          <w:rStyle w:val="28"/>
          <w:rFonts w:hint="eastAsia" w:ascii="宋体" w:hAnsi="宋体" w:eastAsia="宋体" w:cs="宋体"/>
          <w:b w:val="0"/>
          <w:bCs/>
          <w:color w:val="auto"/>
          <w:sz w:val="24"/>
          <w:szCs w:val="24"/>
          <w:highlight w:val="none"/>
          <w:lang w:eastAsia="zh-CN"/>
        </w:rPr>
        <w:t>下午15:30至19:00（北京时间，法定节假日除外）获取文件。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8"/>
          <w:rFonts w:hint="eastAsia" w:ascii="宋体" w:hAnsi="宋体" w:eastAsia="宋体" w:cs="宋体"/>
          <w:b/>
          <w:color w:val="auto"/>
          <w:sz w:val="24"/>
          <w:szCs w:val="24"/>
          <w:highlight w:val="none"/>
          <w:lang w:val="en-US" w:eastAsia="zh-CN"/>
        </w:rPr>
      </w:pPr>
      <w:r>
        <w:rPr>
          <w:rStyle w:val="28"/>
          <w:rFonts w:hint="eastAsia" w:ascii="宋体" w:hAnsi="宋体" w:eastAsia="宋体" w:cs="宋体"/>
          <w:b/>
          <w:color w:val="auto"/>
          <w:sz w:val="24"/>
          <w:szCs w:val="24"/>
          <w:highlight w:val="none"/>
          <w:lang w:eastAsia="zh-CN"/>
        </w:rPr>
        <w:t>地点</w:t>
      </w:r>
      <w:r>
        <w:rPr>
          <w:rStyle w:val="28"/>
          <w:rFonts w:hint="eastAsia" w:ascii="宋体" w:hAnsi="宋体" w:eastAsia="宋体" w:cs="宋体"/>
          <w:b/>
          <w:color w:val="auto"/>
          <w:sz w:val="24"/>
          <w:szCs w:val="24"/>
          <w:highlight w:val="none"/>
        </w:rPr>
        <w:t>：</w:t>
      </w:r>
      <w:r>
        <w:rPr>
          <w:rStyle w:val="28"/>
          <w:rFonts w:hint="eastAsia" w:ascii="宋体" w:hAnsi="宋体" w:eastAsia="宋体" w:cs="宋体"/>
          <w:b/>
          <w:color w:val="auto"/>
          <w:sz w:val="24"/>
          <w:szCs w:val="24"/>
          <w:highlight w:val="none"/>
          <w:lang w:val="en-US" w:eastAsia="zh-CN"/>
        </w:rPr>
        <w:t>登录政采云平台https://www.zcygov.cn/在线申请获取采购文件。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8"/>
          <w:rFonts w:hint="eastAsia" w:ascii="宋体" w:hAnsi="宋体" w:eastAsia="宋体" w:cs="宋体"/>
          <w:b/>
          <w:color w:val="auto"/>
          <w:sz w:val="24"/>
          <w:szCs w:val="24"/>
          <w:highlight w:val="none"/>
        </w:rPr>
      </w:pPr>
      <w:r>
        <w:rPr>
          <w:rStyle w:val="28"/>
          <w:rFonts w:hint="eastAsia" w:ascii="宋体" w:hAnsi="宋体" w:eastAsia="宋体" w:cs="宋体"/>
          <w:b/>
          <w:color w:val="auto"/>
          <w:sz w:val="24"/>
          <w:szCs w:val="24"/>
          <w:highlight w:val="none"/>
        </w:rPr>
        <w:t>方式：符合要求的</w:t>
      </w:r>
      <w:r>
        <w:rPr>
          <w:rStyle w:val="28"/>
          <w:rFonts w:hint="eastAsia" w:ascii="宋体" w:hAnsi="宋体" w:eastAsia="宋体" w:cs="宋体"/>
          <w:b/>
          <w:color w:val="auto"/>
          <w:sz w:val="24"/>
          <w:szCs w:val="24"/>
          <w:highlight w:val="none"/>
          <w:lang w:eastAsia="zh-CN"/>
        </w:rPr>
        <w:t>投标人登陆</w:t>
      </w:r>
      <w:r>
        <w:rPr>
          <w:rStyle w:val="28"/>
          <w:rFonts w:hint="eastAsia" w:ascii="宋体" w:hAnsi="宋体" w:eastAsia="宋体" w:cs="宋体"/>
          <w:b/>
          <w:color w:val="auto"/>
          <w:sz w:val="24"/>
          <w:szCs w:val="24"/>
          <w:highlight w:val="none"/>
        </w:rPr>
        <w:t>政采云平台在线申请获取</w:t>
      </w:r>
      <w:r>
        <w:rPr>
          <w:rStyle w:val="28"/>
          <w:rFonts w:hint="eastAsia" w:ascii="宋体" w:hAnsi="宋体" w:eastAsia="宋体" w:cs="宋体"/>
          <w:b/>
          <w:color w:val="auto"/>
          <w:sz w:val="24"/>
          <w:szCs w:val="24"/>
          <w:highlight w:val="none"/>
          <w:lang w:eastAsia="zh-CN"/>
        </w:rPr>
        <w:t>采购文件</w:t>
      </w:r>
      <w:r>
        <w:rPr>
          <w:rStyle w:val="28"/>
          <w:rFonts w:hint="eastAsia" w:ascii="宋体" w:hAnsi="宋体" w:eastAsia="宋体" w:cs="宋体"/>
          <w:b/>
          <w:color w:val="auto"/>
          <w:sz w:val="24"/>
          <w:szCs w:val="24"/>
          <w:highlight w:val="none"/>
        </w:rPr>
        <w:t>（登录政府采购云平台→采购项目→获取采购文件→申请</w:t>
      </w:r>
      <w:r>
        <w:rPr>
          <w:rStyle w:val="28"/>
          <w:rFonts w:hint="eastAsia" w:ascii="宋体" w:hAnsi="宋体" w:eastAsia="宋体" w:cs="宋体"/>
          <w:b/>
          <w:color w:val="auto"/>
          <w:sz w:val="24"/>
          <w:szCs w:val="24"/>
          <w:highlight w:val="none"/>
          <w:lang w:eastAsia="zh-CN"/>
        </w:rPr>
        <w:t>）</w:t>
      </w:r>
      <w:r>
        <w:rPr>
          <w:rStyle w:val="28"/>
          <w:rFonts w:hint="eastAsia" w:ascii="宋体" w:hAnsi="宋体" w:eastAsia="宋体" w:cs="宋体"/>
          <w:b/>
          <w:color w:val="auto"/>
          <w:sz w:val="24"/>
          <w:szCs w:val="24"/>
          <w:highlight w:val="none"/>
        </w:rPr>
        <w:t>审核通过后可下载招标文件；如有操作性问题，可与政采云在线客服进行咨询，咨询电话400-881-7190。</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8"/>
          <w:rFonts w:hint="eastAsia" w:ascii="宋体" w:hAnsi="宋体" w:eastAsia="宋体" w:cs="宋体"/>
          <w:b/>
          <w:color w:val="auto"/>
          <w:sz w:val="24"/>
          <w:szCs w:val="24"/>
          <w:highlight w:val="none"/>
        </w:rPr>
      </w:pPr>
      <w:r>
        <w:rPr>
          <w:rStyle w:val="28"/>
          <w:rFonts w:hint="eastAsia" w:ascii="宋体" w:hAnsi="宋体" w:eastAsia="宋体" w:cs="宋体"/>
          <w:b/>
          <w:color w:val="auto"/>
          <w:sz w:val="24"/>
          <w:szCs w:val="24"/>
          <w:highlight w:val="none"/>
        </w:rPr>
        <w:t>标书售价(元)：</w:t>
      </w:r>
      <w:r>
        <w:rPr>
          <w:rStyle w:val="28"/>
          <w:rFonts w:hint="eastAsia" w:ascii="宋体" w:hAnsi="宋体" w:eastAsia="宋体" w:cs="宋体"/>
          <w:b/>
          <w:color w:val="auto"/>
          <w:sz w:val="24"/>
          <w:szCs w:val="24"/>
          <w:highlight w:val="none"/>
          <w:lang w:val="en-US" w:eastAsia="zh-CN"/>
        </w:rPr>
        <w:t>0</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color w:val="auto"/>
          <w:sz w:val="24"/>
          <w:szCs w:val="24"/>
          <w:highlight w:val="none"/>
        </w:rPr>
      </w:pPr>
      <w:r>
        <w:rPr>
          <w:rStyle w:val="28"/>
          <w:rFonts w:hint="eastAsia" w:ascii="宋体" w:hAnsi="宋体" w:eastAsia="宋体" w:cs="宋体"/>
          <w:b/>
          <w:color w:val="auto"/>
          <w:sz w:val="24"/>
          <w:szCs w:val="24"/>
          <w:highlight w:val="none"/>
        </w:rPr>
        <w:t>四、提交投标文件截止时间、开标时间和地点</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color w:val="auto"/>
          <w:sz w:val="24"/>
          <w:szCs w:val="24"/>
          <w:highlight w:val="none"/>
        </w:rPr>
      </w:pPr>
      <w:r>
        <w:rPr>
          <w:rStyle w:val="28"/>
          <w:rFonts w:hint="eastAsia" w:ascii="宋体" w:hAnsi="宋体" w:eastAsia="宋体" w:cs="宋体"/>
          <w:b/>
          <w:color w:val="auto"/>
          <w:sz w:val="24"/>
          <w:szCs w:val="24"/>
          <w:highlight w:val="none"/>
          <w:lang w:val="en-US" w:eastAsia="zh-CN"/>
        </w:rPr>
        <w:t>1.</w:t>
      </w:r>
      <w:r>
        <w:rPr>
          <w:rStyle w:val="28"/>
          <w:rFonts w:hint="eastAsia" w:ascii="宋体" w:hAnsi="宋体" w:eastAsia="宋体" w:cs="宋体"/>
          <w:b/>
          <w:color w:val="auto"/>
          <w:sz w:val="24"/>
          <w:szCs w:val="24"/>
          <w:highlight w:val="none"/>
        </w:rPr>
        <w:t>提交投标文件截止时间：202</w:t>
      </w:r>
      <w:r>
        <w:rPr>
          <w:rStyle w:val="28"/>
          <w:rFonts w:hint="eastAsia" w:ascii="宋体" w:hAnsi="宋体" w:eastAsia="宋体" w:cs="宋体"/>
          <w:b/>
          <w:color w:val="auto"/>
          <w:sz w:val="24"/>
          <w:szCs w:val="24"/>
          <w:highlight w:val="none"/>
          <w:lang w:val="en-US" w:eastAsia="zh-CN"/>
        </w:rPr>
        <w:t>2</w:t>
      </w:r>
      <w:r>
        <w:rPr>
          <w:rStyle w:val="28"/>
          <w:rFonts w:hint="eastAsia" w:ascii="宋体" w:hAnsi="宋体" w:eastAsia="宋体" w:cs="宋体"/>
          <w:b/>
          <w:color w:val="auto"/>
          <w:sz w:val="24"/>
          <w:szCs w:val="24"/>
          <w:highlight w:val="none"/>
        </w:rPr>
        <w:t>年</w:t>
      </w:r>
      <w:r>
        <w:rPr>
          <w:rStyle w:val="28"/>
          <w:rFonts w:hint="eastAsia" w:ascii="宋体" w:hAnsi="宋体" w:eastAsia="宋体" w:cs="宋体"/>
          <w:b/>
          <w:color w:val="auto"/>
          <w:sz w:val="24"/>
          <w:szCs w:val="24"/>
          <w:highlight w:val="none"/>
          <w:lang w:val="en-US" w:eastAsia="zh-CN"/>
        </w:rPr>
        <w:t>05</w:t>
      </w:r>
      <w:r>
        <w:rPr>
          <w:rStyle w:val="28"/>
          <w:rFonts w:hint="eastAsia" w:ascii="宋体" w:hAnsi="宋体" w:eastAsia="宋体" w:cs="宋体"/>
          <w:b/>
          <w:color w:val="auto"/>
          <w:sz w:val="24"/>
          <w:szCs w:val="24"/>
          <w:highlight w:val="none"/>
        </w:rPr>
        <w:t>月</w:t>
      </w:r>
      <w:r>
        <w:rPr>
          <w:rStyle w:val="28"/>
          <w:rFonts w:hint="eastAsia" w:cs="宋体"/>
          <w:b/>
          <w:color w:val="auto"/>
          <w:sz w:val="24"/>
          <w:szCs w:val="24"/>
          <w:highlight w:val="none"/>
          <w:lang w:val="en-US" w:eastAsia="zh-CN"/>
        </w:rPr>
        <w:t>09</w:t>
      </w:r>
      <w:r>
        <w:rPr>
          <w:rStyle w:val="28"/>
          <w:rFonts w:hint="eastAsia" w:ascii="宋体" w:hAnsi="宋体" w:eastAsia="宋体" w:cs="宋体"/>
          <w:b/>
          <w:color w:val="auto"/>
          <w:sz w:val="24"/>
          <w:szCs w:val="24"/>
          <w:highlight w:val="none"/>
        </w:rPr>
        <w:t>日1</w:t>
      </w:r>
      <w:r>
        <w:rPr>
          <w:rStyle w:val="28"/>
          <w:rFonts w:hint="eastAsia" w:ascii="宋体" w:hAnsi="宋体" w:eastAsia="宋体" w:cs="宋体"/>
          <w:b/>
          <w:color w:val="auto"/>
          <w:sz w:val="24"/>
          <w:szCs w:val="24"/>
          <w:highlight w:val="none"/>
          <w:lang w:val="en-US" w:eastAsia="zh-CN"/>
        </w:rPr>
        <w:t>1</w:t>
      </w:r>
      <w:r>
        <w:rPr>
          <w:rStyle w:val="28"/>
          <w:rFonts w:hint="eastAsia" w:ascii="宋体" w:hAnsi="宋体" w:eastAsia="宋体" w:cs="宋体"/>
          <w:b/>
          <w:color w:val="auto"/>
          <w:sz w:val="24"/>
          <w:szCs w:val="24"/>
          <w:highlight w:val="none"/>
        </w:rPr>
        <w:t>:00（北京时间） </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color w:val="auto"/>
          <w:sz w:val="24"/>
          <w:szCs w:val="24"/>
          <w:highlight w:val="none"/>
        </w:rPr>
      </w:pPr>
      <w:r>
        <w:rPr>
          <w:rStyle w:val="28"/>
          <w:rFonts w:hint="eastAsia" w:ascii="宋体" w:hAnsi="宋体" w:eastAsia="宋体" w:cs="宋体"/>
          <w:b/>
          <w:color w:val="auto"/>
          <w:sz w:val="24"/>
          <w:szCs w:val="24"/>
          <w:highlight w:val="none"/>
          <w:lang w:val="en-US" w:eastAsia="zh-CN"/>
        </w:rPr>
        <w:t>2.</w:t>
      </w:r>
      <w:r>
        <w:rPr>
          <w:rStyle w:val="28"/>
          <w:rFonts w:hint="eastAsia" w:ascii="宋体" w:hAnsi="宋体" w:eastAsia="宋体" w:cs="宋体"/>
          <w:b/>
          <w:color w:val="auto"/>
          <w:sz w:val="24"/>
          <w:szCs w:val="24"/>
          <w:highlight w:val="none"/>
        </w:rPr>
        <w:t>投标</w:t>
      </w:r>
      <w:r>
        <w:rPr>
          <w:rStyle w:val="28"/>
          <w:rFonts w:hint="eastAsia" w:ascii="宋体" w:hAnsi="宋体" w:eastAsia="宋体" w:cs="宋体"/>
          <w:b/>
          <w:color w:val="auto"/>
          <w:sz w:val="24"/>
          <w:szCs w:val="24"/>
          <w:highlight w:val="none"/>
          <w:lang w:eastAsia="zh-CN"/>
        </w:rPr>
        <w:t>地点</w:t>
      </w:r>
      <w:r>
        <w:rPr>
          <w:rStyle w:val="28"/>
          <w:rFonts w:hint="eastAsia" w:ascii="宋体" w:hAnsi="宋体" w:eastAsia="宋体" w:cs="宋体"/>
          <w:b/>
          <w:color w:val="auto"/>
          <w:sz w:val="24"/>
          <w:szCs w:val="24"/>
          <w:highlight w:val="none"/>
        </w:rPr>
        <w:t>：：</w:t>
      </w:r>
      <w:r>
        <w:rPr>
          <w:rStyle w:val="28"/>
          <w:rFonts w:hint="eastAsia" w:ascii="宋体" w:hAnsi="宋体" w:eastAsia="宋体" w:cs="宋体"/>
          <w:b/>
          <w:color w:val="auto"/>
          <w:sz w:val="24"/>
          <w:szCs w:val="24"/>
          <w:highlight w:val="none"/>
          <w:lang w:val="en-US" w:eastAsia="zh-CN"/>
        </w:rPr>
        <w:t xml:space="preserve">政采云平台https://www.zcygov.cn/ </w:t>
      </w:r>
      <w:r>
        <w:rPr>
          <w:rStyle w:val="28"/>
          <w:rFonts w:hint="eastAsia" w:cs="宋体"/>
          <w:b/>
          <w:color w:val="auto"/>
          <w:sz w:val="24"/>
          <w:szCs w:val="24"/>
          <w:highlight w:val="none"/>
          <w:lang w:val="en-US" w:eastAsia="zh-CN"/>
        </w:rPr>
        <w:t>注：</w:t>
      </w:r>
      <w:r>
        <w:rPr>
          <w:rStyle w:val="28"/>
          <w:rFonts w:hint="eastAsia" w:ascii="宋体" w:hAnsi="宋体" w:eastAsia="宋体" w:cs="宋体"/>
          <w:b/>
          <w:color w:val="auto"/>
          <w:sz w:val="24"/>
          <w:szCs w:val="24"/>
          <w:highlight w:val="none"/>
          <w:lang w:val="en-US" w:eastAsia="zh-CN"/>
        </w:rPr>
        <w:t>投标人应将投标文件上传至政采云平台对应位置（逾期未上传的或不符合规定的投标文件将被拒绝接收）。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8"/>
          <w:rFonts w:hint="eastAsia" w:ascii="宋体" w:hAnsi="宋体" w:eastAsia="宋体" w:cs="宋体"/>
          <w:b/>
          <w:color w:val="auto"/>
          <w:sz w:val="24"/>
          <w:szCs w:val="24"/>
          <w:highlight w:val="none"/>
        </w:rPr>
      </w:pPr>
      <w:r>
        <w:rPr>
          <w:rStyle w:val="28"/>
          <w:rFonts w:hint="eastAsia" w:ascii="宋体" w:hAnsi="宋体" w:eastAsia="宋体" w:cs="宋体"/>
          <w:b/>
          <w:color w:val="auto"/>
          <w:sz w:val="24"/>
          <w:szCs w:val="24"/>
          <w:highlight w:val="none"/>
          <w:lang w:val="en-US" w:eastAsia="zh-CN"/>
        </w:rPr>
        <w:t>3.</w:t>
      </w:r>
      <w:r>
        <w:rPr>
          <w:rStyle w:val="28"/>
          <w:rFonts w:hint="eastAsia" w:ascii="宋体" w:hAnsi="宋体" w:eastAsia="宋体" w:cs="宋体"/>
          <w:b/>
          <w:color w:val="auto"/>
          <w:sz w:val="24"/>
          <w:szCs w:val="24"/>
          <w:highlight w:val="none"/>
        </w:rPr>
        <w:t>开标时间：202</w:t>
      </w:r>
      <w:r>
        <w:rPr>
          <w:rStyle w:val="28"/>
          <w:rFonts w:hint="eastAsia" w:ascii="宋体" w:hAnsi="宋体" w:eastAsia="宋体" w:cs="宋体"/>
          <w:b/>
          <w:color w:val="auto"/>
          <w:sz w:val="24"/>
          <w:szCs w:val="24"/>
          <w:highlight w:val="none"/>
          <w:lang w:val="en-US" w:eastAsia="zh-CN"/>
        </w:rPr>
        <w:t>2</w:t>
      </w:r>
      <w:r>
        <w:rPr>
          <w:rStyle w:val="28"/>
          <w:rFonts w:hint="eastAsia" w:ascii="宋体" w:hAnsi="宋体" w:eastAsia="宋体" w:cs="宋体"/>
          <w:b/>
          <w:color w:val="auto"/>
          <w:sz w:val="24"/>
          <w:szCs w:val="24"/>
          <w:highlight w:val="none"/>
        </w:rPr>
        <w:t>年</w:t>
      </w:r>
      <w:r>
        <w:rPr>
          <w:rStyle w:val="28"/>
          <w:rFonts w:hint="eastAsia" w:ascii="宋体" w:hAnsi="宋体" w:eastAsia="宋体" w:cs="宋体"/>
          <w:b/>
          <w:color w:val="auto"/>
          <w:sz w:val="24"/>
          <w:szCs w:val="24"/>
          <w:highlight w:val="none"/>
          <w:lang w:val="en-US" w:eastAsia="zh-CN"/>
        </w:rPr>
        <w:t>05</w:t>
      </w:r>
      <w:r>
        <w:rPr>
          <w:rStyle w:val="28"/>
          <w:rFonts w:hint="eastAsia" w:ascii="宋体" w:hAnsi="宋体" w:eastAsia="宋体" w:cs="宋体"/>
          <w:b/>
          <w:color w:val="auto"/>
          <w:sz w:val="24"/>
          <w:szCs w:val="24"/>
          <w:highlight w:val="none"/>
        </w:rPr>
        <w:t>月</w:t>
      </w:r>
      <w:r>
        <w:rPr>
          <w:rStyle w:val="28"/>
          <w:rFonts w:hint="eastAsia" w:cs="宋体"/>
          <w:b/>
          <w:color w:val="auto"/>
          <w:sz w:val="24"/>
          <w:szCs w:val="24"/>
          <w:highlight w:val="none"/>
          <w:lang w:val="en-US" w:eastAsia="zh-CN"/>
        </w:rPr>
        <w:t>09</w:t>
      </w:r>
      <w:r>
        <w:rPr>
          <w:rStyle w:val="28"/>
          <w:rFonts w:hint="eastAsia" w:ascii="宋体" w:hAnsi="宋体" w:eastAsia="宋体" w:cs="宋体"/>
          <w:b/>
          <w:color w:val="auto"/>
          <w:sz w:val="24"/>
          <w:szCs w:val="24"/>
          <w:highlight w:val="none"/>
        </w:rPr>
        <w:t>日1</w:t>
      </w:r>
      <w:r>
        <w:rPr>
          <w:rStyle w:val="28"/>
          <w:rFonts w:hint="eastAsia" w:ascii="宋体" w:hAnsi="宋体" w:eastAsia="宋体" w:cs="宋体"/>
          <w:b/>
          <w:color w:val="auto"/>
          <w:sz w:val="24"/>
          <w:szCs w:val="24"/>
          <w:highlight w:val="none"/>
          <w:lang w:val="en-US" w:eastAsia="zh-CN"/>
        </w:rPr>
        <w:t>1</w:t>
      </w:r>
      <w:r>
        <w:rPr>
          <w:rStyle w:val="28"/>
          <w:rFonts w:hint="eastAsia" w:ascii="宋体" w:hAnsi="宋体" w:eastAsia="宋体" w:cs="宋体"/>
          <w:b/>
          <w:color w:val="auto"/>
          <w:sz w:val="24"/>
          <w:szCs w:val="24"/>
          <w:highlight w:val="none"/>
        </w:rPr>
        <w:t>:00（北京时间）</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8"/>
          <w:rFonts w:hint="eastAsia" w:ascii="宋体" w:hAnsi="宋体" w:eastAsia="宋体" w:cs="宋体"/>
          <w:b/>
          <w:color w:val="auto"/>
          <w:sz w:val="24"/>
          <w:szCs w:val="24"/>
          <w:highlight w:val="none"/>
          <w:lang w:val="en-US" w:eastAsia="zh-CN"/>
        </w:rPr>
      </w:pPr>
      <w:r>
        <w:rPr>
          <w:rStyle w:val="28"/>
          <w:rFonts w:hint="eastAsia" w:ascii="宋体" w:hAnsi="宋体" w:eastAsia="宋体" w:cs="宋体"/>
          <w:b/>
          <w:color w:val="auto"/>
          <w:sz w:val="24"/>
          <w:szCs w:val="24"/>
          <w:highlight w:val="none"/>
          <w:lang w:val="en-US" w:eastAsia="zh-CN"/>
        </w:rPr>
        <w:t>4.</w:t>
      </w:r>
      <w:r>
        <w:rPr>
          <w:rStyle w:val="28"/>
          <w:rFonts w:hint="eastAsia" w:ascii="宋体" w:hAnsi="宋体" w:eastAsia="宋体" w:cs="宋体"/>
          <w:b/>
          <w:color w:val="auto"/>
          <w:sz w:val="24"/>
          <w:szCs w:val="24"/>
          <w:highlight w:val="none"/>
        </w:rPr>
        <w:t>开标</w:t>
      </w:r>
      <w:r>
        <w:rPr>
          <w:rStyle w:val="28"/>
          <w:rFonts w:hint="eastAsia" w:ascii="宋体" w:hAnsi="宋体" w:eastAsia="宋体" w:cs="宋体"/>
          <w:b/>
          <w:color w:val="auto"/>
          <w:sz w:val="24"/>
          <w:szCs w:val="24"/>
          <w:highlight w:val="none"/>
          <w:lang w:eastAsia="zh-CN"/>
        </w:rPr>
        <w:t>地点</w:t>
      </w:r>
      <w:r>
        <w:rPr>
          <w:rStyle w:val="28"/>
          <w:rFonts w:hint="eastAsia" w:ascii="宋体" w:hAnsi="宋体" w:eastAsia="宋体" w:cs="宋体"/>
          <w:b/>
          <w:color w:val="auto"/>
          <w:sz w:val="24"/>
          <w:szCs w:val="24"/>
          <w:highlight w:val="none"/>
        </w:rPr>
        <w:t>：乌鲁木齐市经济技术开发区乌昌路252号九方财富广场A座525室</w:t>
      </w:r>
      <w:r>
        <w:rPr>
          <w:rStyle w:val="28"/>
          <w:rFonts w:hint="eastAsia" w:ascii="宋体" w:hAnsi="宋体" w:eastAsia="宋体" w:cs="宋体"/>
          <w:b/>
          <w:color w:val="auto"/>
          <w:sz w:val="24"/>
          <w:szCs w:val="24"/>
          <w:highlight w:val="none"/>
          <w:lang w:val="en-US" w:eastAsia="zh-CN"/>
        </w:rPr>
        <w:t>政采云平台https://www.zcygov.cn/</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Style w:val="28"/>
          <w:rFonts w:hint="eastAsia" w:ascii="宋体" w:hAnsi="宋体" w:eastAsia="宋体" w:cs="宋体"/>
          <w:b/>
          <w:color w:val="auto"/>
          <w:sz w:val="24"/>
          <w:szCs w:val="24"/>
          <w:highlight w:val="none"/>
        </w:rPr>
      </w:pPr>
      <w:r>
        <w:rPr>
          <w:rStyle w:val="28"/>
          <w:rFonts w:hint="eastAsia" w:ascii="宋体" w:hAnsi="宋体" w:eastAsia="宋体" w:cs="宋体"/>
          <w:b/>
          <w:color w:val="auto"/>
          <w:sz w:val="24"/>
          <w:szCs w:val="24"/>
          <w:highlight w:val="none"/>
          <w:lang w:val="en-US" w:eastAsia="zh-CN"/>
        </w:rPr>
        <w:t xml:space="preserve"> </w:t>
      </w:r>
      <w:r>
        <w:rPr>
          <w:rStyle w:val="28"/>
          <w:rFonts w:hint="eastAsia" w:ascii="宋体" w:hAnsi="宋体" w:eastAsia="宋体" w:cs="宋体"/>
          <w:b/>
          <w:color w:val="auto"/>
          <w:sz w:val="24"/>
          <w:szCs w:val="24"/>
          <w:highlight w:val="none"/>
        </w:rPr>
        <w:t>五、公告期限</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2" w:firstLineChars="200"/>
        <w:textAlignment w:val="auto"/>
        <w:rPr>
          <w:rStyle w:val="28"/>
          <w:rFonts w:hint="eastAsia" w:ascii="宋体" w:hAnsi="宋体" w:eastAsia="宋体" w:cs="宋体"/>
          <w:b/>
          <w:color w:val="auto"/>
          <w:sz w:val="24"/>
          <w:szCs w:val="24"/>
          <w:highlight w:val="none"/>
        </w:rPr>
      </w:pPr>
      <w:r>
        <w:rPr>
          <w:rStyle w:val="28"/>
          <w:rFonts w:hint="eastAsia" w:ascii="宋体" w:hAnsi="宋体" w:eastAsia="宋体" w:cs="宋体"/>
          <w:b/>
          <w:bCs w:val="0"/>
          <w:color w:val="auto"/>
          <w:sz w:val="24"/>
          <w:szCs w:val="24"/>
          <w:highlight w:val="none"/>
        </w:rPr>
        <w:t>自本公告发布之日起5个工作日。</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Style w:val="28"/>
          <w:rFonts w:hint="eastAsia" w:ascii="宋体" w:hAnsi="宋体" w:eastAsia="宋体" w:cs="宋体"/>
          <w:b/>
          <w:color w:val="auto"/>
          <w:sz w:val="24"/>
          <w:szCs w:val="24"/>
          <w:highlight w:val="none"/>
          <w:lang w:eastAsia="zh-CN"/>
        </w:rPr>
        <w:t>六</w:t>
      </w:r>
      <w:r>
        <w:rPr>
          <w:rStyle w:val="28"/>
          <w:rFonts w:hint="eastAsia" w:ascii="宋体" w:hAnsi="宋体" w:eastAsia="宋体" w:cs="宋体"/>
          <w:b/>
          <w:color w:val="auto"/>
          <w:sz w:val="24"/>
          <w:szCs w:val="24"/>
          <w:highlight w:val="none"/>
        </w:rPr>
        <w:t>、其他</w:t>
      </w:r>
      <w:r>
        <w:rPr>
          <w:rStyle w:val="28"/>
          <w:rFonts w:hint="eastAsia" w:ascii="宋体" w:hAnsi="宋体" w:eastAsia="宋体" w:cs="宋体"/>
          <w:b/>
          <w:color w:val="auto"/>
          <w:sz w:val="24"/>
          <w:szCs w:val="24"/>
          <w:highlight w:val="none"/>
          <w:lang w:eastAsia="zh-CN"/>
        </w:rPr>
        <w:t>补充事宜</w:t>
      </w:r>
      <w:r>
        <w:rPr>
          <w:rStyle w:val="28"/>
          <w:rFonts w:hint="eastAsia" w:ascii="宋体" w:hAnsi="宋体" w:eastAsia="宋体" w:cs="宋体"/>
          <w:b/>
          <w:color w:val="auto"/>
          <w:sz w:val="24"/>
          <w:szCs w:val="24"/>
          <w:highlight w:val="none"/>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获取招标文件时请上传以下资料清晰原件扫描件，否则不予认可。报名时的资料查验不代表最终资格资质的通过或合格。</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（1）有效的营业执照；</w:t>
      </w:r>
      <w:r>
        <w:rPr>
          <w:rFonts w:hint="eastAsia" w:ascii="宋体" w:hAnsi="宋体" w:eastAsia="宋体" w:cs="宋体"/>
          <w:color w:val="auto"/>
          <w:sz w:val="24"/>
          <w:szCs w:val="24"/>
          <w:highlight w:val="none"/>
          <w:lang w:val="en-US" w:eastAsia="zh-CN"/>
        </w:rPr>
        <w:br w:type="textWrapping"/>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pacing w:val="-11"/>
          <w:sz w:val="24"/>
          <w:szCs w:val="24"/>
          <w:highlight w:val="none"/>
          <w:lang w:val="en-US" w:eastAsia="zh-CN"/>
        </w:rPr>
        <w:t>法定代表人身份证明或授权委托书及委托人身份证明（附法人身份证及被授权人身份证）；</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）投标人如在“信用中国”网站、中国政府采购网被列入严重违法失信行为记录名单的（尚在处罚期内的），将拒绝其参加本次政府采购活动﹙投标人网上自行打印后加盖投标单位公章﹚。</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2、注：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客户端请至新疆政府采购网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（4）供应商在开标时须自行准备硬件设备及CA数字证书，硬件设备须提前配置好相关浏览器（建议使用360或谷歌浏览器），并自行调试该设备可联网，以便开标时解密。</w:t>
      </w:r>
      <w:r>
        <w:rPr>
          <w:rStyle w:val="28"/>
          <w:rFonts w:hint="eastAsia" w:ascii="宋体" w:hAnsi="宋体" w:eastAsia="宋体" w:cs="宋体"/>
          <w:b w:val="0"/>
          <w:bCs w:val="0"/>
          <w:color w:val="auto"/>
          <w:kern w:val="0"/>
          <w:sz w:val="24"/>
          <w:szCs w:val="24"/>
          <w:highlight w:val="none"/>
        </w:rPr>
        <w:t>本项目投标文件解密时间定为30分钟，</w:t>
      </w:r>
      <w:r>
        <w:rPr>
          <w:rFonts w:hint="eastAsia" w:ascii="宋体" w:hAnsi="宋体" w:eastAsia="宋体" w:cs="宋体"/>
          <w:color w:val="auto"/>
          <w:sz w:val="24"/>
          <w:szCs w:val="24"/>
          <w:highlight w:val="none"/>
          <w:lang w:val="en-US" w:eastAsia="zh-CN"/>
        </w:rPr>
        <w:t>如因自身原因导致无法按规定时间正常解密，一切后果由供应商自行承担。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（5）投标人应当在投标截止时间前，将生成的“电子加密投标文件”上传递交至“政府采购云平台”，投标截止时间以后上传递交的投标文件将被“政府采购云平台”拒收。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（6）本项目各标项（段）不接受未报名的投标人投标。</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3、请投标人随时关注本项目的变更、答疑、澄清文件。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Style w:val="28"/>
          <w:rFonts w:hint="eastAsia" w:ascii="宋体" w:hAnsi="宋体" w:eastAsia="宋体" w:cs="宋体"/>
          <w:b/>
          <w:color w:val="auto"/>
          <w:sz w:val="24"/>
          <w:szCs w:val="24"/>
          <w:highlight w:val="none"/>
          <w:lang w:eastAsia="zh-CN"/>
        </w:rPr>
        <w:t>七</w:t>
      </w:r>
      <w:r>
        <w:rPr>
          <w:rStyle w:val="28"/>
          <w:rFonts w:hint="eastAsia" w:ascii="宋体" w:hAnsi="宋体" w:eastAsia="宋体" w:cs="宋体"/>
          <w:b/>
          <w:color w:val="auto"/>
          <w:sz w:val="24"/>
          <w:szCs w:val="24"/>
          <w:highlight w:val="none"/>
        </w:rPr>
        <w:t>、凡对本次</w:t>
      </w:r>
      <w:r>
        <w:rPr>
          <w:rStyle w:val="28"/>
          <w:rFonts w:hint="eastAsia" w:ascii="宋体" w:hAnsi="宋体" w:eastAsia="宋体" w:cs="宋体"/>
          <w:b/>
          <w:color w:val="auto"/>
          <w:sz w:val="24"/>
          <w:szCs w:val="24"/>
          <w:highlight w:val="none"/>
          <w:lang w:eastAsia="zh-CN"/>
        </w:rPr>
        <w:t>采购</w:t>
      </w:r>
      <w:r>
        <w:rPr>
          <w:rStyle w:val="28"/>
          <w:rFonts w:hint="eastAsia" w:ascii="宋体" w:hAnsi="宋体" w:eastAsia="宋体" w:cs="宋体"/>
          <w:b/>
          <w:color w:val="auto"/>
          <w:sz w:val="24"/>
          <w:szCs w:val="24"/>
          <w:highlight w:val="none"/>
        </w:rPr>
        <w:t>提出询问，请按以下方式联系</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1.采购人信息</w:t>
      </w:r>
    </w:p>
    <w:p>
      <w:pPr>
        <w:spacing w:line="360" w:lineRule="auto"/>
        <w:ind w:left="1116" w:leftChars="371" w:hanging="300" w:hangingChars="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新疆铁道职业技术学院</w:t>
      </w:r>
      <w:r>
        <w:rPr>
          <w:rFonts w:hint="eastAsia" w:ascii="宋体" w:hAnsi="宋体" w:eastAsia="宋体" w:cs="宋体"/>
          <w:color w:val="auto"/>
          <w:sz w:val="24"/>
          <w:szCs w:val="24"/>
          <w:highlight w:val="none"/>
          <w:u w:val="single"/>
        </w:rPr>
        <w:t>　</w:t>
      </w:r>
    </w:p>
    <w:p>
      <w:pPr>
        <w:spacing w:line="360" w:lineRule="auto"/>
        <w:ind w:left="1116" w:leftChars="371" w:hanging="300" w:hangingChars="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乌鲁木齐市新市区北京中路233号　</w:t>
      </w:r>
    </w:p>
    <w:p>
      <w:pPr>
        <w:spacing w:line="360" w:lineRule="auto"/>
        <w:ind w:left="1116" w:leftChars="371" w:hanging="300" w:hangingChars="125"/>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bookmarkStart w:id="0" w:name="_Toc28359009"/>
      <w:bookmarkStart w:id="1" w:name="_Toc28359086"/>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李老师</w:t>
      </w:r>
      <w:r>
        <w:rPr>
          <w:rFonts w:hint="eastAsia" w:ascii="宋体" w:hAnsi="宋体" w:eastAsia="宋体" w:cs="宋体"/>
          <w:color w:val="auto"/>
          <w:sz w:val="24"/>
          <w:szCs w:val="24"/>
          <w:highlight w:val="none"/>
          <w:u w:val="single"/>
          <w:lang w:val="en-US" w:eastAsia="zh-CN"/>
        </w:rPr>
        <w:t xml:space="preserve">  15688338557 </w:t>
      </w:r>
    </w:p>
    <w:p>
      <w:pPr>
        <w:spacing w:line="360" w:lineRule="auto"/>
        <w:ind w:left="1116" w:leftChars="371" w:hanging="300" w:hangingChars="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0"/>
      <w:bookmarkEnd w:id="1"/>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新疆元泓工程项目管理咨询有限公司 </w:t>
      </w:r>
    </w:p>
    <w:p>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乌鲁木齐市经济技术开发区乌昌路252号九方财富广场A座525室</w:t>
      </w:r>
      <w:r>
        <w:rPr>
          <w:rFonts w:hint="eastAsia" w:ascii="宋体" w:hAnsi="宋体" w:eastAsia="宋体" w:cs="宋体"/>
          <w:color w:val="auto"/>
          <w:sz w:val="24"/>
          <w:szCs w:val="24"/>
          <w:highlight w:val="none"/>
          <w:u w:val="single"/>
          <w:lang w:val="en-US" w:eastAsia="zh-CN"/>
        </w:rPr>
        <w:t xml:space="preserve"> </w:t>
      </w:r>
    </w:p>
    <w:p>
      <w:pPr>
        <w:spacing w:line="360" w:lineRule="auto"/>
        <w:ind w:firstLine="720" w:firstLineChars="300"/>
        <w:rPr>
          <w:rFonts w:hint="eastAsia" w:ascii="宋体" w:hAnsi="宋体" w:eastAsia="宋体" w:cs="宋体"/>
          <w:color w:val="auto"/>
          <w:sz w:val="24"/>
          <w:szCs w:val="24"/>
          <w:highlight w:val="none"/>
          <w:u w:val="single"/>
        </w:rPr>
      </w:pPr>
      <w:bookmarkStart w:id="2" w:name="_Toc28359010"/>
      <w:bookmarkStart w:id="3" w:name="_Toc28359087"/>
      <w:r>
        <w:rPr>
          <w:rFonts w:hint="eastAsia" w:ascii="宋体" w:hAnsi="宋体" w:eastAsia="宋体" w:cs="宋体"/>
          <w:color w:val="auto"/>
          <w:sz w:val="24"/>
          <w:szCs w:val="24"/>
          <w:highlight w:val="none"/>
        </w:rPr>
        <w:t>3.项目联系方式</w:t>
      </w:r>
      <w:bookmarkEnd w:id="2"/>
      <w:bookmarkEnd w:id="3"/>
    </w:p>
    <w:p>
      <w:pPr>
        <w:pStyle w:val="23"/>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eastAsia="zh-CN"/>
        </w:rPr>
        <w:t>宋方方</w:t>
      </w:r>
      <w:r>
        <w:rPr>
          <w:rFonts w:hint="eastAsia" w:ascii="宋体" w:hAnsi="宋体" w:eastAsia="宋体" w:cs="宋体"/>
          <w:i w:val="0"/>
          <w:iCs w:val="0"/>
          <w:color w:val="auto"/>
          <w:sz w:val="24"/>
          <w:szCs w:val="24"/>
          <w:highlight w:val="none"/>
          <w:u w:val="single"/>
          <w:lang w:val="en-US" w:eastAsia="zh-CN"/>
        </w:rPr>
        <w:t xml:space="preserve">  </w:t>
      </w:r>
    </w:p>
    <w:p>
      <w:pPr>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15099177725</w:t>
      </w:r>
      <w:r>
        <w:rPr>
          <w:rFonts w:hint="eastAsia" w:ascii="宋体" w:hAnsi="宋体" w:eastAsia="宋体" w:cs="宋体"/>
          <w:color w:val="auto"/>
          <w:sz w:val="24"/>
          <w:szCs w:val="24"/>
          <w:highlight w:val="none"/>
          <w:u w:val="single"/>
        </w:rPr>
        <w:t>　　</w:t>
      </w:r>
    </w:p>
    <w:p>
      <w:pPr>
        <w:pStyle w:val="24"/>
        <w:keepNext w:val="0"/>
        <w:keepLines w:val="0"/>
        <w:widowControl/>
        <w:suppressLineNumbers w:val="0"/>
        <w:spacing w:line="240" w:lineRule="auto"/>
        <w:ind w:firstLine="720" w:firstLineChars="3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4"/>
          <w:szCs w:val="24"/>
          <w:highlight w:val="none"/>
          <w:u w:val="none"/>
          <w:lang w:eastAsia="zh-CN"/>
        </w:rPr>
        <w:t>财政监督电话：</w:t>
      </w:r>
      <w:r>
        <w:rPr>
          <w:rFonts w:hint="eastAsia" w:ascii="宋体" w:hAnsi="宋体" w:eastAsia="宋体" w:cs="宋体"/>
          <w:color w:val="auto"/>
          <w:sz w:val="24"/>
          <w:szCs w:val="24"/>
          <w:highlight w:val="none"/>
          <w:u w:val="none"/>
          <w:lang w:val="en-US" w:eastAsia="zh-CN"/>
        </w:rPr>
        <w:t>0991-2359482</w:t>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numPr>
          <w:ilvl w:val="0"/>
          <w:numId w:val="0"/>
        </w:numPr>
        <w:tabs>
          <w:tab w:val="left" w:pos="4867"/>
        </w:tabs>
        <w:spacing w:line="242" w:lineRule="auto"/>
        <w:ind w:left="3060" w:leftChars="0" w:right="2602" w:rightChars="0"/>
        <w:jc w:val="left"/>
        <w:rPr>
          <w:rFonts w:hint="eastAsia" w:ascii="宋体" w:hAnsi="宋体" w:eastAsia="宋体" w:cs="宋体"/>
          <w:color w:val="auto"/>
          <w:spacing w:val="-16"/>
          <w:highlight w:val="none"/>
        </w:rPr>
      </w:pPr>
      <w:r>
        <w:rPr>
          <w:rFonts w:hint="eastAsia" w:ascii="宋体" w:hAnsi="宋体" w:eastAsia="宋体" w:cs="宋体"/>
          <w:color w:val="auto"/>
          <w:highlight w:val="none"/>
          <w:lang w:eastAsia="zh-CN"/>
        </w:rPr>
        <w:t>第二部分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投标人须</w:t>
      </w:r>
      <w:r>
        <w:rPr>
          <w:rFonts w:hint="eastAsia" w:ascii="宋体" w:hAnsi="宋体" w:eastAsia="宋体" w:cs="宋体"/>
          <w:color w:val="auto"/>
          <w:spacing w:val="-16"/>
          <w:highlight w:val="none"/>
        </w:rPr>
        <w:t>知</w:t>
      </w:r>
    </w:p>
    <w:p>
      <w:pPr>
        <w:pStyle w:val="5"/>
        <w:numPr>
          <w:ilvl w:val="0"/>
          <w:numId w:val="0"/>
        </w:numPr>
        <w:tabs>
          <w:tab w:val="left" w:pos="4867"/>
        </w:tabs>
        <w:spacing w:line="242" w:lineRule="auto"/>
        <w:ind w:left="3060" w:leftChars="0" w:right="2602" w:rightChars="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投标人须知前附表</w:t>
      </w:r>
    </w:p>
    <w:tbl>
      <w:tblPr>
        <w:tblStyle w:val="25"/>
        <w:tblW w:w="93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48"/>
        <w:gridCol w:w="1380"/>
        <w:gridCol w:w="632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3" w:hRule="atLeast"/>
          <w:jc w:val="center"/>
        </w:trPr>
        <w:tc>
          <w:tcPr>
            <w:tcW w:w="1648" w:type="dxa"/>
            <w:tcBorders>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条款号</w:t>
            </w:r>
          </w:p>
        </w:tc>
        <w:tc>
          <w:tcPr>
            <w:tcW w:w="1380" w:type="dxa"/>
            <w:tcBorders>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条款名称</w:t>
            </w:r>
          </w:p>
        </w:tc>
        <w:tc>
          <w:tcPr>
            <w:tcW w:w="6328" w:type="dxa"/>
            <w:tcBorders>
              <w:left w:val="single" w:color="000000" w:sz="6" w:space="0"/>
              <w:bottom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项目名称</w:t>
            </w:r>
          </w:p>
        </w:tc>
        <w:tc>
          <w:tcPr>
            <w:tcW w:w="6328" w:type="dxa"/>
            <w:tcBorders>
              <w:top w:val="single" w:color="000000" w:sz="6" w:space="0"/>
              <w:left w:val="single" w:color="000000" w:sz="6" w:space="0"/>
              <w:bottom w:val="single" w:color="000000" w:sz="6" w:space="0"/>
            </w:tcBorders>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新疆铁道职业技术学院1+X列车运行控制系统地面信号设备运用与维护实训室建设项目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8"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1.2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采购方式</w:t>
            </w:r>
          </w:p>
        </w:tc>
        <w:tc>
          <w:tcPr>
            <w:tcW w:w="6328" w:type="dxa"/>
            <w:tcBorders>
              <w:top w:val="single" w:color="000000" w:sz="6" w:space="0"/>
              <w:left w:val="single" w:color="000000" w:sz="6" w:space="0"/>
              <w:bottom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both"/>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公开招标，投标人只有一次报价。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1.3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采购内容</w:t>
            </w:r>
          </w:p>
        </w:tc>
        <w:tc>
          <w:tcPr>
            <w:tcW w:w="6328" w:type="dxa"/>
            <w:tcBorders>
              <w:top w:val="single" w:color="000000" w:sz="6" w:space="0"/>
              <w:left w:val="single" w:color="000000" w:sz="6" w:space="0"/>
              <w:bottom w:val="single" w:color="000000" w:sz="6" w:space="0"/>
            </w:tcBorders>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lang w:val="en-US" w:eastAsia="zh-CN"/>
              </w:rPr>
              <w:t>1+X列车运行控制系统地面信号设备运用与维护实训室建设项目（详见采购内容及技术服务要求</w:t>
            </w:r>
            <w:r>
              <w:rPr>
                <w:rFonts w:hint="eastAsia" w:ascii="宋体" w:hAnsi="宋体" w:eastAsia="宋体" w:cs="宋体"/>
                <w:color w:val="auto"/>
                <w:spacing w:val="-1"/>
                <w:w w:val="95"/>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1.4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资金来源</w:t>
            </w:r>
          </w:p>
        </w:tc>
        <w:tc>
          <w:tcPr>
            <w:tcW w:w="6328" w:type="dxa"/>
            <w:tcBorders>
              <w:top w:val="single" w:color="000000" w:sz="6" w:space="0"/>
              <w:left w:val="single" w:color="000000" w:sz="6" w:space="0"/>
              <w:bottom w:val="single" w:color="000000" w:sz="6" w:space="0"/>
            </w:tcBorders>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1.5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项目地点</w:t>
            </w:r>
          </w:p>
        </w:tc>
        <w:tc>
          <w:tcPr>
            <w:tcW w:w="6328" w:type="dxa"/>
            <w:tcBorders>
              <w:top w:val="single" w:color="000000" w:sz="6" w:space="0"/>
              <w:left w:val="single" w:color="000000" w:sz="6" w:space="0"/>
              <w:bottom w:val="single" w:color="000000" w:sz="6" w:space="0"/>
            </w:tcBorders>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采购人约定地点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1.6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服务期</w:t>
            </w:r>
          </w:p>
        </w:tc>
        <w:tc>
          <w:tcPr>
            <w:tcW w:w="6328" w:type="dxa"/>
            <w:tcBorders>
              <w:top w:val="single" w:color="000000" w:sz="6" w:space="0"/>
              <w:left w:val="single" w:color="000000" w:sz="6" w:space="0"/>
              <w:bottom w:val="single" w:color="000000" w:sz="6" w:space="0"/>
            </w:tcBorders>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default"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rPr>
              <w:t>自合同签订之日起至2022</w:t>
            </w:r>
            <w:r>
              <w:rPr>
                <w:rFonts w:hint="eastAsia" w:ascii="宋体" w:hAnsi="宋体" w:eastAsia="宋体" w:cs="宋体"/>
                <w:color w:val="auto"/>
                <w:spacing w:val="-1"/>
                <w:w w:val="95"/>
                <w:sz w:val="21"/>
                <w:szCs w:val="21"/>
                <w:highlight w:val="none"/>
                <w:lang w:eastAsia="zh-CN"/>
              </w:rPr>
              <w:t>年</w:t>
            </w:r>
            <w:r>
              <w:rPr>
                <w:rFonts w:hint="eastAsia" w:ascii="宋体" w:hAnsi="宋体" w:eastAsia="宋体" w:cs="宋体"/>
                <w:color w:val="auto"/>
                <w:spacing w:val="-1"/>
                <w:w w:val="95"/>
                <w:sz w:val="21"/>
                <w:szCs w:val="21"/>
                <w:highlight w:val="none"/>
              </w:rPr>
              <w:t>6</w:t>
            </w:r>
            <w:r>
              <w:rPr>
                <w:rFonts w:hint="eastAsia" w:ascii="宋体" w:hAnsi="宋体" w:eastAsia="宋体" w:cs="宋体"/>
                <w:color w:val="auto"/>
                <w:spacing w:val="-1"/>
                <w:w w:val="95"/>
                <w:sz w:val="21"/>
                <w:szCs w:val="21"/>
                <w:highlight w:val="none"/>
                <w:lang w:eastAsia="zh-CN"/>
              </w:rPr>
              <w:t>月</w:t>
            </w:r>
            <w:r>
              <w:rPr>
                <w:rFonts w:hint="eastAsia" w:ascii="宋体" w:hAnsi="宋体" w:eastAsia="宋体" w:cs="宋体"/>
                <w:color w:val="auto"/>
                <w:spacing w:val="-1"/>
                <w:w w:val="95"/>
                <w:sz w:val="21"/>
                <w:szCs w:val="21"/>
                <w:highlight w:val="none"/>
              </w:rPr>
              <w:t>30</w:t>
            </w:r>
            <w:r>
              <w:rPr>
                <w:rFonts w:hint="eastAsia" w:ascii="宋体" w:hAnsi="宋体" w:eastAsia="宋体" w:cs="宋体"/>
                <w:color w:val="auto"/>
                <w:spacing w:val="-1"/>
                <w:w w:val="95"/>
                <w:sz w:val="21"/>
                <w:szCs w:val="21"/>
                <w:highlight w:val="none"/>
                <w:lang w:eastAsia="zh-CN"/>
              </w:rPr>
              <w:t>日</w:t>
            </w:r>
            <w:r>
              <w:rPr>
                <w:rFonts w:hint="eastAsia" w:cs="宋体"/>
                <w:color w:val="auto"/>
                <w:spacing w:val="-1"/>
                <w:w w:val="95"/>
                <w:sz w:val="21"/>
                <w:szCs w:val="21"/>
                <w:highlight w:val="none"/>
                <w:lang w:eastAsia="zh-CN"/>
              </w:rPr>
              <w:t>完成</w:t>
            </w:r>
            <w:r>
              <w:rPr>
                <w:rFonts w:hint="eastAsia" w:cs="宋体"/>
                <w:color w:val="auto"/>
                <w:spacing w:val="-1"/>
                <w:w w:val="95"/>
                <w:sz w:val="21"/>
                <w:szCs w:val="21"/>
                <w:highlight w:val="none"/>
                <w:lang w:val="en-US" w:eastAsia="zh-CN"/>
              </w:rPr>
              <w:t xml:space="preserve">      质保期：3年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5"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2.1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采购人</w:t>
            </w:r>
          </w:p>
        </w:tc>
        <w:tc>
          <w:tcPr>
            <w:tcW w:w="6328" w:type="dxa"/>
            <w:tcBorders>
              <w:top w:val="single" w:color="000000" w:sz="6" w:space="0"/>
              <w:left w:val="single" w:color="000000" w:sz="6" w:space="0"/>
              <w:bottom w:val="single" w:color="000000" w:sz="6" w:space="0"/>
            </w:tcBorders>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eastAsia="zh-CN"/>
              </w:rPr>
            </w:pPr>
            <w:r>
              <w:rPr>
                <w:rFonts w:hint="eastAsia" w:ascii="宋体" w:hAnsi="宋体" w:eastAsia="宋体" w:cs="宋体"/>
                <w:color w:val="auto"/>
                <w:spacing w:val="-1"/>
                <w:w w:val="95"/>
                <w:sz w:val="21"/>
                <w:szCs w:val="21"/>
                <w:highlight w:val="none"/>
              </w:rPr>
              <w:t>采购人：</w:t>
            </w:r>
            <w:r>
              <w:rPr>
                <w:rFonts w:hint="eastAsia" w:ascii="宋体" w:hAnsi="宋体" w:eastAsia="宋体" w:cs="宋体"/>
                <w:color w:val="auto"/>
                <w:spacing w:val="-1"/>
                <w:w w:val="95"/>
                <w:sz w:val="21"/>
                <w:szCs w:val="21"/>
                <w:highlight w:val="none"/>
                <w:lang w:eastAsia="zh-CN"/>
              </w:rPr>
              <w:t>新疆铁道职业技术学院</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地址：乌鲁木齐市新市区北京中路233号</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联系人：李老师</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lang w:val="en-US" w:eastAsia="zh-CN"/>
              </w:rPr>
              <w:t>联系电话：15688338557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0"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2.2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代理机构</w:t>
            </w:r>
          </w:p>
        </w:tc>
        <w:tc>
          <w:tcPr>
            <w:tcW w:w="6328" w:type="dxa"/>
            <w:tcBorders>
              <w:top w:val="single" w:color="000000" w:sz="6" w:space="0"/>
              <w:left w:val="single" w:color="000000" w:sz="6" w:space="0"/>
              <w:bottom w:val="single" w:color="000000" w:sz="6" w:space="0"/>
            </w:tcBorders>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名称：新疆元泓工程项目管理咨询有限公司</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地址：乌鲁木齐市经济技术开发区乌昌路252号九方财富广场A座525室</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联系人：宋方方</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联系电话：15099177725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0"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2.9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偏离</w:t>
            </w:r>
          </w:p>
        </w:tc>
        <w:tc>
          <w:tcPr>
            <w:tcW w:w="6328" w:type="dxa"/>
            <w:tcBorders>
              <w:top w:val="single" w:color="000000" w:sz="6" w:space="0"/>
              <w:left w:val="single" w:color="000000" w:sz="6" w:space="0"/>
              <w:bottom w:val="single" w:color="000000" w:sz="6" w:space="0"/>
            </w:tcBorders>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2"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3.1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lang w:eastAsia="zh-CN"/>
              </w:rPr>
              <w:t>投标人</w:t>
            </w:r>
            <w:r>
              <w:rPr>
                <w:rFonts w:hint="eastAsia" w:ascii="宋体" w:hAnsi="宋体" w:eastAsia="宋体" w:cs="宋体"/>
                <w:color w:val="auto"/>
                <w:spacing w:val="-1"/>
                <w:w w:val="95"/>
                <w:sz w:val="21"/>
                <w:szCs w:val="21"/>
                <w:highlight w:val="none"/>
              </w:rPr>
              <w:t>资格</w:t>
            </w:r>
          </w:p>
        </w:tc>
        <w:tc>
          <w:tcPr>
            <w:tcW w:w="6328" w:type="dxa"/>
            <w:tcBorders>
              <w:top w:val="single" w:color="000000" w:sz="6" w:space="0"/>
              <w:left w:val="single" w:color="000000" w:sz="6" w:space="0"/>
              <w:bottom w:val="single" w:color="000000" w:sz="6" w:space="0"/>
            </w:tcBorders>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1.满足《中华人民共和国政府采购法》第二十二条规定；</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1）具有独立承担民事责任的能力；</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2）具有良好的商业信誉和健全的财务会计制度；</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3）具有履行合同所必需的设备和专业技术能力；</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4）有依法缴纳税收和社会保障资金的良好记录；</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5）参加政府采购活动前三年内，在经营活动中没有重大违法记录；</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2.落实政府采购政策需满足的资格要求：符合政府采购优先（节约能源、保护环境）采购政策及促进中小企业发展政策的，依据规定给予评审优惠；</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3.本项目的特定资格要求：</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1）供应商须出具工商营业执照副本、税务登记证副本、组织机构代码证副本或“三证合一”的营业执照副本；</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lang w:val="en-US" w:eastAsia="zh-CN"/>
              </w:rPr>
            </w:pPr>
            <w:r>
              <w:rPr>
                <w:rFonts w:hint="eastAsia" w:ascii="宋体" w:hAnsi="宋体" w:eastAsia="宋体" w:cs="宋体"/>
                <w:color w:val="auto"/>
                <w:spacing w:val="-1"/>
                <w:w w:val="95"/>
                <w:sz w:val="21"/>
                <w:szCs w:val="21"/>
                <w:highlight w:val="none"/>
                <w:lang w:val="en-US" w:eastAsia="zh-CN"/>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lang w:val="en-US" w:eastAsia="zh-CN"/>
              </w:rPr>
              <w:t>3）单位负责人为同一人或者存在直接控股、管理关系的不同供应商，不得同时参加本项目的竞争；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5.1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是否接受联合体投标</w:t>
            </w:r>
          </w:p>
        </w:tc>
        <w:tc>
          <w:tcPr>
            <w:tcW w:w="6328" w:type="dxa"/>
            <w:tcBorders>
              <w:top w:val="single" w:color="000000" w:sz="6" w:space="0"/>
              <w:left w:val="single" w:color="000000" w:sz="6" w:space="0"/>
              <w:bottom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2"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第一章 6.1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踏勘现场</w:t>
            </w:r>
          </w:p>
        </w:tc>
        <w:tc>
          <w:tcPr>
            <w:tcW w:w="6328" w:type="dxa"/>
            <w:tcBorders>
              <w:top w:val="single" w:color="000000" w:sz="6" w:space="0"/>
              <w:left w:val="single" w:color="000000" w:sz="6" w:space="0"/>
              <w:bottom w:val="single" w:color="000000" w:sz="6" w:space="0"/>
            </w:tcBorders>
            <w:vAlign w:val="bottom"/>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第三章 15.7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业绩</w:t>
            </w:r>
          </w:p>
        </w:tc>
        <w:tc>
          <w:tcPr>
            <w:tcW w:w="6328" w:type="dxa"/>
            <w:tcBorders>
              <w:top w:val="single" w:color="000000" w:sz="6" w:space="0"/>
              <w:left w:val="single" w:color="000000" w:sz="6" w:space="0"/>
              <w:bottom w:val="single" w:color="000000" w:sz="6" w:space="0"/>
            </w:tcBorders>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近</w:t>
            </w:r>
            <w:r>
              <w:rPr>
                <w:rFonts w:hint="eastAsia" w:ascii="宋体" w:hAnsi="宋体" w:eastAsia="宋体" w:cs="宋体"/>
                <w:color w:val="auto"/>
                <w:spacing w:val="-1"/>
                <w:w w:val="95"/>
                <w:sz w:val="21"/>
                <w:szCs w:val="21"/>
                <w:highlight w:val="none"/>
                <w:lang w:val="en-US" w:eastAsia="zh-CN"/>
              </w:rPr>
              <w:t>三</w:t>
            </w:r>
            <w:r>
              <w:rPr>
                <w:rFonts w:hint="eastAsia" w:ascii="宋体" w:hAnsi="宋体" w:eastAsia="宋体" w:cs="宋体"/>
                <w:color w:val="auto"/>
                <w:spacing w:val="-1"/>
                <w:w w:val="95"/>
                <w:sz w:val="21"/>
                <w:szCs w:val="21"/>
                <w:highlight w:val="none"/>
              </w:rPr>
              <w:t>年（201</w:t>
            </w:r>
            <w:r>
              <w:rPr>
                <w:rFonts w:hint="eastAsia" w:ascii="宋体" w:hAnsi="宋体" w:eastAsia="宋体" w:cs="宋体"/>
                <w:color w:val="auto"/>
                <w:spacing w:val="-1"/>
                <w:w w:val="95"/>
                <w:sz w:val="21"/>
                <w:szCs w:val="21"/>
                <w:highlight w:val="none"/>
                <w:lang w:val="en-US" w:eastAsia="zh-CN"/>
              </w:rPr>
              <w:t>9</w:t>
            </w:r>
            <w:r>
              <w:rPr>
                <w:rFonts w:hint="eastAsia" w:ascii="宋体" w:hAnsi="宋体" w:eastAsia="宋体" w:cs="宋体"/>
                <w:color w:val="auto"/>
                <w:spacing w:val="-1"/>
                <w:w w:val="95"/>
                <w:sz w:val="21"/>
                <w:szCs w:val="21"/>
                <w:highlight w:val="none"/>
              </w:rPr>
              <w:t>年</w:t>
            </w:r>
            <w:r>
              <w:rPr>
                <w:rFonts w:hint="eastAsia" w:ascii="宋体" w:hAnsi="宋体" w:eastAsia="宋体" w:cs="宋体"/>
                <w:color w:val="auto"/>
                <w:spacing w:val="-1"/>
                <w:w w:val="95"/>
                <w:sz w:val="21"/>
                <w:szCs w:val="21"/>
                <w:highlight w:val="none"/>
                <w:lang w:val="en-US" w:eastAsia="zh-CN"/>
              </w:rPr>
              <w:t>4</w:t>
            </w:r>
            <w:r>
              <w:rPr>
                <w:rFonts w:hint="eastAsia" w:ascii="宋体" w:hAnsi="宋体" w:eastAsia="宋体" w:cs="宋体"/>
                <w:color w:val="auto"/>
                <w:spacing w:val="-1"/>
                <w:w w:val="95"/>
                <w:sz w:val="21"/>
                <w:szCs w:val="21"/>
                <w:highlight w:val="none"/>
              </w:rPr>
              <w:t xml:space="preserve"> 月 1 日至今）已完成类似项目业绩，业绩须包含本次招标的内容；</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业绩证明材料为：合同协议书或中标通知书等相关的证明材料； 合同仅需提供包含合同首页、标的内容及金额所在页、供货合同签字盖章页即可，需加盖公章）。未提供业绩证明材或内容模糊不清的，其业绩不予认定。本项内容作为评审内容，未按上述要求提交证明材料的，将影响评审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6"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第三章 16.3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最高投标限价</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ind w:left="108"/>
              <w:jc w:val="center"/>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（采购预算）</w:t>
            </w:r>
          </w:p>
        </w:tc>
        <w:tc>
          <w:tcPr>
            <w:tcW w:w="6328" w:type="dxa"/>
            <w:tcBorders>
              <w:top w:val="single" w:color="000000" w:sz="6" w:space="0"/>
              <w:left w:val="single" w:color="000000" w:sz="6" w:space="0"/>
              <w:bottom w:val="single" w:color="000000" w:sz="6" w:space="0"/>
            </w:tcBorders>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Autospacing="0" w:line="360" w:lineRule="exact"/>
              <w:textAlignment w:val="auto"/>
              <w:rPr>
                <w:rFonts w:hint="eastAsia" w:ascii="宋体" w:hAnsi="宋体" w:eastAsia="宋体" w:cs="宋体"/>
                <w:color w:val="auto"/>
                <w:spacing w:val="-1"/>
                <w:w w:val="95"/>
                <w:sz w:val="21"/>
                <w:szCs w:val="21"/>
                <w:highlight w:val="none"/>
              </w:rPr>
            </w:pPr>
            <w:r>
              <w:rPr>
                <w:rFonts w:hint="eastAsia" w:ascii="宋体" w:hAnsi="宋体" w:eastAsia="宋体" w:cs="宋体"/>
                <w:color w:val="auto"/>
                <w:spacing w:val="-1"/>
                <w:w w:val="95"/>
                <w:sz w:val="21"/>
                <w:szCs w:val="21"/>
                <w:highlight w:val="none"/>
              </w:rPr>
              <w:t>本项目的最高投标限价（即采购预算）为：</w:t>
            </w:r>
            <w:r>
              <w:rPr>
                <w:rFonts w:hint="eastAsia" w:ascii="宋体" w:hAnsi="宋体" w:eastAsia="宋体" w:cs="宋体"/>
                <w:color w:val="auto"/>
                <w:spacing w:val="-1"/>
                <w:w w:val="95"/>
                <w:sz w:val="21"/>
                <w:szCs w:val="21"/>
                <w:highlight w:val="none"/>
                <w:lang w:val="en-US" w:eastAsia="zh-CN"/>
              </w:rPr>
              <w:t>2557500</w:t>
            </w:r>
            <w:r>
              <w:rPr>
                <w:rFonts w:hint="eastAsia" w:ascii="宋体" w:hAnsi="宋体" w:eastAsia="宋体" w:cs="宋体"/>
                <w:color w:val="auto"/>
                <w:spacing w:val="-1"/>
                <w:w w:val="95"/>
                <w:sz w:val="21"/>
                <w:szCs w:val="21"/>
                <w:highlight w:val="none"/>
              </w:rPr>
              <w:t>（</w:t>
            </w:r>
            <w:r>
              <w:rPr>
                <w:rFonts w:hint="eastAsia" w:ascii="宋体" w:hAnsi="宋体" w:eastAsia="宋体" w:cs="宋体"/>
                <w:color w:val="auto"/>
                <w:spacing w:val="-1"/>
                <w:w w:val="95"/>
                <w:sz w:val="21"/>
                <w:szCs w:val="21"/>
                <w:highlight w:val="none"/>
                <w:lang w:eastAsia="zh-CN"/>
              </w:rPr>
              <w:t>贰佰伍拾伍万柒仟伍佰元整</w:t>
            </w:r>
            <w:r>
              <w:rPr>
                <w:rFonts w:hint="eastAsia" w:ascii="宋体" w:hAnsi="宋体" w:eastAsia="宋体" w:cs="宋体"/>
                <w:color w:val="auto"/>
                <w:spacing w:val="-1"/>
                <w:w w:val="95"/>
                <w:sz w:val="21"/>
                <w:szCs w:val="21"/>
                <w:highlight w:val="none"/>
              </w:rPr>
              <w:t>）。各投标人的投标报价不得超过最高投标限价，否则其投标文件将按否决投标处理。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jc w:val="center"/>
        </w:trPr>
        <w:tc>
          <w:tcPr>
            <w:tcW w:w="1648" w:type="dxa"/>
            <w:tcBorders>
              <w:top w:val="single" w:color="000000" w:sz="6" w:space="0"/>
              <w:bottom w:val="single" w:color="000000" w:sz="6" w:space="0"/>
              <w:right w:val="single" w:color="000000" w:sz="6" w:space="0"/>
            </w:tcBorders>
            <w:vAlign w:val="top"/>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第三章 17.1 款</w:t>
            </w:r>
          </w:p>
        </w:tc>
        <w:tc>
          <w:tcPr>
            <w:tcW w:w="1380" w:type="dxa"/>
            <w:tcBorders>
              <w:top w:val="single" w:color="000000" w:sz="6" w:space="0"/>
              <w:left w:val="single" w:color="000000" w:sz="6" w:space="0"/>
              <w:bottom w:val="single" w:color="000000" w:sz="6" w:space="0"/>
              <w:right w:val="single" w:color="000000" w:sz="6" w:space="0"/>
            </w:tcBorders>
            <w:vAlign w:val="top"/>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投标有效期</w:t>
            </w:r>
          </w:p>
        </w:tc>
        <w:tc>
          <w:tcPr>
            <w:tcW w:w="6328" w:type="dxa"/>
            <w:tcBorders>
              <w:top w:val="single" w:color="000000" w:sz="6" w:space="0"/>
              <w:left w:val="single" w:color="000000" w:sz="6" w:space="0"/>
              <w:bottom w:val="single" w:color="000000" w:sz="6" w:space="0"/>
            </w:tcBorders>
            <w:vAlign w:val="top"/>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90 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6"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第三章 18.1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投标保证金</w:t>
            </w:r>
          </w:p>
        </w:tc>
        <w:tc>
          <w:tcPr>
            <w:tcW w:w="6328" w:type="dxa"/>
            <w:tcBorders>
              <w:top w:val="single" w:color="000000" w:sz="6" w:space="0"/>
              <w:left w:val="single" w:color="000000" w:sz="6" w:space="0"/>
              <w:bottom w:val="single" w:color="000000" w:sz="6" w:space="0"/>
            </w:tcBorders>
            <w:vAlign w:val="top"/>
          </w:tcPr>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投标保证金的金额：</w:t>
            </w:r>
            <w:r>
              <w:rPr>
                <w:rFonts w:hint="eastAsia" w:ascii="宋体" w:hAnsi="宋体" w:eastAsia="宋体" w:cs="宋体"/>
                <w:color w:val="auto"/>
                <w:spacing w:val="-1"/>
                <w:w w:val="95"/>
                <w:sz w:val="21"/>
                <w:highlight w:val="none"/>
                <w:lang w:val="en-US" w:eastAsia="zh-CN"/>
              </w:rPr>
              <w:t>2</w:t>
            </w:r>
            <w:r>
              <w:rPr>
                <w:rFonts w:hint="eastAsia" w:ascii="宋体" w:hAnsi="宋体" w:eastAsia="宋体" w:cs="宋体"/>
                <w:color w:val="auto"/>
                <w:spacing w:val="-1"/>
                <w:w w:val="95"/>
                <w:sz w:val="21"/>
                <w:highlight w:val="none"/>
              </w:rPr>
              <w:t>0000.00 元。（</w:t>
            </w:r>
            <w:r>
              <w:rPr>
                <w:rFonts w:hint="eastAsia" w:ascii="宋体" w:hAnsi="宋体" w:eastAsia="宋体" w:cs="宋体"/>
                <w:color w:val="auto"/>
                <w:spacing w:val="-1"/>
                <w:w w:val="95"/>
                <w:sz w:val="21"/>
                <w:highlight w:val="none"/>
                <w:lang w:val="en-US" w:eastAsia="zh-CN"/>
              </w:rPr>
              <w:t>贰万元整</w:t>
            </w:r>
            <w:r>
              <w:rPr>
                <w:rFonts w:hint="eastAsia" w:ascii="宋体" w:hAnsi="宋体" w:eastAsia="宋体" w:cs="宋体"/>
                <w:color w:val="auto"/>
                <w:spacing w:val="-1"/>
                <w:w w:val="95"/>
                <w:sz w:val="21"/>
                <w:highlight w:val="none"/>
              </w:rPr>
              <w:t>） 投标保证金的形式：电汇、网银等非现金形式。</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rPr>
              <w:t>账户名称：</w:t>
            </w:r>
            <w:r>
              <w:rPr>
                <w:rFonts w:hint="eastAsia" w:ascii="宋体" w:hAnsi="宋体" w:eastAsia="宋体" w:cs="宋体"/>
                <w:color w:val="auto"/>
                <w:spacing w:val="-1"/>
                <w:w w:val="95"/>
                <w:sz w:val="21"/>
                <w:highlight w:val="none"/>
                <w:lang w:val="en-US" w:eastAsia="zh-CN"/>
              </w:rPr>
              <w:t>新疆元泓工程项目管理咨询有限公司</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开 户 行：</w:t>
            </w:r>
            <w:r>
              <w:rPr>
                <w:rFonts w:hint="eastAsia" w:ascii="宋体" w:hAnsi="宋体" w:eastAsia="宋体" w:cs="宋体"/>
                <w:color w:val="auto"/>
                <w:spacing w:val="-1"/>
                <w:w w:val="95"/>
                <w:sz w:val="21"/>
                <w:highlight w:val="none"/>
                <w:lang w:eastAsia="zh-CN"/>
              </w:rPr>
              <w:t>交通银行乌鲁木齐青年路支行</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default"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rPr>
              <w:t>账号：86516510350188001000</w:t>
            </w:r>
            <w:r>
              <w:rPr>
                <w:rFonts w:hint="eastAsia" w:cs="宋体"/>
                <w:color w:val="auto"/>
                <w:spacing w:val="-1"/>
                <w:w w:val="95"/>
                <w:sz w:val="21"/>
                <w:highlight w:val="none"/>
                <w:lang w:val="en-US" w:eastAsia="zh-CN"/>
              </w:rPr>
              <w:t>711</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 xml:space="preserve">附注：xxx 项目投标保证金（项目名称简写即可） </w:t>
            </w:r>
          </w:p>
          <w:p>
            <w:pPr>
              <w:pStyle w:val="33"/>
              <w:keepNext w:val="0"/>
              <w:keepLines w:val="0"/>
              <w:pageBreakBefore w:val="0"/>
              <w:widowControl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lang w:val="en-US" w:eastAsia="zh-CN"/>
              </w:rPr>
              <w:t>注：保证金以实际到账为准、各投标人因自行考虑资金在途时间，</w:t>
            </w:r>
            <w:r>
              <w:rPr>
                <w:rFonts w:hint="eastAsia" w:ascii="宋体" w:hAnsi="宋体" w:eastAsia="宋体" w:cs="宋体"/>
                <w:color w:val="auto"/>
                <w:spacing w:val="-1"/>
                <w:w w:val="95"/>
                <w:sz w:val="21"/>
                <w:highlight w:val="none"/>
              </w:rPr>
              <w:t>投标文件中</w:t>
            </w:r>
            <w:r>
              <w:rPr>
                <w:rFonts w:hint="eastAsia" w:ascii="宋体" w:hAnsi="宋体" w:eastAsia="宋体" w:cs="宋体"/>
                <w:color w:val="auto"/>
                <w:spacing w:val="-1"/>
                <w:w w:val="95"/>
                <w:sz w:val="21"/>
                <w:highlight w:val="none"/>
                <w:lang w:val="en-US" w:eastAsia="zh-CN"/>
              </w:rPr>
              <w:t>需提供</w:t>
            </w:r>
            <w:r>
              <w:rPr>
                <w:rFonts w:hint="eastAsia" w:ascii="宋体" w:hAnsi="宋体" w:eastAsia="宋体" w:cs="宋体"/>
                <w:color w:val="auto"/>
                <w:spacing w:val="-1"/>
                <w:w w:val="95"/>
                <w:sz w:val="21"/>
                <w:highlight w:val="none"/>
              </w:rPr>
              <w:t>汇款凭证，无需到公司换取投标保证金收据</w:t>
            </w:r>
            <w:r>
              <w:rPr>
                <w:rFonts w:hint="eastAsia" w:ascii="宋体" w:hAnsi="宋体" w:eastAsia="宋体" w:cs="宋体"/>
                <w:color w:val="auto"/>
                <w:spacing w:val="-1"/>
                <w:w w:val="95"/>
                <w:sz w:val="21"/>
                <w:highlight w:val="none"/>
                <w:lang w:eastAsia="zh-CN"/>
              </w:rPr>
              <w:t>，</w:t>
            </w:r>
            <w:r>
              <w:rPr>
                <w:rFonts w:hint="eastAsia" w:ascii="宋体" w:hAnsi="宋体" w:eastAsia="宋体" w:cs="宋体"/>
                <w:color w:val="auto"/>
                <w:spacing w:val="-1"/>
                <w:w w:val="95"/>
                <w:sz w:val="21"/>
                <w:highlight w:val="none"/>
              </w:rPr>
              <w:t>投标保证金必须在投标文件递交截止时间前确保到帐；投标人未按招标文件要求提交投标保证金的，投标文件无效。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6" w:hRule="atLeast"/>
          <w:jc w:val="center"/>
        </w:trPr>
        <w:tc>
          <w:tcPr>
            <w:tcW w:w="1648" w:type="dxa"/>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第三章 18.2 款</w:t>
            </w:r>
          </w:p>
        </w:tc>
        <w:tc>
          <w:tcPr>
            <w:tcW w:w="1380"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投标保证金的退还</w:t>
            </w:r>
          </w:p>
        </w:tc>
        <w:tc>
          <w:tcPr>
            <w:tcW w:w="6328" w:type="dxa"/>
            <w:tcBorders>
              <w:top w:val="single" w:color="000000" w:sz="6" w:space="0"/>
              <w:left w:val="single" w:color="000000" w:sz="6" w:space="0"/>
              <w:bottom w:val="single" w:color="000000" w:sz="6" w:space="0"/>
            </w:tcBorders>
            <w:vAlign w:val="top"/>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（1）</w:t>
            </w:r>
            <w:r>
              <w:rPr>
                <w:rFonts w:hint="eastAsia" w:ascii="宋体" w:hAnsi="宋体" w:eastAsia="宋体" w:cs="宋体"/>
                <w:color w:val="auto"/>
                <w:spacing w:val="-6"/>
                <w:w w:val="95"/>
                <w:sz w:val="21"/>
                <w:highlight w:val="none"/>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textAlignment w:val="auto"/>
              <w:rPr>
                <w:rFonts w:hint="eastAsia" w:ascii="宋体" w:hAnsi="宋体" w:eastAsia="宋体" w:cs="宋体"/>
                <w:color w:val="auto"/>
                <w:spacing w:val="-1"/>
                <w:w w:val="95"/>
                <w:sz w:val="21"/>
                <w:szCs w:val="22"/>
                <w:highlight w:val="none"/>
                <w:lang w:val="en-US" w:eastAsia="zh-CN" w:bidi="zh-CN"/>
              </w:rPr>
            </w:pPr>
            <w:r>
              <w:rPr>
                <w:rFonts w:hint="eastAsia" w:ascii="宋体" w:hAnsi="宋体" w:eastAsia="宋体" w:cs="宋体"/>
                <w:color w:val="auto"/>
                <w:spacing w:val="-1"/>
                <w:w w:val="95"/>
                <w:sz w:val="21"/>
                <w:highlight w:val="none"/>
              </w:rPr>
              <w:t>（2）采购人或者采购代理机构应当自中标通知书发出之日起5个工作日内退还未中标人的投标保证金，自采购合同签订之日起5个工作日内退还中标人的投标保证金。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6" w:hRule="atLeast"/>
          <w:jc w:val="center"/>
        </w:trPr>
        <w:tc>
          <w:tcPr>
            <w:tcW w:w="1648" w:type="dxa"/>
            <w:tcBorders>
              <w:top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第三章 18.3 款</w:t>
            </w:r>
          </w:p>
        </w:tc>
        <w:tc>
          <w:tcPr>
            <w:tcW w:w="1380" w:type="dxa"/>
            <w:tcBorders>
              <w:top w:val="single" w:color="000000" w:sz="6" w:space="0"/>
              <w:left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1"/>
                <w:w w:val="95"/>
                <w:sz w:val="21"/>
                <w:szCs w:val="22"/>
                <w:highlight w:val="none"/>
                <w:lang w:val="zh-CN" w:eastAsia="zh-CN" w:bidi="zh-CN"/>
              </w:rPr>
            </w:pPr>
            <w:r>
              <w:rPr>
                <w:rFonts w:hint="eastAsia" w:ascii="宋体" w:hAnsi="宋体" w:eastAsia="宋体" w:cs="宋体"/>
                <w:color w:val="auto"/>
                <w:spacing w:val="-1"/>
                <w:w w:val="95"/>
                <w:sz w:val="21"/>
                <w:highlight w:val="none"/>
              </w:rPr>
              <w:t>不予退还保证金的情形</w:t>
            </w:r>
          </w:p>
        </w:tc>
        <w:tc>
          <w:tcPr>
            <w:tcW w:w="6328" w:type="dxa"/>
            <w:tcBorders>
              <w:top w:val="single" w:color="000000" w:sz="6" w:space="0"/>
              <w:left w:val="single" w:color="000000" w:sz="6" w:space="0"/>
            </w:tcBorders>
            <w:vAlign w:val="top"/>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有下列情形之一的，保证金不予退还：</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供应商在提交投标文件截止时间后撤回投标文件的；</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供应商在投标文件中提供虚假材料的；</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除因不可抗力或招标文件认可的情形以外，成交供应商不与采购人签订合同的；</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供应商与采购人、其他供应商或者采购代理机构恶意串通的；</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leftChars="0" w:right="0" w:rightChars="0"/>
              <w:textAlignment w:val="auto"/>
              <w:rPr>
                <w:rFonts w:hint="eastAsia" w:ascii="宋体" w:hAnsi="宋体" w:eastAsia="宋体" w:cs="宋体"/>
                <w:color w:val="auto"/>
                <w:spacing w:val="-1"/>
                <w:w w:val="95"/>
                <w:sz w:val="21"/>
                <w:szCs w:val="22"/>
                <w:highlight w:val="none"/>
                <w:lang w:val="en-US" w:eastAsia="zh-CN" w:bidi="zh-CN"/>
              </w:rPr>
            </w:pPr>
            <w:r>
              <w:rPr>
                <w:rFonts w:hint="eastAsia" w:ascii="宋体" w:hAnsi="宋体" w:eastAsia="宋体" w:cs="宋体"/>
                <w:color w:val="auto"/>
                <w:spacing w:val="-1"/>
                <w:w w:val="95"/>
                <w:sz w:val="21"/>
                <w:highlight w:val="none"/>
              </w:rPr>
              <w:t>招标文件规定的其他情形。</w:t>
            </w:r>
          </w:p>
        </w:tc>
      </w:tr>
    </w:tbl>
    <w:p>
      <w:pPr>
        <w:pStyle w:val="33"/>
        <w:tabs>
          <w:tab w:val="left" w:pos="1682"/>
        </w:tabs>
        <w:spacing w:before="132"/>
        <w:ind w:left="108"/>
        <w:rPr>
          <w:rFonts w:hint="eastAsia" w:ascii="宋体" w:hAnsi="宋体" w:eastAsia="宋体" w:cs="宋体"/>
          <w:color w:val="auto"/>
          <w:spacing w:val="-1"/>
          <w:w w:val="95"/>
          <w:sz w:val="21"/>
          <w:highlight w:val="none"/>
        </w:rPr>
        <w:sectPr>
          <w:pgSz w:w="11910" w:h="16840"/>
          <w:pgMar w:top="1134" w:right="1134" w:bottom="1134" w:left="1134" w:header="0" w:footer="998" w:gutter="0"/>
          <w:cols w:space="0" w:num="1"/>
          <w:rtlGutter w:val="0"/>
          <w:docGrid w:linePitch="0" w:charSpace="0"/>
        </w:sectPr>
      </w:pPr>
    </w:p>
    <w:tbl>
      <w:tblPr>
        <w:tblStyle w:val="25"/>
        <w:tblW w:w="95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76"/>
        <w:gridCol w:w="672"/>
        <w:gridCol w:w="1755"/>
        <w:gridCol w:w="61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3" w:hRule="atLeast"/>
          <w:jc w:val="center"/>
        </w:trPr>
        <w:tc>
          <w:tcPr>
            <w:tcW w:w="1648" w:type="dxa"/>
            <w:gridSpan w:val="2"/>
            <w:tcBorders>
              <w:bottom w:val="single" w:color="000000" w:sz="6" w:space="0"/>
              <w:right w:val="single" w:color="000000" w:sz="6" w:space="0"/>
            </w:tcBorders>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条款号</w:t>
            </w:r>
          </w:p>
        </w:tc>
        <w:tc>
          <w:tcPr>
            <w:tcW w:w="1755" w:type="dxa"/>
            <w:tcBorders>
              <w:left w:val="single" w:color="000000" w:sz="6" w:space="0"/>
              <w:bottom w:val="single" w:color="000000" w:sz="6" w:space="0"/>
              <w:right w:val="single" w:color="000000" w:sz="6" w:space="0"/>
            </w:tcBorders>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条款名称</w:t>
            </w:r>
          </w:p>
        </w:tc>
        <w:tc>
          <w:tcPr>
            <w:tcW w:w="6193" w:type="dxa"/>
            <w:tcBorders>
              <w:left w:val="single" w:color="000000" w:sz="6" w:space="0"/>
              <w:bottom w:val="single" w:color="000000" w:sz="6" w:space="0"/>
            </w:tcBorders>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3" w:hRule="atLeast"/>
          <w:jc w:val="center"/>
        </w:trPr>
        <w:tc>
          <w:tcPr>
            <w:tcW w:w="1648" w:type="dxa"/>
            <w:gridSpan w:val="2"/>
            <w:tcBorders>
              <w:top w:val="single" w:color="000000" w:sz="6" w:space="0"/>
              <w:bottom w:val="single" w:color="000000" w:sz="6" w:space="0"/>
              <w:right w:val="single" w:color="000000" w:sz="6" w:space="0"/>
            </w:tcBorders>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p>
        </w:tc>
        <w:tc>
          <w:tcPr>
            <w:tcW w:w="1755" w:type="dxa"/>
            <w:tcBorders>
              <w:top w:val="single" w:color="000000" w:sz="6" w:space="0"/>
              <w:left w:val="single" w:color="000000" w:sz="6" w:space="0"/>
              <w:bottom w:val="single" w:color="000000" w:sz="6" w:space="0"/>
              <w:right w:val="single" w:color="000000" w:sz="6" w:space="0"/>
            </w:tcBorders>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p>
        </w:tc>
        <w:tc>
          <w:tcPr>
            <w:tcW w:w="6193" w:type="dxa"/>
            <w:tcBorders>
              <w:top w:val="single" w:color="000000" w:sz="6" w:space="0"/>
              <w:left w:val="single" w:color="000000" w:sz="6" w:space="0"/>
              <w:bottom w:val="single" w:color="000000" w:sz="6" w:space="0"/>
            </w:tcBorders>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第三章 19.1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投标文件密封和标记</w:t>
            </w:r>
          </w:p>
        </w:tc>
        <w:tc>
          <w:tcPr>
            <w:tcW w:w="6193" w:type="dxa"/>
            <w:tcBorders>
              <w:top w:val="single" w:color="000000" w:sz="6" w:space="0"/>
              <w:left w:val="single" w:color="000000" w:sz="6" w:space="0"/>
              <w:bottom w:val="single" w:color="000000" w:sz="6" w:space="0"/>
            </w:tcBorders>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☑采用不见面开标：</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1．本项目采用不见面开标、投标人需通过“政采云电子交易客户端”完成投标文件编制，并将加密的电子投标文件（格式为.PDF），在投标截止时间前通过政采云平台上传到指定位置。无需递交纸质文件。</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2.本项目采用远程不见面交易的模式。开标当日，投标人无需到达开标现场，仅需在任意地点通过政采云平台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3.远程开标前，投标人务必在政采云平台https://www.zcygov.cn/投标文件上传模块中使用“模拟解密”功能，验证本机远程自助解密环境。</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4.投标人须在开标后提供纸质版投标文件3份（1正2副，密封在档案袋中），未加密的电子投标文件2份U盘（内容：投标文件正本按照招标文件规定的投标文件格式加盖完投标人公章及法定代表人章的彩色扫描件，PDF格式），做好标示，密封提交至新疆元泓工程项目管理咨询有限公司（乌鲁木齐市经开区乌昌路252号九方财富广场A座525），纸质版投标文件与电子版投标文件内容保持一致，由此产生的一切风险与后果由各潜在投标供应商承担。装订应采取A4纸分包牢固胶装装订成册，必须编写目录页码（页码应连续），投标人应在密封袋上注明项目名称、编号和投标人名称。</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注：投标人在开标时须自行准备硬件设备及CA数字证书，硬件设备须提前配置好相关浏览器（建议使用360或谷歌浏览器），并自行调试该设备可联网，以便开标时解密。本项目投标文件解密时间定为30分钟，如因自身原因导致无法按规定时间正常解密，一切后果由投标人自行承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2"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第四章 2</w:t>
            </w:r>
            <w:r>
              <w:rPr>
                <w:rFonts w:hint="eastAsia" w:ascii="宋体" w:hAnsi="宋体" w:eastAsia="宋体" w:cs="宋体"/>
                <w:color w:val="auto"/>
                <w:spacing w:val="-1"/>
                <w:w w:val="95"/>
                <w:sz w:val="21"/>
                <w:highlight w:val="none"/>
                <w:lang w:val="en-US" w:eastAsia="zh-CN"/>
              </w:rPr>
              <w:t>0</w:t>
            </w:r>
            <w:r>
              <w:rPr>
                <w:rFonts w:hint="eastAsia" w:ascii="宋体" w:hAnsi="宋体" w:eastAsia="宋体" w:cs="宋体"/>
                <w:color w:val="auto"/>
                <w:spacing w:val="-1"/>
                <w:w w:val="95"/>
                <w:sz w:val="21"/>
                <w:highlight w:val="none"/>
              </w:rPr>
              <w:t>.1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投标文件递交截止时间及地点</w:t>
            </w:r>
          </w:p>
        </w:tc>
        <w:tc>
          <w:tcPr>
            <w:tcW w:w="6193" w:type="dxa"/>
            <w:tcBorders>
              <w:top w:val="single" w:color="000000" w:sz="6" w:space="0"/>
              <w:left w:val="single" w:color="000000" w:sz="6" w:space="0"/>
              <w:bottom w:val="single" w:color="000000" w:sz="6" w:space="0"/>
            </w:tcBorders>
            <w:vAlign w:val="top"/>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☑采用不见面开标：</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时间：202</w:t>
            </w:r>
            <w:r>
              <w:rPr>
                <w:rFonts w:hint="eastAsia" w:ascii="宋体" w:hAnsi="宋体" w:eastAsia="宋体" w:cs="宋体"/>
                <w:color w:val="auto"/>
                <w:spacing w:val="-1"/>
                <w:w w:val="95"/>
                <w:sz w:val="21"/>
                <w:highlight w:val="none"/>
                <w:lang w:val="en-US" w:eastAsia="zh-CN"/>
              </w:rPr>
              <w:t>2</w:t>
            </w:r>
            <w:r>
              <w:rPr>
                <w:rFonts w:hint="eastAsia" w:ascii="宋体" w:hAnsi="宋体" w:eastAsia="宋体" w:cs="宋体"/>
                <w:color w:val="auto"/>
                <w:spacing w:val="-1"/>
                <w:w w:val="95"/>
                <w:sz w:val="21"/>
                <w:highlight w:val="none"/>
              </w:rPr>
              <w:t>年</w:t>
            </w:r>
            <w:r>
              <w:rPr>
                <w:rFonts w:hint="eastAsia" w:ascii="宋体" w:hAnsi="宋体" w:eastAsia="宋体" w:cs="宋体"/>
                <w:color w:val="auto"/>
                <w:spacing w:val="-1"/>
                <w:w w:val="95"/>
                <w:sz w:val="21"/>
                <w:highlight w:val="none"/>
                <w:lang w:val="en-US" w:eastAsia="zh-CN"/>
              </w:rPr>
              <w:t>05</w:t>
            </w:r>
            <w:r>
              <w:rPr>
                <w:rFonts w:hint="eastAsia" w:ascii="宋体" w:hAnsi="宋体" w:eastAsia="宋体" w:cs="宋体"/>
                <w:color w:val="auto"/>
                <w:spacing w:val="-1"/>
                <w:w w:val="95"/>
                <w:sz w:val="21"/>
                <w:highlight w:val="none"/>
              </w:rPr>
              <w:t>月</w:t>
            </w:r>
            <w:r>
              <w:rPr>
                <w:rFonts w:hint="eastAsia" w:cs="宋体"/>
                <w:color w:val="auto"/>
                <w:spacing w:val="-1"/>
                <w:w w:val="95"/>
                <w:sz w:val="21"/>
                <w:highlight w:val="none"/>
                <w:lang w:val="en-US" w:eastAsia="zh-CN"/>
              </w:rPr>
              <w:t>09</w:t>
            </w:r>
            <w:r>
              <w:rPr>
                <w:rFonts w:hint="eastAsia" w:ascii="宋体" w:hAnsi="宋体" w:eastAsia="宋体" w:cs="宋体"/>
                <w:color w:val="auto"/>
                <w:spacing w:val="-1"/>
                <w:w w:val="95"/>
                <w:sz w:val="21"/>
                <w:highlight w:val="none"/>
              </w:rPr>
              <w:t>日</w:t>
            </w:r>
            <w:r>
              <w:rPr>
                <w:rFonts w:hint="eastAsia" w:ascii="宋体" w:hAnsi="宋体" w:eastAsia="宋体" w:cs="宋体"/>
                <w:color w:val="auto"/>
                <w:spacing w:val="-1"/>
                <w:w w:val="95"/>
                <w:sz w:val="21"/>
                <w:highlight w:val="none"/>
                <w:lang w:val="en-US" w:eastAsia="zh-CN"/>
              </w:rPr>
              <w:t>11</w:t>
            </w:r>
            <w:r>
              <w:rPr>
                <w:rFonts w:hint="eastAsia" w:ascii="宋体" w:hAnsi="宋体" w:eastAsia="宋体" w:cs="宋体"/>
                <w:color w:val="auto"/>
                <w:spacing w:val="-1"/>
                <w:w w:val="95"/>
                <w:sz w:val="21"/>
                <w:highlight w:val="none"/>
              </w:rPr>
              <w:t>时00分。</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地点：</w:t>
            </w:r>
            <w:r>
              <w:rPr>
                <w:rFonts w:hint="eastAsia" w:ascii="宋体" w:hAnsi="宋体" w:eastAsia="宋体" w:cs="宋体"/>
                <w:color w:val="auto"/>
                <w:spacing w:val="-6"/>
                <w:w w:val="95"/>
                <w:sz w:val="21"/>
                <w:highlight w:val="none"/>
                <w:lang w:val="en-US" w:eastAsia="zh-CN"/>
              </w:rPr>
              <w:t>政采云平台（https://www.zcygov.cn/）远程不见面开标大厅。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3"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第五章 2</w:t>
            </w:r>
            <w:r>
              <w:rPr>
                <w:rFonts w:hint="eastAsia" w:ascii="宋体" w:hAnsi="宋体" w:eastAsia="宋体" w:cs="宋体"/>
                <w:color w:val="auto"/>
                <w:spacing w:val="-1"/>
                <w:w w:val="95"/>
                <w:sz w:val="21"/>
                <w:highlight w:val="none"/>
                <w:lang w:val="en-US" w:eastAsia="zh-CN"/>
              </w:rPr>
              <w:t>2.</w:t>
            </w:r>
            <w:r>
              <w:rPr>
                <w:rFonts w:hint="eastAsia" w:ascii="宋体" w:hAnsi="宋体" w:eastAsia="宋体" w:cs="宋体"/>
                <w:color w:val="auto"/>
                <w:spacing w:val="-1"/>
                <w:w w:val="95"/>
                <w:sz w:val="21"/>
                <w:highlight w:val="none"/>
              </w:rPr>
              <w:t xml:space="preserve">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开标时间及地点</w:t>
            </w:r>
          </w:p>
        </w:tc>
        <w:tc>
          <w:tcPr>
            <w:tcW w:w="6193" w:type="dxa"/>
            <w:tcBorders>
              <w:top w:val="single" w:color="000000" w:sz="6" w:space="0"/>
              <w:left w:val="single" w:color="000000" w:sz="6" w:space="0"/>
              <w:bottom w:val="single" w:color="000000" w:sz="6" w:space="0"/>
            </w:tcBorders>
            <w:vAlign w:val="top"/>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开标时间：同投标文件递交截止时间</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开标地点：同投标文件递交地点</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不见面开标默认解密时长：30分钟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1"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第六章 2</w:t>
            </w:r>
            <w:r>
              <w:rPr>
                <w:rFonts w:hint="eastAsia" w:ascii="宋体" w:hAnsi="宋体" w:eastAsia="宋体" w:cs="宋体"/>
                <w:color w:val="auto"/>
                <w:spacing w:val="-1"/>
                <w:w w:val="95"/>
                <w:sz w:val="21"/>
                <w:highlight w:val="none"/>
                <w:lang w:val="en-US" w:eastAsia="zh-CN"/>
              </w:rPr>
              <w:t>6</w:t>
            </w:r>
            <w:r>
              <w:rPr>
                <w:rFonts w:hint="eastAsia" w:ascii="宋体" w:hAnsi="宋体" w:eastAsia="宋体" w:cs="宋体"/>
                <w:color w:val="auto"/>
                <w:spacing w:val="-1"/>
                <w:w w:val="95"/>
                <w:sz w:val="21"/>
                <w:highlight w:val="none"/>
              </w:rPr>
              <w:t>.</w:t>
            </w:r>
            <w:r>
              <w:rPr>
                <w:rFonts w:hint="eastAsia" w:ascii="宋体" w:hAnsi="宋体" w:eastAsia="宋体" w:cs="宋体"/>
                <w:color w:val="auto"/>
                <w:spacing w:val="-1"/>
                <w:w w:val="95"/>
                <w:sz w:val="21"/>
                <w:highlight w:val="none"/>
                <w:lang w:val="en-US" w:eastAsia="zh-CN"/>
              </w:rPr>
              <w:t>1</w:t>
            </w:r>
            <w:r>
              <w:rPr>
                <w:rFonts w:hint="eastAsia" w:ascii="宋体" w:hAnsi="宋体" w:eastAsia="宋体" w:cs="宋体"/>
                <w:color w:val="auto"/>
                <w:spacing w:val="-1"/>
                <w:w w:val="95"/>
                <w:sz w:val="21"/>
                <w:highlight w:val="none"/>
              </w:rPr>
              <w:t>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lang w:val="en-US" w:eastAsia="zh-CN"/>
              </w:rPr>
              <w:t>资格条件</w:t>
            </w:r>
          </w:p>
        </w:tc>
        <w:tc>
          <w:tcPr>
            <w:tcW w:w="6193" w:type="dxa"/>
            <w:tcBorders>
              <w:top w:val="single" w:color="000000" w:sz="6" w:space="0"/>
              <w:left w:val="single" w:color="000000" w:sz="6" w:space="0"/>
              <w:bottom w:val="single" w:color="000000" w:sz="6" w:space="0"/>
            </w:tcBorders>
            <w:vAlign w:val="top"/>
          </w:tcPr>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1.满足《中华人民共和国政府采购法》第二十二条规定；</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1）具有独立承担民事责任的能力；</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2）具有良好的商业信誉和健全的财务会计制度；</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3）具有履行合同所必需的设备和专业技术能力；</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4）有依法缴纳税收和社会保障资金的良好记录；</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5）参加政府采购活动前三年内，在经营活动中没有重大违法记录；</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2.落实政府采购政策需满足的资格要求：符合政府采购优先（节约能源、保护环境）采购政策及促进中小企业发展政策的，依据规定给予评审优惠；</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3.本项目的特定资格要求：</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1）供应商须出具工商营业执照副本、税务登记证副本、组织机构代码证副本或“三证合一”的营业执照副本；</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2）凡拟参加本次投标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val="0"/>
                <w:bCs w:val="0"/>
                <w:color w:val="auto"/>
                <w:spacing w:val="-1"/>
                <w:w w:val="95"/>
                <w:kern w:val="0"/>
                <w:sz w:val="21"/>
                <w:szCs w:val="22"/>
                <w:highlight w:val="none"/>
                <w:lang w:val="zh-CN" w:eastAsia="zh-CN" w:bidi="zh-CN"/>
              </w:rPr>
            </w:pPr>
            <w:r>
              <w:rPr>
                <w:rFonts w:hint="eastAsia" w:ascii="宋体" w:hAnsi="宋体" w:eastAsia="宋体" w:cs="宋体"/>
                <w:b w:val="0"/>
                <w:bCs w:val="0"/>
                <w:color w:val="auto"/>
                <w:spacing w:val="-1"/>
                <w:w w:val="95"/>
                <w:kern w:val="0"/>
                <w:sz w:val="21"/>
                <w:szCs w:val="22"/>
                <w:highlight w:val="none"/>
                <w:lang w:val="zh-CN" w:eastAsia="zh-CN" w:bidi="zh-CN"/>
              </w:rPr>
              <w:t>3）单位负责人为同一人或者存在直接控股、管理关系的不同供应商，不得同时参加本项目的竞争； </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bCs/>
                <w:color w:val="auto"/>
                <w:spacing w:val="-1"/>
                <w:w w:val="95"/>
                <w:kern w:val="0"/>
                <w:sz w:val="21"/>
                <w:szCs w:val="22"/>
                <w:highlight w:val="none"/>
                <w:lang w:val="zh-CN" w:eastAsia="zh-CN" w:bidi="zh-CN"/>
              </w:rPr>
            </w:pPr>
            <w:r>
              <w:rPr>
                <w:rFonts w:hint="eastAsia" w:ascii="宋体" w:hAnsi="宋体" w:eastAsia="宋体" w:cs="宋体"/>
                <w:b/>
                <w:bCs/>
                <w:color w:val="auto"/>
                <w:spacing w:val="-1"/>
                <w:w w:val="95"/>
                <w:kern w:val="0"/>
                <w:sz w:val="21"/>
                <w:szCs w:val="22"/>
                <w:highlight w:val="none"/>
                <w:lang w:val="zh-CN" w:eastAsia="zh-CN" w:bidi="zh-CN"/>
              </w:rPr>
              <w:t>资格审查材料内容：</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color w:val="auto"/>
                <w:spacing w:val="-1"/>
                <w:w w:val="95"/>
                <w:kern w:val="0"/>
                <w:sz w:val="21"/>
                <w:szCs w:val="22"/>
                <w:highlight w:val="none"/>
                <w:lang w:val="zh-CN" w:eastAsia="zh-CN" w:bidi="zh-CN"/>
              </w:rPr>
            </w:pPr>
            <w:r>
              <w:rPr>
                <w:rFonts w:hint="eastAsia" w:ascii="宋体" w:hAnsi="宋体" w:eastAsia="宋体" w:cs="宋体"/>
                <w:color w:val="auto"/>
                <w:spacing w:val="-1"/>
                <w:w w:val="95"/>
                <w:kern w:val="0"/>
                <w:sz w:val="21"/>
                <w:szCs w:val="22"/>
                <w:highlight w:val="none"/>
                <w:lang w:val="zh-CN" w:eastAsia="zh-CN" w:bidi="zh-CN"/>
              </w:rPr>
              <w:t>1、法定代表人授权委托书、或法定代表人身份证明；</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color w:val="auto"/>
                <w:spacing w:val="-1"/>
                <w:w w:val="95"/>
                <w:kern w:val="0"/>
                <w:sz w:val="21"/>
                <w:szCs w:val="22"/>
                <w:highlight w:val="none"/>
                <w:lang w:val="zh-CN" w:eastAsia="zh-CN" w:bidi="zh-CN"/>
              </w:rPr>
            </w:pPr>
            <w:r>
              <w:rPr>
                <w:rFonts w:hint="eastAsia" w:ascii="宋体" w:hAnsi="宋体" w:eastAsia="宋体" w:cs="宋体"/>
                <w:color w:val="auto"/>
                <w:spacing w:val="-1"/>
                <w:w w:val="95"/>
                <w:kern w:val="0"/>
                <w:sz w:val="21"/>
                <w:szCs w:val="22"/>
                <w:highlight w:val="none"/>
                <w:lang w:val="zh-CN" w:eastAsia="zh-CN" w:bidi="zh-CN"/>
              </w:rPr>
              <w:t>2、有效的营业执照；</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color w:val="auto"/>
                <w:spacing w:val="-1"/>
                <w:w w:val="95"/>
                <w:kern w:val="0"/>
                <w:sz w:val="21"/>
                <w:szCs w:val="22"/>
                <w:highlight w:val="none"/>
                <w:lang w:val="zh-CN" w:eastAsia="zh-CN" w:bidi="zh-CN"/>
              </w:rPr>
            </w:pPr>
            <w:r>
              <w:rPr>
                <w:rFonts w:hint="eastAsia" w:ascii="宋体" w:hAnsi="宋体" w:eastAsia="宋体" w:cs="宋体"/>
                <w:color w:val="auto"/>
                <w:spacing w:val="-1"/>
                <w:w w:val="95"/>
                <w:kern w:val="0"/>
                <w:sz w:val="21"/>
                <w:szCs w:val="22"/>
                <w:highlight w:val="none"/>
                <w:lang w:val="zh-CN" w:eastAsia="zh-CN" w:bidi="zh-CN"/>
              </w:rPr>
              <w:t>3. 投标保证金汇款凭证加盖公章；</w:t>
            </w:r>
          </w:p>
          <w:p>
            <w:pPr>
              <w:pStyle w:val="2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kern w:val="0"/>
                <w:sz w:val="21"/>
                <w:szCs w:val="22"/>
                <w:highlight w:val="none"/>
                <w:lang w:val="zh-CN" w:eastAsia="zh-CN" w:bidi="zh-CN"/>
              </w:rPr>
              <w:t>4、</w:t>
            </w:r>
            <w:r>
              <w:rPr>
                <w:rFonts w:hint="eastAsia" w:ascii="宋体" w:hAnsi="宋体" w:eastAsia="宋体" w:cs="宋体"/>
                <w:color w:val="auto"/>
                <w:spacing w:val="-1"/>
                <w:w w:val="95"/>
                <w:kern w:val="0"/>
                <w:sz w:val="21"/>
                <w:szCs w:val="22"/>
                <w:highlight w:val="none"/>
                <w:lang w:val="en-US" w:eastAsia="zh-CN" w:bidi="zh-CN"/>
              </w:rPr>
              <w:t>投标人认为有必要提供的声明及文件资料；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第六章 2</w:t>
            </w:r>
            <w:r>
              <w:rPr>
                <w:rFonts w:hint="eastAsia" w:ascii="宋体" w:hAnsi="宋体" w:eastAsia="宋体" w:cs="宋体"/>
                <w:color w:val="auto"/>
                <w:spacing w:val="-1"/>
                <w:w w:val="95"/>
                <w:sz w:val="21"/>
                <w:highlight w:val="none"/>
                <w:lang w:val="en-US" w:eastAsia="zh-CN"/>
              </w:rPr>
              <w:t>5</w:t>
            </w:r>
            <w:r>
              <w:rPr>
                <w:rFonts w:hint="eastAsia" w:ascii="宋体" w:hAnsi="宋体" w:eastAsia="宋体" w:cs="宋体"/>
                <w:color w:val="auto"/>
                <w:spacing w:val="-1"/>
                <w:w w:val="95"/>
                <w:sz w:val="21"/>
                <w:highlight w:val="none"/>
              </w:rPr>
              <w:t>.2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评标方法</w:t>
            </w:r>
          </w:p>
        </w:tc>
        <w:tc>
          <w:tcPr>
            <w:tcW w:w="6193" w:type="dxa"/>
            <w:tcBorders>
              <w:top w:val="single" w:color="000000" w:sz="6" w:space="0"/>
              <w:left w:val="single" w:color="000000" w:sz="6" w:space="0"/>
              <w:bottom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648" w:type="dxa"/>
            <w:gridSpan w:val="2"/>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firstLine="197" w:firstLineChars="100"/>
              <w:jc w:val="both"/>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第六章 30.1 款</w:t>
            </w:r>
          </w:p>
        </w:tc>
        <w:tc>
          <w:tcPr>
            <w:tcW w:w="1755" w:type="dxa"/>
            <w:tcBorders>
              <w:top w:val="single" w:color="000000" w:sz="6" w:space="0"/>
              <w:left w:val="single" w:color="000000" w:sz="6" w:space="0"/>
              <w:bottom w:val="single" w:color="000000" w:sz="6"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推荐的中标候选</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人数量</w:t>
            </w:r>
          </w:p>
        </w:tc>
        <w:tc>
          <w:tcPr>
            <w:tcW w:w="6193" w:type="dxa"/>
            <w:tcBorders>
              <w:top w:val="single" w:color="000000" w:sz="6" w:space="0"/>
              <w:left w:val="single" w:color="000000" w:sz="6" w:space="0"/>
              <w:bottom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4"/>
                <w:szCs w:val="28"/>
                <w:highlight w:val="none"/>
                <w:u w:val="single"/>
              </w:rPr>
              <w:t xml:space="preserve">3 </w:t>
            </w:r>
            <w:r>
              <w:rPr>
                <w:rFonts w:hint="eastAsia" w:ascii="宋体" w:hAnsi="宋体" w:eastAsia="宋体" w:cs="宋体"/>
                <w:color w:val="auto"/>
                <w:spacing w:val="-1"/>
                <w:w w:val="95"/>
                <w:sz w:val="24"/>
                <w:szCs w:val="28"/>
                <w:highlight w:val="none"/>
              </w:rPr>
              <w:t>人</w:t>
            </w:r>
            <w:r>
              <w:rPr>
                <w:rFonts w:hint="eastAsia" w:ascii="宋体" w:hAnsi="宋体" w:eastAsia="宋体" w:cs="宋体"/>
                <w:color w:val="auto"/>
                <w:spacing w:val="-1"/>
                <w:w w:val="95"/>
                <w:sz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jc w:val="center"/>
        </w:trPr>
        <w:tc>
          <w:tcPr>
            <w:tcW w:w="1648" w:type="dxa"/>
            <w:gridSpan w:val="2"/>
            <w:tcBorders>
              <w:top w:val="single" w:color="000000" w:sz="6" w:space="0"/>
              <w:bottom w:val="single" w:color="auto" w:sz="4"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第六章 34.1 款</w:t>
            </w:r>
          </w:p>
        </w:tc>
        <w:tc>
          <w:tcPr>
            <w:tcW w:w="1755" w:type="dxa"/>
            <w:tcBorders>
              <w:top w:val="single" w:color="000000" w:sz="6" w:space="0"/>
              <w:left w:val="single" w:color="000000" w:sz="6" w:space="0"/>
              <w:bottom w:val="single" w:color="auto" w:sz="4" w:space="0"/>
              <w:right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center"/>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履约保证金</w:t>
            </w:r>
          </w:p>
        </w:tc>
        <w:tc>
          <w:tcPr>
            <w:tcW w:w="6193" w:type="dxa"/>
            <w:tcBorders>
              <w:top w:val="single" w:color="000000" w:sz="6" w:space="0"/>
              <w:left w:val="single" w:color="000000" w:sz="6" w:space="0"/>
              <w:bottom w:val="single" w:color="auto" w:sz="4" w:space="0"/>
            </w:tcBorders>
            <w:vAlign w:val="top"/>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left"/>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履约保证金金额：合同签订价的5%</w:t>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left"/>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注：中标人在签订合同前</w:t>
            </w:r>
            <w:r>
              <w:rPr>
                <w:rFonts w:hint="eastAsia" w:ascii="宋体" w:hAnsi="宋体" w:eastAsia="宋体" w:cs="宋体"/>
                <w:color w:val="auto"/>
                <w:spacing w:val="-1"/>
                <w:w w:val="95"/>
                <w:sz w:val="21"/>
                <w:highlight w:val="none"/>
                <w:lang w:val="en-US" w:eastAsia="zh-CN"/>
              </w:rPr>
              <w:fldChar w:fldCharType="begin"/>
            </w:r>
            <w:r>
              <w:rPr>
                <w:rFonts w:hint="eastAsia" w:ascii="宋体" w:hAnsi="宋体" w:eastAsia="宋体" w:cs="宋体"/>
                <w:color w:val="auto"/>
                <w:spacing w:val="-1"/>
                <w:w w:val="95"/>
                <w:sz w:val="21"/>
                <w:highlight w:val="none"/>
                <w:lang w:val="en-US" w:eastAsia="zh-CN"/>
              </w:rPr>
              <w:instrText xml:space="preserve"> HYPERLINK \l "_Hlk38643053" </w:instrText>
            </w:r>
            <w:r>
              <w:rPr>
                <w:rFonts w:hint="eastAsia" w:ascii="宋体" w:hAnsi="宋体" w:eastAsia="宋体" w:cs="宋体"/>
                <w:color w:val="auto"/>
                <w:spacing w:val="-1"/>
                <w:w w:val="95"/>
                <w:sz w:val="21"/>
                <w:highlight w:val="none"/>
                <w:lang w:val="en-US" w:eastAsia="zh-CN"/>
              </w:rPr>
              <w:fldChar w:fldCharType="separate"/>
            </w:r>
            <w:r>
              <w:rPr>
                <w:rFonts w:hint="eastAsia" w:ascii="宋体" w:hAnsi="宋体" w:eastAsia="宋体" w:cs="宋体"/>
                <w:color w:val="auto"/>
                <w:spacing w:val="-1"/>
                <w:w w:val="95"/>
                <w:sz w:val="21"/>
                <w:highlight w:val="none"/>
                <w:lang w:val="en-US" w:eastAsia="zh-CN"/>
              </w:rPr>
              <w:t>提交履约保证金。</w:t>
            </w:r>
            <w:r>
              <w:rPr>
                <w:rFonts w:hint="eastAsia" w:ascii="宋体" w:hAnsi="宋体" w:eastAsia="宋体" w:cs="宋体"/>
                <w:color w:val="auto"/>
                <w:spacing w:val="-1"/>
                <w:w w:val="95"/>
                <w:sz w:val="21"/>
                <w:highlight w:val="none"/>
                <w:lang w:val="en-US" w:eastAsia="zh-CN"/>
              </w:rPr>
              <w:fldChar w:fldCharType="end"/>
            </w:r>
          </w:p>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left"/>
              <w:textAlignment w:val="auto"/>
              <w:rPr>
                <w:rFonts w:hint="eastAsia" w:ascii="宋体" w:hAnsi="宋体" w:eastAsia="宋体" w:cs="宋体"/>
                <w:color w:val="auto"/>
                <w:spacing w:val="-1"/>
                <w:w w:val="95"/>
                <w:sz w:val="21"/>
                <w:highlight w:val="none"/>
                <w:lang w:val="en-US" w:eastAsia="zh-CN"/>
              </w:rPr>
            </w:pPr>
            <w:r>
              <w:rPr>
                <w:rFonts w:hint="eastAsia" w:ascii="宋体" w:hAnsi="宋体" w:eastAsia="宋体" w:cs="宋体"/>
                <w:color w:val="auto"/>
                <w:spacing w:val="-1"/>
                <w:w w:val="95"/>
                <w:sz w:val="21"/>
                <w:highlight w:val="none"/>
                <w:lang w:val="en-US" w:eastAsia="zh-CN"/>
              </w:rPr>
              <w:t>履约保证金形式：现金或转帐支票。如不缴纳履约保证金，视为放弃中标。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jc w:val="center"/>
        </w:trPr>
        <w:tc>
          <w:tcPr>
            <w:tcW w:w="9596" w:type="dxa"/>
            <w:gridSpan w:val="4"/>
            <w:tcBorders>
              <w:top w:val="single" w:color="000000" w:sz="6" w:space="0"/>
              <w:bottom w:val="single" w:color="000000" w:sz="6" w:space="0"/>
            </w:tcBorders>
            <w:vAlign w:val="center"/>
          </w:tcPr>
          <w:p>
            <w:pPr>
              <w:pStyle w:val="33"/>
              <w:keepNext w:val="0"/>
              <w:keepLines w:val="0"/>
              <w:pageBreakBefore w:val="0"/>
              <w:suppressLineNumbers w:val="0"/>
              <w:tabs>
                <w:tab w:val="left" w:pos="1682"/>
              </w:tabs>
              <w:kinsoku/>
              <w:wordWrap/>
              <w:overflowPunct/>
              <w:topLinePunct w:val="0"/>
              <w:autoSpaceDE w:val="0"/>
              <w:autoSpaceDN w:val="0"/>
              <w:bidi w:val="0"/>
              <w:adjustRightInd/>
              <w:snapToGrid/>
              <w:spacing w:before="0" w:beforeAutospacing="0" w:after="0" w:afterAutospacing="0" w:line="360" w:lineRule="exact"/>
              <w:ind w:left="108"/>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1"/>
                <w:w w:val="95"/>
                <w:sz w:val="21"/>
                <w:highlight w:val="none"/>
              </w:rPr>
              <w:t>第八章 37.1 款</w:t>
            </w:r>
            <w:r>
              <w:rPr>
                <w:rFonts w:hint="eastAsia" w:ascii="宋体" w:hAnsi="宋体" w:eastAsia="宋体" w:cs="宋体"/>
                <w:color w:val="auto"/>
                <w:spacing w:val="-1"/>
                <w:w w:val="95"/>
                <w:sz w:val="21"/>
                <w:highlight w:val="none"/>
              </w:rPr>
              <w:tab/>
            </w:r>
            <w:r>
              <w:rPr>
                <w:rFonts w:hint="eastAsia" w:ascii="宋体" w:hAnsi="宋体" w:eastAsia="宋体" w:cs="宋体"/>
                <w:color w:val="auto"/>
                <w:spacing w:val="-1"/>
                <w:w w:val="95"/>
                <w:sz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jc w:val="center"/>
        </w:trPr>
        <w:tc>
          <w:tcPr>
            <w:tcW w:w="976" w:type="dxa"/>
            <w:tcBorders>
              <w:top w:val="single" w:color="000000" w:sz="6" w:space="0"/>
              <w:bottom w:val="single" w:color="000000" w:sz="6" w:space="0"/>
              <w:right w:val="single" w:color="000000" w:sz="6" w:space="0"/>
            </w:tcBorders>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textAlignment w:val="auto"/>
              <w:rPr>
                <w:rFonts w:hint="eastAsia" w:ascii="宋体" w:hAnsi="宋体" w:eastAsia="宋体" w:cs="宋体"/>
                <w:b/>
                <w:color w:val="auto"/>
                <w:sz w:val="14"/>
                <w:highlight w:val="none"/>
              </w:rPr>
            </w:pPr>
          </w:p>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148"/>
              <w:jc w:val="right"/>
              <w:textAlignment w:val="auto"/>
              <w:rPr>
                <w:rFonts w:hint="eastAsia" w:ascii="宋体" w:hAnsi="宋体" w:eastAsia="宋体" w:cs="宋体"/>
                <w:color w:val="auto"/>
                <w:sz w:val="21"/>
                <w:highlight w:val="none"/>
              </w:rPr>
            </w:pPr>
            <w:r>
              <w:rPr>
                <w:rFonts w:hint="eastAsia" w:ascii="宋体" w:hAnsi="宋体" w:eastAsia="宋体" w:cs="宋体"/>
                <w:color w:val="auto"/>
                <w:w w:val="95"/>
                <w:sz w:val="21"/>
                <w:highlight w:val="none"/>
              </w:rPr>
              <w:t>37.1.1</w:t>
            </w:r>
          </w:p>
        </w:tc>
        <w:tc>
          <w:tcPr>
            <w:tcW w:w="8620" w:type="dxa"/>
            <w:gridSpan w:val="3"/>
            <w:tcBorders>
              <w:top w:val="single" w:color="000000" w:sz="6" w:space="0"/>
              <w:left w:val="single" w:color="000000" w:sz="6" w:space="0"/>
              <w:bottom w:val="single" w:color="000000" w:sz="6" w:space="0"/>
            </w:tcBorders>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52"/>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1"/>
                <w:w w:val="95"/>
                <w:sz w:val="21"/>
                <w:highlight w:val="none"/>
              </w:rPr>
              <w:t>自购买招标文件之日起，投标人应保证其提供的联系方式(电话、传真、电子邮件)一直有效，以保证往来函件(招标文件的澄清、修改等)能及时通知投标人，并能及时反馈信息，否则招标人不承担由此引起的一切后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976" w:type="dxa"/>
            <w:tcBorders>
              <w:top w:val="single" w:color="000000" w:sz="6" w:space="0"/>
              <w:bottom w:val="single" w:color="000000" w:sz="6" w:space="0"/>
              <w:right w:val="single" w:color="000000" w:sz="6" w:space="0"/>
            </w:tcBorders>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148"/>
              <w:jc w:val="right"/>
              <w:textAlignment w:val="auto"/>
              <w:rPr>
                <w:rFonts w:hint="eastAsia" w:ascii="宋体" w:hAnsi="宋体" w:eastAsia="宋体" w:cs="宋体"/>
                <w:color w:val="auto"/>
                <w:sz w:val="21"/>
                <w:highlight w:val="none"/>
              </w:rPr>
            </w:pPr>
            <w:r>
              <w:rPr>
                <w:rFonts w:hint="eastAsia" w:ascii="宋体" w:hAnsi="宋体" w:eastAsia="宋体" w:cs="宋体"/>
                <w:color w:val="auto"/>
                <w:w w:val="95"/>
                <w:sz w:val="21"/>
                <w:highlight w:val="none"/>
              </w:rPr>
              <w:t>37.1.2</w:t>
            </w:r>
          </w:p>
        </w:tc>
        <w:tc>
          <w:tcPr>
            <w:tcW w:w="8620" w:type="dxa"/>
            <w:gridSpan w:val="3"/>
            <w:tcBorders>
              <w:top w:val="single" w:color="000000" w:sz="6" w:space="0"/>
              <w:left w:val="single" w:color="000000" w:sz="6" w:space="0"/>
              <w:bottom w:val="single" w:color="000000" w:sz="6" w:space="0"/>
            </w:tcBorders>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textAlignment w:val="auto"/>
              <w:rPr>
                <w:rFonts w:hint="eastAsia" w:ascii="宋体" w:hAnsi="宋体" w:eastAsia="宋体" w:cs="宋体"/>
                <w:color w:val="auto"/>
                <w:spacing w:val="-1"/>
                <w:w w:val="95"/>
                <w:sz w:val="21"/>
                <w:highlight w:val="none"/>
                <w:lang w:eastAsia="zh-CN"/>
              </w:rPr>
            </w:pPr>
            <w:r>
              <w:rPr>
                <w:rFonts w:hint="eastAsia" w:ascii="宋体" w:hAnsi="宋体" w:eastAsia="宋体" w:cs="宋体"/>
                <w:color w:val="auto"/>
                <w:spacing w:val="-1"/>
                <w:w w:val="95"/>
                <w:sz w:val="21"/>
                <w:highlight w:val="none"/>
              </w:rPr>
              <w:t>付款方式：</w:t>
            </w:r>
            <w:r>
              <w:rPr>
                <w:rFonts w:hint="eastAsia" w:ascii="宋体" w:hAnsi="宋体" w:eastAsia="宋体" w:cs="宋体"/>
                <w:color w:val="auto"/>
                <w:spacing w:val="-1"/>
                <w:w w:val="95"/>
                <w:sz w:val="21"/>
                <w:highlight w:val="none"/>
                <w:lang w:val="en-US" w:eastAsia="zh-CN"/>
              </w:rPr>
              <w:t>1、</w:t>
            </w:r>
            <w:r>
              <w:rPr>
                <w:rFonts w:hint="eastAsia" w:ascii="宋体" w:hAnsi="宋体" w:eastAsia="宋体" w:cs="宋体"/>
                <w:color w:val="auto"/>
                <w:spacing w:val="-1"/>
                <w:w w:val="95"/>
                <w:sz w:val="21"/>
                <w:highlight w:val="none"/>
              </w:rPr>
              <w:t>合同签订</w:t>
            </w:r>
            <w:r>
              <w:rPr>
                <w:rFonts w:hint="eastAsia" w:ascii="宋体" w:hAnsi="宋体" w:eastAsia="宋体" w:cs="宋体"/>
                <w:color w:val="auto"/>
                <w:spacing w:val="-1"/>
                <w:w w:val="95"/>
                <w:sz w:val="21"/>
                <w:highlight w:val="none"/>
                <w:lang w:eastAsia="zh-CN"/>
              </w:rPr>
              <w:t>后</w:t>
            </w:r>
            <w:r>
              <w:rPr>
                <w:rFonts w:hint="eastAsia" w:ascii="宋体" w:hAnsi="宋体" w:eastAsia="宋体" w:cs="宋体"/>
                <w:color w:val="auto"/>
                <w:spacing w:val="-1"/>
                <w:w w:val="95"/>
                <w:sz w:val="21"/>
                <w:highlight w:val="none"/>
              </w:rPr>
              <w:t>支付合同总价的</w:t>
            </w:r>
            <w:r>
              <w:rPr>
                <w:rFonts w:hint="eastAsia" w:ascii="宋体" w:hAnsi="宋体" w:eastAsia="宋体" w:cs="宋体"/>
                <w:color w:val="auto"/>
                <w:spacing w:val="-1"/>
                <w:w w:val="95"/>
                <w:sz w:val="21"/>
                <w:highlight w:val="none"/>
                <w:lang w:val="en-US" w:eastAsia="zh-CN"/>
              </w:rPr>
              <w:t>40</w:t>
            </w:r>
            <w:r>
              <w:rPr>
                <w:rFonts w:hint="eastAsia" w:ascii="宋体" w:hAnsi="宋体" w:eastAsia="宋体" w:cs="宋体"/>
                <w:color w:val="auto"/>
                <w:spacing w:val="-1"/>
                <w:w w:val="95"/>
                <w:sz w:val="21"/>
                <w:highlight w:val="none"/>
              </w:rPr>
              <w:t>%</w:t>
            </w:r>
            <w:r>
              <w:rPr>
                <w:rFonts w:hint="eastAsia" w:ascii="宋体" w:hAnsi="宋体" w:eastAsia="宋体" w:cs="宋体"/>
                <w:color w:val="auto"/>
                <w:spacing w:val="-1"/>
                <w:w w:val="95"/>
                <w:sz w:val="21"/>
                <w:highlight w:val="none"/>
                <w:lang w:eastAsia="zh-CN"/>
              </w:rPr>
              <w:t>，</w:t>
            </w:r>
            <w:r>
              <w:rPr>
                <w:rFonts w:hint="eastAsia" w:ascii="宋体" w:hAnsi="宋体" w:eastAsia="宋体" w:cs="宋体"/>
                <w:color w:val="auto"/>
                <w:spacing w:val="-1"/>
                <w:w w:val="95"/>
                <w:sz w:val="21"/>
                <w:highlight w:val="none"/>
              </w:rPr>
              <w:t>全部完成并验收</w:t>
            </w:r>
            <w:r>
              <w:rPr>
                <w:rFonts w:hint="eastAsia" w:ascii="宋体" w:hAnsi="宋体" w:eastAsia="宋体" w:cs="宋体"/>
                <w:color w:val="auto"/>
                <w:spacing w:val="-1"/>
                <w:w w:val="95"/>
                <w:sz w:val="21"/>
                <w:highlight w:val="none"/>
                <w:lang w:eastAsia="zh-CN"/>
              </w:rPr>
              <w:t>合格</w:t>
            </w:r>
            <w:r>
              <w:rPr>
                <w:rFonts w:hint="eastAsia" w:ascii="宋体" w:hAnsi="宋体" w:eastAsia="宋体" w:cs="宋体"/>
                <w:color w:val="auto"/>
                <w:spacing w:val="-1"/>
                <w:w w:val="95"/>
                <w:sz w:val="21"/>
                <w:highlight w:val="none"/>
              </w:rPr>
              <w:t>后支付合同总价</w:t>
            </w:r>
            <w:r>
              <w:rPr>
                <w:rFonts w:hint="eastAsia" w:ascii="宋体" w:hAnsi="宋体" w:eastAsia="宋体" w:cs="宋体"/>
                <w:color w:val="auto"/>
                <w:spacing w:val="-1"/>
                <w:w w:val="95"/>
                <w:sz w:val="21"/>
                <w:highlight w:val="none"/>
                <w:lang w:eastAsia="zh-CN"/>
              </w:rPr>
              <w:t>的</w:t>
            </w:r>
            <w:r>
              <w:rPr>
                <w:rFonts w:hint="eastAsia" w:ascii="宋体" w:hAnsi="宋体" w:eastAsia="宋体" w:cs="宋体"/>
                <w:color w:val="auto"/>
                <w:spacing w:val="-1"/>
                <w:w w:val="95"/>
                <w:sz w:val="21"/>
                <w:highlight w:val="none"/>
                <w:lang w:val="en-US" w:eastAsia="zh-CN"/>
              </w:rPr>
              <w:t>55</w:t>
            </w:r>
            <w:r>
              <w:rPr>
                <w:rFonts w:hint="eastAsia" w:ascii="宋体" w:hAnsi="宋体" w:eastAsia="宋体" w:cs="宋体"/>
                <w:color w:val="auto"/>
                <w:spacing w:val="-1"/>
                <w:w w:val="95"/>
                <w:sz w:val="21"/>
                <w:highlight w:val="none"/>
              </w:rPr>
              <w:t>%</w:t>
            </w:r>
            <w:r>
              <w:rPr>
                <w:rFonts w:hint="eastAsia" w:ascii="宋体" w:hAnsi="宋体" w:eastAsia="宋体" w:cs="宋体"/>
                <w:color w:val="auto"/>
                <w:spacing w:val="-1"/>
                <w:w w:val="95"/>
                <w:sz w:val="21"/>
                <w:highlight w:val="none"/>
                <w:lang w:eastAsia="zh-CN"/>
              </w:rPr>
              <w:t>，</w:t>
            </w:r>
            <w:r>
              <w:rPr>
                <w:rFonts w:hint="eastAsia" w:ascii="宋体" w:hAnsi="宋体" w:eastAsia="宋体" w:cs="宋体"/>
                <w:color w:val="auto"/>
                <w:spacing w:val="-1"/>
                <w:w w:val="95"/>
                <w:sz w:val="21"/>
                <w:highlight w:val="none"/>
              </w:rPr>
              <w:t>留合同总价款的5％作为质量保证金，</w:t>
            </w:r>
            <w:r>
              <w:rPr>
                <w:rFonts w:hint="eastAsia" w:ascii="宋体" w:hAnsi="宋体" w:eastAsia="宋体" w:cs="宋体"/>
                <w:color w:val="auto"/>
                <w:spacing w:val="-1"/>
                <w:w w:val="95"/>
                <w:sz w:val="21"/>
                <w:highlight w:val="none"/>
                <w:lang w:eastAsia="zh-CN"/>
              </w:rPr>
              <w:t>一年后，</w:t>
            </w:r>
            <w:r>
              <w:rPr>
                <w:rFonts w:hint="eastAsia" w:ascii="宋体" w:hAnsi="宋体" w:eastAsia="宋体" w:cs="宋体"/>
                <w:color w:val="auto"/>
                <w:spacing w:val="-1"/>
                <w:w w:val="95"/>
                <w:sz w:val="21"/>
                <w:highlight w:val="none"/>
              </w:rPr>
              <w:t>无质量问题</w:t>
            </w:r>
            <w:r>
              <w:rPr>
                <w:rFonts w:hint="eastAsia" w:ascii="宋体" w:hAnsi="宋体" w:eastAsia="宋体" w:cs="宋体"/>
                <w:color w:val="auto"/>
                <w:spacing w:val="-1"/>
                <w:w w:val="95"/>
                <w:sz w:val="21"/>
                <w:highlight w:val="none"/>
                <w:lang w:eastAsia="zh-CN"/>
              </w:rPr>
              <w:t>，无息退还；</w:t>
            </w:r>
          </w:p>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textAlignment w:val="auto"/>
              <w:rPr>
                <w:rFonts w:hint="eastAsia" w:ascii="宋体" w:hAnsi="宋体" w:eastAsia="宋体" w:cs="宋体"/>
                <w:color w:val="auto"/>
                <w:sz w:val="21"/>
                <w:highlight w:val="none"/>
              </w:rPr>
            </w:pPr>
            <w:r>
              <w:rPr>
                <w:rFonts w:hint="eastAsia" w:ascii="宋体" w:hAnsi="宋体" w:eastAsia="宋体" w:cs="宋体"/>
                <w:color w:val="auto"/>
                <w:spacing w:val="-1"/>
                <w:w w:val="95"/>
                <w:sz w:val="21"/>
                <w:highlight w:val="none"/>
                <w:lang w:val="en-US" w:eastAsia="zh-CN"/>
              </w:rPr>
              <w:t>2、</w:t>
            </w:r>
            <w:r>
              <w:rPr>
                <w:rFonts w:hint="eastAsia" w:ascii="宋体" w:hAnsi="宋体" w:eastAsia="宋体" w:cs="宋体"/>
                <w:color w:val="auto"/>
                <w:spacing w:val="-1"/>
                <w:w w:val="95"/>
                <w:sz w:val="21"/>
                <w:highlight w:val="none"/>
              </w:rPr>
              <w:t>采购人采用转帐支票或电汇、承兑汇票等方式向</w:t>
            </w:r>
            <w:r>
              <w:rPr>
                <w:rFonts w:hint="eastAsia" w:ascii="宋体" w:hAnsi="宋体" w:eastAsia="宋体" w:cs="宋体"/>
                <w:color w:val="auto"/>
                <w:spacing w:val="-1"/>
                <w:w w:val="95"/>
                <w:sz w:val="21"/>
                <w:highlight w:val="none"/>
                <w:lang w:eastAsia="zh-CN"/>
              </w:rPr>
              <w:t>成交</w:t>
            </w:r>
            <w:r>
              <w:rPr>
                <w:rFonts w:hint="eastAsia" w:ascii="宋体" w:hAnsi="宋体" w:eastAsia="宋体" w:cs="宋体"/>
                <w:color w:val="auto"/>
                <w:spacing w:val="-1"/>
                <w:w w:val="95"/>
                <w:sz w:val="21"/>
                <w:highlight w:val="none"/>
              </w:rPr>
              <w:t>人支付货款</w:t>
            </w:r>
            <w:r>
              <w:rPr>
                <w:rFonts w:hint="eastAsia" w:ascii="宋体" w:hAnsi="宋体" w:eastAsia="宋体" w:cs="宋体"/>
                <w:color w:val="auto"/>
                <w:spacing w:val="-1"/>
                <w:w w:val="95"/>
                <w:sz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7" w:hRule="atLeast"/>
          <w:jc w:val="center"/>
        </w:trPr>
        <w:tc>
          <w:tcPr>
            <w:tcW w:w="976" w:type="dxa"/>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jc w:val="right"/>
              <w:textAlignment w:val="auto"/>
              <w:rPr>
                <w:rFonts w:hint="eastAsia" w:ascii="宋体" w:hAnsi="宋体" w:eastAsia="宋体" w:cs="宋体"/>
                <w:b/>
                <w:color w:val="auto"/>
                <w:sz w:val="20"/>
                <w:highlight w:val="none"/>
              </w:rPr>
            </w:pPr>
          </w:p>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right="148"/>
              <w:jc w:val="center"/>
              <w:textAlignment w:val="auto"/>
              <w:rPr>
                <w:rFonts w:hint="eastAsia" w:ascii="宋体" w:hAnsi="宋体" w:eastAsia="宋体" w:cs="宋体"/>
                <w:color w:val="auto"/>
                <w:sz w:val="21"/>
                <w:highlight w:val="none"/>
              </w:rPr>
            </w:pPr>
            <w:r>
              <w:rPr>
                <w:rFonts w:hint="eastAsia" w:ascii="宋体" w:hAnsi="宋体" w:eastAsia="宋体" w:cs="宋体"/>
                <w:color w:val="auto"/>
                <w:w w:val="95"/>
                <w:sz w:val="21"/>
                <w:highlight w:val="none"/>
              </w:rPr>
              <w:t>37.1.3</w:t>
            </w:r>
          </w:p>
        </w:tc>
        <w:tc>
          <w:tcPr>
            <w:tcW w:w="8620" w:type="dxa"/>
            <w:gridSpan w:val="3"/>
            <w:tcBorders>
              <w:top w:val="single" w:color="000000" w:sz="6" w:space="0"/>
              <w:left w:val="single" w:color="000000" w:sz="6" w:space="0"/>
              <w:bottom w:val="single" w:color="000000" w:sz="6" w:space="0"/>
            </w:tcBorders>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投标人须提供信用记录查询资料；</w:t>
            </w:r>
          </w:p>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 xml:space="preserve">查询时间为：自公告发布之日起至投标文件递交截止时间的期间的任一时间。  </w:t>
            </w:r>
          </w:p>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查询渠道为：“信用中国”网站及“中国政府采购网”。</w:t>
            </w:r>
          </w:p>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1"/>
                <w:w w:val="95"/>
                <w:sz w:val="21"/>
                <w:highlight w:val="none"/>
              </w:rPr>
            </w:pPr>
            <w:r>
              <w:rPr>
                <w:rFonts w:hint="eastAsia" w:ascii="宋体" w:hAnsi="宋体" w:eastAsia="宋体" w:cs="宋体"/>
                <w:color w:val="auto"/>
                <w:spacing w:val="-1"/>
                <w:w w:val="95"/>
                <w:sz w:val="21"/>
                <w:highlight w:val="none"/>
              </w:rPr>
              <w:t>查询结果：附网页截图的</w:t>
            </w:r>
            <w:r>
              <w:rPr>
                <w:rFonts w:hint="eastAsia" w:ascii="宋体" w:hAnsi="宋体" w:eastAsia="宋体" w:cs="宋体"/>
                <w:color w:val="auto"/>
                <w:spacing w:val="-1"/>
                <w:w w:val="95"/>
                <w:sz w:val="21"/>
                <w:highlight w:val="none"/>
                <w:lang w:eastAsia="zh-CN"/>
              </w:rPr>
              <w:t>扫描</w:t>
            </w:r>
            <w:r>
              <w:rPr>
                <w:rFonts w:hint="eastAsia" w:ascii="宋体" w:hAnsi="宋体" w:eastAsia="宋体" w:cs="宋体"/>
                <w:color w:val="auto"/>
                <w:spacing w:val="-1"/>
                <w:w w:val="95"/>
                <w:sz w:val="21"/>
                <w:highlight w:val="none"/>
              </w:rPr>
              <w:t>件。</w:t>
            </w:r>
          </w:p>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pacing w:val="-1"/>
                <w:w w:val="95"/>
                <w:sz w:val="21"/>
                <w:highlight w:val="none"/>
              </w:rPr>
              <w:t>对列入失信被执行人、重大税收违法案件当事人名单、政府采购严重违法失信行为记录名单及其他不符合《中华人民共和国政府采购法》第二十二条规定条件的供应商，其投标文</w:t>
            </w:r>
            <w:r>
              <w:rPr>
                <w:rFonts w:hint="eastAsia" w:ascii="宋体" w:hAnsi="宋体" w:eastAsia="宋体" w:cs="宋体"/>
                <w:color w:val="auto"/>
                <w:spacing w:val="-1"/>
                <w:w w:val="95"/>
                <w:sz w:val="21"/>
                <w:highlight w:val="none"/>
                <w:lang w:val="en-US" w:eastAsia="zh-CN"/>
              </w:rPr>
              <w:t>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7" w:hRule="atLeast"/>
          <w:jc w:val="center"/>
        </w:trPr>
        <w:tc>
          <w:tcPr>
            <w:tcW w:w="976" w:type="dxa"/>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leftChars="0" w:right="150" w:rightChars="0"/>
              <w:jc w:val="center"/>
              <w:textAlignment w:val="auto"/>
              <w:rPr>
                <w:rFonts w:hint="eastAsia" w:ascii="宋体" w:hAnsi="宋体" w:eastAsia="宋体" w:cs="宋体"/>
                <w:color w:val="auto"/>
                <w:w w:val="95"/>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37.1.4</w:t>
            </w:r>
          </w:p>
        </w:tc>
        <w:tc>
          <w:tcPr>
            <w:tcW w:w="8620" w:type="dxa"/>
            <w:gridSpan w:val="3"/>
            <w:tcBorders>
              <w:top w:val="single" w:color="000000" w:sz="6" w:space="0"/>
              <w:left w:val="single" w:color="000000" w:sz="6" w:space="0"/>
              <w:bottom w:val="single" w:color="000000" w:sz="6" w:space="0"/>
            </w:tcBorders>
            <w:vAlign w:val="top"/>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3"/>
                <w:w w:val="95"/>
                <w:sz w:val="21"/>
                <w:highlight w:val="none"/>
              </w:rPr>
            </w:pPr>
            <w:r>
              <w:rPr>
                <w:rFonts w:hint="eastAsia" w:ascii="宋体" w:hAnsi="宋体" w:eastAsia="宋体" w:cs="宋体"/>
                <w:color w:val="auto"/>
                <w:spacing w:val="-1"/>
                <w:w w:val="95"/>
                <w:sz w:val="21"/>
                <w:highlight w:val="none"/>
              </w:rPr>
              <w:t>投标人应保证在本项目使用的任何产品和服务（包括部分使用）时，不会产生因第三方提出侵犯其专利权、商标权或其它知识产权而引起的法律和经济纠纷，如因专利权、商标权   或其它知识产权而引起法律和经济纠纷，由投标人承担所有相关责任的同时不得耽误本项目服务。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7" w:hRule="atLeast"/>
          <w:jc w:val="center"/>
        </w:trPr>
        <w:tc>
          <w:tcPr>
            <w:tcW w:w="976" w:type="dxa"/>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leftChars="0" w:right="150" w:rightChars="0"/>
              <w:jc w:val="center"/>
              <w:textAlignment w:val="auto"/>
              <w:rPr>
                <w:rFonts w:hint="eastAsia" w:ascii="宋体" w:hAnsi="宋体" w:eastAsia="宋体" w:cs="宋体"/>
                <w:color w:val="auto"/>
                <w:w w:val="95"/>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37.1.5</w:t>
            </w:r>
          </w:p>
        </w:tc>
        <w:tc>
          <w:tcPr>
            <w:tcW w:w="8620" w:type="dxa"/>
            <w:gridSpan w:val="3"/>
            <w:tcBorders>
              <w:top w:val="single" w:color="000000" w:sz="6" w:space="0"/>
              <w:left w:val="single" w:color="000000" w:sz="6" w:space="0"/>
              <w:bottom w:val="single" w:color="000000" w:sz="6" w:space="0"/>
            </w:tcBorders>
            <w:vAlign w:val="top"/>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3"/>
                <w:w w:val="95"/>
                <w:sz w:val="21"/>
                <w:highlight w:val="none"/>
              </w:rPr>
            </w:pPr>
            <w:r>
              <w:rPr>
                <w:rFonts w:hint="eastAsia" w:ascii="宋体" w:hAnsi="宋体" w:eastAsia="宋体" w:cs="宋体"/>
                <w:b/>
                <w:bCs/>
                <w:color w:val="auto"/>
                <w:spacing w:val="-8"/>
                <w:w w:val="95"/>
                <w:sz w:val="21"/>
                <w:highlight w:val="none"/>
              </w:rPr>
              <w:t>如本《投标人须知前附表》相关内容与招标文件中的相关内容如有不一致处，则以本《投标人须知前附表》相关内容为准。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2" w:hRule="atLeast"/>
          <w:jc w:val="center"/>
        </w:trPr>
        <w:tc>
          <w:tcPr>
            <w:tcW w:w="976" w:type="dxa"/>
            <w:tcBorders>
              <w:top w:val="single" w:color="000000" w:sz="6" w:space="0"/>
              <w:bottom w:val="single" w:color="000000" w:sz="6" w:space="0"/>
              <w:right w:val="single" w:color="000000" w:sz="6" w:space="0"/>
            </w:tcBorders>
            <w:vAlign w:val="center"/>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leftChars="0" w:right="150" w:rightChars="0"/>
              <w:jc w:val="center"/>
              <w:textAlignment w:val="auto"/>
              <w:rPr>
                <w:rFonts w:hint="eastAsia" w:ascii="宋体" w:hAnsi="宋体" w:eastAsia="宋体" w:cs="宋体"/>
                <w:color w:val="auto"/>
                <w:w w:val="95"/>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37.1.6</w:t>
            </w:r>
          </w:p>
        </w:tc>
        <w:tc>
          <w:tcPr>
            <w:tcW w:w="8620" w:type="dxa"/>
            <w:gridSpan w:val="3"/>
            <w:tcBorders>
              <w:top w:val="single" w:color="000000" w:sz="6" w:space="0"/>
              <w:left w:val="single" w:color="000000" w:sz="6" w:space="0"/>
              <w:bottom w:val="single" w:color="000000" w:sz="6" w:space="0"/>
            </w:tcBorders>
            <w:vAlign w:val="top"/>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color w:val="auto"/>
                <w:spacing w:val="-3"/>
                <w:w w:val="95"/>
                <w:sz w:val="21"/>
                <w:highlight w:val="none"/>
              </w:rPr>
            </w:pPr>
            <w:r>
              <w:rPr>
                <w:rFonts w:hint="eastAsia" w:ascii="宋体" w:hAnsi="宋体" w:eastAsia="宋体" w:cs="宋体"/>
                <w:b/>
                <w:bCs/>
                <w:color w:val="auto"/>
                <w:spacing w:val="-8"/>
                <w:w w:val="95"/>
                <w:sz w:val="21"/>
                <w:highlight w:val="none"/>
              </w:rPr>
              <w:t>招标人委托招标代理机构实施本次招标工作。招标代理服务费的计算</w:t>
            </w:r>
            <w:r>
              <w:rPr>
                <w:rFonts w:hint="eastAsia" w:ascii="宋体" w:hAnsi="宋体" w:eastAsia="宋体" w:cs="宋体"/>
                <w:b/>
                <w:bCs/>
                <w:color w:val="auto"/>
                <w:spacing w:val="-8"/>
                <w:w w:val="95"/>
                <w:sz w:val="21"/>
                <w:highlight w:val="none"/>
                <w:lang w:val="en-US" w:eastAsia="zh-CN"/>
              </w:rPr>
              <w:t>参考《招标代理服务收费管理暂行办法》（计价格[2002]1980号）按照采购类计价</w:t>
            </w:r>
            <w:r>
              <w:rPr>
                <w:rFonts w:hint="eastAsia" w:ascii="宋体" w:hAnsi="宋体" w:eastAsia="宋体" w:cs="宋体"/>
                <w:b/>
                <w:bCs/>
                <w:color w:val="auto"/>
                <w:spacing w:val="-8"/>
                <w:w w:val="95"/>
                <w:sz w:val="21"/>
                <w:highlight w:val="none"/>
              </w:rPr>
              <w:t>本次招标代理服务费由中标单位支付。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jc w:val="center"/>
        </w:trPr>
        <w:tc>
          <w:tcPr>
            <w:tcW w:w="9596" w:type="dxa"/>
            <w:gridSpan w:val="4"/>
            <w:tcBorders>
              <w:top w:val="single" w:color="000000" w:sz="6" w:space="0"/>
            </w:tcBorders>
            <w:vAlign w:val="top"/>
          </w:tcPr>
          <w:p>
            <w:pPr>
              <w:pStyle w:val="3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114" w:right="78"/>
              <w:jc w:val="both"/>
              <w:textAlignment w:val="auto"/>
              <w:rPr>
                <w:rFonts w:hint="eastAsia" w:ascii="宋体" w:hAnsi="宋体" w:eastAsia="宋体" w:cs="宋体"/>
                <w:b/>
                <w:bCs/>
                <w:color w:val="auto"/>
                <w:spacing w:val="-8"/>
                <w:w w:val="95"/>
                <w:sz w:val="21"/>
                <w:highlight w:val="none"/>
              </w:rPr>
            </w:pPr>
            <w:r>
              <w:rPr>
                <w:rFonts w:hint="eastAsia" w:ascii="宋体" w:hAnsi="宋体" w:eastAsia="宋体" w:cs="宋体"/>
                <w:b/>
                <w:bCs/>
                <w:color w:val="auto"/>
                <w:kern w:val="1"/>
                <w:szCs w:val="21"/>
                <w:highlight w:val="none"/>
              </w:rPr>
              <w:t>招标文件中部分加粗、加下划线、废标、无效、投标被否决等字样的条款，为采购的实质性要求和条件，着重提醒各投标人注意，并认真查看招标文件中的每一个条款及要求，因误读招标文件而造成的后果，招标人概不负责。</w:t>
            </w:r>
          </w:p>
        </w:tc>
      </w:tr>
    </w:tbl>
    <w:p>
      <w:pPr>
        <w:spacing w:after="0"/>
        <w:rPr>
          <w:rFonts w:hint="eastAsia" w:ascii="宋体" w:hAnsi="宋体" w:eastAsia="宋体" w:cs="宋体"/>
          <w:color w:val="auto"/>
          <w:highlight w:val="none"/>
        </w:rPr>
        <w:sectPr>
          <w:pgSz w:w="11910" w:h="16840"/>
          <w:pgMar w:top="1134" w:right="1134" w:bottom="1134" w:left="1134" w:header="0" w:footer="998" w:gutter="0"/>
          <w:cols w:space="0" w:num="1"/>
          <w:rtlGutter w:val="0"/>
          <w:docGrid w:linePitch="0" w:charSpace="0"/>
        </w:sectPr>
      </w:pPr>
      <w:bookmarkStart w:id="4" w:name="第一章   投标人须知"/>
      <w:bookmarkEnd w:id="4"/>
    </w:p>
    <w:p>
      <w:pPr>
        <w:pStyle w:val="6"/>
        <w:keepNext w:val="0"/>
        <w:keepLines w:val="0"/>
        <w:pageBreakBefore w:val="0"/>
        <w:widowControl w:val="0"/>
        <w:tabs>
          <w:tab w:val="left" w:pos="1444"/>
        </w:tabs>
        <w:kinsoku/>
        <w:wordWrap/>
        <w:overflowPunct/>
        <w:topLinePunct w:val="0"/>
        <w:autoSpaceDE w:val="0"/>
        <w:autoSpaceDN w:val="0"/>
        <w:bidi w:val="0"/>
        <w:adjustRightInd/>
        <w:snapToGrid/>
        <w:spacing w:before="0" w:line="360" w:lineRule="auto"/>
        <w:ind w:right="33"/>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第一章</w:t>
      </w:r>
      <w:r>
        <w:rPr>
          <w:rFonts w:hint="eastAsia" w:ascii="宋体" w:hAnsi="宋体" w:eastAsia="宋体" w:cs="宋体"/>
          <w:color w:val="auto"/>
          <w:highlight w:val="none"/>
        </w:rPr>
        <w:tab/>
      </w:r>
      <w:r>
        <w:rPr>
          <w:rFonts w:hint="eastAsia" w:ascii="宋体" w:hAnsi="宋体" w:eastAsia="宋体" w:cs="宋体"/>
          <w:color w:val="auto"/>
          <w:highlight w:val="none"/>
        </w:rPr>
        <w:t>投标人须知</w:t>
      </w:r>
    </w:p>
    <w:p>
      <w:pPr>
        <w:pStyle w:val="11"/>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项目概况</w:t>
      </w:r>
    </w:p>
    <w:p>
      <w:pPr>
        <w:pStyle w:val="32"/>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1.1 </w:t>
      </w:r>
      <w:r>
        <w:rPr>
          <w:rFonts w:hint="eastAsia" w:ascii="宋体" w:hAnsi="宋体" w:eastAsia="宋体" w:cs="宋体"/>
          <w:color w:val="auto"/>
          <w:sz w:val="24"/>
          <w:highlight w:val="none"/>
        </w:rPr>
        <w:t>项目名称：详见投标人须知前附表；</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1.2 </w:t>
      </w:r>
      <w:r>
        <w:rPr>
          <w:rFonts w:hint="eastAsia" w:ascii="宋体" w:hAnsi="宋体" w:eastAsia="宋体" w:cs="宋体"/>
          <w:color w:val="auto"/>
          <w:sz w:val="24"/>
          <w:highlight w:val="none"/>
        </w:rPr>
        <w:t>招标方式：详见投标人须知前附表；</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1.3 </w:t>
      </w:r>
      <w:r>
        <w:rPr>
          <w:rFonts w:hint="eastAsia" w:ascii="宋体" w:hAnsi="宋体" w:eastAsia="宋体" w:cs="宋体"/>
          <w:color w:val="auto"/>
          <w:sz w:val="24"/>
          <w:highlight w:val="none"/>
        </w:rPr>
        <w:t>采购内容：详见投标人须知前附表；</w:t>
      </w:r>
    </w:p>
    <w:p>
      <w:pPr>
        <w:pStyle w:val="32"/>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1.4 </w:t>
      </w:r>
      <w:r>
        <w:rPr>
          <w:rFonts w:hint="eastAsia" w:ascii="宋体" w:hAnsi="宋体" w:eastAsia="宋体" w:cs="宋体"/>
          <w:color w:val="auto"/>
          <w:sz w:val="24"/>
          <w:highlight w:val="none"/>
        </w:rPr>
        <w:t>资金来源：详见投标人须知前附表；</w:t>
      </w:r>
    </w:p>
    <w:p>
      <w:pPr>
        <w:pStyle w:val="32"/>
        <w:keepNext w:val="0"/>
        <w:keepLines w:val="0"/>
        <w:pageBreakBefore w:val="0"/>
        <w:widowControl w:val="0"/>
        <w:numPr>
          <w:ilvl w:val="0"/>
          <w:numId w:val="0"/>
        </w:numPr>
        <w:tabs>
          <w:tab w:val="left" w:pos="1307"/>
        </w:tabs>
        <w:kinsoku/>
        <w:wordWrap/>
        <w:overflowPunct/>
        <w:topLinePunct w:val="0"/>
        <w:autoSpaceDE w:val="0"/>
        <w:autoSpaceDN w:val="0"/>
        <w:bidi w:val="0"/>
        <w:adjustRightInd/>
        <w:snapToGrid/>
        <w:spacing w:before="0" w:after="0" w:line="360" w:lineRule="auto"/>
        <w:ind w:right="0" w:rightChars="0" w:firstLine="448"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lang w:val="en-US" w:eastAsia="zh-CN"/>
        </w:rPr>
        <w:t xml:space="preserve">1.5 </w:t>
      </w:r>
      <w:r>
        <w:rPr>
          <w:rFonts w:hint="eastAsia" w:ascii="宋体" w:hAnsi="宋体" w:eastAsia="宋体" w:cs="宋体"/>
          <w:color w:val="auto"/>
          <w:spacing w:val="-8"/>
          <w:sz w:val="24"/>
          <w:highlight w:val="none"/>
        </w:rPr>
        <w:t>项目地点：详见投标人须知前附表；</w:t>
      </w:r>
    </w:p>
    <w:p>
      <w:pPr>
        <w:pStyle w:val="32"/>
        <w:keepNext w:val="0"/>
        <w:keepLines w:val="0"/>
        <w:pageBreakBefore w:val="0"/>
        <w:widowControl w:val="0"/>
        <w:numPr>
          <w:ilvl w:val="0"/>
          <w:numId w:val="0"/>
        </w:numPr>
        <w:tabs>
          <w:tab w:val="left" w:pos="1256"/>
        </w:tabs>
        <w:kinsoku/>
        <w:wordWrap/>
        <w:overflowPunct/>
        <w:topLinePunct w:val="0"/>
        <w:autoSpaceDE w:val="0"/>
        <w:autoSpaceDN w:val="0"/>
        <w:bidi w:val="0"/>
        <w:adjustRightInd/>
        <w:snapToGrid/>
        <w:spacing w:before="0" w:after="0" w:line="360" w:lineRule="auto"/>
        <w:ind w:right="0" w:rightChars="0" w:firstLine="432"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lang w:val="en-US" w:eastAsia="zh-CN"/>
        </w:rPr>
        <w:t xml:space="preserve">1.6 </w:t>
      </w:r>
      <w:r>
        <w:rPr>
          <w:rFonts w:hint="eastAsia" w:ascii="宋体" w:hAnsi="宋体" w:eastAsia="宋体" w:cs="宋体"/>
          <w:color w:val="auto"/>
          <w:spacing w:val="-12"/>
          <w:sz w:val="24"/>
          <w:highlight w:val="none"/>
        </w:rPr>
        <w:t>服务期</w:t>
      </w:r>
      <w:r>
        <w:rPr>
          <w:rFonts w:hint="eastAsia" w:ascii="宋体" w:hAnsi="宋体" w:eastAsia="宋体" w:cs="宋体"/>
          <w:color w:val="auto"/>
          <w:spacing w:val="-3"/>
          <w:sz w:val="24"/>
          <w:highlight w:val="none"/>
        </w:rPr>
        <w:t>：详见投标人须知前附表；</w:t>
      </w:r>
    </w:p>
    <w:p>
      <w:pPr>
        <w:pStyle w:val="11"/>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定义</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下述术语和缩写的定义为：</w:t>
      </w:r>
    </w:p>
    <w:p>
      <w:pPr>
        <w:pStyle w:val="32"/>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pacing w:val="0"/>
          <w:sz w:val="24"/>
          <w:szCs w:val="24"/>
          <w:highlight w:val="none"/>
        </w:rPr>
        <w:t>“招标人”“采购人”系</w:t>
      </w:r>
      <w:r>
        <w:rPr>
          <w:rFonts w:hint="eastAsia" w:ascii="宋体" w:hAnsi="宋体" w:eastAsia="宋体" w:cs="宋体"/>
          <w:color w:val="auto"/>
          <w:spacing w:val="-1"/>
          <w:sz w:val="24"/>
          <w:szCs w:val="24"/>
          <w:highlight w:val="none"/>
        </w:rPr>
        <w:t>指依法进行政府采购的国家机关、事业单位、团体组织。本次政府采购的采购人名称、地址、联系人、电话详见投标人须知前附表。</w:t>
      </w:r>
    </w:p>
    <w:p>
      <w:pPr>
        <w:pStyle w:val="32"/>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6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2.2 </w:t>
      </w:r>
      <w:r>
        <w:rPr>
          <w:rFonts w:hint="eastAsia" w:ascii="宋体" w:hAnsi="宋体" w:eastAsia="宋体" w:cs="宋体"/>
          <w:color w:val="auto"/>
          <w:spacing w:val="-4"/>
          <w:sz w:val="24"/>
          <w:szCs w:val="24"/>
          <w:highlight w:val="none"/>
        </w:rPr>
        <w:t>“采购代理机构”“招标代理机构”系指接受采购人委托，代理采购项目的采</w:t>
      </w:r>
      <w:r>
        <w:rPr>
          <w:rFonts w:hint="eastAsia" w:ascii="宋体" w:hAnsi="宋体" w:eastAsia="宋体" w:cs="宋体"/>
          <w:color w:val="auto"/>
          <w:spacing w:val="-1"/>
          <w:sz w:val="24"/>
          <w:szCs w:val="24"/>
          <w:highlight w:val="none"/>
        </w:rPr>
        <w:t>购代理机构。本次政府采购的采购代理机构名称、地址、联系人、电话详见投标人须</w:t>
      </w:r>
      <w:r>
        <w:rPr>
          <w:rFonts w:hint="eastAsia" w:ascii="宋体" w:hAnsi="宋体" w:eastAsia="宋体" w:cs="宋体"/>
          <w:color w:val="auto"/>
          <w:sz w:val="24"/>
          <w:szCs w:val="24"/>
          <w:highlight w:val="none"/>
        </w:rPr>
        <w:t>知前附表。</w:t>
      </w:r>
    </w:p>
    <w:p>
      <w:pPr>
        <w:pStyle w:val="32"/>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 xml:space="preserve">2.3 </w:t>
      </w:r>
      <w:r>
        <w:rPr>
          <w:rFonts w:hint="eastAsia" w:ascii="宋体" w:hAnsi="宋体" w:eastAsia="宋体" w:cs="宋体"/>
          <w:color w:val="auto"/>
          <w:spacing w:val="-7"/>
          <w:sz w:val="24"/>
          <w:szCs w:val="24"/>
          <w:highlight w:val="none"/>
        </w:rPr>
        <w:t>“投标人”、“供应商”系指向采购人提供货物、工程或者服务的法人、其他</w:t>
      </w:r>
      <w:r>
        <w:rPr>
          <w:rFonts w:hint="eastAsia" w:ascii="宋体" w:hAnsi="宋体" w:eastAsia="宋体" w:cs="宋体"/>
          <w:color w:val="auto"/>
          <w:sz w:val="24"/>
          <w:szCs w:val="24"/>
          <w:highlight w:val="none"/>
        </w:rPr>
        <w:t>组织或者自然人。</w:t>
      </w:r>
    </w:p>
    <w:p>
      <w:pPr>
        <w:pStyle w:val="32"/>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ascii="宋体" w:hAnsi="宋体" w:eastAsia="宋体" w:cs="宋体"/>
          <w:color w:val="auto"/>
          <w:sz w:val="24"/>
          <w:szCs w:val="24"/>
          <w:highlight w:val="none"/>
        </w:rPr>
        <w:t>“货物”系指各种形态和种类的物品，包括原材料、设备、产品等。</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“工程”系指建设工程，包括建筑物和构筑物的新建、改建、扩建，装修、拆除，修缮等。</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“服务”系指除货物和工程以外的其他政府采购对象。</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“节能产品”或者“环保产品”系指对财政部发布的《节能产品政府采购清单》或者《环境标志产品政府采购清单》的产品。</w:t>
      </w:r>
    </w:p>
    <w:p>
      <w:pPr>
        <w:pStyle w:val="32"/>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38"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2.8 </w:t>
      </w:r>
      <w:r>
        <w:rPr>
          <w:rFonts w:hint="eastAsia" w:ascii="宋体" w:hAnsi="宋体" w:eastAsia="宋体" w:cs="宋体"/>
          <w:color w:val="auto"/>
          <w:spacing w:val="-4"/>
          <w:sz w:val="24"/>
          <w:szCs w:val="24"/>
          <w:highlight w:val="none"/>
        </w:rPr>
        <w:t>“进口产品”系指通过中国海关报关验收进入中国境内且产自境外的产品。详</w:t>
      </w:r>
      <w:r>
        <w:rPr>
          <w:rFonts w:hint="eastAsia" w:ascii="宋体" w:hAnsi="宋体" w:eastAsia="宋体" w:cs="宋体"/>
          <w:color w:val="auto"/>
          <w:sz w:val="24"/>
          <w:szCs w:val="24"/>
          <w:highlight w:val="none"/>
        </w:rPr>
        <w:t>见《关于政府采购进口产品管理有关问题的通知》（财库［2007］119</w:t>
      </w:r>
      <w:r>
        <w:rPr>
          <w:rFonts w:hint="eastAsia" w:ascii="宋体" w:hAnsi="宋体" w:eastAsia="宋体" w:cs="宋体"/>
          <w:color w:val="auto"/>
          <w:spacing w:val="-30"/>
          <w:sz w:val="24"/>
          <w:szCs w:val="24"/>
          <w:highlight w:val="none"/>
        </w:rPr>
        <w:t xml:space="preserve"> 号</w:t>
      </w:r>
      <w:r>
        <w:rPr>
          <w:rFonts w:hint="eastAsia" w:ascii="宋体" w:hAnsi="宋体" w:eastAsia="宋体" w:cs="宋体"/>
          <w:color w:val="auto"/>
          <w:sz w:val="24"/>
          <w:szCs w:val="24"/>
          <w:highlight w:val="none"/>
        </w:rPr>
        <w:t>）。</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2.9 </w:t>
      </w:r>
      <w:r>
        <w:rPr>
          <w:rFonts w:hint="eastAsia" w:ascii="宋体" w:hAnsi="宋体" w:eastAsia="宋体" w:cs="宋体"/>
          <w:color w:val="auto"/>
          <w:spacing w:val="0"/>
          <w:sz w:val="24"/>
          <w:szCs w:val="24"/>
          <w:highlight w:val="none"/>
        </w:rPr>
        <w:t>偏离</w:t>
      </w:r>
    </w:p>
    <w:p>
      <w:pPr>
        <w:pStyle w:val="32"/>
        <w:keepNext w:val="0"/>
        <w:keepLines w:val="0"/>
        <w:pageBreakBefore w:val="0"/>
        <w:widowControl w:val="0"/>
        <w:numPr>
          <w:ilvl w:val="0"/>
          <w:numId w:val="0"/>
        </w:numPr>
        <w:tabs>
          <w:tab w:val="left" w:pos="1602"/>
        </w:tabs>
        <w:kinsoku/>
        <w:wordWrap/>
        <w:overflowPunct/>
        <w:topLinePunct w:val="0"/>
        <w:autoSpaceDE w:val="0"/>
        <w:autoSpaceDN w:val="0"/>
        <w:bidi w:val="0"/>
        <w:adjustRightInd/>
        <w:snapToGrid/>
        <w:spacing w:before="0" w:after="0" w:line="360" w:lineRule="auto"/>
        <w:ind w:right="-38"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2.9.1 </w:t>
      </w:r>
      <w:r>
        <w:rPr>
          <w:rFonts w:hint="eastAsia" w:ascii="宋体" w:hAnsi="宋体" w:eastAsia="宋体" w:cs="宋体"/>
          <w:color w:val="auto"/>
          <w:spacing w:val="0"/>
          <w:sz w:val="24"/>
          <w:szCs w:val="24"/>
          <w:highlight w:val="none"/>
        </w:rPr>
        <w:t>本条所称偏离为响应文件对招标文件的偏离，即不满足、或不响应招标文件的要求。偏离分为对招标文件的实质性要求条款偏离和对招标文件的一般商务和技术条款偏离。</w:t>
      </w:r>
    </w:p>
    <w:p>
      <w:pPr>
        <w:pStyle w:val="32"/>
        <w:keepNext w:val="0"/>
        <w:keepLines w:val="0"/>
        <w:pageBreakBefore w:val="0"/>
        <w:widowControl w:val="0"/>
        <w:numPr>
          <w:ilvl w:val="0"/>
          <w:numId w:val="0"/>
        </w:numPr>
        <w:tabs>
          <w:tab w:val="left" w:pos="1532"/>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2.9.2  </w:t>
      </w:r>
      <w:r>
        <w:rPr>
          <w:rFonts w:hint="eastAsia" w:ascii="宋体" w:hAnsi="宋体" w:eastAsia="宋体" w:cs="宋体"/>
          <w:color w:val="auto"/>
          <w:spacing w:val="0"/>
          <w:sz w:val="24"/>
          <w:szCs w:val="24"/>
          <w:highlight w:val="none"/>
        </w:rPr>
        <w:t>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 招标人概不负责。</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2.10 </w:t>
      </w:r>
      <w:r>
        <w:rPr>
          <w:rFonts w:hint="eastAsia" w:ascii="宋体" w:hAnsi="宋体" w:eastAsia="宋体" w:cs="宋体"/>
          <w:color w:val="auto"/>
          <w:sz w:val="24"/>
          <w:szCs w:val="24"/>
          <w:highlight w:val="none"/>
        </w:rPr>
        <w:t>特别说明</w:t>
      </w:r>
    </w:p>
    <w:p>
      <w:pPr>
        <w:pStyle w:val="32"/>
        <w:keepNext w:val="0"/>
        <w:keepLines w:val="0"/>
        <w:pageBreakBefore w:val="0"/>
        <w:widowControl w:val="0"/>
        <w:numPr>
          <w:ilvl w:val="0"/>
          <w:numId w:val="0"/>
        </w:numPr>
        <w:tabs>
          <w:tab w:val="left" w:pos="1662"/>
        </w:tabs>
        <w:kinsoku/>
        <w:wordWrap/>
        <w:overflowPunct/>
        <w:topLinePunct w:val="0"/>
        <w:autoSpaceDE w:val="0"/>
        <w:autoSpaceDN w:val="0"/>
        <w:bidi w:val="0"/>
        <w:adjustRightInd/>
        <w:snapToGrid/>
        <w:spacing w:before="0" w:after="0" w:line="360" w:lineRule="auto"/>
        <w:ind w:right="-38"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2.10.1 </w:t>
      </w:r>
      <w:r>
        <w:rPr>
          <w:rFonts w:hint="eastAsia" w:ascii="宋体" w:hAnsi="宋体" w:eastAsia="宋体" w:cs="宋体"/>
          <w:color w:val="auto"/>
          <w:spacing w:val="-4"/>
          <w:sz w:val="24"/>
          <w:szCs w:val="24"/>
          <w:highlight w:val="none"/>
        </w:rPr>
        <w:t>供应商所使用的资格、信誉、荣誉、业绩与企业认证等必须为供应商所拥</w:t>
      </w:r>
      <w:r>
        <w:rPr>
          <w:rFonts w:hint="eastAsia" w:ascii="宋体" w:hAnsi="宋体" w:eastAsia="宋体" w:cs="宋体"/>
          <w:color w:val="auto"/>
          <w:sz w:val="24"/>
          <w:szCs w:val="24"/>
          <w:highlight w:val="none"/>
        </w:rPr>
        <w:t>有。</w:t>
      </w:r>
    </w:p>
    <w:p>
      <w:pPr>
        <w:pStyle w:val="32"/>
        <w:keepNext w:val="0"/>
        <w:keepLines w:val="0"/>
        <w:pageBreakBefore w:val="0"/>
        <w:widowControl w:val="0"/>
        <w:numPr>
          <w:ilvl w:val="0"/>
          <w:numId w:val="0"/>
        </w:numPr>
        <w:tabs>
          <w:tab w:val="left" w:pos="1722"/>
        </w:tabs>
        <w:kinsoku/>
        <w:wordWrap/>
        <w:overflowPunct/>
        <w:topLinePunct w:val="0"/>
        <w:autoSpaceDE w:val="0"/>
        <w:autoSpaceDN w:val="0"/>
        <w:bidi w:val="0"/>
        <w:adjustRightInd/>
        <w:snapToGrid/>
        <w:spacing w:before="0" w:after="0" w:line="360" w:lineRule="auto"/>
        <w:ind w:right="-38"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2.10.2 </w:t>
      </w:r>
      <w:r>
        <w:rPr>
          <w:rFonts w:hint="eastAsia" w:ascii="宋体" w:hAnsi="宋体" w:eastAsia="宋体" w:cs="宋体"/>
          <w:color w:val="auto"/>
          <w:spacing w:val="-5"/>
          <w:sz w:val="24"/>
          <w:szCs w:val="24"/>
          <w:highlight w:val="none"/>
        </w:rPr>
        <w:t>供应商应仔细阅读招标文件中的所有内容，按照招标文件的要求编制、提</w:t>
      </w:r>
      <w:r>
        <w:rPr>
          <w:rFonts w:hint="eastAsia" w:ascii="宋体" w:hAnsi="宋体" w:eastAsia="宋体" w:cs="宋体"/>
          <w:color w:val="auto"/>
          <w:sz w:val="24"/>
          <w:szCs w:val="24"/>
          <w:highlight w:val="none"/>
        </w:rPr>
        <w:t>交响应文件，并对其所提供的全部资料的真实性承担法律责任。</w:t>
      </w:r>
    </w:p>
    <w:p>
      <w:pPr>
        <w:pStyle w:val="32"/>
        <w:keepNext w:val="0"/>
        <w:keepLines w:val="0"/>
        <w:pageBreakBefore w:val="0"/>
        <w:widowControl w:val="0"/>
        <w:numPr>
          <w:ilvl w:val="0"/>
          <w:numId w:val="0"/>
        </w:numPr>
        <w:tabs>
          <w:tab w:val="left" w:pos="1722"/>
        </w:tabs>
        <w:kinsoku/>
        <w:wordWrap/>
        <w:overflowPunct/>
        <w:topLinePunct w:val="0"/>
        <w:autoSpaceDE w:val="0"/>
        <w:autoSpaceDN w:val="0"/>
        <w:bidi w:val="0"/>
        <w:adjustRightInd/>
        <w:snapToGrid/>
        <w:spacing w:before="0" w:after="0" w:line="360" w:lineRule="auto"/>
        <w:ind w:right="433" w:rightChars="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 xml:space="preserve">2.10.3 </w:t>
      </w:r>
      <w:r>
        <w:rPr>
          <w:rFonts w:hint="eastAsia" w:ascii="宋体" w:hAnsi="宋体" w:eastAsia="宋体" w:cs="宋体"/>
          <w:color w:val="auto"/>
          <w:spacing w:val="-7"/>
          <w:sz w:val="24"/>
          <w:szCs w:val="24"/>
          <w:highlight w:val="none"/>
        </w:rPr>
        <w:t>招标文件所提供的资料，是采购人现有的能被供应商利用的资料，采购人</w:t>
      </w:r>
      <w:r>
        <w:rPr>
          <w:rFonts w:hint="eastAsia" w:ascii="宋体" w:hAnsi="宋体" w:eastAsia="宋体" w:cs="宋体"/>
          <w:color w:val="auto"/>
          <w:sz w:val="24"/>
          <w:szCs w:val="24"/>
          <w:highlight w:val="none"/>
        </w:rPr>
        <w:t>对供应商做出的任何推论、理解和结论均不负任何责任。</w:t>
      </w:r>
    </w:p>
    <w:p>
      <w:pPr>
        <w:pStyle w:val="11"/>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w:t>
      </w:r>
    </w:p>
    <w:p>
      <w:pPr>
        <w:pStyle w:val="32"/>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4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 xml:space="preserve">3.1 </w:t>
      </w:r>
      <w:r>
        <w:rPr>
          <w:rFonts w:hint="eastAsia" w:ascii="宋体" w:hAnsi="宋体" w:eastAsia="宋体" w:cs="宋体"/>
          <w:color w:val="auto"/>
          <w:spacing w:val="-8"/>
          <w:sz w:val="24"/>
          <w:szCs w:val="24"/>
          <w:highlight w:val="none"/>
          <w:lang w:eastAsia="zh-CN"/>
        </w:rPr>
        <w:t>投标人</w:t>
      </w:r>
      <w:r>
        <w:rPr>
          <w:rFonts w:hint="eastAsia" w:ascii="宋体" w:hAnsi="宋体" w:eastAsia="宋体" w:cs="宋体"/>
          <w:color w:val="auto"/>
          <w:spacing w:val="-8"/>
          <w:sz w:val="24"/>
          <w:szCs w:val="24"/>
          <w:highlight w:val="none"/>
        </w:rPr>
        <w:t>资格：详见投标人须知前附表。</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 </w:t>
      </w:r>
      <w:r>
        <w:rPr>
          <w:rFonts w:hint="eastAsia" w:ascii="宋体" w:hAnsi="宋体" w:eastAsia="宋体" w:cs="宋体"/>
          <w:color w:val="auto"/>
          <w:sz w:val="24"/>
          <w:szCs w:val="24"/>
          <w:highlight w:val="none"/>
        </w:rPr>
        <w:t>投标人应遵守中华人民共和国法律、法规和行政规章。</w:t>
      </w:r>
    </w:p>
    <w:p>
      <w:pPr>
        <w:pStyle w:val="32"/>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不得存在下列情形之一：</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与采购人、代理机构存在利害关系。</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38" w:rightChars="0" w:firstLine="468"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单位负责人为同一人或者存在控股、管理关系的不同供应商，不得参加同</w:t>
      </w:r>
      <w:r>
        <w:rPr>
          <w:rFonts w:hint="eastAsia" w:ascii="宋体" w:hAnsi="宋体" w:eastAsia="宋体" w:cs="宋体"/>
          <w:color w:val="auto"/>
          <w:spacing w:val="-5"/>
          <w:sz w:val="24"/>
          <w:szCs w:val="24"/>
          <w:highlight w:val="none"/>
        </w:rPr>
        <w:t>一合同项下的政府采购活动。</w:t>
      </w:r>
    </w:p>
    <w:p>
      <w:pPr>
        <w:pStyle w:val="11"/>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投标费用</w:t>
      </w:r>
    </w:p>
    <w:p>
      <w:pPr>
        <w:pStyle w:val="32"/>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pacing w:val="-6"/>
          <w:sz w:val="24"/>
          <w:szCs w:val="24"/>
          <w:highlight w:val="none"/>
        </w:rPr>
        <w:t>无论投标过程中的做法和结果如何，投标人将自行承担所有与参加投标有关的费用。</w:t>
      </w:r>
    </w:p>
    <w:p>
      <w:pPr>
        <w:pStyle w:val="11"/>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联合体形式</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rPr>
        <w:t>除投标人须知前附表中另有规定，本次招标不接受为联合体形式的供应商。</w:t>
      </w:r>
    </w:p>
    <w:p>
      <w:pPr>
        <w:pStyle w:val="32"/>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5.2 投标人</w:t>
      </w:r>
      <w:r>
        <w:rPr>
          <w:rFonts w:hint="eastAsia" w:ascii="宋体" w:hAnsi="宋体" w:eastAsia="宋体" w:cs="宋体"/>
          <w:color w:val="auto"/>
          <w:spacing w:val="-4"/>
          <w:sz w:val="24"/>
          <w:szCs w:val="24"/>
          <w:highlight w:val="none"/>
        </w:rPr>
        <w:t xml:space="preserve">为联合体形式的，除应符合本章第 </w:t>
      </w:r>
      <w:r>
        <w:rPr>
          <w:rFonts w:hint="eastAsia" w:ascii="宋体" w:hAnsi="宋体" w:eastAsia="宋体" w:cs="宋体"/>
          <w:color w:val="auto"/>
          <w:sz w:val="24"/>
          <w:szCs w:val="24"/>
          <w:highlight w:val="none"/>
        </w:rPr>
        <w:t>3</w:t>
      </w:r>
      <w:r>
        <w:rPr>
          <w:rFonts w:hint="eastAsia" w:ascii="宋体" w:hAnsi="宋体" w:eastAsia="宋体" w:cs="宋体"/>
          <w:color w:val="auto"/>
          <w:spacing w:val="-8"/>
          <w:sz w:val="24"/>
          <w:szCs w:val="24"/>
          <w:highlight w:val="none"/>
        </w:rPr>
        <w:t xml:space="preserve"> 条规定外，还应遵守以下规定：</w:t>
      </w:r>
    </w:p>
    <w:p>
      <w:pPr>
        <w:pStyle w:val="32"/>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360" w:lineRule="auto"/>
        <w:ind w:right="-38" w:rightChars="0" w:firstLine="45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联合体各方必须签订联合体协议书，明确联合体牵头人和各方的义务、工作</w:t>
      </w:r>
      <w:r>
        <w:rPr>
          <w:rFonts w:hint="eastAsia" w:ascii="宋体" w:hAnsi="宋体" w:eastAsia="宋体" w:cs="宋体"/>
          <w:color w:val="auto"/>
          <w:spacing w:val="-4"/>
          <w:sz w:val="24"/>
          <w:szCs w:val="24"/>
          <w:highlight w:val="none"/>
        </w:rPr>
        <w:t>、合同工作量比例；</w:t>
      </w:r>
    </w:p>
    <w:p>
      <w:pPr>
        <w:pStyle w:val="32"/>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联合体各方均应当符合本章第 </w:t>
      </w:r>
      <w:r>
        <w:rPr>
          <w:rFonts w:hint="eastAsia" w:ascii="宋体" w:hAnsi="宋体" w:eastAsia="宋体" w:cs="宋体"/>
          <w:color w:val="auto"/>
          <w:sz w:val="24"/>
          <w:szCs w:val="24"/>
          <w:highlight w:val="none"/>
        </w:rPr>
        <w:t>3.1</w:t>
      </w:r>
      <w:r>
        <w:rPr>
          <w:rFonts w:hint="eastAsia" w:ascii="宋体" w:hAnsi="宋体" w:eastAsia="宋体" w:cs="宋体"/>
          <w:color w:val="auto"/>
          <w:spacing w:val="-8"/>
          <w:sz w:val="24"/>
          <w:szCs w:val="24"/>
          <w:highlight w:val="none"/>
        </w:rPr>
        <w:t xml:space="preserve"> 款规定的供应商基本资格条件；</w:t>
      </w:r>
    </w:p>
    <w:p>
      <w:pPr>
        <w:pStyle w:val="32"/>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360" w:lineRule="auto"/>
        <w:ind w:right="0" w:rightChars="0" w:firstLine="468"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除投标人须知前附表中另有规定，联合体各方中至少有一方应当符合本章第</w:t>
      </w:r>
      <w:r>
        <w:rPr>
          <w:rFonts w:hint="eastAsia" w:ascii="宋体" w:hAnsi="宋体" w:eastAsia="宋体" w:cs="宋体"/>
          <w:color w:val="auto"/>
          <w:sz w:val="24"/>
          <w:szCs w:val="24"/>
          <w:highlight w:val="none"/>
        </w:rPr>
        <w:t>3.1 款规定的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特定资格条件；</w:t>
      </w:r>
    </w:p>
    <w:p>
      <w:pPr>
        <w:pStyle w:val="32"/>
        <w:keepNext w:val="0"/>
        <w:keepLines w:val="0"/>
        <w:pageBreakBefore w:val="0"/>
        <w:widowControl w:val="0"/>
        <w:numPr>
          <w:ilvl w:val="0"/>
          <w:numId w:val="0"/>
        </w:numPr>
        <w:tabs>
          <w:tab w:val="left" w:pos="880"/>
          <w:tab w:val="left" w:pos="9020"/>
        </w:tabs>
        <w:kinsoku/>
        <w:wordWrap/>
        <w:overflowPunct/>
        <w:topLinePunct w:val="0"/>
        <w:autoSpaceDE w:val="0"/>
        <w:autoSpaceDN w:val="0"/>
        <w:bidi w:val="0"/>
        <w:adjustRightInd/>
        <w:snapToGrid/>
        <w:spacing w:before="0" w:after="0" w:line="360" w:lineRule="auto"/>
        <w:ind w:right="-38"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6"/>
          <w:sz w:val="24"/>
          <w:szCs w:val="24"/>
          <w:highlight w:val="none"/>
        </w:rPr>
        <w:t>联合体各方不得再单独或与其他供应商组成新的联合体参加同一项目的采购活动。</w:t>
      </w:r>
    </w:p>
    <w:p>
      <w:pPr>
        <w:pStyle w:val="11"/>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现场勘察</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应按投标人须知前附表中规定对采购项目现场和周围环境进行考察。</w:t>
      </w:r>
    </w:p>
    <w:p>
      <w:pPr>
        <w:pStyle w:val="32"/>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432"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6.2 </w:t>
      </w:r>
      <w:r>
        <w:rPr>
          <w:rFonts w:hint="eastAsia" w:ascii="宋体" w:hAnsi="宋体" w:eastAsia="宋体" w:cs="宋体"/>
          <w:color w:val="auto"/>
          <w:sz w:val="24"/>
          <w:szCs w:val="24"/>
          <w:highlight w:val="none"/>
        </w:rPr>
        <w:t>勘察现场的费用由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自己承担，勘察期间所发生的人身伤害及财产损失由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自己负责。</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432"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6.3 </w:t>
      </w:r>
      <w:r>
        <w:rPr>
          <w:rFonts w:hint="eastAsia" w:ascii="宋体" w:hAnsi="宋体" w:eastAsia="宋体" w:cs="宋体"/>
          <w:color w:val="auto"/>
          <w:sz w:val="24"/>
          <w:szCs w:val="24"/>
          <w:highlight w:val="none"/>
        </w:rPr>
        <w:t>采购人不对供应商据此而做出的推论、理解和结论负责。一旦成交，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不得以任何借口，而提出额外补偿，或延长合同期限的要求。</w:t>
      </w:r>
    </w:p>
    <w:p>
      <w:pPr>
        <w:pStyle w:val="11"/>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采购进口产品</w:t>
      </w:r>
    </w:p>
    <w:p>
      <w:pPr>
        <w:pStyle w:val="32"/>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402" w:rightChars="0" w:firstLine="476"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7.1 </w:t>
      </w:r>
      <w:r>
        <w:rPr>
          <w:rFonts w:hint="eastAsia" w:ascii="宋体" w:hAnsi="宋体" w:eastAsia="宋体" w:cs="宋体"/>
          <w:color w:val="auto"/>
          <w:spacing w:val="-1"/>
          <w:sz w:val="24"/>
          <w:szCs w:val="24"/>
          <w:highlight w:val="none"/>
        </w:rPr>
        <w:t>除投标人须知前附表另有规定外，本项目不接受进口产品参加采购活动。</w:t>
      </w:r>
    </w:p>
    <w:p>
      <w:pPr>
        <w:pStyle w:val="32"/>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402" w:righ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8. </w:t>
      </w:r>
      <w:r>
        <w:rPr>
          <w:rFonts w:hint="eastAsia" w:ascii="宋体" w:hAnsi="宋体" w:eastAsia="宋体" w:cs="宋体"/>
          <w:b/>
          <w:color w:val="auto"/>
          <w:sz w:val="24"/>
          <w:szCs w:val="24"/>
          <w:highlight w:val="none"/>
        </w:rPr>
        <w:t>政府采购政策的支持</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落实的政策如下：</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《政府采购促进中小企业发展暂行办法》（财库〔2011〕181</w:t>
      </w:r>
      <w:r>
        <w:rPr>
          <w:rFonts w:hint="eastAsia" w:ascii="宋体" w:hAnsi="宋体" w:eastAsia="宋体" w:cs="宋体"/>
          <w:color w:val="auto"/>
          <w:spacing w:val="-30"/>
          <w:sz w:val="24"/>
          <w:szCs w:val="24"/>
          <w:highlight w:val="none"/>
        </w:rPr>
        <w:t xml:space="preserve"> 号</w:t>
      </w:r>
      <w:r>
        <w:rPr>
          <w:rFonts w:hint="eastAsia" w:ascii="宋体" w:hAnsi="宋体" w:eastAsia="宋体" w:cs="宋体"/>
          <w:color w:val="auto"/>
          <w:sz w:val="24"/>
          <w:szCs w:val="24"/>
          <w:highlight w:val="none"/>
        </w:rPr>
        <w:t>）；</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《财政部、司法部关于政府采购支持监狱企业发展有关问题的通知》</w:t>
      </w:r>
      <w:r>
        <w:rPr>
          <w:rFonts w:hint="eastAsia" w:ascii="宋体" w:hAnsi="宋体" w:eastAsia="宋体" w:cs="宋体"/>
          <w:color w:val="auto"/>
          <w:sz w:val="24"/>
          <w:szCs w:val="24"/>
          <w:highlight w:val="none"/>
        </w:rPr>
        <w:t>（财库</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〔2014〕68 号）；</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433"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《财政部 民政部 中国残疾人联合会关于促进残疾人就业政府采购政策的</w:t>
      </w:r>
      <w:r>
        <w:rPr>
          <w:rFonts w:hint="eastAsia" w:ascii="宋体" w:hAnsi="宋体" w:eastAsia="宋体" w:cs="宋体"/>
          <w:color w:val="auto"/>
          <w:spacing w:val="-5"/>
          <w:sz w:val="24"/>
          <w:szCs w:val="24"/>
          <w:highlight w:val="none"/>
        </w:rPr>
        <w:t>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20"/>
          <w:sz w:val="24"/>
          <w:szCs w:val="24"/>
          <w:highlight w:val="none"/>
        </w:rPr>
        <w:t xml:space="preserve"> 号。</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产品符合促进中小企业（监狱企业、残疾人福利性单位）发展政策的，对小型和微型企业（监狱企业、残疾人福利性单位）产品的价格给予 6%的扣除。</w:t>
      </w:r>
    </w:p>
    <w:p>
      <w:pPr>
        <w:pStyle w:val="32"/>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依据品目清单和认证证书实施政府优先采购和强制采购。</w:t>
      </w:r>
    </w:p>
    <w:p>
      <w:pPr>
        <w:pStyle w:val="32"/>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432" w:rightChars="0" w:firstLine="480" w:firstLineChars="200"/>
        <w:jc w:val="left"/>
        <w:textAlignment w:val="auto"/>
        <w:rPr>
          <w:rFonts w:hint="eastAsia" w:ascii="宋体" w:hAnsi="宋体" w:eastAsia="宋体" w:cs="宋体"/>
          <w:color w:val="auto"/>
          <w:highlight w:val="none"/>
          <w:lang w:val="zh-CN" w:eastAsia="zh-CN"/>
        </w:rPr>
      </w:pPr>
      <w:r>
        <w:rPr>
          <w:rFonts w:hint="eastAsia" w:ascii="宋体" w:hAnsi="宋体" w:eastAsia="宋体" w:cs="宋体"/>
          <w:color w:val="auto"/>
          <w:sz w:val="24"/>
          <w:szCs w:val="24"/>
          <w:highlight w:val="none"/>
          <w:lang w:val="en-US" w:eastAsia="zh-CN"/>
        </w:rPr>
        <w:t>8.3 投标人</w:t>
      </w:r>
      <w:r>
        <w:rPr>
          <w:rFonts w:hint="eastAsia" w:ascii="宋体" w:hAnsi="宋体" w:eastAsia="宋体" w:cs="宋体"/>
          <w:color w:val="auto"/>
          <w:sz w:val="24"/>
          <w:szCs w:val="24"/>
          <w:highlight w:val="none"/>
        </w:rPr>
        <w:t>在签署相关承诺、提供相关信息前，应当认真阅读财政部门的相关政</w:t>
      </w:r>
      <w:r>
        <w:rPr>
          <w:rFonts w:hint="eastAsia" w:ascii="宋体" w:hAnsi="宋体" w:eastAsia="宋体" w:cs="宋体"/>
          <w:color w:val="auto"/>
          <w:spacing w:val="-6"/>
          <w:sz w:val="24"/>
          <w:szCs w:val="24"/>
          <w:highlight w:val="none"/>
        </w:rPr>
        <w:t xml:space="preserve">策规定。符合本章第 </w:t>
      </w:r>
      <w:r>
        <w:rPr>
          <w:rFonts w:hint="eastAsia" w:ascii="宋体" w:hAnsi="宋体" w:eastAsia="宋体" w:cs="宋体"/>
          <w:color w:val="auto"/>
          <w:sz w:val="24"/>
          <w:szCs w:val="24"/>
          <w:highlight w:val="none"/>
        </w:rPr>
        <w:t>8.1-8.2</w:t>
      </w:r>
      <w:r>
        <w:rPr>
          <w:rFonts w:hint="eastAsia" w:ascii="宋体" w:hAnsi="宋体" w:eastAsia="宋体" w:cs="宋体"/>
          <w:color w:val="auto"/>
          <w:spacing w:val="-8"/>
          <w:sz w:val="24"/>
          <w:szCs w:val="24"/>
          <w:highlight w:val="none"/>
        </w:rPr>
        <w:t xml:space="preserve"> 款规定的，应当提供相关的证明材料。</w:t>
      </w:r>
    </w:p>
    <w:p>
      <w:pPr>
        <w:bidi w:val="0"/>
        <w:rPr>
          <w:rFonts w:hint="eastAsia"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bidi="zh-CN"/>
        </w:rPr>
        <w:t xml:space="preserve"> </w:t>
      </w: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663" w:right="697"/>
        <w:jc w:val="center"/>
        <w:textAlignment w:val="auto"/>
        <w:rPr>
          <w:rFonts w:hint="eastAsia" w:ascii="宋体" w:hAnsi="宋体" w:eastAsia="宋体" w:cs="宋体"/>
          <w:b/>
          <w:color w:val="auto"/>
          <w:sz w:val="43"/>
          <w:highlight w:val="none"/>
        </w:rPr>
      </w:pPr>
      <w:r>
        <w:rPr>
          <w:rFonts w:hint="eastAsia" w:ascii="宋体" w:hAnsi="宋体" w:eastAsia="宋体" w:cs="宋体"/>
          <w:color w:val="auto"/>
          <w:sz w:val="32"/>
          <w:szCs w:val="32"/>
          <w:highlight w:val="none"/>
          <w:lang w:val="zh-CN" w:eastAsia="zh-CN"/>
        </w:rPr>
        <w:tab/>
      </w:r>
      <w:r>
        <w:rPr>
          <w:rFonts w:hint="eastAsia" w:ascii="宋体" w:hAnsi="宋体" w:eastAsia="宋体" w:cs="宋体"/>
          <w:color w:val="auto"/>
          <w:sz w:val="32"/>
          <w:szCs w:val="32"/>
          <w:highlight w:val="none"/>
        </w:rPr>
        <w:t>第二章 招标文件的编写</w:t>
      </w:r>
    </w:p>
    <w:p>
      <w:pPr>
        <w:pStyle w:val="11"/>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招标文件的构成</w:t>
      </w:r>
    </w:p>
    <w:p>
      <w:pPr>
        <w:pStyle w:val="32"/>
        <w:keepNext w:val="0"/>
        <w:keepLines w:val="0"/>
        <w:pageBreakBefore w:val="0"/>
        <w:widowControl w:val="0"/>
        <w:numPr>
          <w:ilvl w:val="0"/>
          <w:numId w:val="0"/>
        </w:numPr>
        <w:tabs>
          <w:tab w:val="left" w:pos="1481"/>
          <w:tab w:val="left" w:pos="1482"/>
        </w:tabs>
        <w:kinsoku/>
        <w:wordWrap/>
        <w:overflowPunct/>
        <w:topLinePunct w:val="0"/>
        <w:autoSpaceDE w:val="0"/>
        <w:autoSpaceDN w:val="0"/>
        <w:bidi w:val="0"/>
        <w:adjustRightInd/>
        <w:snapToGrid/>
        <w:spacing w:before="0" w:after="0" w:line="360" w:lineRule="auto"/>
        <w:ind w:left="480" w:leftChars="218" w:right="5402" w:rightChars="0" w:firstLine="0" w:firstLineChars="0"/>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 xml:space="preserve">9.1 </w:t>
      </w:r>
      <w:r>
        <w:rPr>
          <w:rFonts w:hint="eastAsia" w:ascii="宋体" w:hAnsi="宋体" w:eastAsia="宋体" w:cs="宋体"/>
          <w:color w:val="auto"/>
          <w:spacing w:val="-2"/>
          <w:sz w:val="24"/>
          <w:szCs w:val="24"/>
          <w:highlight w:val="none"/>
        </w:rPr>
        <w:t xml:space="preserve">招标文件由下述部分组成： </w:t>
      </w:r>
    </w:p>
    <w:p>
      <w:pPr>
        <w:pStyle w:val="32"/>
        <w:keepNext w:val="0"/>
        <w:keepLines w:val="0"/>
        <w:pageBreakBefore w:val="0"/>
        <w:widowControl w:val="0"/>
        <w:numPr>
          <w:ilvl w:val="0"/>
          <w:numId w:val="0"/>
        </w:numPr>
        <w:tabs>
          <w:tab w:val="left" w:pos="1481"/>
          <w:tab w:val="left" w:pos="1482"/>
        </w:tabs>
        <w:kinsoku/>
        <w:wordWrap/>
        <w:overflowPunct/>
        <w:topLinePunct w:val="0"/>
        <w:autoSpaceDE w:val="0"/>
        <w:autoSpaceDN w:val="0"/>
        <w:bidi w:val="0"/>
        <w:adjustRightInd/>
        <w:snapToGrid/>
        <w:spacing w:before="0" w:after="0" w:line="360" w:lineRule="auto"/>
        <w:ind w:left="480" w:leftChars="218" w:right="5402"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招标公告</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投标人须知</w:t>
      </w:r>
    </w:p>
    <w:p>
      <w:pPr>
        <w:keepNext w:val="0"/>
        <w:keepLines w:val="0"/>
        <w:pageBreakBefore w:val="0"/>
        <w:widowControl w:val="0"/>
        <w:kinsoku/>
        <w:wordWrap/>
        <w:overflowPunct/>
        <w:topLinePunct w:val="0"/>
        <w:autoSpaceDE w:val="0"/>
        <w:autoSpaceDN w:val="0"/>
        <w:bidi w:val="0"/>
        <w:adjustRightInd/>
        <w:snapToGrid/>
        <w:spacing w:before="0" w:line="360" w:lineRule="auto"/>
        <w:ind w:right="516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采购内容及技术参数要求</w:t>
      </w:r>
    </w:p>
    <w:p>
      <w:pPr>
        <w:keepNext w:val="0"/>
        <w:keepLines w:val="0"/>
        <w:pageBreakBefore w:val="0"/>
        <w:widowControl w:val="0"/>
        <w:kinsoku/>
        <w:wordWrap/>
        <w:overflowPunct/>
        <w:topLinePunct w:val="0"/>
        <w:autoSpaceDE w:val="0"/>
        <w:autoSpaceDN w:val="0"/>
        <w:bidi w:val="0"/>
        <w:adjustRightInd/>
        <w:snapToGrid/>
        <w:spacing w:before="0" w:line="360" w:lineRule="auto"/>
        <w:ind w:right="516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合同条款</w:t>
      </w:r>
    </w:p>
    <w:p>
      <w:pPr>
        <w:keepNext w:val="0"/>
        <w:keepLines w:val="0"/>
        <w:pageBreakBefore w:val="0"/>
        <w:widowControl w:val="0"/>
        <w:tabs>
          <w:tab w:val="left" w:pos="2441"/>
        </w:tabs>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件</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招标文件以中文书写。</w:t>
      </w:r>
    </w:p>
    <w:p>
      <w:pPr>
        <w:pStyle w:val="32"/>
        <w:keepNext w:val="0"/>
        <w:keepLines w:val="0"/>
        <w:pageBreakBefore w:val="0"/>
        <w:widowControl w:val="0"/>
        <w:numPr>
          <w:ilvl w:val="0"/>
          <w:numId w:val="0"/>
        </w:numPr>
        <w:tabs>
          <w:tab w:val="left" w:pos="1362"/>
        </w:tabs>
        <w:kinsoku/>
        <w:wordWrap/>
        <w:overflowPunct/>
        <w:topLinePunct w:val="0"/>
        <w:autoSpaceDE w:val="0"/>
        <w:autoSpaceDN w:val="0"/>
        <w:bidi w:val="0"/>
        <w:adjustRightInd/>
        <w:snapToGrid/>
        <w:spacing w:before="0" w:after="0" w:line="360" w:lineRule="auto"/>
        <w:ind w:right="432"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9.3</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投标人被视为熟悉本招标项目的各种情况以及与履行合同有关的一切其他情况。</w:t>
      </w:r>
    </w:p>
    <w:p>
      <w:pPr>
        <w:pStyle w:val="32"/>
        <w:keepNext w:val="0"/>
        <w:keepLines w:val="0"/>
        <w:pageBreakBefore w:val="0"/>
        <w:widowControl w:val="0"/>
        <w:numPr>
          <w:ilvl w:val="0"/>
          <w:numId w:val="0"/>
        </w:numPr>
        <w:tabs>
          <w:tab w:val="left" w:pos="1304"/>
        </w:tabs>
        <w:kinsoku/>
        <w:wordWrap/>
        <w:overflowPunct/>
        <w:topLinePunct w:val="0"/>
        <w:autoSpaceDE w:val="0"/>
        <w:autoSpaceDN w:val="0"/>
        <w:bidi w:val="0"/>
        <w:adjustRightInd/>
        <w:snapToGrid/>
        <w:spacing w:before="0" w:after="0" w:line="360" w:lineRule="auto"/>
        <w:ind w:right="432"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9.4 </w:t>
      </w:r>
      <w:r>
        <w:rPr>
          <w:rFonts w:hint="eastAsia" w:ascii="宋体" w:hAnsi="宋体" w:eastAsia="宋体" w:cs="宋体"/>
          <w:color w:val="auto"/>
          <w:sz w:val="24"/>
          <w:szCs w:val="24"/>
          <w:highlight w:val="none"/>
        </w:rPr>
        <w:t>投标人获取招标文件后，应仔细检查招标文件的所有内容，如有残缺应在领</w:t>
      </w:r>
      <w:r>
        <w:rPr>
          <w:rFonts w:hint="eastAsia" w:ascii="宋体" w:hAnsi="宋体" w:eastAsia="宋体" w:cs="宋体"/>
          <w:color w:val="auto"/>
          <w:spacing w:val="-7"/>
          <w:sz w:val="24"/>
          <w:szCs w:val="24"/>
          <w:highlight w:val="none"/>
        </w:rPr>
        <w:t xml:space="preserve">到招标文件后 </w:t>
      </w:r>
      <w:r>
        <w:rPr>
          <w:rFonts w:hint="eastAsia" w:ascii="宋体" w:hAnsi="宋体" w:eastAsia="宋体" w:cs="宋体"/>
          <w:color w:val="auto"/>
          <w:sz w:val="24"/>
          <w:szCs w:val="24"/>
          <w:highlight w:val="none"/>
        </w:rPr>
        <w:t>1</w:t>
      </w:r>
      <w:r>
        <w:rPr>
          <w:rFonts w:hint="eastAsia" w:ascii="宋体" w:hAnsi="宋体" w:eastAsia="宋体" w:cs="宋体"/>
          <w:color w:val="auto"/>
          <w:spacing w:val="-7"/>
          <w:sz w:val="24"/>
          <w:szCs w:val="24"/>
          <w:highlight w:val="none"/>
        </w:rPr>
        <w:t xml:space="preserve"> 日内向招标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招标文件的澄清</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22" w:rightChars="0" w:firstLine="40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lang w:val="en-US" w:eastAsia="zh-CN"/>
        </w:rPr>
        <w:t xml:space="preserve">10.1 </w:t>
      </w:r>
      <w:r>
        <w:rPr>
          <w:rFonts w:hint="eastAsia" w:ascii="宋体" w:hAnsi="宋体" w:eastAsia="宋体" w:cs="宋体"/>
          <w:color w:val="auto"/>
          <w:spacing w:val="0"/>
          <w:sz w:val="24"/>
          <w:szCs w:val="24"/>
          <w:highlight w:val="none"/>
        </w:rPr>
        <w:t>投标人对招标文件如有疑点，可在投标截止期 15 日前按招标文件中载明的地址以书面形式</w:t>
      </w:r>
      <w:r>
        <w:rPr>
          <w:rFonts w:hint="eastAsia" w:ascii="宋体" w:hAnsi="宋体" w:eastAsia="宋体" w:cs="宋体"/>
          <w:color w:val="auto"/>
          <w:spacing w:val="0"/>
          <w:sz w:val="24"/>
          <w:szCs w:val="24"/>
          <w:highlight w:val="none"/>
          <w:lang w:eastAsia="zh-CN"/>
        </w:rPr>
        <w:t>将</w:t>
      </w:r>
      <w:r>
        <w:rPr>
          <w:rFonts w:hint="eastAsia" w:ascii="宋体" w:hAnsi="宋体" w:eastAsia="宋体" w:cs="宋体"/>
          <w:color w:val="auto"/>
          <w:spacing w:val="0"/>
          <w:sz w:val="24"/>
          <w:szCs w:val="24"/>
          <w:highlight w:val="none"/>
        </w:rPr>
        <w:t>纸质版文件加盖公章送至</w:t>
      </w:r>
      <w:r>
        <w:rPr>
          <w:rFonts w:hint="eastAsia" w:ascii="宋体" w:hAnsi="宋体" w:eastAsia="宋体" w:cs="宋体"/>
          <w:color w:val="auto"/>
          <w:spacing w:val="0"/>
          <w:sz w:val="24"/>
          <w:szCs w:val="24"/>
          <w:highlight w:val="none"/>
          <w:lang w:eastAsia="zh-CN"/>
        </w:rPr>
        <w:t>代理机构处</w:t>
      </w:r>
      <w:r>
        <w:rPr>
          <w:rFonts w:hint="eastAsia" w:ascii="宋体" w:hAnsi="宋体" w:eastAsia="宋体" w:cs="宋体"/>
          <w:color w:val="auto"/>
          <w:spacing w:val="0"/>
          <w:sz w:val="24"/>
          <w:szCs w:val="24"/>
          <w:highlight w:val="none"/>
        </w:rPr>
        <w:t>。招标人将视情况确定采用适当方式予以澄清或答复。招标人认为有必要时，可将答复内容（包括原提出问题，但不包括问题的来源）分发给所有投标人。</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招标文件的修改或补充</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82" w:rightChars="0" w:firstLine="44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 xml:space="preserve">11.1 </w:t>
      </w:r>
      <w:r>
        <w:rPr>
          <w:rFonts w:hint="eastAsia" w:ascii="宋体" w:hAnsi="宋体" w:eastAsia="宋体" w:cs="宋体"/>
          <w:color w:val="auto"/>
          <w:spacing w:val="-9"/>
          <w:sz w:val="24"/>
          <w:szCs w:val="24"/>
          <w:highlight w:val="none"/>
        </w:rPr>
        <w:t xml:space="preserve">在投标截止期 </w:t>
      </w:r>
      <w:r>
        <w:rPr>
          <w:rFonts w:hint="eastAsia" w:ascii="宋体" w:hAnsi="宋体" w:eastAsia="宋体" w:cs="宋体"/>
          <w:color w:val="auto"/>
          <w:sz w:val="24"/>
          <w:szCs w:val="24"/>
          <w:highlight w:val="none"/>
        </w:rPr>
        <w:t>15</w:t>
      </w:r>
      <w:r>
        <w:rPr>
          <w:rFonts w:hint="eastAsia" w:ascii="宋体" w:hAnsi="宋体" w:eastAsia="宋体" w:cs="宋体"/>
          <w:color w:val="auto"/>
          <w:spacing w:val="-9"/>
          <w:sz w:val="24"/>
          <w:szCs w:val="24"/>
          <w:highlight w:val="none"/>
        </w:rPr>
        <w:t xml:space="preserve"> 日前的任何时间，招标人可主动或依据投标人要求澄清的</w:t>
      </w:r>
      <w:r>
        <w:rPr>
          <w:rFonts w:hint="eastAsia" w:ascii="宋体" w:hAnsi="宋体" w:eastAsia="宋体" w:cs="宋体"/>
          <w:color w:val="auto"/>
          <w:spacing w:val="-1"/>
          <w:sz w:val="24"/>
          <w:szCs w:val="24"/>
          <w:highlight w:val="none"/>
        </w:rPr>
        <w:t>问题而修改或补充招标文件，并</w:t>
      </w:r>
      <w:r>
        <w:rPr>
          <w:rFonts w:hint="eastAsia" w:ascii="宋体" w:hAnsi="宋体" w:eastAsia="宋体" w:cs="宋体"/>
          <w:color w:val="auto"/>
          <w:spacing w:val="-1"/>
          <w:sz w:val="24"/>
          <w:szCs w:val="24"/>
          <w:highlight w:val="none"/>
          <w:lang w:eastAsia="zh-CN"/>
        </w:rPr>
        <w:t>以书面（包括书面材料、信函、传真等，下同）或在本次招标公告刊登的媒体上发布公告并在政采云平台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11.2 </w:t>
      </w:r>
      <w:r>
        <w:rPr>
          <w:rFonts w:hint="eastAsia" w:ascii="宋体" w:hAnsi="宋体" w:eastAsia="宋体" w:cs="宋体"/>
          <w:color w:val="auto"/>
          <w:spacing w:val="-2"/>
          <w:sz w:val="24"/>
          <w:szCs w:val="24"/>
          <w:highlight w:val="none"/>
        </w:rPr>
        <w:t>为使投标人在准备投标时有适当的时间考虑投标文件的修改，招标人有权决</w:t>
      </w:r>
      <w:r>
        <w:rPr>
          <w:rFonts w:hint="eastAsia" w:ascii="宋体" w:hAnsi="宋体" w:eastAsia="宋体" w:cs="宋体"/>
          <w:color w:val="auto"/>
          <w:sz w:val="24"/>
          <w:szCs w:val="24"/>
          <w:highlight w:val="none"/>
        </w:rPr>
        <w:t>定推迟投标截止日期和开标日期，并将此变更通知所有的投标人。</w:t>
      </w:r>
    </w:p>
    <w:p>
      <w:pPr>
        <w:keepNext w:val="0"/>
        <w:keepLines w:val="0"/>
        <w:pageBreakBefore w:val="0"/>
        <w:widowControl w:val="0"/>
        <w:tabs>
          <w:tab w:val="left" w:pos="1154"/>
        </w:tabs>
        <w:kinsoku/>
        <w:wordWrap/>
        <w:overflowPunct/>
        <w:topLinePunct w:val="0"/>
        <w:autoSpaceDE w:val="0"/>
        <w:autoSpaceDN w:val="0"/>
        <w:bidi w:val="0"/>
        <w:adjustRightInd/>
        <w:snapToGrid/>
        <w:spacing w:line="360" w:lineRule="auto"/>
        <w:ind w:firstLine="47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val="en-US" w:eastAsia="zh-CN"/>
        </w:rPr>
        <w:t xml:space="preserve">11.3 </w:t>
      </w:r>
      <w:r>
        <w:rPr>
          <w:rFonts w:hint="eastAsia" w:ascii="宋体" w:hAnsi="宋体" w:eastAsia="宋体" w:cs="宋体"/>
          <w:color w:val="auto"/>
          <w:spacing w:val="-2"/>
          <w:sz w:val="24"/>
          <w:szCs w:val="24"/>
          <w:highlight w:val="none"/>
        </w:rPr>
        <w:t>招标文件的修改书和补充文件将构成招标文件的一部分，并且比招标文件对</w:t>
      </w:r>
      <w:r>
        <w:rPr>
          <w:rFonts w:hint="eastAsia" w:ascii="宋体" w:hAnsi="宋体" w:eastAsia="宋体" w:cs="宋体"/>
          <w:color w:val="auto"/>
          <w:sz w:val="24"/>
          <w:szCs w:val="24"/>
          <w:highlight w:val="none"/>
        </w:rPr>
        <w:t>投标人具有优先的约束力</w:t>
      </w:r>
      <w:r>
        <w:rPr>
          <w:rFonts w:hint="eastAsia" w:ascii="宋体" w:hAnsi="宋体" w:eastAsia="宋体" w:cs="宋体"/>
          <w:color w:val="auto"/>
          <w:sz w:val="24"/>
          <w:szCs w:val="24"/>
          <w:highlight w:val="none"/>
          <w:lang w:eastAsia="zh-CN"/>
        </w:rPr>
        <w:t>。</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lang w:val="zh-CN" w:eastAsia="zh-CN"/>
        </w:rPr>
        <w:t>澄清、修改文件发出后，投标人必须使用最新的澄清文件制作投标文件，否则由此造成的一切后果由投标供应商自行承担。</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80" w:firstLineChars="200"/>
        <w:jc w:val="both"/>
        <w:textAlignment w:val="auto"/>
        <w:rPr>
          <w:rFonts w:hint="eastAsia" w:ascii="宋体" w:hAnsi="宋体" w:eastAsia="宋体" w:cs="宋体"/>
          <w:color w:val="auto"/>
          <w:sz w:val="24"/>
          <w:szCs w:val="24"/>
          <w:highlight w:val="none"/>
          <w:lang w:val="zh-CN" w:eastAsia="zh-CN"/>
        </w:r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663" w:right="697"/>
        <w:jc w:val="center"/>
        <w:textAlignment w:val="auto"/>
        <w:rPr>
          <w:rFonts w:hint="eastAsia" w:ascii="宋体" w:hAnsi="宋体" w:eastAsia="宋体" w:cs="宋体"/>
          <w:b/>
          <w:color w:val="auto"/>
          <w:sz w:val="42"/>
          <w:highlight w:val="none"/>
        </w:rPr>
      </w:pPr>
      <w:r>
        <w:rPr>
          <w:rFonts w:hint="eastAsia" w:ascii="宋体" w:hAnsi="宋体" w:eastAsia="宋体" w:cs="宋体"/>
          <w:color w:val="auto"/>
          <w:highlight w:val="none"/>
          <w:lang w:val="zh-CN" w:eastAsia="zh-CN"/>
        </w:rPr>
        <w:tab/>
      </w:r>
      <w:r>
        <w:rPr>
          <w:rFonts w:hint="eastAsia" w:ascii="宋体" w:hAnsi="宋体" w:eastAsia="宋体" w:cs="宋体"/>
          <w:color w:val="auto"/>
          <w:highlight w:val="none"/>
        </w:rPr>
        <w:t>第三章 投标文件的编写</w:t>
      </w:r>
    </w:p>
    <w:p>
      <w:pPr>
        <w:pStyle w:val="11"/>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要求</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313" w:rightChars="0" w:firstLine="44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 xml:space="preserve">12.1 </w:t>
      </w:r>
      <w:r>
        <w:rPr>
          <w:rFonts w:hint="eastAsia" w:ascii="宋体" w:hAnsi="宋体" w:eastAsia="宋体" w:cs="宋体"/>
          <w:color w:val="auto"/>
          <w:spacing w:val="-9"/>
          <w:sz w:val="24"/>
          <w:szCs w:val="24"/>
          <w:highlight w:val="none"/>
          <w:lang w:eastAsia="zh-CN"/>
        </w:rPr>
        <w:t>投标人</w:t>
      </w:r>
      <w:r>
        <w:rPr>
          <w:rFonts w:hint="eastAsia" w:ascii="宋体" w:hAnsi="宋体" w:eastAsia="宋体" w:cs="宋体"/>
          <w:color w:val="auto"/>
          <w:spacing w:val="-9"/>
          <w:sz w:val="24"/>
          <w:szCs w:val="24"/>
          <w:highlight w:val="none"/>
        </w:rPr>
        <w:t xml:space="preserve">应详细阅读招标文件中的条款、格式、表示、条件和规范等所有内容， </w:t>
      </w:r>
      <w:r>
        <w:rPr>
          <w:rFonts w:hint="eastAsia" w:ascii="宋体" w:hAnsi="宋体" w:eastAsia="宋体" w:cs="宋体"/>
          <w:color w:val="auto"/>
          <w:sz w:val="24"/>
          <w:szCs w:val="24"/>
          <w:highlight w:val="none"/>
        </w:rPr>
        <w:t>按招标文件的要求提供投标文件，并保证所提供的全部材料的真实性，以使其投标对招标文件做出实质性响应。否则，其投标可能被拒绝。</w:t>
      </w:r>
    </w:p>
    <w:p>
      <w:pPr>
        <w:pStyle w:val="11"/>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投标文件语言和度量单位</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13.1 </w:t>
      </w:r>
      <w:r>
        <w:rPr>
          <w:rFonts w:hint="eastAsia" w:ascii="宋体" w:hAnsi="宋体" w:eastAsia="宋体" w:cs="宋体"/>
          <w:color w:val="auto"/>
          <w:spacing w:val="-3"/>
          <w:sz w:val="24"/>
          <w:szCs w:val="24"/>
          <w:highlight w:val="none"/>
        </w:rPr>
        <w:t>投标文件及投标人和招标人就招标、投标交换的文件和往来信件，须以中文</w:t>
      </w:r>
      <w:r>
        <w:rPr>
          <w:rFonts w:hint="eastAsia" w:ascii="宋体" w:hAnsi="宋体" w:eastAsia="宋体" w:cs="宋体"/>
          <w:color w:val="auto"/>
          <w:sz w:val="24"/>
          <w:szCs w:val="24"/>
          <w:highlight w:val="none"/>
        </w:rPr>
        <w:t>书写。</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可提交其他语言的资料，但应附中文注释，在有差异时，以中文为主。</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13.2 </w:t>
      </w:r>
      <w:r>
        <w:rPr>
          <w:rFonts w:hint="eastAsia" w:ascii="宋体" w:hAnsi="宋体" w:eastAsia="宋体" w:cs="宋体"/>
          <w:color w:val="auto"/>
          <w:spacing w:val="-2"/>
          <w:sz w:val="24"/>
          <w:szCs w:val="24"/>
          <w:highlight w:val="none"/>
        </w:rPr>
        <w:t>除在招标文件的技术规格中另有规定外，计量单位应使用中华人民共和国法</w:t>
      </w:r>
      <w:r>
        <w:rPr>
          <w:rFonts w:hint="eastAsia" w:ascii="宋体" w:hAnsi="宋体" w:eastAsia="宋体" w:cs="宋体"/>
          <w:color w:val="auto"/>
          <w:sz w:val="24"/>
          <w:szCs w:val="24"/>
          <w:highlight w:val="none"/>
        </w:rPr>
        <w:t>定计量单位（国际单位制和国家选定的其它计量单位）。</w:t>
      </w:r>
    </w:p>
    <w:p>
      <w:pPr>
        <w:pStyle w:val="11"/>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投标文件的组成</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投标文件包括（但不仅限于）下列内容：</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投标函；</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法定代表人身份证明及法定代表人授权委托书；</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开标一览表；</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投标保证金提交证明；</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投标人资格证明文件；</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投标人关联企业情况</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中小微企业证明文件（如有）；</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信用查询记录；</w:t>
      </w:r>
    </w:p>
    <w:p>
      <w:pPr>
        <w:pStyle w:val="32"/>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近</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年内已完成的类似项目业绩；</w:t>
      </w:r>
    </w:p>
    <w:p>
      <w:pPr>
        <w:pStyle w:val="32"/>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）项目整体实施方案；</w:t>
      </w:r>
    </w:p>
    <w:p>
      <w:pPr>
        <w:pStyle w:val="32"/>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商务条款偏离表；</w:t>
      </w:r>
    </w:p>
    <w:p>
      <w:pPr>
        <w:pStyle w:val="32"/>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）售后服务方案；</w:t>
      </w:r>
    </w:p>
    <w:p>
      <w:pPr>
        <w:pStyle w:val="32"/>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其他有利于投标人的资料（如有）</w:t>
      </w:r>
    </w:p>
    <w:p>
      <w:pPr>
        <w:pStyle w:val="32"/>
        <w:keepNext w:val="0"/>
        <w:keepLines w:val="0"/>
        <w:pageBreakBefore w:val="0"/>
        <w:widowControl w:val="0"/>
        <w:numPr>
          <w:ilvl w:val="0"/>
          <w:numId w:val="0"/>
        </w:numPr>
        <w:tabs>
          <w:tab w:val="left" w:pos="160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投标单位反商业贿赂承诺书；</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投标文件包括但不仅限于上述内容，如有不足，请自行补充提供。</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29"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14.2 </w:t>
      </w:r>
      <w:r>
        <w:rPr>
          <w:rFonts w:hint="eastAsia" w:ascii="宋体" w:hAnsi="宋体" w:eastAsia="宋体" w:cs="宋体"/>
          <w:color w:val="auto"/>
          <w:sz w:val="24"/>
          <w:szCs w:val="24"/>
          <w:highlight w:val="none"/>
        </w:rPr>
        <w:t>所有资格证明文件必须满足招标文件的要求，否则将导致投标被否决。</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14.3 </w:t>
      </w:r>
      <w:r>
        <w:rPr>
          <w:rFonts w:hint="eastAsia" w:ascii="宋体" w:hAnsi="宋体" w:eastAsia="宋体" w:cs="宋体"/>
          <w:color w:val="auto"/>
          <w:spacing w:val="-2"/>
          <w:sz w:val="24"/>
          <w:szCs w:val="24"/>
          <w:highlight w:val="none"/>
        </w:rPr>
        <w:t>投标人可按招标文件的范本格式中提供的投标文件格式</w:t>
      </w:r>
      <w:r>
        <w:rPr>
          <w:rFonts w:hint="eastAsia" w:ascii="宋体" w:hAnsi="宋体" w:eastAsia="宋体" w:cs="宋体"/>
          <w:color w:val="auto"/>
          <w:spacing w:val="-2"/>
          <w:sz w:val="24"/>
          <w:szCs w:val="24"/>
          <w:highlight w:val="none"/>
          <w:lang w:val="en-US" w:eastAsia="zh-CN"/>
        </w:rPr>
        <w:t>逐项</w:t>
      </w:r>
      <w:r>
        <w:rPr>
          <w:rFonts w:hint="eastAsia" w:ascii="宋体" w:hAnsi="宋体" w:eastAsia="宋体" w:cs="宋体"/>
          <w:color w:val="auto"/>
          <w:spacing w:val="-2"/>
          <w:sz w:val="24"/>
          <w:szCs w:val="24"/>
          <w:highlight w:val="none"/>
        </w:rPr>
        <w:t>填写投标文件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不准有空项；无相应内容可填的项，应填写“无”、“未测试”、“没有相应指标”等明确的回答文字。由于编排混乱导致投标文件被误读或查找不到，其责任由投标人承担。</w:t>
      </w:r>
      <w:r>
        <w:rPr>
          <w:rFonts w:hint="eastAsia" w:ascii="宋体" w:hAnsi="宋体" w:eastAsia="宋体" w:cs="宋体"/>
          <w:color w:val="auto"/>
          <w:spacing w:val="-2"/>
          <w:sz w:val="24"/>
          <w:szCs w:val="24"/>
          <w:highlight w:val="none"/>
        </w:rPr>
        <w:t>如提</w:t>
      </w:r>
      <w:r>
        <w:rPr>
          <w:rFonts w:hint="eastAsia" w:ascii="宋体" w:hAnsi="宋体" w:eastAsia="宋体" w:cs="宋体"/>
          <w:color w:val="auto"/>
          <w:sz w:val="24"/>
          <w:szCs w:val="24"/>
          <w:highlight w:val="none"/>
        </w:rPr>
        <w:t>供的范本格式有不完善之处，请自行补充完善。</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14.4 开标一览表为在开标仪式上唱标的内容，要求按格式统一填写，不得自行增减内容。</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14.5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42"/>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 xml:space="preserve">4.7  </w:t>
      </w:r>
      <w:r>
        <w:rPr>
          <w:rFonts w:hint="eastAsia" w:ascii="宋体" w:hAnsi="宋体" w:eastAsia="宋体" w:cs="宋体"/>
          <w:color w:val="auto"/>
          <w:sz w:val="24"/>
          <w:szCs w:val="22"/>
          <w:highlight w:val="none"/>
        </w:rPr>
        <w:t>电子投标文件的编制</w:t>
      </w:r>
    </w:p>
    <w:p>
      <w:pPr>
        <w:pStyle w:val="42"/>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4.7.1</w:t>
      </w:r>
      <w:r>
        <w:rPr>
          <w:rFonts w:hint="eastAsia" w:ascii="宋体" w:hAnsi="宋体" w:eastAsia="宋体" w:cs="宋体"/>
          <w:color w:val="auto"/>
          <w:sz w:val="24"/>
          <w:szCs w:val="22"/>
          <w:highlight w:val="none"/>
        </w:rPr>
        <w:t>电子投标文件使用政采云上提供的投标文件制作工具以及招标文件要求进行制作编制。投标文件制作时，不同内容按标签提示制作导入，按照招标文件中明确的投标文件目录和格式进行编制，保证目录清晰、内容完整。</w:t>
      </w:r>
    </w:p>
    <w:p>
      <w:pPr>
        <w:pStyle w:val="42"/>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 xml:space="preserve">4.7.2 </w:t>
      </w:r>
      <w:r>
        <w:rPr>
          <w:rFonts w:hint="eastAsia" w:ascii="宋体" w:hAnsi="宋体" w:eastAsia="宋体" w:cs="宋体"/>
          <w:color w:val="auto"/>
          <w:sz w:val="24"/>
          <w:szCs w:val="22"/>
          <w:highlight w:val="none"/>
        </w:rPr>
        <w:t>电子投标文件须使用投标人公章的电子签章以及法定代表人的电子签章。若无电子签章，则视为无效投标。</w:t>
      </w:r>
    </w:p>
    <w:p>
      <w:pPr>
        <w:pStyle w:val="42"/>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4.7.3</w:t>
      </w:r>
      <w:r>
        <w:rPr>
          <w:rFonts w:hint="eastAsia" w:ascii="宋体" w:hAnsi="宋体" w:eastAsia="宋体" w:cs="宋体"/>
          <w:color w:val="auto"/>
          <w:sz w:val="24"/>
          <w:szCs w:val="22"/>
          <w:highlight w:val="none"/>
        </w:rPr>
        <w:t xml:space="preserve"> 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符合招标文件规定的证明文件</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提供的资格证明材料，须满足投标人须知前附表的要求。</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 xml:space="preserve">15.2 </w:t>
      </w:r>
      <w:r>
        <w:rPr>
          <w:rFonts w:hint="eastAsia" w:ascii="宋体" w:hAnsi="宋体" w:eastAsia="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为联合体形式的，则应提交联合体各方的资格文件，否则将视为未实</w:t>
      </w:r>
      <w:r>
        <w:rPr>
          <w:rFonts w:hint="eastAsia" w:ascii="宋体" w:hAnsi="宋体" w:eastAsia="宋体" w:cs="宋体"/>
          <w:color w:val="auto"/>
          <w:sz w:val="24"/>
          <w:szCs w:val="24"/>
          <w:highlight w:val="none"/>
        </w:rPr>
        <w:t>质性响应条款而被拒绝。</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1  15.3 </w:t>
      </w:r>
      <w:r>
        <w:rPr>
          <w:rFonts w:hint="eastAsia" w:ascii="宋体" w:hAnsi="宋体" w:eastAsia="宋体" w:cs="宋体"/>
          <w:color w:val="auto"/>
          <w:spacing w:val="-1"/>
          <w:sz w:val="24"/>
          <w:szCs w:val="24"/>
          <w:highlight w:val="none"/>
        </w:rPr>
        <w:t>投标人确保所提供货物</w:t>
      </w:r>
      <w:r>
        <w:rPr>
          <w:rFonts w:hint="eastAsia" w:ascii="宋体" w:hAnsi="宋体" w:eastAsia="宋体" w:cs="宋体"/>
          <w:color w:val="auto"/>
          <w:sz w:val="24"/>
          <w:szCs w:val="24"/>
          <w:highlight w:val="none"/>
        </w:rPr>
        <w:t>（或服务</w:t>
      </w:r>
      <w:r>
        <w:rPr>
          <w:rFonts w:hint="eastAsia" w:ascii="宋体" w:hAnsi="宋体" w:eastAsia="宋体" w:cs="宋体"/>
          <w:color w:val="auto"/>
          <w:spacing w:val="-3"/>
          <w:sz w:val="24"/>
          <w:szCs w:val="24"/>
          <w:highlight w:val="none"/>
        </w:rPr>
        <w:t>），其质量满足中华人民共和国国家相关标</w:t>
      </w:r>
      <w:r>
        <w:rPr>
          <w:rFonts w:hint="eastAsia" w:ascii="宋体" w:hAnsi="宋体" w:eastAsia="宋体" w:cs="宋体"/>
          <w:color w:val="auto"/>
          <w:sz w:val="24"/>
          <w:szCs w:val="24"/>
          <w:highlight w:val="none"/>
        </w:rPr>
        <w:t>准，使用的原辅材料要符合质量要求，拟投入的设备完好率足以胜任本项目的工作。</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362"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15.4 </w:t>
      </w:r>
      <w:r>
        <w:rPr>
          <w:rFonts w:hint="eastAsia" w:ascii="宋体" w:hAnsi="宋体" w:eastAsia="宋体" w:cs="宋体"/>
          <w:color w:val="auto"/>
          <w:sz w:val="24"/>
          <w:szCs w:val="24"/>
          <w:highlight w:val="none"/>
        </w:rPr>
        <w:t>投标人须提交证明拟供货物（或服务）</w:t>
      </w:r>
      <w:r>
        <w:rPr>
          <w:rFonts w:hint="eastAsia" w:ascii="宋体" w:hAnsi="宋体" w:eastAsia="宋体" w:cs="宋体"/>
          <w:color w:val="auto"/>
          <w:spacing w:val="-2"/>
          <w:sz w:val="24"/>
          <w:szCs w:val="24"/>
          <w:highlight w:val="none"/>
        </w:rPr>
        <w:t xml:space="preserve">符合招标文件规定的技术响应文件， </w:t>
      </w:r>
      <w:r>
        <w:rPr>
          <w:rFonts w:hint="eastAsia" w:ascii="宋体" w:hAnsi="宋体" w:eastAsia="宋体" w:cs="宋体"/>
          <w:color w:val="auto"/>
          <w:sz w:val="24"/>
          <w:szCs w:val="24"/>
          <w:highlight w:val="none"/>
        </w:rPr>
        <w:t>作为投标文件的一部分。</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15.5 </w:t>
      </w:r>
      <w:r>
        <w:rPr>
          <w:rFonts w:hint="eastAsia" w:ascii="宋体" w:hAnsi="宋体" w:eastAsia="宋体" w:cs="宋体"/>
          <w:color w:val="auto"/>
          <w:sz w:val="24"/>
          <w:szCs w:val="24"/>
          <w:highlight w:val="none"/>
        </w:rPr>
        <w:t>提供的货物（或服务）符合规定的相应技术标准、环保及节能标准等。</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313" w:rightChars="0" w:firstLine="44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val="en-US" w:eastAsia="zh-CN"/>
        </w:rPr>
        <w:t xml:space="preserve">15.6 </w:t>
      </w:r>
      <w:r>
        <w:rPr>
          <w:rFonts w:hint="eastAsia" w:ascii="宋体" w:hAnsi="宋体" w:eastAsia="宋体" w:cs="宋体"/>
          <w:color w:val="auto"/>
          <w:spacing w:val="-10"/>
          <w:sz w:val="24"/>
          <w:szCs w:val="24"/>
          <w:highlight w:val="none"/>
        </w:rPr>
        <w:t>对照招标人的采购内容及技术要求，逐条确定，指出所提供的货物</w:t>
      </w:r>
      <w:r>
        <w:rPr>
          <w:rFonts w:hint="eastAsia" w:ascii="宋体" w:hAnsi="宋体" w:eastAsia="宋体" w:cs="宋体"/>
          <w:color w:val="auto"/>
          <w:sz w:val="24"/>
          <w:szCs w:val="24"/>
          <w:highlight w:val="none"/>
        </w:rPr>
        <w:t>（或服务</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z w:val="24"/>
          <w:szCs w:val="24"/>
          <w:highlight w:val="none"/>
        </w:rPr>
        <w:t>是否实质性响应招标文件的要求，如有偏离，须填报偏离表（见附件）。</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 xml:space="preserve">15.7 </w:t>
      </w:r>
      <w:r>
        <w:rPr>
          <w:rFonts w:hint="eastAsia" w:ascii="宋体" w:hAnsi="宋体" w:eastAsia="宋体" w:cs="宋体"/>
          <w:color w:val="auto"/>
          <w:spacing w:val="-5"/>
          <w:sz w:val="24"/>
          <w:szCs w:val="24"/>
          <w:highlight w:val="none"/>
        </w:rPr>
        <w:t>投标人应当提交符合招标文件规定的业绩证明文件，该证明文件作为投标文</w:t>
      </w:r>
      <w:r>
        <w:rPr>
          <w:rFonts w:hint="eastAsia" w:ascii="宋体" w:hAnsi="宋体" w:eastAsia="宋体" w:cs="宋体"/>
          <w:color w:val="auto"/>
          <w:sz w:val="24"/>
          <w:szCs w:val="24"/>
          <w:highlight w:val="none"/>
        </w:rPr>
        <w:t>件的一部分，业绩证明文件的要求详见投标人须知前附表</w:t>
      </w:r>
      <w:r>
        <w:rPr>
          <w:rFonts w:hint="eastAsia" w:ascii="宋体" w:hAnsi="宋体" w:eastAsia="宋体" w:cs="宋体"/>
          <w:color w:val="auto"/>
          <w:sz w:val="24"/>
          <w:szCs w:val="24"/>
          <w:highlight w:val="none"/>
          <w:lang w:eastAsia="zh-CN"/>
        </w:rPr>
        <w:t>。</w:t>
      </w:r>
    </w:p>
    <w:p>
      <w:pPr>
        <w:keepNext w:val="0"/>
        <w:keepLines w:val="0"/>
        <w:pageBreakBefore w:val="0"/>
        <w:widowControl w:val="0"/>
        <w:tabs>
          <w:tab w:val="left" w:pos="1274"/>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没有按要求提供资料或提供资料不完全，其风险由投标人自行承担。</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投标报价</w:t>
      </w:r>
    </w:p>
    <w:p>
      <w:pPr>
        <w:pStyle w:val="32"/>
        <w:keepNext w:val="0"/>
        <w:keepLines w:val="0"/>
        <w:pageBreakBefore w:val="0"/>
        <w:widowControl w:val="0"/>
        <w:numPr>
          <w:ilvl w:val="0"/>
          <w:numId w:val="0"/>
        </w:numPr>
        <w:tabs>
          <w:tab w:val="left" w:pos="1412"/>
        </w:tabs>
        <w:kinsoku/>
        <w:wordWrap/>
        <w:overflowPunct/>
        <w:topLinePunct w:val="0"/>
        <w:autoSpaceDE w:val="0"/>
        <w:autoSpaceDN w:val="0"/>
        <w:bidi w:val="0"/>
        <w:adjustRightInd/>
        <w:snapToGrid/>
        <w:spacing w:before="0" w:after="0" w:line="360" w:lineRule="auto"/>
        <w:ind w:right="433"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16.1 </w:t>
      </w:r>
      <w:r>
        <w:rPr>
          <w:rFonts w:hint="eastAsia" w:ascii="宋体" w:hAnsi="宋体" w:eastAsia="宋体" w:cs="宋体"/>
          <w:color w:val="auto"/>
          <w:spacing w:val="-1"/>
          <w:sz w:val="24"/>
          <w:szCs w:val="24"/>
          <w:highlight w:val="none"/>
        </w:rPr>
        <w:t>投标人应在投标报价表中标明其提供的所有</w:t>
      </w:r>
      <w:r>
        <w:rPr>
          <w:rFonts w:hint="eastAsia" w:ascii="宋体" w:hAnsi="宋体" w:eastAsia="宋体" w:cs="宋体"/>
          <w:color w:val="auto"/>
          <w:spacing w:val="-1"/>
          <w:sz w:val="24"/>
          <w:szCs w:val="24"/>
          <w:highlight w:val="none"/>
          <w:lang w:eastAsia="zh-CN"/>
        </w:rPr>
        <w:t>服务</w:t>
      </w:r>
      <w:r>
        <w:rPr>
          <w:rFonts w:hint="eastAsia" w:ascii="宋体" w:hAnsi="宋体" w:eastAsia="宋体" w:cs="宋体"/>
          <w:color w:val="auto"/>
          <w:spacing w:val="-1"/>
          <w:sz w:val="24"/>
          <w:szCs w:val="24"/>
          <w:highlight w:val="none"/>
        </w:rPr>
        <w:t>及其完成本项目相关工作范围内所有费用的总价，招标人不接受有任何选择性报价。</w:t>
      </w:r>
      <w:r>
        <w:rPr>
          <w:rFonts w:hint="eastAsia" w:ascii="宋体" w:hAnsi="宋体" w:eastAsia="宋体" w:cs="宋体"/>
          <w:color w:val="auto"/>
          <w:spacing w:val="-1"/>
          <w:sz w:val="24"/>
          <w:szCs w:val="24"/>
          <w:highlight w:val="none"/>
          <w:lang w:eastAsia="zh-CN"/>
        </w:rPr>
        <w:t>投标人</w:t>
      </w:r>
      <w:r>
        <w:rPr>
          <w:rFonts w:hint="eastAsia" w:ascii="宋体" w:hAnsi="宋体" w:eastAsia="宋体" w:cs="宋体"/>
          <w:color w:val="auto"/>
          <w:spacing w:val="-1"/>
          <w:sz w:val="24"/>
          <w:szCs w:val="24"/>
          <w:highlight w:val="none"/>
        </w:rPr>
        <w:t>漏报的单价或单价中</w:t>
      </w:r>
      <w:r>
        <w:rPr>
          <w:rFonts w:hint="eastAsia" w:ascii="宋体" w:hAnsi="宋体" w:eastAsia="宋体" w:cs="宋体"/>
          <w:color w:val="auto"/>
          <w:sz w:val="24"/>
          <w:szCs w:val="24"/>
          <w:highlight w:val="none"/>
        </w:rPr>
        <w:t>漏报、少报的费用，均视为此项费用已隐含在其他报价中，中标后不予调整。</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16.2 </w:t>
      </w:r>
      <w:r>
        <w:rPr>
          <w:rFonts w:hint="eastAsia" w:ascii="宋体" w:hAnsi="宋体" w:eastAsia="宋体" w:cs="宋体"/>
          <w:color w:val="auto"/>
          <w:spacing w:val="-2"/>
          <w:sz w:val="24"/>
          <w:szCs w:val="24"/>
          <w:highlight w:val="none"/>
        </w:rPr>
        <w:t>其报价须保证在投标有效期及服务期内固定不变。招标人不接受有任何选择</w:t>
      </w:r>
      <w:r>
        <w:rPr>
          <w:rFonts w:hint="eastAsia" w:ascii="宋体" w:hAnsi="宋体" w:eastAsia="宋体" w:cs="宋体"/>
          <w:color w:val="auto"/>
          <w:sz w:val="24"/>
          <w:szCs w:val="24"/>
          <w:highlight w:val="none"/>
        </w:rPr>
        <w:t>性报价。</w:t>
      </w:r>
    </w:p>
    <w:p>
      <w:pPr>
        <w:keepNext w:val="0"/>
        <w:keepLines w:val="0"/>
        <w:pageBreakBefore w:val="0"/>
        <w:widowControl w:val="0"/>
        <w:tabs>
          <w:tab w:val="left" w:pos="554"/>
        </w:tabs>
        <w:kinsoku/>
        <w:wordWrap/>
        <w:overflowPunct/>
        <w:topLinePunct w:val="0"/>
        <w:autoSpaceDE w:val="0"/>
        <w:autoSpaceDN w:val="0"/>
        <w:bidi w:val="0"/>
        <w:adjustRightInd/>
        <w:snapToGrid/>
        <w:spacing w:line="360" w:lineRule="auto"/>
        <w:ind w:firstLine="47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16.3 </w:t>
      </w:r>
      <w:r>
        <w:rPr>
          <w:rFonts w:hint="eastAsia" w:ascii="宋体" w:hAnsi="宋体" w:eastAsia="宋体" w:cs="宋体"/>
          <w:color w:val="auto"/>
          <w:spacing w:val="-2"/>
          <w:sz w:val="24"/>
          <w:szCs w:val="24"/>
          <w:highlight w:val="none"/>
        </w:rPr>
        <w:t>为了防止本次招标的投标报价过高，超出招标人为本次采购项目的资金支付</w:t>
      </w:r>
      <w:r>
        <w:rPr>
          <w:rFonts w:hint="eastAsia" w:ascii="宋体" w:hAnsi="宋体" w:eastAsia="宋体" w:cs="宋体"/>
          <w:color w:val="auto"/>
          <w:sz w:val="24"/>
          <w:szCs w:val="24"/>
          <w:highlight w:val="none"/>
        </w:rPr>
        <w:t>能力，招标人依据主管部门的批复为本次招标项目的设定了最高投标限价（</w:t>
      </w:r>
      <w:r>
        <w:rPr>
          <w:rFonts w:hint="eastAsia" w:ascii="宋体" w:hAnsi="宋体" w:eastAsia="宋体" w:cs="宋体"/>
          <w:color w:val="auto"/>
          <w:spacing w:val="-3"/>
          <w:sz w:val="24"/>
          <w:szCs w:val="24"/>
          <w:highlight w:val="none"/>
        </w:rPr>
        <w:t>即采购预</w:t>
      </w:r>
      <w:r>
        <w:rPr>
          <w:rFonts w:hint="eastAsia" w:ascii="宋体" w:hAnsi="宋体" w:eastAsia="宋体" w:cs="宋体"/>
          <w:color w:val="auto"/>
          <w:sz w:val="24"/>
          <w:szCs w:val="24"/>
          <w:highlight w:val="none"/>
        </w:rPr>
        <w:t>算）</w:t>
      </w:r>
      <w:r>
        <w:rPr>
          <w:rFonts w:hint="eastAsia" w:ascii="宋体" w:hAnsi="宋体" w:eastAsia="宋体" w:cs="宋体"/>
          <w:color w:val="auto"/>
          <w:spacing w:val="-1"/>
          <w:sz w:val="24"/>
          <w:szCs w:val="24"/>
          <w:highlight w:val="none"/>
        </w:rPr>
        <w:t>，如果投标人的投标报价高于本项目的最高投标限价，其投标文件将被拒绝；如</w:t>
      </w:r>
      <w:r>
        <w:rPr>
          <w:rFonts w:hint="eastAsia" w:ascii="宋体" w:hAnsi="宋体" w:eastAsia="宋体" w:cs="宋体"/>
          <w:color w:val="auto"/>
          <w:sz w:val="24"/>
          <w:szCs w:val="24"/>
          <w:highlight w:val="none"/>
        </w:rPr>
        <w:t>果所有投标人的投标报价均最高投标限价，招标人有权重新组织招标。</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sz w:val="24"/>
          <w:szCs w:val="24"/>
          <w:highlight w:val="none"/>
        </w:rPr>
        <w:t>投标报价货币单位：人民币。</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投标有效期</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投标有效期详见投标人须知前附表，如不满足其投标将被否决。</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17.2 </w:t>
      </w:r>
      <w:r>
        <w:rPr>
          <w:rFonts w:hint="eastAsia" w:ascii="宋体" w:hAnsi="宋体" w:eastAsia="宋体" w:cs="宋体"/>
          <w:color w:val="auto"/>
          <w:spacing w:val="-3"/>
          <w:sz w:val="24"/>
          <w:szCs w:val="24"/>
          <w:highlight w:val="none"/>
        </w:rPr>
        <w:t>特殊情况下，招标人可于投标有效期期满之前，要求投标人同意延长投标有</w:t>
      </w:r>
      <w:r>
        <w:rPr>
          <w:rFonts w:hint="eastAsia" w:ascii="宋体" w:hAnsi="宋体" w:eastAsia="宋体" w:cs="宋体"/>
          <w:color w:val="auto"/>
          <w:spacing w:val="-1"/>
          <w:sz w:val="24"/>
          <w:szCs w:val="24"/>
          <w:highlight w:val="none"/>
        </w:rPr>
        <w:t>效期。投标人可以拒绝或同意上述要求，但要求与答复均须是书面文件。对于同意该</w:t>
      </w:r>
      <w:r>
        <w:rPr>
          <w:rFonts w:hint="eastAsia" w:ascii="宋体" w:hAnsi="宋体" w:eastAsia="宋体" w:cs="宋体"/>
          <w:color w:val="auto"/>
          <w:sz w:val="24"/>
          <w:szCs w:val="24"/>
          <w:highlight w:val="none"/>
        </w:rPr>
        <w:t>要求的投标人，招标人既不要求也不允许其修改投标文件。</w:t>
      </w:r>
    </w:p>
    <w:p>
      <w:pPr>
        <w:pStyle w:val="11"/>
        <w:keepNext w:val="0"/>
        <w:keepLines w:val="0"/>
        <w:pageBreakBefore w:val="0"/>
        <w:widowControl w:val="0"/>
        <w:numPr>
          <w:ilvl w:val="0"/>
          <w:numId w:val="0"/>
        </w:numPr>
        <w:tabs>
          <w:tab w:val="left" w:pos="136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投标保证金</w:t>
      </w:r>
    </w:p>
    <w:p>
      <w:pPr>
        <w:pStyle w:val="32"/>
        <w:keepNext w:val="0"/>
        <w:keepLines w:val="0"/>
        <w:pageBreakBefore w:val="0"/>
        <w:widowControl w:val="0"/>
        <w:numPr>
          <w:ilvl w:val="0"/>
          <w:numId w:val="0"/>
        </w:numPr>
        <w:tabs>
          <w:tab w:val="left" w:pos="1487"/>
        </w:tabs>
        <w:kinsoku/>
        <w:wordWrap/>
        <w:overflowPunct/>
        <w:topLinePunct w:val="0"/>
        <w:autoSpaceDE w:val="0"/>
        <w:autoSpaceDN w:val="0"/>
        <w:bidi w:val="0"/>
        <w:adjustRightInd/>
        <w:snapToGrid/>
        <w:spacing w:before="0" w:after="0" w:line="360" w:lineRule="auto"/>
        <w:ind w:right="432" w:rightChars="0" w:firstLine="49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18.1 </w:t>
      </w:r>
      <w:r>
        <w:rPr>
          <w:rFonts w:hint="eastAsia" w:ascii="宋体" w:hAnsi="宋体" w:eastAsia="宋体" w:cs="宋体"/>
          <w:color w:val="auto"/>
          <w:spacing w:val="3"/>
          <w:sz w:val="24"/>
          <w:szCs w:val="24"/>
          <w:highlight w:val="none"/>
        </w:rPr>
        <w:t>投标保证金的缴纳详见投标人须知前附表。未按规定提交投标保证金的投标，将被视为投标无效。</w:t>
      </w:r>
    </w:p>
    <w:p>
      <w:pPr>
        <w:pStyle w:val="32"/>
        <w:keepNext w:val="0"/>
        <w:keepLines w:val="0"/>
        <w:pageBreakBefore w:val="0"/>
        <w:widowControl w:val="0"/>
        <w:numPr>
          <w:ilvl w:val="0"/>
          <w:numId w:val="0"/>
        </w:numPr>
        <w:tabs>
          <w:tab w:val="left" w:pos="1487"/>
        </w:tabs>
        <w:kinsoku/>
        <w:wordWrap/>
        <w:overflowPunct/>
        <w:topLinePunct w:val="0"/>
        <w:autoSpaceDE w:val="0"/>
        <w:autoSpaceDN w:val="0"/>
        <w:bidi w:val="0"/>
        <w:adjustRightInd/>
        <w:snapToGrid/>
        <w:spacing w:before="0" w:after="0" w:line="360" w:lineRule="auto"/>
        <w:ind w:right="431" w:rightChars="0" w:firstLine="492" w:firstLineChars="20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 xml:space="preserve">18.2 </w:t>
      </w:r>
      <w:r>
        <w:rPr>
          <w:rFonts w:hint="eastAsia" w:ascii="宋体" w:hAnsi="宋体" w:eastAsia="宋体" w:cs="宋体"/>
          <w:color w:val="auto"/>
          <w:spacing w:val="3"/>
          <w:sz w:val="24"/>
          <w:szCs w:val="24"/>
          <w:highlight w:val="none"/>
        </w:rPr>
        <w:t>投标保证金的退还详见投标人须知前附表。</w:t>
      </w:r>
    </w:p>
    <w:p>
      <w:pPr>
        <w:pStyle w:val="32"/>
        <w:keepNext w:val="0"/>
        <w:keepLines w:val="0"/>
        <w:pageBreakBefore w:val="0"/>
        <w:widowControl w:val="0"/>
        <w:numPr>
          <w:ilvl w:val="0"/>
          <w:numId w:val="0"/>
        </w:numPr>
        <w:tabs>
          <w:tab w:val="left" w:pos="1487"/>
        </w:tabs>
        <w:kinsoku/>
        <w:wordWrap/>
        <w:overflowPunct/>
        <w:topLinePunct w:val="0"/>
        <w:autoSpaceDE w:val="0"/>
        <w:autoSpaceDN w:val="0"/>
        <w:bidi w:val="0"/>
        <w:adjustRightInd/>
        <w:snapToGrid/>
        <w:spacing w:before="0" w:after="0" w:line="360" w:lineRule="auto"/>
        <w:ind w:right="431" w:rightChars="0" w:firstLine="492" w:firstLineChars="20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 xml:space="preserve">18.3 </w:t>
      </w:r>
      <w:r>
        <w:rPr>
          <w:rFonts w:hint="eastAsia" w:ascii="宋体" w:hAnsi="宋体" w:eastAsia="宋体" w:cs="宋体"/>
          <w:color w:val="auto"/>
          <w:spacing w:val="3"/>
          <w:sz w:val="24"/>
          <w:szCs w:val="24"/>
          <w:highlight w:val="none"/>
        </w:rPr>
        <w:t>不予退还保证金的情形，详见投标人须知前附表。</w:t>
      </w:r>
    </w:p>
    <w:p>
      <w:pPr>
        <w:bidi w:val="0"/>
        <w:rPr>
          <w:rFonts w:hint="eastAsia" w:ascii="宋体" w:hAnsi="宋体" w:eastAsia="宋体" w:cs="宋体"/>
          <w:color w:val="auto"/>
          <w:highlight w:val="none"/>
          <w:lang w:val="zh-CN" w:eastAsia="zh-CN"/>
        </w:r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663" w:right="697"/>
        <w:jc w:val="center"/>
        <w:textAlignment w:val="auto"/>
        <w:rPr>
          <w:rFonts w:hint="eastAsia" w:ascii="宋体" w:hAnsi="宋体" w:eastAsia="宋体" w:cs="宋体"/>
          <w:b/>
          <w:color w:val="auto"/>
          <w:sz w:val="42"/>
          <w:highlight w:val="none"/>
        </w:rPr>
      </w:pPr>
      <w:r>
        <w:rPr>
          <w:rFonts w:hint="eastAsia" w:ascii="宋体" w:hAnsi="宋体" w:eastAsia="宋体" w:cs="宋体"/>
          <w:color w:val="auto"/>
          <w:highlight w:val="none"/>
          <w:lang w:val="zh-CN" w:eastAsia="zh-CN"/>
        </w:rPr>
        <w:tab/>
      </w:r>
      <w:r>
        <w:rPr>
          <w:rFonts w:hint="eastAsia" w:ascii="宋体" w:hAnsi="宋体" w:eastAsia="宋体" w:cs="宋体"/>
          <w:color w:val="auto"/>
          <w:highlight w:val="none"/>
        </w:rPr>
        <w:t>第四章 投标文件的递交</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投标文件的密封和标记</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投标截止时间以政采云上显示的时间为准，逾期系统将自动关闭，未完成上传的投标文件视为逾期送达，将被拒绝。</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 </w:t>
      </w:r>
      <w:r>
        <w:rPr>
          <w:rFonts w:hint="eastAsia" w:ascii="宋体" w:hAnsi="宋体" w:eastAsia="宋体" w:cs="宋体"/>
          <w:color w:val="auto"/>
          <w:sz w:val="24"/>
          <w:szCs w:val="24"/>
          <w:highlight w:val="none"/>
        </w:rPr>
        <w:t>投标文件递交截止时间</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 投标人应当在招标文件要求提交投标文件的截止时间前网上投标。</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 在招标文件要求提交投标文件的截止时间之后上传的投标文件，为无效投标文件，采购代理机构将拒绝接收。</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20.3 是否采用不见面开标详见投标人须知前附表，若项目采用不见面开标。只需将加密电子投标文件在投标截止时间前通过新疆政采云平台上传完成。上传时必须得到电脑“上传成功”的确认回复后方为上传成功。逾期上传的或者未上传到平台的投标文件，采购人不予受理。</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投标文件的修改和撤回</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21.1 </w:t>
      </w:r>
      <w:r>
        <w:rPr>
          <w:rFonts w:hint="eastAsia" w:ascii="宋体" w:hAnsi="宋体" w:eastAsia="宋体" w:cs="宋体"/>
          <w:color w:val="auto"/>
          <w:spacing w:val="-6"/>
          <w:sz w:val="24"/>
          <w:szCs w:val="24"/>
          <w:highlight w:val="none"/>
        </w:rPr>
        <w:t>投标人在递交投标文件后，可以修改或撤回其投标，但这种修改和撤回，必须在规定的投标截止时间前。在投标截止时间后，投标人不得要求修改或撤回其投标文件。</w:t>
      </w:r>
    </w:p>
    <w:p>
      <w:pPr>
        <w:keepNext w:val="0"/>
        <w:keepLines w:val="0"/>
        <w:pageBreakBefore w:val="0"/>
        <w:widowControl w:val="0"/>
        <w:kinsoku/>
        <w:wordWrap/>
        <w:overflowPunct/>
        <w:topLinePunct w:val="0"/>
        <w:autoSpaceDE w:val="0"/>
        <w:autoSpaceDN w:val="0"/>
        <w:bidi w:val="0"/>
        <w:adjustRightInd/>
        <w:snapToGrid/>
        <w:spacing w:before="0" w:line="360" w:lineRule="exact"/>
        <w:textAlignment w:val="auto"/>
        <w:rPr>
          <w:rFonts w:hint="eastAsia" w:ascii="宋体" w:hAnsi="宋体" w:eastAsia="宋体" w:cs="宋体"/>
          <w:color w:val="auto"/>
          <w:highlight w:val="none"/>
        </w:rPr>
      </w:pPr>
    </w:p>
    <w:p>
      <w:pPr>
        <w:pStyle w:val="6"/>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rFonts w:hint="eastAsia" w:ascii="宋体" w:hAnsi="宋体" w:eastAsia="宋体" w:cs="宋体"/>
          <w:b/>
          <w:color w:val="auto"/>
          <w:sz w:val="42"/>
          <w:highlight w:val="none"/>
        </w:rPr>
      </w:pPr>
      <w:bookmarkStart w:id="5" w:name="第五章  开 标"/>
      <w:bookmarkEnd w:id="5"/>
      <w:r>
        <w:rPr>
          <w:rFonts w:hint="eastAsia" w:ascii="宋体" w:hAnsi="宋体" w:eastAsia="宋体" w:cs="宋体"/>
          <w:color w:val="auto"/>
          <w:highlight w:val="none"/>
        </w:rPr>
        <w:t>第五章</w:t>
      </w:r>
      <w:r>
        <w:rPr>
          <w:rFonts w:hint="eastAsia" w:ascii="宋体" w:hAnsi="宋体" w:eastAsia="宋体" w:cs="宋体"/>
          <w:color w:val="auto"/>
          <w:highlight w:val="none"/>
        </w:rPr>
        <w:tab/>
      </w:r>
      <w:r>
        <w:rPr>
          <w:rFonts w:hint="eastAsia" w:ascii="宋体" w:hAnsi="宋体" w:eastAsia="宋体" w:cs="宋体"/>
          <w:color w:val="auto"/>
          <w:highlight w:val="none"/>
        </w:rPr>
        <w:t>开</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标</w:t>
      </w:r>
    </w:p>
    <w:p>
      <w:pPr>
        <w:pStyle w:val="11"/>
        <w:keepNext w:val="0"/>
        <w:keepLines w:val="0"/>
        <w:pageBreakBefore w:val="0"/>
        <w:widowControl w:val="0"/>
        <w:numPr>
          <w:ilvl w:val="0"/>
          <w:numId w:val="0"/>
        </w:numPr>
        <w:tabs>
          <w:tab w:val="left" w:pos="136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开标</w:t>
      </w:r>
    </w:p>
    <w:p>
      <w:pPr>
        <w:pStyle w:val="42"/>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color w:val="auto"/>
          <w:sz w:val="24"/>
          <w:szCs w:val="22"/>
          <w:highlight w:val="none"/>
        </w:rPr>
      </w:pPr>
      <w:r>
        <w:rPr>
          <w:rFonts w:hint="eastAsia" w:ascii="宋体" w:hAnsi="宋体" w:eastAsia="宋体" w:cs="宋体"/>
          <w:b/>
          <w:color w:val="auto"/>
          <w:sz w:val="24"/>
          <w:highlight w:val="none"/>
        </w:rPr>
        <w:t>A．采用见面开标方式</w:t>
      </w:r>
      <w:r>
        <w:rPr>
          <w:rFonts w:hint="eastAsia" w:ascii="宋体" w:hAnsi="宋体" w:eastAsia="宋体" w:cs="宋体"/>
          <w:color w:val="auto"/>
          <w:sz w:val="24"/>
          <w:highlight w:val="none"/>
        </w:rPr>
        <w:t>（是否采用详见投标人须知前附表）</w:t>
      </w:r>
    </w:p>
    <w:p>
      <w:pPr>
        <w:pStyle w:val="42"/>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.1 采购代理机构按照招标文件规定的时间、地点主持开标。投标人法定代表人或授权代理人应携带身份证明、CA证书及应当提交的其他资料参加开标并签到。</w:t>
      </w:r>
    </w:p>
    <w:p>
      <w:pPr>
        <w:pStyle w:val="42"/>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.2 开标前，采购代理机构将会同监督人员或公证人员进行验标（检查网上招标系统正常与否，检查电子投标文件，检查投标人保证金交纳情况），确认无误后开标。开标时，各投标人应对本单位的电子投标文件现场解密，采购代理机构工作人员在监督人员监督下解密所有投标文件。</w:t>
      </w:r>
    </w:p>
    <w:p>
      <w:pPr>
        <w:pStyle w:val="42"/>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因网上招标系统故障导致所有投标人均解密失败时，投标人使用纸质版投标文件进行开评标。</w:t>
      </w:r>
    </w:p>
    <w:p>
      <w:pPr>
        <w:pStyle w:val="42"/>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.3 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pPr>
        <w:pStyle w:val="42"/>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.4 在评审结束前，未得到采购代理机构允许，投标人法定代表人或授权代理人不得离开开标现场。</w:t>
      </w:r>
    </w:p>
    <w:p>
      <w:pPr>
        <w:pStyle w:val="15"/>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B．采用不见面开标方式</w:t>
      </w:r>
      <w:r>
        <w:rPr>
          <w:rFonts w:hint="eastAsia" w:ascii="宋体" w:hAnsi="宋体" w:eastAsia="宋体" w:cs="宋体"/>
          <w:color w:val="auto"/>
          <w:sz w:val="24"/>
          <w:highlight w:val="none"/>
        </w:rPr>
        <w:t>（是否采用详见投标人须知前附表）</w:t>
      </w:r>
    </w:p>
    <w:p>
      <w:pPr>
        <w:pStyle w:val="15"/>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在规定的投标截止时间（开标时间）和投标人须知前附表规定的地点开标。投标人的法定代表人或其委托代理人无需到达开标现场，仅需在任意地点通过政采云系统，使用CA密钥完成远程解密、提疑澄清、开标唱标、结果公布等交互环节。</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2"/>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bookmarkStart w:id="6" w:name="第四章 投标文件的递交"/>
      <w:bookmarkEnd w:id="6"/>
      <w:bookmarkStart w:id="7" w:name="第二章 招标文件的编写"/>
      <w:bookmarkEnd w:id="7"/>
      <w:bookmarkStart w:id="8" w:name="第三章 投标文件的编写"/>
      <w:bookmarkEnd w:id="8"/>
    </w:p>
    <w:p>
      <w:pPr>
        <w:pStyle w:val="6"/>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rFonts w:hint="eastAsia" w:ascii="宋体" w:hAnsi="宋体" w:eastAsia="宋体" w:cs="宋体"/>
          <w:b/>
          <w:color w:val="auto"/>
          <w:sz w:val="43"/>
          <w:highlight w:val="none"/>
        </w:rPr>
      </w:pPr>
      <w:r>
        <w:rPr>
          <w:rFonts w:hint="eastAsia" w:ascii="宋体" w:hAnsi="宋体" w:eastAsia="宋体" w:cs="宋体"/>
          <w:color w:val="auto"/>
          <w:highlight w:val="none"/>
        </w:rPr>
        <w:t>第六章</w:t>
      </w:r>
      <w:r>
        <w:rPr>
          <w:rFonts w:hint="eastAsia" w:ascii="宋体" w:hAnsi="宋体" w:eastAsia="宋体" w:cs="宋体"/>
          <w:color w:val="auto"/>
          <w:highlight w:val="none"/>
        </w:rPr>
        <w:tab/>
      </w:r>
      <w:r>
        <w:rPr>
          <w:rFonts w:hint="eastAsia" w:ascii="宋体" w:hAnsi="宋体" w:eastAsia="宋体" w:cs="宋体"/>
          <w:color w:val="auto"/>
          <w:highlight w:val="none"/>
        </w:rPr>
        <w:t>评</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标</w:t>
      </w:r>
    </w:p>
    <w:p>
      <w:pPr>
        <w:pStyle w:val="11"/>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评标委员会</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3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 xml:space="preserve">23.1 </w:t>
      </w:r>
      <w:r>
        <w:rPr>
          <w:rFonts w:hint="eastAsia" w:ascii="宋体" w:hAnsi="宋体" w:eastAsia="宋体" w:cs="宋体"/>
          <w:color w:val="auto"/>
          <w:spacing w:val="-12"/>
          <w:sz w:val="24"/>
          <w:szCs w:val="24"/>
          <w:highlight w:val="none"/>
        </w:rPr>
        <w:t>招标人将根据《中华人民共和国政府采购法》相关的法律、法规及规定，依法</w:t>
      </w:r>
      <w:r>
        <w:rPr>
          <w:rFonts w:hint="eastAsia" w:ascii="宋体" w:hAnsi="宋体" w:eastAsia="宋体" w:cs="宋体"/>
          <w:color w:val="auto"/>
          <w:spacing w:val="-8"/>
          <w:sz w:val="24"/>
          <w:szCs w:val="24"/>
          <w:highlight w:val="none"/>
        </w:rPr>
        <w:t>组建本次招标的评标委员会，负责本次招标的评审、评标等活动。评标委员会负责向招</w:t>
      </w:r>
      <w:r>
        <w:rPr>
          <w:rFonts w:hint="eastAsia" w:ascii="宋体" w:hAnsi="宋体" w:eastAsia="宋体" w:cs="宋体"/>
          <w:color w:val="auto"/>
          <w:spacing w:val="-5"/>
          <w:sz w:val="24"/>
          <w:szCs w:val="24"/>
          <w:highlight w:val="none"/>
        </w:rPr>
        <w:t>标人推荐中标候选人或者根据招标人的授权直接确定中标人。</w:t>
      </w:r>
    </w:p>
    <w:p>
      <w:pPr>
        <w:pStyle w:val="32"/>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23.2 </w:t>
      </w:r>
      <w:r>
        <w:rPr>
          <w:rFonts w:hint="eastAsia" w:ascii="宋体" w:hAnsi="宋体" w:eastAsia="宋体" w:cs="宋体"/>
          <w:color w:val="auto"/>
          <w:spacing w:val="-5"/>
          <w:sz w:val="24"/>
          <w:szCs w:val="24"/>
          <w:highlight w:val="none"/>
        </w:rPr>
        <w:t>评标委员会成员名单在评标结果公告前应当保密。</w:t>
      </w:r>
    </w:p>
    <w:p>
      <w:pPr>
        <w:pStyle w:val="32"/>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309" w:rightChars="0" w:firstLine="44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val="en-US" w:eastAsia="zh-CN"/>
        </w:rPr>
        <w:t xml:space="preserve">23.3 </w:t>
      </w:r>
      <w:r>
        <w:rPr>
          <w:rFonts w:hint="eastAsia" w:ascii="宋体" w:hAnsi="宋体" w:eastAsia="宋体" w:cs="宋体"/>
          <w:color w:val="auto"/>
          <w:spacing w:val="-10"/>
          <w:sz w:val="24"/>
          <w:szCs w:val="24"/>
          <w:highlight w:val="none"/>
        </w:rPr>
        <w:t>评标委员会由五人以上单数组成</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5"/>
          <w:sz w:val="24"/>
          <w:szCs w:val="24"/>
          <w:highlight w:val="none"/>
        </w:rPr>
        <w:t>其中经济、技术等方面的专家不得少于成员总数的三分之二。</w:t>
      </w:r>
    </w:p>
    <w:p>
      <w:pPr>
        <w:pStyle w:val="32"/>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0" w:after="0" w:line="360" w:lineRule="auto"/>
        <w:ind w:right="429" w:rightChars="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23.4 </w:t>
      </w:r>
      <w:r>
        <w:rPr>
          <w:rFonts w:hint="eastAsia" w:ascii="宋体" w:hAnsi="宋体" w:eastAsia="宋体" w:cs="宋体"/>
          <w:color w:val="auto"/>
          <w:spacing w:val="-1"/>
          <w:sz w:val="24"/>
          <w:szCs w:val="24"/>
          <w:highlight w:val="none"/>
        </w:rPr>
        <w:t>采购人或者采购代理机构应当从省级以上财政部门设立的政府采购评审专家</w:t>
      </w:r>
      <w:r>
        <w:rPr>
          <w:rFonts w:hint="eastAsia" w:ascii="宋体" w:hAnsi="宋体" w:eastAsia="宋体" w:cs="宋体"/>
          <w:color w:val="auto"/>
          <w:spacing w:val="-5"/>
          <w:sz w:val="24"/>
          <w:szCs w:val="24"/>
          <w:highlight w:val="none"/>
        </w:rPr>
        <w:t>库中，通过随机方式抽取评审专家。</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2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val="en-US" w:eastAsia="zh-CN"/>
        </w:rPr>
        <w:t xml:space="preserve">23.5 </w:t>
      </w:r>
      <w:r>
        <w:rPr>
          <w:rFonts w:hint="eastAsia" w:ascii="宋体" w:hAnsi="宋体" w:eastAsia="宋体" w:cs="宋体"/>
          <w:color w:val="auto"/>
          <w:spacing w:val="-14"/>
          <w:sz w:val="24"/>
          <w:szCs w:val="24"/>
          <w:highlight w:val="none"/>
        </w:rPr>
        <w:t>评标中因评审成员缺席、回避或者健康等特殊原因导致评标委员会组成不符合</w:t>
      </w:r>
      <w:r>
        <w:rPr>
          <w:rFonts w:hint="eastAsia" w:ascii="宋体" w:hAnsi="宋体" w:eastAsia="宋体" w:cs="宋体"/>
          <w:color w:val="auto"/>
          <w:spacing w:val="-9"/>
          <w:sz w:val="24"/>
          <w:szCs w:val="24"/>
          <w:highlight w:val="none"/>
        </w:rPr>
        <w:t>相关规定的，采购人或者采购代理机构应当依法补足后继续评标。被更换的评标委员会</w:t>
      </w:r>
      <w:r>
        <w:rPr>
          <w:rFonts w:hint="eastAsia" w:ascii="宋体" w:hAnsi="宋体" w:eastAsia="宋体" w:cs="宋体"/>
          <w:color w:val="auto"/>
          <w:sz w:val="24"/>
          <w:szCs w:val="24"/>
          <w:highlight w:val="none"/>
        </w:rPr>
        <w:t>成员所作出的评标意见无效。</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4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无法及时补足评标委员会成员的，采购人或者采购代理机构应当停止评标活动，封</w:t>
      </w:r>
      <w:r>
        <w:rPr>
          <w:rFonts w:hint="eastAsia" w:ascii="宋体" w:hAnsi="宋体" w:eastAsia="宋体" w:cs="宋体"/>
          <w:color w:val="auto"/>
          <w:spacing w:val="-9"/>
          <w:sz w:val="24"/>
          <w:szCs w:val="24"/>
          <w:highlight w:val="none"/>
        </w:rPr>
        <w:t>存所有投标文件和开标、评标资料，依法重新组建评标委员会进行评标。原评标委员会</w:t>
      </w:r>
      <w:r>
        <w:rPr>
          <w:rFonts w:hint="eastAsia" w:ascii="宋体" w:hAnsi="宋体" w:eastAsia="宋体" w:cs="宋体"/>
          <w:color w:val="auto"/>
          <w:spacing w:val="-5"/>
          <w:sz w:val="24"/>
          <w:szCs w:val="24"/>
          <w:highlight w:val="none"/>
        </w:rPr>
        <w:t>所作出的评标意见无效。</w:t>
      </w:r>
    </w:p>
    <w:p>
      <w:pPr>
        <w:keepNext w:val="0"/>
        <w:keepLines w:val="0"/>
        <w:pageBreakBefore w:val="0"/>
        <w:widowControl w:val="0"/>
        <w:kinsoku/>
        <w:wordWrap/>
        <w:overflowPunct/>
        <w:topLinePunct w:val="0"/>
        <w:autoSpaceDE w:val="0"/>
        <w:autoSpaceDN w:val="0"/>
        <w:bidi w:val="0"/>
        <w:adjustRightInd/>
        <w:snapToGrid/>
        <w:spacing w:before="0" w:line="360" w:lineRule="auto"/>
        <w:ind w:right="429" w:firstLine="44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采购人或者采购代理机构应当将变更、重新组建评标委员会的情况予以记录，并随</w:t>
      </w:r>
      <w:r>
        <w:rPr>
          <w:rFonts w:hint="eastAsia" w:ascii="宋体" w:hAnsi="宋体" w:eastAsia="宋体" w:cs="宋体"/>
          <w:color w:val="auto"/>
          <w:spacing w:val="-5"/>
          <w:sz w:val="24"/>
          <w:szCs w:val="24"/>
          <w:highlight w:val="none"/>
        </w:rPr>
        <w:t>采购文件一并存档。</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23.6 </w:t>
      </w:r>
      <w:r>
        <w:rPr>
          <w:rFonts w:hint="eastAsia" w:ascii="宋体" w:hAnsi="宋体" w:eastAsia="宋体" w:cs="宋体"/>
          <w:color w:val="auto"/>
          <w:spacing w:val="-5"/>
          <w:sz w:val="24"/>
          <w:szCs w:val="24"/>
          <w:highlight w:val="none"/>
        </w:rPr>
        <w:t>评标专家应符合下列条件：</w:t>
      </w:r>
    </w:p>
    <w:p>
      <w:pPr>
        <w:pStyle w:val="32"/>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4" w:rightChars="0" w:firstLine="43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 xml:space="preserve">23.6.1 </w:t>
      </w:r>
      <w:r>
        <w:rPr>
          <w:rFonts w:hint="eastAsia" w:ascii="宋体" w:hAnsi="宋体" w:eastAsia="宋体" w:cs="宋体"/>
          <w:color w:val="auto"/>
          <w:spacing w:val="-11"/>
          <w:sz w:val="24"/>
          <w:szCs w:val="24"/>
          <w:highlight w:val="none"/>
        </w:rPr>
        <w:t>具有良好的职业道德，廉洁自律，遵纪守法，无行贿、受贿、欺诈等不良信</w:t>
      </w:r>
      <w:r>
        <w:rPr>
          <w:rFonts w:hint="eastAsia" w:ascii="宋体" w:hAnsi="宋体" w:eastAsia="宋体" w:cs="宋体"/>
          <w:color w:val="auto"/>
          <w:spacing w:val="-4"/>
          <w:sz w:val="24"/>
          <w:szCs w:val="24"/>
          <w:highlight w:val="none"/>
        </w:rPr>
        <w:t>用记录；</w:t>
      </w:r>
    </w:p>
    <w:p>
      <w:pPr>
        <w:pStyle w:val="32"/>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7" w:rightChars="0" w:firstLine="44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 xml:space="preserve">23.6.2 </w:t>
      </w:r>
      <w:r>
        <w:rPr>
          <w:rFonts w:hint="eastAsia" w:ascii="宋体" w:hAnsi="宋体" w:eastAsia="宋体" w:cs="宋体"/>
          <w:color w:val="auto"/>
          <w:spacing w:val="-8"/>
          <w:sz w:val="24"/>
          <w:szCs w:val="24"/>
          <w:highlight w:val="none"/>
        </w:rPr>
        <w:t xml:space="preserve">具有中级专业技术职称或同等专业水平且从事相关领域工作满 </w:t>
      </w:r>
      <w:r>
        <w:rPr>
          <w:rFonts w:hint="eastAsia" w:ascii="宋体" w:hAnsi="宋体" w:eastAsia="宋体" w:cs="宋体"/>
          <w:color w:val="auto"/>
          <w:sz w:val="24"/>
          <w:szCs w:val="24"/>
          <w:highlight w:val="none"/>
        </w:rPr>
        <w:t>8</w:t>
      </w:r>
      <w:r>
        <w:rPr>
          <w:rFonts w:hint="eastAsia" w:ascii="宋体" w:hAnsi="宋体" w:eastAsia="宋体" w:cs="宋体"/>
          <w:color w:val="auto"/>
          <w:spacing w:val="-30"/>
          <w:sz w:val="24"/>
          <w:szCs w:val="24"/>
          <w:highlight w:val="none"/>
        </w:rPr>
        <w:t xml:space="preserve"> 年，或者具</w:t>
      </w:r>
      <w:r>
        <w:rPr>
          <w:rFonts w:hint="eastAsia" w:ascii="宋体" w:hAnsi="宋体" w:eastAsia="宋体" w:cs="宋体"/>
          <w:color w:val="auto"/>
          <w:spacing w:val="-5"/>
          <w:sz w:val="24"/>
          <w:szCs w:val="24"/>
          <w:highlight w:val="none"/>
        </w:rPr>
        <w:t>有高级专业技术职称或同等专业水平；</w:t>
      </w:r>
    </w:p>
    <w:p>
      <w:pPr>
        <w:pStyle w:val="32"/>
        <w:keepNext w:val="0"/>
        <w:keepLines w:val="0"/>
        <w:pageBreakBefore w:val="0"/>
        <w:widowControl w:val="0"/>
        <w:numPr>
          <w:ilvl w:val="0"/>
          <w:numId w:val="0"/>
        </w:numPr>
        <w:tabs>
          <w:tab w:val="left" w:pos="1698"/>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23.6.3 </w:t>
      </w:r>
      <w:r>
        <w:rPr>
          <w:rFonts w:hint="eastAsia" w:ascii="宋体" w:hAnsi="宋体" w:eastAsia="宋体" w:cs="宋体"/>
          <w:color w:val="auto"/>
          <w:spacing w:val="-5"/>
          <w:sz w:val="24"/>
          <w:szCs w:val="24"/>
          <w:highlight w:val="none"/>
        </w:rPr>
        <w:t>熟悉政府采购相关政策法规；</w:t>
      </w:r>
    </w:p>
    <w:p>
      <w:pPr>
        <w:pStyle w:val="32"/>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7" w:rightChars="0" w:firstLine="43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 xml:space="preserve">23.6.4 </w:t>
      </w:r>
      <w:r>
        <w:rPr>
          <w:rFonts w:hint="eastAsia" w:ascii="宋体" w:hAnsi="宋体" w:eastAsia="宋体" w:cs="宋体"/>
          <w:color w:val="auto"/>
          <w:spacing w:val="-12"/>
          <w:sz w:val="24"/>
          <w:szCs w:val="24"/>
          <w:highlight w:val="none"/>
        </w:rPr>
        <w:t>承诺以独立身份参加评审工作，依法履行评审专家工作职责并承担相应法律</w:t>
      </w:r>
      <w:r>
        <w:rPr>
          <w:rFonts w:hint="eastAsia" w:ascii="宋体" w:hAnsi="宋体" w:eastAsia="宋体" w:cs="宋体"/>
          <w:color w:val="auto"/>
          <w:spacing w:val="-5"/>
          <w:sz w:val="24"/>
          <w:szCs w:val="24"/>
          <w:highlight w:val="none"/>
        </w:rPr>
        <w:t>责任的中国公民；</w:t>
      </w:r>
    </w:p>
    <w:p>
      <w:pPr>
        <w:pStyle w:val="32"/>
        <w:keepNext w:val="0"/>
        <w:keepLines w:val="0"/>
        <w:pageBreakBefore w:val="0"/>
        <w:widowControl w:val="0"/>
        <w:numPr>
          <w:ilvl w:val="0"/>
          <w:numId w:val="0"/>
        </w:numPr>
        <w:tabs>
          <w:tab w:val="left" w:pos="1698"/>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23.6.5 </w:t>
      </w:r>
      <w:r>
        <w:rPr>
          <w:rFonts w:hint="eastAsia" w:ascii="宋体" w:hAnsi="宋体" w:eastAsia="宋体" w:cs="宋体"/>
          <w:color w:val="auto"/>
          <w:spacing w:val="-5"/>
          <w:sz w:val="24"/>
          <w:szCs w:val="24"/>
          <w:highlight w:val="none"/>
        </w:rPr>
        <w:t>身体健康，能够承担评审工作；</w:t>
      </w:r>
    </w:p>
    <w:p>
      <w:pPr>
        <w:pStyle w:val="32"/>
        <w:keepNext w:val="0"/>
        <w:keepLines w:val="0"/>
        <w:pageBreakBefore w:val="0"/>
        <w:widowControl w:val="0"/>
        <w:numPr>
          <w:ilvl w:val="0"/>
          <w:numId w:val="0"/>
        </w:numPr>
        <w:tabs>
          <w:tab w:val="left" w:pos="1700"/>
        </w:tabs>
        <w:kinsoku/>
        <w:wordWrap/>
        <w:overflowPunct/>
        <w:topLinePunct w:val="0"/>
        <w:autoSpaceDE w:val="0"/>
        <w:autoSpaceDN w:val="0"/>
        <w:bidi w:val="0"/>
        <w:adjustRightInd/>
        <w:snapToGrid/>
        <w:spacing w:before="0" w:after="0" w:line="360" w:lineRule="auto"/>
        <w:ind w:right="427"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23.6.6 </w:t>
      </w:r>
      <w:r>
        <w:rPr>
          <w:rFonts w:hint="eastAsia" w:ascii="宋体" w:hAnsi="宋体" w:eastAsia="宋体" w:cs="宋体"/>
          <w:color w:val="auto"/>
          <w:spacing w:val="-3"/>
          <w:sz w:val="24"/>
          <w:szCs w:val="24"/>
          <w:highlight w:val="none"/>
        </w:rPr>
        <w:t>申请成为评审专家前三年内，无《政府采购评审专家管理办法》中规定的</w:t>
      </w:r>
      <w:r>
        <w:rPr>
          <w:rFonts w:hint="eastAsia" w:ascii="宋体" w:hAnsi="宋体" w:eastAsia="宋体" w:cs="宋体"/>
          <w:color w:val="auto"/>
          <w:spacing w:val="-5"/>
          <w:sz w:val="24"/>
          <w:szCs w:val="24"/>
          <w:highlight w:val="none"/>
        </w:rPr>
        <w:t>不良行为记录。</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有下列情形之一的，不得担任评标委员会成员：</w:t>
      </w:r>
    </w:p>
    <w:p>
      <w:pPr>
        <w:pStyle w:val="32"/>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7"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参加采购活动前三年内，与供应商存在劳动关系，或者担任过供应商的董事、</w:t>
      </w:r>
      <w:r>
        <w:rPr>
          <w:rFonts w:hint="eastAsia" w:ascii="宋体" w:hAnsi="宋体" w:eastAsia="宋体" w:cs="宋体"/>
          <w:color w:val="auto"/>
          <w:spacing w:val="-5"/>
          <w:sz w:val="24"/>
          <w:szCs w:val="24"/>
          <w:highlight w:val="none"/>
        </w:rPr>
        <w:t>监事,或者是供应商的控股股东或实际控制人；</w:t>
      </w:r>
    </w:p>
    <w:p>
      <w:pPr>
        <w:pStyle w:val="32"/>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7"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与供应商的法定代表人或者负责人有夫妻、直系血亲、三代以内旁系血亲或者</w:t>
      </w:r>
      <w:r>
        <w:rPr>
          <w:rFonts w:hint="eastAsia" w:ascii="宋体" w:hAnsi="宋体" w:eastAsia="宋体" w:cs="宋体"/>
          <w:color w:val="auto"/>
          <w:spacing w:val="-5"/>
          <w:sz w:val="24"/>
          <w:szCs w:val="24"/>
          <w:highlight w:val="none"/>
        </w:rPr>
        <w:t>近姻亲关系；</w:t>
      </w:r>
    </w:p>
    <w:p>
      <w:pPr>
        <w:pStyle w:val="32"/>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与供应商有其他可能影响政府采购活动公平、公正进行的关系。</w:t>
      </w:r>
    </w:p>
    <w:p>
      <w:pPr>
        <w:pStyle w:val="32"/>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23.7 </w:t>
      </w:r>
      <w:r>
        <w:rPr>
          <w:rFonts w:hint="eastAsia" w:ascii="宋体" w:hAnsi="宋体" w:eastAsia="宋体" w:cs="宋体"/>
          <w:color w:val="auto"/>
          <w:spacing w:val="-5"/>
          <w:sz w:val="24"/>
          <w:szCs w:val="24"/>
          <w:highlight w:val="none"/>
        </w:rPr>
        <w:t>评标委员会负责具体评标事务，并独立履行下列职责：</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137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审查、评价投标文件是否符合招标文件的商务、技术等实质性要求；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要求投标人对投标文件的有关事项作出澄清或者说明；</w:t>
      </w:r>
    </w:p>
    <w:p>
      <w:pPr>
        <w:pStyle w:val="32"/>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对投标文件进行比较和评价；</w:t>
      </w:r>
    </w:p>
    <w:p>
      <w:pPr>
        <w:pStyle w:val="32"/>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确定中标候选人名单，以及根据采购人委托直接确定中标人；</w:t>
      </w:r>
    </w:p>
    <w:p>
      <w:pPr>
        <w:pStyle w:val="32"/>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向采购人、采购代理机构或者有关部门报告评标中发现的违法行为。</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23.8 </w:t>
      </w:r>
      <w:r>
        <w:rPr>
          <w:rFonts w:hint="eastAsia" w:ascii="宋体" w:hAnsi="宋体" w:eastAsia="宋体" w:cs="宋体"/>
          <w:color w:val="auto"/>
          <w:spacing w:val="-5"/>
          <w:sz w:val="24"/>
          <w:szCs w:val="24"/>
          <w:highlight w:val="none"/>
        </w:rPr>
        <w:t>评标委员会及其成员不得有下列行为：</w:t>
      </w:r>
    </w:p>
    <w:p>
      <w:pPr>
        <w:pStyle w:val="32"/>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9"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确定参与评标至评标结束前私自接触投标人；</w:t>
      </w:r>
      <w:r>
        <w:rPr>
          <w:rFonts w:hint="eastAsia" w:ascii="宋体" w:hAnsi="宋体" w:eastAsia="宋体" w:cs="宋体"/>
          <w:color w:val="auto"/>
          <w:sz w:val="24"/>
          <w:szCs w:val="24"/>
          <w:highlight w:val="none"/>
          <w:lang w:val="zh-CN" w:eastAsia="zh-CN"/>
        </w:rPr>
        <w:tab/>
      </w:r>
    </w:p>
    <w:p>
      <w:pPr>
        <w:pStyle w:val="32"/>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429" w:rightChars="0" w:firstLine="44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 xml:space="preserve">接受投标人提出的与投标文件不一致的澄清或者说明，本招标文件第 </w:t>
      </w:r>
      <w:r>
        <w:rPr>
          <w:rFonts w:hint="eastAsia" w:ascii="宋体" w:hAnsi="宋体" w:eastAsia="宋体" w:cs="宋体"/>
          <w:color w:val="auto"/>
          <w:sz w:val="24"/>
          <w:szCs w:val="24"/>
          <w:highlight w:val="none"/>
        </w:rPr>
        <w:t>27.1</w:t>
      </w:r>
      <w:r>
        <w:rPr>
          <w:rFonts w:hint="eastAsia" w:ascii="宋体" w:hAnsi="宋体" w:eastAsia="宋体" w:cs="宋体"/>
          <w:color w:val="auto"/>
          <w:spacing w:val="-25"/>
          <w:sz w:val="24"/>
          <w:szCs w:val="24"/>
          <w:highlight w:val="none"/>
        </w:rPr>
        <w:t xml:space="preserve"> 款规</w:t>
      </w:r>
      <w:r>
        <w:rPr>
          <w:rFonts w:hint="eastAsia" w:ascii="宋体" w:hAnsi="宋体" w:eastAsia="宋体" w:cs="宋体"/>
          <w:color w:val="auto"/>
          <w:spacing w:val="-5"/>
          <w:sz w:val="24"/>
          <w:szCs w:val="24"/>
          <w:highlight w:val="none"/>
        </w:rPr>
        <w:t>定的情形除外；</w:t>
      </w:r>
    </w:p>
    <w:p>
      <w:pPr>
        <w:pStyle w:val="32"/>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1502"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违反评标纪律发表倾向性意见或者征询采购人的倾向性意见；</w:t>
      </w:r>
    </w:p>
    <w:p>
      <w:pPr>
        <w:pStyle w:val="32"/>
        <w:keepNext w:val="0"/>
        <w:keepLines w:val="0"/>
        <w:pageBreakBefore w:val="0"/>
        <w:widowControl w:val="0"/>
        <w:numPr>
          <w:ilvl w:val="0"/>
          <w:numId w:val="0"/>
        </w:numPr>
        <w:tabs>
          <w:tab w:val="left" w:pos="1231"/>
        </w:tabs>
        <w:kinsoku/>
        <w:wordWrap/>
        <w:overflowPunct/>
        <w:topLinePunct w:val="0"/>
        <w:autoSpaceDE w:val="0"/>
        <w:autoSpaceDN w:val="0"/>
        <w:bidi w:val="0"/>
        <w:adjustRightInd/>
        <w:snapToGrid/>
        <w:spacing w:before="0" w:after="0" w:line="360" w:lineRule="auto"/>
        <w:ind w:right="1502"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对需要专业判断的主观评审因素协商评分；</w:t>
      </w:r>
    </w:p>
    <w:p>
      <w:pPr>
        <w:keepNext w:val="0"/>
        <w:keepLines w:val="0"/>
        <w:pageBreakBefore w:val="0"/>
        <w:widowControl w:val="0"/>
        <w:kinsoku/>
        <w:wordWrap/>
        <w:overflowPunct/>
        <w:topLinePunct w:val="0"/>
        <w:autoSpaceDE w:val="0"/>
        <w:autoSpaceDN w:val="0"/>
        <w:bidi w:val="0"/>
        <w:adjustRightInd/>
        <w:snapToGrid/>
        <w:spacing w:before="0" w:line="360" w:lineRule="auto"/>
        <w:ind w:right="2162" w:rightChars="0" w:firstLine="460" w:firstLineChars="20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在评标过程中擅离职守，影响评标程序正常进行的； </w:t>
      </w:r>
    </w:p>
    <w:p>
      <w:pPr>
        <w:keepNext w:val="0"/>
        <w:keepLines w:val="0"/>
        <w:pageBreakBefore w:val="0"/>
        <w:widowControl w:val="0"/>
        <w:kinsoku/>
        <w:wordWrap/>
        <w:overflowPunct/>
        <w:topLinePunct w:val="0"/>
        <w:autoSpaceDE w:val="0"/>
        <w:autoSpaceDN w:val="0"/>
        <w:bidi w:val="0"/>
        <w:adjustRightInd/>
        <w:snapToGrid/>
        <w:spacing w:before="0" w:line="360" w:lineRule="auto"/>
        <w:ind w:right="2162" w:rightChars="0" w:firstLine="46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6</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记录、复制或者带走任何评标资料；</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其他不遵守评标纪律的行为。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6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评标委员会成员有前款第(</w:t>
      </w:r>
      <w:r>
        <w:rPr>
          <w:rFonts w:hint="eastAsia" w:ascii="宋体" w:hAnsi="宋体" w:eastAsia="宋体" w:cs="宋体"/>
          <w:color w:val="auto"/>
          <w:sz w:val="24"/>
          <w:szCs w:val="24"/>
          <w:highlight w:val="none"/>
        </w:rPr>
        <w:t>1)</w:t>
      </w:r>
      <w:r>
        <w:rPr>
          <w:rFonts w:hint="eastAsia" w:ascii="宋体" w:hAnsi="宋体" w:eastAsia="宋体" w:cs="宋体"/>
          <w:color w:val="auto"/>
          <w:spacing w:val="-4"/>
          <w:sz w:val="24"/>
          <w:szCs w:val="24"/>
          <w:highlight w:val="none"/>
        </w:rPr>
        <w:t>至(</w:t>
      </w:r>
      <w:r>
        <w:rPr>
          <w:rFonts w:hint="eastAsia" w:ascii="宋体" w:hAnsi="宋体" w:eastAsia="宋体" w:cs="宋体"/>
          <w:color w:val="auto"/>
          <w:spacing w:val="-3"/>
          <w:sz w:val="24"/>
          <w:szCs w:val="24"/>
          <w:highlight w:val="none"/>
        </w:rPr>
        <w:t>5</w:t>
      </w:r>
      <w:r>
        <w:rPr>
          <w:rFonts w:hint="eastAsia" w:ascii="宋体" w:hAnsi="宋体" w:eastAsia="宋体" w:cs="宋体"/>
          <w:color w:val="auto"/>
          <w:spacing w:val="-9"/>
          <w:sz w:val="24"/>
          <w:szCs w:val="24"/>
          <w:highlight w:val="none"/>
        </w:rPr>
        <w:t>)项行为之一的，其评审意见无效，并不得获取评</w:t>
      </w:r>
      <w:r>
        <w:rPr>
          <w:rFonts w:hint="eastAsia" w:ascii="宋体" w:hAnsi="宋体" w:eastAsia="宋体" w:cs="宋体"/>
          <w:color w:val="auto"/>
          <w:spacing w:val="-5"/>
          <w:sz w:val="24"/>
          <w:szCs w:val="24"/>
          <w:highlight w:val="none"/>
        </w:rPr>
        <w:t>审劳务报酬和报销异地评审差旅费。</w:t>
      </w:r>
    </w:p>
    <w:p>
      <w:pPr>
        <w:pStyle w:val="11"/>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评审过程的保密性</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309" w:rightChars="0" w:firstLine="39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lang w:val="en-US" w:eastAsia="zh-CN"/>
        </w:rPr>
        <w:t xml:space="preserve">24.1 </w:t>
      </w:r>
      <w:r>
        <w:rPr>
          <w:rFonts w:hint="eastAsia" w:ascii="宋体" w:hAnsi="宋体" w:eastAsia="宋体" w:cs="宋体"/>
          <w:color w:val="auto"/>
          <w:spacing w:val="0"/>
          <w:sz w:val="24"/>
          <w:szCs w:val="24"/>
          <w:highlight w:val="none"/>
        </w:rPr>
        <w:t>采购人、采购代理机构应当采取必要措施，保证评审在严格保密的情况下进行。除采购人代表、评审现场组织人员外，采购人的其他工作人员以及与评审工作无关的人员不得进入评审现场。</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2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lang w:val="en-US" w:eastAsia="zh-CN"/>
        </w:rPr>
        <w:t xml:space="preserve">24.2 </w:t>
      </w:r>
      <w:r>
        <w:rPr>
          <w:rFonts w:hint="eastAsia" w:ascii="宋体" w:hAnsi="宋体" w:eastAsia="宋体" w:cs="宋体"/>
          <w:color w:val="auto"/>
          <w:spacing w:val="-13"/>
          <w:sz w:val="24"/>
          <w:szCs w:val="24"/>
          <w:highlight w:val="none"/>
        </w:rPr>
        <w:t>开标后，直到授予中标人合同为止，凡属于对投标文件的审查、澄清、评价和</w:t>
      </w:r>
      <w:r>
        <w:rPr>
          <w:rFonts w:hint="eastAsia" w:ascii="宋体" w:hAnsi="宋体" w:eastAsia="宋体" w:cs="宋体"/>
          <w:color w:val="auto"/>
          <w:spacing w:val="-7"/>
          <w:sz w:val="24"/>
          <w:szCs w:val="24"/>
          <w:highlight w:val="none"/>
        </w:rPr>
        <w:t>比较的有关资料以及中标候选人的推荐情况和授标建议等内容、与评标有关的其他任何</w:t>
      </w:r>
      <w:r>
        <w:rPr>
          <w:rFonts w:hint="eastAsia" w:ascii="宋体" w:hAnsi="宋体" w:eastAsia="宋体" w:cs="宋体"/>
          <w:color w:val="auto"/>
          <w:spacing w:val="-9"/>
          <w:sz w:val="24"/>
          <w:szCs w:val="24"/>
          <w:highlight w:val="none"/>
        </w:rPr>
        <w:t>情况均应严格保密；评标委员会成员及参与评标的有关工作人员均不得向投标人或其他</w:t>
      </w:r>
      <w:r>
        <w:rPr>
          <w:rFonts w:hint="eastAsia" w:ascii="宋体" w:hAnsi="宋体" w:eastAsia="宋体" w:cs="宋体"/>
          <w:color w:val="auto"/>
          <w:spacing w:val="-5"/>
          <w:sz w:val="24"/>
          <w:szCs w:val="24"/>
          <w:highlight w:val="none"/>
        </w:rPr>
        <w:t>无关的人员透露，违者给予警告、取消担任评标委员会成员的资格。</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3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 xml:space="preserve">24.3 </w:t>
      </w:r>
      <w:r>
        <w:rPr>
          <w:rFonts w:hint="eastAsia" w:ascii="宋体" w:hAnsi="宋体" w:eastAsia="宋体" w:cs="宋体"/>
          <w:color w:val="auto"/>
          <w:spacing w:val="-11"/>
          <w:sz w:val="24"/>
          <w:szCs w:val="24"/>
          <w:highlight w:val="none"/>
        </w:rPr>
        <w:t>投标供应商在评审过程中，所进行的力图影响评审结果的以及不符合《中华人</w:t>
      </w:r>
      <w:r>
        <w:rPr>
          <w:rFonts w:hint="eastAsia" w:ascii="宋体" w:hAnsi="宋体" w:eastAsia="宋体" w:cs="宋体"/>
          <w:color w:val="auto"/>
          <w:spacing w:val="-3"/>
          <w:sz w:val="24"/>
          <w:szCs w:val="24"/>
          <w:highlight w:val="none"/>
        </w:rPr>
        <w:t>民共和国政府采购法》及其相关法律、法规,以及本次招标的有关规定的活动，将被取</w:t>
      </w:r>
      <w:r>
        <w:rPr>
          <w:rFonts w:hint="eastAsia" w:ascii="宋体" w:hAnsi="宋体" w:eastAsia="宋体" w:cs="宋体"/>
          <w:color w:val="auto"/>
          <w:spacing w:val="-5"/>
          <w:sz w:val="24"/>
          <w:szCs w:val="24"/>
          <w:highlight w:val="none"/>
        </w:rPr>
        <w:t>消其中标资格。</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评审依据及评标办法</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bookmarkStart w:id="9" w:name="26.1 评审的依据为招标文件及各投标人的投标文件。"/>
      <w:bookmarkEnd w:id="9"/>
      <w:bookmarkStart w:id="10" w:name="26.1 评审的依据为招标文件及各投标人的投标文件。"/>
      <w:bookmarkEnd w:id="10"/>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评审的依据为招标文件及各投标人的投标文件。</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评标办法：</w:t>
      </w:r>
      <w:r>
        <w:rPr>
          <w:rFonts w:hint="eastAsia" w:ascii="宋体" w:hAnsi="宋体" w:eastAsia="宋体" w:cs="宋体"/>
          <w:b/>
          <w:color w:val="auto"/>
          <w:spacing w:val="-4"/>
          <w:sz w:val="24"/>
          <w:szCs w:val="24"/>
          <w:highlight w:val="none"/>
        </w:rPr>
        <w:t>综合评分法</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综合评分法，是指投标文件满足招标文件全部实质性要求，且按照评审因素的量化指标评审得分最高的投标人为中标候选人的评标方法。</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bookmarkStart w:id="11" w:name="26.3 评审程序："/>
      <w:bookmarkEnd w:id="11"/>
      <w:bookmarkStart w:id="12" w:name="26.3 评审程序："/>
      <w:bookmarkEnd w:id="12"/>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评审程序：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433" w:firstLine="45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成立评标委员会→</w:t>
      </w:r>
      <w:r>
        <w:rPr>
          <w:rFonts w:hint="eastAsia" w:ascii="宋体" w:hAnsi="宋体" w:eastAsia="宋体" w:cs="宋体"/>
          <w:color w:val="auto"/>
          <w:spacing w:val="-7"/>
          <w:sz w:val="24"/>
          <w:szCs w:val="24"/>
          <w:highlight w:val="none"/>
          <w:lang w:eastAsia="zh-CN"/>
        </w:rPr>
        <w:t>资格审查</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7"/>
          <w:sz w:val="24"/>
          <w:szCs w:val="24"/>
          <w:highlight w:val="none"/>
        </w:rPr>
        <w:t>初步评审</w:t>
      </w:r>
      <w:r>
        <w:rPr>
          <w:rFonts w:hint="eastAsia" w:ascii="宋体" w:hAnsi="宋体" w:eastAsia="宋体" w:cs="宋体"/>
          <w:color w:val="auto"/>
          <w:sz w:val="24"/>
          <w:szCs w:val="24"/>
          <w:highlight w:val="none"/>
        </w:rPr>
        <w:t>（符合性审查</w:t>
      </w:r>
      <w:r>
        <w:rPr>
          <w:rFonts w:hint="eastAsia" w:ascii="宋体" w:hAnsi="宋体" w:eastAsia="宋体" w:cs="宋体"/>
          <w:color w:val="auto"/>
          <w:spacing w:val="-37"/>
          <w:sz w:val="24"/>
          <w:szCs w:val="24"/>
          <w:highlight w:val="none"/>
        </w:rPr>
        <w:t>）</w:t>
      </w:r>
      <w:r>
        <w:rPr>
          <w:rFonts w:hint="eastAsia" w:ascii="宋体" w:hAnsi="宋体" w:eastAsia="宋体" w:cs="宋体"/>
          <w:color w:val="auto"/>
          <w:spacing w:val="-12"/>
          <w:sz w:val="24"/>
          <w:szCs w:val="24"/>
          <w:highlight w:val="none"/>
        </w:rPr>
        <w:t>→错误性修正→详细评审</w:t>
      </w:r>
      <w:r>
        <w:rPr>
          <w:rFonts w:hint="eastAsia" w:ascii="宋体" w:hAnsi="宋体" w:eastAsia="宋体" w:cs="宋体"/>
          <w:color w:val="auto"/>
          <w:sz w:val="24"/>
          <w:szCs w:val="24"/>
          <w:highlight w:val="none"/>
        </w:rPr>
        <w:t>（</w:t>
      </w:r>
      <w:r>
        <w:rPr>
          <w:rFonts w:hint="eastAsia" w:ascii="宋体" w:hAnsi="宋体" w:eastAsia="宋体" w:cs="宋体"/>
          <w:color w:val="auto"/>
          <w:spacing w:val="-10"/>
          <w:sz w:val="24"/>
          <w:szCs w:val="24"/>
          <w:highlight w:val="none"/>
        </w:rPr>
        <w:t>商</w:t>
      </w:r>
      <w:r>
        <w:rPr>
          <w:rFonts w:hint="eastAsia" w:ascii="宋体" w:hAnsi="宋体" w:eastAsia="宋体" w:cs="宋体"/>
          <w:color w:val="auto"/>
          <w:sz w:val="24"/>
          <w:szCs w:val="24"/>
          <w:highlight w:val="none"/>
        </w:rPr>
        <w:t>务、技术部分评审，报价得分计算）→推荐中标候选人→完成评标报告</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通过</w:t>
      </w:r>
      <w:r>
        <w:rPr>
          <w:rFonts w:hint="eastAsia" w:ascii="宋体" w:hAnsi="宋体" w:eastAsia="宋体" w:cs="宋体"/>
          <w:b/>
          <w:color w:val="auto"/>
          <w:sz w:val="24"/>
          <w:szCs w:val="24"/>
          <w:highlight w:val="none"/>
          <w:lang w:eastAsia="zh-CN"/>
        </w:rPr>
        <w:t>资格审查</w:t>
      </w:r>
      <w:r>
        <w:rPr>
          <w:rFonts w:hint="eastAsia" w:ascii="宋体" w:hAnsi="宋体" w:eastAsia="宋体" w:cs="宋体"/>
          <w:b/>
          <w:color w:val="auto"/>
          <w:sz w:val="24"/>
          <w:szCs w:val="24"/>
          <w:highlight w:val="none"/>
        </w:rPr>
        <w:t>的投标文件，方可进入下一环节的评审。</w:t>
      </w:r>
    </w:p>
    <w:p>
      <w:pPr>
        <w:pStyle w:val="32"/>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26.资格审查</w:t>
      </w:r>
    </w:p>
    <w:p>
      <w:pPr>
        <w:pStyle w:val="32"/>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highlight w:val="none"/>
          <w:lang w:val="zh-CN" w:eastAsia="zh-CN"/>
        </w:rPr>
      </w:pPr>
      <w:r>
        <w:rPr>
          <w:rFonts w:hint="eastAsia" w:ascii="宋体" w:hAnsi="宋体" w:eastAsia="宋体" w:cs="宋体"/>
          <w:b w:val="0"/>
          <w:bCs/>
          <w:color w:val="auto"/>
          <w:sz w:val="24"/>
          <w:szCs w:val="24"/>
          <w:highlight w:val="none"/>
          <w:lang w:val="en-US" w:eastAsia="zh-CN"/>
        </w:rPr>
        <w:t>26.1 公开招标采购项目开标结束后，评标委员会应当依法对投标人的资格进行审查。合格投标人不足3家的，不得评标。</w:t>
      </w:r>
    </w:p>
    <w:p>
      <w:pPr>
        <w:pStyle w:val="32"/>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27. </w:t>
      </w:r>
      <w:r>
        <w:rPr>
          <w:rFonts w:hint="eastAsia" w:ascii="宋体" w:hAnsi="宋体" w:eastAsia="宋体" w:cs="宋体"/>
          <w:b/>
          <w:color w:val="auto"/>
          <w:sz w:val="24"/>
          <w:szCs w:val="24"/>
          <w:highlight w:val="none"/>
        </w:rPr>
        <w:t>初步评审</w:t>
      </w:r>
    </w:p>
    <w:p>
      <w:pPr>
        <w:pStyle w:val="32"/>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0" w:rightChars="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 xml:space="preserve">27.1 </w:t>
      </w:r>
      <w:r>
        <w:rPr>
          <w:rFonts w:hint="eastAsia" w:ascii="宋体" w:hAnsi="宋体" w:eastAsia="宋体" w:cs="宋体"/>
          <w:color w:val="auto"/>
          <w:sz w:val="24"/>
          <w:szCs w:val="22"/>
          <w:highlight w:val="none"/>
        </w:rPr>
        <w:t>评标委员会审查投标文件是否符合招标文件的基本要求：内容是否完整、资格证明文件是否合格、文件签署是否齐全、有无计算错误等。</w:t>
      </w:r>
    </w:p>
    <w:p>
      <w:pPr>
        <w:pStyle w:val="32"/>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27.2 </w:t>
      </w:r>
      <w:r>
        <w:rPr>
          <w:rFonts w:hint="eastAsia" w:ascii="宋体" w:hAnsi="宋体" w:eastAsia="宋体" w:cs="宋体"/>
          <w:color w:val="auto"/>
          <w:spacing w:val="-5"/>
          <w:sz w:val="24"/>
          <w:szCs w:val="24"/>
          <w:highlight w:val="none"/>
        </w:rPr>
        <w:t>采购方不接受不符合国家有关部门相关规定的投标报价或优惠方案。</w:t>
      </w:r>
    </w:p>
    <w:p>
      <w:pPr>
        <w:pStyle w:val="32"/>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427" w:rightChars="0" w:firstLine="44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 xml:space="preserve">27.3 </w:t>
      </w:r>
      <w:r>
        <w:rPr>
          <w:rFonts w:hint="eastAsia" w:ascii="宋体" w:hAnsi="宋体" w:eastAsia="宋体" w:cs="宋体"/>
          <w:color w:val="auto"/>
          <w:spacing w:val="-9"/>
          <w:sz w:val="24"/>
          <w:szCs w:val="24"/>
          <w:highlight w:val="none"/>
        </w:rPr>
        <w:t>在评审过程中，评标委员会发现投标人以他人名义投标、串通投标、以行贿</w:t>
      </w:r>
      <w:r>
        <w:rPr>
          <w:rFonts w:hint="eastAsia" w:ascii="宋体" w:hAnsi="宋体" w:eastAsia="宋体" w:cs="宋体"/>
          <w:color w:val="auto"/>
          <w:spacing w:val="-5"/>
          <w:sz w:val="24"/>
          <w:szCs w:val="24"/>
          <w:highlight w:val="none"/>
        </w:rPr>
        <w:t>手段谋取中标或者以其他弄虚作假方式投标的，该投标人的投标将被否决。</w:t>
      </w:r>
    </w:p>
    <w:p>
      <w:pPr>
        <w:pStyle w:val="32"/>
        <w:keepNext w:val="0"/>
        <w:keepLines w:val="0"/>
        <w:pageBreakBefore w:val="0"/>
        <w:widowControl w:val="0"/>
        <w:numPr>
          <w:ilvl w:val="0"/>
          <w:numId w:val="0"/>
        </w:numPr>
        <w:tabs>
          <w:tab w:val="left" w:pos="1601"/>
          <w:tab w:val="left" w:pos="1602"/>
        </w:tabs>
        <w:kinsoku/>
        <w:wordWrap/>
        <w:overflowPunct/>
        <w:topLinePunct w:val="0"/>
        <w:autoSpaceDE w:val="0"/>
        <w:autoSpaceDN w:val="0"/>
        <w:bidi w:val="0"/>
        <w:adjustRightInd/>
        <w:snapToGrid/>
        <w:spacing w:before="0" w:after="0" w:line="360" w:lineRule="auto"/>
        <w:ind w:right="2162" w:rightChars="0" w:firstLine="476" w:firstLineChars="20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27.4 </w:t>
      </w:r>
      <w:r>
        <w:rPr>
          <w:rFonts w:hint="eastAsia" w:ascii="宋体" w:hAnsi="宋体" w:eastAsia="宋体" w:cs="宋体"/>
          <w:color w:val="auto"/>
          <w:spacing w:val="-1"/>
          <w:sz w:val="24"/>
          <w:szCs w:val="24"/>
          <w:highlight w:val="none"/>
        </w:rPr>
        <w:t xml:space="preserve">有下列情形之一的，视为投标人串通投标，其投标无效： </w:t>
      </w:r>
    </w:p>
    <w:p>
      <w:pPr>
        <w:pStyle w:val="32"/>
        <w:keepNext w:val="0"/>
        <w:keepLines w:val="0"/>
        <w:pageBreakBefore w:val="0"/>
        <w:widowControl w:val="0"/>
        <w:numPr>
          <w:ilvl w:val="0"/>
          <w:numId w:val="0"/>
        </w:numPr>
        <w:tabs>
          <w:tab w:val="left" w:pos="1601"/>
          <w:tab w:val="left" w:pos="1602"/>
        </w:tabs>
        <w:kinsoku/>
        <w:wordWrap/>
        <w:overflowPunct/>
        <w:topLinePunct w:val="0"/>
        <w:autoSpaceDE w:val="0"/>
        <w:autoSpaceDN w:val="0"/>
        <w:bidi w:val="0"/>
        <w:adjustRightInd/>
        <w:snapToGrid/>
        <w:spacing w:before="0" w:after="0" w:line="360" w:lineRule="auto"/>
        <w:ind w:right="2162"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不同投标人的投标文件由同一单位或者个人编制；</w:t>
      </w:r>
    </w:p>
    <w:p>
      <w:pPr>
        <w:pStyle w:val="32"/>
        <w:keepNext w:val="0"/>
        <w:keepLines w:val="0"/>
        <w:pageBreakBefore w:val="0"/>
        <w:widowControl w:val="0"/>
        <w:numPr>
          <w:ilvl w:val="0"/>
          <w:numId w:val="0"/>
        </w:numPr>
        <w:tabs>
          <w:tab w:val="left" w:pos="1601"/>
          <w:tab w:val="left" w:pos="1602"/>
        </w:tabs>
        <w:kinsoku/>
        <w:wordWrap/>
        <w:overflowPunct/>
        <w:topLinePunct w:val="0"/>
        <w:autoSpaceDE w:val="0"/>
        <w:autoSpaceDN w:val="0"/>
        <w:bidi w:val="0"/>
        <w:adjustRightInd/>
        <w:snapToGrid/>
        <w:spacing w:before="0" w:after="0" w:line="360" w:lineRule="auto"/>
        <w:ind w:right="182"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不同投标人委托同一单位或者个人办理投标事宜，或制作电子投标文件的文件制作机器码（mac地址）一致，或制作电子投标文件的文件创建标识码一致；</w:t>
      </w:r>
    </w:p>
    <w:p>
      <w:pPr>
        <w:pStyle w:val="32"/>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不同投标人委托同一单位或者个人办理投标事宜；</w:t>
      </w:r>
    </w:p>
    <w:p>
      <w:pPr>
        <w:pStyle w:val="32"/>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480" w:leftChars="218" w:right="1322"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不同投标人的投标文件载明的项目管理成员或者联系人员为同一人；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z w:val="24"/>
          <w:szCs w:val="24"/>
          <w:highlight w:val="none"/>
        </w:rPr>
        <w:t>不同投标人的投标文件异常一致或者投标报价呈规律性差异；</w:t>
      </w:r>
    </w:p>
    <w:p>
      <w:pPr>
        <w:pStyle w:val="32"/>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不同投标人的投标文件相互混装；</w:t>
      </w:r>
    </w:p>
    <w:p>
      <w:pPr>
        <w:pStyle w:val="32"/>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不同投标人的投标保证金从同一单位或者个人的账户转出。</w:t>
      </w:r>
    </w:p>
    <w:p>
      <w:pPr>
        <w:pStyle w:val="32"/>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right="3866" w:rightChars="0" w:firstLine="476" w:firstLineChars="20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27.5 </w:t>
      </w:r>
      <w:r>
        <w:rPr>
          <w:rFonts w:hint="eastAsia" w:ascii="宋体" w:hAnsi="宋体" w:eastAsia="宋体" w:cs="宋体"/>
          <w:color w:val="auto"/>
          <w:spacing w:val="-1"/>
          <w:sz w:val="24"/>
          <w:szCs w:val="24"/>
          <w:highlight w:val="none"/>
        </w:rPr>
        <w:t>投标人存在下列情况之一的，投标无效：</w:t>
      </w:r>
    </w:p>
    <w:p>
      <w:pPr>
        <w:pStyle w:val="32"/>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left="480" w:leftChars="218" w:right="3866" w:rightChars="0" w:firstLine="0" w:firstLineChars="0"/>
        <w:jc w:val="left"/>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未按照招标文件的规定提交投标保证金的；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投标文件未按招标文件要求签署、盖章的；</w:t>
      </w:r>
    </w:p>
    <w:p>
      <w:pPr>
        <w:pStyle w:val="32"/>
        <w:keepNext w:val="0"/>
        <w:keepLines w:val="0"/>
        <w:pageBreakBefore w:val="0"/>
        <w:widowControl w:val="0"/>
        <w:numPr>
          <w:ilvl w:val="0"/>
          <w:numId w:val="0"/>
        </w:numPr>
        <w:tabs>
          <w:tab w:val="left" w:pos="1577"/>
          <w:tab w:val="left" w:pos="1578"/>
        </w:tabs>
        <w:kinsoku/>
        <w:wordWrap/>
        <w:overflowPunct/>
        <w:topLinePunct w:val="0"/>
        <w:autoSpaceDE w:val="0"/>
        <w:autoSpaceDN w:val="0"/>
        <w:bidi w:val="0"/>
        <w:adjustRightInd/>
        <w:snapToGrid/>
        <w:spacing w:before="0" w:after="0" w:line="360" w:lineRule="auto"/>
        <w:ind w:left="480" w:leftChars="218" w:right="3866"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不具备招标文件中规定的资格要求的；</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2865"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报价超过招标文件中规定的预算金额或者最高限价的；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投标文件含有采购人不能接受的附加条件的；</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6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6</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法律、法规和招标文件规定的其他无效情形。</w:t>
      </w:r>
    </w:p>
    <w:p>
      <w:pPr>
        <w:pStyle w:val="32"/>
        <w:keepNext w:val="0"/>
        <w:keepLines w:val="0"/>
        <w:pageBreakBefore w:val="0"/>
        <w:widowControl w:val="0"/>
        <w:numPr>
          <w:ilvl w:val="0"/>
          <w:numId w:val="0"/>
        </w:numPr>
        <w:tabs>
          <w:tab w:val="left" w:pos="1589"/>
          <w:tab w:val="left" w:pos="1590"/>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27.6 </w:t>
      </w:r>
      <w:r>
        <w:rPr>
          <w:rFonts w:hint="eastAsia" w:ascii="宋体" w:hAnsi="宋体" w:eastAsia="宋体" w:cs="宋体"/>
          <w:color w:val="auto"/>
          <w:sz w:val="24"/>
          <w:szCs w:val="24"/>
          <w:highlight w:val="none"/>
        </w:rPr>
        <w:t>评标委员会应当审查每一投标文件是否对招标文件提出的所有实质性要求</w:t>
      </w:r>
      <w:r>
        <w:rPr>
          <w:rFonts w:hint="eastAsia" w:ascii="宋体" w:hAnsi="宋体" w:eastAsia="宋体" w:cs="宋体"/>
          <w:color w:val="auto"/>
          <w:spacing w:val="-5"/>
          <w:sz w:val="24"/>
          <w:szCs w:val="24"/>
          <w:highlight w:val="none"/>
        </w:rPr>
        <w:t>和条件做出响应。未能在实质上响应的投标，其投标将被否决。</w:t>
      </w:r>
    </w:p>
    <w:p>
      <w:pPr>
        <w:pStyle w:val="32"/>
        <w:keepNext w:val="0"/>
        <w:keepLines w:val="0"/>
        <w:pageBreakBefore w:val="0"/>
        <w:widowControl w:val="0"/>
        <w:numPr>
          <w:ilvl w:val="0"/>
          <w:numId w:val="0"/>
        </w:numPr>
        <w:tabs>
          <w:tab w:val="left" w:pos="1579"/>
          <w:tab w:val="left" w:pos="1580"/>
        </w:tabs>
        <w:kinsoku/>
        <w:wordWrap/>
        <w:overflowPunct/>
        <w:topLinePunct w:val="0"/>
        <w:autoSpaceDE w:val="0"/>
        <w:autoSpaceDN w:val="0"/>
        <w:bidi w:val="0"/>
        <w:adjustRightInd/>
        <w:snapToGrid/>
        <w:spacing w:before="0" w:after="0" w:line="360" w:lineRule="auto"/>
        <w:ind w:right="0"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27.7 </w:t>
      </w:r>
      <w:r>
        <w:rPr>
          <w:rFonts w:hint="eastAsia" w:ascii="宋体" w:hAnsi="宋体" w:eastAsia="宋体" w:cs="宋体"/>
          <w:color w:val="auto"/>
          <w:spacing w:val="-5"/>
          <w:sz w:val="24"/>
          <w:szCs w:val="24"/>
          <w:highlight w:val="none"/>
        </w:rPr>
        <w:t>投标人不得误导、干扰采购方的评审活动，否则将废除其投标。</w:t>
      </w:r>
    </w:p>
    <w:p>
      <w:pPr>
        <w:pStyle w:val="32"/>
        <w:keepNext w:val="0"/>
        <w:keepLines w:val="0"/>
        <w:pageBreakBefore w:val="0"/>
        <w:widowControl w:val="0"/>
        <w:numPr>
          <w:ilvl w:val="0"/>
          <w:numId w:val="0"/>
        </w:numPr>
        <w:tabs>
          <w:tab w:val="left" w:pos="1463"/>
        </w:tabs>
        <w:kinsoku/>
        <w:wordWrap/>
        <w:overflowPunct/>
        <w:topLinePunct w:val="0"/>
        <w:autoSpaceDE w:val="0"/>
        <w:autoSpaceDN w:val="0"/>
        <w:bidi w:val="0"/>
        <w:adjustRightInd/>
        <w:snapToGrid/>
        <w:spacing w:before="0" w:after="0" w:line="360" w:lineRule="auto"/>
        <w:ind w:right="309"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27.8 </w:t>
      </w:r>
      <w:r>
        <w:rPr>
          <w:rFonts w:hint="eastAsia" w:ascii="宋体" w:hAnsi="宋体" w:eastAsia="宋体" w:cs="宋体"/>
          <w:color w:val="auto"/>
          <w:spacing w:val="-3"/>
          <w:sz w:val="24"/>
          <w:szCs w:val="24"/>
          <w:highlight w:val="none"/>
        </w:rPr>
        <w:t>评标委员会根据上述规定否决不合格投标，因有效投标不足本次评审办法规</w:t>
      </w:r>
      <w:r>
        <w:rPr>
          <w:rFonts w:hint="eastAsia" w:ascii="宋体" w:hAnsi="宋体" w:eastAsia="宋体" w:cs="宋体"/>
          <w:color w:val="auto"/>
          <w:spacing w:val="-13"/>
          <w:sz w:val="24"/>
          <w:szCs w:val="24"/>
          <w:highlight w:val="none"/>
        </w:rPr>
        <w:t>定数量而使得投标明显缺乏竞争性时，根据《中华人民共和国政府采购法》的相关规定，</w:t>
      </w:r>
      <w:r>
        <w:rPr>
          <w:rFonts w:hint="eastAsia" w:ascii="宋体" w:hAnsi="宋体" w:eastAsia="宋体" w:cs="宋体"/>
          <w:color w:val="auto"/>
          <w:spacing w:val="-5"/>
          <w:sz w:val="24"/>
          <w:szCs w:val="24"/>
          <w:highlight w:val="none"/>
        </w:rPr>
        <w:t>将作流标处理。</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82"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初步评审的标准详见附表 1。</w:t>
      </w:r>
    </w:p>
    <w:p>
      <w:pPr>
        <w:pStyle w:val="32"/>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28.</w:t>
      </w:r>
      <w:r>
        <w:rPr>
          <w:rFonts w:hint="eastAsia" w:ascii="宋体" w:hAnsi="宋体" w:eastAsia="宋体" w:cs="宋体"/>
          <w:b/>
          <w:color w:val="auto"/>
          <w:sz w:val="24"/>
          <w:szCs w:val="24"/>
          <w:highlight w:val="none"/>
        </w:rPr>
        <w:t>投标文件计算错误的修正</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5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28.1</w:t>
      </w:r>
      <w:r>
        <w:rPr>
          <w:rFonts w:hint="eastAsia" w:ascii="宋体" w:hAnsi="宋体" w:eastAsia="宋体" w:cs="宋体"/>
          <w:color w:val="auto"/>
          <w:spacing w:val="-17"/>
          <w:sz w:val="24"/>
          <w:szCs w:val="24"/>
          <w:highlight w:val="none"/>
          <w:lang w:val="en-US" w:eastAsia="zh-CN"/>
        </w:rPr>
        <w:t xml:space="preserve"> </w:t>
      </w:r>
      <w:r>
        <w:rPr>
          <w:rFonts w:hint="eastAsia" w:ascii="宋体" w:hAnsi="宋体" w:eastAsia="宋体" w:cs="宋体"/>
          <w:color w:val="auto"/>
          <w:spacing w:val="-17"/>
          <w:sz w:val="24"/>
          <w:szCs w:val="24"/>
          <w:highlight w:val="none"/>
        </w:rPr>
        <w:t>投标文件中报价出现前后不一致的，评标委员会按以下原则对投标报价进行修正：</w:t>
      </w:r>
    </w:p>
    <w:p>
      <w:pPr>
        <w:pStyle w:val="32"/>
        <w:keepNext w:val="0"/>
        <w:keepLines w:val="0"/>
        <w:pageBreakBefore w:val="0"/>
        <w:widowControl w:val="0"/>
        <w:numPr>
          <w:ilvl w:val="0"/>
          <w:numId w:val="0"/>
        </w:numPr>
        <w:tabs>
          <w:tab w:val="left" w:pos="1266"/>
        </w:tabs>
        <w:kinsoku/>
        <w:wordWrap/>
        <w:overflowPunct/>
        <w:topLinePunct w:val="0"/>
        <w:autoSpaceDE w:val="0"/>
        <w:autoSpaceDN w:val="0"/>
        <w:bidi w:val="0"/>
        <w:adjustRightInd/>
        <w:snapToGrid/>
        <w:spacing w:before="0" w:after="0" w:line="360" w:lineRule="auto"/>
        <w:ind w:right="433"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a. </w:t>
      </w:r>
      <w:r>
        <w:rPr>
          <w:rFonts w:hint="eastAsia" w:ascii="宋体" w:hAnsi="宋体" w:eastAsia="宋体" w:cs="宋体"/>
          <w:color w:val="auto"/>
          <w:spacing w:val="-4"/>
          <w:sz w:val="24"/>
          <w:szCs w:val="24"/>
          <w:highlight w:val="none"/>
        </w:rPr>
        <w:t>投标文件中开标一览表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pacing w:val="-32"/>
          <w:sz w:val="24"/>
          <w:szCs w:val="24"/>
          <w:highlight w:val="none"/>
        </w:rPr>
        <w:t>）</w:t>
      </w:r>
      <w:r>
        <w:rPr>
          <w:rFonts w:hint="eastAsia" w:ascii="宋体" w:hAnsi="宋体" w:eastAsia="宋体" w:cs="宋体"/>
          <w:color w:val="auto"/>
          <w:spacing w:val="-3"/>
          <w:sz w:val="24"/>
          <w:szCs w:val="24"/>
          <w:highlight w:val="none"/>
        </w:rPr>
        <w:t>内容与投标文件中相应内容不一致的，以开</w:t>
      </w:r>
      <w:r>
        <w:rPr>
          <w:rFonts w:hint="eastAsia" w:ascii="宋体" w:hAnsi="宋体" w:eastAsia="宋体" w:cs="宋体"/>
          <w:color w:val="auto"/>
          <w:sz w:val="24"/>
          <w:szCs w:val="24"/>
          <w:highlight w:val="none"/>
        </w:rPr>
        <w:t>标一览表（报价表）为准；</w:t>
      </w:r>
    </w:p>
    <w:p>
      <w:pPr>
        <w:pStyle w:val="32"/>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b. </w:t>
      </w:r>
      <w:r>
        <w:rPr>
          <w:rFonts w:hint="eastAsia" w:ascii="宋体" w:hAnsi="宋体" w:eastAsia="宋体" w:cs="宋体"/>
          <w:color w:val="auto"/>
          <w:sz w:val="24"/>
          <w:szCs w:val="24"/>
          <w:highlight w:val="none"/>
        </w:rPr>
        <w:t>大写金额和小写金额不一致的，以大写金额为准；</w:t>
      </w:r>
    </w:p>
    <w:p>
      <w:pPr>
        <w:pStyle w:val="32"/>
        <w:keepNext w:val="0"/>
        <w:keepLines w:val="0"/>
        <w:pageBreakBefore w:val="0"/>
        <w:widowControl w:val="0"/>
        <w:numPr>
          <w:ilvl w:val="0"/>
          <w:numId w:val="0"/>
        </w:numPr>
        <w:tabs>
          <w:tab w:val="left" w:pos="1266"/>
        </w:tabs>
        <w:kinsoku/>
        <w:wordWrap/>
        <w:overflowPunct/>
        <w:topLinePunct w:val="0"/>
        <w:autoSpaceDE w:val="0"/>
        <w:autoSpaceDN w:val="0"/>
        <w:bidi w:val="0"/>
        <w:adjustRightInd/>
        <w:snapToGrid/>
        <w:spacing w:before="0" w:after="0" w:line="360" w:lineRule="auto"/>
        <w:ind w:right="433" w:rightChars="0" w:firstLine="45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 xml:space="preserve">c. </w:t>
      </w:r>
      <w:r>
        <w:rPr>
          <w:rFonts w:hint="eastAsia" w:ascii="宋体" w:hAnsi="宋体" w:eastAsia="宋体" w:cs="宋体"/>
          <w:color w:val="auto"/>
          <w:spacing w:val="-11"/>
          <w:sz w:val="24"/>
          <w:szCs w:val="24"/>
          <w:highlight w:val="none"/>
        </w:rPr>
        <w:t>单价金额小数点或者百分比有明显错位的，以开标一览表的总价为准，并修改单价；</w:t>
      </w:r>
    </w:p>
    <w:p>
      <w:pPr>
        <w:pStyle w:val="32"/>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before="0" w:after="0" w:line="360" w:lineRule="auto"/>
        <w:ind w:right="182" w:rightChars="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d. </w:t>
      </w:r>
      <w:r>
        <w:rPr>
          <w:rFonts w:hint="eastAsia" w:ascii="宋体" w:hAnsi="宋体" w:eastAsia="宋体" w:cs="宋体"/>
          <w:color w:val="auto"/>
          <w:spacing w:val="-1"/>
          <w:sz w:val="24"/>
          <w:szCs w:val="24"/>
          <w:highlight w:val="none"/>
        </w:rPr>
        <w:t>总价金额与按单价汇总金额不一致的，以单价金额计算结果为准。</w:t>
      </w:r>
      <w:r>
        <w:rPr>
          <w:rFonts w:hint="eastAsia" w:ascii="宋体" w:hAnsi="宋体" w:eastAsia="宋体" w:cs="宋体"/>
          <w:color w:val="auto"/>
          <w:sz w:val="24"/>
          <w:szCs w:val="24"/>
          <w:highlight w:val="none"/>
        </w:rPr>
        <w:t>同时出现两种以上不一致的，按照前款规定的顺序修正。</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28.2 </w:t>
      </w:r>
      <w:r>
        <w:rPr>
          <w:rFonts w:hint="eastAsia" w:ascii="宋体" w:hAnsi="宋体" w:eastAsia="宋体" w:cs="宋体"/>
          <w:color w:val="auto"/>
          <w:spacing w:val="-11"/>
          <w:sz w:val="24"/>
          <w:szCs w:val="24"/>
          <w:highlight w:val="none"/>
        </w:rPr>
        <w:t>修正后的最终投标报价若超过最高投标限价（如有），评标委员会应当否决其投标。</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28.3 </w:t>
      </w:r>
      <w:r>
        <w:rPr>
          <w:rFonts w:hint="eastAsia" w:ascii="宋体" w:hAnsi="宋体" w:eastAsia="宋体" w:cs="宋体"/>
          <w:color w:val="auto"/>
          <w:spacing w:val="-2"/>
          <w:sz w:val="24"/>
          <w:szCs w:val="24"/>
          <w:highlight w:val="none"/>
        </w:rPr>
        <w:t>按上述修正错误的原则及方法调整或修正投标文件的投标报价，经投标人确</w:t>
      </w:r>
      <w:r>
        <w:rPr>
          <w:rFonts w:hint="eastAsia" w:ascii="宋体" w:hAnsi="宋体" w:eastAsia="宋体" w:cs="宋体"/>
          <w:color w:val="auto"/>
          <w:sz w:val="24"/>
          <w:szCs w:val="24"/>
          <w:highlight w:val="none"/>
        </w:rPr>
        <w:t>认后，对投标人起约束作用。如果投标人不确认的，则其投标无效。</w:t>
      </w:r>
    </w:p>
    <w:p>
      <w:pPr>
        <w:pStyle w:val="11"/>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详细评审</w:t>
      </w:r>
    </w:p>
    <w:p>
      <w:pPr>
        <w:pStyle w:val="32"/>
        <w:keepNext w:val="0"/>
        <w:keepLines w:val="0"/>
        <w:pageBreakBefore w:val="0"/>
        <w:widowControl w:val="0"/>
        <w:numPr>
          <w:ilvl w:val="0"/>
          <w:numId w:val="0"/>
        </w:numPr>
        <w:tabs>
          <w:tab w:val="left" w:pos="1578"/>
        </w:tabs>
        <w:kinsoku/>
        <w:wordWrap/>
        <w:overflowPunct/>
        <w:topLinePunct w:val="0"/>
        <w:autoSpaceDE w:val="0"/>
        <w:autoSpaceDN w:val="0"/>
        <w:bidi w:val="0"/>
        <w:adjustRightInd/>
        <w:snapToGrid/>
        <w:spacing w:before="0" w:after="0" w:line="360" w:lineRule="auto"/>
        <w:ind w:right="427" w:rightChars="0" w:firstLine="44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 xml:space="preserve">29.1 </w:t>
      </w:r>
      <w:r>
        <w:rPr>
          <w:rFonts w:hint="eastAsia" w:ascii="宋体" w:hAnsi="宋体" w:eastAsia="宋体" w:cs="宋体"/>
          <w:color w:val="auto"/>
          <w:spacing w:val="-8"/>
          <w:sz w:val="24"/>
          <w:szCs w:val="24"/>
          <w:highlight w:val="none"/>
        </w:rPr>
        <w:t>经符合性审查合格的投标文件，评标委员会应当根据招标文件确定的评审标</w:t>
      </w:r>
      <w:r>
        <w:rPr>
          <w:rFonts w:hint="eastAsia" w:ascii="宋体" w:hAnsi="宋体" w:eastAsia="宋体" w:cs="宋体"/>
          <w:color w:val="auto"/>
          <w:spacing w:val="-5"/>
          <w:sz w:val="24"/>
          <w:szCs w:val="24"/>
          <w:highlight w:val="none"/>
        </w:rPr>
        <w:t>准和方法，对其技术和商务部分进行综合比较与评价。</w:t>
      </w:r>
    </w:p>
    <w:p>
      <w:pPr>
        <w:pStyle w:val="32"/>
        <w:keepNext w:val="0"/>
        <w:keepLines w:val="0"/>
        <w:pageBreakBefore w:val="0"/>
        <w:widowControl w:val="0"/>
        <w:numPr>
          <w:ilvl w:val="0"/>
          <w:numId w:val="0"/>
        </w:numPr>
        <w:tabs>
          <w:tab w:val="left" w:pos="1463"/>
        </w:tabs>
        <w:kinsoku/>
        <w:wordWrap/>
        <w:overflowPunct/>
        <w:topLinePunct w:val="0"/>
        <w:autoSpaceDE w:val="0"/>
        <w:autoSpaceDN w:val="0"/>
        <w:bidi w:val="0"/>
        <w:adjustRightInd/>
        <w:snapToGrid/>
        <w:spacing w:before="0" w:after="0" w:line="360" w:lineRule="auto"/>
        <w:ind w:right="429" w:rightChars="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29.2 </w:t>
      </w:r>
      <w:r>
        <w:rPr>
          <w:rFonts w:hint="eastAsia" w:ascii="宋体" w:hAnsi="宋体" w:eastAsia="宋体" w:cs="宋体"/>
          <w:color w:val="auto"/>
          <w:spacing w:val="-3"/>
          <w:sz w:val="24"/>
          <w:szCs w:val="24"/>
          <w:highlight w:val="none"/>
        </w:rPr>
        <w:t>评标时，评标委员会各成员应当独立对每个投标人的投标文件进行评价，并</w:t>
      </w:r>
      <w:r>
        <w:rPr>
          <w:rFonts w:hint="eastAsia" w:ascii="宋体" w:hAnsi="宋体" w:eastAsia="宋体" w:cs="宋体"/>
          <w:color w:val="auto"/>
          <w:spacing w:val="-5"/>
          <w:sz w:val="24"/>
          <w:szCs w:val="24"/>
          <w:highlight w:val="none"/>
        </w:rPr>
        <w:t>汇总每个投标人的得分。</w:t>
      </w:r>
    </w:p>
    <w:p>
      <w:pPr>
        <w:pStyle w:val="32"/>
        <w:keepNext w:val="0"/>
        <w:keepLines w:val="0"/>
        <w:pageBreakBefore w:val="0"/>
        <w:widowControl w:val="0"/>
        <w:numPr>
          <w:ilvl w:val="0"/>
          <w:numId w:val="0"/>
        </w:numPr>
        <w:tabs>
          <w:tab w:val="left" w:pos="1578"/>
        </w:tabs>
        <w:kinsoku/>
        <w:wordWrap/>
        <w:overflowPunct/>
        <w:topLinePunct w:val="0"/>
        <w:autoSpaceDE w:val="0"/>
        <w:autoSpaceDN w:val="0"/>
        <w:bidi w:val="0"/>
        <w:adjustRightInd/>
        <w:snapToGrid/>
        <w:spacing w:before="0" w:after="0" w:line="360" w:lineRule="auto"/>
        <w:ind w:right="427" w:rightChars="0" w:firstLine="44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val="en-US" w:eastAsia="zh-CN"/>
        </w:rPr>
        <w:t xml:space="preserve">29.3 </w:t>
      </w:r>
      <w:r>
        <w:rPr>
          <w:rFonts w:hint="eastAsia" w:ascii="宋体" w:hAnsi="宋体" w:eastAsia="宋体" w:cs="宋体"/>
          <w:color w:val="auto"/>
          <w:spacing w:val="-10"/>
          <w:sz w:val="24"/>
          <w:szCs w:val="24"/>
          <w:highlight w:val="none"/>
        </w:rPr>
        <w:t xml:space="preserve">评审和定标一般应当在开标后 </w:t>
      </w:r>
      <w:r>
        <w:rPr>
          <w:rFonts w:hint="eastAsia" w:ascii="宋体" w:hAnsi="宋体" w:eastAsia="宋体" w:cs="宋体"/>
          <w:color w:val="auto"/>
          <w:sz w:val="24"/>
          <w:szCs w:val="24"/>
          <w:highlight w:val="none"/>
        </w:rPr>
        <w:t>7</w:t>
      </w:r>
      <w:r>
        <w:rPr>
          <w:rFonts w:hint="eastAsia" w:ascii="宋体" w:hAnsi="宋体" w:eastAsia="宋体" w:cs="宋体"/>
          <w:color w:val="auto"/>
          <w:spacing w:val="-14"/>
          <w:sz w:val="24"/>
          <w:szCs w:val="24"/>
          <w:highlight w:val="none"/>
        </w:rPr>
        <w:t xml:space="preserve"> 个工作日内完成，项目金额较大、技术较为</w:t>
      </w:r>
      <w:r>
        <w:rPr>
          <w:rFonts w:hint="eastAsia" w:ascii="宋体" w:hAnsi="宋体" w:eastAsia="宋体" w:cs="宋体"/>
          <w:color w:val="auto"/>
          <w:spacing w:val="-9"/>
          <w:sz w:val="24"/>
          <w:szCs w:val="24"/>
          <w:highlight w:val="none"/>
        </w:rPr>
        <w:t xml:space="preserve">复杂等特殊项目的评审工作应当在 </w:t>
      </w:r>
      <w:r>
        <w:rPr>
          <w:rFonts w:hint="eastAsia" w:ascii="宋体" w:hAnsi="宋体" w:eastAsia="宋体" w:cs="宋体"/>
          <w:color w:val="auto"/>
          <w:sz w:val="24"/>
          <w:szCs w:val="24"/>
          <w:highlight w:val="none"/>
        </w:rPr>
        <w:t>30</w:t>
      </w:r>
      <w:r>
        <w:rPr>
          <w:rFonts w:hint="eastAsia" w:ascii="宋体" w:hAnsi="宋体" w:eastAsia="宋体" w:cs="宋体"/>
          <w:color w:val="auto"/>
          <w:spacing w:val="-18"/>
          <w:sz w:val="24"/>
          <w:szCs w:val="24"/>
          <w:highlight w:val="none"/>
        </w:rPr>
        <w:t xml:space="preserve"> 个工作日内完成。不能在开标后 </w:t>
      </w:r>
      <w:r>
        <w:rPr>
          <w:rFonts w:hint="eastAsia" w:ascii="宋体" w:hAnsi="宋体" w:eastAsia="宋体" w:cs="宋体"/>
          <w:color w:val="auto"/>
          <w:sz w:val="24"/>
          <w:szCs w:val="24"/>
          <w:highlight w:val="none"/>
        </w:rPr>
        <w:t>30</w:t>
      </w:r>
      <w:r>
        <w:rPr>
          <w:rFonts w:hint="eastAsia" w:ascii="宋体" w:hAnsi="宋体" w:eastAsia="宋体" w:cs="宋体"/>
          <w:color w:val="auto"/>
          <w:spacing w:val="-13"/>
          <w:sz w:val="24"/>
          <w:szCs w:val="24"/>
          <w:highlight w:val="none"/>
        </w:rPr>
        <w:t xml:space="preserve"> 个工作日内完</w:t>
      </w:r>
      <w:r>
        <w:rPr>
          <w:rFonts w:hint="eastAsia" w:ascii="宋体" w:hAnsi="宋体" w:eastAsia="宋体" w:cs="宋体"/>
          <w:color w:val="auto"/>
          <w:spacing w:val="-12"/>
          <w:sz w:val="24"/>
          <w:szCs w:val="24"/>
          <w:highlight w:val="none"/>
        </w:rPr>
        <w:t xml:space="preserve">成评审和定标的，招标人应当提前 </w:t>
      </w:r>
      <w:r>
        <w:rPr>
          <w:rFonts w:hint="eastAsia" w:ascii="宋体" w:hAnsi="宋体" w:eastAsia="宋体" w:cs="宋体"/>
          <w:color w:val="auto"/>
          <w:sz w:val="24"/>
          <w:szCs w:val="24"/>
          <w:highlight w:val="none"/>
        </w:rPr>
        <w:t>3</w:t>
      </w:r>
      <w:r>
        <w:rPr>
          <w:rFonts w:hint="eastAsia" w:ascii="宋体" w:hAnsi="宋体" w:eastAsia="宋体" w:cs="宋体"/>
          <w:color w:val="auto"/>
          <w:spacing w:val="-13"/>
          <w:sz w:val="24"/>
          <w:szCs w:val="24"/>
          <w:highlight w:val="none"/>
        </w:rPr>
        <w:t xml:space="preserve"> 天通知所有投标人延长投标有效期。同意延长投标有效期的投标人应当相应延长投标保证金的有效期，但不得修改投标文件的实质性内</w:t>
      </w:r>
      <w:r>
        <w:rPr>
          <w:rFonts w:hint="eastAsia" w:ascii="宋体" w:hAnsi="宋体" w:eastAsia="宋体" w:cs="宋体"/>
          <w:color w:val="auto"/>
          <w:spacing w:val="-3"/>
          <w:sz w:val="24"/>
          <w:szCs w:val="24"/>
          <w:highlight w:val="none"/>
        </w:rPr>
        <w:t>容。</w:t>
      </w:r>
    </w:p>
    <w:p>
      <w:pPr>
        <w:pStyle w:val="32"/>
        <w:keepNext w:val="0"/>
        <w:keepLines w:val="0"/>
        <w:pageBreakBefore w:val="0"/>
        <w:widowControl w:val="0"/>
        <w:numPr>
          <w:ilvl w:val="0"/>
          <w:numId w:val="0"/>
        </w:numPr>
        <w:tabs>
          <w:tab w:val="left" w:pos="1398"/>
        </w:tabs>
        <w:kinsoku/>
        <w:wordWrap/>
        <w:overflowPunct/>
        <w:topLinePunct w:val="0"/>
        <w:autoSpaceDE w:val="0"/>
        <w:autoSpaceDN w:val="0"/>
        <w:bidi w:val="0"/>
        <w:adjustRightInd/>
        <w:snapToGrid/>
        <w:spacing w:before="0" w:after="0" w:line="360" w:lineRule="auto"/>
        <w:ind w:right="0" w:rightChars="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29.4 </w:t>
      </w:r>
      <w:r>
        <w:rPr>
          <w:rFonts w:hint="eastAsia" w:ascii="宋体" w:hAnsi="宋体" w:eastAsia="宋体" w:cs="宋体"/>
          <w:color w:val="auto"/>
          <w:spacing w:val="-5"/>
          <w:sz w:val="24"/>
          <w:szCs w:val="24"/>
          <w:highlight w:val="none"/>
        </w:rPr>
        <w:t>评审因素及标准(详见评分细则)</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评审因素：与投标人所提供货物服务的质量相关，包括投标报价、技术或者服务水平、履约能力、售后服务等。</w:t>
      </w:r>
    </w:p>
    <w:p>
      <w:pPr>
        <w:pStyle w:val="11"/>
        <w:keepNext w:val="0"/>
        <w:keepLines w:val="0"/>
        <w:pageBreakBefore w:val="0"/>
        <w:widowControl w:val="0"/>
        <w:numPr>
          <w:ilvl w:val="0"/>
          <w:numId w:val="0"/>
        </w:numPr>
        <w:tabs>
          <w:tab w:val="left" w:pos="1607"/>
          <w:tab w:val="left" w:pos="3291"/>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商务技术部分</w:t>
      </w:r>
      <w:r>
        <w:rPr>
          <w:rFonts w:hint="eastAsia" w:ascii="宋体" w:hAnsi="宋体" w:eastAsia="宋体" w:cs="宋体"/>
          <w:color w:val="auto"/>
          <w:sz w:val="24"/>
          <w:szCs w:val="24"/>
          <w:highlight w:val="none"/>
          <w:lang w:val="en-US" w:eastAsia="zh-CN"/>
        </w:rPr>
        <w:t xml:space="preserve"> 70</w:t>
      </w:r>
      <w:r>
        <w:rPr>
          <w:rFonts w:hint="eastAsia" w:ascii="宋体" w:hAnsi="宋体" w:eastAsia="宋体" w:cs="宋体"/>
          <w:color w:val="auto"/>
          <w:sz w:val="24"/>
          <w:szCs w:val="24"/>
          <w:highlight w:val="none"/>
        </w:rPr>
        <w:t>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z w:val="24"/>
          <w:szCs w:val="24"/>
          <w:highlight w:val="none"/>
        </w:rPr>
        <w:t>；</w:t>
      </w:r>
    </w:p>
    <w:p>
      <w:pPr>
        <w:pStyle w:val="32"/>
        <w:keepNext w:val="0"/>
        <w:keepLines w:val="0"/>
        <w:pageBreakBefore w:val="0"/>
        <w:widowControl w:val="0"/>
        <w:numPr>
          <w:ilvl w:val="0"/>
          <w:numId w:val="0"/>
        </w:numPr>
        <w:tabs>
          <w:tab w:val="left" w:pos="1607"/>
          <w:tab w:val="left" w:pos="3291"/>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投标报价部分</w:t>
      </w:r>
      <w:r>
        <w:rPr>
          <w:rFonts w:hint="eastAsia" w:ascii="宋体" w:hAnsi="宋体" w:eastAsia="宋体" w:cs="宋体"/>
          <w:b/>
          <w:color w:val="auto"/>
          <w:sz w:val="24"/>
          <w:szCs w:val="24"/>
          <w:highlight w:val="none"/>
          <w:lang w:val="en-US" w:eastAsia="zh-CN"/>
        </w:rPr>
        <w:t xml:space="preserve"> 30</w:t>
      </w:r>
      <w:r>
        <w:rPr>
          <w:rFonts w:hint="eastAsia" w:ascii="宋体" w:hAnsi="宋体" w:eastAsia="宋体" w:cs="宋体"/>
          <w:b/>
          <w:color w:val="auto"/>
          <w:spacing w:val="-63"/>
          <w:sz w:val="24"/>
          <w:szCs w:val="24"/>
          <w:highlight w:val="none"/>
        </w:rPr>
        <w:t xml:space="preserve"> </w:t>
      </w:r>
      <w:r>
        <w:rPr>
          <w:rFonts w:hint="eastAsia" w:ascii="宋体" w:hAnsi="宋体" w:eastAsia="宋体" w:cs="宋体"/>
          <w:b/>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计算各项分值时，按四舍五入的原则，保留小数点后二位。</w:t>
      </w:r>
    </w:p>
    <w:p>
      <w:pPr>
        <w:pStyle w:val="11"/>
        <w:keepNext w:val="0"/>
        <w:keepLines w:val="0"/>
        <w:pageBreakBefore w:val="0"/>
        <w:widowControl w:val="0"/>
        <w:numPr>
          <w:ilvl w:val="0"/>
          <w:numId w:val="0"/>
        </w:numPr>
        <w:tabs>
          <w:tab w:val="left" w:pos="142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29.5 </w:t>
      </w:r>
      <w:r>
        <w:rPr>
          <w:rFonts w:hint="eastAsia" w:ascii="宋体" w:hAnsi="宋体" w:eastAsia="宋体" w:cs="宋体"/>
          <w:color w:val="auto"/>
          <w:sz w:val="24"/>
          <w:szCs w:val="24"/>
          <w:highlight w:val="none"/>
        </w:rPr>
        <w:t>报价</w:t>
      </w:r>
    </w:p>
    <w:p>
      <w:pPr>
        <w:pStyle w:val="32"/>
        <w:keepNext w:val="0"/>
        <w:keepLines w:val="0"/>
        <w:pageBreakBefore w:val="0"/>
        <w:widowControl w:val="0"/>
        <w:numPr>
          <w:ilvl w:val="0"/>
          <w:numId w:val="0"/>
        </w:numPr>
        <w:tabs>
          <w:tab w:val="left" w:pos="1640"/>
        </w:tabs>
        <w:kinsoku/>
        <w:wordWrap/>
        <w:overflowPunct/>
        <w:topLinePunct w:val="0"/>
        <w:autoSpaceDE w:val="0"/>
        <w:autoSpaceDN w:val="0"/>
        <w:bidi w:val="0"/>
        <w:adjustRightInd/>
        <w:snapToGrid/>
        <w:spacing w:before="0" w:after="0" w:line="360" w:lineRule="auto"/>
        <w:ind w:right="429" w:rightChars="0" w:firstLine="42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val="en-US" w:eastAsia="zh-CN"/>
        </w:rPr>
        <w:t xml:space="preserve">29.5.1 </w:t>
      </w:r>
      <w:r>
        <w:rPr>
          <w:rFonts w:hint="eastAsia" w:ascii="宋体" w:hAnsi="宋体" w:eastAsia="宋体" w:cs="宋体"/>
          <w:color w:val="auto"/>
          <w:spacing w:val="-14"/>
          <w:sz w:val="24"/>
          <w:szCs w:val="24"/>
          <w:highlight w:val="none"/>
        </w:rPr>
        <w:t>本项目为公开招标，只有一次报价，通过符合性审查的竞标人的有效报价将</w:t>
      </w:r>
      <w:r>
        <w:rPr>
          <w:rFonts w:hint="eastAsia" w:ascii="宋体" w:hAnsi="宋体" w:eastAsia="宋体" w:cs="宋体"/>
          <w:color w:val="auto"/>
          <w:spacing w:val="-5"/>
          <w:sz w:val="24"/>
          <w:szCs w:val="24"/>
          <w:highlight w:val="none"/>
        </w:rPr>
        <w:t>进入商务报价评审。</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商务标报价得分计算说明：</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4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本次评标采用综合评分法；价格分采用低价优先法计算，即满足招标文件要求且投标价格最低的投标报价为评标基准价，其价格分为满分。其他投标人的价格分统一按照</w:t>
      </w:r>
      <w:r>
        <w:rPr>
          <w:rFonts w:hint="eastAsia" w:ascii="宋体" w:hAnsi="宋体" w:eastAsia="宋体" w:cs="宋体"/>
          <w:color w:val="auto"/>
          <w:spacing w:val="-5"/>
          <w:sz w:val="24"/>
          <w:szCs w:val="24"/>
          <w:highlight w:val="none"/>
        </w:rPr>
        <w:t>下列公式计算：</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2865"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投标报价得分=</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
          <w:sz w:val="24"/>
          <w:szCs w:val="24"/>
          <w:highlight w:val="none"/>
        </w:rPr>
        <w:t>评标基准价</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
          <w:sz w:val="24"/>
          <w:szCs w:val="24"/>
          <w:highlight w:val="none"/>
        </w:rPr>
        <w:t>投标报价</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
          <w:sz w:val="24"/>
          <w:szCs w:val="24"/>
          <w:highlight w:val="none"/>
        </w:rPr>
        <w:t>×价格权值×</w:t>
      </w:r>
      <w:r>
        <w:rPr>
          <w:rFonts w:hint="eastAsia" w:ascii="宋体" w:hAnsi="宋体" w:eastAsia="宋体" w:cs="宋体"/>
          <w:color w:val="auto"/>
          <w:sz w:val="24"/>
          <w:szCs w:val="24"/>
          <w:highlight w:val="none"/>
        </w:rPr>
        <w:t xml:space="preserve">100 </w:t>
      </w:r>
    </w:p>
    <w:p>
      <w:pPr>
        <w:keepNext w:val="0"/>
        <w:keepLines w:val="0"/>
        <w:pageBreakBefore w:val="0"/>
        <w:widowControl w:val="0"/>
        <w:kinsoku/>
        <w:wordWrap/>
        <w:overflowPunct/>
        <w:topLinePunct w:val="0"/>
        <w:autoSpaceDE w:val="0"/>
        <w:autoSpaceDN w:val="0"/>
        <w:bidi w:val="0"/>
        <w:adjustRightInd/>
        <w:snapToGrid/>
        <w:spacing w:before="0" w:line="360" w:lineRule="auto"/>
        <w:ind w:left="480" w:leftChars="218" w:right="2865"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 xml:space="preserve">本项目的价格权重为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pPr>
        <w:keepNext w:val="0"/>
        <w:keepLines w:val="0"/>
        <w:pageBreakBefore w:val="0"/>
        <w:widowControl w:val="0"/>
        <w:kinsoku/>
        <w:wordWrap/>
        <w:overflowPunct/>
        <w:topLinePunct w:val="0"/>
        <w:autoSpaceDE w:val="0"/>
        <w:autoSpaceDN w:val="0"/>
        <w:bidi w:val="0"/>
        <w:adjustRightInd/>
        <w:snapToGrid/>
        <w:spacing w:before="0" w:line="360" w:lineRule="auto"/>
        <w:ind w:right="307"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产品符合促进中小企业（监狱企业、残疾人福利性单位）发展政策的，对小型和</w:t>
      </w:r>
      <w:r>
        <w:rPr>
          <w:rFonts w:hint="eastAsia" w:ascii="宋体" w:hAnsi="宋体" w:eastAsia="宋体" w:cs="宋体"/>
          <w:color w:val="auto"/>
          <w:spacing w:val="-1"/>
          <w:sz w:val="24"/>
          <w:szCs w:val="24"/>
          <w:highlight w:val="none"/>
        </w:rPr>
        <w:t>微型企业</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监狱企业、残疾人福利性单位</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
          <w:sz w:val="24"/>
          <w:szCs w:val="24"/>
          <w:highlight w:val="none"/>
        </w:rPr>
        <w:t>产品的价格给予</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z w:val="24"/>
          <w:szCs w:val="24"/>
          <w:highlight w:val="none"/>
        </w:rPr>
        <w:t>6%</w:t>
      </w:r>
      <w:r>
        <w:rPr>
          <w:rFonts w:hint="eastAsia" w:ascii="宋体" w:hAnsi="宋体" w:eastAsia="宋体" w:cs="宋体"/>
          <w:color w:val="auto"/>
          <w:spacing w:val="-1"/>
          <w:sz w:val="24"/>
          <w:szCs w:val="24"/>
          <w:highlight w:val="none"/>
        </w:rPr>
        <w:t>的扣除，用扣除后的价格参与评审打分。若投标人和小微企业的产品/服务制造商有一个符合小微企业条件，</w:t>
      </w:r>
      <w:r>
        <w:rPr>
          <w:rFonts w:hint="eastAsia" w:ascii="宋体" w:hAnsi="宋体" w:eastAsia="宋体" w:cs="宋体"/>
          <w:color w:val="auto"/>
          <w:spacing w:val="-8"/>
          <w:sz w:val="24"/>
          <w:szCs w:val="24"/>
          <w:highlight w:val="none"/>
        </w:rPr>
        <w:t>并且提供了《中小企业声明函》及加盖单位公章的声明函附件</w:t>
      </w:r>
      <w:r>
        <w:rPr>
          <w:rFonts w:hint="eastAsia" w:ascii="宋体" w:hAnsi="宋体" w:eastAsia="宋体" w:cs="宋体"/>
          <w:color w:val="auto"/>
          <w:sz w:val="24"/>
          <w:szCs w:val="24"/>
          <w:highlight w:val="none"/>
        </w:rPr>
        <w:t>（须说明投标人和产品/服务制造商的从业人员、营业收入、资产总额、应纳税所得额等相关情况）的，则其评标价=投标人报价中属于小型和微型企业产品/服务的价格部分×（100%-6%）+投标人报价中不属于小型和微型企业产品/</w:t>
      </w:r>
      <w:r>
        <w:rPr>
          <w:rFonts w:hint="eastAsia" w:ascii="宋体" w:hAnsi="宋体" w:eastAsia="宋体" w:cs="宋体"/>
          <w:color w:val="auto"/>
          <w:spacing w:val="-9"/>
          <w:sz w:val="24"/>
          <w:szCs w:val="24"/>
          <w:highlight w:val="none"/>
        </w:rPr>
        <w:t>服务的价格部分；否则，其评标价=投标人报价。</w:t>
      </w:r>
      <w:r>
        <w:rPr>
          <w:rFonts w:hint="eastAsia" w:ascii="宋体" w:hAnsi="宋体" w:eastAsia="宋体" w:cs="宋体"/>
          <w:color w:val="auto"/>
          <w:spacing w:val="-7"/>
          <w:sz w:val="24"/>
          <w:szCs w:val="24"/>
          <w:highlight w:val="none"/>
        </w:rPr>
        <w:t>注:小型、微型企业提供中型</w:t>
      </w:r>
      <w:r>
        <w:rPr>
          <w:rFonts w:hint="eastAsia" w:ascii="宋体" w:hAnsi="宋体" w:eastAsia="宋体" w:cs="宋体"/>
          <w:color w:val="auto"/>
          <w:spacing w:val="-5"/>
          <w:sz w:val="24"/>
          <w:szCs w:val="24"/>
          <w:highlight w:val="none"/>
        </w:rPr>
        <w:t>（或大型</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7"/>
          <w:sz w:val="24"/>
          <w:szCs w:val="24"/>
          <w:highlight w:val="none"/>
        </w:rPr>
        <w:t>企业制造的货物的，视同为中型</w:t>
      </w:r>
      <w:r>
        <w:rPr>
          <w:rFonts w:hint="eastAsia" w:ascii="宋体" w:hAnsi="宋体" w:eastAsia="宋体" w:cs="宋体"/>
          <w:color w:val="auto"/>
          <w:spacing w:val="-5"/>
          <w:sz w:val="24"/>
          <w:szCs w:val="24"/>
          <w:highlight w:val="none"/>
        </w:rPr>
        <w:t>（或大型</w:t>
      </w:r>
      <w:r>
        <w:rPr>
          <w:rFonts w:hint="eastAsia" w:ascii="宋体" w:hAnsi="宋体" w:eastAsia="宋体" w:cs="宋体"/>
          <w:color w:val="auto"/>
          <w:sz w:val="24"/>
          <w:szCs w:val="24"/>
          <w:highlight w:val="none"/>
        </w:rPr>
        <w:t>）企业，不享受本项优惠。</w:t>
      </w:r>
    </w:p>
    <w:p>
      <w:pPr>
        <w:pStyle w:val="32"/>
        <w:keepNext w:val="0"/>
        <w:keepLines w:val="0"/>
        <w:pageBreakBefore w:val="0"/>
        <w:widowControl w:val="0"/>
        <w:numPr>
          <w:ilvl w:val="0"/>
          <w:numId w:val="0"/>
        </w:numPr>
        <w:tabs>
          <w:tab w:val="left" w:pos="1727"/>
        </w:tabs>
        <w:kinsoku/>
        <w:wordWrap/>
        <w:overflowPunct/>
        <w:topLinePunct w:val="0"/>
        <w:autoSpaceDE w:val="0"/>
        <w:autoSpaceDN w:val="0"/>
        <w:bidi w:val="0"/>
        <w:adjustRightInd/>
        <w:snapToGrid/>
        <w:spacing w:before="0" w:after="0" w:line="360" w:lineRule="auto"/>
        <w:ind w:right="432" w:rightChars="0" w:firstLine="49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29.5.2 </w:t>
      </w:r>
      <w:r>
        <w:rPr>
          <w:rFonts w:hint="eastAsia" w:ascii="宋体" w:hAnsi="宋体" w:eastAsia="宋体" w:cs="宋体"/>
          <w:color w:val="auto"/>
          <w:spacing w:val="3"/>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2"/>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6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29.6 </w:t>
      </w:r>
      <w:r>
        <w:rPr>
          <w:rFonts w:hint="eastAsia" w:ascii="宋体" w:hAnsi="宋体" w:eastAsia="宋体" w:cs="宋体"/>
          <w:color w:val="auto"/>
          <w:spacing w:val="-4"/>
          <w:sz w:val="24"/>
          <w:szCs w:val="24"/>
          <w:highlight w:val="none"/>
        </w:rPr>
        <w:t>综合得分</w:t>
      </w:r>
    </w:p>
    <w:p>
      <w:pPr>
        <w:keepNext w:val="0"/>
        <w:keepLines w:val="0"/>
        <w:pageBreakBefore w:val="0"/>
        <w:widowControl w:val="0"/>
        <w:kinsoku/>
        <w:wordWrap/>
        <w:overflowPunct/>
        <w:topLinePunct w:val="0"/>
        <w:autoSpaceDE w:val="0"/>
        <w:autoSpaceDN w:val="0"/>
        <w:bidi w:val="0"/>
        <w:adjustRightInd/>
        <w:snapToGrid/>
        <w:spacing w:before="0" w:line="360" w:lineRule="auto"/>
        <w:ind w:right="3816"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综合得分=商务技术部分得分+ 投标报价部分得分</w:t>
      </w:r>
    </w:p>
    <w:p>
      <w:pPr>
        <w:keepNext w:val="0"/>
        <w:keepLines w:val="0"/>
        <w:pageBreakBefore w:val="0"/>
        <w:widowControl w:val="0"/>
        <w:kinsoku/>
        <w:wordWrap/>
        <w:overflowPunct/>
        <w:topLinePunct w:val="0"/>
        <w:autoSpaceDE w:val="0"/>
        <w:autoSpaceDN w:val="0"/>
        <w:bidi w:val="0"/>
        <w:adjustRightInd/>
        <w:snapToGrid/>
        <w:spacing w:before="0" w:line="360" w:lineRule="auto"/>
        <w:ind w:right="3816" w:firstLine="442" w:firstLineChars="200"/>
        <w:jc w:val="both"/>
        <w:textAlignment w:val="auto"/>
        <w:rPr>
          <w:rFonts w:hint="eastAsia" w:ascii="宋体" w:hAnsi="宋体" w:eastAsia="宋体" w:cs="宋体"/>
          <w:color w:val="auto"/>
          <w:highlight w:val="none"/>
          <w:lang w:val="zh-CN" w:eastAsia="zh-CN"/>
        </w:rPr>
      </w:pPr>
      <w:r>
        <w:rPr>
          <w:rFonts w:hint="eastAsia" w:ascii="宋体" w:hAnsi="宋体" w:eastAsia="宋体" w:cs="宋体"/>
          <w:b/>
          <w:color w:val="auto"/>
          <w:spacing w:val="-10"/>
          <w:sz w:val="24"/>
          <w:szCs w:val="24"/>
          <w:highlight w:val="none"/>
        </w:rPr>
        <w:t xml:space="preserve">详细评审的标准详见附表 </w:t>
      </w:r>
      <w:r>
        <w:rPr>
          <w:rFonts w:hint="eastAsia" w:ascii="宋体" w:hAnsi="宋体" w:eastAsia="宋体" w:cs="宋体"/>
          <w:b/>
          <w:color w:val="auto"/>
          <w:spacing w:val="-3"/>
          <w:sz w:val="24"/>
          <w:szCs w:val="24"/>
          <w:highlight w:val="none"/>
        </w:rPr>
        <w:t>2</w:t>
      </w:r>
      <w:r>
        <w:rPr>
          <w:rFonts w:hint="eastAsia" w:ascii="宋体" w:hAnsi="宋体" w:eastAsia="宋体" w:cs="宋体"/>
          <w:b/>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403" w:right="0" w:firstLine="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 1：初步评审-符合性审查表</w:t>
      </w:r>
    </w:p>
    <w:tbl>
      <w:tblPr>
        <w:tblStyle w:val="25"/>
        <w:tblW w:w="9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7806"/>
        <w:gridCol w:w="697"/>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701" w:type="dxa"/>
            <w:vMerge w:val="restart"/>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06" w:type="dxa"/>
            <w:vMerge w:val="restart"/>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right="2332"/>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投标文件符合性审查内容</w:t>
            </w:r>
          </w:p>
        </w:tc>
        <w:tc>
          <w:tcPr>
            <w:tcW w:w="1431" w:type="dxa"/>
            <w:gridSpan w:val="2"/>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701" w:type="dxa"/>
            <w:vMerge w:val="continue"/>
            <w:tcBorders>
              <w:top w:val="nil"/>
            </w:tcBorders>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806" w:type="dxa"/>
            <w:vMerge w:val="continue"/>
            <w:tcBorders>
              <w:top w:val="nil"/>
            </w:tcBorders>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697"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3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是</w:t>
            </w:r>
          </w:p>
        </w:tc>
        <w:tc>
          <w:tcPr>
            <w:tcW w:w="734"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53"/>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701"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1</w:t>
            </w:r>
          </w:p>
        </w:tc>
        <w:tc>
          <w:tcPr>
            <w:tcW w:w="7806"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right="7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凡招标文件中要求</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或签字处，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是否按要求加盖单位</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公章、法定代表人或被授权委托人电子</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或盖章的。</w:t>
            </w:r>
          </w:p>
        </w:tc>
        <w:tc>
          <w:tcPr>
            <w:tcW w:w="697"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701"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2</w:t>
            </w:r>
          </w:p>
        </w:tc>
        <w:tc>
          <w:tcPr>
            <w:tcW w:w="7806"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投标文件是否组成齐全完整，内容是否均按规定填写；投标文件的关键内容是否</w:t>
            </w:r>
            <w:r>
              <w:rPr>
                <w:rFonts w:hint="eastAsia" w:ascii="宋体" w:hAnsi="宋体" w:eastAsia="宋体" w:cs="宋体"/>
                <w:color w:val="auto"/>
                <w:sz w:val="24"/>
                <w:szCs w:val="24"/>
                <w:highlight w:val="none"/>
                <w:lang w:eastAsia="zh-CN"/>
              </w:rPr>
              <w:t>有</w:t>
            </w:r>
            <w:r>
              <w:rPr>
                <w:rFonts w:hint="eastAsia" w:ascii="宋体" w:hAnsi="宋体" w:eastAsia="宋体" w:cs="宋体"/>
                <w:color w:val="auto"/>
                <w:sz w:val="24"/>
                <w:szCs w:val="24"/>
                <w:highlight w:val="none"/>
              </w:rPr>
              <w:t>字迹模糊、无法辨认的</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w:t>
            </w:r>
          </w:p>
        </w:tc>
        <w:tc>
          <w:tcPr>
            <w:tcW w:w="697"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701"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3</w:t>
            </w:r>
          </w:p>
        </w:tc>
        <w:tc>
          <w:tcPr>
            <w:tcW w:w="7806"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投标文件是否实质上响应招标文件的要求。</w:t>
            </w:r>
          </w:p>
        </w:tc>
        <w:tc>
          <w:tcPr>
            <w:tcW w:w="697"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701"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4</w:t>
            </w:r>
          </w:p>
        </w:tc>
        <w:tc>
          <w:tcPr>
            <w:tcW w:w="7806"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34"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投标人的投标报价未超出最高投标限价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一份投标文件只有一个投标报价，在招标文件没有规定的情况下，未提交选择性的报价。</w:t>
            </w:r>
          </w:p>
        </w:tc>
        <w:tc>
          <w:tcPr>
            <w:tcW w:w="697"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01"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5</w:t>
            </w:r>
          </w:p>
        </w:tc>
        <w:tc>
          <w:tcPr>
            <w:tcW w:w="7806"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投标人的服务期未超出招标文件规定的期限。</w:t>
            </w:r>
          </w:p>
        </w:tc>
        <w:tc>
          <w:tcPr>
            <w:tcW w:w="697"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01"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6</w:t>
            </w:r>
          </w:p>
        </w:tc>
        <w:tc>
          <w:tcPr>
            <w:tcW w:w="7806"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投标文件未附有招标人不能接受的附加条件的。</w:t>
            </w:r>
          </w:p>
        </w:tc>
        <w:tc>
          <w:tcPr>
            <w:tcW w:w="697"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1"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7</w:t>
            </w:r>
          </w:p>
        </w:tc>
        <w:tc>
          <w:tcPr>
            <w:tcW w:w="7806"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未与其他投标人相互串通报价，或者与招标人串通投标的。</w:t>
            </w:r>
          </w:p>
        </w:tc>
        <w:tc>
          <w:tcPr>
            <w:tcW w:w="697"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01"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6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8</w:t>
            </w:r>
          </w:p>
        </w:tc>
        <w:tc>
          <w:tcPr>
            <w:tcW w:w="7806" w:type="dxa"/>
            <w:vAlign w:val="center"/>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57" w:leftChars="0" w:right="0" w:rightChars="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无法律、法规和招标文件规定的其他无效情形。</w:t>
            </w:r>
          </w:p>
        </w:tc>
        <w:tc>
          <w:tcPr>
            <w:tcW w:w="697"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701"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806" w:type="dxa"/>
            <w:vAlign w:val="center"/>
          </w:tcPr>
          <w:p>
            <w:pPr>
              <w:pStyle w:val="33"/>
              <w:keepNext w:val="0"/>
              <w:keepLines w:val="0"/>
              <w:pageBreakBefore w:val="0"/>
              <w:widowControl w:val="0"/>
              <w:suppressLineNumbers w:val="0"/>
              <w:tabs>
                <w:tab w:val="left" w:pos="686"/>
              </w:tabs>
              <w:kinsoku/>
              <w:wordWrap/>
              <w:overflowPunct/>
              <w:topLinePunct w:val="0"/>
              <w:autoSpaceDE w:val="0"/>
              <w:autoSpaceDN w:val="0"/>
              <w:bidi w:val="0"/>
              <w:adjustRightInd/>
              <w:snapToGrid/>
              <w:spacing w:before="0" w:beforeAutospacing="0" w:afterAutospacing="0" w:line="360" w:lineRule="auto"/>
              <w:ind w:left="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论</w:t>
            </w:r>
          </w:p>
        </w:tc>
        <w:tc>
          <w:tcPr>
            <w:tcW w:w="697"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c>
          <w:tcPr>
            <w:tcW w:w="734" w:type="dxa"/>
          </w:tcPr>
          <w:p>
            <w:pPr>
              <w:pStyle w:val="33"/>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394" w:right="0" w:firstLine="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394"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pStyle w:val="32"/>
        <w:keepNext w:val="0"/>
        <w:keepLines w:val="0"/>
        <w:pageBreakBefore w:val="0"/>
        <w:widowControl w:val="0"/>
        <w:numPr>
          <w:ilvl w:val="0"/>
          <w:numId w:val="1"/>
        </w:numPr>
        <w:tabs>
          <w:tab w:val="left" w:pos="847"/>
        </w:tabs>
        <w:kinsoku/>
        <w:wordWrap/>
        <w:overflowPunct/>
        <w:topLinePunct w:val="0"/>
        <w:autoSpaceDE w:val="0"/>
        <w:autoSpaceDN w:val="0"/>
        <w:bidi w:val="0"/>
        <w:adjustRightInd/>
        <w:snapToGrid/>
        <w:spacing w:before="0" w:after="0" w:line="360" w:lineRule="auto"/>
        <w:ind w:left="846" w:right="0" w:hanging="45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投标文件最终合格与否，以所有评委的评审意见中少数服从多数为原则定论。</w:t>
      </w:r>
    </w:p>
    <w:p>
      <w:pPr>
        <w:pStyle w:val="32"/>
        <w:keepNext w:val="0"/>
        <w:keepLines w:val="0"/>
        <w:pageBreakBefore w:val="0"/>
        <w:widowControl w:val="0"/>
        <w:numPr>
          <w:ilvl w:val="0"/>
          <w:numId w:val="1"/>
        </w:numPr>
        <w:tabs>
          <w:tab w:val="left" w:pos="847"/>
        </w:tabs>
        <w:kinsoku/>
        <w:wordWrap/>
        <w:overflowPunct/>
        <w:topLinePunct w:val="0"/>
        <w:autoSpaceDE w:val="0"/>
        <w:autoSpaceDN w:val="0"/>
        <w:bidi w:val="0"/>
        <w:adjustRightInd/>
        <w:snapToGrid/>
        <w:spacing w:before="0" w:after="0" w:line="360" w:lineRule="auto"/>
        <w:ind w:left="846" w:right="0" w:hanging="45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投标人请认真阅读和理解上述内容，避免投标文件中有违背上述审查标准之一的情况发生而造成投标被否决。</w:t>
      </w:r>
    </w:p>
    <w:p>
      <w:pPr>
        <w:tabs>
          <w:tab w:val="left" w:pos="1964"/>
        </w:tabs>
        <w:bidi w:val="0"/>
        <w:jc w:val="left"/>
        <w:rPr>
          <w:rFonts w:hint="eastAsia" w:ascii="宋体" w:hAnsi="宋体" w:eastAsia="宋体" w:cs="宋体"/>
          <w:color w:val="auto"/>
          <w:highlight w:val="none"/>
          <w:lang w:val="zh-CN" w:eastAsia="zh-CN"/>
        </w:rPr>
        <w:sectPr>
          <w:footerReference r:id="rId6" w:type="default"/>
          <w:pgSz w:w="11910" w:h="16840"/>
          <w:pgMar w:top="1134" w:right="1134" w:bottom="1134" w:left="1134" w:header="0" w:footer="998" w:gutter="0"/>
          <w:cols w:space="0" w:num="1"/>
          <w:rtlGutter w:val="0"/>
          <w:docGrid w:linePitch="0" w:charSpace="0"/>
        </w:sectPr>
      </w:pPr>
    </w:p>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403" w:right="0"/>
        <w:jc w:val="center"/>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附表2：</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商务、技术部分评审（</w:t>
      </w:r>
      <w:r>
        <w:rPr>
          <w:rFonts w:hint="eastAsia" w:ascii="宋体" w:hAnsi="宋体" w:eastAsia="宋体" w:cs="宋体"/>
          <w:color w:val="auto"/>
          <w:sz w:val="30"/>
          <w:szCs w:val="30"/>
          <w:highlight w:val="none"/>
          <w:lang w:val="en-US" w:eastAsia="zh-CN"/>
        </w:rPr>
        <w:t>7</w:t>
      </w:r>
      <w:r>
        <w:rPr>
          <w:rFonts w:hint="eastAsia" w:ascii="宋体" w:hAnsi="宋体" w:eastAsia="宋体" w:cs="宋体"/>
          <w:color w:val="auto"/>
          <w:sz w:val="30"/>
          <w:szCs w:val="30"/>
          <w:highlight w:val="none"/>
        </w:rPr>
        <w:t>0分）</w:t>
      </w:r>
    </w:p>
    <w:tbl>
      <w:tblPr>
        <w:tblStyle w:val="25"/>
        <w:tblpPr w:leftFromText="180" w:rightFromText="180" w:vertAnchor="text" w:horzAnchor="page" w:tblpXSpec="center" w:tblpY="356"/>
        <w:tblOverlap w:val="never"/>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504"/>
        <w:gridCol w:w="793"/>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单项分值</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691" w:type="dxa"/>
            <w:tcBorders>
              <w:top w:val="single" w:color="auto" w:sz="4" w:space="0"/>
              <w:left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04" w:type="dxa"/>
            <w:tcBorders>
              <w:top w:val="single" w:color="auto" w:sz="4" w:space="0"/>
              <w:left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企业资信及企业实力</w:t>
            </w:r>
          </w:p>
        </w:tc>
        <w:tc>
          <w:tcPr>
            <w:tcW w:w="793" w:type="dxa"/>
            <w:tcBorders>
              <w:top w:val="single" w:color="auto" w:sz="4" w:space="0"/>
              <w:left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投标人具有ISO9001 质量管理体系认证证书 、OHSAS18001 职业健康安全管理体系认证证书、ISO14001 环境管理体系认证证书（需提供清晰可辨的复印件并加盖公章）每提供一项得0.5分，满分1.5分，不提供不得分；</w:t>
            </w:r>
          </w:p>
          <w:p>
            <w:pPr>
              <w:keepNext w:val="0"/>
              <w:keepLines w:val="0"/>
              <w:suppressLineNumbers w:val="0"/>
              <w:spacing w:beforeAutospacing="0" w:afterAutospacing="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根据企业实力（包括人员、资质、财务等状况）及信誉情况评审，满分得3.5分；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类似项目业绩</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根据供应商近三年（2019年4月1日至今）与本次采购相关的实施成功案例（以中标通知书或合同为依据），已完成的类似项目业绩三项得5分，每增加一项有效业绩加2分，满分为9分；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产品性能技术指标</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产品质量、性能满足招标项目采购需求，产品性价比高，产品材料新颖、技术指标描述详细（需提供清晰可辨的相关说明文件及产品检验报告或产品合格证复印件），满分10分；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项目技术方案</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技术方案完善，方案内容细致、编制合理、可执行性高, 充分结合了采购人的具体要求和实际情况，可实施性强，具有高度的可靠性和连续性，最大限度地减少维护工作量,满分10分；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针对本项目方案的科学性、合理性</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拟投入项目的设备及货物兼具稳定性、先进性、易用性、可管理性、可实施性的基础上兼具合理的性能价格比,满分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应急保障方案</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方案完整、详细,体现对需求的深入理解，具有成熟性，具有较强的可操作性，得6分；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方案基本完整，对需求把握基本到位，基本可操作得4分；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方案不完整，没有很好的细化，可操作性较差得2分；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保证项目实施的人力资源安排</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拟派负责人基本情况及相关专业人员配备情况，是否能够达到本项目服务要求（现场项目负责人、技术人员、安装人员，需提供相关证书如学历证书、上岗证书、作业证书等），满分10分；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售后服务方案</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投标人提供针对本项目的售后服务方案，内容包括但不限于：</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1、售后服务承诺，基础质保期为</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年，得基础分1分，每增加1年得0.5分，此项满分2分；（质保期内所有非人为损坏零配件均包含在质保范围内）</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2、培训计划：提供详细周全的培训计划，有方案有安排有操作手册；满分2分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3、优惠承诺：优惠承诺合理，可行性强；满分2分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4、本地化服务及响应时间（在疆内设有售后服务点，出现突发紧急事件能在最短时间内响应，需要证明材料如办公租赁合同或公司分支机构文书等，满分2分，未提供不得分）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5、备品备件供应方案等内容，满分2分</w:t>
            </w:r>
          </w:p>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2-5项评标委员会依据所有投标文件相关内容横向对比，酌优评比。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70分</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jc w:val="left"/>
              <w:rPr>
                <w:rFonts w:hint="eastAsia" w:ascii="宋体" w:hAnsi="宋体" w:eastAsia="宋体" w:cs="宋体"/>
                <w:color w:val="auto"/>
                <w:sz w:val="21"/>
                <w:szCs w:val="21"/>
                <w:highlight w:val="none"/>
              </w:rPr>
            </w:pPr>
          </w:p>
        </w:tc>
      </w:tr>
    </w:tbl>
    <w:p>
      <w:pPr>
        <w:autoSpaceDE w:val="0"/>
        <w:autoSpaceDN w:val="0"/>
        <w:adjustRightInd w:val="0"/>
        <w:jc w:val="left"/>
        <w:rPr>
          <w:rFonts w:hint="eastAsia" w:ascii="宋体" w:hAnsi="宋体" w:eastAsia="宋体" w:cs="宋体"/>
          <w:b/>
          <w:color w:val="auto"/>
          <w:kern w:val="0"/>
          <w:sz w:val="32"/>
          <w:szCs w:val="32"/>
          <w:highlight w:val="none"/>
        </w:rPr>
      </w:pPr>
    </w:p>
    <w:p>
      <w:pPr>
        <w:autoSpaceDE w:val="0"/>
        <w:autoSpaceDN w:val="0"/>
        <w:adjustRightInd w:val="0"/>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（2）经济部分（</w:t>
      </w:r>
      <w:r>
        <w:rPr>
          <w:rFonts w:hint="eastAsia" w:ascii="宋体" w:hAnsi="宋体" w:eastAsia="宋体" w:cs="宋体"/>
          <w:b/>
          <w:color w:val="auto"/>
          <w:kern w:val="0"/>
          <w:sz w:val="32"/>
          <w:szCs w:val="32"/>
          <w:highlight w:val="none"/>
          <w:lang w:val="en-US" w:eastAsia="zh-CN"/>
        </w:rPr>
        <w:t>30</w:t>
      </w:r>
      <w:r>
        <w:rPr>
          <w:rFonts w:hint="eastAsia" w:ascii="宋体" w:hAnsi="宋体" w:eastAsia="宋体" w:cs="宋体"/>
          <w:b/>
          <w:color w:val="auto"/>
          <w:kern w:val="0"/>
          <w:sz w:val="32"/>
          <w:szCs w:val="32"/>
          <w:highlight w:val="none"/>
        </w:rPr>
        <w:t>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15"/>
        <w:gridCol w:w="658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1" w:type="dxa"/>
            <w:noWrap w:val="0"/>
            <w:vAlign w:val="center"/>
          </w:tcPr>
          <w:p>
            <w:pPr>
              <w:keepNext w:val="0"/>
              <w:keepLines w:val="0"/>
              <w:suppressLineNumbers w:val="0"/>
              <w:spacing w:beforeAutospacing="0" w:afterAutospacing="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序号</w:t>
            </w:r>
          </w:p>
        </w:tc>
        <w:tc>
          <w:tcPr>
            <w:tcW w:w="1315" w:type="dxa"/>
            <w:noWrap w:val="0"/>
            <w:vAlign w:val="center"/>
          </w:tcPr>
          <w:p>
            <w:pPr>
              <w:keepNext w:val="0"/>
              <w:keepLines w:val="0"/>
              <w:suppressLineNumbers w:val="0"/>
              <w:spacing w:beforeAutospacing="0" w:afterAutospacing="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评审项目</w:t>
            </w:r>
          </w:p>
        </w:tc>
        <w:tc>
          <w:tcPr>
            <w:tcW w:w="6587" w:type="dxa"/>
            <w:noWrap w:val="0"/>
            <w:vAlign w:val="center"/>
          </w:tcPr>
          <w:p>
            <w:pPr>
              <w:keepNext w:val="0"/>
              <w:keepLines w:val="0"/>
              <w:suppressLineNumbers w:val="0"/>
              <w:spacing w:beforeAutospacing="0" w:afterAutospacing="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评分标准</w:t>
            </w:r>
          </w:p>
        </w:tc>
        <w:tc>
          <w:tcPr>
            <w:tcW w:w="851" w:type="dxa"/>
            <w:noWrap w:val="0"/>
            <w:vAlign w:val="center"/>
          </w:tcPr>
          <w:p>
            <w:pPr>
              <w:keepNext w:val="0"/>
              <w:keepLines w:val="0"/>
              <w:suppressLineNumbers w:val="0"/>
              <w:spacing w:beforeAutospacing="0" w:afterAutospacing="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keepNext w:val="0"/>
              <w:keepLines w:val="0"/>
              <w:suppressLineNumbers w:val="0"/>
              <w:spacing w:beforeAutospacing="0" w:afterAutospacing="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p>
        </w:tc>
        <w:tc>
          <w:tcPr>
            <w:tcW w:w="1315" w:type="dxa"/>
            <w:noWrap w:val="0"/>
            <w:vAlign w:val="center"/>
          </w:tcPr>
          <w:p>
            <w:pPr>
              <w:keepNext w:val="0"/>
              <w:keepLines w:val="0"/>
              <w:suppressLineNumbers w:val="0"/>
              <w:spacing w:beforeAutospacing="0" w:afterAutospacing="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价格部分</w:t>
            </w:r>
          </w:p>
        </w:tc>
        <w:tc>
          <w:tcPr>
            <w:tcW w:w="6587"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8"/>
                <w:highlight w:val="none"/>
              </w:rPr>
              <w:t>价</w:t>
            </w:r>
            <w:r>
              <w:rPr>
                <w:rFonts w:hint="eastAsia" w:ascii="宋体" w:hAnsi="宋体" w:eastAsia="宋体" w:cs="宋体"/>
                <w:color w:val="auto"/>
                <w:kern w:val="0"/>
                <w:sz w:val="21"/>
                <w:szCs w:val="21"/>
                <w:highlight w:val="none"/>
                <w:lang w:val="en-US" w:eastAsia="zh-CN" w:bidi="ar"/>
              </w:rPr>
              <w:t>价格分采用低价优先法计算，即满足招标文件要求且投标价格最低的投标报价为评标基准价，其价格分为满分。</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其他投标人的价格分统一按照下列公式计算：</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投标报价得分=（评标基准价/投标报价）×价格权值×100</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本项目的价格权重为</w:t>
            </w:r>
            <w:r>
              <w:rPr>
                <w:rFonts w:hint="eastAsia" w:cs="宋体"/>
                <w:color w:val="auto"/>
                <w:kern w:val="0"/>
                <w:sz w:val="21"/>
                <w:szCs w:val="21"/>
                <w:highlight w:val="none"/>
                <w:lang w:val="en-US" w:eastAsia="zh-CN" w:bidi="ar"/>
              </w:rPr>
              <w:t>3</w:t>
            </w:r>
            <w:bookmarkStart w:id="47" w:name="_GoBack"/>
            <w:bookmarkEnd w:id="47"/>
            <w:r>
              <w:rPr>
                <w:rFonts w:hint="eastAsia" w:ascii="宋体" w:hAnsi="宋体" w:eastAsia="宋体" w:cs="宋体"/>
                <w:color w:val="auto"/>
                <w:kern w:val="0"/>
                <w:sz w:val="21"/>
                <w:szCs w:val="21"/>
                <w:highlight w:val="none"/>
                <w:lang w:val="en-US" w:eastAsia="zh-CN" w:bidi="ar"/>
              </w:rPr>
              <w:t>0%。</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注：1.在经济标评审阶段，经评审小组认为无效的投标报价，经济部分得分按“0”计；</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符合政府采购优先（节约能源、保护环境）采购政策及促进中小企业（监狱企业、残疾人福利性单位）发展政策的，其价格给予6%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-6%）+投标人报价中不属于小型和微型企业产品/服务的价格部分；否则，其评标价=投标人报价。</w:t>
            </w:r>
          </w:p>
          <w:p>
            <w:pPr>
              <w:keepNext w:val="0"/>
              <w:keepLines w:val="0"/>
              <w:suppressLineNumbers w:val="0"/>
              <w:spacing w:beforeAutospacing="0" w:afterAutospacing="0"/>
              <w:rPr>
                <w:rFonts w:hint="eastAsia" w:ascii="宋体" w:hAnsi="宋体" w:eastAsia="宋体" w:cs="宋体"/>
                <w:color w:val="auto"/>
                <w:sz w:val="24"/>
                <w:szCs w:val="28"/>
                <w:highlight w:val="none"/>
              </w:rPr>
            </w:pPr>
            <w:r>
              <w:rPr>
                <w:rFonts w:hint="eastAsia" w:ascii="宋体" w:hAnsi="宋体" w:eastAsia="宋体" w:cs="宋体"/>
                <w:color w:val="auto"/>
                <w:kern w:val="0"/>
                <w:sz w:val="21"/>
                <w:szCs w:val="21"/>
                <w:highlight w:val="none"/>
                <w:lang w:val="en-US" w:eastAsia="zh-CN" w:bidi="ar"/>
              </w:rPr>
              <w:t>3.为了限制恶性低价竞争，如果投标人的报价明显低于其他有合格投标人报价且评标委员会要求现场合理的时间内提供报价证明材料，投标人不能证明其报价合理性的，作为无效标处理；</w:t>
            </w:r>
          </w:p>
        </w:tc>
        <w:tc>
          <w:tcPr>
            <w:tcW w:w="851" w:type="dxa"/>
            <w:noWrap w:val="0"/>
            <w:vAlign w:val="center"/>
          </w:tcPr>
          <w:p>
            <w:pPr>
              <w:keepNext w:val="0"/>
              <w:keepLines w:val="0"/>
              <w:suppressLineNumbers w:val="0"/>
              <w:spacing w:beforeAutospacing="0" w:afterAutospacing="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rPr>
              <w:t>0分</w:t>
            </w:r>
          </w:p>
        </w:tc>
      </w:tr>
    </w:tbl>
    <w:p>
      <w:pPr>
        <w:pStyle w:val="11"/>
        <w:keepNext w:val="0"/>
        <w:keepLines w:val="0"/>
        <w:pageBreakBefore w:val="0"/>
        <w:widowControl w:val="0"/>
        <w:numPr>
          <w:ilvl w:val="0"/>
          <w:numId w:val="0"/>
        </w:numPr>
        <w:tabs>
          <w:tab w:val="left" w:pos="1353"/>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sz w:val="24"/>
          <w:szCs w:val="24"/>
          <w:highlight w:val="none"/>
          <w:lang w:val="en-US" w:eastAsia="zh-CN"/>
        </w:rPr>
      </w:pPr>
      <w:bookmarkStart w:id="13" w:name="第七章  授予合同"/>
      <w:bookmarkEnd w:id="13"/>
      <w:bookmarkStart w:id="14" w:name="第七章  授予合同"/>
      <w:bookmarkEnd w:id="14"/>
    </w:p>
    <w:p>
      <w:pPr>
        <w:pStyle w:val="11"/>
        <w:keepNext w:val="0"/>
        <w:keepLines w:val="0"/>
        <w:pageBreakBefore w:val="0"/>
        <w:widowControl w:val="0"/>
        <w:numPr>
          <w:ilvl w:val="0"/>
          <w:numId w:val="0"/>
        </w:numPr>
        <w:tabs>
          <w:tab w:val="left" w:pos="135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定标原则</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32"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30.1 </w:t>
      </w:r>
      <w:r>
        <w:rPr>
          <w:rFonts w:hint="eastAsia" w:ascii="宋体" w:hAnsi="宋体" w:eastAsia="宋体" w:cs="宋体"/>
          <w:color w:val="auto"/>
          <w:spacing w:val="-1"/>
          <w:sz w:val="24"/>
          <w:szCs w:val="24"/>
          <w:highlight w:val="none"/>
        </w:rPr>
        <w:t>评标委员会应当根据综合评分情况，按照投标人综合得分由高到低的顺序排</w:t>
      </w:r>
      <w:r>
        <w:rPr>
          <w:rFonts w:hint="eastAsia" w:ascii="宋体" w:hAnsi="宋体" w:eastAsia="宋体" w:cs="宋体"/>
          <w:color w:val="auto"/>
          <w:spacing w:val="-7"/>
          <w:sz w:val="24"/>
          <w:szCs w:val="24"/>
          <w:highlight w:val="none"/>
        </w:rPr>
        <w:t xml:space="preserve">列，依次推荐 </w:t>
      </w:r>
      <w:r>
        <w:rPr>
          <w:rFonts w:hint="eastAsia" w:ascii="宋体" w:hAnsi="宋体" w:eastAsia="宋体" w:cs="宋体"/>
          <w:color w:val="auto"/>
          <w:sz w:val="24"/>
          <w:szCs w:val="24"/>
          <w:highlight w:val="none"/>
        </w:rPr>
        <w:t>3</w:t>
      </w:r>
      <w:r>
        <w:rPr>
          <w:rFonts w:hint="eastAsia" w:ascii="宋体" w:hAnsi="宋体" w:eastAsia="宋体" w:cs="宋体"/>
          <w:color w:val="auto"/>
          <w:spacing w:val="-7"/>
          <w:sz w:val="24"/>
          <w:szCs w:val="24"/>
          <w:highlight w:val="none"/>
        </w:rPr>
        <w:t xml:space="preserve"> 名中标候选人，并编写评标报告。投标人综合得分相同的，按照投标报价由低到高的顺序排列。投标人综合得分相同且投标报价也相同的并列，评标委员会将按照技术指标优劣顺序推荐。</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64" w:firstLineChars="200"/>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spacing w:val="-4"/>
          <w:sz w:val="24"/>
          <w:szCs w:val="24"/>
          <w:highlight w:val="none"/>
          <w:lang w:val="en-US" w:eastAsia="zh-CN"/>
        </w:rPr>
        <w:t>30.2 评标委员会根据评审结果及招标文件的规定确定中标人。</w:t>
      </w:r>
      <w:r>
        <w:rPr>
          <w:rFonts w:hint="eastAsia" w:ascii="宋体" w:hAnsi="宋体" w:eastAsia="宋体" w:cs="宋体"/>
          <w:color w:val="auto"/>
          <w:spacing w:val="-3"/>
          <w:sz w:val="24"/>
          <w:szCs w:val="24"/>
          <w:highlight w:val="none"/>
        </w:rPr>
        <w:t>排名第一</w:t>
      </w:r>
      <w:r>
        <w:rPr>
          <w:rFonts w:hint="eastAsia" w:ascii="宋体" w:hAnsi="宋体" w:eastAsia="宋体" w:cs="宋体"/>
          <w:color w:val="auto"/>
          <w:spacing w:val="-1"/>
          <w:sz w:val="24"/>
          <w:szCs w:val="24"/>
          <w:highlight w:val="none"/>
        </w:rPr>
        <w:t>的中标候选人放弃中标、因不可抗力不能履行合同、不按照招标文件要求提交履约保</w:t>
      </w:r>
      <w:r>
        <w:rPr>
          <w:rFonts w:hint="eastAsia" w:ascii="宋体" w:hAnsi="宋体" w:eastAsia="宋体" w:cs="宋体"/>
          <w:color w:val="auto"/>
          <w:sz w:val="24"/>
          <w:szCs w:val="24"/>
          <w:highlight w:val="none"/>
        </w:rPr>
        <w:t>证金（如有）</w:t>
      </w:r>
      <w:r>
        <w:rPr>
          <w:rFonts w:hint="eastAsia" w:ascii="宋体" w:hAnsi="宋体" w:eastAsia="宋体" w:cs="宋体"/>
          <w:color w:val="auto"/>
          <w:spacing w:val="-1"/>
          <w:sz w:val="24"/>
          <w:szCs w:val="24"/>
          <w:highlight w:val="none"/>
        </w:rPr>
        <w:t>的，或者被查实存在影响中标结果的违法行为等情形，不符合中标条件的，招标人可以按照评标委员会提出的中标候选人名单排序依次确定其他中标候选人</w:t>
      </w:r>
      <w:r>
        <w:rPr>
          <w:rFonts w:hint="eastAsia" w:ascii="宋体" w:hAnsi="宋体" w:eastAsia="宋体" w:cs="宋体"/>
          <w:color w:val="auto"/>
          <w:sz w:val="24"/>
          <w:szCs w:val="24"/>
          <w:highlight w:val="none"/>
        </w:rPr>
        <w:t>为中标人，也可以重新采购。</w:t>
      </w:r>
    </w:p>
    <w:p>
      <w:pPr>
        <w:bidi w:val="0"/>
        <w:rPr>
          <w:rFonts w:hint="eastAsia" w:ascii="宋体" w:hAnsi="宋体" w:eastAsia="宋体" w:cs="宋体"/>
          <w:color w:val="auto"/>
          <w:highlight w:val="none"/>
          <w:lang w:val="zh-CN" w:eastAsia="zh-CN"/>
        </w:rPr>
      </w:pPr>
    </w:p>
    <w:p>
      <w:pPr>
        <w:pStyle w:val="6"/>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30"/>
          <w:szCs w:val="30"/>
          <w:highlight w:val="none"/>
        </w:rPr>
        <w:t>第七章</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t>授予合同</w:t>
      </w:r>
    </w:p>
    <w:p>
      <w:pPr>
        <w:pStyle w:val="11"/>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合同授予标准</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31.1 </w:t>
      </w:r>
      <w:r>
        <w:rPr>
          <w:rFonts w:hint="eastAsia" w:ascii="宋体" w:hAnsi="宋体" w:eastAsia="宋体" w:cs="宋体"/>
          <w:color w:val="auto"/>
          <w:spacing w:val="0"/>
          <w:sz w:val="24"/>
          <w:szCs w:val="24"/>
          <w:highlight w:val="none"/>
        </w:rPr>
        <w:t>合同将授予被确定为实质上响应招标文件要求，评标认为具备履行合同义务条件、报价合理、技术和商务条件都符合条件基础上对买方最为有利的投标人。</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31.2 </w:t>
      </w:r>
      <w:r>
        <w:rPr>
          <w:rFonts w:hint="eastAsia" w:ascii="宋体" w:hAnsi="宋体" w:eastAsia="宋体" w:cs="宋体"/>
          <w:color w:val="auto"/>
          <w:spacing w:val="0"/>
          <w:sz w:val="24"/>
          <w:szCs w:val="24"/>
          <w:highlight w:val="none"/>
        </w:rPr>
        <w:t>最低投标价不一定是被授予合同的保证。</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9"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31.3 </w:t>
      </w:r>
      <w:r>
        <w:rPr>
          <w:rFonts w:hint="eastAsia" w:ascii="宋体" w:hAnsi="宋体" w:eastAsia="宋体" w:cs="宋体"/>
          <w:color w:val="auto"/>
          <w:spacing w:val="0"/>
          <w:sz w:val="24"/>
          <w:szCs w:val="24"/>
          <w:highlight w:val="none"/>
        </w:rPr>
        <w:t>如果确定该投标人不能无条件圆满履行合同，招标人将对下一个可能中标的投标人资格做出类似的审查。</w:t>
      </w:r>
    </w:p>
    <w:p>
      <w:pPr>
        <w:pStyle w:val="11"/>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 </w:t>
      </w:r>
      <w:r>
        <w:rPr>
          <w:rFonts w:hint="eastAsia" w:ascii="宋体" w:hAnsi="宋体" w:eastAsia="宋体" w:cs="宋体"/>
          <w:color w:val="auto"/>
          <w:sz w:val="24"/>
          <w:szCs w:val="24"/>
          <w:highlight w:val="none"/>
        </w:rPr>
        <w:t>接受和拒绝任何投标的权力</w:t>
      </w:r>
    </w:p>
    <w:p>
      <w:pPr>
        <w:pStyle w:val="32"/>
        <w:keepNext w:val="0"/>
        <w:keepLines w:val="0"/>
        <w:pageBreakBefore w:val="0"/>
        <w:widowControl w:val="0"/>
        <w:numPr>
          <w:ilvl w:val="0"/>
          <w:numId w:val="0"/>
        </w:numPr>
        <w:tabs>
          <w:tab w:val="left" w:pos="1579"/>
          <w:tab w:val="left" w:pos="1580"/>
        </w:tabs>
        <w:kinsoku/>
        <w:wordWrap/>
        <w:overflowPunct/>
        <w:topLinePunct w:val="0"/>
        <w:autoSpaceDE w:val="0"/>
        <w:autoSpaceDN w:val="0"/>
        <w:bidi w:val="0"/>
        <w:adjustRightInd/>
        <w:snapToGrid/>
        <w:spacing w:before="0" w:after="0" w:line="360" w:lineRule="auto"/>
        <w:ind w:right="391" w:rightChars="0" w:firstLine="460" w:firstLineChars="200"/>
        <w:jc w:val="left"/>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 xml:space="preserve">32.1 </w:t>
      </w:r>
      <w:r>
        <w:rPr>
          <w:rFonts w:hint="eastAsia" w:ascii="宋体" w:hAnsi="宋体" w:eastAsia="宋体" w:cs="宋体"/>
          <w:color w:val="auto"/>
          <w:spacing w:val="0"/>
          <w:sz w:val="24"/>
          <w:szCs w:val="24"/>
          <w:highlight w:val="none"/>
        </w:rPr>
        <w:t>为维护国家利益，招标人在授予合同之前仍有选择或拒绝任何投标的权力。</w:t>
      </w:r>
    </w:p>
    <w:p>
      <w:pPr>
        <w:pStyle w:val="32"/>
        <w:keepNext w:val="0"/>
        <w:keepLines w:val="0"/>
        <w:pageBreakBefore w:val="0"/>
        <w:widowControl w:val="0"/>
        <w:numPr>
          <w:ilvl w:val="0"/>
          <w:numId w:val="0"/>
        </w:numPr>
        <w:tabs>
          <w:tab w:val="left" w:pos="1579"/>
          <w:tab w:val="left" w:pos="1580"/>
        </w:tabs>
        <w:kinsoku/>
        <w:wordWrap/>
        <w:overflowPunct/>
        <w:topLinePunct w:val="0"/>
        <w:autoSpaceDE w:val="0"/>
        <w:autoSpaceDN w:val="0"/>
        <w:bidi w:val="0"/>
        <w:adjustRightInd/>
        <w:snapToGrid/>
        <w:spacing w:before="0" w:after="0" w:line="360" w:lineRule="auto"/>
        <w:ind w:right="391" w:rightChars="0" w:firstLine="46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pacing w:val="-5"/>
          <w:sz w:val="24"/>
          <w:szCs w:val="24"/>
          <w:highlight w:val="none"/>
        </w:rPr>
        <w:t>33.</w:t>
      </w:r>
      <w:r>
        <w:rPr>
          <w:rFonts w:hint="eastAsia" w:ascii="宋体" w:hAnsi="宋体" w:eastAsia="宋体" w:cs="宋体"/>
          <w:b/>
          <w:color w:val="auto"/>
          <w:spacing w:val="-5"/>
          <w:sz w:val="24"/>
          <w:szCs w:val="24"/>
          <w:highlight w:val="none"/>
          <w:lang w:val="en-US" w:eastAsia="zh-CN"/>
        </w:rPr>
        <w:t xml:space="preserve"> </w:t>
      </w:r>
      <w:r>
        <w:rPr>
          <w:rFonts w:hint="eastAsia" w:ascii="宋体" w:hAnsi="宋体" w:eastAsia="宋体" w:cs="宋体"/>
          <w:b/>
          <w:color w:val="auto"/>
          <w:spacing w:val="-5"/>
          <w:sz w:val="24"/>
          <w:szCs w:val="24"/>
          <w:highlight w:val="none"/>
        </w:rPr>
        <w:t>中标通知书</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309"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33.1 </w:t>
      </w:r>
      <w:r>
        <w:rPr>
          <w:rFonts w:hint="eastAsia" w:ascii="宋体" w:hAnsi="宋体" w:eastAsia="宋体" w:cs="宋体"/>
          <w:color w:val="auto"/>
          <w:spacing w:val="0"/>
          <w:sz w:val="24"/>
          <w:szCs w:val="24"/>
          <w:highlight w:val="none"/>
        </w:rPr>
        <w:t>中标结果经公示后，招标人将以书面形式发出《中标通知书》，《中标通知书》一经发出即发生法律效力。</w:t>
      </w:r>
    </w:p>
    <w:p>
      <w:pPr>
        <w:pStyle w:val="32"/>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622" w:rightChars="0" w:firstLine="46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33.2 </w:t>
      </w:r>
      <w:r>
        <w:rPr>
          <w:rFonts w:hint="eastAsia" w:ascii="宋体" w:hAnsi="宋体" w:eastAsia="宋体" w:cs="宋体"/>
          <w:color w:val="auto"/>
          <w:spacing w:val="-5"/>
          <w:sz w:val="24"/>
          <w:szCs w:val="24"/>
          <w:highlight w:val="none"/>
        </w:rPr>
        <w:t>《中标通知书》将作为签订合同的依据。</w:t>
      </w:r>
    </w:p>
    <w:p>
      <w:pPr>
        <w:pStyle w:val="32"/>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622" w:rightChars="0" w:firstLine="466"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pacing w:val="-4"/>
          <w:sz w:val="24"/>
          <w:szCs w:val="24"/>
          <w:highlight w:val="none"/>
          <w:lang w:val="en-US" w:eastAsia="zh-CN"/>
        </w:rPr>
        <w:t xml:space="preserve">34. </w:t>
      </w:r>
      <w:r>
        <w:rPr>
          <w:rFonts w:hint="eastAsia" w:ascii="宋体" w:hAnsi="宋体" w:eastAsia="宋体" w:cs="宋体"/>
          <w:b/>
          <w:color w:val="auto"/>
          <w:spacing w:val="-4"/>
          <w:sz w:val="24"/>
          <w:szCs w:val="24"/>
          <w:highlight w:val="none"/>
        </w:rPr>
        <w:t>履约担保</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34.1 </w:t>
      </w:r>
      <w:r>
        <w:rPr>
          <w:rFonts w:hint="eastAsia" w:ascii="宋体" w:hAnsi="宋体" w:eastAsia="宋体" w:cs="宋体"/>
          <w:color w:val="auto"/>
          <w:spacing w:val="0"/>
          <w:sz w:val="24"/>
          <w:szCs w:val="24"/>
          <w:highlight w:val="none"/>
        </w:rPr>
        <w:t>履约保证金：详见投标人须知前附表。</w:t>
      </w:r>
    </w:p>
    <w:p>
      <w:pPr>
        <w:pStyle w:val="32"/>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34.2 </w:t>
      </w:r>
      <w:r>
        <w:rPr>
          <w:rFonts w:hint="eastAsia" w:ascii="宋体" w:hAnsi="宋体" w:eastAsia="宋体" w:cs="宋体"/>
          <w:color w:val="auto"/>
          <w:spacing w:val="0"/>
          <w:sz w:val="24"/>
          <w:szCs w:val="24"/>
          <w:highlight w:val="none"/>
        </w:rPr>
        <w:t>履约保证金在合同执行完毕后无息退还。</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34.3 </w:t>
      </w:r>
      <w:r>
        <w:rPr>
          <w:rFonts w:hint="eastAsia" w:ascii="宋体" w:hAnsi="宋体" w:eastAsia="宋体" w:cs="宋体"/>
          <w:color w:val="auto"/>
          <w:spacing w:val="0"/>
          <w:sz w:val="24"/>
          <w:szCs w:val="24"/>
          <w:highlight w:val="none"/>
        </w:rPr>
        <w:t>如中标候选人不能提供则取消其中标资格。投标人须承诺如成为中标候选人能够及时提供该笔资金。</w:t>
      </w:r>
    </w:p>
    <w:p>
      <w:pPr>
        <w:pStyle w:val="11"/>
        <w:keepNext w:val="0"/>
        <w:keepLines w:val="0"/>
        <w:pageBreakBefore w:val="0"/>
        <w:widowControl w:val="0"/>
        <w:numPr>
          <w:ilvl w:val="0"/>
          <w:numId w:val="0"/>
        </w:numPr>
        <w:tabs>
          <w:tab w:val="left" w:pos="1363"/>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 </w:t>
      </w:r>
      <w:r>
        <w:rPr>
          <w:rFonts w:hint="eastAsia" w:ascii="宋体" w:hAnsi="宋体" w:eastAsia="宋体" w:cs="宋体"/>
          <w:color w:val="auto"/>
          <w:sz w:val="24"/>
          <w:szCs w:val="24"/>
          <w:highlight w:val="none"/>
        </w:rPr>
        <w:t>签订合同</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427" w:rightChars="0" w:firstLine="432"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12"/>
          <w:sz w:val="24"/>
          <w:szCs w:val="24"/>
          <w:highlight w:val="none"/>
          <w:lang w:val="en-US" w:eastAsia="zh-CN"/>
        </w:rPr>
        <w:t xml:space="preserve">35.1 </w:t>
      </w:r>
      <w:r>
        <w:rPr>
          <w:rFonts w:hint="eastAsia" w:ascii="宋体" w:hAnsi="宋体" w:eastAsia="宋体" w:cs="宋体"/>
          <w:color w:val="auto"/>
          <w:spacing w:val="0"/>
          <w:sz w:val="24"/>
          <w:szCs w:val="24"/>
          <w:highlight w:val="none"/>
        </w:rPr>
        <w:t>中标候选人在收到招标方的《中标通知书》后，须及时按照招标文件和其所提供的投标文件中的约定与采购单位签订书面合同，所签订的合同不得对招标文件和中标方的投标文件作实质性修改。</w:t>
      </w:r>
    </w:p>
    <w:p>
      <w:pPr>
        <w:pStyle w:val="32"/>
        <w:keepNext w:val="0"/>
        <w:keepLines w:val="0"/>
        <w:pageBreakBefore w:val="0"/>
        <w:widowControl w:val="0"/>
        <w:numPr>
          <w:ilvl w:val="0"/>
          <w:numId w:val="0"/>
        </w:numPr>
        <w:tabs>
          <w:tab w:val="left" w:pos="1405"/>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35.2 </w:t>
      </w:r>
      <w:r>
        <w:rPr>
          <w:rFonts w:hint="eastAsia" w:ascii="宋体" w:hAnsi="宋体" w:eastAsia="宋体" w:cs="宋体"/>
          <w:color w:val="auto"/>
          <w:spacing w:val="0"/>
          <w:sz w:val="24"/>
          <w:szCs w:val="24"/>
          <w:highlight w:val="none"/>
        </w:rPr>
        <w:t>招标文件、中标方的投标文件及其澄清文件等，均为签订合同的依据。</w:t>
      </w:r>
    </w:p>
    <w:p>
      <w:pPr>
        <w:pStyle w:val="32"/>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427" w:rightChars="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35.3 </w:t>
      </w:r>
      <w:r>
        <w:rPr>
          <w:rFonts w:hint="eastAsia" w:ascii="宋体" w:hAnsi="宋体" w:eastAsia="宋体" w:cs="宋体"/>
          <w:color w:val="auto"/>
          <w:spacing w:val="0"/>
          <w:sz w:val="24"/>
          <w:szCs w:val="24"/>
          <w:highlight w:val="none"/>
        </w:rPr>
        <w:t>如果中标人不能按本须知第 35.1 款的规定执行，招标人将有充分的理由废除其中标资格，并没收其投标保证金，给招标人造成的损失超过投标保证金数额的，还应当对超过部分予以赔偿，同时依法承担相应法律责任；同时，招标人有权将标授予另一个候选中标人或重新招标。</w:t>
      </w:r>
    </w:p>
    <w:p>
      <w:pPr>
        <w:pStyle w:val="32"/>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429"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 xml:space="preserve">35.4 </w:t>
      </w:r>
      <w:r>
        <w:rPr>
          <w:rFonts w:hint="eastAsia" w:ascii="宋体" w:hAnsi="宋体" w:eastAsia="宋体" w:cs="宋体"/>
          <w:color w:val="auto"/>
          <w:spacing w:val="0"/>
          <w:sz w:val="24"/>
          <w:szCs w:val="24"/>
          <w:highlight w:val="none"/>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w:t>
      </w:r>
    </w:p>
    <w:p>
      <w:pPr>
        <w:tabs>
          <w:tab w:val="left" w:pos="0"/>
        </w:tabs>
        <w:bidi w:val="0"/>
        <w:jc w:val="left"/>
        <w:rPr>
          <w:rFonts w:hint="eastAsia" w:ascii="宋体" w:hAnsi="宋体" w:eastAsia="宋体" w:cs="宋体"/>
          <w:color w:val="auto"/>
          <w:highlight w:val="none"/>
          <w:lang w:val="zh-CN" w:eastAsia="zh-CN"/>
        </w:rPr>
      </w:pPr>
      <w:r>
        <w:rPr>
          <w:rFonts w:hint="eastAsia" w:ascii="宋体" w:hAnsi="宋体" w:eastAsia="宋体" w:cs="宋体"/>
          <w:color w:val="auto"/>
          <w:sz w:val="24"/>
          <w:szCs w:val="24"/>
          <w:highlight w:val="none"/>
        </w:rPr>
        <w:t>的约定和投标文件的承诺及相关约定。</w:t>
      </w:r>
    </w:p>
    <w:p>
      <w:pPr>
        <w:bidi w:val="0"/>
        <w:rPr>
          <w:rFonts w:hint="eastAsia" w:ascii="宋体" w:hAnsi="宋体" w:eastAsia="宋体" w:cs="宋体"/>
          <w:color w:val="auto"/>
          <w:highlight w:val="none"/>
          <w:lang w:val="zh-CN" w:eastAsia="zh-CN"/>
        </w:rPr>
      </w:pPr>
    </w:p>
    <w:p>
      <w:pPr>
        <w:pStyle w:val="6"/>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30"/>
          <w:szCs w:val="30"/>
          <w:highlight w:val="none"/>
        </w:rPr>
        <w:t>第八章</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t>其</w:t>
      </w:r>
      <w:r>
        <w:rPr>
          <w:rFonts w:hint="eastAsia" w:ascii="宋体" w:hAnsi="宋体" w:eastAsia="宋体" w:cs="宋体"/>
          <w:color w:val="auto"/>
          <w:spacing w:val="1"/>
          <w:sz w:val="30"/>
          <w:szCs w:val="30"/>
          <w:highlight w:val="none"/>
        </w:rPr>
        <w:t xml:space="preserve"> </w:t>
      </w:r>
      <w:r>
        <w:rPr>
          <w:rFonts w:hint="eastAsia" w:ascii="宋体" w:hAnsi="宋体" w:eastAsia="宋体" w:cs="宋体"/>
          <w:color w:val="auto"/>
          <w:sz w:val="30"/>
          <w:szCs w:val="30"/>
          <w:highlight w:val="none"/>
        </w:rPr>
        <w:t>他</w:t>
      </w:r>
    </w:p>
    <w:p>
      <w:pPr>
        <w:pStyle w:val="11"/>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 </w:t>
      </w:r>
      <w:r>
        <w:rPr>
          <w:rFonts w:hint="eastAsia" w:ascii="宋体" w:hAnsi="宋体" w:eastAsia="宋体" w:cs="宋体"/>
          <w:color w:val="auto"/>
          <w:sz w:val="24"/>
          <w:szCs w:val="24"/>
          <w:highlight w:val="none"/>
        </w:rPr>
        <w:t>重新招标和不再招标</w:t>
      </w:r>
    </w:p>
    <w:p>
      <w:pPr>
        <w:pStyle w:val="32"/>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重新招标</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有下列情形之一的，招标人将重新招标：</w:t>
      </w:r>
    </w:p>
    <w:p>
      <w:pPr>
        <w:pStyle w:val="32"/>
        <w:keepNext w:val="0"/>
        <w:keepLines w:val="0"/>
        <w:pageBreakBefore w:val="0"/>
        <w:widowControl w:val="0"/>
        <w:numPr>
          <w:ilvl w:val="0"/>
          <w:numId w:val="0"/>
        </w:numPr>
        <w:tabs>
          <w:tab w:val="left" w:pos="1469"/>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投标截止时间止，投标人少于 3 个的；</w:t>
      </w:r>
    </w:p>
    <w:p>
      <w:pPr>
        <w:pStyle w:val="32"/>
        <w:keepNext w:val="0"/>
        <w:keepLines w:val="0"/>
        <w:pageBreakBefore w:val="0"/>
        <w:widowControl w:val="0"/>
        <w:numPr>
          <w:ilvl w:val="0"/>
          <w:numId w:val="0"/>
        </w:numPr>
        <w:tabs>
          <w:tab w:val="left" w:pos="1469"/>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经评标委员会评审后否决所有投标的；</w:t>
      </w:r>
    </w:p>
    <w:p>
      <w:pPr>
        <w:pStyle w:val="32"/>
        <w:keepNext w:val="0"/>
        <w:keepLines w:val="0"/>
        <w:pageBreakBefore w:val="0"/>
        <w:widowControl w:val="0"/>
        <w:numPr>
          <w:ilvl w:val="0"/>
          <w:numId w:val="0"/>
        </w:numPr>
        <w:tabs>
          <w:tab w:val="left" w:pos="1473"/>
        </w:tabs>
        <w:kinsoku/>
        <w:wordWrap/>
        <w:overflowPunct/>
        <w:topLinePunct w:val="0"/>
        <w:autoSpaceDE w:val="0"/>
        <w:autoSpaceDN w:val="0"/>
        <w:bidi w:val="0"/>
        <w:adjustRightInd/>
        <w:snapToGrid/>
        <w:spacing w:before="0" w:after="0" w:line="360" w:lineRule="auto"/>
        <w:ind w:right="427"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经评审后，如合格的投标人少于三个的，且明显缺乏竞争的，评标委员会可以否决全部投标，招标人将重新组织招标；</w:t>
      </w:r>
    </w:p>
    <w:p>
      <w:pPr>
        <w:pStyle w:val="32"/>
        <w:keepNext w:val="0"/>
        <w:keepLines w:val="0"/>
        <w:pageBreakBefore w:val="0"/>
        <w:widowControl w:val="0"/>
        <w:numPr>
          <w:ilvl w:val="0"/>
          <w:numId w:val="0"/>
        </w:numPr>
        <w:tabs>
          <w:tab w:val="left" w:pos="1469"/>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法律法规规定的其他情形。</w:t>
      </w:r>
    </w:p>
    <w:p>
      <w:pPr>
        <w:pStyle w:val="32"/>
        <w:keepNext w:val="0"/>
        <w:keepLines w:val="0"/>
        <w:pageBreakBefore w:val="0"/>
        <w:widowControl w:val="0"/>
        <w:numPr>
          <w:ilvl w:val="0"/>
          <w:numId w:val="0"/>
        </w:numPr>
        <w:tabs>
          <w:tab w:val="left" w:pos="1460"/>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rPr>
        <w:t>二次招标和不再招标</w:t>
      </w:r>
    </w:p>
    <w:p>
      <w:pPr>
        <w:keepNext w:val="0"/>
        <w:keepLines w:val="0"/>
        <w:pageBreakBefore w:val="0"/>
        <w:widowControl w:val="0"/>
        <w:kinsoku/>
        <w:wordWrap/>
        <w:overflowPunct/>
        <w:topLinePunct w:val="0"/>
        <w:autoSpaceDE w:val="0"/>
        <w:autoSpaceDN w:val="0"/>
        <w:bidi w:val="0"/>
        <w:adjustRightInd/>
        <w:snapToGrid/>
        <w:spacing w:before="0" w:line="360" w:lineRule="auto"/>
        <w:ind w:right="427"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重新招标后投标人仍少于 3 个，按法定程序开标和评标，确定中标人。经评审无合格投标人，经原审批或核准部门批准后不再进行招标。</w:t>
      </w:r>
    </w:p>
    <w:p>
      <w:pPr>
        <w:pStyle w:val="11"/>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37.</w:t>
      </w:r>
      <w:r>
        <w:rPr>
          <w:rFonts w:hint="eastAsia" w:ascii="宋体" w:hAnsi="宋体" w:eastAsia="宋体" w:cs="宋体"/>
          <w:color w:val="auto"/>
          <w:spacing w:val="0"/>
          <w:sz w:val="24"/>
          <w:szCs w:val="24"/>
          <w:highlight w:val="none"/>
        </w:rPr>
        <w:t>需要补充的其他内容</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highlight w:val="none"/>
          <w:lang w:val="zh-CN" w:eastAsia="zh-CN"/>
        </w:rPr>
      </w:pPr>
      <w:r>
        <w:rPr>
          <w:rFonts w:hint="eastAsia" w:ascii="宋体" w:hAnsi="宋体" w:eastAsia="宋体" w:cs="宋体"/>
          <w:color w:val="auto"/>
          <w:spacing w:val="0"/>
          <w:sz w:val="24"/>
          <w:szCs w:val="24"/>
          <w:highlight w:val="none"/>
          <w:lang w:val="en-US" w:eastAsia="zh-CN"/>
        </w:rPr>
        <w:t xml:space="preserve">37.1 </w:t>
      </w:r>
      <w:r>
        <w:rPr>
          <w:rFonts w:hint="eastAsia" w:ascii="宋体" w:hAnsi="宋体" w:eastAsia="宋体" w:cs="宋体"/>
          <w:color w:val="auto"/>
          <w:spacing w:val="0"/>
          <w:sz w:val="24"/>
          <w:szCs w:val="24"/>
          <w:highlight w:val="none"/>
        </w:rPr>
        <w:t>需要补充的其他内容详见投标人须知前附表。</w:t>
      </w:r>
    </w:p>
    <w:p>
      <w:pPr>
        <w:bidi w:val="0"/>
        <w:rPr>
          <w:rFonts w:hint="eastAsia" w:ascii="宋体" w:hAnsi="宋体" w:eastAsia="宋体" w:cs="宋体"/>
          <w:color w:val="auto"/>
          <w:sz w:val="22"/>
          <w:szCs w:val="22"/>
          <w:highlight w:val="none"/>
          <w:lang w:val="zh-CN" w:eastAsia="zh-CN" w:bidi="zh-CN"/>
        </w:rPr>
      </w:pPr>
    </w:p>
    <w:p>
      <w:pPr>
        <w:pStyle w:val="6"/>
        <w:keepNext w:val="0"/>
        <w:keepLines w:val="0"/>
        <w:pageBreakBefore w:val="0"/>
        <w:widowControl w:val="0"/>
        <w:tabs>
          <w:tab w:val="left" w:pos="1283"/>
        </w:tabs>
        <w:kinsoku/>
        <w:wordWrap/>
        <w:overflowPunct/>
        <w:topLinePunct w:val="0"/>
        <w:autoSpaceDE w:val="0"/>
        <w:autoSpaceDN w:val="0"/>
        <w:bidi w:val="0"/>
        <w:adjustRightInd/>
        <w:snapToGrid/>
        <w:spacing w:before="0" w:line="360" w:lineRule="auto"/>
        <w:ind w:right="28"/>
        <w:jc w:val="center"/>
        <w:textAlignment w:val="auto"/>
        <w:rPr>
          <w:rFonts w:hint="eastAsia" w:ascii="宋体" w:hAnsi="宋体" w:eastAsia="宋体" w:cs="宋体"/>
          <w:color w:val="auto"/>
          <w:highlight w:val="none"/>
          <w:lang w:val="zh-CN" w:eastAsia="zh-CN"/>
        </w:rPr>
      </w:pPr>
      <w:r>
        <w:rPr>
          <w:rFonts w:hint="eastAsia" w:ascii="宋体" w:hAnsi="宋体" w:eastAsia="宋体" w:cs="宋体"/>
          <w:color w:val="auto"/>
          <w:sz w:val="30"/>
          <w:szCs w:val="30"/>
          <w:highlight w:val="none"/>
        </w:rPr>
        <w:t>第九章</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t>质疑的提出及处理</w:t>
      </w:r>
    </w:p>
    <w:p>
      <w:pPr>
        <w:keepNext w:val="0"/>
        <w:keepLines w:val="0"/>
        <w:pageBreakBefore w:val="0"/>
        <w:widowControl w:val="0"/>
        <w:kinsoku/>
        <w:wordWrap/>
        <w:overflowPunct/>
        <w:topLinePunct w:val="0"/>
        <w:autoSpaceDE w:val="0"/>
        <w:autoSpaceDN w:val="0"/>
        <w:bidi w:val="0"/>
        <w:adjustRightInd/>
        <w:snapToGrid/>
        <w:spacing w:before="0" w:line="360" w:lineRule="auto"/>
        <w:ind w:right="482"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政府采购供应商（以下简称供应商）提出质疑和投诉应当坚持依法依规、诚实信用原则。</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38.</w:t>
      </w:r>
      <w:r>
        <w:rPr>
          <w:rFonts w:hint="eastAsia" w:ascii="宋体" w:hAnsi="宋体" w:eastAsia="宋体" w:cs="宋体"/>
          <w:color w:val="auto"/>
          <w:spacing w:val="0"/>
          <w:sz w:val="24"/>
          <w:szCs w:val="24"/>
          <w:highlight w:val="none"/>
        </w:rPr>
        <w:t>质疑的提出</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313" w:righ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38.1 </w:t>
      </w:r>
      <w:r>
        <w:rPr>
          <w:rFonts w:hint="eastAsia" w:ascii="宋体" w:hAnsi="宋体" w:eastAsia="宋体" w:cs="宋体"/>
          <w:color w:val="auto"/>
          <w:spacing w:val="0"/>
          <w:sz w:val="24"/>
          <w:szCs w:val="24"/>
          <w:highlight w:val="none"/>
        </w:rPr>
        <w:t>供应商认为采购文件、采购过程、中标或者成交结果使自己的权益受到损害的，可以在知道或者应知其权益受到损害之日起七个工作日内，以书面形式向采购人、采购代理机构提出质疑。</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采购文件可以要求供应商在法定质疑期内一次性提出针对同一采购程序环节的质疑。</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pacing w:val="0"/>
          <w:sz w:val="24"/>
          <w:szCs w:val="24"/>
          <w:highlight w:val="none"/>
        </w:rPr>
        <w:t>供应商应知其权益受到损害之日，是指：（1）对可以质疑的采购文件提出质疑的，</w:t>
      </w:r>
    </w:p>
    <w:p>
      <w:pPr>
        <w:keepNext w:val="0"/>
        <w:keepLines w:val="0"/>
        <w:pageBreakBefore w:val="0"/>
        <w:widowControl w:val="0"/>
        <w:kinsoku/>
        <w:wordWrap/>
        <w:overflowPunct/>
        <w:topLinePunct w:val="0"/>
        <w:autoSpaceDE w:val="0"/>
        <w:autoSpaceDN w:val="0"/>
        <w:bidi w:val="0"/>
        <w:adjustRightInd/>
        <w:snapToGrid/>
        <w:spacing w:before="0" w:line="360" w:lineRule="auto"/>
        <w:ind w:right="362"/>
        <w:jc w:val="both"/>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4"/>
          <w:szCs w:val="24"/>
          <w:highlight w:val="none"/>
        </w:rPr>
        <w:t>为收到采购文件之日或者采购文件公告期限届满之日。（2）对采购过程提出质疑的， 为各采购程序环节结束之日。（3）对中标或者成交结果提出质疑的，为中标或者成交结果公告期限届满之日。</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38.2 </w:t>
      </w:r>
      <w:r>
        <w:rPr>
          <w:rFonts w:hint="eastAsia" w:ascii="宋体" w:hAnsi="宋体" w:eastAsia="宋体" w:cs="宋体"/>
          <w:color w:val="auto"/>
          <w:spacing w:val="-1"/>
          <w:sz w:val="24"/>
          <w:szCs w:val="24"/>
          <w:highlight w:val="none"/>
        </w:rPr>
        <w:t>提出质疑的供应商</w:t>
      </w:r>
      <w:r>
        <w:rPr>
          <w:rFonts w:hint="eastAsia" w:ascii="宋体" w:hAnsi="宋体" w:eastAsia="宋体" w:cs="宋体"/>
          <w:color w:val="auto"/>
          <w:sz w:val="24"/>
          <w:szCs w:val="24"/>
          <w:highlight w:val="none"/>
        </w:rPr>
        <w:t>（以下简称质疑供应商</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rPr>
        <w:t>应当是参与所质疑项目采购活动</w:t>
      </w:r>
      <w:r>
        <w:rPr>
          <w:rFonts w:hint="eastAsia" w:ascii="宋体" w:hAnsi="宋体" w:eastAsia="宋体" w:cs="宋体"/>
          <w:color w:val="auto"/>
          <w:sz w:val="24"/>
          <w:szCs w:val="24"/>
          <w:highlight w:val="none"/>
        </w:rPr>
        <w:t>的供应商。</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潜在供应商已依法获取其可质疑的采购文件的，可以对该文件提出质疑。对采购文件提出质疑的，应当在获取采购文件或者采购文件公告期限届满之日起7个工作日内提出。</w:t>
      </w:r>
    </w:p>
    <w:p>
      <w:pPr>
        <w:pStyle w:val="32"/>
        <w:keepNext w:val="0"/>
        <w:keepLines w:val="0"/>
        <w:pageBreakBefore w:val="0"/>
        <w:widowControl w:val="0"/>
        <w:numPr>
          <w:ilvl w:val="0"/>
          <w:numId w:val="0"/>
        </w:numPr>
        <w:tabs>
          <w:tab w:val="left" w:pos="1604"/>
        </w:tabs>
        <w:kinsoku/>
        <w:wordWrap/>
        <w:overflowPunct/>
        <w:topLinePunct w:val="0"/>
        <w:autoSpaceDE w:val="0"/>
        <w:autoSpaceDN w:val="0"/>
        <w:bidi w:val="0"/>
        <w:adjustRightInd/>
        <w:snapToGrid/>
        <w:spacing w:before="0" w:after="0" w:line="360" w:lineRule="auto"/>
        <w:ind w:right="432"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38.3 </w:t>
      </w:r>
      <w:r>
        <w:rPr>
          <w:rFonts w:hint="eastAsia" w:ascii="宋体" w:hAnsi="宋体" w:eastAsia="宋体" w:cs="宋体"/>
          <w:color w:val="auto"/>
          <w:spacing w:val="-11"/>
          <w:sz w:val="24"/>
          <w:szCs w:val="24"/>
          <w:highlight w:val="none"/>
        </w:rPr>
        <w:t>供应商提出质疑应当提交质疑函和必要的证明材料。质疑函应当包括下列内容：</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供应商的姓名或者名称、地址、邮编、联系人及联系电话；</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质疑项目的名称、编号；</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具体、明确的质疑事项和与质疑事项相关的请求；</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事实依据；</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必要的法律依据；</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提出质疑的日期。</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val="0"/>
        <w:autoSpaceDN w:val="0"/>
        <w:bidi w:val="0"/>
        <w:adjustRightInd/>
        <w:snapToGrid/>
        <w:spacing w:before="0" w:line="360" w:lineRule="auto"/>
        <w:ind w:right="43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提出质疑时，必须按照“实事求是”、“谁主张，谁举证”的原则，提供相关证明材料，不能主观臆测。</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38.4 </w:t>
      </w:r>
      <w:r>
        <w:rPr>
          <w:rFonts w:hint="eastAsia" w:ascii="宋体" w:hAnsi="宋体" w:eastAsia="宋体" w:cs="宋体"/>
          <w:color w:val="auto"/>
          <w:spacing w:val="-2"/>
          <w:sz w:val="24"/>
          <w:szCs w:val="24"/>
          <w:highlight w:val="none"/>
        </w:rPr>
        <w:t>供应商可以委托代理人进行质疑和投诉。其授权委托书应当载明代理人的姓</w:t>
      </w:r>
      <w:r>
        <w:rPr>
          <w:rFonts w:hint="eastAsia" w:ascii="宋体" w:hAnsi="宋体" w:eastAsia="宋体" w:cs="宋体"/>
          <w:color w:val="auto"/>
          <w:spacing w:val="-1"/>
          <w:sz w:val="24"/>
          <w:szCs w:val="24"/>
          <w:highlight w:val="none"/>
        </w:rPr>
        <w:t>名或者名称、代理事项、具体权限、期限和相关事项。供应商为自然人的，应当由本人签字；供应商为法人或者其他组织的，应当由法定代表人、主要负责人签字或者盖</w:t>
      </w:r>
      <w:r>
        <w:rPr>
          <w:rFonts w:hint="eastAsia" w:ascii="宋体" w:hAnsi="宋体" w:eastAsia="宋体" w:cs="宋体"/>
          <w:color w:val="auto"/>
          <w:sz w:val="24"/>
          <w:szCs w:val="24"/>
          <w:highlight w:val="none"/>
        </w:rPr>
        <w:t>章，并加盖公章。</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代理人提出质疑和投诉，应当提交供应商签署的授权委托书。</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5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 xml:space="preserve">38.5 </w:t>
      </w:r>
      <w:r>
        <w:rPr>
          <w:rFonts w:hint="eastAsia" w:ascii="宋体" w:hAnsi="宋体" w:eastAsia="宋体" w:cs="宋体"/>
          <w:color w:val="auto"/>
          <w:spacing w:val="-6"/>
          <w:sz w:val="24"/>
          <w:szCs w:val="24"/>
          <w:highlight w:val="none"/>
        </w:rPr>
        <w:t>以联合体形式参加政府采购活动的，其投诉应当由组成联合体的所有供应商</w:t>
      </w:r>
      <w:r>
        <w:rPr>
          <w:rFonts w:hint="eastAsia" w:ascii="宋体" w:hAnsi="宋体" w:eastAsia="宋体" w:cs="宋体"/>
          <w:color w:val="auto"/>
          <w:sz w:val="24"/>
          <w:szCs w:val="24"/>
          <w:highlight w:val="none"/>
        </w:rPr>
        <w:t>共同提出。</w:t>
      </w:r>
    </w:p>
    <w:p>
      <w:pPr>
        <w:pStyle w:val="32"/>
        <w:keepNext w:val="0"/>
        <w:keepLines w:val="0"/>
        <w:pageBreakBefore w:val="0"/>
        <w:widowControl w:val="0"/>
        <w:numPr>
          <w:ilvl w:val="0"/>
          <w:numId w:val="0"/>
        </w:numPr>
        <w:tabs>
          <w:tab w:val="left" w:pos="1602"/>
        </w:tabs>
        <w:kinsoku/>
        <w:wordWrap/>
        <w:overflowPunct/>
        <w:topLinePunct w:val="0"/>
        <w:autoSpaceDE w:val="0"/>
        <w:autoSpaceDN w:val="0"/>
        <w:bidi w:val="0"/>
        <w:adjustRightInd/>
        <w:snapToGrid/>
        <w:spacing w:before="0" w:after="0" w:line="360" w:lineRule="auto"/>
        <w:ind w:right="482"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38.6 </w:t>
      </w:r>
      <w:r>
        <w:rPr>
          <w:rFonts w:hint="eastAsia" w:ascii="宋体" w:hAnsi="宋体" w:eastAsia="宋体" w:cs="宋体"/>
          <w:color w:val="auto"/>
          <w:spacing w:val="-1"/>
          <w:sz w:val="24"/>
          <w:szCs w:val="24"/>
          <w:highlight w:val="none"/>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w:t>
      </w:r>
      <w:r>
        <w:rPr>
          <w:rFonts w:hint="eastAsia" w:ascii="宋体" w:hAnsi="宋体" w:eastAsia="宋体" w:cs="宋体"/>
          <w:color w:val="auto"/>
          <w:sz w:val="24"/>
          <w:szCs w:val="24"/>
          <w:highlight w:val="none"/>
        </w:rPr>
        <w:t>职权的部门查清、认定，并将相关结果提供给招标方。招标方不具有法定调查、认定权限和义务。</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38.7 </w:t>
      </w:r>
      <w:r>
        <w:rPr>
          <w:rFonts w:hint="eastAsia" w:ascii="宋体" w:hAnsi="宋体" w:eastAsia="宋体" w:cs="宋体"/>
          <w:color w:val="auto"/>
          <w:spacing w:val="-5"/>
          <w:sz w:val="24"/>
          <w:szCs w:val="24"/>
          <w:highlight w:val="none"/>
        </w:rPr>
        <w:t>证明材料要具备客观性、关联性、合法性，无法查实的</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
          <w:sz w:val="24"/>
          <w:szCs w:val="24"/>
          <w:highlight w:val="none"/>
        </w:rPr>
        <w:t>如宣传册、媒体报</w:t>
      </w:r>
      <w:r>
        <w:rPr>
          <w:rFonts w:hint="eastAsia" w:ascii="宋体" w:hAnsi="宋体" w:eastAsia="宋体" w:cs="宋体"/>
          <w:color w:val="auto"/>
          <w:sz w:val="24"/>
          <w:szCs w:val="24"/>
          <w:highlight w:val="none"/>
        </w:rPr>
        <w:t>道、猜测、推理等）不能作为证明材料。</w:t>
      </w:r>
    </w:p>
    <w:p>
      <w:pPr>
        <w:keepNext w:val="0"/>
        <w:keepLines w:val="0"/>
        <w:pageBreakBefore w:val="0"/>
        <w:widowControl w:val="0"/>
        <w:tabs>
          <w:tab w:val="left" w:pos="2669"/>
        </w:tabs>
        <w:kinsoku/>
        <w:wordWrap/>
        <w:overflowPunct/>
        <w:topLinePunct w:val="0"/>
        <w:autoSpaceDE w:val="0"/>
        <w:autoSpaceDN w:val="0"/>
        <w:bidi w:val="0"/>
        <w:adjustRightInd/>
        <w:snapToGrid/>
        <w:spacing w:line="360" w:lineRule="auto"/>
        <w:ind w:firstLine="460" w:firstLineChars="200"/>
        <w:jc w:val="left"/>
        <w:textAlignment w:val="auto"/>
        <w:rPr>
          <w:rFonts w:hint="eastAsia" w:ascii="宋体" w:hAnsi="宋体" w:eastAsia="宋体" w:cs="宋体"/>
          <w:color w:val="auto"/>
          <w:highlight w:val="none"/>
          <w:lang w:val="zh-CN" w:eastAsia="zh-CN"/>
        </w:rPr>
      </w:pPr>
      <w:r>
        <w:rPr>
          <w:rFonts w:hint="eastAsia" w:ascii="宋体" w:hAnsi="宋体" w:eastAsia="宋体" w:cs="宋体"/>
          <w:color w:val="auto"/>
          <w:spacing w:val="-5"/>
          <w:sz w:val="24"/>
          <w:szCs w:val="24"/>
          <w:highlight w:val="none"/>
          <w:lang w:val="en-US" w:eastAsia="zh-CN"/>
        </w:rPr>
        <w:t xml:space="preserve">38.8 </w:t>
      </w:r>
      <w:r>
        <w:rPr>
          <w:rFonts w:hint="eastAsia" w:ascii="宋体" w:hAnsi="宋体" w:eastAsia="宋体" w:cs="宋体"/>
          <w:color w:val="auto"/>
          <w:spacing w:val="-5"/>
          <w:sz w:val="24"/>
          <w:szCs w:val="24"/>
          <w:highlight w:val="none"/>
        </w:rPr>
        <w:t>对不能提供相关证明材料的、涉及商业秘密的、非书面形式送达的、匿名的</w:t>
      </w:r>
      <w:r>
        <w:rPr>
          <w:rFonts w:hint="eastAsia" w:ascii="宋体" w:hAnsi="宋体" w:eastAsia="宋体" w:cs="宋体"/>
          <w:color w:val="auto"/>
          <w:sz w:val="24"/>
          <w:szCs w:val="24"/>
          <w:highlight w:val="none"/>
        </w:rPr>
        <w:t>质疑将不予受理</w:t>
      </w:r>
      <w:r>
        <w:rPr>
          <w:rFonts w:hint="eastAsia" w:ascii="宋体" w:hAnsi="宋体" w:eastAsia="宋体" w:cs="宋体"/>
          <w:color w:val="auto"/>
          <w:sz w:val="24"/>
          <w:szCs w:val="24"/>
          <w:highlight w:val="none"/>
          <w:lang w:eastAsia="zh-CN"/>
        </w:rPr>
        <w:t>。</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39. </w:t>
      </w:r>
      <w:r>
        <w:rPr>
          <w:rFonts w:hint="eastAsia" w:ascii="宋体" w:hAnsi="宋体" w:eastAsia="宋体" w:cs="宋体"/>
          <w:color w:val="auto"/>
          <w:sz w:val="24"/>
          <w:szCs w:val="24"/>
          <w:highlight w:val="none"/>
        </w:rPr>
        <w:t>受理和处理</w:t>
      </w:r>
    </w:p>
    <w:p>
      <w:pPr>
        <w:pStyle w:val="32"/>
        <w:keepNext w:val="0"/>
        <w:keepLines w:val="0"/>
        <w:pageBreakBefore w:val="0"/>
        <w:widowControl w:val="0"/>
        <w:numPr>
          <w:ilvl w:val="0"/>
          <w:numId w:val="0"/>
        </w:numPr>
        <w:tabs>
          <w:tab w:val="left" w:pos="1448"/>
        </w:tabs>
        <w:kinsoku/>
        <w:wordWrap/>
        <w:overflowPunct/>
        <w:topLinePunct w:val="0"/>
        <w:autoSpaceDE w:val="0"/>
        <w:autoSpaceDN w:val="0"/>
        <w:bidi w:val="0"/>
        <w:adjustRightInd/>
        <w:snapToGrid/>
        <w:spacing w:before="0" w:after="0" w:line="360" w:lineRule="auto"/>
        <w:ind w:right="433" w:rightChars="0" w:firstLine="44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 xml:space="preserve">39.1 </w:t>
      </w:r>
      <w:r>
        <w:rPr>
          <w:rFonts w:hint="eastAsia" w:ascii="宋体" w:hAnsi="宋体" w:eastAsia="宋体" w:cs="宋体"/>
          <w:color w:val="auto"/>
          <w:spacing w:val="-8"/>
          <w:sz w:val="24"/>
          <w:szCs w:val="24"/>
          <w:highlight w:val="none"/>
        </w:rPr>
        <w:t>《质疑函》必须由质疑方的法定代表人或参与本次投标的被授权人以书面的</w:t>
      </w:r>
      <w:r>
        <w:rPr>
          <w:rFonts w:hint="eastAsia" w:ascii="宋体" w:hAnsi="宋体" w:eastAsia="宋体" w:cs="宋体"/>
          <w:color w:val="auto"/>
          <w:sz w:val="24"/>
          <w:szCs w:val="24"/>
          <w:highlight w:val="none"/>
        </w:rPr>
        <w:t>形式送达招标方或采购单位。</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22"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39.2 </w:t>
      </w:r>
      <w:r>
        <w:rPr>
          <w:rFonts w:hint="eastAsia" w:ascii="宋体" w:hAnsi="宋体" w:eastAsia="宋体" w:cs="宋体"/>
          <w:color w:val="auto"/>
          <w:spacing w:val="-6"/>
          <w:sz w:val="24"/>
          <w:szCs w:val="24"/>
          <w:highlight w:val="none"/>
        </w:rPr>
        <w:t>采购人、采购代理机构不得拒收质疑供应商在法定质疑期内发出的质疑函， 应当在收到质疑函后7个工作日内作出答复，并以书面形式通知质疑供应商和其他有关供应商。</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39.3 </w:t>
      </w:r>
      <w:r>
        <w:rPr>
          <w:rFonts w:hint="eastAsia" w:ascii="宋体" w:hAnsi="宋体" w:eastAsia="宋体" w:cs="宋体"/>
          <w:color w:val="auto"/>
          <w:sz w:val="24"/>
          <w:szCs w:val="24"/>
          <w:highlight w:val="none"/>
        </w:rPr>
        <w:t>质疑答复的内容不得涉及商业秘密。</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4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 xml:space="preserve">39.4 </w:t>
      </w:r>
      <w:r>
        <w:rPr>
          <w:rFonts w:hint="eastAsia" w:ascii="宋体" w:hAnsi="宋体" w:eastAsia="宋体" w:cs="宋体"/>
          <w:color w:val="auto"/>
          <w:spacing w:val="-8"/>
          <w:sz w:val="24"/>
          <w:szCs w:val="24"/>
          <w:highlight w:val="none"/>
        </w:rPr>
        <w:t xml:space="preserve">对于不符合上述 </w:t>
      </w:r>
      <w:r>
        <w:rPr>
          <w:rFonts w:hint="eastAsia" w:ascii="宋体" w:hAnsi="宋体" w:eastAsia="宋体" w:cs="宋体"/>
          <w:color w:val="auto"/>
          <w:sz w:val="24"/>
          <w:szCs w:val="24"/>
          <w:highlight w:val="none"/>
        </w:rPr>
        <w:t>38</w:t>
      </w:r>
      <w:r>
        <w:rPr>
          <w:rFonts w:hint="eastAsia" w:ascii="宋体" w:hAnsi="宋体" w:eastAsia="宋体" w:cs="宋体"/>
          <w:color w:val="auto"/>
          <w:spacing w:val="-8"/>
          <w:sz w:val="24"/>
          <w:szCs w:val="24"/>
          <w:highlight w:val="none"/>
        </w:rPr>
        <w:t xml:space="preserve"> 项所述的相关条款要求的质疑，招标方将不予受理。</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4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 xml:space="preserve">39.5 </w:t>
      </w:r>
      <w:r>
        <w:rPr>
          <w:rFonts w:hint="eastAsia" w:ascii="宋体" w:hAnsi="宋体" w:eastAsia="宋体" w:cs="宋体"/>
          <w:color w:val="auto"/>
          <w:spacing w:val="-9"/>
          <w:sz w:val="24"/>
          <w:szCs w:val="24"/>
          <w:highlight w:val="none"/>
        </w:rPr>
        <w:t>在处理过程中，发现需要质疑人进一步补充相关佐证材料的，要求质疑人在</w:t>
      </w:r>
      <w:r>
        <w:rPr>
          <w:rFonts w:hint="eastAsia" w:ascii="宋体" w:hAnsi="宋体" w:eastAsia="宋体" w:cs="宋体"/>
          <w:color w:val="auto"/>
          <w:sz w:val="24"/>
          <w:szCs w:val="24"/>
          <w:highlight w:val="none"/>
        </w:rPr>
        <w:t>规定时间内提供。质疑人不能按照要求提供相关佐证材料的，视同放弃质疑。</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39.6 </w:t>
      </w:r>
      <w:r>
        <w:rPr>
          <w:rFonts w:hint="eastAsia" w:ascii="宋体" w:hAnsi="宋体" w:eastAsia="宋体" w:cs="宋体"/>
          <w:color w:val="auto"/>
          <w:spacing w:val="-5"/>
          <w:sz w:val="24"/>
          <w:szCs w:val="24"/>
          <w:highlight w:val="none"/>
        </w:rPr>
        <w:t>招标方或采购单位负责对质疑的回复工作，将质疑人的质疑材料提供给相关</w:t>
      </w:r>
      <w:r>
        <w:rPr>
          <w:rFonts w:hint="eastAsia" w:ascii="宋体" w:hAnsi="宋体" w:eastAsia="宋体" w:cs="宋体"/>
          <w:color w:val="auto"/>
          <w:sz w:val="24"/>
          <w:szCs w:val="24"/>
          <w:highlight w:val="none"/>
        </w:rPr>
        <w:t>专家或评标委员会，并将处理意见回复质疑人。</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313"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39.7 </w:t>
      </w:r>
      <w:r>
        <w:rPr>
          <w:rFonts w:hint="eastAsia" w:ascii="宋体" w:hAnsi="宋体" w:eastAsia="宋体" w:cs="宋体"/>
          <w:color w:val="auto"/>
          <w:spacing w:val="-3"/>
          <w:sz w:val="24"/>
          <w:szCs w:val="24"/>
          <w:highlight w:val="none"/>
        </w:rPr>
        <w:t>采购人、采购代理机构认为供应商质疑不成立，或者成立但未对中标、成交</w:t>
      </w:r>
      <w:r>
        <w:rPr>
          <w:rFonts w:hint="eastAsia" w:ascii="宋体" w:hAnsi="宋体" w:eastAsia="宋体" w:cs="宋体"/>
          <w:color w:val="auto"/>
          <w:spacing w:val="-11"/>
          <w:sz w:val="24"/>
          <w:szCs w:val="24"/>
          <w:highlight w:val="none"/>
        </w:rPr>
        <w:t>结果构成影响的，继续开展采购活动；认为供应商质疑成立且影响或者可能影响中标、</w:t>
      </w:r>
      <w:r>
        <w:rPr>
          <w:rFonts w:hint="eastAsia" w:ascii="宋体" w:hAnsi="宋体" w:eastAsia="宋体" w:cs="宋体"/>
          <w:color w:val="auto"/>
          <w:sz w:val="24"/>
          <w:szCs w:val="24"/>
          <w:highlight w:val="none"/>
        </w:rPr>
        <w:t>成交结果的，按照下列情况处理：</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362" w:rightChars="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6"/>
          <w:sz w:val="24"/>
          <w:szCs w:val="24"/>
          <w:highlight w:val="none"/>
        </w:rPr>
        <w:t>对采购文件提出的质疑，依法通过澄清或者修改可以继续开展采购活动的， 澄清或者修改采购文件后继续开展采购活动；否则应当修改采购文件后重新开展采购活动。</w:t>
      </w:r>
    </w:p>
    <w:p>
      <w:pPr>
        <w:pStyle w:val="32"/>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60" w:lineRule="auto"/>
        <w:ind w:right="362" w:rightChars="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对采购过程、中标或者成交结果提出的质疑，合格供应商符合法定数量时， </w:t>
      </w:r>
      <w:r>
        <w:rPr>
          <w:rFonts w:hint="eastAsia" w:ascii="宋体" w:hAnsi="宋体" w:eastAsia="宋体" w:cs="宋体"/>
          <w:color w:val="auto"/>
          <w:sz w:val="24"/>
          <w:szCs w:val="24"/>
          <w:highlight w:val="none"/>
        </w:rPr>
        <w:t>可以从合格的中标或者成交候选人中另行确定中标、成交供应商的，应当依法另行确定中标、成交供应商；否则应当重新开展采购活动。</w:t>
      </w:r>
    </w:p>
    <w:p>
      <w:pPr>
        <w:keepNext w:val="0"/>
        <w:keepLines w:val="0"/>
        <w:pageBreakBefore w:val="0"/>
        <w:widowControl w:val="0"/>
        <w:kinsoku/>
        <w:wordWrap/>
        <w:overflowPunct/>
        <w:topLinePunct w:val="0"/>
        <w:autoSpaceDE w:val="0"/>
        <w:autoSpaceDN w:val="0"/>
        <w:bidi w:val="0"/>
        <w:adjustRightInd/>
        <w:snapToGrid/>
        <w:spacing w:before="0" w:line="360" w:lineRule="auto"/>
        <w:ind w:right="482" w:firstLine="480" w:firstLineChars="200"/>
        <w:textAlignment w:val="auto"/>
        <w:rPr>
          <w:rFonts w:hint="eastAsia" w:ascii="宋体" w:hAnsi="宋体" w:eastAsia="宋体" w:cs="宋体"/>
          <w:color w:val="auto"/>
          <w:highlight w:val="none"/>
          <w:lang w:val="zh-CN" w:eastAsia="zh-CN"/>
        </w:rPr>
      </w:pPr>
      <w:r>
        <w:rPr>
          <w:rFonts w:hint="eastAsia" w:ascii="宋体" w:hAnsi="宋体" w:eastAsia="宋体" w:cs="宋体"/>
          <w:color w:val="auto"/>
          <w:sz w:val="24"/>
          <w:szCs w:val="24"/>
          <w:highlight w:val="none"/>
        </w:rPr>
        <w:t>质疑答复导致中标、成交结果改变的，采购人或者采购代理机构应当将有关情况书面报告本级财政部门。</w:t>
      </w:r>
    </w:p>
    <w:p>
      <w:pPr>
        <w:pStyle w:val="11"/>
        <w:keepNext w:val="0"/>
        <w:keepLines w:val="0"/>
        <w:pageBreakBefore w:val="0"/>
        <w:widowControl w:val="0"/>
        <w:numPr>
          <w:ilvl w:val="0"/>
          <w:numId w:val="0"/>
        </w:numPr>
        <w:tabs>
          <w:tab w:val="left" w:pos="1364"/>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质疑无效的处理</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40.1 </w:t>
      </w:r>
      <w:r>
        <w:rPr>
          <w:rFonts w:hint="eastAsia" w:ascii="宋体" w:hAnsi="宋体" w:eastAsia="宋体" w:cs="宋体"/>
          <w:color w:val="auto"/>
          <w:spacing w:val="-4"/>
          <w:sz w:val="24"/>
          <w:szCs w:val="24"/>
          <w:highlight w:val="none"/>
        </w:rPr>
        <w:t>质疑人提供的相关佐证材料不能证明质疑成立的，招标方可要求质疑人补充</w:t>
      </w:r>
      <w:r>
        <w:rPr>
          <w:rFonts w:hint="eastAsia" w:ascii="宋体" w:hAnsi="宋体" w:eastAsia="宋体" w:cs="宋体"/>
          <w:color w:val="auto"/>
          <w:sz w:val="24"/>
          <w:szCs w:val="24"/>
          <w:highlight w:val="none"/>
        </w:rPr>
        <w:t>相关佐证材料，如补充材料仍不能证明质疑成立的，将不予受理。</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40.2 </w:t>
      </w:r>
      <w:r>
        <w:rPr>
          <w:rFonts w:hint="eastAsia" w:ascii="宋体" w:hAnsi="宋体" w:eastAsia="宋体" w:cs="宋体"/>
          <w:color w:val="auto"/>
          <w:sz w:val="24"/>
          <w:szCs w:val="24"/>
          <w:highlight w:val="none"/>
        </w:rPr>
        <w:t>对于质疑人在质疑期间不配合进行质疑调查处理的，视为自动放弃质疑。</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40.3 </w:t>
      </w:r>
      <w:r>
        <w:rPr>
          <w:rFonts w:hint="eastAsia" w:ascii="宋体" w:hAnsi="宋体" w:eastAsia="宋体" w:cs="宋体"/>
          <w:color w:val="auto"/>
          <w:sz w:val="24"/>
          <w:szCs w:val="24"/>
          <w:highlight w:val="none"/>
        </w:rPr>
        <w:t>质疑人提出的质疑，经评标专家审定后驳回的，列为无效质疑。</w:t>
      </w:r>
    </w:p>
    <w:p>
      <w:pPr>
        <w:pStyle w:val="32"/>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360" w:lineRule="auto"/>
        <w:ind w:right="433" w:rightChars="0" w:firstLine="4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 xml:space="preserve">40.4 </w:t>
      </w:r>
      <w:r>
        <w:rPr>
          <w:rFonts w:hint="eastAsia" w:ascii="宋体" w:hAnsi="宋体" w:eastAsia="宋体" w:cs="宋体"/>
          <w:color w:val="auto"/>
          <w:spacing w:val="-5"/>
          <w:sz w:val="24"/>
          <w:szCs w:val="24"/>
          <w:highlight w:val="none"/>
        </w:rPr>
        <w:t>对于质疑中使用虚假材料或恶意方式质疑的，按无效质疑处理，并列入不良</w:t>
      </w:r>
      <w:r>
        <w:rPr>
          <w:rFonts w:hint="eastAsia" w:ascii="宋体" w:hAnsi="宋体" w:eastAsia="宋体" w:cs="宋体"/>
          <w:color w:val="auto"/>
          <w:sz w:val="24"/>
          <w:szCs w:val="24"/>
          <w:highlight w:val="none"/>
        </w:rPr>
        <w:t>记录供应商名单。</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40.5 </w:t>
      </w:r>
      <w:r>
        <w:rPr>
          <w:rFonts w:hint="eastAsia" w:ascii="宋体" w:hAnsi="宋体" w:eastAsia="宋体" w:cs="宋体"/>
          <w:color w:val="auto"/>
          <w:spacing w:val="-3"/>
          <w:sz w:val="24"/>
          <w:szCs w:val="24"/>
          <w:highlight w:val="none"/>
        </w:rPr>
        <w:t>质疑人进行质疑后，招标方在法定时间内对质疑进行回复，质疑人认为回复</w:t>
      </w:r>
      <w:r>
        <w:rPr>
          <w:rFonts w:hint="eastAsia" w:ascii="宋体" w:hAnsi="宋体" w:eastAsia="宋体" w:cs="宋体"/>
          <w:color w:val="auto"/>
          <w:sz w:val="24"/>
          <w:szCs w:val="24"/>
          <w:highlight w:val="none"/>
        </w:rPr>
        <w:t>不满意的，可向相关的采购管理部门进行投诉。</w:t>
      </w:r>
    </w:p>
    <w:p>
      <w:pPr>
        <w:pStyle w:val="11"/>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其他</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41.1 </w:t>
      </w:r>
      <w:r>
        <w:rPr>
          <w:rFonts w:hint="eastAsia" w:ascii="宋体" w:hAnsi="宋体" w:eastAsia="宋体" w:cs="宋体"/>
          <w:color w:val="auto"/>
          <w:sz w:val="24"/>
          <w:szCs w:val="24"/>
          <w:highlight w:val="none"/>
        </w:rPr>
        <w:t>质疑函和投诉书应当使用中文。质疑函和投诉书的范本，由财政部制定。</w:t>
      </w:r>
    </w:p>
    <w:p>
      <w:pPr>
        <w:pStyle w:val="32"/>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360" w:lineRule="auto"/>
        <w:ind w:right="433" w:rightChars="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41.2 </w:t>
      </w:r>
      <w:r>
        <w:rPr>
          <w:rFonts w:hint="eastAsia" w:ascii="宋体" w:hAnsi="宋体" w:eastAsia="宋体" w:cs="宋体"/>
          <w:color w:val="auto"/>
          <w:spacing w:val="-3"/>
          <w:sz w:val="24"/>
          <w:szCs w:val="24"/>
          <w:highlight w:val="none"/>
        </w:rPr>
        <w:t>对在质疑答复和投诉处理过程中知悉的国家秘密、商业秘密、个人隐私和依</w:t>
      </w:r>
      <w:r>
        <w:rPr>
          <w:rFonts w:hint="eastAsia" w:ascii="宋体" w:hAnsi="宋体" w:eastAsia="宋体" w:cs="宋体"/>
          <w:color w:val="auto"/>
          <w:sz w:val="24"/>
          <w:szCs w:val="24"/>
          <w:highlight w:val="none"/>
        </w:rPr>
        <w:t>法不予公开的信息，财政部门、采购人、采购代理机构等相关知情人应当保密。</w:t>
      </w:r>
    </w:p>
    <w:p>
      <w:pPr>
        <w:tabs>
          <w:tab w:val="left" w:pos="2099"/>
        </w:tabs>
        <w:bidi w:val="0"/>
        <w:jc w:val="left"/>
        <w:rPr>
          <w:rFonts w:hint="eastAsia" w:ascii="宋体" w:hAnsi="宋体" w:eastAsia="宋体" w:cs="宋体"/>
          <w:color w:val="auto"/>
          <w:highlight w:val="none"/>
          <w:lang w:val="zh-CN" w:eastAsia="zh-CN"/>
        </w:rPr>
        <w:sectPr>
          <w:footerReference r:id="rId7" w:type="default"/>
          <w:pgSz w:w="11910" w:h="16840"/>
          <w:pgMar w:top="1134" w:right="1134" w:bottom="1134" w:left="1134" w:header="0" w:footer="998" w:gutter="0"/>
          <w:cols w:space="0" w:num="1"/>
          <w:rtlGutter w:val="0"/>
          <w:docGrid w:linePitch="0" w:charSpace="0"/>
        </w:sectPr>
      </w:pPr>
    </w:p>
    <w:p>
      <w:pPr>
        <w:pStyle w:val="5"/>
        <w:keepNext w:val="0"/>
        <w:keepLines w:val="0"/>
        <w:pageBreakBefore w:val="0"/>
        <w:widowControl w:val="0"/>
        <w:tabs>
          <w:tab w:val="left" w:pos="1807"/>
        </w:tabs>
        <w:kinsoku/>
        <w:wordWrap/>
        <w:overflowPunct/>
        <w:topLinePunct w:val="0"/>
        <w:autoSpaceDE w:val="0"/>
        <w:autoSpaceDN w:val="0"/>
        <w:bidi w:val="0"/>
        <w:adjustRightInd/>
        <w:snapToGrid/>
        <w:spacing w:before="0" w:line="360" w:lineRule="auto"/>
        <w:ind w:right="397"/>
        <w:textAlignment w:val="auto"/>
        <w:rPr>
          <w:rFonts w:hint="eastAsia" w:ascii="宋体" w:hAnsi="宋体" w:eastAsia="宋体" w:cs="宋体"/>
          <w:color w:val="auto"/>
          <w:highlight w:val="none"/>
        </w:rPr>
      </w:pPr>
      <w:bookmarkStart w:id="15" w:name="第八章  其 他"/>
      <w:bookmarkEnd w:id="15"/>
      <w:bookmarkStart w:id="16" w:name="第九章  质疑的提出及处理"/>
      <w:bookmarkEnd w:id="16"/>
      <w:r>
        <w:rPr>
          <w:rFonts w:hint="eastAsia" w:ascii="宋体" w:hAnsi="宋体" w:eastAsia="宋体" w:cs="宋体"/>
          <w:color w:val="auto"/>
          <w:highlight w:val="none"/>
        </w:rPr>
        <w:t>第三部分</w:t>
      </w:r>
      <w:r>
        <w:rPr>
          <w:rFonts w:hint="eastAsia" w:ascii="宋体" w:hAnsi="宋体" w:eastAsia="宋体" w:cs="宋体"/>
          <w:color w:val="auto"/>
          <w:highlight w:val="none"/>
        </w:rPr>
        <w:tab/>
      </w:r>
      <w:r>
        <w:rPr>
          <w:rFonts w:hint="eastAsia" w:ascii="宋体" w:hAnsi="宋体" w:eastAsia="宋体" w:cs="宋体"/>
          <w:color w:val="auto"/>
          <w:highlight w:val="none"/>
        </w:rPr>
        <w:t>采购内容及技术参数要求</w:t>
      </w:r>
    </w:p>
    <w:p>
      <w:pPr>
        <w:spacing w:line="360" w:lineRule="auto"/>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lang w:val="en-US" w:eastAsia="zh-CN"/>
        </w:rPr>
        <w:t>新疆铁道职业技术学院</w:t>
      </w:r>
      <w:r>
        <w:rPr>
          <w:rFonts w:hint="eastAsia" w:ascii="宋体" w:hAnsi="宋体" w:eastAsia="宋体" w:cs="宋体"/>
          <w:b w:val="0"/>
          <w:bCs/>
          <w:color w:val="auto"/>
          <w:sz w:val="32"/>
          <w:szCs w:val="32"/>
          <w:highlight w:val="none"/>
        </w:rPr>
        <w:t>1+X列车运行控制系统地面信号设备运用与维护实训室</w:t>
      </w:r>
      <w:r>
        <w:rPr>
          <w:rFonts w:hint="eastAsia" w:ascii="宋体" w:hAnsi="宋体" w:eastAsia="宋体" w:cs="宋体"/>
          <w:b w:val="0"/>
          <w:bCs/>
          <w:color w:val="auto"/>
          <w:sz w:val="32"/>
          <w:szCs w:val="32"/>
          <w:highlight w:val="none"/>
          <w:lang w:val="en-US" w:eastAsia="zh-CN"/>
        </w:rPr>
        <w:t>建设</w:t>
      </w:r>
      <w:r>
        <w:rPr>
          <w:rFonts w:hint="eastAsia" w:ascii="宋体" w:hAnsi="宋体" w:eastAsia="宋体" w:cs="宋体"/>
          <w:b w:val="0"/>
          <w:bCs/>
          <w:color w:val="auto"/>
          <w:sz w:val="32"/>
          <w:szCs w:val="32"/>
          <w:highlight w:val="none"/>
        </w:rPr>
        <w:t>项目</w:t>
      </w:r>
      <w:bookmarkStart w:id="17" w:name="_Toc20991"/>
    </w:p>
    <w:bookmarkEnd w:id="17"/>
    <w:p>
      <w:pPr>
        <w:pStyle w:val="5"/>
        <w:numPr>
          <w:ilvl w:val="1"/>
          <w:numId w:val="0"/>
        </w:numPr>
        <w:tabs>
          <w:tab w:val="left" w:pos="709"/>
          <w:tab w:val="left" w:pos="993"/>
        </w:tabs>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一、</w:t>
      </w:r>
      <w:r>
        <w:rPr>
          <w:rFonts w:hint="eastAsia" w:ascii="宋体" w:hAnsi="宋体" w:eastAsia="宋体" w:cs="宋体"/>
          <w:b w:val="0"/>
          <w:bCs w:val="0"/>
          <w:color w:val="auto"/>
          <w:highlight w:val="none"/>
        </w:rPr>
        <w:t>建设内容</w:t>
      </w:r>
    </w:p>
    <w:p>
      <w:pPr>
        <w:pStyle w:val="3"/>
        <w:ind w:firstLine="480"/>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列车运行控制系统现场信号设备实训系统包含实物平台（区间自动闭塞及ZPW2000移频轨道电路实训台、LEU及应答器实训台）、虚拟平台两部分。</w:t>
      </w:r>
    </w:p>
    <w:p>
      <w:pPr>
        <w:pStyle w:val="3"/>
        <w:ind w:firstLine="199" w:firstLineChars="83"/>
        <w:rPr>
          <w:rFonts w:hint="eastAsia" w:ascii="宋体" w:hAnsi="宋体" w:eastAsia="宋体" w:cs="宋体"/>
          <w:iCs/>
          <w:color w:val="auto"/>
          <w:sz w:val="24"/>
          <w:highlight w:val="none"/>
        </w:rPr>
      </w:pPr>
    </w:p>
    <w:p>
      <w:pPr>
        <w:pStyle w:val="3"/>
        <w:ind w:firstLine="199" w:firstLineChars="83"/>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1、实物平台</w:t>
      </w:r>
    </w:p>
    <w:p>
      <w:pPr>
        <w:pStyle w:val="3"/>
        <w:spacing w:line="520" w:lineRule="exact"/>
        <w:ind w:firstLine="182" w:firstLineChars="8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3"/>
        <w:spacing w:line="520" w:lineRule="exact"/>
        <w:ind w:left="0" w:leftChars="0" w:firstLine="0" w:firstLineChars="0"/>
        <w:rPr>
          <w:rFonts w:hint="eastAsia" w:ascii="宋体" w:hAnsi="宋体" w:eastAsia="宋体" w:cs="宋体"/>
          <w:color w:val="auto"/>
          <w:highlight w:val="none"/>
        </w:rPr>
      </w:pPr>
    </w:p>
    <w:p>
      <w:pPr>
        <w:pStyle w:val="3"/>
        <w:spacing w:line="520" w:lineRule="exact"/>
        <w:ind w:firstLine="182" w:firstLineChars="83"/>
        <w:rPr>
          <w:rFonts w:hint="eastAsia" w:ascii="宋体" w:hAnsi="宋体" w:eastAsia="宋体" w:cs="宋体"/>
          <w:color w:val="auto"/>
          <w:highlight w:val="none"/>
        </w:rPr>
      </w:pPr>
      <w:r>
        <w:rPr>
          <w:rFonts w:hint="eastAsia" w:ascii="宋体" w:hAnsi="宋体" w:eastAsia="宋体" w:cs="宋体"/>
          <w:color w:val="auto"/>
          <w:highlight w:val="none"/>
        </w:rPr>
        <w:pict>
          <v:shape id="Object 1" o:spid="_x0000_s1026" o:spt="75" type="#_x0000_t75" style="position:absolute;left:0pt;margin-left:78.05pt;margin-top:299.25pt;height:130.15pt;width:414.85pt;mso-position-horizontal-relative:page;mso-position-vertical-relative:page;z-index:251671552;mso-width-relative:page;mso-height-relative:page;" o:ole="t" filled="f" o:preferrelative="t" stroked="f" coordsize="21600,21600">
            <v:path/>
            <v:fill on="f" focussize="0,0"/>
            <v:stroke on="f"/>
            <v:imagedata r:id="rId13" o:title=""/>
            <o:lock v:ext="edit" aspectratio="t"/>
          </v:shape>
          <o:OLEObject Type="Embed" ProgID="" ShapeID="Object 1" DrawAspect="Content" ObjectID="_1468075725" r:id="rId12">
            <o:LockedField>false</o:LockedField>
          </o:OLEObject>
        </w:pict>
      </w:r>
    </w:p>
    <w:p>
      <w:pPr>
        <w:pStyle w:val="3"/>
        <w:spacing w:line="520" w:lineRule="exact"/>
        <w:ind w:firstLine="182" w:firstLineChars="83"/>
        <w:rPr>
          <w:rFonts w:hint="eastAsia" w:ascii="宋体" w:hAnsi="宋体" w:eastAsia="宋体" w:cs="宋体"/>
          <w:color w:val="auto"/>
          <w:highlight w:val="none"/>
        </w:rPr>
      </w:pPr>
    </w:p>
    <w:p>
      <w:pPr>
        <w:pStyle w:val="3"/>
        <w:spacing w:line="520" w:lineRule="exact"/>
        <w:ind w:firstLine="182" w:firstLineChars="83"/>
        <w:rPr>
          <w:rFonts w:hint="eastAsia" w:ascii="宋体" w:hAnsi="宋体" w:eastAsia="宋体" w:cs="宋体"/>
          <w:color w:val="auto"/>
          <w:highlight w:val="none"/>
        </w:rPr>
      </w:pPr>
    </w:p>
    <w:p>
      <w:pPr>
        <w:pStyle w:val="3"/>
        <w:spacing w:line="520" w:lineRule="exact"/>
        <w:ind w:firstLine="182" w:firstLineChars="83"/>
        <w:rPr>
          <w:rFonts w:hint="eastAsia" w:ascii="宋体" w:hAnsi="宋体" w:eastAsia="宋体" w:cs="宋体"/>
          <w:color w:val="auto"/>
          <w:highlight w:val="none"/>
        </w:rPr>
      </w:pPr>
    </w:p>
    <w:p>
      <w:pPr>
        <w:pStyle w:val="3"/>
        <w:spacing w:line="520" w:lineRule="exact"/>
        <w:ind w:firstLine="182" w:firstLineChars="83"/>
        <w:rPr>
          <w:rFonts w:hint="eastAsia" w:ascii="宋体" w:hAnsi="宋体" w:eastAsia="宋体" w:cs="宋体"/>
          <w:color w:val="auto"/>
          <w:highlight w:val="none"/>
        </w:rPr>
      </w:pPr>
    </w:p>
    <w:p>
      <w:pPr>
        <w:pStyle w:val="3"/>
        <w:spacing w:line="520" w:lineRule="exact"/>
        <w:ind w:firstLine="182" w:firstLineChars="83"/>
        <w:rPr>
          <w:rFonts w:hint="eastAsia" w:ascii="宋体" w:hAnsi="宋体" w:eastAsia="宋体" w:cs="宋体"/>
          <w:color w:val="auto"/>
          <w:highlight w:val="none"/>
        </w:rPr>
      </w:pPr>
    </w:p>
    <w:p>
      <w:pPr>
        <w:pStyle w:val="3"/>
        <w:spacing w:line="520" w:lineRule="exact"/>
        <w:ind w:firstLine="182" w:firstLineChars="83"/>
        <w:rPr>
          <w:rFonts w:hint="eastAsia" w:ascii="宋体" w:hAnsi="宋体" w:eastAsia="宋体" w:cs="宋体"/>
          <w:iCs/>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实物平台设备结构图</w:t>
      </w:r>
    </w:p>
    <w:p>
      <w:pPr>
        <w:spacing w:line="520" w:lineRule="exact"/>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1.1区间自动闭塞及ZPW2000移频轨道电路实训台</w:t>
      </w:r>
    </w:p>
    <w:p>
      <w:pPr>
        <w:spacing w:line="520" w:lineRule="exact"/>
        <w:ind w:firstLine="480"/>
        <w:rPr>
          <w:rFonts w:hint="eastAsia" w:ascii="宋体" w:hAnsi="宋体" w:eastAsia="宋体" w:cs="宋体"/>
          <w:b/>
          <w:bCs/>
          <w:color w:val="auto"/>
          <w:sz w:val="24"/>
          <w:highlight w:val="none"/>
        </w:rPr>
      </w:pPr>
      <w:bookmarkStart w:id="18" w:name="_Toc30619"/>
      <w:bookmarkStart w:id="19" w:name="_Toc66049789"/>
      <w:bookmarkStart w:id="20" w:name="_Toc68192019"/>
      <w:r>
        <w:rPr>
          <w:rFonts w:hint="eastAsia" w:ascii="宋体" w:hAnsi="宋体" w:eastAsia="宋体" w:cs="宋体"/>
          <w:b/>
          <w:bCs/>
          <w:color w:val="auto"/>
          <w:sz w:val="24"/>
          <w:highlight w:val="none"/>
        </w:rPr>
        <w:t>1）</w:t>
      </w:r>
      <w:bookmarkEnd w:id="18"/>
      <w:bookmarkEnd w:id="19"/>
      <w:r>
        <w:rPr>
          <w:rFonts w:hint="eastAsia" w:ascii="宋体" w:hAnsi="宋体" w:eastAsia="宋体" w:cs="宋体"/>
          <w:b/>
          <w:bCs/>
          <w:color w:val="auto"/>
          <w:sz w:val="24"/>
          <w:highlight w:val="none"/>
        </w:rPr>
        <w:t>构成</w:t>
      </w:r>
      <w:bookmarkEnd w:id="20"/>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平台由组合柜，考核实作台、FIU单元、分线盘及接口架、改方继电器组合、区间信号机继电器组合、故障考核系统、集中监测终端、区间信号机、ZWP2000K客专移频轨道电路室内外设备等组成，拓展功能组件包括转辙机及继电器组合。</w:t>
      </w:r>
    </w:p>
    <w:p>
      <w:pPr>
        <w:adjustRightInd w:val="0"/>
        <w:rPr>
          <w:rFonts w:hint="eastAsia" w:ascii="宋体" w:hAnsi="宋体" w:eastAsia="宋体" w:cs="宋体"/>
          <w:color w:val="auto"/>
          <w:sz w:val="24"/>
          <w:highlight w:val="none"/>
        </w:rPr>
      </w:pPr>
      <w:r>
        <w:rPr>
          <w:rFonts w:hint="eastAsia" w:ascii="宋体" w:hAnsi="宋体" w:eastAsia="宋体" w:cs="宋体"/>
          <w:color w:val="auto"/>
          <w:highlight w:val="none"/>
        </w:rPr>
        <w:drawing>
          <wp:inline distT="0" distB="0" distL="114300" distR="114300">
            <wp:extent cx="5611495" cy="2892425"/>
            <wp:effectExtent l="0" t="0" r="8255"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611495" cy="2892425"/>
                    </a:xfrm>
                    <a:prstGeom prst="rect">
                      <a:avLst/>
                    </a:prstGeom>
                    <a:noFill/>
                    <a:ln>
                      <a:noFill/>
                    </a:ln>
                  </pic:spPr>
                </pic:pic>
              </a:graphicData>
            </a:graphic>
          </wp:inline>
        </w:drawing>
      </w:r>
    </w:p>
    <w:p>
      <w:pPr>
        <w:adjustRightInd w:val="0"/>
        <w:spacing w:line="288"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设备示意图</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组合柜：铁路信号组合柜，尺寸</w:t>
      </w:r>
      <w:r>
        <w:rPr>
          <w:rFonts w:hint="eastAsia" w:ascii="宋体" w:hAnsi="宋体" w:eastAsia="宋体" w:cs="宋体"/>
          <w:color w:val="auto"/>
          <w:sz w:val="24"/>
          <w:highlight w:val="none"/>
          <w:lang w:val="en-US" w:eastAsia="zh-CN"/>
        </w:rPr>
        <w:t>不小于</w:t>
      </w:r>
      <w:r>
        <w:rPr>
          <w:rFonts w:hint="eastAsia" w:ascii="宋体" w:hAnsi="宋体" w:eastAsia="宋体" w:cs="宋体"/>
          <w:color w:val="auto"/>
          <w:sz w:val="24"/>
          <w:highlight w:val="none"/>
        </w:rPr>
        <w:t>960*500*1600（宽*深*高），放置电源零层，继电器组合，移频发送器，接收器，衰耗器，分线盘及接口架，FIU单元等，主要完成信号设备的控制执行，及配线故障实现等。</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考核实作台：尺寸</w:t>
      </w:r>
      <w:r>
        <w:rPr>
          <w:rFonts w:hint="eastAsia" w:ascii="宋体" w:hAnsi="宋体" w:eastAsia="宋体" w:cs="宋体"/>
          <w:color w:val="auto"/>
          <w:sz w:val="24"/>
          <w:highlight w:val="none"/>
          <w:lang w:val="en-US" w:eastAsia="zh-CN"/>
        </w:rPr>
        <w:t>不小于6</w:t>
      </w:r>
      <w:r>
        <w:rPr>
          <w:rFonts w:hint="eastAsia" w:ascii="宋体" w:hAnsi="宋体" w:eastAsia="宋体" w:cs="宋体"/>
          <w:color w:val="auto"/>
          <w:sz w:val="24"/>
          <w:highlight w:val="none"/>
        </w:rPr>
        <w:t>00*900*750（宽*深*高），主控台内部放置工控机、及电源端子。桌面放置放置显示器，键盘鼠标等。该操作台为实训台人机操作界面，如集中监测终端，故障考核终端等，主要完成实训台的操控、故障设置、及考试考核等。</w:t>
      </w:r>
    </w:p>
    <w:p>
      <w:pPr>
        <w:spacing w:line="520" w:lineRule="exact"/>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2）功能</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区间移频轨道电路的占用、空闲、断轨、机车低频发码等功能；</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移频轨道电路的发送报警器故障功能；</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区间改方功能；</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区间信号机点灯功能；</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ZPW2000K移频轨道电路运行电气参数监测功能；</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区间信号机运行电气参数实时监测功能；</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交流转辙机定操、反操电路控制功能；</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交流转辙机定位、反位表示功能；</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同总控台连接后，实现完整站场的列控业务逻辑功能。</w:t>
      </w:r>
    </w:p>
    <w:p>
      <w:pPr>
        <w:spacing w:line="520" w:lineRule="exact"/>
        <w:ind w:firstLine="480"/>
        <w:rPr>
          <w:rFonts w:hint="eastAsia" w:ascii="宋体" w:hAnsi="宋体" w:eastAsia="宋体" w:cs="宋体"/>
          <w:b/>
          <w:bCs/>
          <w:color w:val="auto"/>
          <w:sz w:val="24"/>
          <w:highlight w:val="none"/>
        </w:rPr>
      </w:pPr>
      <w:bookmarkStart w:id="21" w:name="_Toc68192021"/>
      <w:r>
        <w:rPr>
          <w:rFonts w:hint="eastAsia" w:ascii="宋体" w:hAnsi="宋体" w:eastAsia="宋体" w:cs="宋体"/>
          <w:b/>
          <w:bCs/>
          <w:color w:val="auto"/>
          <w:sz w:val="24"/>
          <w:highlight w:val="none"/>
        </w:rPr>
        <w:t>1.2LEU及应答器实训台介绍</w:t>
      </w:r>
      <w:bookmarkEnd w:id="21"/>
    </w:p>
    <w:p>
      <w:pPr>
        <w:spacing w:line="520" w:lineRule="exact"/>
        <w:ind w:firstLine="480"/>
        <w:rPr>
          <w:rFonts w:hint="eastAsia" w:ascii="宋体" w:hAnsi="宋体" w:eastAsia="宋体" w:cs="宋体"/>
          <w:b/>
          <w:bCs/>
          <w:color w:val="auto"/>
          <w:sz w:val="24"/>
          <w:highlight w:val="none"/>
        </w:rPr>
      </w:pPr>
      <w:bookmarkStart w:id="22" w:name="_Toc66049792"/>
      <w:bookmarkStart w:id="23" w:name="_Toc7587"/>
      <w:bookmarkStart w:id="24" w:name="_Toc68192023"/>
      <w:r>
        <w:rPr>
          <w:rFonts w:hint="eastAsia" w:ascii="宋体" w:hAnsi="宋体" w:eastAsia="宋体" w:cs="宋体"/>
          <w:b/>
          <w:bCs/>
          <w:color w:val="auto"/>
          <w:sz w:val="24"/>
          <w:highlight w:val="none"/>
        </w:rPr>
        <w:t>1）LEU及应答器实训台</w:t>
      </w:r>
      <w:bookmarkEnd w:id="22"/>
      <w:bookmarkEnd w:id="23"/>
      <w:r>
        <w:rPr>
          <w:rFonts w:hint="eastAsia" w:ascii="宋体" w:hAnsi="宋体" w:eastAsia="宋体" w:cs="宋体"/>
          <w:b/>
          <w:bCs/>
          <w:color w:val="auto"/>
          <w:sz w:val="24"/>
          <w:highlight w:val="none"/>
        </w:rPr>
        <w:t>系统构成</w:t>
      </w:r>
      <w:bookmarkEnd w:id="24"/>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平台由组合柜，考核实作台、FIU单元、分线盘及接口架、LEU、应答器、故障考核系统、集中监测终端等组成。</w:t>
      </w:r>
    </w:p>
    <w:p>
      <w:pPr>
        <w:adjustRightInd w:val="0"/>
        <w:ind w:firstLine="4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drawing>
          <wp:inline distT="0" distB="0" distL="114300" distR="114300">
            <wp:extent cx="4145280" cy="2457450"/>
            <wp:effectExtent l="0" t="0" r="7620" b="0"/>
            <wp:docPr id="7" name="图片 2" descr="16143470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614347076(1)"/>
                    <pic:cNvPicPr>
                      <a:picLocks noChangeAspect="1"/>
                    </pic:cNvPicPr>
                  </pic:nvPicPr>
                  <pic:blipFill>
                    <a:blip r:embed="rId15"/>
                    <a:stretch>
                      <a:fillRect/>
                    </a:stretch>
                  </pic:blipFill>
                  <pic:spPr>
                    <a:xfrm>
                      <a:off x="0" y="0"/>
                      <a:ext cx="4145280" cy="2457450"/>
                    </a:xfrm>
                    <a:prstGeom prst="rect">
                      <a:avLst/>
                    </a:prstGeom>
                    <a:noFill/>
                    <a:ln>
                      <a:noFill/>
                    </a:ln>
                  </pic:spPr>
                </pic:pic>
              </a:graphicData>
            </a:graphic>
          </wp:inline>
        </w:drawing>
      </w:r>
    </w:p>
    <w:p>
      <w:pPr>
        <w:adjustRightInd w:val="0"/>
        <w:spacing w:line="288" w:lineRule="auto"/>
        <w:ind w:firstLine="4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设备示意图</w:t>
      </w:r>
    </w:p>
    <w:p>
      <w:pPr>
        <w:adjustRightInd w:val="0"/>
        <w:spacing w:line="288" w:lineRule="auto"/>
        <w:ind w:firstLine="420"/>
        <w:jc w:val="center"/>
        <w:rPr>
          <w:rFonts w:hint="eastAsia" w:ascii="宋体" w:hAnsi="宋体" w:eastAsia="宋体" w:cs="宋体"/>
          <w:color w:val="auto"/>
          <w:sz w:val="24"/>
          <w:highlight w:val="none"/>
        </w:rPr>
      </w:pP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应答器：铁路客专有源应答器设备。</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考核实作台：尺寸</w:t>
      </w:r>
      <w:r>
        <w:rPr>
          <w:rFonts w:hint="eastAsia" w:ascii="宋体" w:hAnsi="宋体" w:eastAsia="宋体" w:cs="宋体"/>
          <w:color w:val="auto"/>
          <w:sz w:val="24"/>
          <w:highlight w:val="none"/>
          <w:lang w:val="en-US" w:eastAsia="zh-CN"/>
        </w:rPr>
        <w:t>不小于6</w:t>
      </w:r>
      <w:r>
        <w:rPr>
          <w:rFonts w:hint="eastAsia" w:ascii="宋体" w:hAnsi="宋体" w:eastAsia="宋体" w:cs="宋体"/>
          <w:color w:val="auto"/>
          <w:sz w:val="24"/>
          <w:highlight w:val="none"/>
        </w:rPr>
        <w:t>00*900*750（宽*深*高），主控台内部放置工控机、LEU。桌面放置放置显示器，键盘鼠标等。该操作台为实训台人机操作界面，如集中监测终端，故障考核终端等，主要完成实训台的操控、故障设置、及考试考核等。</w:t>
      </w:r>
    </w:p>
    <w:p>
      <w:pPr>
        <w:spacing w:line="520" w:lineRule="exact"/>
        <w:ind w:firstLine="480"/>
        <w:rPr>
          <w:rFonts w:hint="eastAsia" w:ascii="宋体" w:hAnsi="宋体" w:eastAsia="宋体" w:cs="宋体"/>
          <w:b/>
          <w:bCs/>
          <w:color w:val="auto"/>
          <w:sz w:val="24"/>
          <w:highlight w:val="none"/>
        </w:rPr>
      </w:pPr>
      <w:bookmarkStart w:id="25" w:name="_Toc68192024"/>
      <w:r>
        <w:rPr>
          <w:rFonts w:hint="eastAsia" w:ascii="宋体" w:hAnsi="宋体" w:eastAsia="宋体" w:cs="宋体"/>
          <w:b/>
          <w:bCs/>
          <w:color w:val="auto"/>
          <w:sz w:val="24"/>
          <w:highlight w:val="none"/>
        </w:rPr>
        <w:t>2）功能</w:t>
      </w:r>
      <w:bookmarkEnd w:id="25"/>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应答器报文数据读取实操；</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应答器报文烧写实操；</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轨旁电子单元LEU调试实操；</w:t>
      </w:r>
    </w:p>
    <w:p>
      <w:pPr>
        <w:numPr>
          <w:ilvl w:val="0"/>
          <w:numId w:val="2"/>
        </w:num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同总控台连接后，实现完整列车作业任务逻辑功能。</w:t>
      </w:r>
    </w:p>
    <w:p>
      <w:pPr>
        <w:spacing w:line="520" w:lineRule="exact"/>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2.虚拟平台</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虚拟平台利用3D仿真技术还原现场作业环境。平台包含与真实逻辑一致的列控、联锁、集中监测主控软件，满足实训考核各项要求。</w:t>
      </w:r>
    </w:p>
    <w:p>
      <w:pPr>
        <w:pStyle w:val="44"/>
        <w:rPr>
          <w:rFonts w:hint="eastAsia" w:ascii="宋体" w:hAnsi="宋体" w:eastAsia="宋体" w:cs="宋体"/>
          <w:color w:val="auto"/>
          <w:highlight w:val="none"/>
        </w:rPr>
      </w:pPr>
      <w:r>
        <w:rPr>
          <w:rFonts w:hint="eastAsia" w:ascii="宋体" w:hAnsi="宋体" w:eastAsia="宋体" w:cs="宋体"/>
          <w:color w:val="auto"/>
          <w:highlight w:val="none"/>
        </w:rPr>
        <w:object>
          <v:shape id="_x0000_i1025" o:spt="75" type="#_x0000_t75" style="height:89.7pt;width:461.75pt;" o:ole="t" filled="f" o:preferrelative="t" stroked="f" coordsize="21600,21600">
            <v:path/>
            <v:fill on="f" focussize="0,0"/>
            <v:stroke on="f"/>
            <v:imagedata r:id="rId17" croptop="20747f" o:title=""/>
            <o:lock v:ext="edit" aspectratio="f"/>
            <w10:wrap type="none"/>
            <w10:anchorlock/>
          </v:shape>
          <o:OLEObject Type="Embed" ProgID="Visio.Drawing.15" ShapeID="_x0000_i1025" DrawAspect="Content" ObjectID="_1468075726" r:id="rId16">
            <o:LockedField>false</o:LockedField>
          </o:OLEObject>
        </w:object>
      </w:r>
    </w:p>
    <w:p>
      <w:pPr>
        <w:tabs>
          <w:tab w:val="left" w:pos="0"/>
          <w:tab w:val="left" w:pos="180"/>
        </w:tabs>
        <w:adjustRightInd w:val="0"/>
        <w:snapToGrid w:val="0"/>
        <w:ind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虚拟平台设备结构图</w:t>
      </w:r>
    </w:p>
    <w:p>
      <w:pPr>
        <w:pStyle w:val="12"/>
        <w:rPr>
          <w:rFonts w:hint="eastAsia"/>
          <w:color w:val="auto"/>
          <w:highlight w:val="none"/>
          <w:lang w:val="en-US" w:eastAsia="zh-CN"/>
        </w:rPr>
      </w:pPr>
    </w:p>
    <w:p>
      <w:pPr>
        <w:jc w:val="left"/>
        <w:rPr>
          <w:rFonts w:hint="eastAsia" w:ascii="宋体" w:hAnsi="宋体" w:eastAsia="宋体" w:cs="宋体"/>
          <w:color w:val="auto"/>
          <w:sz w:val="24"/>
          <w:highlight w:val="none"/>
        </w:rPr>
      </w:pPr>
    </w:p>
    <w:p>
      <w:pPr>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 xml:space="preserve"> 1+X列车运行控制系统地面信号设备运用与维护实训室</w:t>
      </w:r>
      <w:r>
        <w:rPr>
          <w:rFonts w:hint="eastAsia" w:ascii="宋体" w:hAnsi="宋体" w:eastAsia="宋体" w:cs="宋体"/>
          <w:b/>
          <w:bCs/>
          <w:color w:val="auto"/>
          <w:sz w:val="28"/>
          <w:szCs w:val="28"/>
          <w:highlight w:val="none"/>
          <w:lang w:eastAsia="zh-CN"/>
        </w:rPr>
        <w:t>采购需求</w:t>
      </w:r>
      <w:r>
        <w:rPr>
          <w:rFonts w:hint="eastAsia" w:ascii="宋体" w:hAnsi="宋体" w:eastAsia="宋体" w:cs="宋体"/>
          <w:b/>
          <w:bCs/>
          <w:color w:val="auto"/>
          <w:sz w:val="28"/>
          <w:szCs w:val="28"/>
          <w:highlight w:val="none"/>
          <w:lang w:val="en-US" w:eastAsia="zh-CN"/>
        </w:rPr>
        <w:t xml:space="preserve"> </w:t>
      </w:r>
    </w:p>
    <w:tbl>
      <w:tblPr>
        <w:tblStyle w:val="25"/>
        <w:tblpPr w:leftFromText="180" w:rightFromText="180" w:vertAnchor="text" w:horzAnchor="page" w:tblpX="1311" w:tblpY="593"/>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73"/>
        <w:gridCol w:w="1145"/>
        <w:gridCol w:w="6041"/>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2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2018" w:type="dxa"/>
            <w:gridSpan w:val="2"/>
            <w:noWrap w:val="0"/>
            <w:vAlign w:val="top"/>
          </w:tcPr>
          <w:p>
            <w:pPr>
              <w:keepNext w:val="0"/>
              <w:keepLines w:val="0"/>
              <w:suppressLineNumbers w:val="0"/>
              <w:spacing w:beforeAutospacing="0" w:afterAutospacing="0" w:line="52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产品名称</w:t>
            </w:r>
          </w:p>
        </w:tc>
        <w:tc>
          <w:tcPr>
            <w:tcW w:w="6041"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型号规格</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873" w:type="dxa"/>
            <w:vMerge w:val="restart"/>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both"/>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区间自动闭塞及ZPW2000移频轨道实训台</w:t>
            </w:r>
          </w:p>
        </w:tc>
        <w:tc>
          <w:tcPr>
            <w:tcW w:w="1145" w:type="dxa"/>
            <w:noWrap w:val="0"/>
            <w:vAlign w:val="center"/>
          </w:tcPr>
          <w:p>
            <w:pPr>
              <w:keepNext w:val="0"/>
              <w:keepLines w:val="0"/>
              <w:widowControl/>
              <w:suppressLineNumbers w:val="0"/>
              <w:spacing w:beforeAutospacing="0" w:afterAutospacing="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ZPW2000集成组合柜（含信号继电器）</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1.组合柜尺寸≥960mm*500mm*1600mm（宽*深*高），含电源零层、分线盘接口架、电源固定组合等；</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2.组合侧面全部采用压接接线端子。包含排架报警器≥1个（供电电压：DC24V；尺寸：</w:t>
            </w:r>
            <w:r>
              <w:rPr>
                <w:rFonts w:hint="eastAsia" w:ascii="宋体" w:hAnsi="宋体" w:eastAsia="宋体" w:cs="宋体"/>
                <w:color w:val="auto"/>
                <w:sz w:val="21"/>
                <w:szCs w:val="21"/>
                <w:highlight w:val="none"/>
                <w:lang w:val="en-US" w:eastAsia="zh-CN"/>
              </w:rPr>
              <w:t>不小于</w:t>
            </w:r>
            <w:r>
              <w:rPr>
                <w:rFonts w:hint="eastAsia" w:ascii="宋体" w:hAnsi="宋体" w:eastAsia="宋体" w:cs="宋体"/>
                <w:color w:val="auto"/>
                <w:sz w:val="21"/>
                <w:szCs w:val="21"/>
                <w:highlight w:val="none"/>
              </w:rPr>
              <w:t>38mm*80mm*165mm(长*宽*高)）。</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断路器：</w:t>
            </w:r>
            <w:r>
              <w:rPr>
                <w:rFonts w:hint="eastAsia" w:ascii="宋体" w:hAnsi="宋体" w:eastAsia="宋体" w:cs="宋体"/>
                <w:color w:val="auto"/>
                <w:sz w:val="21"/>
                <w:szCs w:val="21"/>
                <w:highlight w:val="none"/>
                <w:lang w:val="en-US" w:eastAsia="zh-CN"/>
              </w:rPr>
              <w:t>满足</w:t>
            </w:r>
            <w:r>
              <w:rPr>
                <w:rFonts w:hint="eastAsia" w:ascii="宋体" w:hAnsi="宋体" w:eastAsia="宋体" w:cs="宋体"/>
                <w:color w:val="auto"/>
                <w:sz w:val="21"/>
                <w:szCs w:val="21"/>
                <w:highlight w:val="none"/>
              </w:rPr>
              <w:t>额定电流5ADC≥</w:t>
            </w:r>
            <w:r>
              <w:rPr>
                <w:rFonts w:hint="eastAsia" w:ascii="宋体" w:hAnsi="宋体" w:eastAsia="宋体" w:cs="宋体"/>
                <w:color w:val="auto"/>
                <w:sz w:val="21"/>
                <w:szCs w:val="21"/>
                <w:highlight w:val="none"/>
                <w:lang w:val="en-US" w:eastAsia="zh-CN"/>
              </w:rPr>
              <w:t>4个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3ADC≥</w:t>
            </w:r>
            <w:r>
              <w:rPr>
                <w:rFonts w:hint="eastAsia" w:ascii="宋体" w:hAnsi="宋体" w:eastAsia="宋体" w:cs="宋体"/>
                <w:color w:val="auto"/>
                <w:sz w:val="21"/>
                <w:szCs w:val="21"/>
                <w:highlight w:val="none"/>
                <w:lang w:val="en-US" w:eastAsia="zh-CN"/>
              </w:rPr>
              <w:t>1个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10ADC≥</w:t>
            </w:r>
            <w:r>
              <w:rPr>
                <w:rFonts w:hint="eastAsia" w:ascii="宋体" w:hAnsi="宋体" w:eastAsia="宋体" w:cs="宋体"/>
                <w:color w:val="auto"/>
                <w:sz w:val="21"/>
                <w:szCs w:val="21"/>
                <w:highlight w:val="none"/>
                <w:lang w:val="en-US" w:eastAsia="zh-CN"/>
              </w:rPr>
              <w:t>2个</w:t>
            </w:r>
            <w:r>
              <w:rPr>
                <w:rFonts w:hint="eastAsia" w:ascii="宋体" w:hAnsi="宋体" w:eastAsia="宋体" w:cs="宋体"/>
                <w:color w:val="auto"/>
                <w:sz w:val="21"/>
                <w:szCs w:val="21"/>
                <w:highlight w:val="none"/>
              </w:rPr>
              <w:t>，额定电压80VDC，额定分断能力10kA；专用Q型底座安装；</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断路器：额定电流1AAC≥</w:t>
            </w:r>
            <w:r>
              <w:rPr>
                <w:rFonts w:hint="eastAsia" w:ascii="宋体" w:hAnsi="宋体" w:eastAsia="宋体" w:cs="宋体"/>
                <w:color w:val="auto"/>
                <w:sz w:val="21"/>
                <w:szCs w:val="21"/>
                <w:highlight w:val="none"/>
                <w:lang w:val="en-US" w:eastAsia="zh-CN"/>
              </w:rPr>
              <w:t>1个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5AAC≥</w:t>
            </w:r>
            <w:r>
              <w:rPr>
                <w:rFonts w:hint="eastAsia" w:ascii="宋体" w:hAnsi="宋体" w:eastAsia="宋体" w:cs="宋体"/>
                <w:color w:val="auto"/>
                <w:sz w:val="21"/>
                <w:szCs w:val="21"/>
                <w:highlight w:val="none"/>
                <w:lang w:val="en-US" w:eastAsia="zh-CN"/>
              </w:rPr>
              <w:t>1个</w:t>
            </w:r>
            <w:r>
              <w:rPr>
                <w:rFonts w:hint="eastAsia" w:ascii="宋体" w:hAnsi="宋体" w:eastAsia="宋体" w:cs="宋体"/>
                <w:color w:val="auto"/>
                <w:sz w:val="21"/>
                <w:szCs w:val="21"/>
                <w:highlight w:val="none"/>
              </w:rPr>
              <w:t>，额定电压240VAC，额定分断能力3kA；专用Q型底座安装；</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断路器底座：含底板及罩，由绝缘性能良好，阻燃性PC材料压注而成，由底板、接线端子、配线、发光二极管及电路板组成，阻燃等级UL-V0。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防雷分线端子：≥2个。带防雷接线座，满足铁路分线盘防雷标准。</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接口架矩形连接器：≥2个。32针镀金线簧矩形连接器，额定电压300V，额定电流5A；绝缘电阻：常温≥500MΩ，湿热≥20MΩ。</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3.绝缘电阻：常温≥500MΩ，湿热≥20MΩ）</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侧面端子≥6个（54柱笼式弹簧接线单元，额定电压500V；额定电流10A；额定浪涌电压6KV）</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隔离变压器≥1个，BGY2-80。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模拟网络盘矩形连接器≥2个，（34针镀金线簧矩形连接器，额定电压300V，额定电流5A；绝缘电阻：常温≥500MΩ，湿热≥20MΩ）</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4.铁路信号继电器</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JWXC-1700，≥14个；JZXC-16/16，≥2个；JYXC-660，≥1个。满足铁路信号安全继电器标准及功能，数量满足区间自动闭塞及ZPW2000移频轨道电路组合继电器需求。</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无绝缘发送器：≥2个，ZPW•F-K</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无绝缘接收器：≥1个，ZPW•J-K</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无绝缘衰耗沉余控制器：≥1个，ZPW•RS-K</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无绝缘防雷模拟网络盘：≥2个，ZPW•ML-K。</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3"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ZPW2000监测</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1.道岔信号机监测板≥1个：</w:t>
            </w:r>
            <w:r>
              <w:rPr>
                <w:rFonts w:hint="eastAsia" w:ascii="宋体" w:hAnsi="宋体" w:eastAsia="宋体" w:cs="宋体"/>
                <w:color w:val="auto"/>
                <w:sz w:val="21"/>
                <w:szCs w:val="21"/>
                <w:highlight w:val="none"/>
                <w:lang w:val="en-US" w:eastAsia="zh-CN"/>
              </w:rPr>
              <w:t>不少于</w:t>
            </w:r>
            <w:r>
              <w:rPr>
                <w:rFonts w:hint="eastAsia" w:ascii="宋体" w:hAnsi="宋体" w:eastAsia="宋体" w:cs="宋体"/>
                <w:color w:val="auto"/>
                <w:sz w:val="21"/>
                <w:szCs w:val="21"/>
                <w:highlight w:val="none"/>
              </w:rPr>
              <w:t>16路DC模拟量(量程DC0-20mA)采集通道，输入开关量信号（输入电平允许范围：≤40V、≤5mA），周期上送数据包时间≤500ms，并支持变化上报，能够完成提速道岔动作电流曲线，功率曲线，直流道岔动作电流曲线监测，监测精度2%，分辨率40ms，监测时长小于等于40S；具备通道及板卡自诊断功能，采用铁标机笼插板方式安装，板卡尺寸</w:t>
            </w:r>
            <w:r>
              <w:rPr>
                <w:rFonts w:hint="eastAsia" w:ascii="宋体" w:hAnsi="宋体" w:eastAsia="宋体" w:cs="宋体"/>
                <w:color w:val="auto"/>
                <w:sz w:val="21"/>
                <w:szCs w:val="21"/>
                <w:highlight w:val="none"/>
                <w:lang w:val="en-US" w:eastAsia="zh-CN"/>
              </w:rPr>
              <w:t>按铁路设计施工规范执行，不小于</w:t>
            </w:r>
            <w:r>
              <w:rPr>
                <w:rFonts w:hint="eastAsia" w:ascii="宋体" w:hAnsi="宋体" w:eastAsia="宋体" w:cs="宋体"/>
                <w:color w:val="auto"/>
                <w:sz w:val="21"/>
                <w:szCs w:val="21"/>
                <w:highlight w:val="none"/>
              </w:rPr>
              <w:t>144mm*160mm,采用CAN总线接口。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2.交直流电压监测板≥1个：电压监测板，监测量程：0-200VAC，0-300VDC，监测精度：±1%，25Hz或50Hz相位角差：0.5°，周期上送数据包时间≤500ms，并支持变化上报，能够实现道岔表示电压，电缆侧电压，</w:t>
            </w:r>
            <w:r>
              <w:rPr>
                <w:rFonts w:hint="eastAsia" w:ascii="宋体" w:hAnsi="宋体" w:eastAsia="宋体" w:cs="宋体"/>
                <w:color w:val="auto"/>
                <w:sz w:val="21"/>
                <w:szCs w:val="21"/>
                <w:highlight w:val="none"/>
                <w:lang w:val="en-US" w:eastAsia="zh-CN"/>
              </w:rPr>
              <w:t>移频</w:t>
            </w:r>
            <w:r>
              <w:rPr>
                <w:rFonts w:hint="eastAsia" w:ascii="宋体" w:hAnsi="宋体" w:eastAsia="宋体" w:cs="宋体"/>
                <w:color w:val="auto"/>
                <w:sz w:val="21"/>
                <w:szCs w:val="21"/>
                <w:highlight w:val="none"/>
              </w:rPr>
              <w:t>轨道电路接收电压在线监测功能，具备通道及板卡自诊断功能，采用铁标机笼插板方式安装，板卡尺寸</w:t>
            </w:r>
            <w:r>
              <w:rPr>
                <w:rFonts w:hint="eastAsia" w:ascii="宋体" w:hAnsi="宋体" w:eastAsia="宋体" w:cs="宋体"/>
                <w:color w:val="auto"/>
                <w:sz w:val="21"/>
                <w:szCs w:val="21"/>
                <w:highlight w:val="none"/>
                <w:lang w:val="en-US" w:eastAsia="zh-CN"/>
              </w:rPr>
              <w:t>按铁路设计施工规范执行，不小于</w:t>
            </w:r>
            <w:r>
              <w:rPr>
                <w:rFonts w:hint="eastAsia" w:ascii="宋体" w:hAnsi="宋体" w:eastAsia="宋体" w:cs="宋体"/>
                <w:color w:val="auto"/>
                <w:sz w:val="21"/>
                <w:szCs w:val="21"/>
                <w:highlight w:val="none"/>
              </w:rPr>
              <w:t>144mm*160mm,采用CAN总线接口。</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3.接口电缆板卡尺寸</w:t>
            </w:r>
            <w:r>
              <w:rPr>
                <w:rFonts w:hint="eastAsia" w:ascii="宋体" w:hAnsi="宋体" w:eastAsia="宋体" w:cs="宋体"/>
                <w:color w:val="auto"/>
                <w:sz w:val="21"/>
                <w:szCs w:val="21"/>
                <w:highlight w:val="none"/>
                <w:lang w:val="en-US" w:eastAsia="zh-CN"/>
              </w:rPr>
              <w:t>按铁路设计施工规范执行，不小于</w:t>
            </w:r>
            <w:r>
              <w:rPr>
                <w:rFonts w:hint="eastAsia" w:ascii="宋体" w:hAnsi="宋体" w:eastAsia="宋体" w:cs="宋体"/>
                <w:color w:val="auto"/>
                <w:sz w:val="21"/>
                <w:szCs w:val="21"/>
                <w:highlight w:val="none"/>
              </w:rPr>
              <w:t>2个：接口电缆,采用与铁路现场一致的航插电缆，电缆长度根据现场实际需求而定，连接器采用34PIN航空插头）。</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区间信号机</w:t>
            </w:r>
          </w:p>
        </w:tc>
        <w:tc>
          <w:tcPr>
            <w:tcW w:w="60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1.L+H+U三灯位三显示铝合金矮柱信号机≥1台。</w:t>
            </w:r>
          </w:p>
          <w:p>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2.点灯单元</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3套：</w:t>
            </w:r>
          </w:p>
          <w:p>
            <w:pPr>
              <w:keepNext w:val="0"/>
              <w:keepLines w:val="0"/>
              <w:widowControl/>
              <w:numPr>
                <w:ilvl w:val="0"/>
                <w:numId w:val="3"/>
              </w:numPr>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DDX1-34铁路信号点灯单元由BX1-34信号变压器、灯丝转换继电器、外壳和端子板组成；</w:t>
            </w:r>
          </w:p>
          <w:p>
            <w:pPr>
              <w:keepNext w:val="0"/>
              <w:keepLines w:val="0"/>
              <w:widowControl/>
              <w:numPr>
                <w:ilvl w:val="0"/>
                <w:numId w:val="3"/>
              </w:numPr>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变压器线包初级采用Qz-2φ0.27、次级采用Qz-2φ1.12高强度漆包线，初、次级线圈采用排绕，层间垫1层组间垫3层聚酯薄膜,变压器线圈采用真空浸漆3遍、铁芯和变压器线包紧固后在整体浸漆一遍；</w:t>
            </w:r>
          </w:p>
          <w:p>
            <w:pPr>
              <w:keepNext w:val="0"/>
              <w:keepLines w:val="0"/>
              <w:widowControl/>
              <w:numPr>
                <w:ilvl w:val="0"/>
                <w:numId w:val="3"/>
              </w:numPr>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变压器铁芯采用CD16*32*50一级品铁芯；</w:t>
            </w:r>
          </w:p>
          <w:p>
            <w:pPr>
              <w:keepNext w:val="0"/>
              <w:keepLines w:val="0"/>
              <w:widowControl/>
              <w:numPr>
                <w:ilvl w:val="0"/>
                <w:numId w:val="3"/>
              </w:numPr>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灯丝转换继电器采用经铁道部认可工作寿命达50万次的155/PJZSJC交流灯丝转换继电器；</w:t>
            </w:r>
          </w:p>
          <w:p>
            <w:pPr>
              <w:keepNext w:val="0"/>
              <w:keepLines w:val="0"/>
              <w:widowControl/>
              <w:numPr>
                <w:ilvl w:val="0"/>
                <w:numId w:val="3"/>
              </w:numPr>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端子板用DMC封压注而成，引线采用RT耐高温多股镀锡线；</w:t>
            </w:r>
          </w:p>
          <w:p>
            <w:pPr>
              <w:keepNext w:val="0"/>
              <w:keepLines w:val="0"/>
              <w:widowControl/>
              <w:numPr>
                <w:ilvl w:val="0"/>
                <w:numId w:val="3"/>
              </w:numPr>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二次输出电压根据需要可调整为13V、14V、16V；</w:t>
            </w:r>
          </w:p>
          <w:p>
            <w:pPr>
              <w:keepNext w:val="0"/>
              <w:keepLines w:val="0"/>
              <w:widowControl/>
              <w:numPr>
                <w:ilvl w:val="0"/>
                <w:numId w:val="3"/>
              </w:numPr>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主灯丝断丝时，点灯单元应能自动转至副灯丝，转换时间不应大于0.1s；</w:t>
            </w:r>
          </w:p>
          <w:p>
            <w:pPr>
              <w:keepNext w:val="0"/>
              <w:keepLines w:val="0"/>
              <w:widowControl/>
              <w:numPr>
                <w:ilvl w:val="0"/>
                <w:numId w:val="3"/>
              </w:numPr>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绝缘耐压应能承受交流正弦波50Hz、220V有效值电压，历时1min应无击穿或闪络现象。复验时的试验电压值应为原试验电压的75%</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ZPW2000轨道电路</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1.区间改方、通过信号机及ZPW2000移频轨道电路相关设备组合拆装、配线、调试等实操实训功能；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2.实现区间移频轨道电路的占用、空闲、断轨、机车低频发码等功能；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3.实现移频轨道电路的发送报警器故障功能；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4.实现区间改方功能；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5.实现区间信号机点灯功能；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6.实现ZPW2000K移频轨道电路运行电气参数实时监测显示和报警功能；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7.实现区间信号机运行电气参数实时监测显示和报警功能；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8.同真实车站信号系统连接后，实现完整区间信号业务逻辑功能。</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区间自动闭塞及ZPW2000移频轨道电路操作台</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1.机构小车≥2台，（采用优质钢板，静电粉末喷塑，焊接部分采用高标准溶接焊，带可移动橡胶轮，尺寸1000mm*900mm）；</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2.单联台≥1个；采用优质板，静电粉末喷塑，无污染优质锁具，焊接部分采用高标准溶接焊。）；</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3.XB箱≥1个，（</w:t>
            </w:r>
            <w:r>
              <w:rPr>
                <w:rFonts w:hint="eastAsia" w:ascii="宋体" w:hAnsi="宋体" w:eastAsia="宋体" w:cs="宋体"/>
                <w:color w:val="auto"/>
                <w:sz w:val="21"/>
                <w:szCs w:val="21"/>
                <w:highlight w:val="none"/>
                <w:lang w:val="en-US" w:eastAsia="zh-CN"/>
              </w:rPr>
              <w:t>复核铁路信号设备规范：</w:t>
            </w:r>
            <w:r>
              <w:rPr>
                <w:rFonts w:hint="eastAsia" w:ascii="宋体" w:hAnsi="宋体" w:eastAsia="宋体" w:cs="宋体"/>
                <w:color w:val="auto"/>
                <w:sz w:val="21"/>
                <w:szCs w:val="21"/>
                <w:highlight w:val="none"/>
              </w:rPr>
              <w:t>SMC复合材料，密封等级：IP67，强度好、防腐蚀、污染小、重量轻）；</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4.双体盒≥2个、无绝缘调谐匹配单元≥1个：ZPW•PT-1700；无绝缘大电流空心线圈≥1个：ZPW•XKD。</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区间自动闭塞及ZPW2000移频轨道电路上位机软件</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集成电路故障库和案例预设功能，支持考试，考核，统计等功能</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故障考核系统</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FIU机笼≥1个：FIU单元负责实现组合柜内继电器接点配线故障，包括断线，混线故障，该单元采用铁标机笼安装方式，机笼采用铝型材设计，表面抗氧化拉丝处理，尺寸为796mm*240.8mm*177mm（宽*深*高），每台机笼支持最大18块插板安装，电源额定输入为DC24V。</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2.故障板≥5个：故障板,采用铁标机笼插板方式安装，板卡尺寸为144mm*160mm,采用CAN总线接口，对外提供≥16组常闭常开接点通道，接点电气参数：≤AC 5A/400V，周期响应时间≤500ms，具备通道及板卡自诊断功能。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3.通信接口板≥2个：通信接口板,采用铁标机笼插板方式安装，板卡尺寸为144mm*160mm,对外提供CAN总线和RJ45接口，采用CAN2.0B通信协议和TCP/IP协议对外交互数据。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4.FIU驱动板≥1个：驱动板,采用铁标机笼插板方式安装，板卡尺寸为144mm*160mm,采用CAN总线接口，对外提供16路DC24V驱动通道，通道电气参数：≤DC 500mA/40V），周期响应时间≤500ms，具备通道及板卡自诊断功能。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FIU采集板≥1个：采集板,采用铁标机笼插板方式安装，板卡尺寸为144mm*160mm,采用CAN总线接口，对外采集≥16路或≥32路输入开关量信号，信号输入电平允许范围：≤40V、≤5mA），周期上送数据包时间≤500ms，具备通道及板卡自诊断功能。</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p>
        </w:tc>
        <w:tc>
          <w:tcPr>
            <w:tcW w:w="873" w:type="dxa"/>
            <w:vMerge w:val="restart"/>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LEU及应答器实训台</w:t>
            </w: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LEU及应答器操作台</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1.单联台：单联操作台，其尺寸≥750mm*900mm*</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00mm（高*深*宽）；采用优质板，静电粉末喷塑，无污染优质锁具，焊接部分采用高标准溶接焊。</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LEU及应答器上位机</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2.工控机采用IPC-610L/</w:t>
            </w:r>
            <w:r>
              <w:rPr>
                <w:rFonts w:hint="eastAsia" w:ascii="宋体" w:hAnsi="宋体" w:eastAsia="宋体" w:cs="宋体"/>
                <w:color w:val="auto"/>
                <w:sz w:val="21"/>
                <w:szCs w:val="21"/>
                <w:highlight w:val="none"/>
                <w:lang w:val="en-US" w:eastAsia="zh-CN"/>
              </w:rPr>
              <w:t>或以上型号</w:t>
            </w:r>
            <w:r>
              <w:rPr>
                <w:rFonts w:hint="eastAsia" w:ascii="宋体" w:hAnsi="宋体" w:eastAsia="宋体" w:cs="宋体"/>
                <w:color w:val="auto"/>
                <w:sz w:val="21"/>
                <w:szCs w:val="21"/>
                <w:highlight w:val="none"/>
              </w:rPr>
              <w:t>工业控制机，23.8＂</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宽屏液晶显示器；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工控机配置：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1）CPU主频：大于等于3.0GHZ；</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2）内存：≥8G；</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3）硬盘：≥</w:t>
            </w:r>
            <w:r>
              <w:rPr>
                <w:rFonts w:hint="eastAsia" w:ascii="宋体" w:hAnsi="宋体" w:eastAsia="宋体" w:cs="宋体"/>
                <w:color w:val="auto"/>
                <w:sz w:val="21"/>
                <w:szCs w:val="21"/>
                <w:highlight w:val="none"/>
                <w:lang w:val="en-US" w:eastAsia="zh-CN"/>
              </w:rPr>
              <w:t>500</w:t>
            </w:r>
            <w:r>
              <w:rPr>
                <w:rFonts w:hint="eastAsia" w:ascii="宋体" w:hAnsi="宋体" w:eastAsia="宋体" w:cs="宋体"/>
                <w:color w:val="auto"/>
                <w:sz w:val="21"/>
                <w:szCs w:val="21"/>
                <w:highlight w:val="none"/>
              </w:rPr>
              <w:t>G；</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含键鼠</w:t>
            </w:r>
            <w:r>
              <w:rPr>
                <w:rFonts w:hint="eastAsia" w:ascii="宋体" w:hAnsi="宋体" w:eastAsia="宋体" w:cs="宋体"/>
                <w:color w:val="auto"/>
                <w:sz w:val="21"/>
                <w:szCs w:val="21"/>
                <w:highlight w:val="none"/>
              </w:rPr>
              <w:t>；</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LEU应答器报文库</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具备标准线路中区间应答器组、定位应答器、进站应答器组、出站应答器组等常规应答器报文数据案例。</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应答器报文解析软件</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具备将应答器源码解析为可视化、可识别的应答器报文功能；报文应答器解析工具应具备830、1023等多种常规格式应答器报文解析功能。</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应答器报文编码软件</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具备应答器报文编码功能，编码后应答器应可使用应答器烧写工具写入标准无源应答器中。</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LEU</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LEU接收列控中心发送的行车许可报文信息，并将转化为串行信息发送给应答器，主要技术参数和功能如下：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（1）S接口协议遵照《10 08.04.19 客专列控中心接口协议》；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（2）C接口输出电气要求符合《FFFI SUBSET-036》；</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（3）与TCC采用以太网接口，接收TCC发送的应答器数据；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（4）能够检测出于LEU连接的应答器是否正在有车占用；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（5）能够存储4条默认报文，存储器具备存储至少1000条报文能力；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（6）能够自诊断功能，发现自身故障能可靠切断与应答器之间通讯；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（7）绝缘电阻不小于200Ω，绝缘耐压1000VAC，50Hz，1min；</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（8）外形尺寸266mm*238mm*420mm，重量≤20Kg。</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3"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w:t>
            </w:r>
          </w:p>
        </w:tc>
        <w:tc>
          <w:tcPr>
            <w:tcW w:w="873" w:type="dxa"/>
            <w:vMerge w:val="continue"/>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tc>
        <w:tc>
          <w:tcPr>
            <w:tcW w:w="1145"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应答器</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应答器接收BTM车载天线发射的下行能量，接收LEU数据以及发射上行链路数据报文，并支持无线编程操作，主要技术参数和功能描述如下：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（1）应答器外壳防护等级IP67；</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（2）应答器采用灌封工艺，满足设备密封、防尘需求及盐雾环境等的使用需求；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（3）应答器从C1接口接收到应答器报文，并将报文通过A1接口发送出去；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（4）应答器C1接口具有短路保护功能；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（5）应答器上行链路报文传输到A接口均无需地面设备供电，而是由A接口外部设备的Tele-power远程供电；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（6）应答器（有源应答器）除Tele-power远程供电外，还能通过接口C从LEU提供的偏置电压处获得电源，该偏置电压不能给发射单元供电；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（7）应答器应符合铁路信号设备电磁兼容性标准要求；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（8）外形尺寸488mm*260mm*40.5mm（长*宽*高）</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转辙机拓展套件</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ZDJ9转辙机：1台</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继电器组合：2</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，DC5和DCF各1</w:t>
            </w:r>
            <w:r>
              <w:rPr>
                <w:rFonts w:hint="eastAsia" w:ascii="宋体" w:hAnsi="宋体" w:eastAsia="宋体" w:cs="宋体"/>
                <w:color w:val="auto"/>
                <w:sz w:val="21"/>
                <w:szCs w:val="21"/>
                <w:highlight w:val="none"/>
                <w:lang w:val="en-US" w:eastAsia="zh-CN"/>
              </w:rPr>
              <w:t>个，符合铁路信号设计及施工规范</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继电器：1台，BDR-7</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继电器：1台，JWJXC-H125/80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继电器：5台，JWXC-1700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继电器：1台，JYJXC-160/260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继电器：1台，JWJXC-480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断相保护器：1台，DBQ-S</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继电器：2台，JPXC-1000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阻容盒：1台，RXYC-75/1KΩ</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断路器：1个，液压型专用Q型底座安装，额定电流三相交流5A</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断路器：1个，液压型专用Q型底座安装，额定电流交流0.5A</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移频表</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符合铁路信号设备测量仪表要求；</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1、设备体积：188mm*106mm*38mm（长*宽*厚）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2、内含可充电电池，可手持式测量，质量约380g （不含内装电池）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3、能够实现ZPW2000移频轨道电路电气参数特性检测、25周轨道电路电气参数特性检测、高压脉冲轨道电路电气参数特性检测、国内移频轨道电路电气参数检测等功能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4、直流电压幅值测量指标：测量范围：0～±300V；最小显示分辨力：1mV；量程档位切换方式：自动切换；测量允许误差：±(1.0%＋1d)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5、电压真有效值测量指标：测量范围：5Hz～5000Hz频段，0～400V；最小显示分辨力：1mV；量程档位切换方式：自动切换；测量允许误差：±(2.0%＋1d)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6、电流真有效值测量指标：测试要求：DLH-11型电流钳的Ｋ键扳至I侧，测量范围：400Hz～5000Hz频段，0～60A；最小显示分辨力：1mA；量程档位切换方式：自动切换；测量允许误差：±(3.0%＋1d)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7、频率测量指标：测量范围：5Hz～5000Hz；测量灵敏度要求：不大于２mV/５mA；显示分辨力：100Hz以下，0.01Hz ；100Hz以上，0.1Hz ；测量允许误差：100Hz以下，±(0.02Hz＋1d)；100Hz以上，±(0.2Hz＋1d)；标称频点：1700Hz,2000Hz,2300Hz,2600Hz，中心频率测量范围：标称频点±15Hz；频偏测量范围：11Hz±4Hz；调制频率测量范围：6.00Hz～30.00Hz；调制频率显示分辨力：0.01Hz；上下边频允许误差：±(0.3Hz＋1d)；调制频率允许误差：±(0.03Hz＋1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8、轨道补偿电容在线测量指标：幅值要求：≥100mV；测量范围：10μF～200μF；最小显示分辨力：0.1μF；允许误差：±(3.0%＋1d)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9、在线阻抗测量指标：幅值要求：≥200mA，或≥100mV；测量范围：0～5000Ω；测量允许误差：±(3.0%＋1d)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10、电压相位差测量：测量范围：0°～360°；测量分辨力：0.1°；测量允许误差：±(0.2°＋1d)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失真度测量：测量幅值要求：应不小于100mV；频率测试范围：20Hz～100Hz；失真度测试范围：3%～50%（满量程）；谐波衰耗：二次至十次谐波衰耗不大于2％；测量分辨力：0.1％；测量允许误差：不大于(测量值的10％+1.5)％；</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12、脉冲轨道电路频率测量：测量范围：1.4Hz～4.5Hz；显示分辨力：0.001Hz；测量允许误差：±(0.002Hz＋1d)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13、脉冲轨道电路波头、波尾电压测量：测量范围：0～800Vp；测量允许误差：±(2.0%×波头电压＋1d)</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应答器报文读取仪</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符合铁路信号设备测量仪表要求：</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1、供电输入电压：9-36VDC，待机功耗3.5W@16VDC ；11W@16VDC；</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2、箱体尺寸358 mm*281 mm*116mm；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3、工作环境：温度-20℃~50℃；相对湿度95%；</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4、读写成功率：≥99.9%；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5、读写间隔时间≥10S</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学员机</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Cpu:i5-11400F</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 xml:space="preserve"> 内存：16G 显卡：GTX2060或1660Ti</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,显存6G</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 xml:space="preserve"> 硬盘：512G</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固态，23.8</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英寸，分辨率1080p</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,刷新率144Hz，单显示器及键鼠套装</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ind w:firstLine="420" w:firstLineChars="20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教师机</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Cpu:i5-11400F</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 xml:space="preserve"> 内存：16G</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 xml:space="preserve"> 显卡：GTX2060或1660Ti,显存6G</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 xml:space="preserve"> 硬盘：512G固态</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，23.8英寸</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，分辨率1080p</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,刷新率144Hz，双显示器及键鼠套装</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列车运行控制系统现场信号            设备虚拟平台软件</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虚拟平台由三维场景、现场设备系统软件、教学考试系统构成。</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考核端具备的场景功能如下：</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（1）通用作业规程考核</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主要针对铁路现.场作业必须执行的相关作业规范进行考核。例如上线前要核对调度命令，严格落实防护制度，夜间作业准备好照明用品，必须按规定穿戴劳动保护用品，作业同去同归。严格落实 “三不动、三不离”、“七严禁”，作业前后登、消记。</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（2）室外拆装类</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拆装类包括转辙机内部结构、转辙机主体、道岔外锁闭装置和信号机的拆装；系统还具备转辙机安装流程，具备18号客专提速道岔场景，具备外锁闭装置和杆件拆装流程。具备信号机拆装流程。</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考生按照规定的步骤，选用适当的工具进行拆装作业。</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（3）室外巡检类</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巡检类包括道岔、密贴检查器、轨道电路、信号机、电缆径路、电源屏、微机监测、列控设备。</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考生根据系统指定的巡检对象，选取对应的工具，到达检修地点，根据任务清单查找故障和简单故障处理。</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21</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学生桌椅（虚拟考核系统）</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双人电脑桌子，带2个主机架，带键盘位，规格：≥1550*600*750mm，含2张凳子；</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22</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教师桌椅（虚拟考核系统）</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带主机架和文件柜，带键盘位，规格：≥1400*700*750mm，配套椅子；</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23</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室内装修</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130平米静电地板，墙体粉刷，安装投影机及投影幕布、音响、麦克风、交换机、摄像头、综合布线。</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24</w:t>
            </w:r>
          </w:p>
        </w:tc>
        <w:tc>
          <w:tcPr>
            <w:tcW w:w="2018" w:type="dxa"/>
            <w:gridSpan w:val="2"/>
            <w:noWrap w:val="0"/>
            <w:vAlign w:val="top"/>
          </w:tcPr>
          <w:p>
            <w:pPr>
              <w:keepNext w:val="0"/>
              <w:keepLines w:val="0"/>
              <w:suppressLineNumbers w:val="0"/>
              <w:spacing w:beforeAutospacing="0" w:afterAutospacing="0"/>
              <w:rPr>
                <w:rFonts w:hint="eastAsia" w:ascii="宋体" w:hAnsi="宋体" w:eastAsia="宋体" w:cs="宋体"/>
                <w:color w:val="auto"/>
                <w:sz w:val="21"/>
                <w:szCs w:val="21"/>
                <w:highlight w:val="none"/>
                <w:lang w:val="en-US" w:eastAsia="zh-CN"/>
              </w:rPr>
            </w:pPr>
          </w:p>
          <w:p>
            <w:pPr>
              <w:keepNext w:val="0"/>
              <w:keepLines w:val="0"/>
              <w:suppressLineNumbers w:val="0"/>
              <w:spacing w:beforeAutospacing="0" w:afterAutospacing="0"/>
              <w:rPr>
                <w:rFonts w:hint="eastAsia" w:ascii="宋体" w:hAnsi="宋体" w:eastAsia="宋体" w:cs="宋体"/>
                <w:color w:val="auto"/>
                <w:sz w:val="21"/>
                <w:szCs w:val="21"/>
                <w:highlight w:val="none"/>
                <w:lang w:val="en-US" w:eastAsia="zh-CN"/>
              </w:rPr>
            </w:pPr>
          </w:p>
          <w:p>
            <w:pPr>
              <w:keepNext w:val="0"/>
              <w:keepLines w:val="0"/>
              <w:suppressLineNumbers w:val="0"/>
              <w:spacing w:beforeAutospacing="0" w:afterAutospacing="0"/>
              <w:rPr>
                <w:rFonts w:hint="eastAsia" w:ascii="宋体" w:hAnsi="宋体" w:eastAsia="宋体" w:cs="宋体"/>
                <w:color w:val="auto"/>
                <w:sz w:val="21"/>
                <w:szCs w:val="21"/>
                <w:highlight w:val="none"/>
                <w:lang w:val="en-US" w:eastAsia="zh-CN"/>
              </w:rPr>
            </w:pPr>
          </w:p>
          <w:p>
            <w:pPr>
              <w:keepNext w:val="0"/>
              <w:keepLines w:val="0"/>
              <w:suppressLineNumbers w:val="0"/>
              <w:spacing w:beforeAutospacing="0" w:afterAutospacing="0"/>
              <w:rPr>
                <w:rFonts w:hint="eastAsia" w:ascii="宋体" w:hAnsi="宋体" w:eastAsia="宋体" w:cs="宋体"/>
                <w:color w:val="auto"/>
                <w:sz w:val="21"/>
                <w:szCs w:val="21"/>
                <w:highlight w:val="none"/>
                <w:lang w:val="en-US" w:eastAsia="zh-CN"/>
              </w:rPr>
            </w:pPr>
          </w:p>
          <w:p>
            <w:pPr>
              <w:keepNext w:val="0"/>
              <w:keepLines w:val="0"/>
              <w:suppressLineNumbers w:val="0"/>
              <w:spacing w:beforeAutospacing="0" w:afterAutospacing="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1+X实训室数据维护</w:t>
            </w:r>
            <w:r>
              <w:rPr>
                <w:rFonts w:hint="eastAsia" w:ascii="宋体" w:hAnsi="宋体" w:eastAsia="宋体" w:cs="宋体"/>
                <w:color w:val="auto"/>
                <w:sz w:val="21"/>
                <w:szCs w:val="21"/>
                <w:highlight w:val="none"/>
              </w:rPr>
              <w:t>电脑</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商品名称：联想小新Air15</w:t>
            </w:r>
            <w:r>
              <w:rPr>
                <w:rFonts w:hint="eastAsia" w:ascii="宋体" w:hAnsi="宋体" w:eastAsia="宋体" w:cs="宋体"/>
                <w:color w:val="auto"/>
                <w:sz w:val="21"/>
                <w:szCs w:val="21"/>
                <w:highlight w:val="none"/>
                <w:lang w:val="en-US" w:eastAsia="zh-CN"/>
              </w:rPr>
              <w:t>及以上</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类型：轻薄笔记本</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屏幕尺寸：15.0-15.9英寸</w:t>
            </w:r>
            <w:r>
              <w:rPr>
                <w:rFonts w:hint="eastAsia" w:ascii="宋体" w:hAnsi="宋体" w:eastAsia="宋体" w:cs="宋体"/>
                <w:color w:val="auto"/>
                <w:sz w:val="21"/>
                <w:szCs w:val="21"/>
                <w:highlight w:val="none"/>
                <w:lang w:val="en-US" w:eastAsia="zh-CN"/>
              </w:rPr>
              <w:t>及以上</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支持IPv6：支持IPv6</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处理器：intel i5</w:t>
            </w:r>
            <w:r>
              <w:rPr>
                <w:rFonts w:hint="eastAsia" w:ascii="宋体" w:hAnsi="宋体" w:eastAsia="宋体" w:cs="宋体"/>
                <w:color w:val="auto"/>
                <w:sz w:val="21"/>
                <w:szCs w:val="21"/>
                <w:highlight w:val="none"/>
                <w:lang w:val="en-US" w:eastAsia="zh-CN"/>
              </w:rPr>
              <w:t>及以上</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屏幕刷新率：60Hz</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显卡型号：集成显卡</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内存容量：16GB</w:t>
            </w:r>
            <w:r>
              <w:rPr>
                <w:rFonts w:hint="eastAsia" w:ascii="宋体" w:hAnsi="宋体" w:eastAsia="宋体" w:cs="宋体"/>
                <w:color w:val="auto"/>
                <w:sz w:val="21"/>
                <w:szCs w:val="21"/>
                <w:highlight w:val="none"/>
                <w:lang w:val="en-US" w:eastAsia="zh-CN"/>
              </w:rPr>
              <w:t>及以上</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固态硬盘（SSD）：512GB</w:t>
            </w:r>
            <w:r>
              <w:rPr>
                <w:rFonts w:hint="eastAsia" w:ascii="宋体" w:hAnsi="宋体" w:eastAsia="宋体" w:cs="宋体"/>
                <w:color w:val="auto"/>
                <w:sz w:val="21"/>
                <w:szCs w:val="21"/>
                <w:highlight w:val="none"/>
                <w:lang w:val="en-US" w:eastAsia="zh-CN"/>
              </w:rPr>
              <w:t>及以上</w:t>
            </w:r>
          </w:p>
        </w:tc>
        <w:tc>
          <w:tcPr>
            <w:tcW w:w="818" w:type="dxa"/>
            <w:noWrap w:val="0"/>
            <w:vAlign w:val="center"/>
          </w:tcPr>
          <w:p>
            <w:pPr>
              <w:keepNext w:val="0"/>
              <w:keepLines w:val="0"/>
              <w:suppressLineNumbers w:val="0"/>
              <w:spacing w:beforeAutospacing="0" w:afterAutospacing="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3"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5</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信号基础设备虚拟仿真软件开发</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一、开发内容</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1.转辙机模块</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bookmarkStart w:id="26" w:name="_Hlk89442786"/>
            <w:r>
              <w:rPr>
                <w:rFonts w:hint="eastAsia" w:ascii="宋体" w:hAnsi="宋体" w:eastAsia="宋体" w:cs="宋体"/>
                <w:color w:val="auto"/>
                <w:sz w:val="21"/>
                <w:szCs w:val="21"/>
                <w:highlight w:val="none"/>
              </w:rPr>
              <w:t xml:space="preserve">（1）转辙机结构认知 </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包括：底壳、机盖、减速器、摩擦联接器、滚珠丝杠副、动作杆、左右锁闭杆(表示杆)、自动开闭器、安全开关、挤脱器和接线端子。</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（2）转辙机内解锁状态过程展示</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2.信号机模块</w:t>
            </w:r>
          </w:p>
          <w:bookmarkEnd w:id="26"/>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（1）信号机结构认知 </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包括：基座、内透镜、外透镜、灯丝、遮檐等。</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（2）信号机各功能用途展示</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3.道岔转换与锁闭设备模块</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（1）道岔转换与锁闭设备结构认知，提速道岔，包括：转辙</w:t>
            </w:r>
            <w:r>
              <w:rPr>
                <w:rFonts w:hint="eastAsia" w:ascii="宋体" w:hAnsi="宋体" w:eastAsia="宋体" w:cs="宋体"/>
                <w:color w:val="auto"/>
                <w:sz w:val="21"/>
                <w:szCs w:val="21"/>
                <w:highlight w:val="none"/>
                <w:lang w:val="en-US" w:eastAsia="zh-CN"/>
              </w:rPr>
              <w:t>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锁闭设备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钢轨</w:t>
            </w:r>
            <w:r>
              <w:rPr>
                <w:rFonts w:hint="eastAsia" w:ascii="宋体" w:hAnsi="宋体" w:eastAsia="宋体" w:cs="宋体"/>
                <w:color w:val="auto"/>
                <w:sz w:val="21"/>
                <w:szCs w:val="21"/>
                <w:highlight w:val="none"/>
              </w:rPr>
              <w:t>连接部分。</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（2）转辙机对道岔操控的展示</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4.轨道电路模块</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完成轨道电路各设备的结构认知展示；</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5.继电器模块</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（1）不低于10种铁路常用继电器的结构认知展示</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（2）继电器吸合状态展示</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二、开发功能要求</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1.360度观察：可对选取的结构模型任意旋转、缩放；</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2.悬停：选取任意结构，自动展示该结构名称；</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3.拆解：可一键爆炸拆解或恢复，也可通过选取拖拽任意单独操作；</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4.X光模式：被选取结构模型进入半透明状态或其他结构均进入半透明状态；</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5.结构认知：点击结构认知按钮，出现对应模块结构列表，点击列表中某一项，可对选中的结构进行突出显示，其他模型进入半透明状态，同时出现此项结构的文字介绍；</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6.视图：含左视图、主视图、俯视图，点击对应按钮则可自动旋转到相应视图；</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具备学习、练习、考试三种模式。学习模式下学员可自主完成以上功能内容的操作；软件内设有场景交互类试题库，练习模式下，学员自主完成测试；考试模式下，教员进行试卷管理和学员管理，教员下发组卷题库后，学员按要求完成答题并自动评分，教员可统计学员成绩。</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6</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混合现实全息创作平台、教学互动平台</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MR studio</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混合现实MR双目眼镜</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即墨A95</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8</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充电消毒柜</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VR8XN</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3"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9</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教学触控白板</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MC08FEA</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1.显示/尺寸:</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尺寸:86英寸</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屏幕尺寸（长宽）mm:1958*1148</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显示比例:16:9</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背光类型:LED</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分辨率:3840*2160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2.触控:</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触摸屏材料:防眩光钢化玻璃</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识别原理:红外识别</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书写工具:手指，书写笔等不透光物体</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触摸精度：2mm</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触摸点数：20点触摸</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CPU:i5</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内存：8G</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固态硬盘：256G</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支持系统：win 10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4.功能</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支持无线传屏，可四分屏展示，且支持双向操作</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配套书写笔3只，移动落地支架1个，5米长HDMI和VGA连接线各1根。</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资源创作终端</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携式笔记本电脑：拯救者Y7000P</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CPU：i7-10代以上 八核 16线程</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内存：≥16GB</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硬盘：≥512GB固态</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显卡：NVIDIA GeForce RTX 2060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操作系统：Windows 10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屏幕尺寸：≥15英寸</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屏幕类型：IPS </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分辨率：1920*1080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配套：无线键鼠</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学生掌上操作终端</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小新Pad Pro 2021：屏幕尺寸：≥10.6英寸</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屏幕比例：16:9</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厚度：7.0mm以下</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运行内存：≥6GB </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内存容量：≥128GB</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分辨率：≥2560*1600dpi </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系统：Android </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扬声器数量：≥2个</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麦克风：≥2个麦克风</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连接方式：Wi-Fi；蓝牙</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电池容量：≥8000mAh</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前置摄像头：≥800w</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后置摄像头：≥1300W+500</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其中1台配套原装磁吸键盘和触控笔</w:t>
            </w:r>
          </w:p>
        </w:tc>
        <w:tc>
          <w:tcPr>
            <w:tcW w:w="818" w:type="dxa"/>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sz w:val="21"/>
                <w:szCs w:val="21"/>
                <w:highlight w:val="none"/>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学生桌椅（虚拟考核系统）</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1.三角形组合式实验桌：双人电脑桌子，带2个主机架，带键盘位，规格：≥1550*600*750mm，含2张凳子；2张可组成一个正六角桌，亦可通过其他方式任意组合。</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尺寸：≥140*70*75cm</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台体采用钢架结构，台面采用2.5CM厚E1环保板材</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配套万向轮底座，可便于移动。</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2.橡木25方1.2壁厚</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p>
        </w:tc>
        <w:tc>
          <w:tcPr>
            <w:tcW w:w="2018" w:type="dxa"/>
            <w:gridSpan w:val="2"/>
            <w:noWrap w:val="0"/>
            <w:vAlign w:val="top"/>
          </w:tcPr>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p>
          <w:p>
            <w:pPr>
              <w:keepNext w:val="0"/>
              <w:keepLines w:val="0"/>
              <w:widowControl/>
              <w:suppressLineNumbers w:val="0"/>
              <w:spacing w:beforeAutospacing="0" w:afterAutospacing="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教师桌椅（虚拟考核系统）</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XCY-04教师桌：</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1.类型：多媒体讲台;</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2.产品尺寸：≥1140mm*800mm*1000mm;</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3.材质:优质冷轧钢板台体/木制耐划台面/橡木扶手</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4.功能：可集成翻转显示器、中控系统等多种电教设备于一体。</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2.S165-01-白色教师椅：</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1.类型：简约可升降旋转电脑转椅</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2.产品尺寸：≥560 mm*480mm* 730-830mm</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3.材质：PP材质框架+加厚海绵坐垫</w:t>
            </w:r>
          </w:p>
        </w:tc>
        <w:tc>
          <w:tcPr>
            <w:tcW w:w="818"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723" w:type="dxa"/>
            <w:noWrap w:val="0"/>
            <w:vAlign w:val="center"/>
          </w:tcPr>
          <w:p>
            <w:pPr>
              <w:keepNext w:val="0"/>
              <w:keepLines w:val="0"/>
              <w:suppressLineNumbers w:val="0"/>
              <w:spacing w:beforeAutospacing="0" w:afterAutospacing="0" w:line="52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4</w:t>
            </w:r>
          </w:p>
        </w:tc>
        <w:tc>
          <w:tcPr>
            <w:tcW w:w="2018" w:type="dxa"/>
            <w:gridSpan w:val="2"/>
            <w:noWrap w:val="0"/>
            <w:vAlign w:val="top"/>
          </w:tcPr>
          <w:p>
            <w:pPr>
              <w:keepNext w:val="0"/>
              <w:keepLines w:val="0"/>
              <w:suppressLineNumbers w:val="0"/>
              <w:spacing w:beforeAutospacing="0" w:afterAutospacing="0"/>
              <w:rPr>
                <w:rFonts w:hint="eastAsia" w:ascii="宋体" w:hAnsi="宋体" w:eastAsia="宋体" w:cs="宋体"/>
                <w:color w:val="auto"/>
                <w:sz w:val="21"/>
                <w:szCs w:val="21"/>
                <w:highlight w:val="none"/>
                <w:lang w:val="en-US" w:eastAsia="zh-CN"/>
              </w:rPr>
            </w:pPr>
          </w:p>
          <w:p>
            <w:pPr>
              <w:keepNext w:val="0"/>
              <w:keepLines w:val="0"/>
              <w:suppressLineNumbers w:val="0"/>
              <w:spacing w:beforeAutospacing="0" w:afterAutospacing="0"/>
              <w:rPr>
                <w:rFonts w:hint="eastAsia" w:ascii="宋体" w:hAnsi="宋体" w:eastAsia="宋体" w:cs="宋体"/>
                <w:color w:val="auto"/>
                <w:sz w:val="21"/>
                <w:szCs w:val="21"/>
                <w:highlight w:val="none"/>
                <w:lang w:val="en-US" w:eastAsia="zh-CN"/>
              </w:rPr>
            </w:pPr>
          </w:p>
          <w:p>
            <w:pPr>
              <w:keepNext w:val="0"/>
              <w:keepLines w:val="0"/>
              <w:suppressLineNumbers w:val="0"/>
              <w:spacing w:beforeAutospacing="0" w:afterAutospacing="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1+X实训室数据维护</w:t>
            </w:r>
            <w:r>
              <w:rPr>
                <w:rFonts w:hint="eastAsia" w:ascii="宋体" w:hAnsi="宋体" w:eastAsia="宋体" w:cs="宋体"/>
                <w:color w:val="auto"/>
                <w:sz w:val="21"/>
                <w:szCs w:val="21"/>
                <w:highlight w:val="none"/>
              </w:rPr>
              <w:t>电脑</w:t>
            </w:r>
          </w:p>
        </w:tc>
        <w:tc>
          <w:tcPr>
            <w:tcW w:w="6041" w:type="dxa"/>
            <w:noWrap w:val="0"/>
            <w:vAlign w:val="center"/>
          </w:tcPr>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商品名称：联想小新Air15</w:t>
            </w:r>
            <w:r>
              <w:rPr>
                <w:rFonts w:hint="eastAsia" w:ascii="宋体" w:hAnsi="宋体" w:eastAsia="宋体" w:cs="宋体"/>
                <w:color w:val="auto"/>
                <w:sz w:val="21"/>
                <w:szCs w:val="21"/>
                <w:highlight w:val="none"/>
                <w:lang w:val="en-US" w:eastAsia="zh-CN"/>
              </w:rPr>
              <w:t>及以上</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类型：轻薄笔记本</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屏幕尺寸：15.0-15.9英寸</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支持IPv6：支持IPv6</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处理器：intel i5</w:t>
            </w:r>
            <w:r>
              <w:rPr>
                <w:rFonts w:hint="eastAsia" w:ascii="宋体" w:hAnsi="宋体" w:eastAsia="宋体" w:cs="宋体"/>
                <w:color w:val="auto"/>
                <w:sz w:val="21"/>
                <w:szCs w:val="21"/>
                <w:highlight w:val="none"/>
                <w:lang w:val="en-US" w:eastAsia="zh-CN"/>
              </w:rPr>
              <w:t>及以上</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屏幕刷新率：60Hz</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显卡型号：集成显卡</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内存容量：≥16GB</w:t>
            </w:r>
          </w:p>
          <w:p>
            <w:pPr>
              <w:keepNext w:val="0"/>
              <w:keepLines w:val="0"/>
              <w:widowControl/>
              <w:suppressLineNumbers w:val="0"/>
              <w:spacing w:beforeAutospacing="0" w:afterAutospacing="0" w:line="28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固态硬盘（SSD）：≥512GB</w:t>
            </w:r>
          </w:p>
        </w:tc>
        <w:tc>
          <w:tcPr>
            <w:tcW w:w="818" w:type="dxa"/>
            <w:noWrap w:val="0"/>
            <w:vAlign w:val="center"/>
          </w:tcPr>
          <w:p>
            <w:pPr>
              <w:keepNext w:val="0"/>
              <w:keepLines w:val="0"/>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pPr>
        <w:pStyle w:val="3"/>
        <w:ind w:firstLine="480"/>
        <w:rPr>
          <w:rFonts w:hint="eastAsia" w:ascii="宋体" w:hAnsi="宋体" w:eastAsia="宋体" w:cs="宋体"/>
          <w:bCs/>
          <w:color w:val="auto"/>
          <w:sz w:val="24"/>
          <w:highlight w:val="none"/>
        </w:rPr>
      </w:pPr>
    </w:p>
    <w:p>
      <w:pPr>
        <w:pStyle w:val="3"/>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本系统支持“1+X”职业技能等级标准要求的中级技能考核包含并不限于以下考核项目：</w:t>
      </w:r>
    </w:p>
    <w:p>
      <w:pPr>
        <w:shd w:val="clear" w:color="auto" w:fill="FFFFFF"/>
        <w:ind w:left="48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表1考核项目（中级技能）</w:t>
      </w:r>
    </w:p>
    <w:tbl>
      <w:tblPr>
        <w:tblStyle w:val="25"/>
        <w:tblW w:w="9614" w:type="dxa"/>
        <w:jc w:val="center"/>
        <w:tblLayout w:type="fixed"/>
        <w:tblCellMar>
          <w:top w:w="0" w:type="dxa"/>
          <w:left w:w="108" w:type="dxa"/>
          <w:bottom w:w="0" w:type="dxa"/>
          <w:right w:w="108" w:type="dxa"/>
        </w:tblCellMar>
      </w:tblPr>
      <w:tblGrid>
        <w:gridCol w:w="1623"/>
        <w:gridCol w:w="2714"/>
        <w:gridCol w:w="5277"/>
      </w:tblGrid>
      <w:tr>
        <w:tblPrEx>
          <w:tblCellMar>
            <w:top w:w="0" w:type="dxa"/>
            <w:left w:w="108" w:type="dxa"/>
            <w:bottom w:w="0" w:type="dxa"/>
            <w:right w:w="108" w:type="dxa"/>
          </w:tblCellMar>
        </w:tblPrEx>
        <w:trPr>
          <w:trHeight w:val="270" w:hRule="atLeast"/>
          <w:jc w:val="center"/>
        </w:trPr>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项目类别</w:t>
            </w:r>
          </w:p>
        </w:tc>
        <w:tc>
          <w:tcPr>
            <w:tcW w:w="271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考核项目</w:t>
            </w:r>
          </w:p>
        </w:tc>
        <w:tc>
          <w:tcPr>
            <w:tcW w:w="52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考核内容</w:t>
            </w:r>
          </w:p>
        </w:tc>
      </w:tr>
      <w:tr>
        <w:tblPrEx>
          <w:tblCellMar>
            <w:top w:w="0" w:type="dxa"/>
            <w:left w:w="108" w:type="dxa"/>
            <w:bottom w:w="0" w:type="dxa"/>
            <w:right w:w="108" w:type="dxa"/>
          </w:tblCellMar>
        </w:tblPrEx>
        <w:trPr>
          <w:trHeight w:val="270" w:hRule="atLeast"/>
          <w:jc w:val="center"/>
        </w:trPr>
        <w:tc>
          <w:tcPr>
            <w:tcW w:w="162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现场信号设备操作</w:t>
            </w:r>
          </w:p>
        </w:tc>
        <w:tc>
          <w:tcPr>
            <w:tcW w:w="271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计算机联锁设备操作</w:t>
            </w: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区间改方操作业务办理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站内设备的行车状况变化信息识读</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轨道区段操作业务办理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存储信息调阅查询</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行车状况变化信息识读</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接发车、调车作业办理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道岔操作业务办理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信号按钮操作业务办理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信号重开操作业务办理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其它联锁控制台操作业务办理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列控地面设备操作</w:t>
            </w: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应答器报文读写</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存储信息调阅查询</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行车状况变化信息识读</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柜面板指示灯含义及操作</w:t>
            </w:r>
          </w:p>
        </w:tc>
      </w:tr>
      <w:tr>
        <w:tblPrEx>
          <w:tblCellMar>
            <w:top w:w="0" w:type="dxa"/>
            <w:left w:w="108" w:type="dxa"/>
            <w:bottom w:w="0" w:type="dxa"/>
            <w:right w:w="108" w:type="dxa"/>
          </w:tblCellMar>
        </w:tblPrEx>
        <w:trPr>
          <w:trHeight w:val="270" w:hRule="atLeast"/>
          <w:jc w:val="center"/>
        </w:trPr>
        <w:tc>
          <w:tcPr>
            <w:tcW w:w="162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现场信号设备施工与维护</w:t>
            </w:r>
          </w:p>
        </w:tc>
        <w:tc>
          <w:tcPr>
            <w:tcW w:w="271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列控地面设备施工与维护</w:t>
            </w:r>
          </w:p>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列控地面设备安装</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主备机冗余切换、倒机试验</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电池性能测试</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轨道电路设备施工与维护</w:t>
            </w: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轨道电路设备的安装、调试</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轨道电路设备电气特性测试</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轨道电路设备整治</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分路残压测量</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信号机设备施工与维护</w:t>
            </w: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信号机设备安装、调试</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信号机设备电气特性测试</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主、付灯丝转换试验</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信号机电灯试验</w:t>
            </w:r>
          </w:p>
        </w:tc>
      </w:tr>
      <w:tr>
        <w:tblPrEx>
          <w:tblCellMar>
            <w:top w:w="0" w:type="dxa"/>
            <w:left w:w="108" w:type="dxa"/>
            <w:bottom w:w="0" w:type="dxa"/>
            <w:right w:w="108" w:type="dxa"/>
          </w:tblCellMar>
        </w:tblPrEx>
        <w:trPr>
          <w:trHeight w:val="270" w:hRule="atLeast"/>
          <w:jc w:val="center"/>
        </w:trPr>
        <w:tc>
          <w:tcPr>
            <w:tcW w:w="162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现场信号设备故障处理</w:t>
            </w:r>
          </w:p>
        </w:tc>
        <w:tc>
          <w:tcPr>
            <w:tcW w:w="271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轨道电路设备故障处理</w:t>
            </w:r>
          </w:p>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电气开路等常见故障处理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连接线缆故障处理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设备更换后的试验</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信号机设备故障处理</w:t>
            </w: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信号机异常显示判断</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电气开路等常见故障处理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连接线缆故障处理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设备更换后的试验</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列控地面设备故障处理</w:t>
            </w: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报警信息和指示灯状态判断及处理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电气开路等常见故障处理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连接线缆故障处理</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应急操作及恢复倒切</w:t>
            </w:r>
          </w:p>
        </w:tc>
      </w:tr>
      <w:tr>
        <w:tblPrEx>
          <w:tblCellMar>
            <w:top w:w="0" w:type="dxa"/>
            <w:left w:w="108" w:type="dxa"/>
            <w:bottom w:w="0" w:type="dxa"/>
            <w:right w:w="108" w:type="dxa"/>
          </w:tblCellMar>
        </w:tblPrEx>
        <w:trPr>
          <w:trHeight w:val="270" w:hRule="atLeas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271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p>
        </w:tc>
        <w:tc>
          <w:tcPr>
            <w:tcW w:w="52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设备模块更换后的试验</w:t>
            </w:r>
          </w:p>
        </w:tc>
      </w:tr>
    </w:tbl>
    <w:p>
      <w:pPr>
        <w:shd w:val="clear" w:color="auto" w:fill="FFFFFF"/>
        <w:ind w:left="-209" w:leftChars="-95" w:right="-414" w:rightChars="-188" w:firstLine="200" w:firstLineChars="83"/>
        <w:jc w:val="both"/>
        <w:rPr>
          <w:rFonts w:hint="eastAsia" w:ascii="宋体" w:hAnsi="宋体" w:eastAsia="宋体" w:cs="宋体"/>
          <w:b/>
          <w:color w:val="auto"/>
          <w:sz w:val="24"/>
          <w:highlight w:val="none"/>
        </w:rPr>
      </w:pPr>
    </w:p>
    <w:p>
      <w:pPr>
        <w:shd w:val="clear" w:color="auto" w:fill="FFFFFF"/>
        <w:ind w:left="-209" w:leftChars="-95" w:right="-414" w:rightChars="-188" w:firstLine="200" w:firstLineChars="83"/>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为有助于投标人选择投标产品，项目说明中提供了推荐品牌（或型号）、参考品牌（或型号）等，但这些品牌（或型号）仅供参考，并无限制性。投标人可以选择性能不低于推荐（或参考）的品牌（或型号）的其他品牌产品，投标时应当提供有关技术证明资料。</w:t>
      </w:r>
    </w:p>
    <w:p>
      <w:pPr>
        <w:pStyle w:val="6"/>
        <w:tabs>
          <w:tab w:val="left" w:pos="1607"/>
        </w:tabs>
        <w:spacing w:before="54"/>
        <w:ind w:right="400"/>
        <w:jc w:val="center"/>
        <w:rPr>
          <w:rFonts w:hint="eastAsia" w:ascii="宋体" w:hAnsi="宋体" w:eastAsia="宋体" w:cs="宋体"/>
          <w:color w:val="auto"/>
          <w:highlight w:val="none"/>
        </w:rPr>
      </w:pPr>
    </w:p>
    <w:p>
      <w:pPr>
        <w:pStyle w:val="6"/>
        <w:tabs>
          <w:tab w:val="left" w:pos="1607"/>
        </w:tabs>
        <w:spacing w:before="54"/>
        <w:ind w:right="400"/>
        <w:jc w:val="center"/>
        <w:rPr>
          <w:rFonts w:hint="eastAsia" w:ascii="宋体" w:hAnsi="宋体" w:eastAsia="宋体" w:cs="宋体"/>
          <w:color w:val="auto"/>
          <w:highlight w:val="none"/>
        </w:rPr>
      </w:pPr>
    </w:p>
    <w:p>
      <w:pPr>
        <w:pStyle w:val="6"/>
        <w:tabs>
          <w:tab w:val="left" w:pos="1607"/>
        </w:tabs>
        <w:spacing w:before="54"/>
        <w:ind w:right="400"/>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keepNext w:val="0"/>
        <w:keepLines w:val="0"/>
        <w:pageBreakBefore w:val="0"/>
        <w:widowControl w:val="0"/>
        <w:tabs>
          <w:tab w:val="left" w:pos="1607"/>
        </w:tabs>
        <w:kinsoku/>
        <w:wordWrap/>
        <w:overflowPunct/>
        <w:topLinePunct w:val="0"/>
        <w:autoSpaceDE w:val="0"/>
        <w:autoSpaceDN w:val="0"/>
        <w:bidi w:val="0"/>
        <w:adjustRightInd/>
        <w:snapToGrid/>
        <w:spacing w:before="0" w:line="360" w:lineRule="auto"/>
        <w:ind w:right="403"/>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合同条款</w:t>
      </w:r>
    </w:p>
    <w:p>
      <w:pPr>
        <w:spacing w:before="122"/>
        <w:ind w:left="677" w:right="626" w:firstLine="0"/>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（本合同仅供参考，具体以实际签订的为准）</w:t>
      </w:r>
    </w:p>
    <w:p>
      <w:pPr>
        <w:rPr>
          <w:rFonts w:hint="eastAsia" w:ascii="宋体" w:hAnsi="宋体" w:eastAsia="宋体" w:cs="宋体"/>
          <w:b/>
          <w:color w:val="auto"/>
          <w:sz w:val="22"/>
          <w:highlight w:val="none"/>
        </w:rPr>
      </w:pPr>
    </w:p>
    <w:p>
      <w:pPr>
        <w:snapToGrid w:val="0"/>
        <w:spacing w:line="360" w:lineRule="auto"/>
        <w:ind w:firstLine="480" w:firstLineChars="200"/>
        <w:rPr>
          <w:rFonts w:hint="eastAsia" w:ascii="宋体" w:hAnsi="宋体" w:eastAsia="宋体" w:cs="宋体"/>
          <w:color w:val="auto"/>
          <w:sz w:val="24"/>
          <w:szCs w:val="24"/>
          <w:highlight w:val="none"/>
          <w:lang w:eastAsia="zh-CN"/>
        </w:rPr>
      </w:pPr>
    </w:p>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合同号：</w:t>
      </w:r>
    </w:p>
    <w:p>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甲方（采购单位）：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甲乙双方根据   年  月  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所签发的《</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通知书》（编号：   ），以及招标文件、投标文件的规定，并经双方协商一致，达成本购销合同（</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文件以及甲、乙双方商定确认后的补充协议构成本合同不可分割的部份）：</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一、采购内容</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2"/>
        <w:gridCol w:w="2119"/>
        <w:gridCol w:w="2119"/>
        <w:gridCol w:w="1801"/>
        <w:gridCol w:w="18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名称</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数量</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rPr>
                <w:rFonts w:hint="eastAsia" w:ascii="宋体" w:hAnsi="宋体" w:eastAsia="宋体" w:cs="宋体"/>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rPr>
                <w:rFonts w:hint="eastAsia" w:ascii="宋体" w:hAnsi="宋体" w:eastAsia="宋体" w:cs="宋体"/>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rPr>
                <w:rFonts w:hint="eastAsia" w:ascii="宋体" w:hAnsi="宋体" w:eastAsia="宋体" w:cs="宋体"/>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rPr>
                <w:rFonts w:hint="eastAsia" w:ascii="宋体" w:hAnsi="宋体" w:eastAsia="宋体" w:cs="宋体"/>
                <w:color w:val="auto"/>
                <w:sz w:val="24"/>
                <w:szCs w:val="24"/>
                <w:highlight w:val="none"/>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center"/>
              <w:rPr>
                <w:rFonts w:hint="eastAsia" w:ascii="宋体" w:hAnsi="宋体" w:eastAsia="宋体" w:cs="宋体"/>
                <w:color w:val="auto"/>
                <w:sz w:val="24"/>
                <w:szCs w:val="24"/>
                <w:highlight w:val="none"/>
              </w:rPr>
            </w:pPr>
          </w:p>
        </w:tc>
      </w:tr>
    </w:tbl>
    <w:p>
      <w:pPr>
        <w:snapToGrid w:val="0"/>
        <w:spacing w:line="240" w:lineRule="auto"/>
        <w:ind w:firstLine="480" w:firstLineChars="200"/>
        <w:rPr>
          <w:rFonts w:hint="eastAsia" w:ascii="宋体" w:hAnsi="宋体" w:eastAsia="宋体" w:cs="宋体"/>
          <w:color w:val="auto"/>
          <w:sz w:val="24"/>
          <w:szCs w:val="24"/>
          <w:highlight w:val="none"/>
        </w:rPr>
      </w:pPr>
    </w:p>
    <w:p>
      <w:pPr>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本合同的采购总金额为（大写）</w:t>
      </w:r>
      <w:r>
        <w:rPr>
          <w:rFonts w:hint="eastAsia" w:ascii="宋体" w:hAnsi="宋体" w:eastAsia="宋体" w:cs="宋体"/>
          <w:color w:val="auto"/>
          <w:sz w:val="24"/>
          <w:szCs w:val="24"/>
          <w:highlight w:val="none"/>
          <w:u w:val="single"/>
        </w:rPr>
        <w:t xml:space="preserve">                （¥）人民</w:t>
      </w:r>
      <w:r>
        <w:rPr>
          <w:rFonts w:hint="eastAsia" w:ascii="宋体" w:hAnsi="宋体" w:eastAsia="宋体" w:cs="宋体"/>
          <w:color w:val="auto"/>
          <w:sz w:val="24"/>
          <w:szCs w:val="24"/>
          <w:highlight w:val="none"/>
        </w:rPr>
        <w:t>币，该价格为交货含税价。</w:t>
      </w:r>
    </w:p>
    <w:p>
      <w:pPr>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、付款方式</w:t>
      </w:r>
      <w:r>
        <w:rPr>
          <w:rFonts w:hint="eastAsia" w:ascii="宋体" w:hAnsi="宋体" w:eastAsia="宋体" w:cs="宋体"/>
          <w:bCs/>
          <w:color w:val="auto"/>
          <w:sz w:val="24"/>
          <w:szCs w:val="24"/>
          <w:highlight w:val="none"/>
          <w:lang w:eastAsia="zh-CN"/>
        </w:rPr>
        <w:t>：</w:t>
      </w:r>
    </w:p>
    <w:p>
      <w:pPr>
        <w:snapToGrid w:val="0"/>
        <w:spacing w:line="24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合同签订后支付合同总价的</w:t>
      </w:r>
      <w:r>
        <w:rPr>
          <w:rFonts w:hint="eastAsia" w:ascii="宋体" w:hAnsi="宋体" w:eastAsia="宋体" w:cs="宋体"/>
          <w:b w:val="0"/>
          <w:bCs/>
          <w:color w:val="auto"/>
          <w:sz w:val="24"/>
          <w:szCs w:val="24"/>
          <w:highlight w:val="none"/>
          <w:lang w:val="en-US" w:eastAsia="zh-CN"/>
        </w:rPr>
        <w:t>40</w:t>
      </w:r>
      <w:r>
        <w:rPr>
          <w:rFonts w:hint="eastAsia" w:ascii="宋体" w:hAnsi="宋体" w:eastAsia="宋体" w:cs="宋体"/>
          <w:b w:val="0"/>
          <w:bCs/>
          <w:color w:val="auto"/>
          <w:sz w:val="24"/>
          <w:szCs w:val="24"/>
          <w:highlight w:val="none"/>
          <w:lang w:eastAsia="zh-CN"/>
        </w:rPr>
        <w:t>%，全部完成并验收合格后支付合同总价的</w:t>
      </w:r>
      <w:r>
        <w:rPr>
          <w:rFonts w:hint="eastAsia" w:ascii="宋体" w:hAnsi="宋体" w:eastAsia="宋体" w:cs="宋体"/>
          <w:b w:val="0"/>
          <w:bCs/>
          <w:color w:val="auto"/>
          <w:sz w:val="24"/>
          <w:szCs w:val="24"/>
          <w:highlight w:val="none"/>
          <w:lang w:val="en-US" w:eastAsia="zh-CN"/>
        </w:rPr>
        <w:t>55</w:t>
      </w:r>
      <w:r>
        <w:rPr>
          <w:rFonts w:hint="eastAsia" w:ascii="宋体" w:hAnsi="宋体" w:eastAsia="宋体" w:cs="宋体"/>
          <w:b w:val="0"/>
          <w:bCs/>
          <w:color w:val="auto"/>
          <w:sz w:val="24"/>
          <w:szCs w:val="24"/>
          <w:highlight w:val="none"/>
          <w:lang w:eastAsia="zh-CN"/>
        </w:rPr>
        <w:t>%，留合同总价款的5％作为质量保证金，一年后，无质量问题，无息退还；</w:t>
      </w:r>
    </w:p>
    <w:p>
      <w:pPr>
        <w:snapToGrid w:val="0"/>
        <w:spacing w:line="24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采购人采用转帐支票或电汇、承兑汇票等方式向成交人支付货款；</w:t>
      </w:r>
    </w:p>
    <w:p>
      <w:pPr>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、知识产权</w:t>
      </w:r>
    </w:p>
    <w:p>
      <w:pPr>
        <w:snapToGrid w:val="0"/>
        <w:spacing w:line="24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乙方应保证甲方在使用、接受本合同产品和服务或其任何一部分时不受第三方提出侵犯其专利权、版权、商标权和工业设计权等知识产权的起诉。一旦出现侵权，由乙方负全部责任。</w:t>
      </w:r>
    </w:p>
    <w:p>
      <w:pPr>
        <w:snapToGrid w:val="0"/>
        <w:spacing w:line="24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四</w:t>
      </w:r>
      <w:r>
        <w:rPr>
          <w:rFonts w:hint="eastAsia" w:ascii="宋体" w:hAnsi="宋体" w:eastAsia="宋体" w:cs="宋体"/>
          <w:b/>
          <w:bCs w:val="0"/>
          <w:color w:val="auto"/>
          <w:sz w:val="24"/>
          <w:szCs w:val="24"/>
          <w:highlight w:val="none"/>
        </w:rPr>
        <w:t>、 违约责任</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1、在本合同约定的供货周期完成前，乙方单位单方解除合同或中止供货，视为乙方违约，应支付本合同总金额 10 %给甲方作为违约金。</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、因乙方提供的产品质量原因造成的甲方直接及间接损失由乙方承担责任。</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、因履行合同造成的甲方及第三人人身损害及财产损失由乙方承担责任。</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、甲方无正当理由拒收货物的，甲方应偿付本合同总额的10%违约金。</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、甲方不按照本合同规定准时支付货款时，应从最迟付款日的次日起，每日向乙方偿付1‰违约金。违约金额不超过合同总额的5%为限度。</w:t>
      </w:r>
    </w:p>
    <w:p>
      <w:pPr>
        <w:snapToGrid w:val="0"/>
        <w:spacing w:line="240" w:lineRule="auto"/>
        <w:rPr>
          <w:rFonts w:hint="eastAsia" w:ascii="宋体" w:hAnsi="宋体" w:eastAsia="宋体" w:cs="宋体"/>
          <w:b/>
          <w:color w:val="auto"/>
          <w:sz w:val="24"/>
          <w:szCs w:val="24"/>
          <w:highlight w:val="none"/>
        </w:rPr>
      </w:pPr>
    </w:p>
    <w:p>
      <w:pPr>
        <w:snapToGrid w:val="0"/>
        <w:spacing w:line="240" w:lineRule="auto"/>
        <w:rPr>
          <w:rFonts w:hint="eastAsia" w:ascii="宋体" w:hAnsi="宋体" w:eastAsia="宋体" w:cs="宋体"/>
          <w:b/>
          <w:bCs w:val="0"/>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项目完成期限</w:t>
      </w:r>
      <w:r>
        <w:rPr>
          <w:rFonts w:hint="eastAsia" w:ascii="宋体" w:hAnsi="宋体" w:eastAsia="宋体" w:cs="宋体"/>
          <w:b/>
          <w:color w:val="auto"/>
          <w:sz w:val="24"/>
          <w:szCs w:val="24"/>
          <w:highlight w:val="none"/>
        </w:rPr>
        <w:t>：自合同签订之日起至2022</w:t>
      </w:r>
      <w:r>
        <w:rPr>
          <w:rFonts w:hint="eastAsia" w:ascii="宋体" w:hAnsi="宋体" w:eastAsia="宋体" w:cs="宋体"/>
          <w:b/>
          <w:color w:val="auto"/>
          <w:sz w:val="24"/>
          <w:szCs w:val="24"/>
          <w:highlight w:val="none"/>
          <w:lang w:eastAsia="zh-CN"/>
        </w:rPr>
        <w:t>年</w:t>
      </w: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eastAsia="zh-CN"/>
        </w:rPr>
        <w:t>月</w:t>
      </w:r>
      <w:r>
        <w:rPr>
          <w:rFonts w:hint="eastAsia" w:ascii="宋体" w:hAnsi="宋体" w:eastAsia="宋体" w:cs="宋体"/>
          <w:b/>
          <w:color w:val="auto"/>
          <w:sz w:val="24"/>
          <w:szCs w:val="24"/>
          <w:highlight w:val="none"/>
        </w:rPr>
        <w:t>30</w:t>
      </w:r>
      <w:r>
        <w:rPr>
          <w:rFonts w:hint="eastAsia" w:ascii="宋体" w:hAnsi="宋体" w:eastAsia="宋体" w:cs="宋体"/>
          <w:b/>
          <w:color w:val="auto"/>
          <w:sz w:val="24"/>
          <w:szCs w:val="24"/>
          <w:highlight w:val="none"/>
          <w:lang w:eastAsia="zh-CN"/>
        </w:rPr>
        <w:t>日</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六、双方义务：</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1.甲方义务：</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（1）甲方应按合同规定，按时支付合同项目所需的费用。</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（2）未经乙方同意，甲方不得将由乙方提供的技术资料和其他资料泄露给与本项目无关的单位或个人。</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2.乙方义务</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（1）乙方应根据合同按时、按质、按量向甲方提交供货清单的全套设备（包括软件和硬件）及设备说明书。</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（2）不得将由甲方提供的，构成秘密的技术资料和其他资料，泄露给与本项目无关的单位或个人。</w:t>
      </w:r>
    </w:p>
    <w:p>
      <w:pPr>
        <w:snapToGrid w:val="0"/>
        <w:spacing w:line="24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）乙方免费为甲方相关人员提供现场技术培训。</w:t>
      </w:r>
    </w:p>
    <w:p>
      <w:pPr>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、仲裁</w:t>
      </w:r>
    </w:p>
    <w:p>
      <w:pPr>
        <w:snapToGrid w:val="0"/>
        <w:spacing w:line="24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双方在执行合同中所发生的一切争议，应通过协商解决。如协商不成，则向合同签订所在地仲裁部门提交仲裁或法院起诉。</w:t>
      </w:r>
    </w:p>
    <w:p>
      <w:pPr>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、合同生效及其它</w:t>
      </w:r>
    </w:p>
    <w:p>
      <w:pPr>
        <w:tabs>
          <w:tab w:val="left" w:pos="0"/>
        </w:tabs>
        <w:snapToGrid w:val="0"/>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1、合同经双方法定代表人或委托代理人签字加盖单位公章后生效。</w:t>
      </w:r>
    </w:p>
    <w:p>
      <w:pPr>
        <w:tabs>
          <w:tab w:val="left" w:pos="0"/>
        </w:tabs>
        <w:snapToGrid w:val="0"/>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2、合同执行中，如需修改或补充合同内容，由双方协商同意后，另签署书面修改或补充协议作为主合同不可分割的一部分。</w:t>
      </w:r>
    </w:p>
    <w:p>
      <w:pPr>
        <w:tabs>
          <w:tab w:val="left" w:pos="0"/>
        </w:tabs>
        <w:snapToGrid w:val="0"/>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3、本合同一式二份，甲、乙双方各一份，均具同等法律效力。</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（盖章）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乙方：   （盖章）</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            法定代表人（授权代表）：</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电    话：                      </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签约日期：XX年XX月XX日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签约日期：XX年XX月XX日</w:t>
      </w:r>
    </w:p>
    <w:p>
      <w:pPr>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5"/>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5"/>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sz w:val="20"/>
          <w:highlight w:val="none"/>
        </w:rPr>
      </w:pPr>
    </w:p>
    <w:p>
      <w:pPr>
        <w:pStyle w:val="5"/>
        <w:rPr>
          <w:rFonts w:hint="eastAsia" w:ascii="宋体" w:hAnsi="宋体" w:eastAsia="宋体" w:cs="宋体"/>
          <w:color w:val="auto"/>
          <w:sz w:val="20"/>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20"/>
          <w:highlight w:val="none"/>
        </w:rPr>
      </w:pPr>
    </w:p>
    <w:p>
      <w:pPr>
        <w:tabs>
          <w:tab w:val="left" w:pos="2349"/>
        </w:tabs>
        <w:spacing w:before="204"/>
        <w:ind w:left="0" w:right="400" w:firstLine="0"/>
        <w:jc w:val="center"/>
        <w:rPr>
          <w:rFonts w:hint="eastAsia" w:ascii="宋体" w:hAnsi="宋体" w:eastAsia="宋体" w:cs="宋体"/>
          <w:b/>
          <w:color w:val="auto"/>
          <w:sz w:val="36"/>
          <w:highlight w:val="none"/>
        </w:rPr>
      </w:pPr>
    </w:p>
    <w:p>
      <w:pPr>
        <w:tabs>
          <w:tab w:val="left" w:pos="2349"/>
        </w:tabs>
        <w:spacing w:before="204"/>
        <w:ind w:left="0" w:right="400" w:firstLine="0"/>
        <w:jc w:val="center"/>
        <w:rPr>
          <w:rFonts w:hint="eastAsia" w:ascii="宋体" w:hAnsi="宋体" w:eastAsia="宋体" w:cs="宋体"/>
          <w:b/>
          <w:color w:val="auto"/>
          <w:sz w:val="36"/>
          <w:highlight w:val="none"/>
        </w:rPr>
      </w:pPr>
    </w:p>
    <w:p>
      <w:pPr>
        <w:tabs>
          <w:tab w:val="left" w:pos="2349"/>
        </w:tabs>
        <w:spacing w:before="204"/>
        <w:ind w:left="0" w:right="400" w:firstLine="0"/>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第五部分</w:t>
      </w:r>
      <w:r>
        <w:rPr>
          <w:rFonts w:hint="eastAsia" w:ascii="宋体" w:hAnsi="宋体" w:eastAsia="宋体" w:cs="宋体"/>
          <w:b/>
          <w:color w:val="auto"/>
          <w:spacing w:val="-1"/>
          <w:sz w:val="36"/>
          <w:highlight w:val="none"/>
        </w:rPr>
        <w:t xml:space="preserve"> </w:t>
      </w:r>
      <w:r>
        <w:rPr>
          <w:rFonts w:hint="eastAsia" w:ascii="宋体" w:hAnsi="宋体" w:eastAsia="宋体" w:cs="宋体"/>
          <w:b/>
          <w:color w:val="auto"/>
          <w:sz w:val="36"/>
          <w:highlight w:val="none"/>
        </w:rPr>
        <w:t>附</w:t>
      </w:r>
      <w:r>
        <w:rPr>
          <w:rFonts w:hint="eastAsia" w:ascii="宋体" w:hAnsi="宋体" w:eastAsia="宋体" w:cs="宋体"/>
          <w:b/>
          <w:color w:val="auto"/>
          <w:sz w:val="36"/>
          <w:highlight w:val="none"/>
        </w:rPr>
        <w:tab/>
      </w:r>
      <w:r>
        <w:rPr>
          <w:rFonts w:hint="eastAsia" w:ascii="宋体" w:hAnsi="宋体" w:eastAsia="宋体" w:cs="宋体"/>
          <w:b/>
          <w:color w:val="auto"/>
          <w:sz w:val="36"/>
          <w:highlight w:val="none"/>
        </w:rPr>
        <w:t>件</w:t>
      </w:r>
    </w:p>
    <w:p>
      <w:pPr>
        <w:spacing w:before="11"/>
        <w:rPr>
          <w:rFonts w:hint="eastAsia" w:ascii="宋体" w:hAnsi="宋体" w:eastAsia="宋体" w:cs="宋体"/>
          <w:b/>
          <w:color w:val="auto"/>
          <w:sz w:val="28"/>
          <w:highlight w:val="none"/>
        </w:rPr>
      </w:pPr>
    </w:p>
    <w:p>
      <w:pPr>
        <w:pStyle w:val="10"/>
        <w:spacing w:before="1"/>
        <w:rPr>
          <w:rFonts w:hint="eastAsia" w:ascii="宋体" w:hAnsi="宋体" w:eastAsia="宋体" w:cs="宋体"/>
          <w:color w:val="auto"/>
          <w:highlight w:val="none"/>
        </w:rPr>
      </w:pPr>
      <w:r>
        <w:rPr>
          <w:rFonts w:hint="eastAsia" w:ascii="宋体" w:hAnsi="宋体" w:eastAsia="宋体" w:cs="宋体"/>
          <w:color w:val="auto"/>
          <w:highlight w:val="none"/>
        </w:rPr>
        <w:t>（投标文件制作参考格式）</w:t>
      </w:r>
    </w:p>
    <w:p>
      <w:pPr>
        <w:spacing w:after="0"/>
        <w:rPr>
          <w:rFonts w:hint="eastAsia" w:ascii="宋体" w:hAnsi="宋体" w:eastAsia="宋体" w:cs="宋体"/>
          <w:color w:val="auto"/>
          <w:highlight w:val="none"/>
        </w:rPr>
        <w:sectPr>
          <w:footerReference r:id="rId8" w:type="default"/>
          <w:pgSz w:w="11910" w:h="16840"/>
          <w:pgMar w:top="1134" w:right="1134" w:bottom="1134" w:left="1134" w:header="0" w:footer="998" w:gutter="0"/>
          <w:cols w:space="0" w:num="1"/>
          <w:rtlGutter w:val="0"/>
          <w:docGrid w:linePitch="0" w:charSpace="0"/>
        </w:sectPr>
      </w:pPr>
    </w:p>
    <w:p>
      <w:pPr>
        <w:widowControl/>
        <w:tabs>
          <w:tab w:val="left" w:pos="2445"/>
        </w:tabs>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正本(或副本)</w:t>
      </w:r>
    </w:p>
    <w:p>
      <w:pPr>
        <w:spacing w:before="8" w:after="1"/>
        <w:rPr>
          <w:rFonts w:hint="eastAsia" w:ascii="宋体" w:hAnsi="宋体" w:eastAsia="宋体" w:cs="宋体"/>
          <w:b/>
          <w:color w:val="auto"/>
          <w:sz w:val="22"/>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spacing w:before="1"/>
        <w:rPr>
          <w:rFonts w:hint="eastAsia" w:ascii="宋体" w:hAnsi="宋体" w:eastAsia="宋体" w:cs="宋体"/>
          <w:b/>
          <w:color w:val="auto"/>
          <w:sz w:val="28"/>
          <w:highlight w:val="none"/>
        </w:rPr>
      </w:pPr>
    </w:p>
    <w:p>
      <w:pPr>
        <w:pStyle w:val="45"/>
        <w:spacing w:line="360" w:lineRule="auto"/>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新疆铁道职业技术学院1+X列车运行控制系统地面信号设备运用与维护实训室建设项目</w:t>
      </w:r>
    </w:p>
    <w:p>
      <w:pPr>
        <w:spacing w:before="10"/>
        <w:rPr>
          <w:rFonts w:hint="eastAsia" w:ascii="宋体" w:hAnsi="宋体" w:eastAsia="宋体" w:cs="宋体"/>
          <w:b/>
          <w:color w:val="auto"/>
          <w:sz w:val="45"/>
          <w:highlight w:val="none"/>
        </w:rPr>
      </w:pPr>
    </w:p>
    <w:p>
      <w:pPr>
        <w:spacing w:before="0"/>
        <w:ind w:left="297" w:right="698" w:firstLine="0"/>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 标 文 件</w:t>
      </w: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spacing w:before="1"/>
        <w:rPr>
          <w:rFonts w:hint="eastAsia" w:ascii="宋体" w:hAnsi="宋体" w:eastAsia="宋体" w:cs="宋体"/>
          <w:b/>
          <w:color w:val="auto"/>
          <w:sz w:val="14"/>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项目编号：</w:t>
      </w:r>
      <w:r>
        <w:rPr>
          <w:rFonts w:hint="eastAsia" w:ascii="宋体" w:hAnsi="宋体" w:eastAsia="宋体" w:cs="宋体"/>
          <w:color w:val="auto"/>
          <w:sz w:val="30"/>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942" w:rightChars="0" w:firstLine="0"/>
        <w:jc w:val="left"/>
        <w:textAlignment w:val="auto"/>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采购单位：</w:t>
      </w:r>
      <w:r>
        <w:rPr>
          <w:rFonts w:hint="eastAsia" w:ascii="宋体" w:hAnsi="宋体" w:eastAsia="宋体" w:cs="宋体"/>
          <w:color w:val="auto"/>
          <w:sz w:val="30"/>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84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84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842" w:rightChars="0" w:firstLine="0"/>
        <w:jc w:val="left"/>
        <w:textAlignment w:val="auto"/>
        <w:rPr>
          <w:rFonts w:hint="eastAsia" w:ascii="宋体" w:hAnsi="宋体" w:eastAsia="宋体" w:cs="宋体"/>
          <w:color w:val="auto"/>
          <w:sz w:val="30"/>
          <w:highlight w:val="none"/>
        </w:rPr>
      </w:pPr>
      <w:r>
        <w:rPr>
          <w:rFonts w:hint="eastAsia" w:ascii="宋体" w:hAnsi="宋体" w:eastAsia="宋体" w:cs="宋体"/>
          <w:color w:val="auto"/>
          <w:sz w:val="30"/>
          <w:highlight w:val="none"/>
        </w:rPr>
        <w:t>投标单位：</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rPr>
        <w:t>(名称及电子签章)</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50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50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1502" w:rightChars="0" w:firstLine="0"/>
        <w:jc w:val="left"/>
        <w:textAlignment w:val="auto"/>
        <w:rPr>
          <w:rFonts w:hint="eastAsia" w:ascii="宋体" w:hAnsi="宋体" w:eastAsia="宋体" w:cs="宋体"/>
          <w:color w:val="auto"/>
          <w:sz w:val="30"/>
          <w:highlight w:val="none"/>
        </w:rPr>
      </w:pPr>
      <w:r>
        <w:rPr>
          <w:rFonts w:hint="eastAsia" w:ascii="宋体" w:hAnsi="宋体" w:eastAsia="宋体" w:cs="宋体"/>
          <w:color w:val="auto"/>
          <w:sz w:val="30"/>
          <w:highlight w:val="none"/>
        </w:rPr>
        <w:t>法</w:t>
      </w:r>
      <w:r>
        <w:rPr>
          <w:rFonts w:hint="eastAsia" w:ascii="宋体" w:hAnsi="宋体" w:eastAsia="宋体" w:cs="宋体"/>
          <w:color w:val="auto"/>
          <w:sz w:val="30"/>
          <w:highlight w:val="none"/>
          <w:lang w:eastAsia="zh-CN"/>
        </w:rPr>
        <w:t>定</w:t>
      </w:r>
      <w:r>
        <w:rPr>
          <w:rFonts w:hint="eastAsia" w:ascii="宋体" w:hAnsi="宋体" w:eastAsia="宋体" w:cs="宋体"/>
          <w:color w:val="auto"/>
          <w:sz w:val="30"/>
          <w:highlight w:val="none"/>
        </w:rPr>
        <w:t>代表人：</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rPr>
        <w:t xml:space="preserve">(电子签名) </w:t>
      </w: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260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2602" w:rightChars="0" w:firstLine="0"/>
        <w:jc w:val="left"/>
        <w:textAlignment w:val="auto"/>
        <w:rPr>
          <w:rFonts w:hint="eastAsia" w:ascii="宋体" w:hAnsi="宋体" w:eastAsia="宋体" w:cs="宋体"/>
          <w:color w:val="auto"/>
          <w:sz w:val="3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232" w:right="2602" w:rightChars="0" w:firstLine="0"/>
        <w:jc w:val="left"/>
        <w:textAlignment w:val="auto"/>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联系人及联系电话：</w:t>
      </w:r>
      <w:r>
        <w:rPr>
          <w:rFonts w:hint="eastAsia" w:ascii="宋体" w:hAnsi="宋体" w:eastAsia="宋体" w:cs="宋体"/>
          <w:color w:val="auto"/>
          <w:sz w:val="30"/>
          <w:highlight w:val="none"/>
          <w:u w:val="single"/>
          <w:lang w:val="en-US" w:eastAsia="zh-CN"/>
        </w:rPr>
        <w:t xml:space="preserve">                     </w:t>
      </w:r>
    </w:p>
    <w:p>
      <w:pPr>
        <w:tabs>
          <w:tab w:val="left" w:pos="6859"/>
          <w:tab w:val="left" w:pos="7611"/>
        </w:tabs>
        <w:spacing w:before="199"/>
        <w:ind w:right="0"/>
        <w:jc w:val="left"/>
        <w:rPr>
          <w:rFonts w:hint="eastAsia" w:ascii="宋体" w:hAnsi="宋体" w:eastAsia="宋体" w:cs="宋体"/>
          <w:color w:val="auto"/>
          <w:sz w:val="30"/>
          <w:highlight w:val="none"/>
        </w:rPr>
      </w:pPr>
    </w:p>
    <w:p>
      <w:pPr>
        <w:tabs>
          <w:tab w:val="left" w:pos="6859"/>
          <w:tab w:val="left" w:pos="7611"/>
        </w:tabs>
        <w:spacing w:before="199"/>
        <w:ind w:right="0" w:firstLine="4200" w:firstLineChars="1400"/>
        <w:jc w:val="left"/>
        <w:rPr>
          <w:rFonts w:hint="eastAsia" w:ascii="宋体" w:hAnsi="宋体" w:eastAsia="宋体" w:cs="宋体"/>
          <w:color w:val="auto"/>
          <w:sz w:val="30"/>
          <w:highlight w:val="none"/>
        </w:rPr>
      </w:pPr>
      <w:r>
        <w:rPr>
          <w:rFonts w:hint="eastAsia" w:ascii="宋体" w:hAnsi="宋体" w:eastAsia="宋体" w:cs="宋体"/>
          <w:color w:val="auto"/>
          <w:sz w:val="30"/>
          <w:highlight w:val="none"/>
        </w:rPr>
        <w:t>年</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rPr>
        <w:t>日</w:t>
      </w:r>
    </w:p>
    <w:p>
      <w:pPr>
        <w:spacing w:after="0"/>
        <w:jc w:val="left"/>
        <w:rPr>
          <w:rFonts w:hint="eastAsia" w:ascii="宋体" w:hAnsi="宋体" w:eastAsia="宋体" w:cs="宋体"/>
          <w:color w:val="auto"/>
          <w:sz w:val="30"/>
          <w:highlight w:val="none"/>
        </w:rPr>
        <w:sectPr>
          <w:pgSz w:w="11910" w:h="16840"/>
          <w:pgMar w:top="1134" w:right="1134" w:bottom="1134" w:left="1134" w:header="0" w:footer="998" w:gutter="0"/>
          <w:cols w:space="0" w:num="1"/>
          <w:rtlGutter w:val="0"/>
          <w:docGrid w:linePitch="0" w:charSpace="0"/>
        </w:sectPr>
      </w:pPr>
    </w:p>
    <w:p>
      <w:pPr>
        <w:spacing w:before="54"/>
        <w:ind w:left="231" w:right="0" w:firstLine="0"/>
        <w:jc w:val="left"/>
        <w:rPr>
          <w:rFonts w:hint="eastAsia" w:ascii="宋体" w:hAnsi="宋体" w:eastAsia="宋体" w:cs="宋体"/>
          <w:b/>
          <w:color w:val="auto"/>
          <w:sz w:val="32"/>
          <w:highlight w:val="none"/>
        </w:rPr>
      </w:pPr>
      <w:bookmarkStart w:id="27" w:name="一、投标文件编制顺序"/>
      <w:bookmarkEnd w:id="27"/>
      <w:r>
        <w:rPr>
          <w:rFonts w:hint="eastAsia" w:ascii="宋体" w:hAnsi="宋体" w:eastAsia="宋体" w:cs="宋体"/>
          <w:b/>
          <w:color w:val="auto"/>
          <w:sz w:val="32"/>
          <w:highlight w:val="none"/>
        </w:rPr>
        <w:t>一、投标文件编制顺序</w:t>
      </w:r>
    </w:p>
    <w:p>
      <w:pPr>
        <w:spacing w:before="8"/>
        <w:rPr>
          <w:rFonts w:hint="eastAsia" w:ascii="宋体" w:hAnsi="宋体" w:eastAsia="宋体" w:cs="宋体"/>
          <w:b/>
          <w:color w:val="auto"/>
          <w:sz w:val="42"/>
          <w:highlight w:val="none"/>
        </w:rPr>
      </w:pPr>
    </w:p>
    <w:p>
      <w:pPr>
        <w:ind w:left="711"/>
        <w:rPr>
          <w:rFonts w:hint="eastAsia" w:ascii="宋体" w:hAnsi="宋体" w:eastAsia="宋体" w:cs="宋体"/>
          <w:color w:val="auto"/>
          <w:highlight w:val="none"/>
        </w:rPr>
      </w:pPr>
      <w:r>
        <w:rPr>
          <w:rFonts w:hint="eastAsia" w:ascii="宋体" w:hAnsi="宋体" w:eastAsia="宋体" w:cs="宋体"/>
          <w:color w:val="auto"/>
          <w:highlight w:val="none"/>
        </w:rPr>
        <w:t>投标人可按下列顺序排列和装订投标文件并标注页码：</w:t>
      </w:r>
    </w:p>
    <w:p>
      <w:pPr>
        <w:pStyle w:val="32"/>
        <w:numPr>
          <w:ilvl w:val="1"/>
          <w:numId w:val="4"/>
        </w:numPr>
        <w:tabs>
          <w:tab w:val="left" w:pos="1313"/>
        </w:tabs>
        <w:spacing w:before="137"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pStyle w:val="32"/>
        <w:numPr>
          <w:ilvl w:val="1"/>
          <w:numId w:val="4"/>
        </w:numPr>
        <w:tabs>
          <w:tab w:val="left" w:pos="1313"/>
        </w:tabs>
        <w:spacing w:before="134"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pStyle w:val="32"/>
        <w:numPr>
          <w:ilvl w:val="1"/>
          <w:numId w:val="4"/>
        </w:numPr>
        <w:tabs>
          <w:tab w:val="left" w:pos="1313"/>
        </w:tabs>
        <w:spacing w:before="132"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pPr>
        <w:pStyle w:val="32"/>
        <w:numPr>
          <w:ilvl w:val="1"/>
          <w:numId w:val="4"/>
        </w:numPr>
        <w:tabs>
          <w:tab w:val="left" w:pos="1313"/>
        </w:tabs>
        <w:spacing w:before="131"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投标保证金提交证明；</w:t>
      </w:r>
    </w:p>
    <w:p>
      <w:pPr>
        <w:pStyle w:val="32"/>
        <w:numPr>
          <w:ilvl w:val="1"/>
          <w:numId w:val="4"/>
        </w:numPr>
        <w:tabs>
          <w:tab w:val="left" w:pos="1313"/>
        </w:tabs>
        <w:spacing w:before="134"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w:t>
      </w:r>
    </w:p>
    <w:p>
      <w:pPr>
        <w:pStyle w:val="32"/>
        <w:numPr>
          <w:ilvl w:val="1"/>
          <w:numId w:val="4"/>
        </w:numPr>
        <w:tabs>
          <w:tab w:val="left" w:pos="1313"/>
        </w:tabs>
        <w:spacing w:before="132"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投标人基本情况表；</w:t>
      </w:r>
    </w:p>
    <w:p>
      <w:pPr>
        <w:pStyle w:val="32"/>
        <w:numPr>
          <w:ilvl w:val="1"/>
          <w:numId w:val="4"/>
        </w:numPr>
        <w:tabs>
          <w:tab w:val="left" w:pos="1313"/>
        </w:tabs>
        <w:spacing w:before="134"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中小微企业证明文件（如有）；</w:t>
      </w:r>
    </w:p>
    <w:p>
      <w:pPr>
        <w:pStyle w:val="32"/>
        <w:numPr>
          <w:ilvl w:val="1"/>
          <w:numId w:val="4"/>
        </w:numPr>
        <w:tabs>
          <w:tab w:val="left" w:pos="1313"/>
        </w:tabs>
        <w:spacing w:before="132" w:after="0" w:line="240" w:lineRule="auto"/>
        <w:ind w:left="1312" w:right="0" w:hanging="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信用查询记录；</w:t>
      </w:r>
    </w:p>
    <w:p>
      <w:pPr>
        <w:pStyle w:val="32"/>
        <w:numPr>
          <w:ilvl w:val="1"/>
          <w:numId w:val="4"/>
        </w:numPr>
        <w:tabs>
          <w:tab w:val="left" w:pos="1433"/>
        </w:tabs>
        <w:spacing w:before="131"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近</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年内已完成的类似项目业绩；</w:t>
      </w:r>
    </w:p>
    <w:p>
      <w:pPr>
        <w:pStyle w:val="32"/>
        <w:numPr>
          <w:ilvl w:val="1"/>
          <w:numId w:val="4"/>
        </w:numPr>
        <w:tabs>
          <w:tab w:val="left" w:pos="1433"/>
        </w:tabs>
        <w:spacing w:before="132"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t>)项目整体实施方案；</w:t>
      </w:r>
    </w:p>
    <w:p>
      <w:pPr>
        <w:pStyle w:val="32"/>
        <w:numPr>
          <w:ilvl w:val="1"/>
          <w:numId w:val="4"/>
        </w:numPr>
        <w:tabs>
          <w:tab w:val="left" w:pos="1433"/>
        </w:tabs>
        <w:spacing w:before="132"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商务条款偏离表；</w:t>
      </w:r>
    </w:p>
    <w:p>
      <w:pPr>
        <w:pStyle w:val="32"/>
        <w:numPr>
          <w:ilvl w:val="1"/>
          <w:numId w:val="4"/>
        </w:numPr>
        <w:tabs>
          <w:tab w:val="left" w:pos="1433"/>
        </w:tabs>
        <w:spacing w:before="132"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eastAsia="zh-CN"/>
        </w:rPr>
        <w:t>售后服务方案</w:t>
      </w:r>
      <w:r>
        <w:rPr>
          <w:rFonts w:hint="eastAsia" w:ascii="宋体" w:hAnsi="宋体" w:eastAsia="宋体" w:cs="宋体"/>
          <w:color w:val="auto"/>
          <w:kern w:val="0"/>
          <w:sz w:val="24"/>
          <w:szCs w:val="24"/>
          <w:highlight w:val="none"/>
        </w:rPr>
        <w:t>；</w:t>
      </w:r>
    </w:p>
    <w:p>
      <w:pPr>
        <w:pStyle w:val="32"/>
        <w:numPr>
          <w:ilvl w:val="1"/>
          <w:numId w:val="4"/>
        </w:numPr>
        <w:tabs>
          <w:tab w:val="left" w:pos="1433"/>
        </w:tabs>
        <w:spacing w:before="132"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其他有利于投标人的资料（如有）</w:t>
      </w:r>
    </w:p>
    <w:p>
      <w:pPr>
        <w:pStyle w:val="32"/>
        <w:numPr>
          <w:ilvl w:val="1"/>
          <w:numId w:val="4"/>
        </w:numPr>
        <w:tabs>
          <w:tab w:val="left" w:pos="1433"/>
        </w:tabs>
        <w:spacing w:before="134" w:after="0" w:line="240" w:lineRule="auto"/>
        <w:ind w:left="1432" w:right="0" w:hanging="72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投标单位反商业贿赂承诺书；</w:t>
      </w:r>
    </w:p>
    <w:p>
      <w:pPr>
        <w:rPr>
          <w:rFonts w:hint="eastAsia" w:ascii="宋体" w:hAnsi="宋体" w:eastAsia="宋体" w:cs="宋体"/>
          <w:color w:val="auto"/>
          <w:highlight w:val="none"/>
        </w:rPr>
      </w:pPr>
    </w:p>
    <w:p>
      <w:pPr>
        <w:spacing w:before="7"/>
        <w:rPr>
          <w:rFonts w:hint="eastAsia" w:ascii="宋体" w:hAnsi="宋体" w:eastAsia="宋体" w:cs="宋体"/>
          <w:color w:val="auto"/>
          <w:sz w:val="20"/>
          <w:highlight w:val="none"/>
        </w:rPr>
      </w:pPr>
    </w:p>
    <w:p>
      <w:pPr>
        <w:ind w:left="711"/>
        <w:rPr>
          <w:rFonts w:hint="eastAsia" w:ascii="宋体" w:hAnsi="宋体" w:eastAsia="宋体" w:cs="宋体"/>
          <w:color w:val="auto"/>
          <w:highlight w:val="none"/>
        </w:rPr>
      </w:pPr>
      <w:r>
        <w:rPr>
          <w:rFonts w:hint="eastAsia" w:ascii="宋体" w:hAnsi="宋体" w:eastAsia="宋体" w:cs="宋体"/>
          <w:color w:val="auto"/>
          <w:highlight w:val="none"/>
        </w:rPr>
        <w:t>注：1.投标文件包括但不仅限于上述内容，如有不足，请自行补充提供。</w:t>
      </w:r>
    </w:p>
    <w:p>
      <w:pPr>
        <w:spacing w:before="134" w:line="343" w:lineRule="auto"/>
        <w:ind w:left="231" w:right="633" w:firstLine="480"/>
        <w:rPr>
          <w:rFonts w:hint="eastAsia" w:ascii="宋体" w:hAnsi="宋体" w:eastAsia="宋体" w:cs="宋体"/>
          <w:color w:val="auto"/>
          <w:highlight w:val="none"/>
        </w:rPr>
      </w:pPr>
      <w:r>
        <w:rPr>
          <w:rFonts w:hint="eastAsia" w:ascii="宋体" w:hAnsi="宋体" w:eastAsia="宋体" w:cs="宋体"/>
          <w:color w:val="auto"/>
          <w:highlight w:val="none"/>
        </w:rPr>
        <w:t>2.为了便于查找，请按上述顺序编排投标文件内容，并在目录中标明每项内容的起始页码。</w:t>
      </w:r>
    </w:p>
    <w:p>
      <w:pPr>
        <w:spacing w:after="0" w:line="343" w:lineRule="auto"/>
        <w:rPr>
          <w:rFonts w:hint="eastAsia" w:ascii="宋体" w:hAnsi="宋体" w:eastAsia="宋体" w:cs="宋体"/>
          <w:color w:val="auto"/>
          <w:highlight w:val="none"/>
        </w:rPr>
        <w:sectPr>
          <w:pgSz w:w="11910" w:h="16840"/>
          <w:pgMar w:top="1134" w:right="1134" w:bottom="1134" w:left="1134" w:header="0" w:footer="998" w:gutter="0"/>
          <w:cols w:space="0" w:num="1"/>
          <w:rtlGutter w:val="0"/>
          <w:docGrid w:linePitch="0" w:charSpace="0"/>
        </w:sectPr>
      </w:pPr>
    </w:p>
    <w:p>
      <w:pPr>
        <w:spacing w:before="38"/>
        <w:ind w:left="231" w:right="0" w:firstLine="0"/>
        <w:jc w:val="left"/>
        <w:rPr>
          <w:rFonts w:hint="eastAsia" w:ascii="宋体" w:hAnsi="宋体" w:eastAsia="宋体" w:cs="宋体"/>
          <w:b/>
          <w:color w:val="auto"/>
          <w:sz w:val="32"/>
          <w:highlight w:val="none"/>
        </w:rPr>
      </w:pPr>
      <w:bookmarkStart w:id="28" w:name="二、其他有关附件格式范本"/>
      <w:bookmarkEnd w:id="28"/>
      <w:r>
        <w:rPr>
          <w:rFonts w:hint="eastAsia" w:ascii="宋体" w:hAnsi="宋体" w:eastAsia="宋体" w:cs="宋体"/>
          <w:b/>
          <w:color w:val="auto"/>
          <w:sz w:val="32"/>
          <w:highlight w:val="none"/>
        </w:rPr>
        <w:t>二、其他有关附件格式范本</w:t>
      </w:r>
    </w:p>
    <w:p>
      <w:pPr>
        <w:rPr>
          <w:rFonts w:hint="eastAsia" w:ascii="宋体" w:hAnsi="宋体" w:eastAsia="宋体" w:cs="宋体"/>
          <w:b/>
          <w:color w:val="auto"/>
          <w:sz w:val="32"/>
          <w:highlight w:val="none"/>
        </w:rPr>
      </w:pPr>
    </w:p>
    <w:p>
      <w:pPr>
        <w:pStyle w:val="9"/>
        <w:spacing w:before="268"/>
        <w:ind w:left="296"/>
        <w:rPr>
          <w:rFonts w:hint="eastAsia" w:ascii="宋体" w:hAnsi="宋体" w:eastAsia="宋体" w:cs="宋体"/>
          <w:color w:val="auto"/>
          <w:highlight w:val="none"/>
        </w:rPr>
      </w:pPr>
      <w:r>
        <w:rPr>
          <w:rFonts w:hint="eastAsia" w:ascii="宋体" w:hAnsi="宋体" w:eastAsia="宋体" w:cs="宋体"/>
          <w:color w:val="auto"/>
          <w:highlight w:val="none"/>
        </w:rPr>
        <w:t>（一）投标函</w:t>
      </w:r>
    </w:p>
    <w:p>
      <w:pPr>
        <w:rPr>
          <w:rFonts w:hint="eastAsia" w:ascii="宋体" w:hAnsi="宋体" w:eastAsia="宋体" w:cs="宋体"/>
          <w:b/>
          <w:color w:val="auto"/>
          <w:sz w:val="32"/>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（招标人名称）</w:t>
      </w:r>
    </w:p>
    <w:p>
      <w:pPr>
        <w:keepNext w:val="0"/>
        <w:keepLines w:val="0"/>
        <w:pageBreakBefore w:val="0"/>
        <w:widowControl w:val="0"/>
        <w:tabs>
          <w:tab w:val="left" w:pos="9240"/>
        </w:tabs>
        <w:kinsoku/>
        <w:wordWrap/>
        <w:overflowPunct/>
        <w:topLinePunct w:val="0"/>
        <w:autoSpaceDE w:val="0"/>
        <w:autoSpaceDN w:val="0"/>
        <w:bidi w:val="0"/>
        <w:adjustRightInd/>
        <w:snapToGrid/>
        <w:spacing w:before="0" w:line="360" w:lineRule="auto"/>
        <w:ind w:left="231" w:right="511" w:firstLine="55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pacing w:val="112"/>
          <w:sz w:val="24"/>
          <w:szCs w:val="24"/>
          <w:highlight w:val="none"/>
          <w:u w:val="single"/>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pacing w:val="-8"/>
          <w:sz w:val="24"/>
          <w:szCs w:val="24"/>
          <w:highlight w:val="none"/>
          <w:u w:val="single"/>
        </w:rPr>
        <w:t>）</w:t>
      </w:r>
      <w:r>
        <w:rPr>
          <w:rFonts w:hint="eastAsia" w:ascii="宋体" w:hAnsi="宋体" w:eastAsia="宋体" w:cs="宋体"/>
          <w:color w:val="auto"/>
          <w:sz w:val="24"/>
          <w:szCs w:val="24"/>
          <w:highlight w:val="none"/>
        </w:rPr>
        <w:t>的招标文</w:t>
      </w:r>
      <w:r>
        <w:rPr>
          <w:rFonts w:hint="eastAsia" w:ascii="宋体" w:hAnsi="宋体" w:eastAsia="宋体" w:cs="宋体"/>
          <w:color w:val="auto"/>
          <w:spacing w:val="-8"/>
          <w:sz w:val="24"/>
          <w:szCs w:val="24"/>
          <w:highlight w:val="none"/>
        </w:rPr>
        <w:t>件</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签字代</w:t>
      </w:r>
      <w:r>
        <w:rPr>
          <w:rFonts w:hint="eastAsia" w:ascii="宋体" w:hAnsi="宋体" w:eastAsia="宋体" w:cs="宋体"/>
          <w:color w:val="auto"/>
          <w:spacing w:val="-5"/>
          <w:sz w:val="24"/>
          <w:szCs w:val="24"/>
          <w:highlight w:val="none"/>
        </w:rPr>
        <w:t>表</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pacing w:val="-8"/>
          <w:sz w:val="24"/>
          <w:szCs w:val="24"/>
          <w:highlight w:val="none"/>
          <w:u w:val="single"/>
        </w:rPr>
        <w:t>、</w:t>
      </w:r>
      <w:r>
        <w:rPr>
          <w:rFonts w:hint="eastAsia" w:ascii="宋体" w:hAnsi="宋体" w:eastAsia="宋体" w:cs="宋体"/>
          <w:color w:val="auto"/>
          <w:sz w:val="24"/>
          <w:szCs w:val="24"/>
          <w:highlight w:val="none"/>
          <w:u w:val="single"/>
        </w:rPr>
        <w:t>职务</w:t>
      </w:r>
      <w:r>
        <w:rPr>
          <w:rFonts w:hint="eastAsia" w:ascii="宋体" w:hAnsi="宋体" w:eastAsia="宋体" w:cs="宋体"/>
          <w:color w:val="auto"/>
          <w:spacing w:val="-12"/>
          <w:sz w:val="24"/>
          <w:szCs w:val="24"/>
          <w:highlight w:val="none"/>
          <w:u w:val="single"/>
        </w:rPr>
        <w:t xml:space="preserve">） </w:t>
      </w:r>
      <w:r>
        <w:rPr>
          <w:rFonts w:hint="eastAsia" w:ascii="宋体" w:hAnsi="宋体" w:eastAsia="宋体" w:cs="宋体"/>
          <w:color w:val="auto"/>
          <w:sz w:val="24"/>
          <w:szCs w:val="24"/>
          <w:highlight w:val="none"/>
        </w:rPr>
        <w:t>经正式授权并代表投标</w:t>
      </w:r>
      <w:r>
        <w:rPr>
          <w:rFonts w:hint="eastAsia" w:ascii="宋体" w:hAnsi="宋体" w:eastAsia="宋体" w:cs="宋体"/>
          <w:color w:val="auto"/>
          <w:spacing w:val="-34"/>
          <w:sz w:val="24"/>
          <w:szCs w:val="24"/>
          <w:highlight w:val="none"/>
        </w:rPr>
        <w:t>人</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pacing w:val="-34"/>
          <w:sz w:val="24"/>
          <w:szCs w:val="24"/>
          <w:highlight w:val="none"/>
          <w:u w:val="single"/>
        </w:rPr>
        <w:t>、</w:t>
      </w:r>
      <w:r>
        <w:rPr>
          <w:rFonts w:hint="eastAsia" w:ascii="宋体" w:hAnsi="宋体" w:eastAsia="宋体" w:cs="宋体"/>
          <w:color w:val="auto"/>
          <w:sz w:val="24"/>
          <w:szCs w:val="24"/>
          <w:highlight w:val="none"/>
          <w:u w:val="single"/>
        </w:rPr>
        <w:t>地址</w:t>
      </w:r>
      <w:r>
        <w:rPr>
          <w:rFonts w:hint="eastAsia" w:ascii="宋体" w:hAnsi="宋体" w:eastAsia="宋体" w:cs="宋体"/>
          <w:color w:val="auto"/>
          <w:spacing w:val="-32"/>
          <w:sz w:val="24"/>
          <w:szCs w:val="24"/>
          <w:highlight w:val="none"/>
          <w:u w:val="single"/>
        </w:rPr>
        <w:t>）</w:t>
      </w:r>
      <w:r>
        <w:rPr>
          <w:rFonts w:hint="eastAsia" w:ascii="宋体" w:hAnsi="宋体" w:eastAsia="宋体" w:cs="宋体"/>
          <w:color w:val="auto"/>
          <w:sz w:val="24"/>
          <w:szCs w:val="24"/>
          <w:highlight w:val="none"/>
        </w:rPr>
        <w:t>提交下述文件</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2、按招标文件投标人须知、技术规格要求及其他要求提供有关文件</w:t>
      </w:r>
    </w:p>
    <w:p>
      <w:pPr>
        <w:keepNext w:val="0"/>
        <w:keepLines w:val="0"/>
        <w:pageBreakBefore w:val="0"/>
        <w:widowControl w:val="0"/>
        <w:tabs>
          <w:tab w:val="left" w:pos="6591"/>
        </w:tabs>
        <w:kinsoku/>
        <w:wordWrap/>
        <w:overflowPunct/>
        <w:topLinePunct w:val="0"/>
        <w:autoSpaceDE w:val="0"/>
        <w:autoSpaceDN w:val="0"/>
        <w:bidi w:val="0"/>
        <w:adjustRightInd/>
        <w:snapToGrid/>
        <w:spacing w:before="0" w:line="360" w:lineRule="auto"/>
        <w:ind w:left="785" w:right="182" w:rightChars="0" w:hanging="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3、投标保证金，形式</w:t>
      </w:r>
      <w:r>
        <w:rPr>
          <w:rFonts w:hint="eastAsia" w:ascii="宋体" w:hAnsi="宋体" w:eastAsia="宋体" w:cs="宋体"/>
          <w:color w:val="auto"/>
          <w:sz w:val="24"/>
          <w:szCs w:val="24"/>
          <w:highlight w:val="none"/>
          <w:u w:val="single"/>
        </w:rPr>
        <w:t>（电汇、网银）</w:t>
      </w:r>
      <w:r>
        <w:rPr>
          <w:rFonts w:hint="eastAsia" w:ascii="宋体" w:hAnsi="宋体" w:eastAsia="宋体" w:cs="宋体"/>
          <w:color w:val="auto"/>
          <w:sz w:val="24"/>
          <w:szCs w:val="24"/>
          <w:highlight w:val="none"/>
        </w:rPr>
        <w:t>，金额为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据此函，签字代表宣布并同意如下：</w:t>
      </w:r>
    </w:p>
    <w:p>
      <w:pPr>
        <w:keepNext w:val="0"/>
        <w:keepLines w:val="0"/>
        <w:pageBreakBefore w:val="0"/>
        <w:widowControl w:val="0"/>
        <w:tabs>
          <w:tab w:val="left" w:pos="4070"/>
        </w:tabs>
        <w:kinsoku/>
        <w:wordWrap/>
        <w:overflowPunct/>
        <w:topLinePunct w:val="0"/>
        <w:autoSpaceDE w:val="0"/>
        <w:autoSpaceDN w:val="0"/>
        <w:bidi w:val="0"/>
        <w:adjustRightInd/>
        <w:snapToGrid/>
        <w:spacing w:before="0" w:line="360" w:lineRule="auto"/>
        <w:ind w:left="231" w:right="511" w:firstLine="5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7"/>
          <w:sz w:val="24"/>
          <w:szCs w:val="24"/>
          <w:highlight w:val="none"/>
        </w:rPr>
        <w:t>、</w:t>
      </w:r>
      <w:r>
        <w:rPr>
          <w:rFonts w:hint="eastAsia" w:ascii="宋体" w:hAnsi="宋体" w:eastAsia="宋体" w:cs="宋体"/>
          <w:color w:val="auto"/>
          <w:sz w:val="24"/>
          <w:szCs w:val="24"/>
          <w:highlight w:val="none"/>
        </w:rPr>
        <w:t>所附投标报价表中规定的应提交的服务投标总价</w:t>
      </w:r>
      <w:r>
        <w:rPr>
          <w:rFonts w:hint="eastAsia" w:ascii="宋体" w:hAnsi="宋体" w:eastAsia="宋体" w:cs="宋体"/>
          <w:color w:val="auto"/>
          <w:spacing w:val="-27"/>
          <w:sz w:val="24"/>
          <w:szCs w:val="24"/>
          <w:highlight w:val="none"/>
        </w:rPr>
        <w:t>为</w:t>
      </w:r>
      <w:r>
        <w:rPr>
          <w:rFonts w:hint="eastAsia" w:ascii="宋体" w:hAnsi="宋体" w:eastAsia="宋体" w:cs="宋体"/>
          <w:color w:val="auto"/>
          <w:sz w:val="24"/>
          <w:szCs w:val="24"/>
          <w:highlight w:val="none"/>
          <w:u w:val="single"/>
        </w:rPr>
        <w:t>（注明币种</w:t>
      </w:r>
      <w:r>
        <w:rPr>
          <w:rFonts w:hint="eastAsia" w:ascii="宋体" w:hAnsi="宋体" w:eastAsia="宋体" w:cs="宋体"/>
          <w:color w:val="auto"/>
          <w:spacing w:val="-16"/>
          <w:sz w:val="24"/>
          <w:szCs w:val="24"/>
          <w:highlight w:val="none"/>
          <w:u w:val="single"/>
        </w:rPr>
        <w:t>，</w:t>
      </w:r>
      <w:r>
        <w:rPr>
          <w:rFonts w:hint="eastAsia" w:ascii="宋体" w:hAnsi="宋体" w:eastAsia="宋体" w:cs="宋体"/>
          <w:color w:val="auto"/>
          <w:spacing w:val="0"/>
          <w:sz w:val="24"/>
          <w:szCs w:val="24"/>
          <w:highlight w:val="none"/>
          <w:u w:val="single"/>
        </w:rPr>
        <w:t>并用文字和数字表示的投标总价）</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78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2、我方将按招标文件的规定履行合同责任和义务；</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3" w:firstLine="5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3、我方已详细阅读并理解了招标文件的全部，包括修改文件（如有的话）。我们完全理解并同意放弃对这方面有不明及误解的权利。</w:t>
      </w:r>
    </w:p>
    <w:p>
      <w:pPr>
        <w:keepNext w:val="0"/>
        <w:keepLines w:val="0"/>
        <w:pageBreakBefore w:val="0"/>
        <w:widowControl w:val="0"/>
        <w:tabs>
          <w:tab w:val="left" w:pos="4505"/>
        </w:tabs>
        <w:kinsoku/>
        <w:wordWrap/>
        <w:overflowPunct/>
        <w:topLinePunct w:val="0"/>
        <w:autoSpaceDE w:val="0"/>
        <w:autoSpaceDN w:val="0"/>
        <w:bidi w:val="0"/>
        <w:adjustRightInd/>
        <w:snapToGrid/>
        <w:spacing w:before="0" w:line="360" w:lineRule="auto"/>
        <w:ind w:left="78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4、本投标有效期自开标之日起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个日历日。</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402" w:rightChars="0" w:firstLine="5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5、在规定的开标时间后，如果在投标有效期内撤回投标，同意投标保证金将被贵方没收。</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3" w:firstLine="5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6、我方同意提供按照贵方可能要求的与其投标有关的一切数据或资料，完全理解贵方不一定接受最低价的投标或收到的任何投标的约定。</w:t>
      </w:r>
    </w:p>
    <w:p>
      <w:pPr>
        <w:keepNext w:val="0"/>
        <w:keepLines w:val="0"/>
        <w:pageBreakBefore w:val="0"/>
        <w:widowControl w:val="0"/>
        <w:kinsoku/>
        <w:wordWrap/>
        <w:overflowPunct/>
        <w:topLinePunct w:val="0"/>
        <w:autoSpaceDE w:val="0"/>
        <w:autoSpaceDN w:val="0"/>
        <w:bidi w:val="0"/>
        <w:adjustRightInd/>
        <w:snapToGrid/>
        <w:spacing w:before="0" w:line="360" w:lineRule="auto"/>
        <w:ind w:left="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1"/>
          <w:sz w:val="24"/>
          <w:szCs w:val="24"/>
          <w:highlight w:val="none"/>
        </w:rPr>
        <w:t>邮</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rPr>
        <w:t>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rPr>
        <w:t>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pPr>
        <w:keepNext w:val="0"/>
        <w:keepLines w:val="0"/>
        <w:pageBreakBefore w:val="0"/>
        <w:widowControl w:val="0"/>
        <w:tabs>
          <w:tab w:val="left" w:pos="2151"/>
          <w:tab w:val="left" w:pos="5570"/>
        </w:tabs>
        <w:kinsoku/>
        <w:wordWrap/>
        <w:overflowPunct/>
        <w:topLinePunct w:val="0"/>
        <w:autoSpaceDE w:val="0"/>
        <w:autoSpaceDN w:val="0"/>
        <w:bidi w:val="0"/>
        <w:adjustRightInd/>
        <w:snapToGrid/>
        <w:spacing w:before="0" w:line="360" w:lineRule="auto"/>
        <w:ind w:left="709" w:right="1062" w:rightChars="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p>
    <w:p>
      <w:pPr>
        <w:keepNext w:val="0"/>
        <w:keepLines w:val="0"/>
        <w:pageBreakBefore w:val="0"/>
        <w:widowControl w:val="0"/>
        <w:tabs>
          <w:tab w:val="left" w:pos="5391"/>
          <w:tab w:val="left" w:pos="5570"/>
          <w:tab w:val="left" w:pos="8690"/>
        </w:tabs>
        <w:kinsoku/>
        <w:wordWrap/>
        <w:overflowPunct/>
        <w:topLinePunct w:val="0"/>
        <w:autoSpaceDE w:val="0"/>
        <w:autoSpaceDN w:val="0"/>
        <w:bidi w:val="0"/>
        <w:adjustRightInd/>
        <w:snapToGrid/>
        <w:spacing w:before="0" w:line="360" w:lineRule="auto"/>
        <w:ind w:left="709" w:right="1073"/>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法定代表人（电子签名）：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pStyle w:val="5"/>
        <w:jc w:val="both"/>
        <w:rPr>
          <w:rFonts w:hint="eastAsia" w:ascii="宋体" w:hAnsi="宋体" w:eastAsia="宋体" w:cs="宋体"/>
          <w:color w:val="auto"/>
          <w:highlight w:val="none"/>
        </w:rPr>
      </w:pPr>
    </w:p>
    <w:p>
      <w:pPr>
        <w:keepNext w:val="0"/>
        <w:keepLines w:val="0"/>
        <w:pageBreakBefore w:val="0"/>
        <w:widowControl w:val="0"/>
        <w:tabs>
          <w:tab w:val="left" w:pos="6591"/>
          <w:tab w:val="left" w:pos="7431"/>
          <w:tab w:val="left" w:pos="8271"/>
        </w:tabs>
        <w:kinsoku/>
        <w:wordWrap/>
        <w:overflowPunct/>
        <w:topLinePunct w:val="0"/>
        <w:autoSpaceDE w:val="0"/>
        <w:autoSpaceDN w:val="0"/>
        <w:bidi w:val="0"/>
        <w:adjustRightInd/>
        <w:snapToGrid/>
        <w:spacing w:before="0" w:line="360" w:lineRule="auto"/>
        <w:ind w:left="575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spacing w:after="0" w:line="307" w:lineRule="exact"/>
        <w:rPr>
          <w:rFonts w:hint="eastAsia" w:ascii="宋体" w:hAnsi="宋体" w:eastAsia="宋体" w:cs="宋体"/>
          <w:color w:val="auto"/>
          <w:highlight w:val="none"/>
        </w:rPr>
        <w:sectPr>
          <w:pgSz w:w="11910" w:h="16840"/>
          <w:pgMar w:top="1134" w:right="1134" w:bottom="1134" w:left="1134" w:header="0" w:footer="998" w:gutter="0"/>
          <w:cols w:space="0" w:num="1"/>
          <w:rtlGutter w:val="0"/>
          <w:docGrid w:linePitch="0" w:charSpace="0"/>
        </w:sectPr>
      </w:pPr>
    </w:p>
    <w:p>
      <w:pPr>
        <w:pStyle w:val="9"/>
        <w:spacing w:before="191"/>
        <w:ind w:left="301"/>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（二）法定代表人身份证明及法定代表人授权委托书</w:t>
      </w:r>
    </w:p>
    <w:p>
      <w:pPr>
        <w:spacing w:before="4"/>
        <w:rPr>
          <w:rFonts w:hint="eastAsia" w:ascii="宋体" w:hAnsi="宋体" w:eastAsia="宋体" w:cs="宋体"/>
          <w:b/>
          <w:color w:val="auto"/>
          <w:sz w:val="22"/>
          <w:highlight w:val="none"/>
        </w:rPr>
      </w:pPr>
    </w:p>
    <w:p>
      <w:pPr>
        <w:pStyle w:val="10"/>
        <w:ind w:left="296"/>
        <w:rPr>
          <w:rFonts w:hint="eastAsia" w:ascii="宋体" w:hAnsi="宋体" w:eastAsia="宋体" w:cs="宋体"/>
          <w:color w:val="auto"/>
          <w:highlight w:val="none"/>
        </w:rPr>
      </w:pPr>
      <w:r>
        <w:rPr>
          <w:rFonts w:hint="eastAsia" w:ascii="宋体" w:hAnsi="宋体" w:eastAsia="宋体" w:cs="宋体"/>
          <w:color w:val="auto"/>
          <w:highlight w:val="none"/>
        </w:rPr>
        <w:t>1、 法定代表人身份证明</w:t>
      </w:r>
    </w:p>
    <w:p>
      <w:pPr>
        <w:spacing w:before="4"/>
        <w:rPr>
          <w:rFonts w:hint="eastAsia" w:ascii="宋体" w:hAnsi="宋体" w:eastAsia="宋体" w:cs="宋体"/>
          <w:b/>
          <w:color w:val="auto"/>
          <w:sz w:val="26"/>
          <w:highlight w:val="none"/>
        </w:rPr>
      </w:pPr>
    </w:p>
    <w:p>
      <w:pPr>
        <w:keepNext w:val="0"/>
        <w:keepLines w:val="0"/>
        <w:pageBreakBefore w:val="0"/>
        <w:widowControl w:val="0"/>
        <w:tabs>
          <w:tab w:val="left" w:pos="1791"/>
        </w:tabs>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（采购人）：</w:t>
      </w:r>
    </w:p>
    <w:p>
      <w:pPr>
        <w:keepNext w:val="0"/>
        <w:keepLines w:val="0"/>
        <w:pageBreakBefore w:val="0"/>
        <w:widowControl w:val="0"/>
        <w:tabs>
          <w:tab w:val="left" w:pos="2690"/>
          <w:tab w:val="left" w:pos="6050"/>
        </w:tabs>
        <w:kinsoku/>
        <w:wordWrap/>
        <w:overflowPunct/>
        <w:topLinePunct w:val="0"/>
        <w:autoSpaceDE w:val="0"/>
        <w:autoSpaceDN w:val="0"/>
        <w:bidi w:val="0"/>
        <w:adjustRightInd/>
        <w:snapToGrid/>
        <w:spacing w:before="0" w:line="360" w:lineRule="auto"/>
        <w:ind w:left="231" w:right="-38"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兹证明</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同志在我单位任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（职务</w:t>
      </w:r>
      <w:r>
        <w:rPr>
          <w:rFonts w:hint="eastAsia" w:ascii="宋体" w:hAnsi="宋体" w:eastAsia="宋体" w:cs="宋体"/>
          <w:color w:val="auto"/>
          <w:spacing w:val="-33"/>
          <w:sz w:val="24"/>
          <w:szCs w:val="24"/>
          <w:highlight w:val="none"/>
        </w:rPr>
        <w:t>），</w:t>
      </w:r>
      <w:r>
        <w:rPr>
          <w:rFonts w:hint="eastAsia" w:ascii="宋体" w:hAnsi="宋体" w:eastAsia="宋体" w:cs="宋体"/>
          <w:color w:val="auto"/>
          <w:sz w:val="24"/>
          <w:szCs w:val="24"/>
          <w:highlight w:val="none"/>
        </w:rPr>
        <w:t>是我单位的法定代表人（或分支机构负责人）。</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附法定代表人（或分支机构负责人）基本情况：</w:t>
      </w:r>
    </w:p>
    <w:p>
      <w:pPr>
        <w:keepNext w:val="0"/>
        <w:keepLines w:val="0"/>
        <w:pageBreakBefore w:val="0"/>
        <w:widowControl w:val="0"/>
        <w:tabs>
          <w:tab w:val="left" w:pos="1570"/>
          <w:tab w:val="left" w:pos="3969"/>
          <w:tab w:val="left" w:pos="6091"/>
          <w:tab w:val="left" w:pos="7370"/>
          <w:tab w:val="left" w:pos="8131"/>
        </w:tabs>
        <w:kinsoku/>
        <w:wordWrap/>
        <w:overflowPunct/>
        <w:topLinePunct w:val="0"/>
        <w:autoSpaceDE w:val="0"/>
        <w:autoSpaceDN w:val="0"/>
        <w:bidi w:val="0"/>
        <w:adjustRightInd/>
        <w:snapToGrid/>
        <w:spacing w:before="0" w:line="360" w:lineRule="auto"/>
        <w:ind w:left="711" w:right="1632" w:firstLine="0"/>
        <w:jc w:val="left"/>
        <w:textAlignment w:val="auto"/>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 </w:t>
      </w:r>
    </w:p>
    <w:p>
      <w:pPr>
        <w:keepNext w:val="0"/>
        <w:keepLines w:val="0"/>
        <w:pageBreakBefore w:val="0"/>
        <w:widowControl w:val="0"/>
        <w:tabs>
          <w:tab w:val="left" w:pos="1570"/>
          <w:tab w:val="left" w:pos="3969"/>
          <w:tab w:val="left" w:pos="6091"/>
          <w:tab w:val="left" w:pos="7370"/>
          <w:tab w:val="left" w:pos="8131"/>
        </w:tabs>
        <w:kinsoku/>
        <w:wordWrap/>
        <w:overflowPunct/>
        <w:topLinePunct w:val="0"/>
        <w:autoSpaceDE w:val="0"/>
        <w:autoSpaceDN w:val="0"/>
        <w:bidi w:val="0"/>
        <w:adjustRightInd/>
        <w:snapToGrid/>
        <w:spacing w:before="0" w:line="360" w:lineRule="auto"/>
        <w:ind w:left="711" w:right="1632"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身</w:t>
      </w:r>
      <w:r>
        <w:rPr>
          <w:rFonts w:hint="eastAsia" w:ascii="宋体" w:hAnsi="宋体" w:eastAsia="宋体" w:cs="宋体"/>
          <w:color w:val="auto"/>
          <w:sz w:val="24"/>
          <w:szCs w:val="24"/>
          <w:highlight w:val="none"/>
        </w:rPr>
        <w:t>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keepNext w:val="0"/>
        <w:keepLines w:val="0"/>
        <w:pageBreakBefore w:val="0"/>
        <w:widowControl w:val="0"/>
        <w:tabs>
          <w:tab w:val="left" w:pos="4071"/>
          <w:tab w:val="left" w:pos="7370"/>
        </w:tabs>
        <w:kinsoku/>
        <w:wordWrap/>
        <w:overflowPunct/>
        <w:topLinePunct w:val="0"/>
        <w:autoSpaceDE w:val="0"/>
        <w:autoSpaceDN w:val="0"/>
        <w:bidi w:val="0"/>
        <w:adjustRightInd/>
        <w:snapToGrid/>
        <w:spacing w:before="0" w:line="360" w:lineRule="auto"/>
        <w:ind w:left="711" w:right="2393"/>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1"/>
          <w:sz w:val="24"/>
          <w:szCs w:val="24"/>
          <w:highlight w:val="none"/>
        </w:rPr>
        <w:t>通</w:t>
      </w:r>
      <w:r>
        <w:rPr>
          <w:rFonts w:hint="eastAsia" w:ascii="宋体" w:hAnsi="宋体" w:eastAsia="宋体" w:cs="宋体"/>
          <w:color w:val="auto"/>
          <w:sz w:val="24"/>
          <w:szCs w:val="24"/>
          <w:highlight w:val="none"/>
        </w:rPr>
        <w:t>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keepNext w:val="0"/>
        <w:keepLines w:val="0"/>
        <w:pageBreakBefore w:val="0"/>
        <w:widowControl w:val="0"/>
        <w:tabs>
          <w:tab w:val="left" w:pos="4071"/>
          <w:tab w:val="left" w:pos="7370"/>
        </w:tabs>
        <w:kinsoku/>
        <w:wordWrap/>
        <w:overflowPunct/>
        <w:topLinePunct w:val="0"/>
        <w:autoSpaceDE w:val="0"/>
        <w:autoSpaceDN w:val="0"/>
        <w:bidi w:val="0"/>
        <w:adjustRightInd/>
        <w:snapToGrid/>
        <w:spacing w:before="0" w:line="360" w:lineRule="auto"/>
        <w:ind w:left="711" w:right="239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1"/>
          <w:sz w:val="24"/>
          <w:szCs w:val="24"/>
          <w:highlight w:val="none"/>
        </w:rPr>
        <w:t>邮</w:t>
      </w:r>
      <w:r>
        <w:rPr>
          <w:rFonts w:hint="eastAsia" w:ascii="宋体" w:hAnsi="宋体" w:eastAsia="宋体" w:cs="宋体"/>
          <w:color w:val="auto"/>
          <w:sz w:val="24"/>
          <w:szCs w:val="24"/>
          <w:highlight w:val="none"/>
        </w:rPr>
        <w:t>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投标人名称（电子签章）：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5631"/>
          <w:tab w:val="left" w:pos="6471"/>
        </w:tabs>
        <w:kinsoku/>
        <w:wordWrap/>
        <w:overflowPunct/>
        <w:topLinePunct w:val="0"/>
        <w:autoSpaceDE w:val="0"/>
        <w:autoSpaceDN w:val="0"/>
        <w:bidi w:val="0"/>
        <w:adjustRightInd/>
        <w:snapToGrid/>
        <w:spacing w:before="0" w:line="360" w:lineRule="auto"/>
        <w:ind w:right="1282" w:righ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0"/>
        <w:spacing w:before="151"/>
        <w:ind w:left="790" w:right="0"/>
        <w:jc w:val="left"/>
        <w:rPr>
          <w:rFonts w:hint="eastAsia" w:ascii="宋体" w:hAnsi="宋体" w:eastAsia="宋体" w:cs="宋体"/>
          <w:color w:val="auto"/>
          <w:highlight w:val="none"/>
        </w:rPr>
      </w:pPr>
      <w:r>
        <w:rPr>
          <w:rFonts w:hint="eastAsia" w:ascii="宋体" w:hAnsi="宋体" w:eastAsia="宋体" w:cs="宋体"/>
          <w:color w:val="auto"/>
          <w:highlight w:val="none"/>
        </w:rPr>
        <w:t>附：法定代表人（或分支机构负责人）《居民身份证》扫描件正反面</w:t>
      </w:r>
    </w:p>
    <w:p>
      <w:pPr>
        <w:spacing w:before="12"/>
        <w:rPr>
          <w:rFonts w:hint="eastAsia" w:ascii="宋体" w:hAnsi="宋体" w:eastAsia="宋体" w:cs="宋体"/>
          <w:b/>
          <w:color w:val="auto"/>
          <w:sz w:val="18"/>
          <w:highlight w:val="none"/>
        </w:rPr>
      </w:pPr>
    </w:p>
    <w:p>
      <w:pPr>
        <w:rPr>
          <w:rFonts w:hint="eastAsia" w:ascii="宋体" w:hAnsi="宋体" w:eastAsia="宋体" w:cs="宋体"/>
          <w:b/>
          <w:color w:val="auto"/>
          <w:sz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6432" behindDoc="1" locked="0" layoutInCell="1" allowOverlap="1">
                <wp:simplePos x="0" y="0"/>
                <wp:positionH relativeFrom="page">
                  <wp:posOffset>3682365</wp:posOffset>
                </wp:positionH>
                <wp:positionV relativeFrom="paragraph">
                  <wp:posOffset>15240</wp:posOffset>
                </wp:positionV>
                <wp:extent cx="2632075" cy="1898015"/>
                <wp:effectExtent l="5080" t="4445" r="10795" b="21590"/>
                <wp:wrapTopAndBottom/>
                <wp:docPr id="16" name="文本框 31"/>
                <wp:cNvGraphicFramePr/>
                <a:graphic xmlns:a="http://schemas.openxmlformats.org/drawingml/2006/main">
                  <a:graphicData uri="http://schemas.microsoft.com/office/word/2010/wordprocessingShape">
                    <wps:wsp>
                      <wps:cNvSpPr txBox="1"/>
                      <wps:spPr>
                        <a:xfrm>
                          <a:off x="0" y="0"/>
                          <a:ext cx="2632075" cy="1898015"/>
                        </a:xfrm>
                        <a:prstGeom prst="rect">
                          <a:avLst/>
                        </a:prstGeom>
                        <a:noFill/>
                        <a:ln w="6096" cap="flat" cmpd="sng">
                          <a:solidFill>
                            <a:srgbClr val="000000"/>
                          </a:solidFill>
                          <a:prstDash val="solid"/>
                          <a:miter/>
                          <a:headEnd type="none" w="med" len="med"/>
                          <a:tailEnd type="none" w="med" len="med"/>
                        </a:ln>
                      </wps:spPr>
                      <wps:txbx>
                        <w:txbxContent>
                          <w:p>
                            <w:pPr>
                              <w:rPr>
                                <w:b/>
                              </w:rPr>
                            </w:pPr>
                          </w:p>
                          <w:p>
                            <w:pPr>
                              <w:rPr>
                                <w:b/>
                              </w:rPr>
                            </w:pPr>
                          </w:p>
                          <w:p>
                            <w:pPr>
                              <w:pStyle w:val="5"/>
                            </w:pPr>
                          </w:p>
                          <w:p>
                            <w:pPr>
                              <w:spacing w:before="154"/>
                              <w:ind w:left="1211"/>
                            </w:pPr>
                            <w:r>
                              <w:t>（身份证背面）</w:t>
                            </w:r>
                          </w:p>
                        </w:txbxContent>
                      </wps:txbx>
                      <wps:bodyPr lIns="0" tIns="0" rIns="0" bIns="0" upright="1"/>
                    </wps:wsp>
                  </a:graphicData>
                </a:graphic>
              </wp:anchor>
            </w:drawing>
          </mc:Choice>
          <mc:Fallback>
            <w:pict>
              <v:shape id="文本框 31" o:spid="_x0000_s1026" o:spt="202" type="#_x0000_t202" style="position:absolute;left:0pt;margin-left:289.95pt;margin-top:1.2pt;height:149.45pt;width:207.25pt;mso-position-horizontal-relative:page;mso-wrap-distance-bottom:0pt;mso-wrap-distance-top:0pt;z-index:-251650048;mso-width-relative:page;mso-height-relative:page;" filled="f" stroked="t" coordsize="21600,21600" o:gfxdata="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BX2efXAAAACQEAAA8AAAAA&#10;AAAAAQAgAAAAIgAAAGRycy9kb3ducmV2LnhtbFBLAQIUABQAAAAIAIdO4kDMikDmFQIAADQEAAAO&#10;AAAAAAAAAAEAIAAAACYBAABkcnMvZTJvRG9jLnhtbFBLBQYAAAAABgAGAFkBAACtBQAAAAA=&#10;">
                <v:fill on="f" focussize="0,0"/>
                <v:stroke weight="0.48pt" color="#000000" joinstyle="miter"/>
                <v:imagedata o:title=""/>
                <o:lock v:ext="edit" aspectratio="f"/>
                <v:textbox inset="0mm,0mm,0mm,0mm">
                  <w:txbxContent>
                    <w:p>
                      <w:pPr>
                        <w:rPr>
                          <w:b/>
                        </w:rPr>
                      </w:pPr>
                    </w:p>
                    <w:p>
                      <w:pPr>
                        <w:rPr>
                          <w:b/>
                        </w:rPr>
                      </w:pPr>
                    </w:p>
                    <w:p>
                      <w:pPr>
                        <w:pStyle w:val="5"/>
                      </w:pPr>
                    </w:p>
                    <w:p>
                      <w:pPr>
                        <w:spacing w:before="154"/>
                        <w:ind w:left="1211"/>
                      </w:pPr>
                      <w:r>
                        <w:t>（身份证背面）</w:t>
                      </w:r>
                    </w:p>
                  </w:txbxContent>
                </v:textbox>
                <w10:wrap type="topAndBottom"/>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page">
                  <wp:posOffset>1050925</wp:posOffset>
                </wp:positionH>
                <wp:positionV relativeFrom="paragraph">
                  <wp:posOffset>27940</wp:posOffset>
                </wp:positionV>
                <wp:extent cx="2630805" cy="1898650"/>
                <wp:effectExtent l="4445" t="4445" r="12700" b="20955"/>
                <wp:wrapNone/>
                <wp:docPr id="17" name="文本框 30"/>
                <wp:cNvGraphicFramePr/>
                <a:graphic xmlns:a="http://schemas.openxmlformats.org/drawingml/2006/main">
                  <a:graphicData uri="http://schemas.microsoft.com/office/word/2010/wordprocessingShape">
                    <wps:wsp>
                      <wps:cNvSpPr txBox="1"/>
                      <wps:spPr>
                        <a:xfrm>
                          <a:off x="0" y="0"/>
                          <a:ext cx="2630805" cy="1898650"/>
                        </a:xfrm>
                        <a:prstGeom prst="rect">
                          <a:avLst/>
                        </a:prstGeom>
                        <a:noFill/>
                        <a:ln w="6096" cap="flat" cmpd="sng">
                          <a:solidFill>
                            <a:srgbClr val="000000"/>
                          </a:solidFill>
                          <a:prstDash val="solid"/>
                          <a:miter/>
                          <a:headEnd type="none" w="med" len="med"/>
                          <a:tailEnd type="none" w="med" len="med"/>
                        </a:ln>
                      </wps:spPr>
                      <wps:txbx>
                        <w:txbxContent>
                          <w:p/>
                          <w:p/>
                          <w:p>
                            <w:pPr>
                              <w:pStyle w:val="5"/>
                            </w:pPr>
                          </w:p>
                          <w:p>
                            <w:pPr>
                              <w:spacing w:before="154"/>
                              <w:ind w:left="1211"/>
                            </w:pPr>
                            <w:r>
                              <w:t>（身份证正面）</w:t>
                            </w:r>
                          </w:p>
                        </w:txbxContent>
                      </wps:txbx>
                      <wps:bodyPr lIns="0" tIns="0" rIns="0" bIns="0" upright="1"/>
                    </wps:wsp>
                  </a:graphicData>
                </a:graphic>
              </wp:anchor>
            </w:drawing>
          </mc:Choice>
          <mc:Fallback>
            <w:pict>
              <v:shape id="文本框 30" o:spid="_x0000_s1026" o:spt="202" type="#_x0000_t202" style="position:absolute;left:0pt;margin-left:82.75pt;margin-top:2.2pt;height:149.5pt;width:207.15pt;mso-position-horizontal-relative:page;z-index:251667456;mso-width-relative:page;mso-height-relative:page;" filled="f" stroked="t" coordsize="21600,21600" o:gfxdata="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BdBTNYAAAAJAQAADwAAAAAA&#10;AAABACAAAAAiAAAAZHJzL2Rvd25yZXYueG1sUEsBAhQAFAAAAAgAh07iQE7zD+QVAgAANAQAAA4A&#10;AAAAAAAAAQAgAAAAJQEAAGRycy9lMm9Eb2MueG1sUEsFBgAAAAAGAAYAWQEAAKwFAAAAAA==&#10;">
                <v:fill on="f" focussize="0,0"/>
                <v:stroke weight="0.48pt" color="#000000" joinstyle="miter"/>
                <v:imagedata o:title=""/>
                <o:lock v:ext="edit" aspectratio="f"/>
                <v:textbox inset="0mm,0mm,0mm,0mm">
                  <w:txbxContent>
                    <w:p/>
                    <w:p/>
                    <w:p>
                      <w:pPr>
                        <w:pStyle w:val="5"/>
                      </w:pPr>
                    </w:p>
                    <w:p>
                      <w:pPr>
                        <w:spacing w:before="154"/>
                        <w:ind w:left="1211"/>
                      </w:pPr>
                      <w:r>
                        <w:t>（身份证正面）</w:t>
                      </w:r>
                    </w:p>
                  </w:txbxContent>
                </v:textbox>
              </v:shape>
            </w:pict>
          </mc:Fallback>
        </mc:AlternateContent>
      </w: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pStyle w:val="10"/>
        <w:spacing w:before="61"/>
        <w:ind w:left="296"/>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w:t>
      </w:r>
    </w:p>
    <w:p>
      <w:pPr>
        <w:spacing w:before="11"/>
        <w:rPr>
          <w:rFonts w:hint="eastAsia" w:ascii="宋体" w:hAnsi="宋体" w:eastAsia="宋体" w:cs="宋体"/>
          <w:b/>
          <w:color w:val="auto"/>
          <w:sz w:val="31"/>
          <w:highlight w:val="none"/>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231" w:right="631"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single"/>
        </w:rPr>
        <w:t>（地区的名称）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（公司名称）</w:t>
      </w:r>
      <w:r>
        <w:rPr>
          <w:rFonts w:hint="eastAsia" w:ascii="宋体" w:hAnsi="宋体" w:eastAsia="宋体" w:cs="宋体"/>
          <w:color w:val="auto"/>
          <w:spacing w:val="-2"/>
          <w:sz w:val="24"/>
          <w:szCs w:val="24"/>
          <w:highlight w:val="none"/>
        </w:rPr>
        <w:t>，在下面签字的法定代表</w:t>
      </w:r>
      <w:r>
        <w:rPr>
          <w:rFonts w:hint="eastAsia" w:ascii="宋体" w:hAnsi="宋体" w:eastAsia="宋体" w:cs="宋体"/>
          <w:color w:val="auto"/>
          <w:sz w:val="24"/>
          <w:szCs w:val="24"/>
          <w:highlight w:val="none"/>
        </w:rPr>
        <w:t>人（或分支机构负责人）</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，代表本公司委托在下面签字的</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0"/>
          <w:sz w:val="24"/>
          <w:szCs w:val="24"/>
          <w:highlight w:val="none"/>
          <w:u w:val="single"/>
        </w:rPr>
        <w:t>被授权人的姓名、职务</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为本公司的合法代理人，代理人根据授权，以我方名义签署、澄清确</w:t>
      </w:r>
      <w:r>
        <w:rPr>
          <w:rFonts w:hint="eastAsia" w:ascii="宋体" w:hAnsi="宋体" w:eastAsia="宋体" w:cs="宋体"/>
          <w:color w:val="auto"/>
          <w:spacing w:val="-8"/>
          <w:sz w:val="24"/>
          <w:szCs w:val="24"/>
          <w:highlight w:val="none"/>
        </w:rPr>
        <w:t>认、递交、撤回、修改</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pacing w:val="-15"/>
          <w:sz w:val="24"/>
          <w:szCs w:val="24"/>
          <w:highlight w:val="none"/>
          <w:u w:val="single"/>
        </w:rPr>
        <w:t>）</w:t>
      </w:r>
      <w:r>
        <w:rPr>
          <w:rFonts w:hint="eastAsia" w:ascii="宋体" w:hAnsi="宋体" w:eastAsia="宋体" w:cs="宋体"/>
          <w:color w:val="auto"/>
          <w:spacing w:val="-4"/>
          <w:sz w:val="24"/>
          <w:szCs w:val="24"/>
          <w:highlight w:val="none"/>
        </w:rPr>
        <w:t>的投标文件、签订合同和处理有关事宜，其法律后果由我方承担。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before="0" w:after="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711" w:right="842"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委托期限：自本委托书签署之日起至投标有效期期满。代理人无转委托权。</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7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附：委托代理人的身份证扫描件</w:t>
      </w:r>
    </w:p>
    <w:p>
      <w:pPr>
        <w:ind w:left="4494"/>
        <w:rPr>
          <w:rFonts w:hint="eastAsia" w:ascii="宋体" w:hAnsi="宋体" w:eastAsia="宋体" w:cs="宋体"/>
          <w:color w:val="auto"/>
          <w:sz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page">
                  <wp:posOffset>813435</wp:posOffset>
                </wp:positionH>
                <wp:positionV relativeFrom="paragraph">
                  <wp:posOffset>3175</wp:posOffset>
                </wp:positionV>
                <wp:extent cx="2764790" cy="1911350"/>
                <wp:effectExtent l="4445" t="5080" r="12065" b="7620"/>
                <wp:wrapNone/>
                <wp:docPr id="18" name="文本框 32"/>
                <wp:cNvGraphicFramePr/>
                <a:graphic xmlns:a="http://schemas.openxmlformats.org/drawingml/2006/main">
                  <a:graphicData uri="http://schemas.microsoft.com/office/word/2010/wordprocessingShape">
                    <wps:wsp>
                      <wps:cNvSpPr txBox="1"/>
                      <wps:spPr>
                        <a:xfrm>
                          <a:off x="0" y="0"/>
                          <a:ext cx="2764790" cy="1911350"/>
                        </a:xfrm>
                        <a:prstGeom prst="rect">
                          <a:avLst/>
                        </a:prstGeom>
                        <a:noFill/>
                        <a:ln w="6096" cap="flat" cmpd="sng">
                          <a:solidFill>
                            <a:srgbClr val="000000"/>
                          </a:solidFill>
                          <a:prstDash val="solid"/>
                          <a:miter/>
                          <a:headEnd type="none" w="med" len="med"/>
                          <a:tailEnd type="none" w="med" len="med"/>
                        </a:ln>
                      </wps:spPr>
                      <wps:txbx>
                        <w:txbxContent>
                          <w:p/>
                          <w:p/>
                          <w:p>
                            <w:pPr>
                              <w:spacing w:before="163"/>
                              <w:ind w:left="1211"/>
                            </w:pPr>
                          </w:p>
                          <w:p>
                            <w:pPr>
                              <w:spacing w:before="163"/>
                              <w:ind w:left="1211"/>
                            </w:pPr>
                            <w:r>
                              <w:t>（身份证正面）</w:t>
                            </w:r>
                          </w:p>
                        </w:txbxContent>
                      </wps:txbx>
                      <wps:bodyPr lIns="0" tIns="0" rIns="0" bIns="0" upright="1"/>
                    </wps:wsp>
                  </a:graphicData>
                </a:graphic>
              </wp:anchor>
            </w:drawing>
          </mc:Choice>
          <mc:Fallback>
            <w:pict>
              <v:shape id="文本框 32" o:spid="_x0000_s1026" o:spt="202" type="#_x0000_t202" style="position:absolute;left:0pt;margin-left:64.05pt;margin-top:0.25pt;height:150.5pt;width:217.7pt;mso-position-horizontal-relative:page;z-index:251668480;mso-width-relative:page;mso-height-relative:page;" filled="f" stroked="t" coordsize="21600,21600" o:gfxdata="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zTFNvVAAAACAEAAA8AAAAA&#10;AAAAAQAgAAAAIgAAAGRycy9kb3ducmV2LnhtbFBLAQIUABQAAAAIAIdO4kC+LvkRFwIAADQEAAAO&#10;AAAAAAAAAAEAIAAAACQBAABkcnMvZTJvRG9jLnhtbFBLBQYAAAAABgAGAFkBAACtBQAAAAA=&#10;">
                <v:fill on="f" focussize="0,0"/>
                <v:stroke weight="0.48pt" color="#000000" joinstyle="miter"/>
                <v:imagedata o:title=""/>
                <o:lock v:ext="edit" aspectratio="f"/>
                <v:textbox inset="0mm,0mm,0mm,0mm">
                  <w:txbxContent>
                    <w:p/>
                    <w:p/>
                    <w:p>
                      <w:pPr>
                        <w:spacing w:before="163"/>
                        <w:ind w:left="1211"/>
                      </w:pPr>
                    </w:p>
                    <w:p>
                      <w:pPr>
                        <w:spacing w:before="163"/>
                        <w:ind w:left="1211"/>
                      </w:pPr>
                      <w:r>
                        <w:t>（身份证正面）</w:t>
                      </w:r>
                    </w:p>
                  </w:txbxContent>
                </v:textbox>
              </v:shape>
            </w:pict>
          </mc:Fallback>
        </mc:AlternateContent>
      </w:r>
      <w:r>
        <w:rPr>
          <w:rFonts w:hint="eastAsia" w:ascii="宋体" w:hAnsi="宋体" w:eastAsia="宋体" w:cs="宋体"/>
          <w:color w:val="auto"/>
          <w:sz w:val="20"/>
          <w:highlight w:val="none"/>
        </w:rPr>
        <mc:AlternateContent>
          <mc:Choice Requires="wps">
            <w:drawing>
              <wp:inline distT="0" distB="0" distL="114300" distR="114300">
                <wp:extent cx="2917190" cy="1911350"/>
                <wp:effectExtent l="4445" t="5080" r="12065" b="7620"/>
                <wp:docPr id="12" name="文本框 33"/>
                <wp:cNvGraphicFramePr/>
                <a:graphic xmlns:a="http://schemas.openxmlformats.org/drawingml/2006/main">
                  <a:graphicData uri="http://schemas.microsoft.com/office/word/2010/wordprocessingShape">
                    <wps:wsp>
                      <wps:cNvSpPr txBox="1"/>
                      <wps:spPr>
                        <a:xfrm>
                          <a:off x="0" y="0"/>
                          <a:ext cx="2917190" cy="1911350"/>
                        </a:xfrm>
                        <a:prstGeom prst="rect">
                          <a:avLst/>
                        </a:prstGeom>
                        <a:noFill/>
                        <a:ln w="6096" cap="flat" cmpd="sng">
                          <a:solidFill>
                            <a:srgbClr val="000000"/>
                          </a:solidFill>
                          <a:prstDash val="solid"/>
                          <a:miter/>
                          <a:headEnd type="none" w="med" len="med"/>
                          <a:tailEnd type="none" w="med" len="med"/>
                        </a:ln>
                      </wps:spPr>
                      <wps:txbx>
                        <w:txbxContent>
                          <w:p/>
                          <w:p/>
                          <w:p>
                            <w:pPr>
                              <w:spacing w:before="163"/>
                              <w:ind w:left="1211"/>
                            </w:pPr>
                          </w:p>
                          <w:p>
                            <w:pPr>
                              <w:spacing w:before="163"/>
                              <w:ind w:left="1211"/>
                            </w:pPr>
                            <w:r>
                              <w:t>（身份证背面）</w:t>
                            </w:r>
                          </w:p>
                        </w:txbxContent>
                      </wps:txbx>
                      <wps:bodyPr lIns="0" tIns="0" rIns="0" bIns="0" upright="1"/>
                    </wps:wsp>
                  </a:graphicData>
                </a:graphic>
              </wp:inline>
            </w:drawing>
          </mc:Choice>
          <mc:Fallback>
            <w:pict>
              <v:shape id="文本框 33" o:spid="_x0000_s1026" o:spt="202" type="#_x0000_t202" style="height:150.5pt;width:229.7pt;" filled="f" stroked="t" coordsize="21600,21600" o:gfxdata="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v63+jUAAAABQEAAA8AAAAAAAAA&#10;AQAgAAAAIgAAAGRycy9kb3ducmV2LnhtbFBLAQIUABQAAAAIAIdO4kAtYD3YFQIAADQEAAAOAAAA&#10;AAAAAAEAIAAAACMBAABkcnMvZTJvRG9jLnhtbFBLBQYAAAAABgAGAFkBAACqBQAAAAA=&#10;">
                <v:fill on="f" focussize="0,0"/>
                <v:stroke weight="0.48pt" color="#000000" joinstyle="miter"/>
                <v:imagedata o:title=""/>
                <o:lock v:ext="edit" aspectratio="f"/>
                <v:textbox inset="0mm,0mm,0mm,0mm">
                  <w:txbxContent>
                    <w:p/>
                    <w:p/>
                    <w:p>
                      <w:pPr>
                        <w:spacing w:before="163"/>
                        <w:ind w:left="1211"/>
                      </w:pPr>
                    </w:p>
                    <w:p>
                      <w:pPr>
                        <w:spacing w:before="163"/>
                        <w:ind w:left="1211"/>
                      </w:pPr>
                      <w:r>
                        <w:t>（身份证背面）</w:t>
                      </w:r>
                    </w:p>
                  </w:txbxContent>
                </v:textbox>
                <w10:wrap type="none"/>
                <w10:anchorlock/>
              </v:shape>
            </w:pict>
          </mc:Fallback>
        </mc:AlternateContent>
      </w: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spacing w:before="7"/>
        <w:rPr>
          <w:rFonts w:hint="eastAsia" w:ascii="宋体" w:hAnsi="宋体" w:eastAsia="宋体" w:cs="宋体"/>
          <w:color w:val="auto"/>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3"/>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pPr>
    </w:p>
    <w:p>
      <w:pPr>
        <w:pStyle w:val="43"/>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sectPr>
          <w:pgSz w:w="11910" w:h="16840"/>
          <w:pgMar w:top="1134" w:right="1134" w:bottom="1134" w:left="1134" w:header="0" w:footer="998" w:gutter="0"/>
          <w:cols w:space="0" w:num="1"/>
          <w:rtlGutter w:val="0"/>
          <w:docGrid w:linePitch="0"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9"/>
        <w:ind w:left="116"/>
        <w:rPr>
          <w:rFonts w:hint="eastAsia" w:ascii="宋体" w:hAnsi="宋体" w:eastAsia="宋体" w:cs="宋体"/>
          <w:color w:val="auto"/>
          <w:highlight w:val="none"/>
        </w:rPr>
      </w:pPr>
      <w:bookmarkStart w:id="29" w:name="（三）开标一览表 "/>
      <w:bookmarkEnd w:id="29"/>
      <w:r>
        <w:rPr>
          <w:rFonts w:hint="eastAsia" w:ascii="宋体" w:hAnsi="宋体" w:eastAsia="宋体" w:cs="宋体"/>
          <w:color w:val="auto"/>
          <w:highlight w:val="none"/>
        </w:rPr>
        <w:t>（三）开标一览表</w:t>
      </w:r>
    </w:p>
    <w:p>
      <w:pPr>
        <w:rPr>
          <w:rFonts w:hint="eastAsia" w:ascii="宋体" w:hAnsi="宋体" w:eastAsia="宋体" w:cs="宋体"/>
          <w:b/>
          <w:color w:val="auto"/>
          <w:sz w:val="30"/>
          <w:highlight w:val="none"/>
        </w:rPr>
      </w:pPr>
    </w:p>
    <w:p>
      <w:pPr>
        <w:spacing w:before="12"/>
        <w:rPr>
          <w:rFonts w:hint="eastAsia" w:ascii="宋体" w:hAnsi="宋体" w:eastAsia="宋体" w:cs="宋体"/>
          <w:b/>
          <w:color w:val="auto"/>
          <w:sz w:val="30"/>
          <w:highlight w:val="none"/>
        </w:rPr>
      </w:pPr>
    </w:p>
    <w:p>
      <w:pPr>
        <w:tabs>
          <w:tab w:val="left" w:pos="4363"/>
        </w:tabs>
        <w:spacing w:before="0"/>
        <w:ind w:left="449" w:right="0" w:firstLine="0"/>
        <w:jc w:val="left"/>
        <w:rPr>
          <w:rFonts w:hint="eastAsia"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u w:val="single"/>
        </w:rPr>
        <w:tab/>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项目编号：</w:t>
      </w:r>
      <w:r>
        <w:rPr>
          <w:rFonts w:hint="eastAsia" w:ascii="宋体" w:hAnsi="宋体" w:eastAsia="宋体" w:cs="宋体"/>
          <w:b/>
          <w:color w:val="auto"/>
          <w:sz w:val="24"/>
          <w:szCs w:val="24"/>
          <w:highlight w:val="none"/>
          <w:u w:val="single"/>
          <w:lang w:val="en-US" w:eastAsia="zh-CN"/>
        </w:rPr>
        <w:t xml:space="preserve">              </w:t>
      </w:r>
    </w:p>
    <w:p>
      <w:pPr>
        <w:spacing w:before="4"/>
        <w:rPr>
          <w:rFonts w:hint="eastAsia" w:ascii="宋体" w:hAnsi="宋体" w:eastAsia="宋体" w:cs="宋体"/>
          <w:b/>
          <w:color w:val="auto"/>
          <w:sz w:val="10"/>
          <w:highlight w:val="none"/>
        </w:rPr>
      </w:pPr>
    </w:p>
    <w:tbl>
      <w:tblPr>
        <w:tblStyle w:val="25"/>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1970"/>
        <w:gridCol w:w="6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hRule="atLeast"/>
          <w:jc w:val="center"/>
        </w:trPr>
        <w:tc>
          <w:tcPr>
            <w:tcW w:w="1306" w:type="dxa"/>
          </w:tcPr>
          <w:p>
            <w:pPr>
              <w:pStyle w:val="33"/>
              <w:keepNext w:val="0"/>
              <w:keepLines w:val="0"/>
              <w:suppressLineNumbers w:val="0"/>
              <w:spacing w:before="1" w:beforeAutospacing="0" w:afterAutospacing="0"/>
              <w:rPr>
                <w:rFonts w:hint="eastAsia" w:ascii="宋体" w:hAnsi="宋体" w:eastAsia="宋体" w:cs="宋体"/>
                <w:b/>
                <w:color w:val="auto"/>
                <w:sz w:val="17"/>
                <w:highlight w:val="none"/>
              </w:rPr>
            </w:pPr>
          </w:p>
          <w:p>
            <w:pPr>
              <w:pStyle w:val="33"/>
              <w:keepNext w:val="0"/>
              <w:keepLines w:val="0"/>
              <w:suppressLineNumbers w:val="0"/>
              <w:spacing w:beforeAutospacing="0" w:afterAutospacing="0"/>
              <w:ind w:left="439" w:right="410"/>
              <w:jc w:val="center"/>
              <w:rPr>
                <w:rFonts w:hint="eastAsia" w:ascii="宋体" w:hAnsi="宋体" w:eastAsia="宋体" w:cs="宋体"/>
                <w:color w:val="auto"/>
                <w:sz w:val="20"/>
                <w:highlight w:val="none"/>
              </w:rPr>
            </w:pPr>
            <w:r>
              <w:rPr>
                <w:rFonts w:hint="eastAsia" w:ascii="宋体" w:hAnsi="宋体" w:eastAsia="宋体" w:cs="宋体"/>
                <w:color w:val="auto"/>
                <w:sz w:val="20"/>
                <w:highlight w:val="none"/>
              </w:rPr>
              <w:t>序号</w:t>
            </w:r>
          </w:p>
        </w:tc>
        <w:tc>
          <w:tcPr>
            <w:tcW w:w="1970" w:type="dxa"/>
          </w:tcPr>
          <w:p>
            <w:pPr>
              <w:pStyle w:val="33"/>
              <w:keepNext w:val="0"/>
              <w:keepLines w:val="0"/>
              <w:suppressLineNumbers w:val="0"/>
              <w:spacing w:before="193" w:beforeAutospacing="0" w:afterAutospacing="0"/>
              <w:ind w:left="719" w:right="7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6123" w:type="dxa"/>
          </w:tcPr>
          <w:p>
            <w:pPr>
              <w:pStyle w:val="33"/>
              <w:keepNext w:val="0"/>
              <w:keepLines w:val="0"/>
              <w:suppressLineNumbers w:val="0"/>
              <w:spacing w:before="11" w:beforeAutospacing="0" w:afterAutospacing="0"/>
              <w:rPr>
                <w:rFonts w:hint="eastAsia" w:ascii="宋体" w:hAnsi="宋体" w:eastAsia="宋体" w:cs="宋体"/>
                <w:b/>
                <w:color w:val="auto"/>
                <w:sz w:val="17"/>
                <w:highlight w:val="none"/>
              </w:rPr>
            </w:pPr>
          </w:p>
          <w:p>
            <w:pPr>
              <w:pStyle w:val="33"/>
              <w:keepNext w:val="0"/>
              <w:keepLines w:val="0"/>
              <w:suppressLineNumbers w:val="0"/>
              <w:spacing w:beforeAutospacing="0" w:afterAutospacing="0"/>
              <w:ind w:left="2426" w:right="241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jc w:val="center"/>
        </w:trPr>
        <w:tc>
          <w:tcPr>
            <w:tcW w:w="1306" w:type="dxa"/>
          </w:tcPr>
          <w:p>
            <w:pPr>
              <w:pStyle w:val="33"/>
              <w:keepNext w:val="0"/>
              <w:keepLines w:val="0"/>
              <w:suppressLineNumbers w:val="0"/>
              <w:spacing w:beforeAutospacing="0" w:afterAutospacing="0"/>
              <w:rPr>
                <w:rFonts w:hint="eastAsia" w:ascii="宋体" w:hAnsi="宋体" w:eastAsia="宋体" w:cs="宋体"/>
                <w:b/>
                <w:color w:val="auto"/>
                <w:sz w:val="20"/>
                <w:highlight w:val="none"/>
              </w:rPr>
            </w:pPr>
          </w:p>
          <w:p>
            <w:pPr>
              <w:pStyle w:val="33"/>
              <w:keepNext w:val="0"/>
              <w:keepLines w:val="0"/>
              <w:suppressLineNumbers w:val="0"/>
              <w:spacing w:before="1" w:beforeAutospacing="0" w:afterAutospacing="0"/>
              <w:rPr>
                <w:rFonts w:hint="eastAsia" w:ascii="宋体" w:hAnsi="宋体" w:eastAsia="宋体" w:cs="宋体"/>
                <w:b/>
                <w:color w:val="auto"/>
                <w:sz w:val="26"/>
                <w:highlight w:val="none"/>
              </w:rPr>
            </w:pPr>
          </w:p>
          <w:p>
            <w:pPr>
              <w:pStyle w:val="33"/>
              <w:keepNext w:val="0"/>
              <w:keepLines w:val="0"/>
              <w:suppressLineNumbers w:val="0"/>
              <w:spacing w:beforeAutospacing="0" w:afterAutospacing="0"/>
              <w:ind w:left="62"/>
              <w:jc w:val="center"/>
              <w:rPr>
                <w:rFonts w:hint="eastAsia" w:ascii="宋体" w:hAnsi="宋体" w:eastAsia="宋体" w:cs="宋体"/>
                <w:color w:val="auto"/>
                <w:sz w:val="20"/>
                <w:highlight w:val="none"/>
              </w:rPr>
            </w:pPr>
            <w:r>
              <w:rPr>
                <w:rFonts w:hint="eastAsia" w:ascii="宋体" w:hAnsi="宋体" w:eastAsia="宋体" w:cs="宋体"/>
                <w:color w:val="auto"/>
                <w:w w:val="99"/>
                <w:sz w:val="20"/>
                <w:highlight w:val="none"/>
              </w:rPr>
              <w:t>1</w:t>
            </w:r>
          </w:p>
        </w:tc>
        <w:tc>
          <w:tcPr>
            <w:tcW w:w="1970" w:type="dxa"/>
          </w:tcPr>
          <w:p>
            <w:pPr>
              <w:pStyle w:val="33"/>
              <w:keepNext w:val="0"/>
              <w:keepLines w:val="0"/>
              <w:suppressLineNumbers w:val="0"/>
              <w:spacing w:before="12" w:beforeAutospacing="0" w:afterAutospacing="0"/>
              <w:rPr>
                <w:rFonts w:hint="eastAsia" w:ascii="宋体" w:hAnsi="宋体" w:eastAsia="宋体" w:cs="宋体"/>
                <w:b/>
                <w:color w:val="auto"/>
                <w:sz w:val="31"/>
                <w:highlight w:val="none"/>
              </w:rPr>
            </w:pPr>
          </w:p>
          <w:p>
            <w:pPr>
              <w:pStyle w:val="33"/>
              <w:keepNext w:val="0"/>
              <w:keepLines w:val="0"/>
              <w:suppressLineNumbers w:val="0"/>
              <w:spacing w:beforeAutospacing="0" w:afterAutospacing="0"/>
              <w:ind w:left="49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p>
            <w:pPr>
              <w:pStyle w:val="33"/>
              <w:keepNext w:val="0"/>
              <w:keepLines w:val="0"/>
              <w:suppressLineNumbers w:val="0"/>
              <w:spacing w:before="2" w:beforeAutospacing="0" w:afterAutospacing="0"/>
              <w:ind w:left="619"/>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6123" w:type="dxa"/>
          </w:tcPr>
          <w:p>
            <w:pPr>
              <w:pStyle w:val="33"/>
              <w:keepNext w:val="0"/>
              <w:keepLines w:val="0"/>
              <w:suppressLineNumbers w:val="0"/>
              <w:spacing w:before="2" w:beforeAutospacing="0" w:afterAutospacing="0"/>
              <w:rPr>
                <w:rFonts w:hint="eastAsia" w:ascii="宋体" w:hAnsi="宋体" w:eastAsia="宋体" w:cs="宋体"/>
                <w:b/>
                <w:color w:val="auto"/>
                <w:sz w:val="31"/>
                <w:highlight w:val="none"/>
              </w:rPr>
            </w:pPr>
          </w:p>
          <w:p>
            <w:pPr>
              <w:pStyle w:val="33"/>
              <w:keepNext w:val="0"/>
              <w:keepLines w:val="0"/>
              <w:suppressLineNumbers w:val="0"/>
              <w:tabs>
                <w:tab w:val="left" w:pos="3108"/>
              </w:tabs>
              <w:spacing w:beforeAutospacing="0" w:afterAutospacing="0" w:line="312" w:lineRule="auto"/>
              <w:ind w:left="108" w:right="2734"/>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pacing w:val="-17"/>
                <w:sz w:val="24"/>
                <w:highlight w:val="none"/>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pacing w:val="-17"/>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9399" w:type="dxa"/>
            <w:gridSpan w:val="3"/>
          </w:tcPr>
          <w:p>
            <w:pPr>
              <w:pStyle w:val="33"/>
              <w:keepNext w:val="0"/>
              <w:keepLines w:val="0"/>
              <w:suppressLineNumbers w:val="0"/>
              <w:spacing w:before="196"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9399" w:type="dxa"/>
            <w:gridSpan w:val="3"/>
          </w:tcPr>
          <w:p>
            <w:pPr>
              <w:pStyle w:val="33"/>
              <w:keepNext w:val="0"/>
              <w:keepLines w:val="0"/>
              <w:suppressLineNumbers w:val="0"/>
              <w:spacing w:before="3" w:beforeAutospacing="0" w:afterAutospacing="0"/>
              <w:rPr>
                <w:rFonts w:hint="eastAsia" w:ascii="宋体" w:hAnsi="宋体" w:eastAsia="宋体" w:cs="宋体"/>
                <w:b/>
                <w:color w:val="auto"/>
                <w:sz w:val="17"/>
                <w:highlight w:val="none"/>
              </w:rPr>
            </w:pPr>
          </w:p>
          <w:p>
            <w:pPr>
              <w:pStyle w:val="33"/>
              <w:keepNext w:val="0"/>
              <w:keepLines w:val="0"/>
              <w:suppressLineNumbers w:val="0"/>
              <w:spacing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232" w:right="0" w:firstLine="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232"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注：1.表中大小写不一致时，以大写为准。</w:t>
      </w:r>
    </w:p>
    <w:p>
      <w:pPr>
        <w:pStyle w:val="32"/>
        <w:keepNext w:val="0"/>
        <w:keepLines w:val="0"/>
        <w:pageBreakBefore w:val="0"/>
        <w:widowControl w:val="0"/>
        <w:numPr>
          <w:ilvl w:val="0"/>
          <w:numId w:val="0"/>
        </w:numPr>
        <w:tabs>
          <w:tab w:val="left" w:pos="863"/>
        </w:tabs>
        <w:kinsoku/>
        <w:wordWrap/>
        <w:overflowPunct/>
        <w:topLinePunct w:val="0"/>
        <w:autoSpaceDE w:val="0"/>
        <w:autoSpaceDN w:val="0"/>
        <w:bidi w:val="0"/>
        <w:adjustRightInd/>
        <w:snapToGrid/>
        <w:spacing w:before="0" w:after="0" w:line="360" w:lineRule="auto"/>
        <w:ind w:right="715"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投标报价为完成本次采购项目的一切相关费用。</w:t>
      </w:r>
    </w:p>
    <w:p>
      <w:pPr>
        <w:pStyle w:val="32"/>
        <w:keepNext w:val="0"/>
        <w:keepLines w:val="0"/>
        <w:pageBreakBefore w:val="0"/>
        <w:widowControl w:val="0"/>
        <w:numPr>
          <w:ilvl w:val="0"/>
          <w:numId w:val="0"/>
        </w:numPr>
        <w:tabs>
          <w:tab w:val="left" w:pos="863"/>
        </w:tabs>
        <w:kinsoku/>
        <w:wordWrap/>
        <w:overflowPunct/>
        <w:topLinePunct w:val="0"/>
        <w:autoSpaceDE w:val="0"/>
        <w:autoSpaceDN w:val="0"/>
        <w:bidi w:val="0"/>
        <w:adjustRightInd/>
        <w:snapToGrid/>
        <w:spacing w:before="0" w:after="0" w:line="360" w:lineRule="auto"/>
        <w:ind w:right="715"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任何有选择或有条件的投标总价或表中某一包填写多个报价，均将导致投标被拒绝。</w:t>
      </w: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spacing w:before="7"/>
        <w:rPr>
          <w:rFonts w:hint="eastAsia" w:ascii="宋体" w:hAnsi="宋体" w:eastAsia="宋体" w:cs="宋体"/>
          <w:color w:val="auto"/>
          <w:sz w:val="22"/>
          <w:highlight w:val="none"/>
        </w:rPr>
      </w:pPr>
    </w:p>
    <w:p>
      <w:pPr>
        <w:pStyle w:val="5"/>
        <w:rPr>
          <w:rFonts w:hint="eastAsia" w:ascii="宋体" w:hAnsi="宋体" w:eastAsia="宋体" w:cs="宋体"/>
          <w:color w:val="auto"/>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3120" w:firstLineChars="1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3120" w:firstLineChars="13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3120" w:firstLineChars="1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3"/>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eastAsia="宋体" w:cs="宋体"/>
          <w:color w:val="auto"/>
          <w:sz w:val="24"/>
          <w:szCs w:val="24"/>
          <w:highlight w:val="none"/>
        </w:rPr>
      </w:pPr>
    </w:p>
    <w:p>
      <w:pPr>
        <w:pStyle w:val="43"/>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eastAsia="宋体" w:cs="宋体"/>
          <w:color w:val="auto"/>
          <w:sz w:val="24"/>
          <w:szCs w:val="24"/>
          <w:highlight w:val="none"/>
        </w:rPr>
        <w:sectPr>
          <w:pgSz w:w="11910" w:h="16840"/>
          <w:pgMar w:top="1134" w:right="1134" w:bottom="1134" w:left="1134" w:header="0" w:footer="998" w:gutter="0"/>
          <w:cols w:space="0" w:num="1"/>
          <w:rtlGutter w:val="0"/>
          <w:docGrid w:linePitch="0"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9"/>
        <w:ind w:left="294"/>
        <w:rPr>
          <w:rFonts w:hint="eastAsia" w:ascii="宋体" w:hAnsi="宋体" w:eastAsia="宋体" w:cs="宋体"/>
          <w:color w:val="auto"/>
          <w:highlight w:val="none"/>
        </w:rPr>
      </w:pPr>
      <w:bookmarkStart w:id="30" w:name="（四）投标保证金"/>
      <w:bookmarkEnd w:id="30"/>
      <w:r>
        <w:rPr>
          <w:rFonts w:hint="eastAsia" w:ascii="宋体" w:hAnsi="宋体" w:eastAsia="宋体" w:cs="宋体"/>
          <w:color w:val="auto"/>
          <w:highlight w:val="none"/>
        </w:rPr>
        <w:t>（四）投标保证金</w:t>
      </w: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r>
        <w:rPr>
          <w:rFonts w:hint="eastAsia" w:ascii="宋体" w:hAnsi="宋体" w:eastAsia="宋体" w:cs="宋体"/>
          <w:color w:val="auto"/>
          <w:sz w:val="30"/>
          <w:highlight w:val="none"/>
        </w:rPr>
        <mc:AlternateContent>
          <mc:Choice Requires="wps">
            <w:drawing>
              <wp:anchor distT="0" distB="0" distL="114300" distR="114300" simplePos="0" relativeHeight="251669504" behindDoc="0" locked="0" layoutInCell="1" allowOverlap="1">
                <wp:simplePos x="0" y="0"/>
                <wp:positionH relativeFrom="column">
                  <wp:posOffset>210185</wp:posOffset>
                </wp:positionH>
                <wp:positionV relativeFrom="paragraph">
                  <wp:posOffset>237490</wp:posOffset>
                </wp:positionV>
                <wp:extent cx="5603875" cy="3095625"/>
                <wp:effectExtent l="12700" t="0" r="22225" b="15875"/>
                <wp:wrapNone/>
                <wp:docPr id="1" name="矩形 1"/>
                <wp:cNvGraphicFramePr/>
                <a:graphic xmlns:a="http://schemas.openxmlformats.org/drawingml/2006/main">
                  <a:graphicData uri="http://schemas.microsoft.com/office/word/2010/wordprocessingShape">
                    <wps:wsp>
                      <wps:cNvSpPr/>
                      <wps:spPr>
                        <a:xfrm>
                          <a:off x="1035685" y="1971040"/>
                          <a:ext cx="5603875" cy="3095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5pt;margin-top:18.7pt;height:243.75pt;width:441.25pt;z-index:251669504;v-text-anchor:middle;mso-width-relative:page;mso-height-relative:page;" filled="f" stroked="t" coordsize="21600,21600" o:gfxdata="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Hqi2toAAAAJAQAADwAAAAAAAAABACAAAAAiAAAAZHJzL2Rvd25yZXYueG1s&#10;UEsBAhQAFAAAAAgAh07iQJLigV5oAgAAwQQAAA4AAAAAAAAAAQAgAAAAKQEAAGRycy9lMm9Eb2Mu&#10;eG1sUEsFBgAAAAAGAAYAWQEAAAMGAAAAAA==&#10;">
                <v:fill on="f" focussize="0,0"/>
                <v:stroke weight="2pt" color="#000000 [3213]" joinstyle="round"/>
                <v:imagedata o:title=""/>
                <o:lock v:ext="edit" aspectratio="f"/>
              </v:rect>
            </w:pict>
          </mc:Fallback>
        </mc:AlternateContent>
      </w: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r>
        <w:rPr>
          <w:rFonts w:hint="eastAsia" w:ascii="宋体" w:hAnsi="宋体" w:eastAsia="宋体" w:cs="宋体"/>
          <w:color w:val="auto"/>
          <w:sz w:val="30"/>
          <w:highlight w:val="none"/>
        </w:rPr>
        <mc:AlternateContent>
          <mc:Choice Requires="wps">
            <w:drawing>
              <wp:anchor distT="0" distB="0" distL="114300" distR="114300" simplePos="0" relativeHeight="251670528" behindDoc="0" locked="0" layoutInCell="1" allowOverlap="1">
                <wp:simplePos x="0" y="0"/>
                <wp:positionH relativeFrom="column">
                  <wp:posOffset>591185</wp:posOffset>
                </wp:positionH>
                <wp:positionV relativeFrom="paragraph">
                  <wp:posOffset>139065</wp:posOffset>
                </wp:positionV>
                <wp:extent cx="4921250" cy="1857375"/>
                <wp:effectExtent l="4445" t="4445" r="8255" b="5080"/>
                <wp:wrapNone/>
                <wp:docPr id="2" name="文本框 2"/>
                <wp:cNvGraphicFramePr/>
                <a:graphic xmlns:a="http://schemas.openxmlformats.org/drawingml/2006/main">
                  <a:graphicData uri="http://schemas.microsoft.com/office/word/2010/wordprocessingShape">
                    <wps:wsp>
                      <wps:cNvSpPr txBox="1"/>
                      <wps:spPr>
                        <a:xfrm>
                          <a:off x="1416685" y="2613660"/>
                          <a:ext cx="4921250" cy="1857375"/>
                        </a:xfrm>
                        <a:prstGeom prst="rect">
                          <a:avLst/>
                        </a:prstGeom>
                        <a:solidFill>
                          <a:schemeClr val="lt1"/>
                        </a:solidFill>
                        <a:ln w="6350">
                          <a:solidFill>
                            <a:schemeClr val="tx1"/>
                          </a:solidFill>
                          <a:prstDash val="dash"/>
                        </a:ln>
                      </wps:spPr>
                      <wps:style>
                        <a:lnRef idx="0">
                          <a:schemeClr val="accent1"/>
                        </a:lnRef>
                        <a:fillRef idx="0">
                          <a:schemeClr val="accent1"/>
                        </a:fillRef>
                        <a:effectRef idx="0">
                          <a:schemeClr val="accent1"/>
                        </a:effectRef>
                        <a:fontRef idx="minor">
                          <a:schemeClr val="dk1"/>
                        </a:fontRef>
                      </wps:style>
                      <wps:txbx>
                        <w:txbxContent>
                          <w:p>
                            <w:pPr>
                              <w:spacing w:before="260" w:line="312" w:lineRule="auto"/>
                              <w:ind w:left="240" w:right="643"/>
                              <w:jc w:val="center"/>
                            </w:pPr>
                            <w:r>
                              <w:t>（投标人须将银行打款凭证</w:t>
                            </w:r>
                            <w:r>
                              <w:rPr>
                                <w:rFonts w:hint="eastAsia"/>
                                <w:lang w:eastAsia="zh-CN"/>
                              </w:rPr>
                              <w:t>扫描件</w:t>
                            </w:r>
                            <w:r>
                              <w:t>附在此处，</w:t>
                            </w:r>
                            <w:r>
                              <w:rPr>
                                <w:rFonts w:hint="eastAsia"/>
                                <w:lang w:eastAsia="zh-CN"/>
                              </w:rPr>
                              <w:t>并加盖电子公章</w:t>
                            </w:r>
                            <w: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55pt;margin-top:10.95pt;height:146.25pt;width:387.5pt;z-index:251670528;mso-width-relative:page;mso-height-relative:page;" fillcolor="#CCE8CF [3201]" filled="t" stroked="t" coordsize="21600,21600" o:gfxdata="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8D/7u2QAAAAkBAAAPAAAAAAAAAAEAIAAAACIAAABkcnMvZG93bnJldi54&#10;bWxQSwECFAAUAAAACACHTuJAdBAVOGsCAADdBAAADgAAAAAAAAABACAAAAAoAQAAZHJzL2Uyb0Rv&#10;Yy54bWxQSwUGAAAAAAYABgBZAQAABQYAAAAA&#10;">
                <v:fill on="t" focussize="0,0"/>
                <v:stroke weight="0.5pt" color="#000000 [3213]" joinstyle="round" dashstyle="dash"/>
                <v:imagedata o:title=""/>
                <o:lock v:ext="edit" aspectratio="f"/>
                <v:textbox>
                  <w:txbxContent>
                    <w:p>
                      <w:pPr>
                        <w:spacing w:before="260" w:line="312" w:lineRule="auto"/>
                        <w:ind w:left="240" w:right="643"/>
                        <w:jc w:val="center"/>
                      </w:pPr>
                      <w:r>
                        <w:t>（投标人须将银行打款凭证</w:t>
                      </w:r>
                      <w:r>
                        <w:rPr>
                          <w:rFonts w:hint="eastAsia"/>
                          <w:lang w:eastAsia="zh-CN"/>
                        </w:rPr>
                        <w:t>扫描件</w:t>
                      </w:r>
                      <w:r>
                        <w:t>附在此处，</w:t>
                      </w:r>
                      <w:r>
                        <w:rPr>
                          <w:rFonts w:hint="eastAsia"/>
                          <w:lang w:eastAsia="zh-CN"/>
                        </w:rPr>
                        <w:t>并加盖电子公章</w:t>
                      </w:r>
                      <w:r>
                        <w:t>）</w:t>
                      </w:r>
                    </w:p>
                    <w:p/>
                  </w:txbxContent>
                </v:textbox>
              </v:shape>
            </w:pict>
          </mc:Fallback>
        </mc:AlternateContent>
      </w: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b/>
          <w:color w:val="auto"/>
          <w:sz w:val="30"/>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numPr>
          <w:ilvl w:val="0"/>
          <w:numId w:val="5"/>
        </w:numPr>
        <w:spacing w:before="182" w:line="501" w:lineRule="auto"/>
        <w:ind w:left="2876" w:right="2602" w:rightChars="0"/>
        <w:rPr>
          <w:rFonts w:hint="eastAsia" w:ascii="宋体" w:hAnsi="宋体" w:eastAsia="宋体" w:cs="宋体"/>
          <w:color w:val="auto"/>
          <w:highlight w:val="none"/>
        </w:rPr>
      </w:pPr>
      <w:r>
        <w:rPr>
          <w:rFonts w:hint="eastAsia" w:ascii="宋体" w:hAnsi="宋体" w:eastAsia="宋体" w:cs="宋体"/>
          <w:color w:val="auto"/>
          <w:highlight w:val="none"/>
        </w:rPr>
        <w:t>投标人资格证明文件</w:t>
      </w:r>
    </w:p>
    <w:p>
      <w:pPr>
        <w:pStyle w:val="9"/>
        <w:numPr>
          <w:ilvl w:val="0"/>
          <w:numId w:val="0"/>
        </w:numPr>
        <w:spacing w:before="182" w:line="501" w:lineRule="auto"/>
        <w:ind w:right="2602" w:rightChars="0" w:firstLine="3313" w:firstLineChars="1100"/>
        <w:jc w:val="both"/>
        <w:rPr>
          <w:rFonts w:hint="eastAsia" w:ascii="宋体" w:hAnsi="宋体" w:eastAsia="宋体" w:cs="宋体"/>
          <w:color w:val="auto"/>
          <w:highlight w:val="none"/>
        </w:rPr>
      </w:pPr>
      <w:r>
        <w:rPr>
          <w:rFonts w:hint="eastAsia" w:ascii="宋体" w:hAnsi="宋体" w:eastAsia="宋体" w:cs="宋体"/>
          <w:color w:val="auto"/>
          <w:highlight w:val="none"/>
        </w:rPr>
        <w:t>1、关于资格的声明函</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（招标人名称）</w:t>
      </w:r>
    </w:p>
    <w:p>
      <w:pPr>
        <w:keepNext w:val="0"/>
        <w:keepLines w:val="0"/>
        <w:pageBreakBefore w:val="0"/>
        <w:widowControl w:val="0"/>
        <w:tabs>
          <w:tab w:val="left" w:pos="8172"/>
        </w:tabs>
        <w:kinsoku/>
        <w:wordWrap/>
        <w:overflowPunct/>
        <w:topLinePunct w:val="0"/>
        <w:autoSpaceDE w:val="0"/>
        <w:autoSpaceDN w:val="0"/>
        <w:bidi w:val="0"/>
        <w:adjustRightInd/>
        <w:snapToGrid/>
        <w:spacing w:before="0" w:line="360" w:lineRule="auto"/>
        <w:ind w:left="231" w:right="631"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pacing w:val="119"/>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pacing w:val="119"/>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pacing w:val="-20"/>
          <w:sz w:val="24"/>
          <w:szCs w:val="24"/>
          <w:highlight w:val="none"/>
        </w:rPr>
        <w:t>第</w:t>
      </w:r>
      <w:r>
        <w:rPr>
          <w:rFonts w:hint="eastAsia" w:ascii="宋体" w:hAnsi="宋体" w:eastAsia="宋体" w:cs="宋体"/>
          <w:color w:val="auto"/>
          <w:sz w:val="24"/>
          <w:szCs w:val="24"/>
          <w:highlight w:val="none"/>
        </w:rPr>
        <w:t>（项目编号</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招标公告关于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的招</w:t>
      </w:r>
      <w:r>
        <w:rPr>
          <w:rFonts w:hint="eastAsia" w:ascii="宋体" w:hAnsi="宋体" w:eastAsia="宋体" w:cs="宋体"/>
          <w:color w:val="auto"/>
          <w:spacing w:val="-17"/>
          <w:sz w:val="24"/>
          <w:szCs w:val="24"/>
          <w:highlight w:val="none"/>
        </w:rPr>
        <w:t>标</w:t>
      </w:r>
      <w:r>
        <w:rPr>
          <w:rFonts w:hint="eastAsia" w:ascii="宋体" w:hAnsi="宋体" w:eastAsia="宋体" w:cs="宋体"/>
          <w:color w:val="auto"/>
          <w:sz w:val="24"/>
          <w:szCs w:val="24"/>
          <w:highlight w:val="none"/>
        </w:rPr>
        <w:t>项目</w:t>
      </w:r>
      <w:r>
        <w:rPr>
          <w:rFonts w:hint="eastAsia" w:ascii="宋体" w:hAnsi="宋体" w:eastAsia="宋体" w:cs="宋体"/>
          <w:color w:val="auto"/>
          <w:spacing w:val="-27"/>
          <w:sz w:val="24"/>
          <w:szCs w:val="24"/>
          <w:highlight w:val="none"/>
        </w:rPr>
        <w:t>，</w:t>
      </w:r>
      <w:r>
        <w:rPr>
          <w:rFonts w:hint="eastAsia" w:ascii="宋体" w:hAnsi="宋体" w:eastAsia="宋体" w:cs="宋体"/>
          <w:color w:val="auto"/>
          <w:sz w:val="24"/>
          <w:szCs w:val="24"/>
          <w:highlight w:val="none"/>
        </w:rPr>
        <w:t>本签字人愿意参加投标</w:t>
      </w:r>
      <w:r>
        <w:rPr>
          <w:rFonts w:hint="eastAsia" w:ascii="宋体" w:hAnsi="宋体" w:eastAsia="宋体" w:cs="宋体"/>
          <w:color w:val="auto"/>
          <w:spacing w:val="-24"/>
          <w:sz w:val="24"/>
          <w:szCs w:val="24"/>
          <w:highlight w:val="none"/>
        </w:rPr>
        <w:t>，</w:t>
      </w:r>
      <w:r>
        <w:rPr>
          <w:rFonts w:hint="eastAsia" w:ascii="宋体" w:hAnsi="宋体" w:eastAsia="宋体" w:cs="宋体"/>
          <w:color w:val="auto"/>
          <w:sz w:val="24"/>
          <w:szCs w:val="24"/>
          <w:highlight w:val="none"/>
        </w:rPr>
        <w:t>并有能力提供</w:t>
      </w:r>
      <w:r>
        <w:rPr>
          <w:rFonts w:hint="eastAsia" w:ascii="宋体" w:hAnsi="宋体" w:eastAsia="宋体" w:cs="宋体"/>
          <w:color w:val="auto"/>
          <w:spacing w:val="95"/>
          <w:sz w:val="24"/>
          <w:szCs w:val="24"/>
          <w:highlight w:val="none"/>
          <w:u w:val="single"/>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z w:val="24"/>
          <w:szCs w:val="24"/>
          <w:highlight w:val="none"/>
        </w:rPr>
        <w:t>项目中的全部货物及</w:t>
      </w:r>
      <w:r>
        <w:rPr>
          <w:rFonts w:hint="eastAsia" w:ascii="宋体" w:hAnsi="宋体" w:eastAsia="宋体" w:cs="宋体"/>
          <w:color w:val="auto"/>
          <w:spacing w:val="-16"/>
          <w:sz w:val="24"/>
          <w:szCs w:val="24"/>
          <w:highlight w:val="none"/>
        </w:rPr>
        <w:t>相</w:t>
      </w:r>
      <w:r>
        <w:rPr>
          <w:rFonts w:hint="eastAsia" w:ascii="宋体" w:hAnsi="宋体" w:eastAsia="宋体" w:cs="宋体"/>
          <w:color w:val="auto"/>
          <w:sz w:val="24"/>
          <w:szCs w:val="24"/>
          <w:highlight w:val="none"/>
        </w:rPr>
        <w:t>关服务内容，并保证所提交的所有文件和说明是真实和准确的。</w:t>
      </w:r>
    </w:p>
    <w:p>
      <w:pPr>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480" w:firstLineChars="2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pacing w:val="-7"/>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pacing w:val="-7"/>
          <w:sz w:val="24"/>
          <w:szCs w:val="24"/>
          <w:highlight w:val="none"/>
          <w:u w:val="single"/>
          <w:lang w:val="en-US" w:eastAsia="zh-CN"/>
        </w:rPr>
      </w:pPr>
      <w:r>
        <w:rPr>
          <w:rFonts w:hint="eastAsia" w:ascii="宋体" w:hAnsi="宋体" w:eastAsia="宋体" w:cs="宋体"/>
          <w:color w:val="auto"/>
          <w:spacing w:val="-7"/>
          <w:sz w:val="24"/>
          <w:szCs w:val="24"/>
          <w:highlight w:val="none"/>
        </w:rPr>
        <w:t>传</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真：</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pacing w:val="-7"/>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pacing w:val="-7"/>
          <w:sz w:val="24"/>
          <w:szCs w:val="24"/>
          <w:highlight w:val="none"/>
          <w:u w:val="single"/>
          <w:lang w:val="en-US" w:eastAsia="zh-CN"/>
        </w:rPr>
      </w:pPr>
      <w:r>
        <w:rPr>
          <w:rFonts w:hint="eastAsia" w:ascii="宋体" w:hAnsi="宋体" w:eastAsia="宋体" w:cs="宋体"/>
          <w:color w:val="auto"/>
          <w:spacing w:val="-7"/>
          <w:sz w:val="24"/>
          <w:szCs w:val="24"/>
          <w:highlight w:val="none"/>
        </w:rPr>
        <w:t>邮</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编：</w:t>
      </w:r>
      <w:r>
        <w:rPr>
          <w:rFonts w:hint="eastAsia" w:ascii="宋体" w:hAnsi="宋体" w:eastAsia="宋体" w:cs="宋体"/>
          <w:color w:val="auto"/>
          <w:spacing w:val="-7"/>
          <w:sz w:val="24"/>
          <w:szCs w:val="24"/>
          <w:highlight w:val="none"/>
          <w:u w:val="single"/>
          <w:lang w:val="en-US" w:eastAsia="zh-CN"/>
        </w:rPr>
        <w:t xml:space="preserve">  </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pacing w:val="-7"/>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3829" w:firstLine="452"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pacing w:val="-7"/>
          <w:sz w:val="24"/>
          <w:szCs w:val="24"/>
          <w:highlight w:val="none"/>
        </w:rPr>
        <w:t>电</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话：</w:t>
      </w:r>
      <w:r>
        <w:rPr>
          <w:rFonts w:hint="eastAsia" w:ascii="宋体" w:hAnsi="宋体" w:eastAsia="宋体" w:cs="宋体"/>
          <w:color w:val="auto"/>
          <w:sz w:val="24"/>
          <w:szCs w:val="24"/>
          <w:highlight w:val="none"/>
          <w:u w:val="single"/>
          <w:lang w:val="en-US" w:eastAsia="zh-CN"/>
        </w:rPr>
        <w:t xml:space="preserve">                                   </w:t>
      </w:r>
    </w:p>
    <w:p>
      <w:pPr>
        <w:pStyle w:val="43"/>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pStyle w:val="43"/>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sectPr>
          <w:pgSz w:w="11910" w:h="16840"/>
          <w:pgMar w:top="1134" w:right="1134" w:bottom="1134" w:left="1134" w:header="0" w:footer="998" w:gutter="0"/>
          <w:cols w:space="0" w:num="1"/>
          <w:rtlGutter w:val="0"/>
          <w:docGrid w:linePitch="0" w:charSpace="0"/>
        </w:sect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9"/>
        <w:ind w:left="298"/>
        <w:rPr>
          <w:rFonts w:hint="eastAsia" w:ascii="宋体" w:hAnsi="宋体" w:eastAsia="宋体" w:cs="宋体"/>
          <w:color w:val="auto"/>
          <w:highlight w:val="none"/>
        </w:rPr>
      </w:pPr>
      <w:r>
        <w:rPr>
          <w:rFonts w:hint="eastAsia" w:ascii="宋体" w:hAnsi="宋体" w:eastAsia="宋体" w:cs="宋体"/>
          <w:color w:val="auto"/>
          <w:highlight w:val="none"/>
        </w:rPr>
        <w:t>（六）、投标人基本情况表（附资格审查资料）</w:t>
      </w:r>
    </w:p>
    <w:p>
      <w:pPr>
        <w:spacing w:before="6"/>
        <w:rPr>
          <w:rFonts w:hint="eastAsia" w:ascii="宋体" w:hAnsi="宋体" w:eastAsia="宋体" w:cs="宋体"/>
          <w:b/>
          <w:color w:val="auto"/>
          <w:sz w:val="28"/>
          <w:highlight w:val="none"/>
        </w:rPr>
      </w:pPr>
    </w:p>
    <w:tbl>
      <w:tblPr>
        <w:tblStyle w:val="25"/>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4"/>
        <w:gridCol w:w="3138"/>
        <w:gridCol w:w="1742"/>
        <w:gridCol w:w="1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3" w:hRule="atLeast"/>
          <w:jc w:val="center"/>
        </w:trPr>
        <w:tc>
          <w:tcPr>
            <w:tcW w:w="2124" w:type="dxa"/>
          </w:tcPr>
          <w:p>
            <w:pPr>
              <w:pStyle w:val="33"/>
              <w:keepNext w:val="0"/>
              <w:keepLines w:val="0"/>
              <w:suppressLineNumbers w:val="0"/>
              <w:spacing w:before="118" w:beforeAutospacing="0" w:afterAutospacing="0"/>
              <w:ind w:left="91"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企业注册名称</w:t>
            </w:r>
          </w:p>
        </w:tc>
        <w:tc>
          <w:tcPr>
            <w:tcW w:w="3138" w:type="dxa"/>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c>
          <w:tcPr>
            <w:tcW w:w="1742" w:type="dxa"/>
          </w:tcPr>
          <w:p>
            <w:pPr>
              <w:pStyle w:val="33"/>
              <w:keepNext w:val="0"/>
              <w:keepLines w:val="0"/>
              <w:suppressLineNumbers w:val="0"/>
              <w:spacing w:before="118" w:beforeAutospacing="0" w:afterAutospacing="0"/>
              <w:ind w:left="322" w:right="31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建立日期</w:t>
            </w:r>
          </w:p>
        </w:tc>
        <w:tc>
          <w:tcPr>
            <w:tcW w:w="1733" w:type="dxa"/>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3"/>
              <w:keepNext w:val="0"/>
              <w:keepLines w:val="0"/>
              <w:suppressLineNumbers w:val="0"/>
              <w:spacing w:before="118" w:beforeAutospacing="0" w:afterAutospacing="0"/>
              <w:ind w:left="91"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企业详细地址</w:t>
            </w:r>
          </w:p>
        </w:tc>
        <w:tc>
          <w:tcPr>
            <w:tcW w:w="3138" w:type="dxa"/>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c>
          <w:tcPr>
            <w:tcW w:w="1742" w:type="dxa"/>
          </w:tcPr>
          <w:p>
            <w:pPr>
              <w:pStyle w:val="33"/>
              <w:keepNext w:val="0"/>
              <w:keepLines w:val="0"/>
              <w:suppressLineNumbers w:val="0"/>
              <w:spacing w:before="118" w:beforeAutospacing="0" w:afterAutospacing="0"/>
              <w:ind w:left="322" w:right="31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企业性质</w:t>
            </w:r>
          </w:p>
        </w:tc>
        <w:tc>
          <w:tcPr>
            <w:tcW w:w="1733" w:type="dxa"/>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3"/>
              <w:keepNext w:val="0"/>
              <w:keepLines w:val="0"/>
              <w:suppressLineNumbers w:val="0"/>
              <w:spacing w:before="119" w:beforeAutospacing="0" w:afterAutospacing="0"/>
              <w:ind w:left="91"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企业法人代表</w:t>
            </w:r>
          </w:p>
        </w:tc>
        <w:tc>
          <w:tcPr>
            <w:tcW w:w="3138" w:type="dxa"/>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c>
          <w:tcPr>
            <w:tcW w:w="1742" w:type="dxa"/>
          </w:tcPr>
          <w:p>
            <w:pPr>
              <w:pStyle w:val="33"/>
              <w:keepNext w:val="0"/>
              <w:keepLines w:val="0"/>
              <w:suppressLineNumbers w:val="0"/>
              <w:spacing w:before="119" w:beforeAutospacing="0" w:afterAutospacing="0"/>
              <w:ind w:left="322" w:right="31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技术负责人</w:t>
            </w:r>
          </w:p>
        </w:tc>
        <w:tc>
          <w:tcPr>
            <w:tcW w:w="1733" w:type="dxa"/>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tcPr>
          <w:p>
            <w:pPr>
              <w:pStyle w:val="33"/>
              <w:keepNext w:val="0"/>
              <w:keepLines w:val="0"/>
              <w:suppressLineNumbers w:val="0"/>
              <w:spacing w:before="118" w:beforeAutospacing="0" w:afterAutospacing="0"/>
              <w:ind w:left="91"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联系人</w:t>
            </w:r>
          </w:p>
        </w:tc>
        <w:tc>
          <w:tcPr>
            <w:tcW w:w="3138" w:type="dxa"/>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c>
          <w:tcPr>
            <w:tcW w:w="1742" w:type="dxa"/>
          </w:tcPr>
          <w:p>
            <w:pPr>
              <w:pStyle w:val="33"/>
              <w:keepNext w:val="0"/>
              <w:keepLines w:val="0"/>
              <w:suppressLineNumbers w:val="0"/>
              <w:spacing w:before="118" w:beforeAutospacing="0" w:afterAutospacing="0"/>
              <w:ind w:left="322" w:right="31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联系电话</w:t>
            </w:r>
          </w:p>
        </w:tc>
        <w:tc>
          <w:tcPr>
            <w:tcW w:w="1733" w:type="dxa"/>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3" w:hRule="atLeast"/>
          <w:jc w:val="center"/>
        </w:trPr>
        <w:tc>
          <w:tcPr>
            <w:tcW w:w="2124" w:type="dxa"/>
          </w:tcPr>
          <w:p>
            <w:pPr>
              <w:pStyle w:val="33"/>
              <w:keepNext w:val="0"/>
              <w:keepLines w:val="0"/>
              <w:suppressLineNumbers w:val="0"/>
              <w:spacing w:before="118" w:beforeAutospacing="0" w:afterAutospacing="0"/>
              <w:ind w:left="91"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企业资质等级</w:t>
            </w:r>
          </w:p>
        </w:tc>
        <w:tc>
          <w:tcPr>
            <w:tcW w:w="6613" w:type="dxa"/>
            <w:gridSpan w:val="3"/>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3" w:hRule="atLeast"/>
          <w:jc w:val="center"/>
        </w:trPr>
        <w:tc>
          <w:tcPr>
            <w:tcW w:w="2124" w:type="dxa"/>
          </w:tcPr>
          <w:p>
            <w:pPr>
              <w:pStyle w:val="33"/>
              <w:keepNext w:val="0"/>
              <w:keepLines w:val="0"/>
              <w:suppressLineNumbers w:val="0"/>
              <w:spacing w:before="119" w:beforeAutospacing="0" w:afterAutospacing="0"/>
              <w:ind w:left="94"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统一社会信用代码</w:t>
            </w:r>
          </w:p>
        </w:tc>
        <w:tc>
          <w:tcPr>
            <w:tcW w:w="6613" w:type="dxa"/>
            <w:gridSpan w:val="3"/>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4" w:hRule="atLeast"/>
          <w:jc w:val="center"/>
        </w:trPr>
        <w:tc>
          <w:tcPr>
            <w:tcW w:w="2124" w:type="dxa"/>
          </w:tcPr>
          <w:p>
            <w:pPr>
              <w:pStyle w:val="33"/>
              <w:keepNext w:val="0"/>
              <w:keepLines w:val="0"/>
              <w:suppressLineNumbers w:val="0"/>
              <w:spacing w:before="2" w:beforeAutospacing="0" w:afterAutospacing="0"/>
              <w:rPr>
                <w:rFonts w:hint="eastAsia" w:ascii="宋体" w:hAnsi="宋体" w:eastAsia="宋体" w:cs="宋体"/>
                <w:b/>
                <w:color w:val="auto"/>
                <w:sz w:val="24"/>
                <w:highlight w:val="none"/>
              </w:rPr>
            </w:pPr>
          </w:p>
          <w:p>
            <w:pPr>
              <w:pStyle w:val="33"/>
              <w:keepNext w:val="0"/>
              <w:keepLines w:val="0"/>
              <w:suppressLineNumbers w:val="0"/>
              <w:spacing w:beforeAutospacing="0" w:afterAutospacing="0"/>
              <w:ind w:left="94"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业务范围</w:t>
            </w:r>
          </w:p>
        </w:tc>
        <w:tc>
          <w:tcPr>
            <w:tcW w:w="6613" w:type="dxa"/>
            <w:gridSpan w:val="3"/>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3" w:hRule="atLeast"/>
          <w:jc w:val="center"/>
        </w:trPr>
        <w:tc>
          <w:tcPr>
            <w:tcW w:w="2124" w:type="dxa"/>
          </w:tcPr>
          <w:p>
            <w:pPr>
              <w:pStyle w:val="33"/>
              <w:keepNext w:val="0"/>
              <w:keepLines w:val="0"/>
              <w:suppressLineNumbers w:val="0"/>
              <w:spacing w:before="119" w:beforeAutospacing="0" w:afterAutospacing="0"/>
              <w:ind w:left="94" w:right="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企业职工及组织机构</w:t>
            </w:r>
          </w:p>
        </w:tc>
        <w:tc>
          <w:tcPr>
            <w:tcW w:w="6613" w:type="dxa"/>
            <w:gridSpan w:val="3"/>
          </w:tcPr>
          <w:p>
            <w:pPr>
              <w:pStyle w:val="33"/>
              <w:keepNext w:val="0"/>
              <w:keepLines w:val="0"/>
              <w:suppressLineNumbers w:val="0"/>
              <w:spacing w:before="119" w:beforeAutospacing="0" w:afterAutospacing="0"/>
              <w:ind w:left="1073" w:right="106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企业总人数、具有技术职称的工作人员等情况。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7" w:hRule="atLeast"/>
          <w:jc w:val="center"/>
        </w:trPr>
        <w:tc>
          <w:tcPr>
            <w:tcW w:w="2124" w:type="dxa"/>
          </w:tcPr>
          <w:p>
            <w:pPr>
              <w:pStyle w:val="33"/>
              <w:keepNext w:val="0"/>
              <w:keepLines w:val="0"/>
              <w:suppressLineNumbers w:val="0"/>
              <w:spacing w:beforeAutospacing="0" w:afterAutospacing="0"/>
              <w:rPr>
                <w:rFonts w:hint="eastAsia" w:ascii="宋体" w:hAnsi="宋体" w:eastAsia="宋体" w:cs="宋体"/>
                <w:b/>
                <w:color w:val="auto"/>
                <w:sz w:val="20"/>
                <w:highlight w:val="none"/>
              </w:rPr>
            </w:pPr>
          </w:p>
          <w:p>
            <w:pPr>
              <w:pStyle w:val="33"/>
              <w:keepNext w:val="0"/>
              <w:keepLines w:val="0"/>
              <w:suppressLineNumbers w:val="0"/>
              <w:spacing w:before="130" w:beforeAutospacing="0" w:afterAutospacing="0" w:line="242" w:lineRule="auto"/>
              <w:ind w:left="955" w:right="94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企业简介</w:t>
            </w:r>
          </w:p>
        </w:tc>
        <w:tc>
          <w:tcPr>
            <w:tcW w:w="6613" w:type="dxa"/>
            <w:gridSpan w:val="3"/>
          </w:tcPr>
          <w:p>
            <w:pPr>
              <w:pStyle w:val="33"/>
              <w:keepNext w:val="0"/>
              <w:keepLines w:val="0"/>
              <w:suppressLineNumbers w:val="0"/>
              <w:spacing w:beforeAutospacing="0" w:afterAutospacing="0"/>
              <w:rPr>
                <w:rFonts w:hint="eastAsia" w:ascii="宋体" w:hAnsi="宋体" w:eastAsia="宋体" w:cs="宋体"/>
                <w:color w:val="auto"/>
                <w:sz w:val="18"/>
                <w:highlight w:val="none"/>
              </w:rPr>
            </w:pPr>
          </w:p>
        </w:tc>
      </w:tr>
    </w:tbl>
    <w:p>
      <w:pPr>
        <w:spacing w:before="2"/>
        <w:rPr>
          <w:rFonts w:hint="eastAsia" w:ascii="宋体" w:hAnsi="宋体" w:eastAsia="宋体" w:cs="宋体"/>
          <w:b/>
          <w:color w:val="auto"/>
          <w:sz w:val="29"/>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411" w:right="182" w:rightChars="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注：在本表后应附：</w:t>
      </w:r>
    </w:p>
    <w:p>
      <w:pPr>
        <w:keepNext w:val="0"/>
        <w:keepLines w:val="0"/>
        <w:pageBreakBefore w:val="0"/>
        <w:widowControl w:val="0"/>
        <w:kinsoku/>
        <w:wordWrap/>
        <w:overflowPunct/>
        <w:topLinePunct w:val="0"/>
        <w:autoSpaceDE w:val="0"/>
        <w:autoSpaceDN w:val="0"/>
        <w:bidi w:val="0"/>
        <w:adjustRightInd/>
        <w:snapToGrid/>
        <w:spacing w:before="0" w:line="360" w:lineRule="auto"/>
        <w:ind w:left="411" w:right="-38" w:rightChars="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投标单位企业法人营业执照或具有同等法律效力的许可经营证明文件的</w:t>
      </w:r>
      <w:r>
        <w:rPr>
          <w:rFonts w:hint="eastAsia" w:ascii="宋体" w:hAnsi="宋体" w:eastAsia="宋体" w:cs="宋体"/>
          <w:color w:val="auto"/>
          <w:sz w:val="24"/>
          <w:szCs w:val="24"/>
          <w:highlight w:val="none"/>
          <w:lang w:eastAsia="zh-CN"/>
        </w:rPr>
        <w:t>扫描</w:t>
      </w:r>
      <w:r>
        <w:rPr>
          <w:rFonts w:hint="eastAsia" w:ascii="宋体" w:hAnsi="宋体" w:eastAsia="宋体" w:cs="宋体"/>
          <w:color w:val="auto"/>
          <w:sz w:val="24"/>
          <w:szCs w:val="24"/>
          <w:highlight w:val="none"/>
        </w:rPr>
        <w:t>件、相关资质证书、许可证书（如有）及本招标文件中相关资格要求的内容等资料的</w:t>
      </w:r>
      <w:r>
        <w:rPr>
          <w:rFonts w:hint="eastAsia" w:ascii="宋体" w:hAnsi="宋体" w:eastAsia="宋体" w:cs="宋体"/>
          <w:color w:val="auto"/>
          <w:sz w:val="24"/>
          <w:szCs w:val="24"/>
          <w:highlight w:val="none"/>
          <w:lang w:eastAsia="zh-CN"/>
        </w:rPr>
        <w:t>扫描</w:t>
      </w:r>
      <w:r>
        <w:rPr>
          <w:rFonts w:hint="eastAsia"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val="0"/>
        <w:autoSpaceDN w:val="0"/>
        <w:bidi w:val="0"/>
        <w:adjustRightInd/>
        <w:snapToGrid/>
        <w:spacing w:before="0" w:line="360" w:lineRule="auto"/>
        <w:ind w:right="402"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附其他相关证明材料</w:t>
      </w:r>
      <w:r>
        <w:rPr>
          <w:rFonts w:hint="eastAsia" w:ascii="宋体" w:hAnsi="宋体" w:eastAsia="宋体" w:cs="宋体"/>
          <w:color w:val="auto"/>
          <w:sz w:val="24"/>
          <w:szCs w:val="24"/>
          <w:highlight w:val="none"/>
          <w:lang w:eastAsia="zh-CN"/>
        </w:rPr>
        <w:t>扫描</w:t>
      </w:r>
      <w:r>
        <w:rPr>
          <w:rFonts w:hint="eastAsia" w:ascii="宋体" w:hAnsi="宋体" w:eastAsia="宋体" w:cs="宋体"/>
          <w:color w:val="auto"/>
          <w:sz w:val="24"/>
          <w:szCs w:val="24"/>
          <w:highlight w:val="none"/>
        </w:rPr>
        <w:t>件（如：审计报告、办公用房产权或者使用权证明等）（如有需要）。以上</w:t>
      </w:r>
      <w:r>
        <w:rPr>
          <w:rFonts w:hint="eastAsia" w:ascii="宋体" w:hAnsi="宋体" w:eastAsia="宋体" w:cs="宋体"/>
          <w:color w:val="auto"/>
          <w:sz w:val="24"/>
          <w:szCs w:val="24"/>
          <w:highlight w:val="none"/>
          <w:lang w:eastAsia="zh-CN"/>
        </w:rPr>
        <w:t>扫描</w:t>
      </w:r>
      <w:r>
        <w:rPr>
          <w:rFonts w:hint="eastAsia" w:ascii="宋体" w:hAnsi="宋体" w:eastAsia="宋体" w:cs="宋体"/>
          <w:color w:val="auto"/>
          <w:sz w:val="24"/>
          <w:szCs w:val="24"/>
          <w:highlight w:val="none"/>
        </w:rPr>
        <w:t>件必须完整、清晰可辨、有效。</w:t>
      </w:r>
    </w:p>
    <w:p>
      <w:pPr>
        <w:pStyle w:val="5"/>
        <w:ind w:firstLine="482" w:firstLineChars="200"/>
        <w:jc w:val="both"/>
        <w:rPr>
          <w:rFonts w:hint="eastAsia" w:ascii="宋体" w:hAnsi="宋体" w:eastAsia="宋体" w:cs="宋体"/>
          <w:b/>
          <w:bCs/>
          <w:color w:val="auto"/>
          <w:sz w:val="24"/>
          <w:szCs w:val="24"/>
          <w:highlight w:val="none"/>
          <w:lang w:val="zh-CN" w:eastAsia="zh-CN" w:bidi="zh-CN"/>
        </w:rPr>
        <w:sectPr>
          <w:footerReference r:id="rId9" w:type="default"/>
          <w:pgSz w:w="11910" w:h="16840"/>
          <w:pgMar w:top="1134" w:right="1134" w:bottom="1134" w:left="1134" w:header="0" w:footer="998" w:gutter="0"/>
          <w:pgNumType w:start="50"/>
          <w:cols w:space="0" w:num="1"/>
          <w:rtlGutter w:val="0"/>
          <w:docGrid w:linePitch="0" w:charSpace="0"/>
        </w:sectPr>
      </w:pPr>
      <w:r>
        <w:rPr>
          <w:rFonts w:hint="eastAsia" w:ascii="宋体" w:hAnsi="宋体" w:eastAsia="宋体" w:cs="宋体"/>
          <w:b/>
          <w:bCs/>
          <w:color w:val="auto"/>
          <w:sz w:val="24"/>
          <w:szCs w:val="24"/>
          <w:highlight w:val="none"/>
          <w:lang w:val="zh-CN" w:eastAsia="zh-CN" w:bidi="zh-CN"/>
        </w:rPr>
        <w:t>以上资料均需加盖电子公章</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300" w:right="697"/>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）、中小微企业证明文件等（如有）</w:t>
      </w:r>
    </w:p>
    <w:p>
      <w:pPr>
        <w:spacing w:before="11"/>
        <w:rPr>
          <w:rFonts w:hint="eastAsia" w:ascii="宋体" w:hAnsi="宋体" w:eastAsia="宋体" w:cs="宋体"/>
          <w:b/>
          <w:color w:val="auto"/>
          <w:sz w:val="31"/>
          <w:highlight w:val="none"/>
        </w:rPr>
      </w:pPr>
    </w:p>
    <w:p>
      <w:pPr>
        <w:pStyle w:val="10"/>
        <w:rPr>
          <w:rFonts w:hint="eastAsia" w:ascii="宋体" w:hAnsi="宋体" w:eastAsia="宋体" w:cs="宋体"/>
          <w:color w:val="auto"/>
          <w:highlight w:val="none"/>
        </w:rPr>
      </w:pPr>
      <w:bookmarkStart w:id="31" w:name="1、中小企业声明函、监狱企业声明函（如有）"/>
      <w:bookmarkEnd w:id="31"/>
      <w:r>
        <w:rPr>
          <w:rFonts w:hint="eastAsia" w:ascii="宋体" w:hAnsi="宋体" w:eastAsia="宋体" w:cs="宋体"/>
          <w:color w:val="auto"/>
          <w:highlight w:val="none"/>
        </w:rPr>
        <w:t>1、中小企业声明函、监狱企业声明函（如有）</w:t>
      </w:r>
    </w:p>
    <w:p>
      <w:pPr>
        <w:spacing w:before="4"/>
        <w:rPr>
          <w:rFonts w:hint="eastAsia" w:ascii="宋体" w:hAnsi="宋体" w:eastAsia="宋体" w:cs="宋体"/>
          <w:b/>
          <w:color w:val="auto"/>
          <w:sz w:val="28"/>
          <w:highlight w:val="none"/>
        </w:rPr>
      </w:pPr>
    </w:p>
    <w:p>
      <w:pPr>
        <w:keepNext w:val="0"/>
        <w:keepLines w:val="0"/>
        <w:pageBreakBefore w:val="0"/>
        <w:widowControl w:val="0"/>
        <w:tabs>
          <w:tab w:val="left" w:pos="1671"/>
          <w:tab w:val="left" w:pos="3830"/>
        </w:tabs>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pPr>
        <w:keepNext w:val="0"/>
        <w:keepLines w:val="0"/>
        <w:pageBreakBefore w:val="0"/>
        <w:widowControl w:val="0"/>
        <w:tabs>
          <w:tab w:val="left" w:pos="4476"/>
        </w:tabs>
        <w:kinsoku/>
        <w:wordWrap/>
        <w:overflowPunct/>
        <w:topLinePunct w:val="0"/>
        <w:autoSpaceDE w:val="0"/>
        <w:autoSpaceDN w:val="0"/>
        <w:bidi w:val="0"/>
        <w:adjustRightInd/>
        <w:snapToGrid/>
        <w:spacing w:before="0" w:line="360" w:lineRule="auto"/>
        <w:ind w:left="231" w:right="402" w:rightChars="0" w:firstLine="504"/>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本公司郑重声明，根据《政府采购促进中小企业发展暂行办法》（财</w:t>
      </w:r>
      <w:r>
        <w:rPr>
          <w:rFonts w:hint="eastAsia" w:ascii="宋体" w:hAnsi="宋体" w:eastAsia="宋体" w:cs="宋体"/>
          <w:color w:val="auto"/>
          <w:sz w:val="24"/>
          <w:szCs w:val="24"/>
          <w:highlight w:val="none"/>
        </w:rPr>
        <w:t>库</w:t>
      </w:r>
      <w:r>
        <w:rPr>
          <w:rFonts w:hint="eastAsia" w:ascii="宋体" w:hAnsi="宋体" w:eastAsia="宋体" w:cs="宋体"/>
          <w:color w:val="auto"/>
          <w:spacing w:val="4"/>
          <w:sz w:val="24"/>
          <w:szCs w:val="24"/>
          <w:highlight w:val="none"/>
        </w:rPr>
        <w:t>[2011]181</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号）的规定，本公司</w:t>
      </w:r>
      <w:r>
        <w:rPr>
          <w:rFonts w:hint="eastAsia" w:ascii="宋体" w:hAnsi="宋体" w:eastAsia="宋体" w:cs="宋体"/>
          <w:color w:val="auto"/>
          <w:spacing w:val="11"/>
          <w:sz w:val="24"/>
          <w:szCs w:val="24"/>
          <w:highlight w:val="none"/>
        </w:rPr>
        <w:t>为</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rPr>
        <w:tab/>
      </w:r>
      <w:r>
        <w:rPr>
          <w:rFonts w:hint="eastAsia" w:ascii="宋体" w:hAnsi="宋体" w:eastAsia="宋体" w:cs="宋体"/>
          <w:color w:val="auto"/>
          <w:spacing w:val="12"/>
          <w:sz w:val="24"/>
          <w:szCs w:val="24"/>
          <w:highlight w:val="none"/>
        </w:rPr>
        <w:t>（请填写：中型、小型、微型、监狱）</w:t>
      </w:r>
      <w:r>
        <w:rPr>
          <w:rFonts w:hint="eastAsia" w:ascii="宋体" w:hAnsi="宋体" w:eastAsia="宋体" w:cs="宋体"/>
          <w:color w:val="auto"/>
          <w:spacing w:val="-17"/>
          <w:sz w:val="24"/>
          <w:szCs w:val="24"/>
          <w:highlight w:val="none"/>
        </w:rPr>
        <w:t>企</w:t>
      </w:r>
      <w:r>
        <w:rPr>
          <w:rFonts w:hint="eastAsia" w:ascii="宋体" w:hAnsi="宋体" w:eastAsia="宋体" w:cs="宋体"/>
          <w:color w:val="auto"/>
          <w:spacing w:val="12"/>
          <w:sz w:val="24"/>
          <w:szCs w:val="24"/>
          <w:highlight w:val="none"/>
        </w:rPr>
        <w:t>业。即，本公司同时满足以下条件</w:t>
      </w:r>
      <w:r>
        <w:rPr>
          <w:rFonts w:hint="eastAsia" w:ascii="宋体" w:hAnsi="宋体" w:eastAsia="宋体" w:cs="宋体"/>
          <w:color w:val="auto"/>
          <w:sz w:val="24"/>
          <w:szCs w:val="24"/>
          <w:highlight w:val="none"/>
        </w:rPr>
        <w:t>：</w:t>
      </w:r>
    </w:p>
    <w:p>
      <w:pPr>
        <w:pStyle w:val="32"/>
        <w:keepNext w:val="0"/>
        <w:keepLines w:val="0"/>
        <w:pageBreakBefore w:val="0"/>
        <w:widowControl w:val="0"/>
        <w:numPr>
          <w:ilvl w:val="0"/>
          <w:numId w:val="6"/>
        </w:numPr>
        <w:tabs>
          <w:tab w:val="left" w:pos="988"/>
          <w:tab w:val="left" w:pos="2655"/>
        </w:tabs>
        <w:kinsoku/>
        <w:wordWrap/>
        <w:overflowPunct/>
        <w:topLinePunct w:val="0"/>
        <w:autoSpaceDE w:val="0"/>
        <w:autoSpaceDN w:val="0"/>
        <w:bidi w:val="0"/>
        <w:adjustRightInd/>
        <w:snapToGrid/>
        <w:spacing w:before="0" w:after="0" w:line="360" w:lineRule="auto"/>
        <w:ind w:left="231" w:right="643" w:firstLine="5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根据《工业和信息化部、国家统计局、国家发展和改革委员会、财政部</w:t>
      </w:r>
      <w:r>
        <w:rPr>
          <w:rFonts w:hint="eastAsia" w:ascii="宋体" w:hAnsi="宋体" w:eastAsia="宋体" w:cs="宋体"/>
          <w:color w:val="auto"/>
          <w:sz w:val="24"/>
          <w:szCs w:val="24"/>
          <w:highlight w:val="none"/>
        </w:rPr>
        <w:t>关</w:t>
      </w:r>
      <w:r>
        <w:rPr>
          <w:rFonts w:hint="eastAsia" w:ascii="宋体" w:hAnsi="宋体" w:eastAsia="宋体" w:cs="宋体"/>
          <w:color w:val="auto"/>
          <w:spacing w:val="12"/>
          <w:sz w:val="24"/>
          <w:szCs w:val="24"/>
          <w:highlight w:val="none"/>
        </w:rPr>
        <w:t>于印发中小企业划型标准规定的通知</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2"/>
          <w:sz w:val="24"/>
          <w:szCs w:val="24"/>
          <w:highlight w:val="none"/>
        </w:rPr>
        <w:t>（工信部联企业</w:t>
      </w:r>
      <w:r>
        <w:rPr>
          <w:rFonts w:hint="eastAsia" w:ascii="宋体" w:hAnsi="宋体" w:eastAsia="宋体" w:cs="宋体"/>
          <w:color w:val="auto"/>
          <w:spacing w:val="4"/>
          <w:sz w:val="24"/>
          <w:szCs w:val="24"/>
          <w:highlight w:val="none"/>
        </w:rPr>
        <w:t>[2011]300</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2"/>
          <w:sz w:val="24"/>
          <w:szCs w:val="24"/>
          <w:highlight w:val="none"/>
        </w:rPr>
        <w:t>号</w:t>
      </w:r>
      <w:r>
        <w:rPr>
          <w:rFonts w:hint="eastAsia" w:ascii="宋体" w:hAnsi="宋体" w:eastAsia="宋体" w:cs="宋体"/>
          <w:color w:val="auto"/>
          <w:spacing w:val="-24"/>
          <w:sz w:val="24"/>
          <w:szCs w:val="24"/>
          <w:highlight w:val="none"/>
        </w:rPr>
        <w:t>）</w:t>
      </w:r>
      <w:r>
        <w:rPr>
          <w:rFonts w:hint="eastAsia" w:ascii="宋体" w:hAnsi="宋体" w:eastAsia="宋体" w:cs="宋体"/>
          <w:color w:val="auto"/>
          <w:spacing w:val="12"/>
          <w:sz w:val="24"/>
          <w:szCs w:val="24"/>
          <w:highlight w:val="none"/>
        </w:rPr>
        <w:t>规定的划</w:t>
      </w:r>
      <w:r>
        <w:rPr>
          <w:rFonts w:hint="eastAsia" w:ascii="宋体" w:hAnsi="宋体" w:eastAsia="宋体" w:cs="宋体"/>
          <w:color w:val="auto"/>
          <w:spacing w:val="-13"/>
          <w:sz w:val="24"/>
          <w:szCs w:val="24"/>
          <w:highlight w:val="none"/>
        </w:rPr>
        <w:t>分</w:t>
      </w:r>
      <w:r>
        <w:rPr>
          <w:rFonts w:hint="eastAsia" w:ascii="宋体" w:hAnsi="宋体" w:eastAsia="宋体" w:cs="宋体"/>
          <w:color w:val="auto"/>
          <w:spacing w:val="12"/>
          <w:sz w:val="24"/>
          <w:szCs w:val="24"/>
          <w:highlight w:val="none"/>
        </w:rPr>
        <w:t>标准，本公司</w:t>
      </w:r>
      <w:r>
        <w:rPr>
          <w:rFonts w:hint="eastAsia" w:ascii="宋体" w:hAnsi="宋体" w:eastAsia="宋体" w:cs="宋体"/>
          <w:color w:val="auto"/>
          <w:spacing w:val="11"/>
          <w:sz w:val="24"/>
          <w:szCs w:val="24"/>
          <w:highlight w:val="none"/>
        </w:rPr>
        <w:t>为</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rPr>
        <w:tab/>
      </w:r>
      <w:r>
        <w:rPr>
          <w:rFonts w:hint="eastAsia" w:ascii="宋体" w:hAnsi="宋体" w:eastAsia="宋体" w:cs="宋体"/>
          <w:color w:val="auto"/>
          <w:spacing w:val="12"/>
          <w:sz w:val="24"/>
          <w:szCs w:val="24"/>
          <w:highlight w:val="none"/>
        </w:rPr>
        <w:t>（请填写：中型、小型、微型、监狱）企业</w:t>
      </w:r>
      <w:r>
        <w:rPr>
          <w:rFonts w:hint="eastAsia" w:ascii="宋体" w:hAnsi="宋体" w:eastAsia="宋体" w:cs="宋体"/>
          <w:color w:val="auto"/>
          <w:sz w:val="24"/>
          <w:szCs w:val="24"/>
          <w:highlight w:val="none"/>
        </w:rPr>
        <w:t>。</w:t>
      </w:r>
    </w:p>
    <w:p>
      <w:pPr>
        <w:pStyle w:val="32"/>
        <w:keepNext w:val="0"/>
        <w:keepLines w:val="0"/>
        <w:pageBreakBefore w:val="0"/>
        <w:widowControl w:val="0"/>
        <w:numPr>
          <w:ilvl w:val="0"/>
          <w:numId w:val="6"/>
        </w:numPr>
        <w:tabs>
          <w:tab w:val="left" w:pos="988"/>
          <w:tab w:val="left" w:pos="3567"/>
          <w:tab w:val="left" w:pos="5511"/>
          <w:tab w:val="left" w:pos="6552"/>
        </w:tabs>
        <w:kinsoku/>
        <w:wordWrap/>
        <w:overflowPunct/>
        <w:topLinePunct w:val="0"/>
        <w:autoSpaceDE w:val="0"/>
        <w:autoSpaceDN w:val="0"/>
        <w:bidi w:val="0"/>
        <w:adjustRightInd/>
        <w:snapToGrid/>
        <w:spacing w:before="0" w:after="0" w:line="360" w:lineRule="auto"/>
        <w:ind w:left="231" w:right="518" w:firstLine="5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本公司参</w:t>
      </w:r>
      <w:r>
        <w:rPr>
          <w:rFonts w:hint="eastAsia" w:ascii="宋体" w:hAnsi="宋体" w:eastAsia="宋体" w:cs="宋体"/>
          <w:color w:val="auto"/>
          <w:spacing w:val="11"/>
          <w:sz w:val="24"/>
          <w:szCs w:val="24"/>
          <w:highlight w:val="none"/>
        </w:rPr>
        <w:t>加</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rPr>
        <w:tab/>
      </w:r>
      <w:r>
        <w:rPr>
          <w:rFonts w:hint="eastAsia" w:ascii="宋体" w:hAnsi="宋体" w:eastAsia="宋体" w:cs="宋体"/>
          <w:color w:val="auto"/>
          <w:spacing w:val="12"/>
          <w:sz w:val="24"/>
          <w:szCs w:val="24"/>
          <w:highlight w:val="none"/>
        </w:rPr>
        <w:t>单位</w:t>
      </w:r>
      <w:r>
        <w:rPr>
          <w:rFonts w:hint="eastAsia" w:ascii="宋体" w:hAnsi="宋体" w:eastAsia="宋体" w:cs="宋体"/>
          <w:color w:val="auto"/>
          <w:spacing w:val="11"/>
          <w:sz w:val="24"/>
          <w:szCs w:val="24"/>
          <w:highlight w:val="none"/>
        </w:rPr>
        <w:t>的</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rPr>
        <w:tab/>
      </w:r>
      <w:r>
        <w:rPr>
          <w:rFonts w:hint="eastAsia" w:ascii="宋体" w:hAnsi="宋体" w:eastAsia="宋体" w:cs="宋体"/>
          <w:color w:val="auto"/>
          <w:spacing w:val="12"/>
          <w:sz w:val="24"/>
          <w:szCs w:val="24"/>
          <w:highlight w:val="none"/>
        </w:rPr>
        <w:t>项目采购活动提供本企业制造</w:t>
      </w:r>
      <w:r>
        <w:rPr>
          <w:rFonts w:hint="eastAsia" w:ascii="宋体" w:hAnsi="宋体" w:eastAsia="宋体" w:cs="宋体"/>
          <w:color w:val="auto"/>
          <w:sz w:val="24"/>
          <w:szCs w:val="24"/>
          <w:highlight w:val="none"/>
        </w:rPr>
        <w:t>的</w:t>
      </w:r>
      <w:r>
        <w:rPr>
          <w:rFonts w:hint="eastAsia" w:ascii="宋体" w:hAnsi="宋体" w:eastAsia="宋体" w:cs="宋体"/>
          <w:color w:val="auto"/>
          <w:spacing w:val="12"/>
          <w:sz w:val="24"/>
          <w:szCs w:val="24"/>
          <w:highlight w:val="none"/>
        </w:rPr>
        <w:t>货物</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12"/>
          <w:sz w:val="24"/>
          <w:szCs w:val="24"/>
          <w:highlight w:val="none"/>
        </w:rPr>
        <w:t>由本企业承担工程</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12"/>
          <w:sz w:val="24"/>
          <w:szCs w:val="24"/>
          <w:highlight w:val="none"/>
        </w:rPr>
        <w:t>提供服务</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12"/>
          <w:sz w:val="24"/>
          <w:szCs w:val="24"/>
          <w:highlight w:val="none"/>
        </w:rPr>
        <w:t>或者提供其</w:t>
      </w:r>
      <w:r>
        <w:rPr>
          <w:rFonts w:hint="eastAsia" w:ascii="宋体" w:hAnsi="宋体" w:eastAsia="宋体" w:cs="宋体"/>
          <w:color w:val="auto"/>
          <w:spacing w:val="11"/>
          <w:sz w:val="24"/>
          <w:szCs w:val="24"/>
          <w:highlight w:val="none"/>
        </w:rPr>
        <w:t>他</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rPr>
        <w:tab/>
      </w:r>
      <w:r>
        <w:rPr>
          <w:rFonts w:hint="eastAsia" w:ascii="宋体" w:hAnsi="宋体" w:eastAsia="宋体" w:cs="宋体"/>
          <w:color w:val="auto"/>
          <w:spacing w:val="12"/>
          <w:sz w:val="24"/>
          <w:szCs w:val="24"/>
          <w:highlight w:val="none"/>
        </w:rPr>
        <w:t>（请填写</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12"/>
          <w:sz w:val="24"/>
          <w:szCs w:val="24"/>
          <w:highlight w:val="none"/>
        </w:rPr>
        <w:t>中型</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12"/>
          <w:sz w:val="24"/>
          <w:szCs w:val="24"/>
          <w:highlight w:val="none"/>
        </w:rPr>
        <w:t>小型</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2"/>
          <w:sz w:val="24"/>
          <w:szCs w:val="24"/>
          <w:highlight w:val="none"/>
        </w:rPr>
        <w:t>微型、监狱）企业制造的货物。本条所称货物不包括使用大型企业注册商标的</w:t>
      </w:r>
      <w:r>
        <w:rPr>
          <w:rFonts w:hint="eastAsia" w:ascii="宋体" w:hAnsi="宋体" w:eastAsia="宋体" w:cs="宋体"/>
          <w:color w:val="auto"/>
          <w:sz w:val="24"/>
          <w:szCs w:val="24"/>
          <w:highlight w:val="none"/>
        </w:rPr>
        <w:t>货</w:t>
      </w:r>
      <w:r>
        <w:rPr>
          <w:rFonts w:hint="eastAsia" w:ascii="宋体" w:hAnsi="宋体" w:eastAsia="宋体" w:cs="宋体"/>
          <w:color w:val="auto"/>
          <w:spacing w:val="12"/>
          <w:sz w:val="24"/>
          <w:szCs w:val="24"/>
          <w:highlight w:val="none"/>
        </w:rPr>
        <w:t>物</w:t>
      </w:r>
      <w:r>
        <w:rPr>
          <w:rFonts w:hint="eastAsia" w:ascii="宋体" w:hAnsi="宋体" w:eastAsia="宋体" w:cs="宋体"/>
          <w:color w:val="auto"/>
          <w:sz w:val="24"/>
          <w:szCs w:val="24"/>
          <w:highlight w:val="none"/>
        </w:rPr>
        <w:t>。</w:t>
      </w:r>
    </w:p>
    <w:p>
      <w:pPr>
        <w:spacing w:before="81" w:after="31"/>
        <w:ind w:left="677" w:right="602"/>
        <w:jc w:val="center"/>
        <w:rPr>
          <w:rFonts w:hint="eastAsia" w:ascii="宋体" w:hAnsi="宋体" w:eastAsia="宋体" w:cs="宋体"/>
          <w:color w:val="auto"/>
          <w:highlight w:val="none"/>
        </w:rPr>
      </w:pPr>
      <w:r>
        <w:rPr>
          <w:rFonts w:hint="eastAsia" w:ascii="宋体" w:hAnsi="宋体" w:eastAsia="宋体" w:cs="宋体"/>
          <w:color w:val="auto"/>
          <w:highlight w:val="none"/>
        </w:rPr>
        <w:t>企业基本情况表</w:t>
      </w:r>
    </w:p>
    <w:tbl>
      <w:tblPr>
        <w:tblStyle w:val="25"/>
        <w:tblW w:w="8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0"/>
        <w:gridCol w:w="2977"/>
        <w:gridCol w:w="2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2930" w:type="dxa"/>
            <w:vAlign w:val="center"/>
          </w:tcPr>
          <w:p>
            <w:pPr>
              <w:pStyle w:val="33"/>
              <w:keepNext w:val="0"/>
              <w:keepLines w:val="0"/>
              <w:suppressLineNumbers w:val="0"/>
              <w:spacing w:before="94" w:beforeAutospacing="0" w:afterAutospacing="0"/>
              <w:ind w:left="36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应纳税所得额（万元）</w:t>
            </w:r>
          </w:p>
        </w:tc>
        <w:tc>
          <w:tcPr>
            <w:tcW w:w="2977" w:type="dxa"/>
            <w:vAlign w:val="center"/>
          </w:tcPr>
          <w:p>
            <w:pPr>
              <w:pStyle w:val="33"/>
              <w:keepNext w:val="0"/>
              <w:keepLines w:val="0"/>
              <w:suppressLineNumbers w:val="0"/>
              <w:spacing w:before="94" w:beforeAutospacing="0" w:afterAutospacing="0"/>
              <w:ind w:left="69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从业人员（名）</w:t>
            </w:r>
          </w:p>
        </w:tc>
        <w:tc>
          <w:tcPr>
            <w:tcW w:w="2871" w:type="dxa"/>
            <w:vAlign w:val="center"/>
          </w:tcPr>
          <w:p>
            <w:pPr>
              <w:pStyle w:val="33"/>
              <w:keepNext w:val="0"/>
              <w:keepLines w:val="0"/>
              <w:suppressLineNumbers w:val="0"/>
              <w:spacing w:before="94" w:beforeAutospacing="0" w:afterAutospacing="0"/>
              <w:ind w:left="54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资产总额（万元）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2930"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977"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871"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r>
    </w:tbl>
    <w:p>
      <w:pPr>
        <w:spacing w:before="97"/>
        <w:ind w:left="735"/>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3120" w:firstLineChars="1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3120" w:firstLineChars="1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3"/>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before="191"/>
        <w:ind w:right="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说明：</w:t>
      </w:r>
    </w:p>
    <w:p>
      <w:pPr>
        <w:pStyle w:val="32"/>
        <w:numPr>
          <w:ilvl w:val="0"/>
          <w:numId w:val="7"/>
        </w:numPr>
        <w:tabs>
          <w:tab w:val="left" w:pos="443"/>
        </w:tabs>
        <w:spacing w:before="9" w:after="0" w:line="249" w:lineRule="auto"/>
        <w:ind w:left="231" w:right="715" w:firstLine="0"/>
        <w:jc w:val="left"/>
        <w:rPr>
          <w:rFonts w:hint="eastAsia" w:ascii="宋体" w:hAnsi="宋体" w:eastAsia="宋体" w:cs="宋体"/>
          <w:color w:val="auto"/>
          <w:sz w:val="21"/>
          <w:highlight w:val="none"/>
        </w:rPr>
      </w:pPr>
      <w:bookmarkStart w:id="32" w:name="1.须提供《中小企业声明函》，格式自制或是根据相关要求提供证明材料（如近期的审计"/>
      <w:bookmarkEnd w:id="32"/>
      <w:bookmarkStart w:id="33" w:name="1.须提供《中小企业声明函》，格式自制或是根据相关要求提供证明材料（如近期的审计"/>
      <w:bookmarkEnd w:id="33"/>
      <w:r>
        <w:rPr>
          <w:rFonts w:hint="eastAsia" w:ascii="宋体" w:hAnsi="宋体" w:eastAsia="宋体" w:cs="宋体"/>
          <w:color w:val="auto"/>
          <w:sz w:val="21"/>
          <w:highlight w:val="none"/>
        </w:rPr>
        <w:t>须提供《中小企业声明函》，格式自制或是根据相关要求提供证明材料（如近期的审计报告，须反映出从业人员、营业收入、应纳税所得额、资产总额等情况）。</w:t>
      </w:r>
    </w:p>
    <w:p>
      <w:pPr>
        <w:pStyle w:val="32"/>
        <w:numPr>
          <w:ilvl w:val="0"/>
          <w:numId w:val="7"/>
        </w:numPr>
        <w:tabs>
          <w:tab w:val="left" w:pos="443"/>
        </w:tabs>
        <w:spacing w:before="9" w:after="0" w:line="249" w:lineRule="auto"/>
        <w:ind w:left="231" w:right="715" w:firstLine="0"/>
        <w:jc w:val="left"/>
        <w:rPr>
          <w:rFonts w:hint="eastAsia" w:ascii="宋体" w:hAnsi="宋体" w:eastAsia="宋体" w:cs="宋体"/>
          <w:color w:val="auto"/>
          <w:sz w:val="21"/>
          <w:highlight w:val="none"/>
        </w:rPr>
      </w:pPr>
      <w:bookmarkStart w:id="34" w:name="2.小型、微型企业提供其他小型、微型企业生产的产品时，则须同时提供该小微企业的声"/>
      <w:bookmarkEnd w:id="34"/>
      <w:bookmarkStart w:id="35" w:name="2.小型、微型企业提供其他小型、微型企业生产的产品时，则须同时提供该小微企业的声"/>
      <w:bookmarkEnd w:id="35"/>
      <w:r>
        <w:rPr>
          <w:rFonts w:hint="eastAsia" w:ascii="宋体" w:hAnsi="宋体" w:eastAsia="宋体" w:cs="宋体"/>
          <w:color w:val="auto"/>
          <w:sz w:val="21"/>
          <w:highlight w:val="none"/>
        </w:rPr>
        <w:t>小型、微型企业提供其他小型、微型企业生产的产品时，则须同时提供该小微企业的声明函及相关证明材料，并对拟享受价格优惠的投标产品的报价做分类汇总，以便于评审。</w:t>
      </w:r>
    </w:p>
    <w:p>
      <w:pPr>
        <w:pStyle w:val="32"/>
        <w:numPr>
          <w:ilvl w:val="0"/>
          <w:numId w:val="7"/>
        </w:numPr>
        <w:tabs>
          <w:tab w:val="left" w:pos="443"/>
        </w:tabs>
        <w:spacing w:before="9" w:after="0" w:line="249" w:lineRule="auto"/>
        <w:ind w:left="231" w:right="715" w:firstLine="0"/>
        <w:jc w:val="left"/>
        <w:rPr>
          <w:rFonts w:hint="eastAsia" w:ascii="宋体" w:hAnsi="宋体" w:eastAsia="宋体" w:cs="宋体"/>
          <w:color w:val="auto"/>
          <w:sz w:val="21"/>
          <w:highlight w:val="none"/>
        </w:rPr>
      </w:pPr>
      <w:bookmarkStart w:id="36" w:name="3. 未按上述要求填写并提供证明材料的，将不按小型、微型企业享受价格优惠。如提供"/>
      <w:bookmarkEnd w:id="36"/>
      <w:bookmarkStart w:id="37" w:name="3. 未按上述要求填写并提供证明材料的，将不按小型、微型企业享受价格优惠。如提供"/>
      <w:bookmarkEnd w:id="37"/>
      <w:r>
        <w:rPr>
          <w:rFonts w:hint="eastAsia" w:ascii="宋体" w:hAnsi="宋体" w:eastAsia="宋体" w:cs="宋体"/>
          <w:color w:val="auto"/>
          <w:sz w:val="21"/>
          <w:highlight w:val="none"/>
        </w:rPr>
        <w:t>未按上述要求填写并提供证明材料的，将不按小型、微型企业享受价格优惠。如提供的证明材料有虚假的，将按无效标处理。</w:t>
      </w:r>
    </w:p>
    <w:p>
      <w:pPr>
        <w:pStyle w:val="43"/>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eastAsia="宋体" w:cs="宋体"/>
          <w:color w:val="auto"/>
          <w:sz w:val="24"/>
          <w:szCs w:val="24"/>
          <w:highlight w:val="none"/>
        </w:rPr>
      </w:pPr>
    </w:p>
    <w:p>
      <w:pPr>
        <w:pStyle w:val="43"/>
        <w:keepNext w:val="0"/>
        <w:keepLines w:val="0"/>
        <w:pageBreakBefore w:val="0"/>
        <w:widowControl w:val="0"/>
        <w:kinsoku/>
        <w:wordWrap/>
        <w:overflowPunct/>
        <w:topLinePunct w:val="0"/>
        <w:bidi w:val="0"/>
        <w:adjustRightInd/>
        <w:snapToGrid/>
        <w:spacing w:line="360" w:lineRule="auto"/>
        <w:ind w:firstLine="3120" w:firstLineChars="1300"/>
        <w:textAlignment w:val="auto"/>
        <w:rPr>
          <w:rFonts w:hint="eastAsia" w:ascii="宋体" w:hAnsi="宋体" w:eastAsia="宋体" w:cs="宋体"/>
          <w:color w:val="auto"/>
          <w:sz w:val="24"/>
          <w:szCs w:val="24"/>
          <w:highlight w:val="none"/>
        </w:rPr>
        <w:sectPr>
          <w:pgSz w:w="11910" w:h="16840"/>
          <w:pgMar w:top="1134" w:right="1134" w:bottom="1134" w:left="1134" w:header="0" w:footer="998" w:gutter="0"/>
          <w:cols w:space="0" w:num="1"/>
          <w:rtlGutter w:val="0"/>
          <w:docGrid w:linePitch="0" w:charSpace="0"/>
        </w:sectPr>
      </w:pPr>
    </w:p>
    <w:p>
      <w:pPr>
        <w:widowControl/>
        <w:spacing w:line="480" w:lineRule="auto"/>
        <w:ind w:firstLine="562" w:firstLineChars="200"/>
        <w:jc w:val="center"/>
        <w:rPr>
          <w:rFonts w:ascii="宋体" w:hAnsi="宋体" w:cs="宋体"/>
          <w:b/>
          <w:bCs/>
          <w:color w:val="auto"/>
          <w:kern w:val="0"/>
          <w:sz w:val="28"/>
          <w:szCs w:val="28"/>
          <w:highlight w:val="none"/>
        </w:rPr>
      </w:pPr>
      <w:bookmarkStart w:id="38" w:name="2 、残疾人福利性单位声明函（如有）"/>
      <w:bookmarkEnd w:id="38"/>
      <w:bookmarkStart w:id="39" w:name="说明："/>
      <w:bookmarkEnd w:id="39"/>
      <w:r>
        <w:rPr>
          <w:rFonts w:hint="eastAsia" w:ascii="宋体" w:hAnsi="宋体" w:cs="宋体"/>
          <w:b/>
          <w:bCs/>
          <w:color w:val="auto"/>
          <w:kern w:val="0"/>
          <w:sz w:val="28"/>
          <w:szCs w:val="28"/>
          <w:highlight w:val="none"/>
          <w:lang w:val="en-US" w:eastAsia="zh-CN"/>
        </w:rPr>
        <w:t>2、</w:t>
      </w:r>
      <w:r>
        <w:rPr>
          <w:rFonts w:ascii="宋体" w:hAnsi="宋体" w:cs="宋体"/>
          <w:b/>
          <w:bCs/>
          <w:color w:val="auto"/>
          <w:kern w:val="0"/>
          <w:sz w:val="28"/>
          <w:szCs w:val="28"/>
          <w:highlight w:val="none"/>
        </w:rPr>
        <w:t>中小企业声明函（货物）</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本公司（联合体） 郑重声明， 根据《政府采购促进中小企业发展管理办法》（财库﹝ 2020﹞ 46 号） 的规定， 本公司（联合体） 参加</w:t>
      </w:r>
      <w:r>
        <w:rPr>
          <w:rFonts w:ascii="宋体" w:hAnsi="宋体" w:cs="宋体"/>
          <w:color w:val="auto"/>
          <w:kern w:val="0"/>
          <w:sz w:val="24"/>
          <w:szCs w:val="24"/>
          <w:highlight w:val="none"/>
          <w:u w:val="single"/>
        </w:rPr>
        <w:t>（单位名称）</w:t>
      </w:r>
      <w:r>
        <w:rPr>
          <w:rFonts w:ascii="宋体" w:hAnsi="宋体" w:cs="宋体"/>
          <w:color w:val="auto"/>
          <w:kern w:val="0"/>
          <w:sz w:val="24"/>
          <w:szCs w:val="24"/>
          <w:highlight w:val="none"/>
        </w:rPr>
        <w:t xml:space="preserve"> 的</w:t>
      </w:r>
      <w:r>
        <w:rPr>
          <w:rFonts w:ascii="宋体" w:hAnsi="宋体" w:cs="宋体"/>
          <w:color w:val="auto"/>
          <w:kern w:val="0"/>
          <w:sz w:val="24"/>
          <w:szCs w:val="24"/>
          <w:highlight w:val="none"/>
          <w:u w:val="single"/>
        </w:rPr>
        <w:t>（项目名称）</w:t>
      </w:r>
      <w:r>
        <w:rPr>
          <w:rFonts w:ascii="宋体" w:hAnsi="宋体" w:cs="宋体"/>
          <w:color w:val="auto"/>
          <w:kern w:val="0"/>
          <w:sz w:val="24"/>
          <w:szCs w:val="24"/>
          <w:highlight w:val="none"/>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 </w:t>
      </w:r>
      <w:r>
        <w:rPr>
          <w:rFonts w:ascii="宋体" w:hAnsi="宋体" w:cs="宋体"/>
          <w:color w:val="auto"/>
          <w:kern w:val="0"/>
          <w:sz w:val="24"/>
          <w:szCs w:val="24"/>
          <w:highlight w:val="none"/>
          <w:u w:val="single"/>
        </w:rPr>
        <w:t>（标的名称）</w:t>
      </w:r>
      <w:r>
        <w:rPr>
          <w:rFonts w:ascii="宋体" w:hAnsi="宋体" w:cs="宋体"/>
          <w:color w:val="auto"/>
          <w:kern w:val="0"/>
          <w:sz w:val="24"/>
          <w:szCs w:val="24"/>
          <w:highlight w:val="none"/>
        </w:rPr>
        <w:t xml:space="preserve"> ， 属于</w:t>
      </w:r>
      <w:r>
        <w:rPr>
          <w:rFonts w:ascii="宋体" w:hAnsi="宋体" w:cs="宋体"/>
          <w:color w:val="auto"/>
          <w:kern w:val="0"/>
          <w:sz w:val="24"/>
          <w:szCs w:val="24"/>
          <w:highlight w:val="none"/>
          <w:u w:val="single"/>
        </w:rPr>
        <w:t>（采购文件中明确的所属行业）行业</w:t>
      </w:r>
      <w:r>
        <w:rPr>
          <w:rFonts w:ascii="宋体" w:hAnsi="宋体" w:cs="宋体"/>
          <w:color w:val="auto"/>
          <w:kern w:val="0"/>
          <w:sz w:val="24"/>
          <w:szCs w:val="24"/>
          <w:highlight w:val="none"/>
        </w:rPr>
        <w:t>； 制造商为</w:t>
      </w:r>
      <w:r>
        <w:rPr>
          <w:rFonts w:ascii="宋体" w:hAnsi="宋体" w:cs="宋体"/>
          <w:color w:val="auto"/>
          <w:kern w:val="0"/>
          <w:sz w:val="24"/>
          <w:szCs w:val="24"/>
          <w:highlight w:val="none"/>
          <w:u w:val="single"/>
        </w:rPr>
        <w:t>（ 企业名称）</w:t>
      </w:r>
      <w:r>
        <w:rPr>
          <w:rFonts w:ascii="宋体" w:hAnsi="宋体" w:cs="宋体"/>
          <w:color w:val="auto"/>
          <w:kern w:val="0"/>
          <w:sz w:val="24"/>
          <w:szCs w:val="24"/>
          <w:highlight w:val="none"/>
        </w:rPr>
        <w:t>， 从业人员</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人， 营业收入为</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资产总额为</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w:t>
      </w:r>
      <w:r>
        <w:rPr>
          <w:rFonts w:ascii="宋体" w:hAnsi="宋体" w:cs="宋体"/>
          <w:color w:val="auto"/>
          <w:kern w:val="0"/>
          <w:sz w:val="24"/>
          <w:szCs w:val="24"/>
          <w:highlight w:val="none"/>
          <w:vertAlign w:val="superscript"/>
        </w:rPr>
        <w:t>1</w:t>
      </w:r>
      <w:r>
        <w:rPr>
          <w:rFonts w:ascii="宋体" w:hAnsi="宋体" w:cs="宋体"/>
          <w:color w:val="auto"/>
          <w:kern w:val="0"/>
          <w:sz w:val="24"/>
          <w:szCs w:val="24"/>
          <w:highlight w:val="none"/>
        </w:rPr>
        <w:t>， 属于（</w:t>
      </w:r>
      <w:r>
        <w:rPr>
          <w:rFonts w:ascii="宋体" w:hAnsi="宋体" w:cs="宋体"/>
          <w:color w:val="auto"/>
          <w:kern w:val="0"/>
          <w:sz w:val="24"/>
          <w:szCs w:val="24"/>
          <w:highlight w:val="none"/>
          <w:u w:val="single"/>
        </w:rPr>
        <w:t>中型企业、 小型企业、 微型企业</w:t>
      </w: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2. </w:t>
      </w:r>
      <w:r>
        <w:rPr>
          <w:rFonts w:ascii="宋体" w:hAnsi="宋体" w:cs="宋体"/>
          <w:color w:val="auto"/>
          <w:kern w:val="0"/>
          <w:sz w:val="24"/>
          <w:szCs w:val="24"/>
          <w:highlight w:val="none"/>
          <w:u w:val="single"/>
        </w:rPr>
        <w:t>（标的名称）</w:t>
      </w:r>
      <w:r>
        <w:rPr>
          <w:rFonts w:ascii="宋体" w:hAnsi="宋体" w:cs="宋体"/>
          <w:color w:val="auto"/>
          <w:kern w:val="0"/>
          <w:sz w:val="24"/>
          <w:szCs w:val="24"/>
          <w:highlight w:val="none"/>
        </w:rPr>
        <w:t xml:space="preserve"> ， 属于</w:t>
      </w:r>
      <w:r>
        <w:rPr>
          <w:rFonts w:ascii="宋体" w:hAnsi="宋体" w:cs="宋体"/>
          <w:color w:val="auto"/>
          <w:kern w:val="0"/>
          <w:sz w:val="24"/>
          <w:szCs w:val="24"/>
          <w:highlight w:val="none"/>
          <w:u w:val="single"/>
        </w:rPr>
        <w:t>（采购文件中明确的所属行业）</w:t>
      </w:r>
      <w:r>
        <w:rPr>
          <w:rFonts w:ascii="宋体" w:hAnsi="宋体" w:cs="宋体"/>
          <w:color w:val="auto"/>
          <w:kern w:val="0"/>
          <w:sz w:val="24"/>
          <w:szCs w:val="24"/>
          <w:highlight w:val="none"/>
        </w:rPr>
        <w:t>行业； 制造商为</w:t>
      </w:r>
      <w:r>
        <w:rPr>
          <w:rFonts w:ascii="宋体" w:hAnsi="宋体" w:cs="宋体"/>
          <w:color w:val="auto"/>
          <w:kern w:val="0"/>
          <w:sz w:val="24"/>
          <w:szCs w:val="24"/>
          <w:highlight w:val="none"/>
          <w:u w:val="single"/>
        </w:rPr>
        <w:t>（ 企业名称）</w:t>
      </w:r>
      <w:r>
        <w:rPr>
          <w:rFonts w:ascii="宋体" w:hAnsi="宋体" w:cs="宋体"/>
          <w:color w:val="auto"/>
          <w:kern w:val="0"/>
          <w:sz w:val="24"/>
          <w:szCs w:val="24"/>
          <w:highlight w:val="none"/>
        </w:rPr>
        <w:t>， 从业人员</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人， 营业收为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资产总额为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 属于</w:t>
      </w:r>
      <w:r>
        <w:rPr>
          <w:rFonts w:ascii="宋体" w:hAnsi="宋体" w:cs="宋体"/>
          <w:color w:val="auto"/>
          <w:kern w:val="0"/>
          <w:sz w:val="24"/>
          <w:szCs w:val="24"/>
          <w:highlight w:val="none"/>
          <w:u w:val="single"/>
        </w:rPr>
        <w:t>（中型企业、 小型企业、 微型企业）</w:t>
      </w: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本企业对上述声明内容的真实性负责。 如有虚假， 将依法承担相应责任。</w:t>
      </w:r>
    </w:p>
    <w:p>
      <w:pPr>
        <w:widowControl/>
        <w:wordWrap w:val="0"/>
        <w:spacing w:line="360" w:lineRule="auto"/>
        <w:ind w:firstLine="480" w:firstLineChars="200"/>
        <w:jc w:val="right"/>
        <w:rPr>
          <w:rFonts w:ascii="宋体" w:hAnsi="宋体" w:cs="宋体"/>
          <w:color w:val="auto"/>
          <w:kern w:val="0"/>
          <w:sz w:val="24"/>
          <w:szCs w:val="24"/>
          <w:highlight w:val="none"/>
        </w:rPr>
      </w:pPr>
    </w:p>
    <w:p>
      <w:pPr>
        <w:widowControl/>
        <w:wordWrap w:val="0"/>
        <w:spacing w:line="360" w:lineRule="auto"/>
        <w:ind w:firstLine="480" w:firstLineChars="200"/>
        <w:jc w:val="right"/>
        <w:rPr>
          <w:rFonts w:ascii="宋体" w:hAnsi="宋体" w:cs="宋体"/>
          <w:color w:val="auto"/>
          <w:kern w:val="0"/>
          <w:sz w:val="24"/>
          <w:szCs w:val="24"/>
          <w:highlight w:val="none"/>
        </w:rPr>
      </w:pPr>
      <w:r>
        <w:rPr>
          <w:rFonts w:ascii="宋体" w:hAnsi="宋体" w:cs="宋体"/>
          <w:color w:val="auto"/>
          <w:kern w:val="0"/>
          <w:sz w:val="24"/>
          <w:szCs w:val="24"/>
          <w:highlight w:val="none"/>
        </w:rPr>
        <w:t>企业名称（盖</w:t>
      </w:r>
      <w:r>
        <w:rPr>
          <w:rFonts w:hint="eastAsia" w:ascii="宋体" w:hAnsi="宋体" w:cs="宋体"/>
          <w:color w:val="auto"/>
          <w:kern w:val="0"/>
          <w:sz w:val="24"/>
          <w:szCs w:val="24"/>
          <w:highlight w:val="none"/>
          <w:lang w:eastAsia="zh-CN"/>
        </w:rPr>
        <w:t>公</w:t>
      </w:r>
      <w:r>
        <w:rPr>
          <w:rFonts w:ascii="宋体" w:hAnsi="宋体" w:cs="宋体"/>
          <w:color w:val="auto"/>
          <w:kern w:val="0"/>
          <w:sz w:val="24"/>
          <w:szCs w:val="24"/>
          <w:highlight w:val="none"/>
        </w:rPr>
        <w:t>章）：</w:t>
      </w:r>
      <w:r>
        <w:rPr>
          <w:rFonts w:hint="eastAsia" w:ascii="宋体" w:hAnsi="宋体" w:cs="宋体"/>
          <w:color w:val="auto"/>
          <w:kern w:val="0"/>
          <w:sz w:val="24"/>
          <w:szCs w:val="24"/>
          <w:highlight w:val="none"/>
        </w:rPr>
        <w:t xml:space="preserve">        </w:t>
      </w:r>
    </w:p>
    <w:p>
      <w:pPr>
        <w:widowControl/>
        <w:wordWrap w:val="0"/>
        <w:spacing w:line="360" w:lineRule="auto"/>
        <w:ind w:right="480" w:firstLine="480" w:firstLineChars="200"/>
        <w:jc w:val="right"/>
        <w:rPr>
          <w:rFonts w:ascii="宋体" w:hAnsi="宋体" w:cs="宋体"/>
          <w:color w:val="auto"/>
          <w:kern w:val="0"/>
          <w:sz w:val="24"/>
          <w:szCs w:val="24"/>
          <w:highlight w:val="none"/>
        </w:rPr>
      </w:pPr>
      <w:r>
        <w:rPr>
          <w:rFonts w:ascii="宋体" w:hAnsi="宋体" w:cs="宋体"/>
          <w:color w:val="auto"/>
          <w:kern w:val="0"/>
          <w:sz w:val="24"/>
          <w:szCs w:val="24"/>
          <w:highlight w:val="none"/>
        </w:rPr>
        <w:t>日 期：</w:t>
      </w:r>
      <w:r>
        <w:rPr>
          <w:rFonts w:hint="eastAsia" w:ascii="宋体" w:hAnsi="宋体" w:cs="宋体"/>
          <w:color w:val="auto"/>
          <w:kern w:val="0"/>
          <w:sz w:val="24"/>
          <w:szCs w:val="24"/>
          <w:highlight w:val="none"/>
        </w:rPr>
        <w:t xml:space="preserve">         </w:t>
      </w:r>
    </w:p>
    <w:p>
      <w:pPr>
        <w:widowControl/>
        <w:spacing w:line="360" w:lineRule="auto"/>
        <w:ind w:right="480" w:firstLine="480" w:firstLineChars="200"/>
        <w:jc w:val="right"/>
        <w:rPr>
          <w:rFonts w:ascii="宋体" w:hAnsi="宋体" w:cs="宋体"/>
          <w:color w:val="auto"/>
          <w:kern w:val="0"/>
          <w:sz w:val="24"/>
          <w:szCs w:val="24"/>
          <w:highlight w:val="none"/>
        </w:rPr>
      </w:pPr>
    </w:p>
    <w:p>
      <w:pPr>
        <w:pStyle w:val="8"/>
        <w:rPr>
          <w:rFonts w:ascii="宋体" w:hAnsi="宋体" w:cs="宋体"/>
          <w:color w:val="auto"/>
          <w:kern w:val="0"/>
          <w:sz w:val="24"/>
          <w:szCs w:val="24"/>
          <w:highlight w:val="none"/>
        </w:rPr>
      </w:pPr>
    </w:p>
    <w:p>
      <w:pPr>
        <w:pStyle w:val="8"/>
        <w:rPr>
          <w:rFonts w:ascii="宋体" w:hAnsi="宋体" w:cs="宋体"/>
          <w:color w:val="auto"/>
          <w:kern w:val="0"/>
          <w:sz w:val="24"/>
          <w:szCs w:val="24"/>
          <w:highlight w:val="none"/>
        </w:rPr>
      </w:pPr>
    </w:p>
    <w:p>
      <w:pPr>
        <w:pStyle w:val="8"/>
        <w:rPr>
          <w:rFonts w:ascii="宋体" w:hAnsi="宋体" w:cs="宋体"/>
          <w:color w:val="auto"/>
          <w:kern w:val="0"/>
          <w:sz w:val="24"/>
          <w:szCs w:val="24"/>
          <w:highlight w:val="none"/>
        </w:rPr>
      </w:pPr>
    </w:p>
    <w:p>
      <w:pPr>
        <w:pStyle w:val="8"/>
        <w:rPr>
          <w:rFonts w:ascii="宋体" w:hAnsi="宋体" w:cs="宋体"/>
          <w:color w:val="auto"/>
          <w:kern w:val="0"/>
          <w:sz w:val="24"/>
          <w:szCs w:val="24"/>
          <w:highlight w:val="none"/>
        </w:rPr>
      </w:pPr>
    </w:p>
    <w:p>
      <w:pPr>
        <w:spacing w:line="360" w:lineRule="auto"/>
        <w:ind w:firstLine="480" w:firstLineChars="200"/>
        <w:rPr>
          <w:rFonts w:ascii="宋体" w:hAnsi="宋体"/>
          <w:color w:val="auto"/>
          <w:kern w:val="0"/>
          <w:sz w:val="24"/>
          <w:szCs w:val="24"/>
          <w:highlight w:val="none"/>
        </w:rPr>
      </w:pPr>
      <w:r>
        <w:rPr>
          <w:rFonts w:ascii="宋体" w:hAnsi="宋体" w:cs="宋体"/>
          <w:color w:val="auto"/>
          <w:kern w:val="0"/>
          <w:sz w:val="24"/>
          <w:szCs w:val="24"/>
          <w:highlight w:val="none"/>
          <w:vertAlign w:val="superscript"/>
        </w:rPr>
        <w:t>1</w:t>
      </w:r>
      <w:r>
        <w:rPr>
          <w:rFonts w:ascii="宋体" w:hAnsi="宋体" w:cs="宋体"/>
          <w:color w:val="auto"/>
          <w:kern w:val="0"/>
          <w:sz w:val="24"/>
          <w:szCs w:val="24"/>
          <w:highlight w:val="none"/>
        </w:rPr>
        <w:t>从业人员、 营业收入、 资产总额填报上一年度数据， 无上一年度数据的新成立企业可不填报。</w:t>
      </w:r>
    </w:p>
    <w:p>
      <w:pPr>
        <w:pStyle w:val="10"/>
        <w:spacing w:before="61"/>
        <w:rPr>
          <w:rFonts w:hint="eastAsia" w:ascii="宋体" w:hAnsi="宋体" w:eastAsia="宋体" w:cs="宋体"/>
          <w:color w:val="auto"/>
          <w:highlight w:val="none"/>
        </w:rPr>
      </w:pPr>
    </w:p>
    <w:p>
      <w:pPr>
        <w:pStyle w:val="10"/>
        <w:spacing w:before="61"/>
        <w:rPr>
          <w:rFonts w:hint="eastAsia" w:ascii="宋体" w:hAnsi="宋体" w:eastAsia="宋体" w:cs="宋体"/>
          <w:color w:val="auto"/>
          <w:highlight w:val="none"/>
        </w:rPr>
      </w:pPr>
    </w:p>
    <w:p>
      <w:pPr>
        <w:pStyle w:val="10"/>
        <w:spacing w:before="61"/>
        <w:rPr>
          <w:rFonts w:hint="eastAsia" w:ascii="宋体" w:hAnsi="宋体" w:eastAsia="宋体" w:cs="宋体"/>
          <w:color w:val="auto"/>
          <w:highlight w:val="none"/>
        </w:rPr>
      </w:pPr>
    </w:p>
    <w:p>
      <w:pPr>
        <w:pStyle w:val="10"/>
        <w:spacing w:before="61"/>
        <w:rPr>
          <w:rFonts w:hint="eastAsia" w:ascii="宋体" w:hAnsi="宋体" w:eastAsia="宋体" w:cs="宋体"/>
          <w:color w:val="auto"/>
          <w:highlight w:val="none"/>
        </w:rPr>
      </w:pPr>
    </w:p>
    <w:p>
      <w:pPr>
        <w:pStyle w:val="10"/>
        <w:spacing w:before="61"/>
        <w:rPr>
          <w:rFonts w:hint="eastAsia" w:ascii="宋体" w:hAnsi="宋体" w:eastAsia="宋体" w:cs="宋体"/>
          <w:color w:val="auto"/>
          <w:highlight w:val="none"/>
        </w:rPr>
      </w:pPr>
    </w:p>
    <w:p>
      <w:pPr>
        <w:pStyle w:val="10"/>
        <w:spacing w:before="61"/>
        <w:rPr>
          <w:rFonts w:hint="eastAsia" w:ascii="宋体" w:hAnsi="宋体" w:eastAsia="宋体" w:cs="宋体"/>
          <w:color w:val="auto"/>
          <w:highlight w:val="none"/>
        </w:rPr>
      </w:pPr>
    </w:p>
    <w:p>
      <w:pPr>
        <w:pStyle w:val="10"/>
        <w:spacing w:before="61"/>
        <w:rPr>
          <w:rFonts w:hint="eastAsia" w:ascii="宋体" w:hAnsi="宋体" w:eastAsia="宋体" w:cs="宋体"/>
          <w:color w:val="auto"/>
          <w:highlight w:val="none"/>
        </w:rPr>
      </w:pPr>
    </w:p>
    <w:p>
      <w:pPr>
        <w:pStyle w:val="10"/>
        <w:spacing w:before="6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、残疾人福利性单位声明函（如有）</w:t>
      </w:r>
    </w:p>
    <w:p>
      <w:pPr>
        <w:rPr>
          <w:rFonts w:hint="eastAsia" w:ascii="宋体" w:hAnsi="宋体" w:eastAsia="宋体" w:cs="宋体"/>
          <w:b/>
          <w:color w:val="auto"/>
          <w:sz w:val="28"/>
          <w:highlight w:val="none"/>
        </w:rPr>
      </w:pPr>
    </w:p>
    <w:p>
      <w:pPr>
        <w:spacing w:before="6"/>
        <w:rPr>
          <w:rFonts w:hint="eastAsia" w:ascii="宋体" w:hAnsi="宋体" w:eastAsia="宋体" w:cs="宋体"/>
          <w:b/>
          <w:color w:val="auto"/>
          <w:sz w:val="30"/>
          <w:highlight w:val="none"/>
        </w:rPr>
      </w:pPr>
    </w:p>
    <w:p>
      <w:pPr>
        <w:keepNext w:val="0"/>
        <w:keepLines w:val="0"/>
        <w:pageBreakBefore w:val="0"/>
        <w:widowControl w:val="0"/>
        <w:tabs>
          <w:tab w:val="left" w:pos="5772"/>
        </w:tabs>
        <w:kinsoku/>
        <w:wordWrap/>
        <w:overflowPunct/>
        <w:topLinePunct w:val="0"/>
        <w:autoSpaceDE w:val="0"/>
        <w:autoSpaceDN w:val="0"/>
        <w:bidi w:val="0"/>
        <w:adjustRightInd/>
        <w:snapToGrid/>
        <w:spacing w:line="360" w:lineRule="auto"/>
        <w:ind w:left="231" w:right="624"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民政部</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z w:val="24"/>
          <w:szCs w:val="24"/>
          <w:highlight w:val="none"/>
        </w:rPr>
        <w:t>中国残疾人联合会关于促进残疾人就业政府采购政策的通知</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（财</w:t>
      </w:r>
      <w:r>
        <w:rPr>
          <w:rFonts w:hint="eastAsia" w:ascii="宋体" w:hAnsi="宋体" w:eastAsia="宋体" w:cs="宋体"/>
          <w:color w:val="auto"/>
          <w:spacing w:val="-8"/>
          <w:sz w:val="24"/>
          <w:szCs w:val="24"/>
          <w:highlight w:val="none"/>
        </w:rPr>
        <w:t>库</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2017〕</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z w:val="24"/>
          <w:szCs w:val="24"/>
          <w:highlight w:val="none"/>
        </w:rPr>
        <w:t>141</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z w:val="24"/>
          <w:szCs w:val="24"/>
          <w:highlight w:val="none"/>
        </w:rPr>
        <w:t>号</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的规定</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本单位为符合条件的残疾人福利性单位</w:t>
      </w:r>
      <w:r>
        <w:rPr>
          <w:rFonts w:hint="eastAsia" w:ascii="宋体" w:hAnsi="宋体" w:eastAsia="宋体" w:cs="宋体"/>
          <w:color w:val="auto"/>
          <w:spacing w:val="-32"/>
          <w:sz w:val="24"/>
          <w:szCs w:val="24"/>
          <w:highlight w:val="none"/>
        </w:rPr>
        <w:t>，</w:t>
      </w:r>
      <w:r>
        <w:rPr>
          <w:rFonts w:hint="eastAsia" w:ascii="宋体" w:hAnsi="宋体" w:eastAsia="宋体" w:cs="宋体"/>
          <w:color w:val="auto"/>
          <w:sz w:val="24"/>
          <w:szCs w:val="24"/>
          <w:highlight w:val="none"/>
        </w:rPr>
        <w:t>且本单位参加</w:t>
      </w:r>
      <w:r>
        <w:rPr>
          <w:rFonts w:hint="eastAsia" w:ascii="宋体" w:hAnsi="宋体" w:eastAsia="宋体" w:cs="宋体"/>
          <w:color w:val="auto"/>
          <w:spacing w:val="-16"/>
          <w:sz w:val="24"/>
          <w:szCs w:val="24"/>
          <w:highlight w:val="none"/>
          <w:u w:val="single"/>
        </w:rPr>
        <w:t>_（</w:t>
      </w: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pacing w:val="-34"/>
          <w:sz w:val="24"/>
          <w:szCs w:val="24"/>
          <w:highlight w:val="none"/>
          <w:u w:val="single"/>
        </w:rPr>
        <w:t>）</w:t>
      </w:r>
      <w:r>
        <w:rPr>
          <w:rFonts w:hint="eastAsia" w:ascii="宋体" w:hAnsi="宋体" w:eastAsia="宋体" w:cs="宋体"/>
          <w:color w:val="auto"/>
          <w:sz w:val="24"/>
          <w:szCs w:val="24"/>
          <w:highlight w:val="none"/>
          <w:u w:val="single"/>
        </w:rPr>
        <w:t>单位</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项目采购活动提供本单位制造</w:t>
      </w:r>
      <w:r>
        <w:rPr>
          <w:rFonts w:hint="eastAsia" w:ascii="宋体" w:hAnsi="宋体" w:eastAsia="宋体" w:cs="宋体"/>
          <w:color w:val="auto"/>
          <w:spacing w:val="-12"/>
          <w:sz w:val="24"/>
          <w:szCs w:val="24"/>
          <w:highlight w:val="none"/>
        </w:rPr>
        <w:t>的</w:t>
      </w:r>
      <w:r>
        <w:rPr>
          <w:rFonts w:hint="eastAsia" w:ascii="宋体" w:hAnsi="宋体" w:eastAsia="宋体" w:cs="宋体"/>
          <w:color w:val="auto"/>
          <w:sz w:val="24"/>
          <w:szCs w:val="24"/>
          <w:highlight w:val="none"/>
        </w:rPr>
        <w:t>货</w:t>
      </w:r>
      <w:r>
        <w:rPr>
          <w:rFonts w:hint="eastAsia" w:ascii="宋体" w:hAnsi="宋体" w:eastAsia="宋体" w:cs="宋体"/>
          <w:color w:val="auto"/>
          <w:spacing w:val="-80"/>
          <w:sz w:val="24"/>
          <w:szCs w:val="24"/>
          <w:highlight w:val="none"/>
        </w:rPr>
        <w:t>物</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u w:val="single"/>
        </w:rPr>
        <w:t>由本单位承担工程/提供服务</w:t>
      </w:r>
      <w:r>
        <w:rPr>
          <w:rFonts w:hint="eastAsia" w:ascii="宋体" w:hAnsi="宋体" w:eastAsia="宋体" w:cs="宋体"/>
          <w:color w:val="auto"/>
          <w:spacing w:val="-81"/>
          <w:sz w:val="24"/>
          <w:szCs w:val="24"/>
          <w:highlight w:val="none"/>
          <w:u w:val="single"/>
        </w:rPr>
        <w:t>）</w:t>
      </w:r>
      <w:r>
        <w:rPr>
          <w:rFonts w:hint="eastAsia" w:ascii="宋体" w:hAnsi="宋体" w:eastAsia="宋体" w:cs="宋体"/>
          <w:color w:val="auto"/>
          <w:spacing w:val="-81"/>
          <w:sz w:val="24"/>
          <w:szCs w:val="24"/>
          <w:highlight w:val="none"/>
        </w:rPr>
        <w:t>，</w:t>
      </w:r>
      <w:r>
        <w:rPr>
          <w:rFonts w:hint="eastAsia" w:ascii="宋体" w:hAnsi="宋体" w:eastAsia="宋体" w:cs="宋体"/>
          <w:color w:val="auto"/>
          <w:sz w:val="24"/>
          <w:szCs w:val="24"/>
          <w:highlight w:val="none"/>
        </w:rPr>
        <w:t>或者提供其他残疾人福利性单位制造的货</w:t>
      </w:r>
      <w:r>
        <w:rPr>
          <w:rFonts w:hint="eastAsia" w:ascii="宋体" w:hAnsi="宋体" w:eastAsia="宋体" w:cs="宋体"/>
          <w:color w:val="auto"/>
          <w:spacing w:val="-70"/>
          <w:sz w:val="24"/>
          <w:szCs w:val="24"/>
          <w:highlight w:val="none"/>
        </w:rPr>
        <w:t>物</w:t>
      </w:r>
      <w:r>
        <w:rPr>
          <w:rFonts w:hint="eastAsia" w:ascii="宋体" w:hAnsi="宋体" w:eastAsia="宋体" w:cs="宋体"/>
          <w:color w:val="auto"/>
          <w:sz w:val="24"/>
          <w:szCs w:val="24"/>
          <w:highlight w:val="none"/>
        </w:rPr>
        <w:t>（不包括使用非残疾人福利性单位注册商标的货物）。</w:t>
      </w:r>
    </w:p>
    <w:p>
      <w:pPr>
        <w:keepNext w:val="0"/>
        <w:keepLines w:val="0"/>
        <w:pageBreakBefore w:val="0"/>
        <w:widowControl w:val="0"/>
        <w:kinsoku/>
        <w:wordWrap/>
        <w:overflowPunct/>
        <w:topLinePunct w:val="0"/>
        <w:autoSpaceDE w:val="0"/>
        <w:autoSpaceDN w:val="0"/>
        <w:bidi w:val="0"/>
        <w:adjustRightInd/>
        <w:snapToGrid/>
        <w:spacing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before="6"/>
        <w:rPr>
          <w:rFonts w:hint="eastAsia" w:ascii="宋体" w:hAnsi="宋体" w:eastAsia="宋体" w:cs="宋体"/>
          <w:color w:val="auto"/>
          <w:sz w:val="27"/>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3"/>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p>
    <w:p>
      <w:pPr>
        <w:pStyle w:val="43"/>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5"/>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5"/>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5"/>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5"/>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5"/>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5"/>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5"/>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5"/>
        <w:rPr>
          <w:rFonts w:hint="eastAsia" w:ascii="宋体" w:hAnsi="宋体" w:eastAsia="宋体" w:cs="宋体"/>
          <w:color w:val="auto"/>
          <w:sz w:val="26"/>
          <w:highlight w:val="none"/>
        </w:rPr>
      </w:pPr>
    </w:p>
    <w:p>
      <w:pPr>
        <w:rPr>
          <w:rFonts w:hint="eastAsia" w:ascii="宋体" w:hAnsi="宋体" w:eastAsia="宋体" w:cs="宋体"/>
          <w:color w:val="auto"/>
          <w:sz w:val="26"/>
          <w:highlight w:val="none"/>
        </w:rPr>
      </w:pPr>
    </w:p>
    <w:p>
      <w:pPr>
        <w:pStyle w:val="10"/>
        <w:ind w:left="2712" w:right="0"/>
        <w:jc w:val="left"/>
        <w:rPr>
          <w:rFonts w:hint="eastAsia" w:ascii="宋体" w:hAnsi="宋体" w:eastAsia="宋体" w:cs="宋体"/>
          <w:color w:val="auto"/>
          <w:highlight w:val="none"/>
        </w:rPr>
      </w:pPr>
      <w:bookmarkStart w:id="40" w:name="3 、监狱企业证明材料（如有）"/>
      <w:bookmarkEnd w:id="40"/>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、监狱企业证明材料（如有）</w:t>
      </w:r>
    </w:p>
    <w:p>
      <w:pPr>
        <w:spacing w:before="8"/>
        <w:rPr>
          <w:rFonts w:hint="eastAsia" w:ascii="宋体" w:hAnsi="宋体" w:eastAsia="宋体" w:cs="宋体"/>
          <w:b/>
          <w:color w:val="auto"/>
          <w:sz w:val="40"/>
          <w:highlight w:val="none"/>
        </w:rPr>
      </w:pPr>
    </w:p>
    <w:p>
      <w:pPr>
        <w:pStyle w:val="32"/>
        <w:numPr>
          <w:ilvl w:val="0"/>
          <w:numId w:val="8"/>
        </w:numPr>
        <w:tabs>
          <w:tab w:val="left" w:pos="1072"/>
        </w:tabs>
        <w:spacing w:before="1" w:after="0" w:line="240" w:lineRule="auto"/>
        <w:ind w:left="1071" w:right="0" w:hanging="361"/>
        <w:jc w:val="left"/>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监狱企业证明</w:t>
      </w:r>
      <w:r>
        <w:rPr>
          <w:rFonts w:hint="eastAsia" w:ascii="宋体" w:hAnsi="宋体" w:eastAsia="宋体" w:cs="宋体"/>
          <w:color w:val="auto"/>
          <w:sz w:val="24"/>
          <w:highlight w:val="none"/>
        </w:rPr>
        <w:t>（</w:t>
      </w:r>
      <w:r>
        <w:rPr>
          <w:rFonts w:hint="eastAsia" w:ascii="宋体" w:hAnsi="宋体" w:eastAsia="宋体" w:cs="宋体"/>
          <w:color w:val="auto"/>
          <w:spacing w:val="-7"/>
          <w:sz w:val="24"/>
          <w:highlight w:val="none"/>
        </w:rPr>
        <w:t>如属于监狱企业，需提供由省级以上监狱管理局、戒毒管理局</w:t>
      </w:r>
    </w:p>
    <w:p>
      <w:pPr>
        <w:spacing w:before="93" w:line="312" w:lineRule="auto"/>
        <w:ind w:left="711" w:right="3052"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（含新疆生产建设兵团）出具的属于监狱企业的证明文件）； </w:t>
      </w:r>
    </w:p>
    <w:p>
      <w:pPr>
        <w:spacing w:before="93" w:line="312" w:lineRule="auto"/>
        <w:ind w:left="704" w:leftChars="303" w:right="3052" w:hanging="37" w:hangingChars="17"/>
        <w:rPr>
          <w:rFonts w:hint="eastAsia" w:ascii="宋体" w:hAnsi="宋体" w:eastAsia="宋体" w:cs="宋体"/>
          <w:color w:val="auto"/>
          <w:highlight w:val="none"/>
        </w:rPr>
      </w:pPr>
      <w:r>
        <w:rPr>
          <w:rFonts w:hint="eastAsia" w:ascii="宋体" w:hAnsi="宋体" w:eastAsia="宋体" w:cs="宋体"/>
          <w:color w:val="auto"/>
          <w:highlight w:val="none"/>
        </w:rPr>
        <w:t>2.证明材料</w:t>
      </w:r>
      <w:r>
        <w:rPr>
          <w:rFonts w:hint="eastAsia" w:ascii="宋体" w:hAnsi="宋体" w:eastAsia="宋体" w:cs="宋体"/>
          <w:color w:val="auto"/>
          <w:highlight w:val="none"/>
          <w:lang w:eastAsia="zh-CN"/>
        </w:rPr>
        <w:t>须加盖</w:t>
      </w:r>
      <w:r>
        <w:rPr>
          <w:rFonts w:hint="eastAsia" w:ascii="宋体" w:hAnsi="宋体" w:eastAsia="宋体" w:cs="宋体"/>
          <w:color w:val="auto"/>
          <w:highlight w:val="none"/>
        </w:rPr>
        <w:t>投标人</w:t>
      </w:r>
      <w:r>
        <w:rPr>
          <w:rFonts w:hint="eastAsia" w:ascii="宋体" w:hAnsi="宋体" w:eastAsia="宋体" w:cs="宋体"/>
          <w:color w:val="auto"/>
          <w:highlight w:val="none"/>
          <w:lang w:eastAsia="zh-CN"/>
        </w:rPr>
        <w:t>电子公章</w:t>
      </w:r>
      <w:r>
        <w:rPr>
          <w:rFonts w:hint="eastAsia" w:ascii="宋体" w:hAnsi="宋体" w:eastAsia="宋体" w:cs="宋体"/>
          <w:color w:val="auto"/>
          <w:highlight w:val="none"/>
        </w:rPr>
        <w:t>。</w:t>
      </w:r>
    </w:p>
    <w:p>
      <w:pPr>
        <w:spacing w:after="0" w:line="312" w:lineRule="auto"/>
        <w:rPr>
          <w:rFonts w:hint="eastAsia" w:ascii="宋体" w:hAnsi="宋体" w:eastAsia="宋体" w:cs="宋体"/>
          <w:color w:val="auto"/>
          <w:highlight w:val="none"/>
        </w:rPr>
        <w:sectPr>
          <w:pgSz w:w="11910" w:h="16840"/>
          <w:pgMar w:top="1134" w:right="1134" w:bottom="1134" w:left="1134" w:header="0" w:footer="998" w:gutter="0"/>
          <w:cols w:space="0" w:num="1"/>
          <w:rtlGutter w:val="0"/>
          <w:docGrid w:linePitch="0" w:charSpace="0"/>
        </w:sectPr>
      </w:pPr>
    </w:p>
    <w:p>
      <w:pPr>
        <w:pStyle w:val="10"/>
        <w:spacing w:before="62"/>
        <w:rPr>
          <w:rFonts w:hint="eastAsia" w:ascii="宋体" w:hAnsi="宋体" w:eastAsia="宋体" w:cs="宋体"/>
          <w:color w:val="auto"/>
          <w:highlight w:val="none"/>
        </w:rPr>
      </w:pPr>
      <w:bookmarkStart w:id="41" w:name="（十一）项目服务方案"/>
      <w:bookmarkEnd w:id="41"/>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）、信用查询记录</w:t>
      </w:r>
    </w:p>
    <w:p>
      <w:pPr>
        <w:spacing w:before="2"/>
        <w:rPr>
          <w:rFonts w:hint="eastAsia" w:ascii="宋体" w:hAnsi="宋体" w:eastAsia="宋体" w:cs="宋体"/>
          <w:b/>
          <w:color w:val="auto"/>
          <w:sz w:val="4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查询渠道为：</w:t>
      </w:r>
      <w:r>
        <w:rPr>
          <w:rFonts w:hint="eastAsia" w:ascii="宋体" w:hAnsi="宋体" w:eastAsia="宋体" w:cs="宋体"/>
          <w:color w:val="auto"/>
          <w:spacing w:val="0"/>
          <w:sz w:val="24"/>
          <w:szCs w:val="24"/>
          <w:highlight w:val="none"/>
        </w:rPr>
        <w:t>“信用中国”网站（</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"http://www.creditchina.gov.cn/" \h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u w:val="single"/>
        </w:rPr>
        <w:t>www.creditchina.gov.cn</w:t>
      </w:r>
      <w:r>
        <w:rPr>
          <w:rFonts w:hint="eastAsia" w:ascii="宋体" w:hAnsi="宋体" w:eastAsia="宋体" w:cs="宋体"/>
          <w:color w:val="auto"/>
          <w:spacing w:val="0"/>
          <w:sz w:val="24"/>
          <w:szCs w:val="24"/>
          <w:highlight w:val="none"/>
          <w:u w:val="single"/>
        </w:rPr>
        <w:fldChar w:fldCharType="end"/>
      </w:r>
      <w:r>
        <w:rPr>
          <w:rFonts w:hint="eastAsia" w:ascii="宋体" w:hAnsi="宋体" w:eastAsia="宋体" w:cs="宋体"/>
          <w:color w:val="auto"/>
          <w:spacing w:val="0"/>
          <w:sz w:val="24"/>
          <w:szCs w:val="24"/>
          <w:highlight w:val="none"/>
        </w:rPr>
        <w:t>）及中国政府采购网</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1"/>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"http://www.ccgp.gov.cn/" \h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（www.ccgp.gov.cn</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）。查询时间为自公告发布之日起至投标文件截止时间的期间（该时间段内任一时间）。</w:t>
      </w:r>
    </w:p>
    <w:p>
      <w:pPr>
        <w:spacing w:before="0" w:line="318" w:lineRule="exact"/>
        <w:ind w:left="711" w:right="0" w:firstLine="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附网页查询后的截图证明。</w:t>
      </w: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spacing w:before="236"/>
        <w:ind w:left="299" w:right="698" w:firstLine="0"/>
        <w:jc w:val="center"/>
        <w:rPr>
          <w:rFonts w:hint="eastAsia" w:ascii="宋体" w:hAnsi="宋体" w:eastAsia="宋体" w:cs="宋体"/>
          <w:b/>
          <w:color w:val="auto"/>
          <w:sz w:val="28"/>
          <w:highlight w:val="none"/>
        </w:rPr>
      </w:pPr>
      <w:bookmarkStart w:id="42" w:name="（10）、近三年内已完成的类似项目业绩"/>
      <w:bookmarkEnd w:id="42"/>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）、近</w:t>
      </w:r>
      <w:r>
        <w:rPr>
          <w:rFonts w:hint="eastAsia" w:ascii="宋体" w:hAnsi="宋体" w:eastAsia="宋体" w:cs="宋体"/>
          <w:b/>
          <w:color w:val="auto"/>
          <w:sz w:val="28"/>
          <w:highlight w:val="none"/>
          <w:lang w:val="en-US" w:eastAsia="zh-CN"/>
        </w:rPr>
        <w:t>五</w:t>
      </w:r>
      <w:r>
        <w:rPr>
          <w:rFonts w:hint="eastAsia" w:ascii="宋体" w:hAnsi="宋体" w:eastAsia="宋体" w:cs="宋体"/>
          <w:b/>
          <w:color w:val="auto"/>
          <w:sz w:val="28"/>
          <w:highlight w:val="none"/>
        </w:rPr>
        <w:t>年内已完成的类似项目业绩</w:t>
      </w:r>
    </w:p>
    <w:p>
      <w:pPr>
        <w:rPr>
          <w:rFonts w:hint="eastAsia" w:ascii="宋体" w:hAnsi="宋体" w:eastAsia="宋体" w:cs="宋体"/>
          <w:b/>
          <w:color w:val="auto"/>
          <w:sz w:val="28"/>
          <w:highlight w:val="none"/>
        </w:rPr>
      </w:pPr>
    </w:p>
    <w:p>
      <w:pPr>
        <w:tabs>
          <w:tab w:val="left" w:pos="5271"/>
          <w:tab w:val="left" w:pos="9191"/>
        </w:tabs>
        <w:spacing w:before="196"/>
        <w:ind w:left="351"/>
        <w:rPr>
          <w:rFonts w:hint="eastAsia" w:ascii="宋体" w:hAnsi="宋体" w:eastAsia="宋体" w:cs="宋体"/>
          <w:color w:val="auto"/>
          <w:highlight w:val="none"/>
        </w:rPr>
      </w:pPr>
      <w:r>
        <w:rPr>
          <w:rFonts w:hint="eastAsia" w:ascii="宋体" w:hAnsi="宋体" w:eastAsia="宋体" w:cs="宋体"/>
          <w:color w:val="auto"/>
          <w:highlight w:val="none"/>
        </w:rPr>
        <w:t>投标人名称（电子签章）：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项</w:t>
      </w:r>
      <w:r>
        <w:rPr>
          <w:rFonts w:hint="eastAsia" w:ascii="宋体" w:hAnsi="宋体" w:eastAsia="宋体" w:cs="宋体"/>
          <w:color w:val="auto"/>
          <w:highlight w:val="none"/>
        </w:rPr>
        <w:t>目编号/包号：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rPr>
          <w:rFonts w:hint="eastAsia" w:ascii="宋体" w:hAnsi="宋体" w:eastAsia="宋体" w:cs="宋体"/>
          <w:color w:val="auto"/>
          <w:sz w:val="20"/>
          <w:highlight w:val="none"/>
        </w:rPr>
      </w:pPr>
    </w:p>
    <w:p>
      <w:pPr>
        <w:spacing w:before="11"/>
        <w:rPr>
          <w:rFonts w:hint="eastAsia" w:ascii="宋体" w:hAnsi="宋体" w:eastAsia="宋体" w:cs="宋体"/>
          <w:color w:val="auto"/>
          <w:sz w:val="19"/>
          <w:highlight w:val="none"/>
        </w:rPr>
      </w:pPr>
    </w:p>
    <w:tbl>
      <w:tblPr>
        <w:tblStyle w:val="25"/>
        <w:tblW w:w="9072"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843"/>
        <w:gridCol w:w="1276"/>
        <w:gridCol w:w="1995"/>
        <w:gridCol w:w="1620"/>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992" w:type="dxa"/>
            <w:shd w:val="clear" w:color="auto" w:fill="E6E6E6"/>
          </w:tcPr>
          <w:p>
            <w:pPr>
              <w:pStyle w:val="33"/>
              <w:keepNext w:val="0"/>
              <w:keepLines w:val="0"/>
              <w:suppressLineNumbers w:val="0"/>
              <w:spacing w:before="114" w:beforeAutospacing="0" w:afterAutospacing="0"/>
              <w:ind w:left="256"/>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43" w:type="dxa"/>
            <w:shd w:val="clear" w:color="auto" w:fill="E6E6E6"/>
          </w:tcPr>
          <w:p>
            <w:pPr>
              <w:pStyle w:val="33"/>
              <w:keepNext w:val="0"/>
              <w:keepLines w:val="0"/>
              <w:suppressLineNumbers w:val="0"/>
              <w:spacing w:before="114" w:beforeAutospacing="0" w:afterAutospacing="0"/>
              <w:ind w:left="49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276" w:type="dxa"/>
            <w:shd w:val="clear" w:color="auto" w:fill="E6E6E6"/>
          </w:tcPr>
          <w:p>
            <w:pPr>
              <w:pStyle w:val="33"/>
              <w:keepNext w:val="0"/>
              <w:keepLines w:val="0"/>
              <w:suppressLineNumbers w:val="0"/>
              <w:spacing w:before="114" w:beforeAutospacing="0" w:afterAutospacing="0"/>
              <w:ind w:left="33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p>
        </w:tc>
        <w:tc>
          <w:tcPr>
            <w:tcW w:w="1995" w:type="dxa"/>
            <w:shd w:val="clear" w:color="auto" w:fill="E6E6E6"/>
          </w:tcPr>
          <w:p>
            <w:pPr>
              <w:pStyle w:val="33"/>
              <w:keepNext w:val="0"/>
              <w:keepLines w:val="0"/>
              <w:suppressLineNumbers w:val="0"/>
              <w:spacing w:before="114" w:beforeAutospacing="0" w:afterAutospacing="0"/>
              <w:ind w:left="138"/>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主要内容</w:t>
            </w:r>
          </w:p>
        </w:tc>
        <w:tc>
          <w:tcPr>
            <w:tcW w:w="1620" w:type="dxa"/>
            <w:shd w:val="clear" w:color="auto" w:fill="E6E6E6"/>
          </w:tcPr>
          <w:p>
            <w:pPr>
              <w:pStyle w:val="33"/>
              <w:keepNext w:val="0"/>
              <w:keepLines w:val="0"/>
              <w:suppressLineNumbers w:val="0"/>
              <w:spacing w:before="114" w:beforeAutospacing="0" w:afterAutospacing="0"/>
              <w:ind w:left="330"/>
              <w:rPr>
                <w:rFonts w:hint="eastAsia" w:ascii="宋体" w:hAnsi="宋体" w:eastAsia="宋体" w:cs="宋体"/>
                <w:color w:val="auto"/>
                <w:sz w:val="24"/>
                <w:highlight w:val="none"/>
              </w:rPr>
            </w:pPr>
            <w:r>
              <w:rPr>
                <w:rFonts w:hint="eastAsia" w:ascii="宋体" w:hAnsi="宋体" w:eastAsia="宋体" w:cs="宋体"/>
                <w:color w:val="auto"/>
                <w:sz w:val="24"/>
                <w:highlight w:val="none"/>
              </w:rPr>
              <w:t>完工时间</w:t>
            </w:r>
          </w:p>
        </w:tc>
        <w:tc>
          <w:tcPr>
            <w:tcW w:w="1346" w:type="dxa"/>
            <w:shd w:val="clear" w:color="auto" w:fill="E6E6E6"/>
          </w:tcPr>
          <w:p>
            <w:pPr>
              <w:pStyle w:val="33"/>
              <w:keepNext w:val="0"/>
              <w:keepLines w:val="0"/>
              <w:suppressLineNumbers w:val="0"/>
              <w:spacing w:before="114" w:beforeAutospacing="0" w:afterAutospacing="0"/>
              <w:ind w:left="433"/>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2"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843"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276"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995"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620"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346"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2"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843"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276"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995"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620"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346"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92"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843"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276"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995"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620"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346"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992" w:type="dxa"/>
          </w:tcPr>
          <w:p>
            <w:pPr>
              <w:pStyle w:val="33"/>
              <w:keepNext w:val="0"/>
              <w:keepLines w:val="0"/>
              <w:suppressLineNumbers w:val="0"/>
              <w:spacing w:before="113"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843"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276" w:type="dxa"/>
          </w:tcPr>
          <w:p>
            <w:pPr>
              <w:pStyle w:val="33"/>
              <w:keepNext w:val="0"/>
              <w:keepLines w:val="0"/>
              <w:suppressLineNumbers w:val="0"/>
              <w:spacing w:before="113" w:beforeAutospacing="0" w:afterAutospacing="0"/>
              <w:ind w:left="106"/>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95" w:type="dxa"/>
          </w:tcPr>
          <w:p>
            <w:pPr>
              <w:pStyle w:val="33"/>
              <w:keepNext w:val="0"/>
              <w:keepLines w:val="0"/>
              <w:suppressLineNumbers w:val="0"/>
              <w:spacing w:before="113"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620" w:type="dxa"/>
          </w:tcPr>
          <w:p>
            <w:pPr>
              <w:pStyle w:val="33"/>
              <w:keepNext w:val="0"/>
              <w:keepLines w:val="0"/>
              <w:suppressLineNumbers w:val="0"/>
              <w:spacing w:before="113"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46"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我单位承诺以上填报内容真实。如不真实，将按照有关规定接受处理。</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注：1.按招标人要求的内容及范围提供相关类型的业绩。</w:t>
      </w:r>
    </w:p>
    <w:p>
      <w:pPr>
        <w:pStyle w:val="32"/>
        <w:keepNext w:val="0"/>
        <w:keepLines w:val="0"/>
        <w:pageBreakBefore w:val="0"/>
        <w:widowControl w:val="0"/>
        <w:numPr>
          <w:ilvl w:val="0"/>
          <w:numId w:val="8"/>
        </w:numPr>
        <w:tabs>
          <w:tab w:val="left" w:pos="863"/>
        </w:tabs>
        <w:kinsoku/>
        <w:wordWrap/>
        <w:overflowPunct/>
        <w:topLinePunct w:val="0"/>
        <w:autoSpaceDE w:val="0"/>
        <w:autoSpaceDN w:val="0"/>
        <w:bidi w:val="0"/>
        <w:adjustRightInd/>
        <w:snapToGrid/>
        <w:spacing w:before="0" w:after="0" w:line="360" w:lineRule="auto"/>
        <w:ind w:left="231" w:right="633"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本表后须附清晰可辨的、真实的合同协议书中标通知书等相关的证明材料。如未附证明材料或工作内容模糊不清的，其业绩将不予认定。有效业绩的认定详见投标人须知前附表。</w:t>
      </w:r>
    </w:p>
    <w:p>
      <w:pPr>
        <w:pStyle w:val="32"/>
        <w:keepNext w:val="0"/>
        <w:keepLines w:val="0"/>
        <w:pageBreakBefore w:val="0"/>
        <w:widowControl w:val="0"/>
        <w:numPr>
          <w:ilvl w:val="0"/>
          <w:numId w:val="8"/>
        </w:numPr>
        <w:tabs>
          <w:tab w:val="left" w:pos="863"/>
        </w:tabs>
        <w:kinsoku/>
        <w:wordWrap/>
        <w:overflowPunct/>
        <w:topLinePunct w:val="0"/>
        <w:autoSpaceDE w:val="0"/>
        <w:autoSpaceDN w:val="0"/>
        <w:bidi w:val="0"/>
        <w:adjustRightInd/>
        <w:snapToGrid/>
        <w:spacing w:before="0" w:after="0" w:line="360" w:lineRule="auto"/>
        <w:ind w:left="231" w:right="633"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如近年来，投标人法人机构发生合法变更或重组或法人名称变更时，应提供相关部门的合法批件或其他相关证明材料来证明其所附业绩的继承性。</w:t>
      </w:r>
    </w:p>
    <w:p>
      <w:pPr>
        <w:spacing w:after="0" w:line="285" w:lineRule="auto"/>
        <w:jc w:val="left"/>
        <w:rPr>
          <w:rFonts w:hint="eastAsia" w:ascii="宋体" w:hAnsi="宋体" w:eastAsia="宋体" w:cs="宋体"/>
          <w:color w:val="auto"/>
          <w:sz w:val="19"/>
          <w:highlight w:val="none"/>
        </w:rPr>
        <w:sectPr>
          <w:pgSz w:w="11910" w:h="16840"/>
          <w:pgMar w:top="1134" w:right="1134" w:bottom="1134" w:left="1134" w:header="0" w:footer="998" w:gutter="0"/>
          <w:cols w:space="0" w:num="1"/>
          <w:rtlGutter w:val="0"/>
          <w:docGrid w:linePitch="0" w:charSpace="0"/>
        </w:sectPr>
      </w:pPr>
    </w:p>
    <w:p>
      <w:pPr>
        <w:spacing w:before="38"/>
        <w:ind w:left="294" w:right="698" w:firstLine="0"/>
        <w:jc w:val="center"/>
        <w:rPr>
          <w:rFonts w:hint="eastAsia" w:ascii="宋体" w:hAnsi="宋体" w:eastAsia="宋体" w:cs="宋体"/>
          <w:b/>
          <w:color w:val="auto"/>
          <w:sz w:val="30"/>
          <w:highlight w:val="none"/>
        </w:rPr>
      </w:pPr>
      <w:r>
        <w:rPr>
          <w:rFonts w:hint="eastAsia" w:ascii="宋体" w:hAnsi="宋体" w:eastAsia="宋体" w:cs="宋体"/>
          <w:b/>
          <w:color w:val="auto"/>
          <w:sz w:val="32"/>
          <w:highlight w:val="none"/>
        </w:rPr>
        <w:t>（十）项目整体实施</w:t>
      </w:r>
      <w:r>
        <w:rPr>
          <w:rFonts w:hint="eastAsia" w:ascii="宋体" w:hAnsi="宋体" w:eastAsia="宋体" w:cs="宋体"/>
          <w:b/>
          <w:color w:val="auto"/>
          <w:sz w:val="30"/>
          <w:highlight w:val="none"/>
        </w:rPr>
        <w:t>方案</w:t>
      </w:r>
    </w:p>
    <w:p>
      <w:pPr>
        <w:spacing w:before="9"/>
        <w:rPr>
          <w:rFonts w:hint="eastAsia" w:ascii="宋体" w:hAnsi="宋体" w:eastAsia="宋体" w:cs="宋体"/>
          <w:b/>
          <w:color w:val="auto"/>
          <w:sz w:val="28"/>
          <w:highlight w:val="none"/>
        </w:rPr>
      </w:pPr>
    </w:p>
    <w:p>
      <w:pPr>
        <w:pStyle w:val="6"/>
        <w:ind w:left="298" w:right="698"/>
        <w:jc w:val="center"/>
        <w:rPr>
          <w:rFonts w:hint="eastAsia" w:ascii="宋体" w:hAnsi="宋体" w:eastAsia="宋体" w:cs="宋体"/>
          <w:color w:val="auto"/>
          <w:highlight w:val="none"/>
        </w:rPr>
      </w:pPr>
      <w:r>
        <w:rPr>
          <w:rFonts w:hint="eastAsia" w:ascii="宋体" w:hAnsi="宋体" w:eastAsia="宋体" w:cs="宋体"/>
          <w:color w:val="auto"/>
          <w:highlight w:val="none"/>
        </w:rPr>
        <w:t>（根据需要编写，格式自制）</w:t>
      </w:r>
    </w:p>
    <w:p>
      <w:pPr>
        <w:rPr>
          <w:rFonts w:hint="eastAsia" w:ascii="宋体" w:hAnsi="宋体" w:eastAsia="宋体" w:cs="宋体"/>
          <w:b/>
          <w:color w:val="auto"/>
          <w:sz w:val="20"/>
          <w:highlight w:val="none"/>
        </w:rPr>
      </w:pPr>
    </w:p>
    <w:p>
      <w:pPr>
        <w:rPr>
          <w:rFonts w:hint="eastAsia" w:ascii="宋体" w:hAnsi="宋体" w:eastAsia="宋体" w:cs="宋体"/>
          <w:b/>
          <w:color w:val="auto"/>
          <w:sz w:val="20"/>
          <w:highlight w:val="none"/>
        </w:rPr>
      </w:pPr>
    </w:p>
    <w:p>
      <w:pPr>
        <w:spacing w:before="10"/>
        <w:rPr>
          <w:rFonts w:hint="eastAsia" w:ascii="宋体" w:hAnsi="宋体" w:eastAsia="宋体" w:cs="宋体"/>
          <w:b/>
          <w:color w:val="auto"/>
          <w:sz w:val="15"/>
          <w:highlight w:val="none"/>
        </w:rPr>
      </w:pP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1.对招标项目的需求分析和总体思路；</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.工作量及计划安排；</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.质量保证措施、进度保证措施等；</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val="zh-CN" w:eastAsia="zh-CN" w:bidi="zh-CN"/>
        </w:rPr>
        <w:t>. 针对本项目的特点，提供完善和可操作性的项目售后技术服务工作保障，承诺后续服务的安排及服务保证措施；</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val="zh-CN" w:eastAsia="zh-CN" w:bidi="zh-CN"/>
        </w:rPr>
        <w:t>.拟投入的人员及主要人员的简历，可附表说明；</w:t>
      </w:r>
    </w:p>
    <w:p>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val="zh-CN" w:eastAsia="zh-CN" w:bidi="zh-CN"/>
        </w:rPr>
        <w:t>.其他建议。</w:t>
      </w:r>
    </w:p>
    <w:p>
      <w:pPr>
        <w:rPr>
          <w:rFonts w:hint="eastAsia" w:ascii="宋体" w:hAnsi="宋体" w:eastAsia="宋体" w:cs="宋体"/>
          <w:color w:val="auto"/>
          <w:highlight w:val="none"/>
        </w:rPr>
      </w:pPr>
    </w:p>
    <w:p>
      <w:pPr>
        <w:spacing w:before="10"/>
        <w:rPr>
          <w:rFonts w:hint="eastAsia" w:ascii="宋体" w:hAnsi="宋体" w:eastAsia="宋体" w:cs="宋体"/>
          <w:color w:val="auto"/>
          <w:sz w:val="34"/>
          <w:highlight w:val="none"/>
        </w:rPr>
      </w:pPr>
    </w:p>
    <w:p>
      <w:pPr>
        <w:pStyle w:val="11"/>
        <w:ind w:left="701" w:firstLine="0"/>
        <w:rPr>
          <w:rFonts w:hint="eastAsia" w:ascii="宋体" w:hAnsi="宋体" w:eastAsia="宋体" w:cs="宋体"/>
          <w:color w:val="auto"/>
          <w:highlight w:val="none"/>
        </w:rPr>
      </w:pPr>
      <w:r>
        <w:rPr>
          <w:rFonts w:hint="eastAsia" w:ascii="宋体" w:hAnsi="宋体" w:eastAsia="宋体" w:cs="宋体"/>
          <w:color w:val="auto"/>
          <w:highlight w:val="none"/>
        </w:rPr>
        <w:t>上述内容仅供参考，如有不足，请自行补充提供。</w:t>
      </w:r>
    </w:p>
    <w:p>
      <w:pPr>
        <w:spacing w:after="0"/>
        <w:rPr>
          <w:rFonts w:hint="eastAsia" w:ascii="宋体" w:hAnsi="宋体" w:eastAsia="宋体" w:cs="宋体"/>
          <w:color w:val="auto"/>
          <w:highlight w:val="none"/>
        </w:rPr>
        <w:sectPr>
          <w:pgSz w:w="11910" w:h="16840"/>
          <w:pgMar w:top="1134" w:right="1134" w:bottom="1134" w:left="1134" w:header="0" w:footer="998" w:gutter="0"/>
          <w:cols w:space="0" w:num="1"/>
          <w:rtlGutter w:val="0"/>
          <w:docGrid w:linePitch="0" w:charSpace="0"/>
        </w:sectPr>
      </w:pPr>
    </w:p>
    <w:p>
      <w:pPr>
        <w:tabs>
          <w:tab w:val="left" w:pos="1279"/>
        </w:tabs>
        <w:spacing w:before="39"/>
        <w:ind w:left="0" w:right="402" w:firstLine="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附表</w:t>
      </w:r>
      <w:r>
        <w:rPr>
          <w:rFonts w:hint="eastAsia" w:ascii="宋体" w:hAnsi="宋体" w:eastAsia="宋体" w:cs="宋体"/>
          <w:b/>
          <w:color w:val="auto"/>
          <w:spacing w:val="-76"/>
          <w:sz w:val="30"/>
          <w:highlight w:val="none"/>
        </w:rPr>
        <w:t xml:space="preserve"> </w:t>
      </w:r>
      <w:r>
        <w:rPr>
          <w:rFonts w:hint="eastAsia" w:ascii="宋体" w:hAnsi="宋体" w:eastAsia="宋体" w:cs="宋体"/>
          <w:b/>
          <w:color w:val="auto"/>
          <w:sz w:val="30"/>
          <w:highlight w:val="none"/>
        </w:rPr>
        <w:t>1</w:t>
      </w:r>
      <w:r>
        <w:rPr>
          <w:rFonts w:hint="eastAsia" w:ascii="宋体" w:hAnsi="宋体" w:eastAsia="宋体" w:cs="宋体"/>
          <w:b/>
          <w:color w:val="auto"/>
          <w:sz w:val="30"/>
          <w:highlight w:val="none"/>
        </w:rPr>
        <w:tab/>
      </w:r>
      <w:r>
        <w:rPr>
          <w:rFonts w:hint="eastAsia" w:ascii="宋体" w:hAnsi="宋体" w:eastAsia="宋体" w:cs="宋体"/>
          <w:b/>
          <w:color w:val="auto"/>
          <w:sz w:val="30"/>
          <w:highlight w:val="none"/>
        </w:rPr>
        <w:t>拟投入本项目主要人员汇总表</w:t>
      </w:r>
    </w:p>
    <w:p>
      <w:pPr>
        <w:spacing w:before="4"/>
        <w:rPr>
          <w:rFonts w:hint="eastAsia" w:ascii="宋体" w:hAnsi="宋体" w:eastAsia="宋体" w:cs="宋体"/>
          <w:b/>
          <w:color w:val="auto"/>
          <w:sz w:val="30"/>
          <w:highlight w:val="none"/>
        </w:rPr>
      </w:pPr>
    </w:p>
    <w:p>
      <w:pPr>
        <w:ind w:left="86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投标人名称（电子签章）：</w:t>
      </w:r>
      <w:r>
        <w:rPr>
          <w:rFonts w:hint="eastAsia" w:ascii="宋体" w:hAnsi="宋体" w:eastAsia="宋体" w:cs="宋体"/>
          <w:color w:val="auto"/>
          <w:highlight w:val="none"/>
          <w:u w:val="single"/>
          <w:lang w:val="en-US" w:eastAsia="zh-CN"/>
        </w:rPr>
        <w:t xml:space="preserve">                         </w:t>
      </w:r>
    </w:p>
    <w:p>
      <w:pPr>
        <w:spacing w:before="3"/>
        <w:rPr>
          <w:rFonts w:hint="eastAsia" w:ascii="宋体" w:hAnsi="宋体" w:eastAsia="宋体" w:cs="宋体"/>
          <w:color w:val="auto"/>
          <w:sz w:val="12"/>
          <w:highlight w:val="none"/>
        </w:rPr>
      </w:pPr>
    </w:p>
    <w:tbl>
      <w:tblPr>
        <w:tblStyle w:val="25"/>
        <w:tblW w:w="8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1440"/>
        <w:gridCol w:w="720"/>
        <w:gridCol w:w="816"/>
        <w:gridCol w:w="984"/>
        <w:gridCol w:w="816"/>
        <w:gridCol w:w="882"/>
        <w:gridCol w:w="2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jc w:val="center"/>
        </w:trPr>
        <w:tc>
          <w:tcPr>
            <w:tcW w:w="807" w:type="dxa"/>
            <w:vAlign w:val="center"/>
          </w:tcPr>
          <w:p>
            <w:pPr>
              <w:pStyle w:val="33"/>
              <w:keepNext w:val="0"/>
              <w:keepLines w:val="0"/>
              <w:suppressLineNumbers w:val="0"/>
              <w:spacing w:beforeAutospacing="0" w:afterAutospacing="0"/>
              <w:ind w:left="10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1440" w:type="dxa"/>
            <w:vAlign w:val="center"/>
          </w:tcPr>
          <w:p>
            <w:pPr>
              <w:pStyle w:val="33"/>
              <w:keepNext w:val="0"/>
              <w:keepLines w:val="0"/>
              <w:suppressLineNumbers w:val="0"/>
              <w:tabs>
                <w:tab w:val="left" w:pos="872"/>
              </w:tabs>
              <w:spacing w:beforeAutospacing="0" w:afterAutospacing="0"/>
              <w:ind w:left="34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姓</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名</w:t>
            </w:r>
          </w:p>
        </w:tc>
        <w:tc>
          <w:tcPr>
            <w:tcW w:w="720" w:type="dxa"/>
            <w:vAlign w:val="center"/>
          </w:tcPr>
          <w:p>
            <w:pPr>
              <w:pStyle w:val="33"/>
              <w:keepNext w:val="0"/>
              <w:keepLines w:val="0"/>
              <w:suppressLineNumbers w:val="0"/>
              <w:spacing w:beforeAutospacing="0" w:afterAutospacing="0"/>
              <w:ind w:left="10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年龄</w:t>
            </w:r>
          </w:p>
        </w:tc>
        <w:tc>
          <w:tcPr>
            <w:tcW w:w="816" w:type="dxa"/>
            <w:vAlign w:val="center"/>
          </w:tcPr>
          <w:p>
            <w:pPr>
              <w:pStyle w:val="33"/>
              <w:keepNext w:val="0"/>
              <w:keepLines w:val="0"/>
              <w:suppressLineNumbers w:val="0"/>
              <w:spacing w:beforeAutospacing="0" w:afterAutospacing="0"/>
              <w:ind w:left="10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性别</w:t>
            </w:r>
          </w:p>
        </w:tc>
        <w:tc>
          <w:tcPr>
            <w:tcW w:w="984" w:type="dxa"/>
            <w:vAlign w:val="center"/>
          </w:tcPr>
          <w:p>
            <w:pPr>
              <w:pStyle w:val="33"/>
              <w:keepNext w:val="0"/>
              <w:keepLines w:val="0"/>
              <w:suppressLineNumbers w:val="0"/>
              <w:spacing w:beforeAutospacing="0" w:afterAutospacing="0"/>
              <w:ind w:left="10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学 历</w:t>
            </w:r>
          </w:p>
        </w:tc>
        <w:tc>
          <w:tcPr>
            <w:tcW w:w="816" w:type="dxa"/>
            <w:vAlign w:val="center"/>
          </w:tcPr>
          <w:p>
            <w:pPr>
              <w:pStyle w:val="33"/>
              <w:keepNext w:val="0"/>
              <w:keepLines w:val="0"/>
              <w:suppressLineNumbers w:val="0"/>
              <w:spacing w:beforeAutospacing="0" w:afterAutospacing="0"/>
              <w:ind w:left="10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专业</w:t>
            </w:r>
          </w:p>
        </w:tc>
        <w:tc>
          <w:tcPr>
            <w:tcW w:w="882" w:type="dxa"/>
            <w:vAlign w:val="center"/>
          </w:tcPr>
          <w:p>
            <w:pPr>
              <w:pStyle w:val="33"/>
              <w:keepNext w:val="0"/>
              <w:keepLines w:val="0"/>
              <w:suppressLineNumbers w:val="0"/>
              <w:spacing w:beforeAutospacing="0" w:afterAutospacing="0"/>
              <w:ind w:left="10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职称</w:t>
            </w:r>
          </w:p>
        </w:tc>
        <w:tc>
          <w:tcPr>
            <w:tcW w:w="2275" w:type="dxa"/>
            <w:vAlign w:val="center"/>
          </w:tcPr>
          <w:p>
            <w:pPr>
              <w:pStyle w:val="33"/>
              <w:keepNext w:val="0"/>
              <w:keepLines w:val="0"/>
              <w:suppressLineNumbers w:val="0"/>
              <w:spacing w:beforeAutospacing="0" w:afterAutospacing="0"/>
              <w:ind w:left="10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在本项目拟任职务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807"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07"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jc w:val="center"/>
        </w:trPr>
        <w:tc>
          <w:tcPr>
            <w:tcW w:w="807"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jc w:val="center"/>
        </w:trPr>
        <w:tc>
          <w:tcPr>
            <w:tcW w:w="807"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jc w:val="center"/>
        </w:trPr>
        <w:tc>
          <w:tcPr>
            <w:tcW w:w="807"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3" w:hRule="atLeast"/>
          <w:jc w:val="center"/>
        </w:trPr>
        <w:tc>
          <w:tcPr>
            <w:tcW w:w="807"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jc w:val="center"/>
        </w:trPr>
        <w:tc>
          <w:tcPr>
            <w:tcW w:w="807"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3" w:hRule="atLeast"/>
          <w:jc w:val="center"/>
        </w:trPr>
        <w:tc>
          <w:tcPr>
            <w:tcW w:w="807"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jc w:val="center"/>
        </w:trPr>
        <w:tc>
          <w:tcPr>
            <w:tcW w:w="807"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144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72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84"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16"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882"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7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bl>
    <w:p>
      <w:pPr>
        <w:spacing w:before="12"/>
        <w:rPr>
          <w:rFonts w:hint="eastAsia" w:ascii="宋体" w:hAnsi="宋体" w:eastAsia="宋体" w:cs="宋体"/>
          <w:color w:val="auto"/>
          <w:sz w:val="35"/>
          <w:highlight w:val="none"/>
        </w:rPr>
      </w:pPr>
    </w:p>
    <w:p>
      <w:pPr>
        <w:spacing w:before="0"/>
        <w:ind w:left="651"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注：我单位承诺以上填报内容真实。如不真实，将按照有关规定接受处理。</w:t>
      </w:r>
    </w:p>
    <w:p>
      <w:pPr>
        <w:spacing w:before="91" w:line="321" w:lineRule="auto"/>
        <w:ind w:left="231" w:right="633"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特别要求：拟投入本项目的工作人员须满足本项目的工作要求，在合同履行过程中，中标人须根据本项目的实际需求或采购人的进度要求，对人员进行合理的增加，费用均包含在内。</w:t>
      </w:r>
    </w:p>
    <w:p>
      <w:pPr>
        <w:spacing w:after="0" w:line="321" w:lineRule="auto"/>
        <w:jc w:val="left"/>
        <w:rPr>
          <w:rFonts w:hint="eastAsia" w:ascii="宋体" w:hAnsi="宋体" w:eastAsia="宋体" w:cs="宋体"/>
          <w:color w:val="auto"/>
          <w:sz w:val="21"/>
          <w:highlight w:val="none"/>
        </w:rPr>
        <w:sectPr>
          <w:pgSz w:w="11910" w:h="16840"/>
          <w:pgMar w:top="1134" w:right="1134" w:bottom="1134" w:left="1134" w:header="0" w:footer="998" w:gutter="0"/>
          <w:cols w:space="0" w:num="1"/>
          <w:rtlGutter w:val="0"/>
          <w:docGrid w:linePitch="0" w:charSpace="0"/>
        </w:sectPr>
      </w:pPr>
    </w:p>
    <w:p>
      <w:pPr>
        <w:tabs>
          <w:tab w:val="left" w:pos="1579"/>
        </w:tabs>
        <w:spacing w:before="58"/>
        <w:ind w:left="0" w:right="402" w:firstLine="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附表</w:t>
      </w:r>
      <w:r>
        <w:rPr>
          <w:rFonts w:hint="eastAsia" w:ascii="宋体" w:hAnsi="宋体" w:eastAsia="宋体" w:cs="宋体"/>
          <w:b/>
          <w:color w:val="auto"/>
          <w:spacing w:val="-76"/>
          <w:sz w:val="30"/>
          <w:highlight w:val="none"/>
        </w:rPr>
        <w:t xml:space="preserve"> </w:t>
      </w:r>
      <w:r>
        <w:rPr>
          <w:rFonts w:hint="eastAsia" w:ascii="宋体" w:hAnsi="宋体" w:eastAsia="宋体" w:cs="宋体"/>
          <w:b/>
          <w:color w:val="auto"/>
          <w:sz w:val="30"/>
          <w:highlight w:val="none"/>
        </w:rPr>
        <w:t>2</w:t>
      </w:r>
      <w:r>
        <w:rPr>
          <w:rFonts w:hint="eastAsia" w:ascii="宋体" w:hAnsi="宋体" w:eastAsia="宋体" w:cs="宋体"/>
          <w:b/>
          <w:color w:val="auto"/>
          <w:sz w:val="30"/>
          <w:highlight w:val="none"/>
        </w:rPr>
        <w:tab/>
      </w:r>
      <w:r>
        <w:rPr>
          <w:rFonts w:hint="eastAsia" w:ascii="宋体" w:hAnsi="宋体" w:eastAsia="宋体" w:cs="宋体"/>
          <w:b/>
          <w:color w:val="auto"/>
          <w:sz w:val="30"/>
          <w:highlight w:val="none"/>
        </w:rPr>
        <w:t>拟投入本项目的主要人员简历表</w:t>
      </w:r>
    </w:p>
    <w:p>
      <w:pPr>
        <w:rPr>
          <w:rFonts w:hint="eastAsia" w:ascii="宋体" w:hAnsi="宋体" w:eastAsia="宋体" w:cs="宋体"/>
          <w:b/>
          <w:color w:val="auto"/>
          <w:sz w:val="20"/>
          <w:highlight w:val="none"/>
        </w:rPr>
      </w:pPr>
    </w:p>
    <w:p>
      <w:pPr>
        <w:spacing w:before="8" w:after="1"/>
        <w:rPr>
          <w:rFonts w:hint="eastAsia" w:ascii="宋体" w:hAnsi="宋体" w:eastAsia="宋体" w:cs="宋体"/>
          <w:b/>
          <w:color w:val="auto"/>
          <w:sz w:val="11"/>
          <w:highlight w:val="none"/>
        </w:rPr>
      </w:pPr>
    </w:p>
    <w:tbl>
      <w:tblPr>
        <w:tblStyle w:val="25"/>
        <w:tblW w:w="8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6"/>
        <w:gridCol w:w="550"/>
        <w:gridCol w:w="1065"/>
        <w:gridCol w:w="615"/>
        <w:gridCol w:w="330"/>
        <w:gridCol w:w="945"/>
        <w:gridCol w:w="938"/>
        <w:gridCol w:w="258"/>
        <w:gridCol w:w="2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1" w:hRule="atLeast"/>
          <w:jc w:val="center"/>
        </w:trPr>
        <w:tc>
          <w:tcPr>
            <w:tcW w:w="1576" w:type="dxa"/>
          </w:tcPr>
          <w:p>
            <w:pPr>
              <w:pStyle w:val="33"/>
              <w:keepNext w:val="0"/>
              <w:keepLines w:val="0"/>
              <w:suppressLineNumbers w:val="0"/>
              <w:spacing w:beforeAutospacing="0" w:afterAutospacing="0"/>
              <w:rPr>
                <w:rFonts w:hint="eastAsia" w:ascii="宋体" w:hAnsi="宋体" w:eastAsia="宋体" w:cs="宋体"/>
                <w:b/>
                <w:color w:val="auto"/>
                <w:sz w:val="16"/>
                <w:highlight w:val="none"/>
              </w:rPr>
            </w:pPr>
          </w:p>
          <w:p>
            <w:pPr>
              <w:pStyle w:val="33"/>
              <w:keepNext w:val="0"/>
              <w:keepLines w:val="0"/>
              <w:suppressLineNumbers w:val="0"/>
              <w:tabs>
                <w:tab w:val="left" w:pos="794"/>
              </w:tabs>
              <w:spacing w:beforeAutospacing="0" w:afterAutospacing="0"/>
              <w:ind w:left="374"/>
              <w:rPr>
                <w:rFonts w:hint="eastAsia" w:ascii="宋体" w:hAnsi="宋体" w:eastAsia="宋体" w:cs="宋体"/>
                <w:color w:val="auto"/>
                <w:sz w:val="21"/>
                <w:highlight w:val="none"/>
              </w:rPr>
            </w:pPr>
            <w:r>
              <w:rPr>
                <w:rFonts w:hint="eastAsia" w:ascii="宋体" w:hAnsi="宋体" w:eastAsia="宋体" w:cs="宋体"/>
                <w:color w:val="auto"/>
                <w:sz w:val="21"/>
                <w:highlight w:val="none"/>
              </w:rPr>
              <w:t>姓</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名</w:t>
            </w:r>
          </w:p>
        </w:tc>
        <w:tc>
          <w:tcPr>
            <w:tcW w:w="1615" w:type="dxa"/>
            <w:gridSpan w:val="2"/>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45" w:type="dxa"/>
            <w:gridSpan w:val="2"/>
          </w:tcPr>
          <w:p>
            <w:pPr>
              <w:pStyle w:val="33"/>
              <w:keepNext w:val="0"/>
              <w:keepLines w:val="0"/>
              <w:suppressLineNumbers w:val="0"/>
              <w:spacing w:beforeAutospacing="0" w:afterAutospacing="0"/>
              <w:rPr>
                <w:rFonts w:hint="eastAsia" w:ascii="宋体" w:hAnsi="宋体" w:eastAsia="宋体" w:cs="宋体"/>
                <w:b/>
                <w:color w:val="auto"/>
                <w:sz w:val="16"/>
                <w:highlight w:val="none"/>
              </w:rPr>
            </w:pPr>
          </w:p>
          <w:p>
            <w:pPr>
              <w:pStyle w:val="33"/>
              <w:keepNext w:val="0"/>
              <w:keepLines w:val="0"/>
              <w:suppressLineNumbers w:val="0"/>
              <w:spacing w:beforeAutospacing="0" w:afterAutospacing="0"/>
              <w:ind w:left="106"/>
              <w:rPr>
                <w:rFonts w:hint="eastAsia" w:ascii="宋体" w:hAnsi="宋体" w:eastAsia="宋体" w:cs="宋体"/>
                <w:color w:val="auto"/>
                <w:sz w:val="21"/>
                <w:highlight w:val="none"/>
              </w:rPr>
            </w:pPr>
            <w:r>
              <w:rPr>
                <w:rFonts w:hint="eastAsia" w:ascii="宋体" w:hAnsi="宋体" w:eastAsia="宋体" w:cs="宋体"/>
                <w:color w:val="auto"/>
                <w:sz w:val="21"/>
                <w:highlight w:val="none"/>
              </w:rPr>
              <w:t>性 别</w:t>
            </w:r>
          </w:p>
        </w:tc>
        <w:tc>
          <w:tcPr>
            <w:tcW w:w="945"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38" w:type="dxa"/>
          </w:tcPr>
          <w:p>
            <w:pPr>
              <w:pStyle w:val="33"/>
              <w:keepNext w:val="0"/>
              <w:keepLines w:val="0"/>
              <w:suppressLineNumbers w:val="0"/>
              <w:tabs>
                <w:tab w:val="left" w:pos="626"/>
              </w:tabs>
              <w:spacing w:before="1" w:beforeAutospacing="0" w:afterAutospacing="0"/>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出</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生</w:t>
            </w:r>
          </w:p>
          <w:p>
            <w:pPr>
              <w:pStyle w:val="33"/>
              <w:keepNext w:val="0"/>
              <w:keepLines w:val="0"/>
              <w:suppressLineNumbers w:val="0"/>
              <w:tabs>
                <w:tab w:val="left" w:pos="527"/>
              </w:tabs>
              <w:spacing w:before="139" w:beforeAutospacing="0" w:afterAutospacing="0"/>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日</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期</w:t>
            </w:r>
          </w:p>
        </w:tc>
        <w:tc>
          <w:tcPr>
            <w:tcW w:w="2618" w:type="dxa"/>
            <w:gridSpan w:val="2"/>
          </w:tcPr>
          <w:p>
            <w:pPr>
              <w:pStyle w:val="33"/>
              <w:keepNext w:val="0"/>
              <w:keepLines w:val="0"/>
              <w:suppressLineNumbers w:val="0"/>
              <w:spacing w:beforeAutospacing="0" w:afterAutospacing="0"/>
              <w:rPr>
                <w:rFonts w:hint="eastAsia" w:ascii="宋体" w:hAnsi="宋体" w:eastAsia="宋体" w:cs="宋体"/>
                <w:b/>
                <w:color w:val="auto"/>
                <w:sz w:val="16"/>
                <w:highlight w:val="none"/>
              </w:rPr>
            </w:pPr>
          </w:p>
          <w:p>
            <w:pPr>
              <w:pStyle w:val="33"/>
              <w:keepNext w:val="0"/>
              <w:keepLines w:val="0"/>
              <w:suppressLineNumbers w:val="0"/>
              <w:tabs>
                <w:tab w:val="left" w:pos="1375"/>
                <w:tab w:val="left" w:pos="1898"/>
              </w:tabs>
              <w:spacing w:beforeAutospacing="0" w:afterAutospacing="0"/>
              <w:ind w:left="744"/>
              <w:rPr>
                <w:rFonts w:hint="eastAsia" w:ascii="宋体" w:hAnsi="宋体" w:eastAsia="宋体" w:cs="宋体"/>
                <w:color w:val="auto"/>
                <w:sz w:val="21"/>
                <w:highlight w:val="none"/>
              </w:rPr>
            </w:pPr>
            <w:r>
              <w:rPr>
                <w:rFonts w:hint="eastAsia" w:ascii="宋体" w:hAnsi="宋体" w:eastAsia="宋体" w:cs="宋体"/>
                <w:color w:val="auto"/>
                <w:sz w:val="21"/>
                <w:highlight w:val="none"/>
              </w:rPr>
              <w:t>年</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月</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2126" w:type="dxa"/>
            <w:gridSpan w:val="2"/>
          </w:tcPr>
          <w:p>
            <w:pPr>
              <w:pStyle w:val="33"/>
              <w:keepNext w:val="0"/>
              <w:keepLines w:val="0"/>
              <w:suppressLineNumbers w:val="0"/>
              <w:spacing w:before="96" w:beforeAutospacing="0" w:afterAutospacing="0"/>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毕业院校及专业</w:t>
            </w:r>
          </w:p>
        </w:tc>
        <w:tc>
          <w:tcPr>
            <w:tcW w:w="2955" w:type="dxa"/>
            <w:gridSpan w:val="4"/>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938" w:type="dxa"/>
          </w:tcPr>
          <w:p>
            <w:pPr>
              <w:pStyle w:val="33"/>
              <w:keepNext w:val="0"/>
              <w:keepLines w:val="0"/>
              <w:suppressLineNumbers w:val="0"/>
              <w:spacing w:before="96" w:beforeAutospacing="0" w:afterAutospacing="0"/>
              <w:ind w:left="88"/>
              <w:rPr>
                <w:rFonts w:hint="eastAsia" w:ascii="宋体" w:hAnsi="宋体" w:eastAsia="宋体" w:cs="宋体"/>
                <w:color w:val="auto"/>
                <w:sz w:val="21"/>
                <w:highlight w:val="none"/>
              </w:rPr>
            </w:pPr>
            <w:r>
              <w:rPr>
                <w:rFonts w:hint="eastAsia" w:ascii="宋体" w:hAnsi="宋体" w:eastAsia="宋体" w:cs="宋体"/>
                <w:color w:val="auto"/>
                <w:sz w:val="21"/>
                <w:highlight w:val="none"/>
              </w:rPr>
              <w:t>毕业时间</w:t>
            </w:r>
          </w:p>
        </w:tc>
        <w:tc>
          <w:tcPr>
            <w:tcW w:w="2618" w:type="dxa"/>
            <w:gridSpan w:val="2"/>
          </w:tcPr>
          <w:p>
            <w:pPr>
              <w:pStyle w:val="33"/>
              <w:keepNext w:val="0"/>
              <w:keepLines w:val="0"/>
              <w:suppressLineNumbers w:val="0"/>
              <w:tabs>
                <w:tab w:val="left" w:pos="1411"/>
                <w:tab w:val="left" w:pos="1936"/>
              </w:tabs>
              <w:spacing w:before="96" w:beforeAutospacing="0" w:afterAutospacing="0"/>
              <w:ind w:left="782"/>
              <w:rPr>
                <w:rFonts w:hint="eastAsia" w:ascii="宋体" w:hAnsi="宋体" w:eastAsia="宋体" w:cs="宋体"/>
                <w:color w:val="auto"/>
                <w:sz w:val="21"/>
                <w:highlight w:val="none"/>
              </w:rPr>
            </w:pPr>
            <w:r>
              <w:rPr>
                <w:rFonts w:hint="eastAsia" w:ascii="宋体" w:hAnsi="宋体" w:eastAsia="宋体" w:cs="宋体"/>
                <w:color w:val="auto"/>
                <w:sz w:val="21"/>
                <w:highlight w:val="none"/>
              </w:rPr>
              <w:t>年</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月</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126" w:type="dxa"/>
            <w:gridSpan w:val="2"/>
          </w:tcPr>
          <w:p>
            <w:pPr>
              <w:pStyle w:val="33"/>
              <w:keepNext w:val="0"/>
              <w:keepLines w:val="0"/>
              <w:suppressLineNumbers w:val="0"/>
              <w:spacing w:before="126" w:beforeAutospacing="0" w:afterAutospacing="0"/>
              <w:ind w:left="328"/>
              <w:rPr>
                <w:rFonts w:hint="eastAsia" w:ascii="宋体" w:hAnsi="宋体" w:eastAsia="宋体" w:cs="宋体"/>
                <w:color w:val="auto"/>
                <w:sz w:val="21"/>
                <w:highlight w:val="none"/>
              </w:rPr>
            </w:pPr>
            <w:r>
              <w:rPr>
                <w:rFonts w:hint="eastAsia" w:ascii="宋体" w:hAnsi="宋体" w:eastAsia="宋体" w:cs="宋体"/>
                <w:color w:val="auto"/>
                <w:sz w:val="21"/>
                <w:highlight w:val="none"/>
              </w:rPr>
              <w:t>从事本专业时间</w:t>
            </w:r>
          </w:p>
        </w:tc>
        <w:tc>
          <w:tcPr>
            <w:tcW w:w="1680" w:type="dxa"/>
            <w:gridSpan w:val="2"/>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13" w:type="dxa"/>
            <w:gridSpan w:val="3"/>
          </w:tcPr>
          <w:p>
            <w:pPr>
              <w:pStyle w:val="33"/>
              <w:keepNext w:val="0"/>
              <w:keepLines w:val="0"/>
              <w:suppressLineNumbers w:val="0"/>
              <w:spacing w:before="126" w:beforeAutospacing="0" w:afterAutospacing="0"/>
              <w:ind w:left="261"/>
              <w:rPr>
                <w:rFonts w:hint="eastAsia" w:ascii="宋体" w:hAnsi="宋体" w:eastAsia="宋体" w:cs="宋体"/>
                <w:color w:val="auto"/>
                <w:sz w:val="21"/>
                <w:highlight w:val="none"/>
              </w:rPr>
            </w:pPr>
            <w:r>
              <w:rPr>
                <w:rFonts w:hint="eastAsia" w:ascii="宋体" w:hAnsi="宋体" w:eastAsia="宋体" w:cs="宋体"/>
                <w:color w:val="auto"/>
                <w:sz w:val="21"/>
                <w:highlight w:val="none"/>
              </w:rPr>
              <w:t>为申请人服务时间</w:t>
            </w:r>
          </w:p>
        </w:tc>
        <w:tc>
          <w:tcPr>
            <w:tcW w:w="2618" w:type="dxa"/>
            <w:gridSpan w:val="2"/>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2126" w:type="dxa"/>
            <w:gridSpan w:val="2"/>
          </w:tcPr>
          <w:p>
            <w:pPr>
              <w:pStyle w:val="33"/>
              <w:keepNext w:val="0"/>
              <w:keepLines w:val="0"/>
              <w:suppressLineNumbers w:val="0"/>
              <w:spacing w:before="95" w:beforeAutospacing="0" w:afterAutospacing="0"/>
              <w:ind w:left="484"/>
              <w:rPr>
                <w:rFonts w:hint="eastAsia" w:ascii="宋体" w:hAnsi="宋体" w:eastAsia="宋体" w:cs="宋体"/>
                <w:color w:val="auto"/>
                <w:sz w:val="21"/>
                <w:highlight w:val="none"/>
              </w:rPr>
            </w:pPr>
            <w:r>
              <w:rPr>
                <w:rFonts w:hint="eastAsia" w:ascii="宋体" w:hAnsi="宋体" w:eastAsia="宋体" w:cs="宋体"/>
                <w:color w:val="auto"/>
                <w:sz w:val="21"/>
                <w:highlight w:val="none"/>
              </w:rPr>
              <w:t>执 业 注 册</w:t>
            </w:r>
          </w:p>
        </w:tc>
        <w:tc>
          <w:tcPr>
            <w:tcW w:w="1680" w:type="dxa"/>
            <w:gridSpan w:val="2"/>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213" w:type="dxa"/>
            <w:gridSpan w:val="3"/>
          </w:tcPr>
          <w:p>
            <w:pPr>
              <w:pStyle w:val="33"/>
              <w:keepNext w:val="0"/>
              <w:keepLines w:val="0"/>
              <w:suppressLineNumbers w:val="0"/>
              <w:tabs>
                <w:tab w:val="left" w:pos="1469"/>
              </w:tabs>
              <w:spacing w:before="95" w:beforeAutospacing="0" w:afterAutospacing="0"/>
              <w:ind w:left="523"/>
              <w:rPr>
                <w:rFonts w:hint="eastAsia" w:ascii="宋体" w:hAnsi="宋体" w:eastAsia="宋体" w:cs="宋体"/>
                <w:color w:val="auto"/>
                <w:sz w:val="21"/>
                <w:highlight w:val="none"/>
              </w:rPr>
            </w:pPr>
            <w:r>
              <w:rPr>
                <w:rFonts w:hint="eastAsia" w:ascii="宋体" w:hAnsi="宋体" w:eastAsia="宋体" w:cs="宋体"/>
                <w:color w:val="auto"/>
                <w:sz w:val="21"/>
                <w:highlight w:val="none"/>
              </w:rPr>
              <w:t>职</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称</w:t>
            </w:r>
          </w:p>
        </w:tc>
        <w:tc>
          <w:tcPr>
            <w:tcW w:w="2618" w:type="dxa"/>
            <w:gridSpan w:val="2"/>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8637" w:type="dxa"/>
            <w:gridSpan w:val="9"/>
          </w:tcPr>
          <w:p>
            <w:pPr>
              <w:pStyle w:val="33"/>
              <w:keepNext w:val="0"/>
              <w:keepLines w:val="0"/>
              <w:suppressLineNumbers w:val="0"/>
              <w:tabs>
                <w:tab w:val="left" w:pos="428"/>
                <w:tab w:val="left" w:pos="848"/>
                <w:tab w:val="left" w:pos="1268"/>
              </w:tabs>
              <w:spacing w:before="97" w:beforeAutospacing="0" w:afterAutospacing="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主</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要</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经</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2126" w:type="dxa"/>
            <w:gridSpan w:val="2"/>
          </w:tcPr>
          <w:p>
            <w:pPr>
              <w:pStyle w:val="33"/>
              <w:keepNext w:val="0"/>
              <w:keepLines w:val="0"/>
              <w:suppressLineNumbers w:val="0"/>
              <w:tabs>
                <w:tab w:val="left" w:pos="1219"/>
              </w:tabs>
              <w:spacing w:before="142" w:beforeAutospacing="0" w:afterAutospacing="0"/>
              <w:ind w:left="693"/>
              <w:rPr>
                <w:rFonts w:hint="eastAsia" w:ascii="宋体" w:hAnsi="宋体" w:eastAsia="宋体" w:cs="宋体"/>
                <w:color w:val="auto"/>
                <w:sz w:val="21"/>
                <w:highlight w:val="none"/>
              </w:rPr>
            </w:pPr>
            <w:r>
              <w:rPr>
                <w:rFonts w:hint="eastAsia" w:ascii="宋体" w:hAnsi="宋体" w:eastAsia="宋体" w:cs="宋体"/>
                <w:color w:val="auto"/>
                <w:sz w:val="21"/>
                <w:highlight w:val="none"/>
              </w:rPr>
              <w:t>时</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间</w:t>
            </w:r>
          </w:p>
        </w:tc>
        <w:tc>
          <w:tcPr>
            <w:tcW w:w="4151" w:type="dxa"/>
            <w:gridSpan w:val="6"/>
          </w:tcPr>
          <w:p>
            <w:pPr>
              <w:pStyle w:val="33"/>
              <w:keepNext w:val="0"/>
              <w:keepLines w:val="0"/>
              <w:suppressLineNumbers w:val="0"/>
              <w:spacing w:before="142" w:beforeAutospacing="0" w:afterAutospacing="0"/>
              <w:ind w:left="211"/>
              <w:rPr>
                <w:rFonts w:hint="eastAsia" w:ascii="宋体" w:hAnsi="宋体" w:eastAsia="宋体" w:cs="宋体"/>
                <w:color w:val="auto"/>
                <w:sz w:val="21"/>
                <w:highlight w:val="none"/>
              </w:rPr>
            </w:pPr>
            <w:r>
              <w:rPr>
                <w:rFonts w:hint="eastAsia" w:ascii="宋体" w:hAnsi="宋体" w:eastAsia="宋体" w:cs="宋体"/>
                <w:color w:val="auto"/>
                <w:sz w:val="21"/>
                <w:highlight w:val="none"/>
              </w:rPr>
              <w:t>参加过的类似项目名称及主要内容等</w:t>
            </w:r>
          </w:p>
        </w:tc>
        <w:tc>
          <w:tcPr>
            <w:tcW w:w="2360" w:type="dxa"/>
          </w:tcPr>
          <w:p>
            <w:pPr>
              <w:pStyle w:val="33"/>
              <w:keepNext w:val="0"/>
              <w:keepLines w:val="0"/>
              <w:suppressLineNumbers w:val="0"/>
              <w:spacing w:before="142" w:beforeAutospacing="0" w:afterAutospacing="0"/>
              <w:ind w:left="211"/>
              <w:rPr>
                <w:rFonts w:hint="eastAsia" w:ascii="宋体" w:hAnsi="宋体" w:eastAsia="宋体" w:cs="宋体"/>
                <w:color w:val="auto"/>
                <w:sz w:val="21"/>
                <w:highlight w:val="none"/>
              </w:rPr>
            </w:pPr>
            <w:r>
              <w:rPr>
                <w:rFonts w:hint="eastAsia" w:ascii="宋体" w:hAnsi="宋体" w:eastAsia="宋体" w:cs="宋体"/>
                <w:color w:val="auto"/>
                <w:sz w:val="21"/>
                <w:highlight w:val="none"/>
              </w:rPr>
              <w:t>该项目中任职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0" w:hRule="atLeast"/>
          <w:jc w:val="center"/>
        </w:trPr>
        <w:tc>
          <w:tcPr>
            <w:tcW w:w="2126" w:type="dxa"/>
            <w:gridSpan w:val="2"/>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4151" w:type="dxa"/>
            <w:gridSpan w:val="6"/>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c>
          <w:tcPr>
            <w:tcW w:w="2360" w:type="dxa"/>
          </w:tcPr>
          <w:p>
            <w:pPr>
              <w:pStyle w:val="33"/>
              <w:keepNext w:val="0"/>
              <w:keepLines w:val="0"/>
              <w:suppressLineNumbers w:val="0"/>
              <w:spacing w:beforeAutospacing="0" w:afterAutospacing="0"/>
              <w:rPr>
                <w:rFonts w:hint="eastAsia" w:ascii="宋体" w:hAnsi="宋体" w:eastAsia="宋体" w:cs="宋体"/>
                <w:color w:val="auto"/>
                <w:sz w:val="20"/>
                <w:highlight w:val="none"/>
              </w:rPr>
            </w:pPr>
          </w:p>
        </w:tc>
      </w:tr>
    </w:tbl>
    <w:p>
      <w:pPr>
        <w:spacing w:before="6"/>
        <w:rPr>
          <w:rFonts w:hint="eastAsia" w:ascii="宋体" w:hAnsi="宋体" w:eastAsia="宋体" w:cs="宋体"/>
          <w:b/>
          <w:color w:val="auto"/>
          <w:sz w:val="23"/>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652"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我单位承诺以上填报内容真实。如不真实，将按照有关规定接受处理。</w:t>
      </w:r>
    </w:p>
    <w:p>
      <w:pPr>
        <w:keepNext w:val="0"/>
        <w:keepLines w:val="0"/>
        <w:pageBreakBefore w:val="0"/>
        <w:widowControl w:val="0"/>
        <w:kinsoku/>
        <w:wordWrap/>
        <w:overflowPunct/>
        <w:topLinePunct w:val="0"/>
        <w:autoSpaceDE w:val="0"/>
        <w:autoSpaceDN w:val="0"/>
        <w:bidi w:val="0"/>
        <w:adjustRightInd/>
        <w:snapToGrid/>
        <w:spacing w:before="0" w:line="360" w:lineRule="auto"/>
        <w:ind w:left="652" w:right="402" w:rightChars="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 1、注册类证书（如有）、职称证书（如有）、身份证等相关证件的</w:t>
      </w:r>
      <w:r>
        <w:rPr>
          <w:rFonts w:hint="eastAsia" w:ascii="宋体" w:hAnsi="宋体" w:eastAsia="宋体" w:cs="宋体"/>
          <w:color w:val="auto"/>
          <w:sz w:val="24"/>
          <w:szCs w:val="24"/>
          <w:highlight w:val="none"/>
          <w:lang w:eastAsia="zh-CN"/>
        </w:rPr>
        <w:t>扫描</w:t>
      </w:r>
      <w:r>
        <w:rPr>
          <w:rFonts w:hint="eastAsia" w:ascii="宋体" w:hAnsi="宋体" w:eastAsia="宋体" w:cs="宋体"/>
          <w:color w:val="auto"/>
          <w:sz w:val="24"/>
          <w:szCs w:val="24"/>
          <w:highlight w:val="none"/>
        </w:rPr>
        <w:t>件。2、社保缴纳情况。</w:t>
      </w:r>
    </w:p>
    <w:p>
      <w:pPr>
        <w:keepNext w:val="0"/>
        <w:keepLines w:val="0"/>
        <w:pageBreakBefore w:val="0"/>
        <w:widowControl w:val="0"/>
        <w:kinsoku/>
        <w:wordWrap/>
        <w:overflowPunct/>
        <w:topLinePunct w:val="0"/>
        <w:autoSpaceDE w:val="0"/>
        <w:autoSpaceDN w:val="0"/>
        <w:bidi w:val="0"/>
        <w:adjustRightInd/>
        <w:snapToGrid/>
        <w:spacing w:before="0" w:line="360" w:lineRule="auto"/>
        <w:ind w:left="652" w:right="1502" w:rightChars="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3、类似业绩等证明材料。</w:t>
      </w:r>
    </w:p>
    <w:p>
      <w:pPr>
        <w:spacing w:after="0" w:line="321" w:lineRule="auto"/>
        <w:jc w:val="left"/>
        <w:rPr>
          <w:rFonts w:hint="eastAsia" w:ascii="宋体" w:hAnsi="宋体" w:eastAsia="宋体" w:cs="宋体"/>
          <w:color w:val="auto"/>
          <w:sz w:val="21"/>
          <w:highlight w:val="none"/>
        </w:rPr>
        <w:sectPr>
          <w:pgSz w:w="11910" w:h="16840"/>
          <w:pgMar w:top="1134" w:right="1134" w:bottom="1134" w:left="1134" w:header="0" w:footer="998" w:gutter="0"/>
          <w:cols w:space="0" w:num="1"/>
          <w:rtlGutter w:val="0"/>
          <w:docGrid w:linePitch="0" w:charSpace="0"/>
        </w:sectPr>
      </w:pPr>
    </w:p>
    <w:p>
      <w:pPr>
        <w:pStyle w:val="9"/>
        <w:ind w:left="296"/>
        <w:rPr>
          <w:rFonts w:hint="eastAsia" w:ascii="宋体" w:hAnsi="宋体" w:eastAsia="宋体" w:cs="宋体"/>
          <w:color w:val="auto"/>
          <w:highlight w:val="none"/>
        </w:rPr>
      </w:pPr>
      <w:bookmarkStart w:id="43" w:name="（十二）商务条款偏离表"/>
      <w:bookmarkEnd w:id="43"/>
      <w:r>
        <w:rPr>
          <w:rFonts w:hint="eastAsia" w:ascii="宋体" w:hAnsi="宋体" w:eastAsia="宋体" w:cs="宋体"/>
          <w:color w:val="auto"/>
          <w:highlight w:val="none"/>
        </w:rPr>
        <w:t>（十二）商务条款偏离表</w:t>
      </w:r>
    </w:p>
    <w:p>
      <w:pPr>
        <w:spacing w:before="6"/>
        <w:rPr>
          <w:rFonts w:hint="eastAsia" w:ascii="宋体" w:hAnsi="宋体" w:eastAsia="宋体" w:cs="宋体"/>
          <w:b/>
          <w:color w:val="auto"/>
          <w:sz w:val="30"/>
          <w:highlight w:val="none"/>
        </w:rPr>
      </w:pPr>
    </w:p>
    <w:p>
      <w:pPr>
        <w:tabs>
          <w:tab w:val="left" w:pos="3730"/>
        </w:tabs>
        <w:spacing w:before="1"/>
        <w:ind w:left="231" w:right="0" w:firstLine="0"/>
        <w:jc w:val="left"/>
        <w:rPr>
          <w:rFonts w:hint="eastAsia" w:ascii="宋体" w:hAnsi="宋体" w:eastAsia="宋体" w:cs="宋体"/>
          <w:color w:val="auto"/>
          <w:sz w:val="2"/>
          <w:highlight w:val="none"/>
          <w:u w:val="singl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w w:val="95"/>
          <w:sz w:val="24"/>
          <w:szCs w:val="24"/>
          <w:highlight w:val="none"/>
          <w:u w:val="single"/>
          <w:lang w:val="en-US" w:eastAsia="zh-CN"/>
        </w:rPr>
        <w:t xml:space="preserve">                    </w:t>
      </w:r>
      <w:r>
        <w:rPr>
          <w:rFonts w:hint="eastAsia" w:ascii="宋体" w:hAnsi="宋体" w:eastAsia="宋体" w:cs="宋体"/>
          <w:color w:val="auto"/>
          <w:w w:val="95"/>
          <w:sz w:val="2"/>
          <w:highlight w:val="none"/>
          <w:u w:val="single"/>
          <w:lang w:val="en-US" w:eastAsia="zh-CN"/>
        </w:rPr>
        <w:t xml:space="preserve">                                          </w:t>
      </w:r>
      <w:r>
        <w:rPr>
          <w:rFonts w:hint="eastAsia" w:ascii="宋体" w:hAnsi="宋体" w:eastAsia="宋体" w:cs="宋体"/>
          <w:color w:val="auto"/>
          <w:w w:val="95"/>
          <w:sz w:val="2"/>
          <w:highlight w:val="none"/>
          <w:lang w:val="en-US" w:eastAsia="zh-CN"/>
        </w:rPr>
        <w:t xml:space="preserve"> </w:t>
      </w:r>
      <w:r>
        <w:rPr>
          <w:rFonts w:hint="eastAsia" w:ascii="宋体" w:hAnsi="宋体" w:eastAsia="宋体" w:cs="宋体"/>
          <w:color w:val="auto"/>
          <w:spacing w:val="-8"/>
          <w:sz w:val="2"/>
          <w:highlight w:val="non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w w:val="95"/>
          <w:sz w:val="2"/>
          <w:highlight w:val="none"/>
          <w:u w:val="single"/>
        </w:rPr>
        <w:t>UU</w:t>
      </w:r>
      <w:r>
        <w:rPr>
          <w:rFonts w:hint="eastAsia" w:ascii="宋体" w:hAnsi="宋体" w:eastAsia="宋体" w:cs="宋体"/>
          <w:color w:val="auto"/>
          <w:w w:val="95"/>
          <w:sz w:val="2"/>
          <w:highlight w:val="none"/>
          <w:u w:val="single"/>
          <w:lang w:val="en-US" w:eastAsia="zh-CN"/>
        </w:rPr>
        <w:t xml:space="preserve">                                                                                                                                                                                                                                </w:t>
      </w:r>
    </w:p>
    <w:p>
      <w:pPr>
        <w:spacing w:before="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tbl>
      <w:tblPr>
        <w:tblStyle w:val="25"/>
        <w:tblW w:w="9137"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939"/>
        <w:gridCol w:w="2552"/>
        <w:gridCol w:w="2551"/>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2" w:hRule="atLeast"/>
        </w:trPr>
        <w:tc>
          <w:tcPr>
            <w:tcW w:w="851" w:type="dxa"/>
          </w:tcPr>
          <w:p>
            <w:pPr>
              <w:pStyle w:val="33"/>
              <w:keepNext w:val="0"/>
              <w:keepLines w:val="0"/>
              <w:suppressLineNumbers w:val="0"/>
              <w:spacing w:before="157" w:beforeAutospacing="0" w:afterAutospacing="0"/>
              <w:ind w:left="185"/>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939" w:type="dxa"/>
          </w:tcPr>
          <w:p>
            <w:pPr>
              <w:pStyle w:val="33"/>
              <w:keepNext w:val="0"/>
              <w:keepLines w:val="0"/>
              <w:suppressLineNumbers w:val="0"/>
              <w:spacing w:before="1" w:beforeAutospacing="0" w:afterAutospacing="0"/>
              <w:ind w:left="488"/>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pPr>
              <w:pStyle w:val="33"/>
              <w:keepNext w:val="0"/>
              <w:keepLines w:val="0"/>
              <w:suppressLineNumbers w:val="0"/>
              <w:spacing w:before="5" w:beforeAutospacing="0" w:afterAutospacing="0" w:line="289" w:lineRule="exact"/>
              <w:ind w:left="608"/>
              <w:rPr>
                <w:rFonts w:hint="eastAsia" w:ascii="宋体" w:hAnsi="宋体" w:eastAsia="宋体" w:cs="宋体"/>
                <w:color w:val="auto"/>
                <w:sz w:val="24"/>
                <w:highlight w:val="none"/>
              </w:rPr>
            </w:pPr>
            <w:r>
              <w:rPr>
                <w:rFonts w:hint="eastAsia" w:ascii="宋体" w:hAnsi="宋体" w:eastAsia="宋体" w:cs="宋体"/>
                <w:color w:val="auto"/>
                <w:sz w:val="24"/>
                <w:highlight w:val="none"/>
              </w:rPr>
              <w:t>条目号</w:t>
            </w:r>
          </w:p>
        </w:tc>
        <w:tc>
          <w:tcPr>
            <w:tcW w:w="2552" w:type="dxa"/>
          </w:tcPr>
          <w:p>
            <w:pPr>
              <w:pStyle w:val="33"/>
              <w:keepNext w:val="0"/>
              <w:keepLines w:val="0"/>
              <w:suppressLineNumbers w:val="0"/>
              <w:spacing w:before="157" w:beforeAutospacing="0" w:afterAutospacing="0"/>
              <w:ind w:left="196"/>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招标文件的商务条款</w:t>
            </w:r>
          </w:p>
        </w:tc>
        <w:tc>
          <w:tcPr>
            <w:tcW w:w="2551" w:type="dxa"/>
          </w:tcPr>
          <w:p>
            <w:pPr>
              <w:pStyle w:val="33"/>
              <w:keepNext w:val="0"/>
              <w:keepLines w:val="0"/>
              <w:suppressLineNumbers w:val="0"/>
              <w:spacing w:before="157" w:beforeAutospacing="0" w:afterAutospacing="0"/>
              <w:ind w:left="19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投标文件的商务条款</w:t>
            </w:r>
          </w:p>
        </w:tc>
        <w:tc>
          <w:tcPr>
            <w:tcW w:w="1244" w:type="dxa"/>
          </w:tcPr>
          <w:p>
            <w:pPr>
              <w:pStyle w:val="33"/>
              <w:keepNext w:val="0"/>
              <w:keepLines w:val="0"/>
              <w:suppressLineNumbers w:val="0"/>
              <w:spacing w:before="157" w:beforeAutospacing="0" w:afterAutospacing="0"/>
              <w:ind w:left="382"/>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51"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939"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552"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551"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244"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1"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939"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552"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551"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244"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1"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939"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552"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551"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244"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851"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939"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552"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551"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244"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851"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939"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552"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2551"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c>
          <w:tcPr>
            <w:tcW w:w="1244" w:type="dxa"/>
          </w:tcPr>
          <w:p>
            <w:pPr>
              <w:pStyle w:val="33"/>
              <w:keepNext w:val="0"/>
              <w:keepLines w:val="0"/>
              <w:suppressLineNumbers w:val="0"/>
              <w:spacing w:beforeAutospacing="0" w:afterAutospacing="0"/>
              <w:rPr>
                <w:rFonts w:hint="eastAsia" w:ascii="宋体" w:hAnsi="宋体" w:eastAsia="宋体" w:cs="宋体"/>
                <w:color w:val="auto"/>
                <w:sz w:val="22"/>
                <w:highlight w:val="none"/>
              </w:rPr>
            </w:pPr>
          </w:p>
        </w:tc>
      </w:tr>
    </w:tbl>
    <w:p>
      <w:pPr>
        <w:spacing w:before="110" w:line="357" w:lineRule="auto"/>
        <w:ind w:left="231" w:right="633"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注：投标人要将投标文件与招标文件在商务部分的差异之处汇集成此表。投标方必须详细填写偏离表，偏离表未声明事项视为认同招标文件标准。</w:t>
      </w:r>
    </w:p>
    <w:p>
      <w:pPr>
        <w:rPr>
          <w:rFonts w:hint="eastAsia" w:ascii="宋体" w:hAnsi="宋体" w:eastAsia="宋体" w:cs="宋体"/>
          <w:color w:val="auto"/>
          <w:sz w:val="20"/>
          <w:highlight w:val="none"/>
        </w:rPr>
      </w:pPr>
    </w:p>
    <w:p>
      <w:pPr>
        <w:spacing w:before="11"/>
        <w:rPr>
          <w:rFonts w:hint="eastAsia" w:ascii="宋体" w:hAnsi="宋体" w:eastAsia="宋体" w:cs="宋体"/>
          <w:color w:val="auto"/>
          <w:sz w:val="29"/>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3"/>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p>
    <w:p>
      <w:pPr>
        <w:pStyle w:val="43"/>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after="0" w:line="357" w:lineRule="auto"/>
        <w:rPr>
          <w:rFonts w:hint="eastAsia" w:ascii="宋体" w:hAnsi="宋体" w:eastAsia="宋体" w:cs="宋体"/>
          <w:color w:val="auto"/>
          <w:highlight w:val="none"/>
        </w:rPr>
        <w:sectPr>
          <w:pgSz w:w="11910" w:h="16840"/>
          <w:pgMar w:top="1134" w:right="1134" w:bottom="1134" w:left="1134" w:header="0" w:footer="998" w:gutter="0"/>
          <w:cols w:space="0" w:num="1"/>
          <w:rtlGutter w:val="0"/>
          <w:docGrid w:linePitch="0" w:charSpace="0"/>
        </w:sectPr>
      </w:pPr>
    </w:p>
    <w:p>
      <w:pPr>
        <w:spacing w:before="54"/>
        <w:ind w:left="296" w:right="698" w:firstLine="0"/>
        <w:jc w:val="center"/>
        <w:rPr>
          <w:rFonts w:hint="eastAsia" w:ascii="宋体" w:hAnsi="宋体" w:eastAsia="宋体" w:cs="宋体"/>
          <w:b/>
          <w:color w:val="auto"/>
          <w:sz w:val="32"/>
          <w:highlight w:val="none"/>
        </w:rPr>
      </w:pPr>
      <w:r>
        <w:rPr>
          <w:rFonts w:hint="eastAsia" w:ascii="宋体" w:hAnsi="宋体" w:eastAsia="宋体" w:cs="宋体"/>
          <w:b/>
          <w:color w:val="auto"/>
          <w:sz w:val="28"/>
          <w:highlight w:val="none"/>
        </w:rPr>
        <w:t>（十三）</w:t>
      </w:r>
      <w:r>
        <w:rPr>
          <w:rFonts w:hint="eastAsia" w:ascii="宋体" w:hAnsi="宋体" w:eastAsia="宋体" w:cs="宋体"/>
          <w:b/>
          <w:color w:val="auto"/>
          <w:sz w:val="32"/>
          <w:highlight w:val="none"/>
          <w:lang w:eastAsia="zh-CN"/>
        </w:rPr>
        <w:t>售后</w:t>
      </w:r>
      <w:r>
        <w:rPr>
          <w:rFonts w:hint="eastAsia" w:ascii="宋体" w:hAnsi="宋体" w:eastAsia="宋体" w:cs="宋体"/>
          <w:b/>
          <w:color w:val="auto"/>
          <w:sz w:val="32"/>
          <w:highlight w:val="none"/>
        </w:rPr>
        <w:t>服务承诺书</w:t>
      </w:r>
    </w:p>
    <w:p>
      <w:pPr>
        <w:spacing w:before="54"/>
        <w:ind w:left="296" w:right="698" w:firstLine="0"/>
        <w:jc w:val="center"/>
        <w:rPr>
          <w:rFonts w:hint="eastAsia" w:ascii="宋体" w:hAnsi="宋体" w:eastAsia="宋体" w:cs="宋体"/>
          <w:b/>
          <w:color w:val="auto"/>
          <w:sz w:val="32"/>
          <w:highlight w:val="none"/>
        </w:rPr>
      </w:pPr>
    </w:p>
    <w:p>
      <w:pPr>
        <w:spacing w:before="4"/>
        <w:rPr>
          <w:rFonts w:hint="eastAsia" w:ascii="宋体" w:hAnsi="宋体" w:eastAsia="宋体" w:cs="宋体"/>
          <w:b/>
          <w:color w:val="auto"/>
          <w:sz w:val="37"/>
          <w:highlight w:val="none"/>
        </w:rPr>
      </w:pPr>
    </w:p>
    <w:p>
      <w:pPr>
        <w:spacing w:before="0"/>
        <w:ind w:left="296" w:right="698" w:firstLine="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结合本项目的情况，格式自制。</w:t>
      </w: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spacing w:before="1"/>
        <w:rPr>
          <w:rFonts w:hint="eastAsia" w:ascii="宋体" w:hAnsi="宋体" w:eastAsia="宋体" w:cs="宋体"/>
          <w:color w:val="auto"/>
          <w:sz w:val="26"/>
          <w:highlight w:val="none"/>
        </w:rPr>
      </w:pPr>
    </w:p>
    <w:p>
      <w:pPr>
        <w:spacing w:before="0"/>
        <w:ind w:left="298" w:right="698" w:firstLine="0"/>
        <w:jc w:val="center"/>
        <w:rPr>
          <w:rFonts w:hint="eastAsia" w:ascii="宋体" w:hAnsi="宋体" w:eastAsia="宋体" w:cs="宋体"/>
          <w:b/>
          <w:color w:val="auto"/>
          <w:sz w:val="30"/>
          <w:highlight w:val="none"/>
        </w:rPr>
      </w:pPr>
      <w:bookmarkStart w:id="44" w:name="（十四）其他有利于投标人的资料（如有）"/>
      <w:bookmarkEnd w:id="44"/>
      <w:r>
        <w:rPr>
          <w:rFonts w:hint="eastAsia" w:ascii="宋体" w:hAnsi="宋体" w:eastAsia="宋体" w:cs="宋体"/>
          <w:b/>
          <w:color w:val="auto"/>
          <w:sz w:val="30"/>
          <w:highlight w:val="none"/>
        </w:rPr>
        <w:t>（十四）其他有利于投标人的资料（如有）</w:t>
      </w:r>
    </w:p>
    <w:p>
      <w:pPr>
        <w:spacing w:after="0"/>
        <w:jc w:val="center"/>
        <w:rPr>
          <w:rFonts w:hint="eastAsia" w:ascii="宋体" w:hAnsi="宋体" w:eastAsia="宋体" w:cs="宋体"/>
          <w:color w:val="auto"/>
          <w:sz w:val="30"/>
          <w:highlight w:val="none"/>
        </w:rPr>
        <w:sectPr>
          <w:pgSz w:w="11910" w:h="16840"/>
          <w:pgMar w:top="1134" w:right="1134" w:bottom="1134" w:left="1134" w:header="0" w:footer="998" w:gutter="0"/>
          <w:cols w:space="0" w:num="1"/>
          <w:rtlGutter w:val="0"/>
          <w:docGrid w:linePitch="0" w:charSpace="0"/>
        </w:sectPr>
      </w:pPr>
    </w:p>
    <w:p>
      <w:pPr>
        <w:spacing w:before="209"/>
        <w:ind w:left="296" w:right="698" w:firstLine="0"/>
        <w:jc w:val="center"/>
        <w:rPr>
          <w:rFonts w:hint="eastAsia" w:ascii="宋体" w:hAnsi="宋体" w:eastAsia="宋体" w:cs="宋体"/>
          <w:b/>
          <w:color w:val="auto"/>
          <w:sz w:val="30"/>
          <w:highlight w:val="none"/>
        </w:rPr>
      </w:pPr>
      <w:bookmarkStart w:id="45" w:name="（十五）投标单位反商业贿赂承诺书"/>
      <w:bookmarkEnd w:id="45"/>
      <w:r>
        <w:rPr>
          <w:rFonts w:hint="eastAsia" w:ascii="宋体" w:hAnsi="宋体" w:eastAsia="宋体" w:cs="宋体"/>
          <w:b/>
          <w:color w:val="auto"/>
          <w:sz w:val="30"/>
          <w:highlight w:val="none"/>
        </w:rPr>
        <w:t>（十五）投标单位反商业贿赂承诺书</w:t>
      </w:r>
    </w:p>
    <w:p>
      <w:pPr>
        <w:spacing w:before="2"/>
        <w:rPr>
          <w:rFonts w:hint="eastAsia" w:ascii="宋体" w:hAnsi="宋体" w:eastAsia="宋体" w:cs="宋体"/>
          <w:b/>
          <w:color w:val="auto"/>
          <w:sz w:val="29"/>
          <w:highlight w:val="none"/>
        </w:rPr>
      </w:pPr>
    </w:p>
    <w:p>
      <w:pPr>
        <w:spacing w:before="0"/>
        <w:ind w:left="4004" w:right="0" w:firstLine="0"/>
        <w:jc w:val="left"/>
        <w:rPr>
          <w:rFonts w:hint="eastAsia" w:ascii="宋体" w:hAnsi="宋体" w:eastAsia="宋体" w:cs="宋体"/>
          <w:b/>
          <w:color w:val="auto"/>
          <w:sz w:val="30"/>
          <w:highlight w:val="none"/>
        </w:rPr>
      </w:pPr>
      <w:r>
        <w:rPr>
          <w:rFonts w:hint="eastAsia" w:ascii="宋体" w:hAnsi="宋体" w:eastAsia="宋体" w:cs="宋体"/>
          <w:b/>
          <w:color w:val="auto"/>
          <w:sz w:val="30"/>
          <w:highlight w:val="none"/>
        </w:rPr>
        <w:t>承诺书（1）</w:t>
      </w:r>
    </w:p>
    <w:p>
      <w:pPr>
        <w:spacing w:before="8"/>
        <w:rPr>
          <w:rFonts w:hint="eastAsia" w:ascii="宋体" w:hAnsi="宋体" w:eastAsia="宋体" w:cs="宋体"/>
          <w:b/>
          <w:color w:val="auto"/>
          <w:sz w:val="31"/>
          <w:highlight w:val="none"/>
        </w:rPr>
      </w:pPr>
    </w:p>
    <w:p>
      <w:pPr>
        <w:spacing w:line="343" w:lineRule="auto"/>
        <w:ind w:left="231" w:right="182" w:rightChars="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我公司承诺在</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3"/>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p>
    <w:p>
      <w:pPr>
        <w:pStyle w:val="43"/>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6"/>
          <w:highlight w:val="none"/>
        </w:rPr>
      </w:pPr>
    </w:p>
    <w:p>
      <w:pPr>
        <w:spacing w:before="3"/>
        <w:rPr>
          <w:rFonts w:hint="eastAsia" w:ascii="宋体" w:hAnsi="宋体" w:eastAsia="宋体" w:cs="宋体"/>
          <w:color w:val="auto"/>
          <w:sz w:val="30"/>
          <w:highlight w:val="none"/>
        </w:rPr>
      </w:pPr>
    </w:p>
    <w:p>
      <w:pPr>
        <w:pStyle w:val="9"/>
        <w:spacing w:before="1"/>
        <w:ind w:left="282"/>
        <w:rPr>
          <w:rFonts w:hint="eastAsia" w:ascii="宋体" w:hAnsi="宋体" w:eastAsia="宋体" w:cs="宋体"/>
          <w:color w:val="auto"/>
          <w:highlight w:val="none"/>
        </w:rPr>
      </w:pPr>
      <w:r>
        <w:rPr>
          <w:rFonts w:hint="eastAsia" w:ascii="宋体" w:hAnsi="宋体" w:eastAsia="宋体" w:cs="宋体"/>
          <w:color w:val="auto"/>
          <w:highlight w:val="none"/>
        </w:rPr>
        <w:t>承诺书（2）</w:t>
      </w:r>
    </w:p>
    <w:p>
      <w:pPr>
        <w:spacing w:before="1"/>
        <w:rPr>
          <w:rFonts w:hint="eastAsia" w:ascii="宋体" w:hAnsi="宋体" w:eastAsia="宋体" w:cs="宋体"/>
          <w:b/>
          <w:color w:val="auto"/>
          <w:sz w:val="42"/>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23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投标单位承诺书</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right="622"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我公司承诺在参加本次</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投标前三年内，无以下行为：</w:t>
      </w:r>
      <w:r>
        <w:rPr>
          <w:rFonts w:hint="eastAsia" w:ascii="宋体" w:hAnsi="宋体" w:eastAsia="宋体" w:cs="宋体"/>
          <w:color w:val="auto"/>
          <w:sz w:val="24"/>
          <w:szCs w:val="24"/>
          <w:highlight w:val="none"/>
        </w:rPr>
        <w:t>重大违法行为；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商业贿赂行为；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政府采购法《第七十七条》，列入不良行为记录名单的各种行为；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31" w:right="631"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如有上述行为，我公司及项目参与人员自愿放弃本次项目的投标、报价资格，若为预中标、成交人，也自愿放弃中标、成交资格。</w:t>
      </w:r>
    </w:p>
    <w:p>
      <w:pPr>
        <w:spacing w:before="6"/>
        <w:rPr>
          <w:rFonts w:hint="eastAsia" w:ascii="宋体" w:hAnsi="宋体" w:eastAsia="宋体" w:cs="宋体"/>
          <w:color w:val="auto"/>
          <w:sz w:val="30"/>
          <w:highlight w:val="none"/>
        </w:rPr>
      </w:pPr>
    </w:p>
    <w:p>
      <w:pPr>
        <w:keepNext w:val="0"/>
        <w:keepLines w:val="0"/>
        <w:pageBreakBefore w:val="0"/>
        <w:widowControl w:val="0"/>
        <w:tabs>
          <w:tab w:val="left" w:pos="3711"/>
          <w:tab w:val="left" w:pos="5990"/>
        </w:tabs>
        <w:kinsoku/>
        <w:wordWrap/>
        <w:overflowPunct/>
        <w:topLinePunct w:val="0"/>
        <w:autoSpaceDE w:val="0"/>
        <w:autoSpaceDN w:val="0"/>
        <w:bidi w:val="0"/>
        <w:adjustRightInd/>
        <w:snapToGrid/>
        <w:spacing w:before="0" w:line="360"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tabs>
          <w:tab w:val="left" w:pos="9052"/>
        </w:tabs>
        <w:kinsoku/>
        <w:wordWrap/>
        <w:overflowPunct/>
        <w:topLinePunct w:val="0"/>
        <w:autoSpaceDE w:val="0"/>
        <w:autoSpaceDN w:val="0"/>
        <w:bidi w:val="0"/>
        <w:adjustRightInd/>
        <w:snapToGrid/>
        <w:spacing w:before="0" w:line="360" w:lineRule="auto"/>
        <w:ind w:right="711"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法定代表人（电子签名）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3"/>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p>
    <w:p>
      <w:pPr>
        <w:pStyle w:val="43"/>
        <w:keepNext w:val="0"/>
        <w:keepLines w:val="0"/>
        <w:pageBreakBefore w:val="0"/>
        <w:widowControl w:val="0"/>
        <w:kinsoku/>
        <w:wordWrap/>
        <w:overflowPunct/>
        <w:topLinePunct w:val="0"/>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after="0" w:line="360" w:lineRule="auto"/>
        <w:rPr>
          <w:rFonts w:hint="eastAsia" w:ascii="宋体" w:hAnsi="宋体" w:eastAsia="宋体" w:cs="宋体"/>
          <w:color w:val="auto"/>
          <w:highlight w:val="none"/>
        </w:rPr>
        <w:sectPr>
          <w:footerReference r:id="rId10" w:type="default"/>
          <w:pgSz w:w="11910" w:h="16840"/>
          <w:pgMar w:top="1134" w:right="1134" w:bottom="1134" w:left="1134" w:header="0" w:footer="998" w:gutter="0"/>
          <w:pgNumType w:start="60"/>
          <w:cols w:space="0" w:num="1"/>
          <w:rtlGutter w:val="0"/>
          <w:docGrid w:linePitch="0" w:charSpace="0"/>
        </w:sectPr>
      </w:pPr>
    </w:p>
    <w:p>
      <w:pPr>
        <w:pStyle w:val="6"/>
        <w:spacing w:before="35"/>
        <w:ind w:left="231"/>
        <w:rPr>
          <w:rFonts w:hint="eastAsia" w:ascii="宋体" w:hAnsi="宋体" w:eastAsia="宋体" w:cs="宋体"/>
          <w:color w:val="auto"/>
          <w:highlight w:val="none"/>
        </w:rPr>
      </w:pPr>
      <w:r>
        <w:rPr>
          <w:rFonts w:hint="eastAsia" w:ascii="宋体" w:hAnsi="宋体" w:eastAsia="宋体" w:cs="宋体"/>
          <w:color w:val="auto"/>
          <w:highlight w:val="none"/>
        </w:rPr>
        <w:t>附件资料一：</w:t>
      </w:r>
    </w:p>
    <w:p>
      <w:pPr>
        <w:spacing w:before="5"/>
        <w:rPr>
          <w:rFonts w:hint="eastAsia" w:ascii="宋体" w:hAnsi="宋体" w:eastAsia="宋体" w:cs="宋体"/>
          <w:b/>
          <w:color w:val="auto"/>
          <w:sz w:val="26"/>
          <w:highlight w:val="none"/>
        </w:rPr>
      </w:pPr>
    </w:p>
    <w:p>
      <w:pPr>
        <w:spacing w:before="54"/>
        <w:ind w:left="296" w:right="698"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招标代理服务收费标准</w:t>
      </w:r>
    </w:p>
    <w:p>
      <w:pPr>
        <w:spacing w:before="5"/>
        <w:rPr>
          <w:rFonts w:hint="eastAsia" w:ascii="宋体" w:hAnsi="宋体" w:eastAsia="宋体" w:cs="宋体"/>
          <w:b/>
          <w:color w:val="auto"/>
          <w:sz w:val="30"/>
          <w:highlight w:val="none"/>
        </w:rPr>
      </w:pPr>
    </w:p>
    <w:p>
      <w:pPr>
        <w:spacing w:before="1" w:line="364" w:lineRule="auto"/>
        <w:ind w:left="231" w:right="626" w:firstLine="480"/>
        <w:jc w:val="both"/>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5408" behindDoc="1" locked="0" layoutInCell="1" allowOverlap="1">
                <wp:simplePos x="0" y="0"/>
                <wp:positionH relativeFrom="page">
                  <wp:posOffset>1108710</wp:posOffset>
                </wp:positionH>
                <wp:positionV relativeFrom="paragraph">
                  <wp:posOffset>893445</wp:posOffset>
                </wp:positionV>
                <wp:extent cx="1835150" cy="674370"/>
                <wp:effectExtent l="1905" t="4445" r="10795" b="6985"/>
                <wp:wrapNone/>
                <wp:docPr id="10" name="直线 39"/>
                <wp:cNvGraphicFramePr/>
                <a:graphic xmlns:a="http://schemas.openxmlformats.org/drawingml/2006/main">
                  <a:graphicData uri="http://schemas.microsoft.com/office/word/2010/wordprocessingShape">
                    <wps:wsp>
                      <wps:cNvCnPr/>
                      <wps:spPr>
                        <a:xfrm>
                          <a:off x="0" y="0"/>
                          <a:ext cx="1835150" cy="6743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87.3pt;margin-top:70.35pt;height:53.1pt;width:144.5pt;mso-position-horizontal-relative:page;z-index:-251651072;mso-width-relative:page;mso-height-relative:page;" filled="f" stroked="t" coordsize="21600,21600" o:gfxdata="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kKmbzYAAAACwEAAA8AAAAAAAAAAQAgAAAAIgAAAGRycy9kb3ducmV2LnhtbFBLAQIUABQAAAAI&#10;AIdO4kDuqF2d7QEAAOIDAAAOAAAAAAAAAAEAIAAAACcBAABkcnMvZTJvRG9jLnhtbFBLBQYAAAAA&#10;BgAGAFkBAACGBQAAAAA=&#10;">
                <v:fill on="f" focussize="0,0"/>
                <v:stroke weight="0.5pt" color="#000000" joinstyle="round"/>
                <v:imagedata o:title=""/>
                <o:lock v:ext="edit" aspectratio="f"/>
              </v:line>
            </w:pict>
          </mc:Fallback>
        </mc:AlternateContent>
      </w:r>
      <w:r>
        <w:rPr>
          <w:rFonts w:hint="eastAsia" w:ascii="宋体" w:hAnsi="宋体" w:eastAsia="宋体" w:cs="宋体"/>
          <w:color w:val="auto"/>
          <w:highlight w:val="none"/>
        </w:rPr>
        <w:t>招标代理服务费的计算执行</w:t>
      </w:r>
      <w:r>
        <w:rPr>
          <w:rFonts w:hint="eastAsia" w:ascii="宋体" w:hAnsi="宋体" w:eastAsia="宋体" w:cs="宋体"/>
          <w:color w:val="auto"/>
          <w:spacing w:val="-79"/>
          <w:highlight w:val="none"/>
        </w:rPr>
        <w:t>“</w:t>
      </w:r>
      <w:r>
        <w:rPr>
          <w:rFonts w:hint="eastAsia" w:ascii="宋体" w:hAnsi="宋体" w:eastAsia="宋体" w:cs="宋体"/>
          <w:color w:val="auto"/>
          <w:spacing w:val="-1"/>
          <w:highlight w:val="none"/>
        </w:rPr>
        <w:t>《国家发展改革委关于进一步放开建设项目专业服务</w:t>
      </w:r>
      <w:r>
        <w:rPr>
          <w:rFonts w:hint="eastAsia" w:ascii="宋体" w:hAnsi="宋体" w:eastAsia="宋体" w:cs="宋体"/>
          <w:color w:val="auto"/>
          <w:spacing w:val="1"/>
          <w:highlight w:val="none"/>
        </w:rPr>
        <w:t xml:space="preserve">价格的通知》 </w:t>
      </w:r>
      <w:r>
        <w:rPr>
          <w:rFonts w:hint="eastAsia" w:ascii="宋体" w:hAnsi="宋体" w:eastAsia="宋体" w:cs="宋体"/>
          <w:color w:val="auto"/>
          <w:highlight w:val="none"/>
        </w:rPr>
        <w:t>[2015] 299 号文件”、“国家发展改革委办公厅关于招标代理服务收费有关问题的通知（</w:t>
      </w:r>
      <w:r>
        <w:rPr>
          <w:rFonts w:hint="eastAsia" w:ascii="宋体" w:hAnsi="宋体" w:eastAsia="宋体" w:cs="宋体"/>
          <w:color w:val="auto"/>
          <w:spacing w:val="-1"/>
          <w:highlight w:val="none"/>
        </w:rPr>
        <w:t xml:space="preserve"> 发改价格</w:t>
      </w:r>
      <w:r>
        <w:rPr>
          <w:rFonts w:hint="eastAsia" w:ascii="宋体" w:hAnsi="宋体" w:eastAsia="宋体" w:cs="宋体"/>
          <w:color w:val="auto"/>
          <w:highlight w:val="none"/>
        </w:rPr>
        <w:t>[2011]534 号）文件”及计价格[2002]1980 号的规定。</w:t>
      </w:r>
    </w:p>
    <w:tbl>
      <w:tblPr>
        <w:tblStyle w:val="25"/>
        <w:tblW w:w="8477" w:type="dxa"/>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5"/>
        <w:gridCol w:w="1923"/>
        <w:gridCol w:w="1912"/>
        <w:gridCol w:w="1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7" w:hRule="atLeast"/>
        </w:trPr>
        <w:tc>
          <w:tcPr>
            <w:tcW w:w="2895" w:type="dxa"/>
          </w:tcPr>
          <w:p>
            <w:pPr>
              <w:pStyle w:val="33"/>
              <w:keepNext w:val="0"/>
              <w:keepLines w:val="0"/>
              <w:suppressLineNumbers w:val="0"/>
              <w:spacing w:beforeAutospacing="0" w:afterAutospacing="0" w:line="307" w:lineRule="exact"/>
              <w:ind w:left="1907"/>
              <w:rPr>
                <w:rFonts w:hint="eastAsia" w:ascii="宋体" w:hAnsi="宋体" w:eastAsia="宋体" w:cs="宋体"/>
                <w:color w:val="auto"/>
                <w:sz w:val="24"/>
                <w:highlight w:val="none"/>
              </w:rPr>
            </w:pPr>
            <w:r>
              <w:rPr>
                <w:rFonts w:hint="eastAsia" w:ascii="宋体" w:hAnsi="宋体" w:eastAsia="宋体" w:cs="宋体"/>
                <w:color w:val="auto"/>
                <w:sz w:val="24"/>
                <w:highlight w:val="none"/>
              </w:rPr>
              <w:t>费率</w:t>
            </w:r>
          </w:p>
          <w:p>
            <w:pPr>
              <w:pStyle w:val="33"/>
              <w:keepNext w:val="0"/>
              <w:keepLines w:val="0"/>
              <w:suppressLineNumbers w:val="0"/>
              <w:spacing w:beforeAutospacing="0" w:afterAutospacing="0"/>
              <w:rPr>
                <w:rFonts w:hint="eastAsia" w:ascii="宋体" w:hAnsi="宋体" w:eastAsia="宋体" w:cs="宋体"/>
                <w:color w:val="auto"/>
                <w:sz w:val="23"/>
                <w:highlight w:val="none"/>
              </w:rPr>
            </w:pPr>
          </w:p>
          <w:p>
            <w:pPr>
              <w:pStyle w:val="33"/>
              <w:keepNext w:val="0"/>
              <w:keepLines w:val="0"/>
              <w:suppressLineNumbers w:val="0"/>
              <w:spacing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中标金额</w:t>
            </w:r>
          </w:p>
        </w:tc>
        <w:tc>
          <w:tcPr>
            <w:tcW w:w="1923" w:type="dxa"/>
          </w:tcPr>
          <w:p>
            <w:pPr>
              <w:pStyle w:val="33"/>
              <w:keepNext w:val="0"/>
              <w:keepLines w:val="0"/>
              <w:suppressLineNumbers w:val="0"/>
              <w:spacing w:before="12" w:beforeAutospacing="0" w:afterAutospacing="0"/>
              <w:rPr>
                <w:rFonts w:hint="eastAsia" w:ascii="宋体" w:hAnsi="宋体" w:eastAsia="宋体" w:cs="宋体"/>
                <w:color w:val="auto"/>
                <w:sz w:val="28"/>
                <w:highlight w:val="none"/>
              </w:rPr>
            </w:pPr>
          </w:p>
          <w:p>
            <w:pPr>
              <w:pStyle w:val="33"/>
              <w:keepNext w:val="0"/>
              <w:keepLines w:val="0"/>
              <w:suppressLineNumbers w:val="0"/>
              <w:spacing w:beforeAutospacing="0" w:afterAutospacing="0"/>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货物招标</w:t>
            </w:r>
          </w:p>
        </w:tc>
        <w:tc>
          <w:tcPr>
            <w:tcW w:w="1912" w:type="dxa"/>
          </w:tcPr>
          <w:p>
            <w:pPr>
              <w:pStyle w:val="33"/>
              <w:keepNext w:val="0"/>
              <w:keepLines w:val="0"/>
              <w:suppressLineNumbers w:val="0"/>
              <w:spacing w:before="12" w:beforeAutospacing="0" w:afterAutospacing="0"/>
              <w:rPr>
                <w:rFonts w:hint="eastAsia" w:ascii="宋体" w:hAnsi="宋体" w:eastAsia="宋体" w:cs="宋体"/>
                <w:color w:val="auto"/>
                <w:sz w:val="28"/>
                <w:highlight w:val="none"/>
              </w:rPr>
            </w:pPr>
          </w:p>
          <w:p>
            <w:pPr>
              <w:pStyle w:val="33"/>
              <w:keepNext w:val="0"/>
              <w:keepLines w:val="0"/>
              <w:suppressLineNumbers w:val="0"/>
              <w:spacing w:beforeAutospacing="0" w:afterAutospacing="0"/>
              <w:ind w:right="464"/>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服务招标</w:t>
            </w:r>
          </w:p>
        </w:tc>
        <w:tc>
          <w:tcPr>
            <w:tcW w:w="1747" w:type="dxa"/>
          </w:tcPr>
          <w:p>
            <w:pPr>
              <w:pStyle w:val="33"/>
              <w:keepNext w:val="0"/>
              <w:keepLines w:val="0"/>
              <w:suppressLineNumbers w:val="0"/>
              <w:spacing w:before="12" w:beforeAutospacing="0" w:afterAutospacing="0"/>
              <w:rPr>
                <w:rFonts w:hint="eastAsia" w:ascii="宋体" w:hAnsi="宋体" w:eastAsia="宋体" w:cs="宋体"/>
                <w:color w:val="auto"/>
                <w:sz w:val="28"/>
                <w:highlight w:val="none"/>
              </w:rPr>
            </w:pPr>
          </w:p>
          <w:p>
            <w:pPr>
              <w:pStyle w:val="33"/>
              <w:keepNext w:val="0"/>
              <w:keepLines w:val="0"/>
              <w:suppressLineNumbers w:val="0"/>
              <w:spacing w:beforeAutospacing="0" w:afterAutospacing="0"/>
              <w:ind w:right="38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3"/>
              <w:keepNext w:val="0"/>
              <w:keepLines w:val="0"/>
              <w:suppressLineNumbers w:val="0"/>
              <w:spacing w:before="115"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100 万元以下</w:t>
            </w:r>
          </w:p>
        </w:tc>
        <w:tc>
          <w:tcPr>
            <w:tcW w:w="1923" w:type="dxa"/>
          </w:tcPr>
          <w:p>
            <w:pPr>
              <w:pStyle w:val="33"/>
              <w:keepNext w:val="0"/>
              <w:keepLines w:val="0"/>
              <w:suppressLineNumbers w:val="0"/>
              <w:spacing w:before="124" w:beforeAutospacing="0" w:afterAutospacing="0"/>
              <w:ind w:left="705" w:right="69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1912" w:type="dxa"/>
          </w:tcPr>
          <w:p>
            <w:pPr>
              <w:pStyle w:val="33"/>
              <w:keepNext w:val="0"/>
              <w:keepLines w:val="0"/>
              <w:suppressLineNumbers w:val="0"/>
              <w:spacing w:before="124" w:beforeAutospacing="0" w:afterAutospacing="0"/>
              <w:ind w:left="837"/>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1747" w:type="dxa"/>
          </w:tcPr>
          <w:p>
            <w:pPr>
              <w:pStyle w:val="33"/>
              <w:keepNext w:val="0"/>
              <w:keepLines w:val="0"/>
              <w:suppressLineNumbers w:val="0"/>
              <w:spacing w:before="124" w:beforeAutospacing="0" w:afterAutospacing="0"/>
              <w:ind w:left="757"/>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895" w:type="dxa"/>
          </w:tcPr>
          <w:p>
            <w:pPr>
              <w:pStyle w:val="33"/>
              <w:keepNext w:val="0"/>
              <w:keepLines w:val="0"/>
              <w:suppressLineNumbers w:val="0"/>
              <w:spacing w:before="103"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100～500 万元</w:t>
            </w:r>
          </w:p>
        </w:tc>
        <w:tc>
          <w:tcPr>
            <w:tcW w:w="1923" w:type="dxa"/>
          </w:tcPr>
          <w:p>
            <w:pPr>
              <w:pStyle w:val="33"/>
              <w:keepNext w:val="0"/>
              <w:keepLines w:val="0"/>
              <w:suppressLineNumbers w:val="0"/>
              <w:spacing w:before="109" w:beforeAutospacing="0" w:afterAutospacing="0"/>
              <w:ind w:left="845"/>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912" w:type="dxa"/>
          </w:tcPr>
          <w:p>
            <w:pPr>
              <w:pStyle w:val="33"/>
              <w:keepNext w:val="0"/>
              <w:keepLines w:val="0"/>
              <w:suppressLineNumbers w:val="0"/>
              <w:spacing w:before="109" w:beforeAutospacing="0" w:afterAutospacing="0"/>
              <w:ind w:left="837"/>
              <w:rPr>
                <w:rFonts w:hint="eastAsia" w:ascii="宋体" w:hAnsi="宋体" w:eastAsia="宋体" w:cs="宋体"/>
                <w:color w:val="auto"/>
                <w:sz w:val="24"/>
                <w:highlight w:val="none"/>
              </w:rPr>
            </w:pPr>
            <w:r>
              <w:rPr>
                <w:rFonts w:hint="eastAsia" w:ascii="宋体" w:hAnsi="宋体" w:eastAsia="宋体" w:cs="宋体"/>
                <w:color w:val="auto"/>
                <w:sz w:val="24"/>
                <w:highlight w:val="none"/>
              </w:rPr>
              <w:t>0.8%</w:t>
            </w:r>
          </w:p>
        </w:tc>
        <w:tc>
          <w:tcPr>
            <w:tcW w:w="1747" w:type="dxa"/>
          </w:tcPr>
          <w:p>
            <w:pPr>
              <w:pStyle w:val="33"/>
              <w:keepNext w:val="0"/>
              <w:keepLines w:val="0"/>
              <w:suppressLineNumbers w:val="0"/>
              <w:spacing w:before="109" w:beforeAutospacing="0" w:afterAutospacing="0"/>
              <w:ind w:left="757"/>
              <w:rPr>
                <w:rFonts w:hint="eastAsia" w:ascii="宋体" w:hAnsi="宋体" w:eastAsia="宋体" w:cs="宋体"/>
                <w:color w:val="auto"/>
                <w:sz w:val="24"/>
                <w:highlight w:val="none"/>
              </w:rPr>
            </w:pPr>
            <w:r>
              <w:rPr>
                <w:rFonts w:hint="eastAsia" w:ascii="宋体" w:hAnsi="宋体" w:eastAsia="宋体" w:cs="宋体"/>
                <w:color w:val="auto"/>
                <w:sz w:val="24"/>
                <w:highlight w:val="none"/>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3"/>
              <w:keepNext w:val="0"/>
              <w:keepLines w:val="0"/>
              <w:suppressLineNumbers w:val="0"/>
              <w:spacing w:before="114"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500～1000 万元</w:t>
            </w:r>
          </w:p>
        </w:tc>
        <w:tc>
          <w:tcPr>
            <w:tcW w:w="1923" w:type="dxa"/>
          </w:tcPr>
          <w:p>
            <w:pPr>
              <w:pStyle w:val="33"/>
              <w:keepNext w:val="0"/>
              <w:keepLines w:val="0"/>
              <w:suppressLineNumbers w:val="0"/>
              <w:spacing w:before="123" w:beforeAutospacing="0" w:afterAutospacing="0"/>
              <w:ind w:left="705" w:right="69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0.8%</w:t>
            </w:r>
          </w:p>
        </w:tc>
        <w:tc>
          <w:tcPr>
            <w:tcW w:w="1912" w:type="dxa"/>
          </w:tcPr>
          <w:p>
            <w:pPr>
              <w:pStyle w:val="33"/>
              <w:keepNext w:val="0"/>
              <w:keepLines w:val="0"/>
              <w:suppressLineNumbers w:val="0"/>
              <w:spacing w:before="123" w:beforeAutospacing="0" w:afterAutospacing="0"/>
              <w:ind w:right="523"/>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0.45%</w:t>
            </w:r>
          </w:p>
        </w:tc>
        <w:tc>
          <w:tcPr>
            <w:tcW w:w="1747" w:type="dxa"/>
          </w:tcPr>
          <w:p>
            <w:pPr>
              <w:pStyle w:val="33"/>
              <w:keepNext w:val="0"/>
              <w:keepLines w:val="0"/>
              <w:suppressLineNumbers w:val="0"/>
              <w:spacing w:before="123"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2895" w:type="dxa"/>
          </w:tcPr>
          <w:p>
            <w:pPr>
              <w:pStyle w:val="33"/>
              <w:keepNext w:val="0"/>
              <w:keepLines w:val="0"/>
              <w:suppressLineNumbers w:val="0"/>
              <w:spacing w:before="102"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1000～5000 万元</w:t>
            </w:r>
          </w:p>
        </w:tc>
        <w:tc>
          <w:tcPr>
            <w:tcW w:w="1923" w:type="dxa"/>
          </w:tcPr>
          <w:p>
            <w:pPr>
              <w:pStyle w:val="33"/>
              <w:keepNext w:val="0"/>
              <w:keepLines w:val="0"/>
              <w:suppressLineNumbers w:val="0"/>
              <w:spacing w:before="111" w:beforeAutospacing="0" w:afterAutospacing="0"/>
              <w:ind w:left="845"/>
              <w:rPr>
                <w:rFonts w:hint="eastAsia" w:ascii="宋体" w:hAnsi="宋体" w:eastAsia="宋体" w:cs="宋体"/>
                <w:color w:val="auto"/>
                <w:sz w:val="24"/>
                <w:highlight w:val="none"/>
              </w:rPr>
            </w:pPr>
            <w:r>
              <w:rPr>
                <w:rFonts w:hint="eastAsia" w:ascii="宋体" w:hAnsi="宋体" w:eastAsia="宋体" w:cs="宋体"/>
                <w:color w:val="auto"/>
                <w:sz w:val="24"/>
                <w:highlight w:val="none"/>
              </w:rPr>
              <w:t>0.5%</w:t>
            </w:r>
          </w:p>
        </w:tc>
        <w:tc>
          <w:tcPr>
            <w:tcW w:w="1912" w:type="dxa"/>
          </w:tcPr>
          <w:p>
            <w:pPr>
              <w:pStyle w:val="33"/>
              <w:keepNext w:val="0"/>
              <w:keepLines w:val="0"/>
              <w:suppressLineNumbers w:val="0"/>
              <w:spacing w:before="111" w:beforeAutospacing="0" w:afterAutospacing="0"/>
              <w:ind w:right="523"/>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0.25%</w:t>
            </w:r>
          </w:p>
        </w:tc>
        <w:tc>
          <w:tcPr>
            <w:tcW w:w="1747" w:type="dxa"/>
          </w:tcPr>
          <w:p>
            <w:pPr>
              <w:pStyle w:val="33"/>
              <w:keepNext w:val="0"/>
              <w:keepLines w:val="0"/>
              <w:suppressLineNumbers w:val="0"/>
              <w:spacing w:before="111"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895" w:type="dxa"/>
          </w:tcPr>
          <w:p>
            <w:pPr>
              <w:pStyle w:val="33"/>
              <w:keepNext w:val="0"/>
              <w:keepLines w:val="0"/>
              <w:suppressLineNumbers w:val="0"/>
              <w:spacing w:before="116"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5000 万元～1 亿元</w:t>
            </w:r>
          </w:p>
        </w:tc>
        <w:tc>
          <w:tcPr>
            <w:tcW w:w="1923" w:type="dxa"/>
          </w:tcPr>
          <w:p>
            <w:pPr>
              <w:pStyle w:val="33"/>
              <w:keepNext w:val="0"/>
              <w:keepLines w:val="0"/>
              <w:suppressLineNumbers w:val="0"/>
              <w:spacing w:before="122" w:beforeAutospacing="0" w:afterAutospacing="0"/>
              <w:ind w:left="783"/>
              <w:rPr>
                <w:rFonts w:hint="eastAsia" w:ascii="宋体" w:hAnsi="宋体" w:eastAsia="宋体" w:cs="宋体"/>
                <w:color w:val="auto"/>
                <w:sz w:val="24"/>
                <w:highlight w:val="none"/>
              </w:rPr>
            </w:pPr>
            <w:r>
              <w:rPr>
                <w:rFonts w:hint="eastAsia" w:ascii="宋体" w:hAnsi="宋体" w:eastAsia="宋体" w:cs="宋体"/>
                <w:color w:val="auto"/>
                <w:sz w:val="24"/>
                <w:highlight w:val="none"/>
              </w:rPr>
              <w:t>0.25%</w:t>
            </w:r>
          </w:p>
        </w:tc>
        <w:tc>
          <w:tcPr>
            <w:tcW w:w="1912" w:type="dxa"/>
          </w:tcPr>
          <w:p>
            <w:pPr>
              <w:pStyle w:val="33"/>
              <w:keepNext w:val="0"/>
              <w:keepLines w:val="0"/>
              <w:suppressLineNumbers w:val="0"/>
              <w:spacing w:before="122" w:beforeAutospacing="0" w:afterAutospacing="0"/>
              <w:ind w:left="837"/>
              <w:rPr>
                <w:rFonts w:hint="eastAsia" w:ascii="宋体" w:hAnsi="宋体" w:eastAsia="宋体" w:cs="宋体"/>
                <w:color w:val="auto"/>
                <w:sz w:val="24"/>
                <w:highlight w:val="none"/>
              </w:rPr>
            </w:pPr>
            <w:r>
              <w:rPr>
                <w:rFonts w:hint="eastAsia" w:ascii="宋体" w:hAnsi="宋体" w:eastAsia="宋体" w:cs="宋体"/>
                <w:color w:val="auto"/>
                <w:sz w:val="24"/>
                <w:highlight w:val="none"/>
              </w:rPr>
              <w:t>0.1%</w:t>
            </w:r>
          </w:p>
        </w:tc>
        <w:tc>
          <w:tcPr>
            <w:tcW w:w="1747" w:type="dxa"/>
          </w:tcPr>
          <w:p>
            <w:pPr>
              <w:pStyle w:val="33"/>
              <w:keepNext w:val="0"/>
              <w:keepLines w:val="0"/>
              <w:suppressLineNumbers w:val="0"/>
              <w:spacing w:before="122" w:beforeAutospacing="0" w:afterAutospacing="0"/>
              <w:ind w:left="757"/>
              <w:rPr>
                <w:rFonts w:hint="eastAsia" w:ascii="宋体" w:hAnsi="宋体" w:eastAsia="宋体" w:cs="宋体"/>
                <w:color w:val="auto"/>
                <w:sz w:val="24"/>
                <w:highlight w:val="none"/>
              </w:rPr>
            </w:pPr>
            <w:r>
              <w:rPr>
                <w:rFonts w:hint="eastAsia" w:ascii="宋体" w:hAnsi="宋体" w:eastAsia="宋体" w:cs="宋体"/>
                <w:color w:val="auto"/>
                <w:sz w:val="24"/>
                <w:highlight w:val="none"/>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895" w:type="dxa"/>
          </w:tcPr>
          <w:p>
            <w:pPr>
              <w:pStyle w:val="33"/>
              <w:keepNext w:val="0"/>
              <w:keepLines w:val="0"/>
              <w:suppressLineNumbers w:val="0"/>
              <w:spacing w:before="101"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1～5 亿元</w:t>
            </w:r>
          </w:p>
        </w:tc>
        <w:tc>
          <w:tcPr>
            <w:tcW w:w="1923" w:type="dxa"/>
          </w:tcPr>
          <w:p>
            <w:pPr>
              <w:pStyle w:val="33"/>
              <w:keepNext w:val="0"/>
              <w:keepLines w:val="0"/>
              <w:suppressLineNumbers w:val="0"/>
              <w:spacing w:before="110" w:beforeAutospacing="0" w:afterAutospacing="0"/>
              <w:ind w:left="783"/>
              <w:rPr>
                <w:rFonts w:hint="eastAsia" w:ascii="宋体" w:hAnsi="宋体" w:eastAsia="宋体" w:cs="宋体"/>
                <w:color w:val="auto"/>
                <w:sz w:val="24"/>
                <w:highlight w:val="none"/>
              </w:rPr>
            </w:pPr>
            <w:r>
              <w:rPr>
                <w:rFonts w:hint="eastAsia" w:ascii="宋体" w:hAnsi="宋体" w:eastAsia="宋体" w:cs="宋体"/>
                <w:color w:val="auto"/>
                <w:sz w:val="24"/>
                <w:highlight w:val="none"/>
              </w:rPr>
              <w:t>0.05%</w:t>
            </w:r>
          </w:p>
        </w:tc>
        <w:tc>
          <w:tcPr>
            <w:tcW w:w="1912" w:type="dxa"/>
          </w:tcPr>
          <w:p>
            <w:pPr>
              <w:pStyle w:val="33"/>
              <w:keepNext w:val="0"/>
              <w:keepLines w:val="0"/>
              <w:suppressLineNumbers w:val="0"/>
              <w:spacing w:before="110" w:beforeAutospacing="0" w:afterAutospacing="0"/>
              <w:ind w:left="638" w:right="62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0.05%</w:t>
            </w:r>
          </w:p>
        </w:tc>
        <w:tc>
          <w:tcPr>
            <w:tcW w:w="1747" w:type="dxa"/>
          </w:tcPr>
          <w:p>
            <w:pPr>
              <w:pStyle w:val="33"/>
              <w:keepNext w:val="0"/>
              <w:keepLines w:val="0"/>
              <w:suppressLineNumbers w:val="0"/>
              <w:spacing w:before="110" w:beforeAutospacing="0" w:afterAutospacing="0"/>
              <w:ind w:left="574"/>
              <w:rPr>
                <w:rFonts w:hint="eastAsia" w:ascii="宋体" w:hAnsi="宋体" w:eastAsia="宋体" w:cs="宋体"/>
                <w:color w:val="auto"/>
                <w:sz w:val="24"/>
                <w:highlight w:val="none"/>
              </w:rPr>
            </w:pPr>
            <w:r>
              <w:rPr>
                <w:rFonts w:hint="eastAsia" w:ascii="宋体" w:hAnsi="宋体" w:eastAsia="宋体" w:cs="宋体"/>
                <w:color w:val="auto"/>
                <w:sz w:val="24"/>
                <w:highlight w:val="none"/>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3"/>
              <w:keepNext w:val="0"/>
              <w:keepLines w:val="0"/>
              <w:suppressLineNumbers w:val="0"/>
              <w:spacing w:before="115"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5～10 亿元</w:t>
            </w:r>
          </w:p>
        </w:tc>
        <w:tc>
          <w:tcPr>
            <w:tcW w:w="1923" w:type="dxa"/>
          </w:tcPr>
          <w:p>
            <w:pPr>
              <w:pStyle w:val="33"/>
              <w:keepNext w:val="0"/>
              <w:keepLines w:val="0"/>
              <w:suppressLineNumbers w:val="0"/>
              <w:spacing w:before="124" w:beforeAutospacing="0" w:afterAutospacing="0"/>
              <w:ind w:left="663"/>
              <w:rPr>
                <w:rFonts w:hint="eastAsia" w:ascii="宋体" w:hAnsi="宋体" w:eastAsia="宋体" w:cs="宋体"/>
                <w:color w:val="auto"/>
                <w:sz w:val="24"/>
                <w:highlight w:val="none"/>
              </w:rPr>
            </w:pPr>
            <w:r>
              <w:rPr>
                <w:rFonts w:hint="eastAsia" w:ascii="宋体" w:hAnsi="宋体" w:eastAsia="宋体" w:cs="宋体"/>
                <w:color w:val="auto"/>
                <w:sz w:val="24"/>
                <w:highlight w:val="none"/>
              </w:rPr>
              <w:t>0.035%</w:t>
            </w:r>
          </w:p>
        </w:tc>
        <w:tc>
          <w:tcPr>
            <w:tcW w:w="1912" w:type="dxa"/>
          </w:tcPr>
          <w:p>
            <w:pPr>
              <w:pStyle w:val="33"/>
              <w:keepNext w:val="0"/>
              <w:keepLines w:val="0"/>
              <w:suppressLineNumbers w:val="0"/>
              <w:spacing w:before="124" w:beforeAutospacing="0" w:afterAutospacing="0"/>
              <w:ind w:left="597"/>
              <w:rPr>
                <w:rFonts w:hint="eastAsia" w:ascii="宋体" w:hAnsi="宋体" w:eastAsia="宋体" w:cs="宋体"/>
                <w:color w:val="auto"/>
                <w:sz w:val="24"/>
                <w:highlight w:val="none"/>
              </w:rPr>
            </w:pPr>
            <w:r>
              <w:rPr>
                <w:rFonts w:hint="eastAsia" w:ascii="宋体" w:hAnsi="宋体" w:eastAsia="宋体" w:cs="宋体"/>
                <w:color w:val="auto"/>
                <w:sz w:val="24"/>
                <w:highlight w:val="none"/>
              </w:rPr>
              <w:t>0.035%</w:t>
            </w:r>
          </w:p>
        </w:tc>
        <w:tc>
          <w:tcPr>
            <w:tcW w:w="1747" w:type="dxa"/>
          </w:tcPr>
          <w:p>
            <w:pPr>
              <w:pStyle w:val="33"/>
              <w:keepNext w:val="0"/>
              <w:keepLines w:val="0"/>
              <w:suppressLineNumbers w:val="0"/>
              <w:spacing w:before="124"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895" w:type="dxa"/>
          </w:tcPr>
          <w:p>
            <w:pPr>
              <w:pStyle w:val="33"/>
              <w:keepNext w:val="0"/>
              <w:keepLines w:val="0"/>
              <w:suppressLineNumbers w:val="0"/>
              <w:spacing w:before="103"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10～50 亿元</w:t>
            </w:r>
          </w:p>
        </w:tc>
        <w:tc>
          <w:tcPr>
            <w:tcW w:w="1923" w:type="dxa"/>
          </w:tcPr>
          <w:p>
            <w:pPr>
              <w:pStyle w:val="33"/>
              <w:keepNext w:val="0"/>
              <w:keepLines w:val="0"/>
              <w:suppressLineNumbers w:val="0"/>
              <w:spacing w:before="109" w:beforeAutospacing="0" w:afterAutospacing="0"/>
              <w:ind w:left="663"/>
              <w:rPr>
                <w:rFonts w:hint="eastAsia" w:ascii="宋体" w:hAnsi="宋体" w:eastAsia="宋体" w:cs="宋体"/>
                <w:color w:val="auto"/>
                <w:sz w:val="24"/>
                <w:highlight w:val="none"/>
              </w:rPr>
            </w:pPr>
            <w:r>
              <w:rPr>
                <w:rFonts w:hint="eastAsia" w:ascii="宋体" w:hAnsi="宋体" w:eastAsia="宋体" w:cs="宋体"/>
                <w:color w:val="auto"/>
                <w:sz w:val="24"/>
                <w:highlight w:val="none"/>
              </w:rPr>
              <w:t>0.008%</w:t>
            </w:r>
          </w:p>
        </w:tc>
        <w:tc>
          <w:tcPr>
            <w:tcW w:w="1912" w:type="dxa"/>
          </w:tcPr>
          <w:p>
            <w:pPr>
              <w:pStyle w:val="33"/>
              <w:keepNext w:val="0"/>
              <w:keepLines w:val="0"/>
              <w:suppressLineNumbers w:val="0"/>
              <w:spacing w:before="109" w:beforeAutospacing="0" w:afterAutospacing="0"/>
              <w:ind w:right="463"/>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0.008%</w:t>
            </w:r>
          </w:p>
        </w:tc>
        <w:tc>
          <w:tcPr>
            <w:tcW w:w="1747" w:type="dxa"/>
          </w:tcPr>
          <w:p>
            <w:pPr>
              <w:pStyle w:val="33"/>
              <w:keepNext w:val="0"/>
              <w:keepLines w:val="0"/>
              <w:suppressLineNumbers w:val="0"/>
              <w:spacing w:before="109"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895" w:type="dxa"/>
          </w:tcPr>
          <w:p>
            <w:pPr>
              <w:pStyle w:val="33"/>
              <w:keepNext w:val="0"/>
              <w:keepLines w:val="0"/>
              <w:suppressLineNumbers w:val="0"/>
              <w:spacing w:before="114"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50～100 亿元</w:t>
            </w:r>
          </w:p>
        </w:tc>
        <w:tc>
          <w:tcPr>
            <w:tcW w:w="1923" w:type="dxa"/>
          </w:tcPr>
          <w:p>
            <w:pPr>
              <w:pStyle w:val="33"/>
              <w:keepNext w:val="0"/>
              <w:keepLines w:val="0"/>
              <w:suppressLineNumbers w:val="0"/>
              <w:spacing w:before="123" w:beforeAutospacing="0" w:afterAutospacing="0"/>
              <w:ind w:left="603"/>
              <w:rPr>
                <w:rFonts w:hint="eastAsia" w:ascii="宋体" w:hAnsi="宋体" w:eastAsia="宋体" w:cs="宋体"/>
                <w:color w:val="auto"/>
                <w:sz w:val="24"/>
                <w:highlight w:val="none"/>
              </w:rPr>
            </w:pPr>
            <w:r>
              <w:rPr>
                <w:rFonts w:hint="eastAsia" w:ascii="宋体" w:hAnsi="宋体" w:eastAsia="宋体" w:cs="宋体"/>
                <w:color w:val="auto"/>
                <w:sz w:val="24"/>
                <w:highlight w:val="none"/>
              </w:rPr>
              <w:t>0.006%</w:t>
            </w:r>
          </w:p>
        </w:tc>
        <w:tc>
          <w:tcPr>
            <w:tcW w:w="1912" w:type="dxa"/>
          </w:tcPr>
          <w:p>
            <w:pPr>
              <w:pStyle w:val="33"/>
              <w:keepNext w:val="0"/>
              <w:keepLines w:val="0"/>
              <w:suppressLineNumbers w:val="0"/>
              <w:spacing w:before="123" w:beforeAutospacing="0" w:afterAutospacing="0"/>
              <w:ind w:right="463"/>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0.006%</w:t>
            </w:r>
          </w:p>
        </w:tc>
        <w:tc>
          <w:tcPr>
            <w:tcW w:w="1747" w:type="dxa"/>
          </w:tcPr>
          <w:p>
            <w:pPr>
              <w:pStyle w:val="33"/>
              <w:keepNext w:val="0"/>
              <w:keepLines w:val="0"/>
              <w:suppressLineNumbers w:val="0"/>
              <w:spacing w:before="123"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895" w:type="dxa"/>
          </w:tcPr>
          <w:p>
            <w:pPr>
              <w:pStyle w:val="33"/>
              <w:keepNext w:val="0"/>
              <w:keepLines w:val="0"/>
              <w:suppressLineNumbers w:val="0"/>
              <w:spacing w:before="198" w:beforeAutospacing="0" w:afterAutospacing="0"/>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100 亿以上</w:t>
            </w:r>
          </w:p>
        </w:tc>
        <w:tc>
          <w:tcPr>
            <w:tcW w:w="1923" w:type="dxa"/>
          </w:tcPr>
          <w:p>
            <w:pPr>
              <w:pStyle w:val="33"/>
              <w:keepNext w:val="0"/>
              <w:keepLines w:val="0"/>
              <w:suppressLineNumbers w:val="0"/>
              <w:spacing w:before="207" w:beforeAutospacing="0" w:afterAutospacing="0"/>
              <w:ind w:left="603"/>
              <w:rPr>
                <w:rFonts w:hint="eastAsia" w:ascii="宋体" w:hAnsi="宋体" w:eastAsia="宋体" w:cs="宋体"/>
                <w:color w:val="auto"/>
                <w:sz w:val="24"/>
                <w:highlight w:val="none"/>
              </w:rPr>
            </w:pPr>
            <w:r>
              <w:rPr>
                <w:rFonts w:hint="eastAsia" w:ascii="宋体" w:hAnsi="宋体" w:eastAsia="宋体" w:cs="宋体"/>
                <w:color w:val="auto"/>
                <w:sz w:val="24"/>
                <w:highlight w:val="none"/>
              </w:rPr>
              <w:t>0.004%</w:t>
            </w:r>
          </w:p>
        </w:tc>
        <w:tc>
          <w:tcPr>
            <w:tcW w:w="1912" w:type="dxa"/>
          </w:tcPr>
          <w:p>
            <w:pPr>
              <w:pStyle w:val="33"/>
              <w:keepNext w:val="0"/>
              <w:keepLines w:val="0"/>
              <w:suppressLineNumbers w:val="0"/>
              <w:spacing w:before="207" w:beforeAutospacing="0" w:afterAutospacing="0"/>
              <w:ind w:right="463"/>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0.004%</w:t>
            </w:r>
          </w:p>
        </w:tc>
        <w:tc>
          <w:tcPr>
            <w:tcW w:w="1747" w:type="dxa"/>
          </w:tcPr>
          <w:p>
            <w:pPr>
              <w:pStyle w:val="33"/>
              <w:keepNext w:val="0"/>
              <w:keepLines w:val="0"/>
              <w:suppressLineNumbers w:val="0"/>
              <w:spacing w:before="207" w:beforeAutospacing="0" w:afterAutospacing="0"/>
              <w:ind w:right="44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0.004%</w:t>
            </w:r>
          </w:p>
        </w:tc>
      </w:tr>
    </w:tbl>
    <w:p>
      <w:pPr>
        <w:spacing w:line="362" w:lineRule="auto"/>
        <w:ind w:left="231" w:right="633" w:firstLine="480"/>
        <w:jc w:val="both"/>
        <w:rPr>
          <w:rFonts w:hint="eastAsia" w:ascii="宋体" w:hAnsi="宋体" w:eastAsia="宋体" w:cs="宋体"/>
          <w:color w:val="auto"/>
          <w:highlight w:val="none"/>
        </w:rPr>
      </w:pPr>
      <w:r>
        <w:rPr>
          <w:rFonts w:hint="eastAsia" w:ascii="宋体" w:hAnsi="宋体" w:eastAsia="宋体" w:cs="宋体"/>
          <w:color w:val="auto"/>
          <w:highlight w:val="none"/>
        </w:rPr>
        <w:t>招标代理服务收费按差额定率累进法计算。例如：某服务采购项目招标代理业务中标金额为 200 万元，计算招标代理服务收费额如下：</w:t>
      </w:r>
    </w:p>
    <w:p>
      <w:pPr>
        <w:spacing w:before="5"/>
        <w:ind w:left="471"/>
        <w:rPr>
          <w:rFonts w:hint="eastAsia" w:ascii="宋体" w:hAnsi="宋体" w:eastAsia="宋体" w:cs="宋体"/>
          <w:color w:val="auto"/>
          <w:highlight w:val="none"/>
        </w:rPr>
      </w:pPr>
      <w:r>
        <w:rPr>
          <w:rFonts w:hint="eastAsia" w:ascii="宋体" w:hAnsi="宋体" w:eastAsia="宋体" w:cs="宋体"/>
          <w:color w:val="auto"/>
          <w:highlight w:val="none"/>
        </w:rPr>
        <w:t>100×1.5％=1.5 万元</w:t>
      </w:r>
    </w:p>
    <w:p>
      <w:pPr>
        <w:spacing w:before="160" w:line="362" w:lineRule="auto"/>
        <w:ind w:left="471" w:right="6025" w:hanging="120"/>
        <w:rPr>
          <w:rFonts w:hint="eastAsia" w:ascii="宋体" w:hAnsi="宋体" w:eastAsia="宋体" w:cs="宋体"/>
          <w:color w:val="auto"/>
          <w:highlight w:val="none"/>
        </w:rPr>
      </w:pPr>
      <w:bookmarkStart w:id="46" w:name="（200-100）万元×0.8％=0.8万元"/>
      <w:bookmarkEnd w:id="46"/>
      <w:r>
        <w:rPr>
          <w:rFonts w:hint="eastAsia" w:ascii="宋体" w:hAnsi="宋体" w:eastAsia="宋体" w:cs="宋体"/>
          <w:color w:val="auto"/>
          <w:highlight w:val="none"/>
        </w:rPr>
        <w:t>（200-100）万元×0.8％=0.8 万元合计收费=1.5+0.8=2.3 万元。</w:t>
      </w:r>
    </w:p>
    <w:sectPr>
      <w:pgSz w:w="11910" w:h="16840"/>
      <w:pgMar w:top="1134" w:right="1134" w:bottom="1134" w:left="1134" w:header="0" w:footer="998"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2"/>
      </w:rPr>
    </w:pPr>
    <w:r>
      <mc:AlternateContent>
        <mc:Choice Requires="wps">
          <w:drawing>
            <wp:anchor distT="0" distB="0" distL="114300" distR="114300" simplePos="0" relativeHeight="251660288" behindDoc="1" locked="0" layoutInCell="1" allowOverlap="1">
              <wp:simplePos x="0" y="0"/>
              <wp:positionH relativeFrom="page">
                <wp:posOffset>3860800</wp:posOffset>
              </wp:positionH>
              <wp:positionV relativeFrom="page">
                <wp:posOffset>9919335</wp:posOffset>
              </wp:positionV>
              <wp:extent cx="109220" cy="1397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pt;margin-top:781.05pt;height:11pt;width:8.6pt;mso-position-horizontal-relative:page;mso-position-vertical-relative:page;z-index:-251656192;mso-width-relative:page;mso-height-relative:page;" filled="f" stroked="f" coordsize="21600,21600" o:gfxdata="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2hXfNoAAAANAQAADwAAAAAAAAABACAAAAAiAAAAZHJzL2Rvd25yZXYueG1sUEsB&#10;AhQAFAAAAAgAh07iQJi4LHi6AQAAcgMAAA4AAAAAAAAAAQAgAAAAKQ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3831590</wp:posOffset>
              </wp:positionH>
              <wp:positionV relativeFrom="page">
                <wp:posOffset>9919335</wp:posOffset>
              </wp:positionV>
              <wp:extent cx="167005" cy="139700"/>
              <wp:effectExtent l="0" t="0" r="0" b="0"/>
              <wp:wrapNone/>
              <wp:docPr id="22"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301.7pt;margin-top:781.05pt;height:11pt;width:13.15pt;mso-position-horizontal-relative:page;mso-position-vertical-relative:page;z-index:-251655168;mso-width-relative:page;mso-height-relative:page;" filled="f" stroked="f" coordsize="21600,21600" o:gfxdata="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6HKc2wAAAA0BAAAPAAAAAAAAAAEAIAAAACIAAABkcnMvZG93bnJldi54bWxQSwEC&#10;FAAUAAAACACHTuJA/yLM5bgBAAByAwAADgAAAAAAAAABACAAAAAq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3831590</wp:posOffset>
              </wp:positionH>
              <wp:positionV relativeFrom="page">
                <wp:posOffset>9919335</wp:posOffset>
              </wp:positionV>
              <wp:extent cx="167005" cy="139700"/>
              <wp:effectExtent l="0" t="0" r="0" b="0"/>
              <wp:wrapNone/>
              <wp:docPr id="28"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left:301.7pt;margin-top:781.05pt;height:11pt;width:13.15pt;mso-position-horizontal-relative:page;mso-position-vertical-relative:page;z-index:-251644928;mso-width-relative:page;mso-height-relative:page;" filled="f" stroked="f" coordsize="21600,21600" o:gfxdata="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6HKc2wAAAA0BAAAPAAAAAAAAAAEAIAAAACIAAABkcnMvZG93bnJldi54bWxQSwEC&#10;FAAUAAAACACHTuJAur3KbrgBAAByAwAADgAAAAAAAAABACAAAAAq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3714115</wp:posOffset>
              </wp:positionH>
              <wp:positionV relativeFrom="page">
                <wp:posOffset>9919335</wp:posOffset>
              </wp:positionV>
              <wp:extent cx="167005" cy="139700"/>
              <wp:effectExtent l="0" t="0" r="0" b="0"/>
              <wp:wrapNone/>
              <wp:docPr id="25"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2.45pt;margin-top:781.05pt;height:11pt;width:13.15pt;mso-position-horizontal-relative:page;mso-position-vertical-relative:page;z-index:-251654144;mso-width-relative:page;mso-height-relative:page;" filled="f" stroked="f" coordsize="21600,21600" o:gfxdata="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iQjsb2wAAAA0BAAAPAAAAAAAAAAEAIAAAACIAAABkcnMvZG93bnJldi54bWxQSwEC&#10;FAAUAAAACACHTuJAtvvzOrgBAAByAwAADgAAAAAAAAABACAAAAAq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3714115</wp:posOffset>
              </wp:positionH>
              <wp:positionV relativeFrom="page">
                <wp:posOffset>9919335</wp:posOffset>
              </wp:positionV>
              <wp:extent cx="167005" cy="139700"/>
              <wp:effectExtent l="0" t="0" r="0" b="0"/>
              <wp:wrapNone/>
              <wp:docPr id="26" name="文本框 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2.45pt;margin-top:781.05pt;height:11pt;width:13.15pt;mso-position-horizontal-relative:page;mso-position-vertical-relative:page;z-index:-251653120;mso-width-relative:page;mso-height-relative:page;" filled="f" stroked="f" coordsize="21600,21600" o:gfxdata="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kI7G9sAAAANAQAADwAAAAAAAAABACAAAAAiAAAAZHJzL2Rvd25yZXYueG1sUEsB&#10;AhQAFAAAAAgAh07iQOjv+AS5AQAAcgMAAA4AAAAAAAAAAQAgAAAAKg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3714115</wp:posOffset>
              </wp:positionH>
              <wp:positionV relativeFrom="page">
                <wp:posOffset>9919335</wp:posOffset>
              </wp:positionV>
              <wp:extent cx="167005" cy="139700"/>
              <wp:effectExtent l="0" t="0" r="0" b="0"/>
              <wp:wrapNone/>
              <wp:docPr id="27"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2.45pt;margin-top:781.05pt;height:11pt;width:13.15pt;mso-position-horizontal-relative:page;mso-position-vertical-relative:page;z-index:-251652096;mso-width-relative:page;mso-height-relative:page;" filled="f" stroked="f" coordsize="21600,21600" o:gfxdata="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kI7G9sAAAANAQAADwAAAAAAAAABACAAAAAiAAAAZHJzL2Rvd25yZXYueG1sUEsB&#10;AhQAFAAAAAgAh07iQB0e0ae5AQAAcgMAAA4AAAAAAAAAAQAgAAAAKg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231" w:hanging="252"/>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192" w:hanging="252"/>
      </w:pPr>
      <w:rPr>
        <w:rFonts w:hint="default"/>
        <w:lang w:val="zh-CN" w:eastAsia="zh-CN" w:bidi="zh-CN"/>
      </w:rPr>
    </w:lvl>
    <w:lvl w:ilvl="2" w:tentative="0">
      <w:start w:val="0"/>
      <w:numFmt w:val="bullet"/>
      <w:lvlText w:val="•"/>
      <w:lvlJc w:val="left"/>
      <w:pPr>
        <w:ind w:left="2145" w:hanging="252"/>
      </w:pPr>
      <w:rPr>
        <w:rFonts w:hint="default"/>
        <w:lang w:val="zh-CN" w:eastAsia="zh-CN" w:bidi="zh-CN"/>
      </w:rPr>
    </w:lvl>
    <w:lvl w:ilvl="3" w:tentative="0">
      <w:start w:val="0"/>
      <w:numFmt w:val="bullet"/>
      <w:lvlText w:val="•"/>
      <w:lvlJc w:val="left"/>
      <w:pPr>
        <w:ind w:left="3097" w:hanging="252"/>
      </w:pPr>
      <w:rPr>
        <w:rFonts w:hint="default"/>
        <w:lang w:val="zh-CN" w:eastAsia="zh-CN" w:bidi="zh-CN"/>
      </w:rPr>
    </w:lvl>
    <w:lvl w:ilvl="4" w:tentative="0">
      <w:start w:val="0"/>
      <w:numFmt w:val="bullet"/>
      <w:lvlText w:val="•"/>
      <w:lvlJc w:val="left"/>
      <w:pPr>
        <w:ind w:left="4050" w:hanging="252"/>
      </w:pPr>
      <w:rPr>
        <w:rFonts w:hint="default"/>
        <w:lang w:val="zh-CN" w:eastAsia="zh-CN" w:bidi="zh-CN"/>
      </w:rPr>
    </w:lvl>
    <w:lvl w:ilvl="5" w:tentative="0">
      <w:start w:val="0"/>
      <w:numFmt w:val="bullet"/>
      <w:lvlText w:val="•"/>
      <w:lvlJc w:val="left"/>
      <w:pPr>
        <w:ind w:left="5003" w:hanging="252"/>
      </w:pPr>
      <w:rPr>
        <w:rFonts w:hint="default"/>
        <w:lang w:val="zh-CN" w:eastAsia="zh-CN" w:bidi="zh-CN"/>
      </w:rPr>
    </w:lvl>
    <w:lvl w:ilvl="6" w:tentative="0">
      <w:start w:val="0"/>
      <w:numFmt w:val="bullet"/>
      <w:lvlText w:val="•"/>
      <w:lvlJc w:val="left"/>
      <w:pPr>
        <w:ind w:left="5955" w:hanging="252"/>
      </w:pPr>
      <w:rPr>
        <w:rFonts w:hint="default"/>
        <w:lang w:val="zh-CN" w:eastAsia="zh-CN" w:bidi="zh-CN"/>
      </w:rPr>
    </w:lvl>
    <w:lvl w:ilvl="7" w:tentative="0">
      <w:start w:val="0"/>
      <w:numFmt w:val="bullet"/>
      <w:lvlText w:val="•"/>
      <w:lvlJc w:val="left"/>
      <w:pPr>
        <w:ind w:left="6908" w:hanging="252"/>
      </w:pPr>
      <w:rPr>
        <w:rFonts w:hint="default"/>
        <w:lang w:val="zh-CN" w:eastAsia="zh-CN" w:bidi="zh-CN"/>
      </w:rPr>
    </w:lvl>
    <w:lvl w:ilvl="8" w:tentative="0">
      <w:start w:val="0"/>
      <w:numFmt w:val="bullet"/>
      <w:lvlText w:val="•"/>
      <w:lvlJc w:val="left"/>
      <w:pPr>
        <w:ind w:left="7860" w:hanging="252"/>
      </w:pPr>
      <w:rPr>
        <w:rFonts w:hint="default"/>
        <w:lang w:val="zh-CN" w:eastAsia="zh-CN" w:bidi="zh-CN"/>
      </w:rPr>
    </w:lvl>
  </w:abstractNum>
  <w:abstractNum w:abstractNumId="1">
    <w:nsid w:val="A098EA56"/>
    <w:multiLevelType w:val="singleLevel"/>
    <w:tmpl w:val="A098EA56"/>
    <w:lvl w:ilvl="0" w:tentative="0">
      <w:start w:val="5"/>
      <w:numFmt w:val="chineseCounting"/>
      <w:suff w:val="nothing"/>
      <w:lvlText w:val="（%1）"/>
      <w:lvlJc w:val="left"/>
      <w:rPr>
        <w:rFonts w:hint="eastAsia"/>
      </w:rPr>
    </w:lvl>
  </w:abstractNum>
  <w:abstractNum w:abstractNumId="2">
    <w:nsid w:val="B8CEF35B"/>
    <w:multiLevelType w:val="multilevel"/>
    <w:tmpl w:val="B8CEF35B"/>
    <w:lvl w:ilvl="0" w:tentative="0">
      <w:start w:val="1"/>
      <w:numFmt w:val="decimal"/>
      <w:lvlText w:val="%1."/>
      <w:lvlJc w:val="left"/>
      <w:pPr>
        <w:ind w:left="2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92" w:hanging="212"/>
      </w:pPr>
      <w:rPr>
        <w:rFonts w:hint="default"/>
        <w:lang w:val="zh-CN" w:eastAsia="zh-CN" w:bidi="zh-CN"/>
      </w:rPr>
    </w:lvl>
    <w:lvl w:ilvl="2" w:tentative="0">
      <w:start w:val="0"/>
      <w:numFmt w:val="bullet"/>
      <w:lvlText w:val="•"/>
      <w:lvlJc w:val="left"/>
      <w:pPr>
        <w:ind w:left="2145" w:hanging="212"/>
      </w:pPr>
      <w:rPr>
        <w:rFonts w:hint="default"/>
        <w:lang w:val="zh-CN" w:eastAsia="zh-CN" w:bidi="zh-CN"/>
      </w:rPr>
    </w:lvl>
    <w:lvl w:ilvl="3" w:tentative="0">
      <w:start w:val="0"/>
      <w:numFmt w:val="bullet"/>
      <w:lvlText w:val="•"/>
      <w:lvlJc w:val="left"/>
      <w:pPr>
        <w:ind w:left="3097" w:hanging="212"/>
      </w:pPr>
      <w:rPr>
        <w:rFonts w:hint="default"/>
        <w:lang w:val="zh-CN" w:eastAsia="zh-CN" w:bidi="zh-CN"/>
      </w:rPr>
    </w:lvl>
    <w:lvl w:ilvl="4" w:tentative="0">
      <w:start w:val="0"/>
      <w:numFmt w:val="bullet"/>
      <w:lvlText w:val="•"/>
      <w:lvlJc w:val="left"/>
      <w:pPr>
        <w:ind w:left="4050" w:hanging="212"/>
      </w:pPr>
      <w:rPr>
        <w:rFonts w:hint="default"/>
        <w:lang w:val="zh-CN" w:eastAsia="zh-CN" w:bidi="zh-CN"/>
      </w:rPr>
    </w:lvl>
    <w:lvl w:ilvl="5" w:tentative="0">
      <w:start w:val="0"/>
      <w:numFmt w:val="bullet"/>
      <w:lvlText w:val="•"/>
      <w:lvlJc w:val="left"/>
      <w:pPr>
        <w:ind w:left="5003" w:hanging="212"/>
      </w:pPr>
      <w:rPr>
        <w:rFonts w:hint="default"/>
        <w:lang w:val="zh-CN" w:eastAsia="zh-CN" w:bidi="zh-CN"/>
      </w:rPr>
    </w:lvl>
    <w:lvl w:ilvl="6" w:tentative="0">
      <w:start w:val="0"/>
      <w:numFmt w:val="bullet"/>
      <w:lvlText w:val="•"/>
      <w:lvlJc w:val="left"/>
      <w:pPr>
        <w:ind w:left="5955" w:hanging="212"/>
      </w:pPr>
      <w:rPr>
        <w:rFonts w:hint="default"/>
        <w:lang w:val="zh-CN" w:eastAsia="zh-CN" w:bidi="zh-CN"/>
      </w:rPr>
    </w:lvl>
    <w:lvl w:ilvl="7" w:tentative="0">
      <w:start w:val="0"/>
      <w:numFmt w:val="bullet"/>
      <w:lvlText w:val="•"/>
      <w:lvlJc w:val="left"/>
      <w:pPr>
        <w:ind w:left="6908" w:hanging="212"/>
      </w:pPr>
      <w:rPr>
        <w:rFonts w:hint="default"/>
        <w:lang w:val="zh-CN" w:eastAsia="zh-CN" w:bidi="zh-CN"/>
      </w:rPr>
    </w:lvl>
    <w:lvl w:ilvl="8" w:tentative="0">
      <w:start w:val="0"/>
      <w:numFmt w:val="bullet"/>
      <w:lvlText w:val="•"/>
      <w:lvlJc w:val="left"/>
      <w:pPr>
        <w:ind w:left="7860" w:hanging="212"/>
      </w:pPr>
      <w:rPr>
        <w:rFonts w:hint="default"/>
        <w:lang w:val="zh-CN" w:eastAsia="zh-CN" w:bidi="zh-CN"/>
      </w:rPr>
    </w:lvl>
  </w:abstractNum>
  <w:abstractNum w:abstractNumId="3">
    <w:nsid w:val="E093A4B0"/>
    <w:multiLevelType w:val="multilevel"/>
    <w:tmpl w:val="E093A4B0"/>
    <w:lvl w:ilvl="0" w:tentative="0">
      <w:start w:val="1"/>
      <w:numFmt w:val="decimal"/>
      <w:lvlText w:val="%1."/>
      <w:lvlJc w:val="left"/>
      <w:pPr>
        <w:ind w:left="592" w:hanging="361"/>
        <w:jc w:val="left"/>
      </w:pPr>
      <w:rPr>
        <w:rFonts w:hint="default" w:ascii="宋体" w:hAnsi="宋体" w:eastAsia="宋体" w:cs="宋体"/>
        <w:w w:val="99"/>
        <w:sz w:val="22"/>
        <w:szCs w:val="22"/>
        <w:lang w:val="zh-CN" w:eastAsia="zh-CN" w:bidi="zh-CN"/>
      </w:rPr>
    </w:lvl>
    <w:lvl w:ilvl="1" w:tentative="0">
      <w:start w:val="1"/>
      <w:numFmt w:val="decimal"/>
      <w:lvlText w:val="（%2）"/>
      <w:lvlJc w:val="left"/>
      <w:pPr>
        <w:ind w:left="1312" w:hanging="60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800" w:hanging="601"/>
      </w:pPr>
      <w:rPr>
        <w:rFonts w:hint="default"/>
        <w:lang w:val="zh-CN" w:eastAsia="zh-CN" w:bidi="zh-CN"/>
      </w:rPr>
    </w:lvl>
    <w:lvl w:ilvl="3" w:tentative="0">
      <w:start w:val="0"/>
      <w:numFmt w:val="bullet"/>
      <w:lvlText w:val="•"/>
      <w:lvlJc w:val="left"/>
      <w:pPr>
        <w:ind w:left="3000" w:hanging="601"/>
      </w:pPr>
      <w:rPr>
        <w:rFonts w:hint="default"/>
        <w:lang w:val="zh-CN" w:eastAsia="zh-CN" w:bidi="zh-CN"/>
      </w:rPr>
    </w:lvl>
    <w:lvl w:ilvl="4" w:tentative="0">
      <w:start w:val="0"/>
      <w:numFmt w:val="bullet"/>
      <w:lvlText w:val="•"/>
      <w:lvlJc w:val="left"/>
      <w:pPr>
        <w:ind w:left="4060" w:hanging="601"/>
      </w:pPr>
      <w:rPr>
        <w:rFonts w:hint="default"/>
        <w:lang w:val="zh-CN" w:eastAsia="zh-CN" w:bidi="zh-CN"/>
      </w:rPr>
    </w:lvl>
    <w:lvl w:ilvl="5" w:tentative="0">
      <w:start w:val="0"/>
      <w:numFmt w:val="bullet"/>
      <w:lvlText w:val="•"/>
      <w:lvlJc w:val="left"/>
      <w:pPr>
        <w:ind w:left="5011" w:hanging="601"/>
      </w:pPr>
      <w:rPr>
        <w:rFonts w:hint="default"/>
        <w:lang w:val="zh-CN" w:eastAsia="zh-CN" w:bidi="zh-CN"/>
      </w:rPr>
    </w:lvl>
    <w:lvl w:ilvl="6" w:tentative="0">
      <w:start w:val="0"/>
      <w:numFmt w:val="bullet"/>
      <w:lvlText w:val="•"/>
      <w:lvlJc w:val="left"/>
      <w:pPr>
        <w:ind w:left="5962" w:hanging="601"/>
      </w:pPr>
      <w:rPr>
        <w:rFonts w:hint="default"/>
        <w:lang w:val="zh-CN" w:eastAsia="zh-CN" w:bidi="zh-CN"/>
      </w:rPr>
    </w:lvl>
    <w:lvl w:ilvl="7" w:tentative="0">
      <w:start w:val="0"/>
      <w:numFmt w:val="bullet"/>
      <w:lvlText w:val="•"/>
      <w:lvlJc w:val="left"/>
      <w:pPr>
        <w:ind w:left="6913" w:hanging="601"/>
      </w:pPr>
      <w:rPr>
        <w:rFonts w:hint="default"/>
        <w:lang w:val="zh-CN" w:eastAsia="zh-CN" w:bidi="zh-CN"/>
      </w:rPr>
    </w:lvl>
    <w:lvl w:ilvl="8" w:tentative="0">
      <w:start w:val="0"/>
      <w:numFmt w:val="bullet"/>
      <w:lvlText w:val="•"/>
      <w:lvlJc w:val="left"/>
      <w:pPr>
        <w:ind w:left="7864" w:hanging="601"/>
      </w:pPr>
      <w:rPr>
        <w:rFonts w:hint="default"/>
        <w:lang w:val="zh-CN" w:eastAsia="zh-CN" w:bidi="zh-CN"/>
      </w:rPr>
    </w:lvl>
  </w:abstractNum>
  <w:abstractNum w:abstractNumId="4">
    <w:nsid w:val="40500B1C"/>
    <w:multiLevelType w:val="multilevel"/>
    <w:tmpl w:val="40500B1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46A08BB8"/>
    <w:multiLevelType w:val="multilevel"/>
    <w:tmpl w:val="46A08BB8"/>
    <w:lvl w:ilvl="0" w:tentative="0">
      <w:start w:val="1"/>
      <w:numFmt w:val="decimal"/>
      <w:lvlText w:val="（%1）"/>
      <w:lvlJc w:val="left"/>
      <w:pPr>
        <w:ind w:left="846" w:hanging="453"/>
        <w:jc w:val="left"/>
      </w:pPr>
      <w:rPr>
        <w:rFonts w:hint="default" w:ascii="宋体" w:hAnsi="宋体" w:eastAsia="宋体" w:cs="宋体"/>
        <w:w w:val="100"/>
        <w:sz w:val="16"/>
        <w:szCs w:val="16"/>
        <w:lang w:val="zh-CN" w:eastAsia="zh-CN" w:bidi="zh-CN"/>
      </w:rPr>
    </w:lvl>
    <w:lvl w:ilvl="1" w:tentative="0">
      <w:start w:val="0"/>
      <w:numFmt w:val="bullet"/>
      <w:lvlText w:val="•"/>
      <w:lvlJc w:val="left"/>
      <w:pPr>
        <w:ind w:left="1732" w:hanging="453"/>
      </w:pPr>
      <w:rPr>
        <w:rFonts w:hint="default"/>
        <w:lang w:val="zh-CN" w:eastAsia="zh-CN" w:bidi="zh-CN"/>
      </w:rPr>
    </w:lvl>
    <w:lvl w:ilvl="2" w:tentative="0">
      <w:start w:val="0"/>
      <w:numFmt w:val="bullet"/>
      <w:lvlText w:val="•"/>
      <w:lvlJc w:val="left"/>
      <w:pPr>
        <w:ind w:left="2625" w:hanging="453"/>
      </w:pPr>
      <w:rPr>
        <w:rFonts w:hint="default"/>
        <w:lang w:val="zh-CN" w:eastAsia="zh-CN" w:bidi="zh-CN"/>
      </w:rPr>
    </w:lvl>
    <w:lvl w:ilvl="3" w:tentative="0">
      <w:start w:val="0"/>
      <w:numFmt w:val="bullet"/>
      <w:lvlText w:val="•"/>
      <w:lvlJc w:val="left"/>
      <w:pPr>
        <w:ind w:left="3517" w:hanging="453"/>
      </w:pPr>
      <w:rPr>
        <w:rFonts w:hint="default"/>
        <w:lang w:val="zh-CN" w:eastAsia="zh-CN" w:bidi="zh-CN"/>
      </w:rPr>
    </w:lvl>
    <w:lvl w:ilvl="4" w:tentative="0">
      <w:start w:val="0"/>
      <w:numFmt w:val="bullet"/>
      <w:lvlText w:val="•"/>
      <w:lvlJc w:val="left"/>
      <w:pPr>
        <w:ind w:left="4410" w:hanging="453"/>
      </w:pPr>
      <w:rPr>
        <w:rFonts w:hint="default"/>
        <w:lang w:val="zh-CN" w:eastAsia="zh-CN" w:bidi="zh-CN"/>
      </w:rPr>
    </w:lvl>
    <w:lvl w:ilvl="5" w:tentative="0">
      <w:start w:val="0"/>
      <w:numFmt w:val="bullet"/>
      <w:lvlText w:val="•"/>
      <w:lvlJc w:val="left"/>
      <w:pPr>
        <w:ind w:left="5303" w:hanging="453"/>
      </w:pPr>
      <w:rPr>
        <w:rFonts w:hint="default"/>
        <w:lang w:val="zh-CN" w:eastAsia="zh-CN" w:bidi="zh-CN"/>
      </w:rPr>
    </w:lvl>
    <w:lvl w:ilvl="6" w:tentative="0">
      <w:start w:val="0"/>
      <w:numFmt w:val="bullet"/>
      <w:lvlText w:val="•"/>
      <w:lvlJc w:val="left"/>
      <w:pPr>
        <w:ind w:left="6195" w:hanging="453"/>
      </w:pPr>
      <w:rPr>
        <w:rFonts w:hint="default"/>
        <w:lang w:val="zh-CN" w:eastAsia="zh-CN" w:bidi="zh-CN"/>
      </w:rPr>
    </w:lvl>
    <w:lvl w:ilvl="7" w:tentative="0">
      <w:start w:val="0"/>
      <w:numFmt w:val="bullet"/>
      <w:lvlText w:val="•"/>
      <w:lvlJc w:val="left"/>
      <w:pPr>
        <w:ind w:left="7088" w:hanging="453"/>
      </w:pPr>
      <w:rPr>
        <w:rFonts w:hint="default"/>
        <w:lang w:val="zh-CN" w:eastAsia="zh-CN" w:bidi="zh-CN"/>
      </w:rPr>
    </w:lvl>
    <w:lvl w:ilvl="8" w:tentative="0">
      <w:start w:val="0"/>
      <w:numFmt w:val="bullet"/>
      <w:lvlText w:val="•"/>
      <w:lvlJc w:val="left"/>
      <w:pPr>
        <w:ind w:left="7980" w:hanging="453"/>
      </w:pPr>
      <w:rPr>
        <w:rFonts w:hint="default"/>
        <w:lang w:val="zh-CN" w:eastAsia="zh-CN" w:bidi="zh-CN"/>
      </w:rPr>
    </w:lvl>
  </w:abstractNum>
  <w:abstractNum w:abstractNumId="6">
    <w:nsid w:val="4F1C1EE0"/>
    <w:multiLevelType w:val="multilevel"/>
    <w:tmpl w:val="4F1C1EE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E29AB5A"/>
    <w:multiLevelType w:val="multilevel"/>
    <w:tmpl w:val="5E29AB5A"/>
    <w:lvl w:ilvl="0" w:tentative="0">
      <w:start w:val="1"/>
      <w:numFmt w:val="decimal"/>
      <w:lvlText w:val="%1."/>
      <w:lvlJc w:val="left"/>
      <w:pPr>
        <w:ind w:left="1071" w:hanging="360"/>
        <w:jc w:val="left"/>
      </w:pPr>
      <w:rPr>
        <w:rFonts w:hint="default"/>
        <w:spacing w:val="-34"/>
        <w:w w:val="100"/>
        <w:lang w:val="zh-CN" w:eastAsia="zh-CN" w:bidi="zh-CN"/>
      </w:rPr>
    </w:lvl>
    <w:lvl w:ilvl="1" w:tentative="0">
      <w:start w:val="0"/>
      <w:numFmt w:val="bullet"/>
      <w:lvlText w:val="•"/>
      <w:lvlJc w:val="left"/>
      <w:pPr>
        <w:ind w:left="1948" w:hanging="360"/>
      </w:pPr>
      <w:rPr>
        <w:rFonts w:hint="default"/>
        <w:lang w:val="zh-CN" w:eastAsia="zh-CN" w:bidi="zh-CN"/>
      </w:rPr>
    </w:lvl>
    <w:lvl w:ilvl="2" w:tentative="0">
      <w:start w:val="0"/>
      <w:numFmt w:val="bullet"/>
      <w:lvlText w:val="•"/>
      <w:lvlJc w:val="left"/>
      <w:pPr>
        <w:ind w:left="2817" w:hanging="360"/>
      </w:pPr>
      <w:rPr>
        <w:rFonts w:hint="default"/>
        <w:lang w:val="zh-CN" w:eastAsia="zh-CN" w:bidi="zh-CN"/>
      </w:rPr>
    </w:lvl>
    <w:lvl w:ilvl="3" w:tentative="0">
      <w:start w:val="0"/>
      <w:numFmt w:val="bullet"/>
      <w:lvlText w:val="•"/>
      <w:lvlJc w:val="left"/>
      <w:pPr>
        <w:ind w:left="3685" w:hanging="360"/>
      </w:pPr>
      <w:rPr>
        <w:rFonts w:hint="default"/>
        <w:lang w:val="zh-CN" w:eastAsia="zh-CN" w:bidi="zh-CN"/>
      </w:rPr>
    </w:lvl>
    <w:lvl w:ilvl="4" w:tentative="0">
      <w:start w:val="0"/>
      <w:numFmt w:val="bullet"/>
      <w:lvlText w:val="•"/>
      <w:lvlJc w:val="left"/>
      <w:pPr>
        <w:ind w:left="4554" w:hanging="360"/>
      </w:pPr>
      <w:rPr>
        <w:rFonts w:hint="default"/>
        <w:lang w:val="zh-CN" w:eastAsia="zh-CN" w:bidi="zh-CN"/>
      </w:rPr>
    </w:lvl>
    <w:lvl w:ilvl="5" w:tentative="0">
      <w:start w:val="0"/>
      <w:numFmt w:val="bullet"/>
      <w:lvlText w:val="•"/>
      <w:lvlJc w:val="left"/>
      <w:pPr>
        <w:ind w:left="5423" w:hanging="360"/>
      </w:pPr>
      <w:rPr>
        <w:rFonts w:hint="default"/>
        <w:lang w:val="zh-CN" w:eastAsia="zh-CN" w:bidi="zh-CN"/>
      </w:rPr>
    </w:lvl>
    <w:lvl w:ilvl="6" w:tentative="0">
      <w:start w:val="0"/>
      <w:numFmt w:val="bullet"/>
      <w:lvlText w:val="•"/>
      <w:lvlJc w:val="left"/>
      <w:pPr>
        <w:ind w:left="6291" w:hanging="360"/>
      </w:pPr>
      <w:rPr>
        <w:rFonts w:hint="default"/>
        <w:lang w:val="zh-CN" w:eastAsia="zh-CN" w:bidi="zh-CN"/>
      </w:rPr>
    </w:lvl>
    <w:lvl w:ilvl="7" w:tentative="0">
      <w:start w:val="0"/>
      <w:numFmt w:val="bullet"/>
      <w:lvlText w:val="•"/>
      <w:lvlJc w:val="left"/>
      <w:pPr>
        <w:ind w:left="7160" w:hanging="360"/>
      </w:pPr>
      <w:rPr>
        <w:rFonts w:hint="default"/>
        <w:lang w:val="zh-CN" w:eastAsia="zh-CN" w:bidi="zh-CN"/>
      </w:rPr>
    </w:lvl>
    <w:lvl w:ilvl="8" w:tentative="0">
      <w:start w:val="0"/>
      <w:numFmt w:val="bullet"/>
      <w:lvlText w:val="•"/>
      <w:lvlJc w:val="left"/>
      <w:pPr>
        <w:ind w:left="8028" w:hanging="360"/>
      </w:pPr>
      <w:rPr>
        <w:rFonts w:hint="default"/>
        <w:lang w:val="zh-CN" w:eastAsia="zh-CN" w:bidi="zh-CN"/>
      </w:r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NThkNDg0M2Q1YTk5MjAwNjAyMTc0MWUxZGY5MmQifQ=="/>
  </w:docVars>
  <w:rsids>
    <w:rsidRoot w:val="00000000"/>
    <w:rsid w:val="00207A14"/>
    <w:rsid w:val="008C6F58"/>
    <w:rsid w:val="009C26C6"/>
    <w:rsid w:val="01B5527D"/>
    <w:rsid w:val="03965F6F"/>
    <w:rsid w:val="03B9690A"/>
    <w:rsid w:val="058D5A10"/>
    <w:rsid w:val="06DB252B"/>
    <w:rsid w:val="077F03CB"/>
    <w:rsid w:val="085423A5"/>
    <w:rsid w:val="08725E75"/>
    <w:rsid w:val="0A7D3E46"/>
    <w:rsid w:val="0D8E4550"/>
    <w:rsid w:val="0E1C08F6"/>
    <w:rsid w:val="0ECF47BD"/>
    <w:rsid w:val="0EEA275E"/>
    <w:rsid w:val="101A0538"/>
    <w:rsid w:val="10C46328"/>
    <w:rsid w:val="115C4319"/>
    <w:rsid w:val="121D0BF1"/>
    <w:rsid w:val="16964B6B"/>
    <w:rsid w:val="183E4CC0"/>
    <w:rsid w:val="1C3564CD"/>
    <w:rsid w:val="1CE94EF6"/>
    <w:rsid w:val="1DE942DF"/>
    <w:rsid w:val="1F9747DA"/>
    <w:rsid w:val="1FDE36E0"/>
    <w:rsid w:val="208D1E13"/>
    <w:rsid w:val="21005E5A"/>
    <w:rsid w:val="21D33FCC"/>
    <w:rsid w:val="23133C33"/>
    <w:rsid w:val="231A4A99"/>
    <w:rsid w:val="237A0723"/>
    <w:rsid w:val="254F3F75"/>
    <w:rsid w:val="25F10571"/>
    <w:rsid w:val="2762425F"/>
    <w:rsid w:val="27863C75"/>
    <w:rsid w:val="2C036809"/>
    <w:rsid w:val="2C1B510C"/>
    <w:rsid w:val="2C5570BC"/>
    <w:rsid w:val="2C5E3ED1"/>
    <w:rsid w:val="2D976B87"/>
    <w:rsid w:val="2DBA2C2B"/>
    <w:rsid w:val="2DD92C6B"/>
    <w:rsid w:val="2E2F3FDF"/>
    <w:rsid w:val="2F5D37CE"/>
    <w:rsid w:val="30B26E2E"/>
    <w:rsid w:val="30B577A3"/>
    <w:rsid w:val="31495E97"/>
    <w:rsid w:val="31B73AC2"/>
    <w:rsid w:val="31F06A6C"/>
    <w:rsid w:val="32CD49D6"/>
    <w:rsid w:val="32CE136A"/>
    <w:rsid w:val="32ED6A49"/>
    <w:rsid w:val="33341945"/>
    <w:rsid w:val="386B209C"/>
    <w:rsid w:val="38DD576E"/>
    <w:rsid w:val="394D2EC6"/>
    <w:rsid w:val="39673227"/>
    <w:rsid w:val="3A8E5008"/>
    <w:rsid w:val="3C4C6EA9"/>
    <w:rsid w:val="3E233B3A"/>
    <w:rsid w:val="3E7A32F6"/>
    <w:rsid w:val="3F137BF7"/>
    <w:rsid w:val="3FB346F8"/>
    <w:rsid w:val="40BC6B48"/>
    <w:rsid w:val="41110283"/>
    <w:rsid w:val="422619BB"/>
    <w:rsid w:val="42CA3174"/>
    <w:rsid w:val="4322216B"/>
    <w:rsid w:val="43B363C9"/>
    <w:rsid w:val="43F45BD0"/>
    <w:rsid w:val="440F51E1"/>
    <w:rsid w:val="46517953"/>
    <w:rsid w:val="46DA76A4"/>
    <w:rsid w:val="47AF2F63"/>
    <w:rsid w:val="49403483"/>
    <w:rsid w:val="4C0D3A75"/>
    <w:rsid w:val="4C9F5AFC"/>
    <w:rsid w:val="4CDD7FCA"/>
    <w:rsid w:val="4CED3A14"/>
    <w:rsid w:val="4F7E01EB"/>
    <w:rsid w:val="4FDE25A9"/>
    <w:rsid w:val="50AD7B2A"/>
    <w:rsid w:val="50DF58EC"/>
    <w:rsid w:val="50F15034"/>
    <w:rsid w:val="51AE055C"/>
    <w:rsid w:val="53B617D1"/>
    <w:rsid w:val="54DB1A72"/>
    <w:rsid w:val="553F3E71"/>
    <w:rsid w:val="56045FCF"/>
    <w:rsid w:val="5A54203E"/>
    <w:rsid w:val="5A555AB8"/>
    <w:rsid w:val="5B1257AE"/>
    <w:rsid w:val="5B7D6B90"/>
    <w:rsid w:val="5DFA20C8"/>
    <w:rsid w:val="60FC7A51"/>
    <w:rsid w:val="62486413"/>
    <w:rsid w:val="63454778"/>
    <w:rsid w:val="63ED47AF"/>
    <w:rsid w:val="64926D49"/>
    <w:rsid w:val="64E764AA"/>
    <w:rsid w:val="66052A49"/>
    <w:rsid w:val="67AC5A80"/>
    <w:rsid w:val="69A06784"/>
    <w:rsid w:val="6B3E2437"/>
    <w:rsid w:val="6B404C60"/>
    <w:rsid w:val="6BAC3593"/>
    <w:rsid w:val="6BE37E5E"/>
    <w:rsid w:val="6C383D70"/>
    <w:rsid w:val="6D4B0FFB"/>
    <w:rsid w:val="6DAE680D"/>
    <w:rsid w:val="6E7067EC"/>
    <w:rsid w:val="6E861A8C"/>
    <w:rsid w:val="6F592182"/>
    <w:rsid w:val="71552B92"/>
    <w:rsid w:val="73B37B99"/>
    <w:rsid w:val="74A52E74"/>
    <w:rsid w:val="74D84277"/>
    <w:rsid w:val="74E46150"/>
    <w:rsid w:val="752D00E5"/>
    <w:rsid w:val="76280FE0"/>
    <w:rsid w:val="76542CBF"/>
    <w:rsid w:val="796421E8"/>
    <w:rsid w:val="79A03E0B"/>
    <w:rsid w:val="7B375E03"/>
    <w:rsid w:val="7CA51349"/>
    <w:rsid w:val="7E257C27"/>
    <w:rsid w:val="7F11186F"/>
    <w:rsid w:val="7F313794"/>
    <w:rsid w:val="7F9260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1"/>
    <w:pPr>
      <w:spacing w:before="38"/>
      <w:ind w:left="298" w:right="698"/>
      <w:jc w:val="center"/>
      <w:outlineLvl w:val="1"/>
    </w:pPr>
    <w:rPr>
      <w:rFonts w:ascii="宋体" w:hAnsi="宋体" w:eastAsia="宋体" w:cs="宋体"/>
      <w:b/>
      <w:bCs/>
      <w:sz w:val="44"/>
      <w:szCs w:val="44"/>
      <w:lang w:val="zh-CN" w:eastAsia="zh-CN" w:bidi="zh-CN"/>
    </w:rPr>
  </w:style>
  <w:style w:type="paragraph" w:styleId="5">
    <w:name w:val="heading 2"/>
    <w:basedOn w:val="1"/>
    <w:next w:val="1"/>
    <w:qFormat/>
    <w:uiPriority w:val="1"/>
    <w:pPr>
      <w:spacing w:before="29"/>
      <w:ind w:right="698"/>
      <w:jc w:val="center"/>
      <w:outlineLvl w:val="2"/>
    </w:pPr>
    <w:rPr>
      <w:rFonts w:ascii="宋体" w:hAnsi="宋体" w:eastAsia="宋体" w:cs="宋体"/>
      <w:b/>
      <w:bCs/>
      <w:sz w:val="36"/>
      <w:szCs w:val="36"/>
      <w:lang w:val="zh-CN" w:eastAsia="zh-CN" w:bidi="zh-CN"/>
    </w:rPr>
  </w:style>
  <w:style w:type="paragraph" w:styleId="6">
    <w:name w:val="heading 3"/>
    <w:basedOn w:val="1"/>
    <w:next w:val="1"/>
    <w:qFormat/>
    <w:uiPriority w:val="1"/>
    <w:pPr>
      <w:outlineLvl w:val="3"/>
    </w:pPr>
    <w:rPr>
      <w:rFonts w:ascii="宋体" w:hAnsi="宋体" w:eastAsia="宋体" w:cs="宋体"/>
      <w:b/>
      <w:bCs/>
      <w:sz w:val="32"/>
      <w:szCs w:val="32"/>
      <w:lang w:val="zh-CN" w:eastAsia="zh-CN" w:bidi="zh-CN"/>
    </w:rPr>
  </w:style>
  <w:style w:type="paragraph" w:styleId="7">
    <w:name w:val="heading 4"/>
    <w:basedOn w:val="1"/>
    <w:next w:val="8"/>
    <w:qFormat/>
    <w:uiPriority w:val="1"/>
    <w:pPr>
      <w:ind w:left="871"/>
      <w:outlineLvl w:val="4"/>
    </w:pPr>
    <w:rPr>
      <w:rFonts w:ascii="黑体" w:hAnsi="黑体" w:eastAsia="黑体" w:cs="黑体"/>
      <w:sz w:val="32"/>
      <w:szCs w:val="32"/>
      <w:lang w:val="zh-CN" w:eastAsia="zh-CN" w:bidi="zh-CN"/>
    </w:rPr>
  </w:style>
  <w:style w:type="paragraph" w:styleId="9">
    <w:name w:val="heading 5"/>
    <w:basedOn w:val="1"/>
    <w:next w:val="1"/>
    <w:qFormat/>
    <w:uiPriority w:val="1"/>
    <w:pPr>
      <w:spacing w:before="58"/>
      <w:ind w:right="698"/>
      <w:jc w:val="center"/>
      <w:outlineLvl w:val="5"/>
    </w:pPr>
    <w:rPr>
      <w:rFonts w:ascii="宋体" w:hAnsi="宋体" w:eastAsia="宋体" w:cs="宋体"/>
      <w:b/>
      <w:bCs/>
      <w:sz w:val="30"/>
      <w:szCs w:val="30"/>
      <w:lang w:val="zh-CN" w:eastAsia="zh-CN" w:bidi="zh-CN"/>
    </w:rPr>
  </w:style>
  <w:style w:type="paragraph" w:styleId="10">
    <w:name w:val="heading 6"/>
    <w:basedOn w:val="1"/>
    <w:next w:val="1"/>
    <w:qFormat/>
    <w:uiPriority w:val="1"/>
    <w:pPr>
      <w:ind w:left="299" w:right="698"/>
      <w:jc w:val="center"/>
      <w:outlineLvl w:val="6"/>
    </w:pPr>
    <w:rPr>
      <w:rFonts w:ascii="宋体" w:hAnsi="宋体" w:eastAsia="宋体" w:cs="宋体"/>
      <w:b/>
      <w:bCs/>
      <w:sz w:val="28"/>
      <w:szCs w:val="28"/>
      <w:lang w:val="zh-CN" w:eastAsia="zh-CN" w:bidi="zh-CN"/>
    </w:rPr>
  </w:style>
  <w:style w:type="paragraph" w:styleId="11">
    <w:name w:val="heading 7"/>
    <w:basedOn w:val="1"/>
    <w:next w:val="1"/>
    <w:qFormat/>
    <w:uiPriority w:val="1"/>
    <w:pPr>
      <w:ind w:left="1364" w:hanging="483"/>
      <w:outlineLvl w:val="7"/>
    </w:pPr>
    <w:rPr>
      <w:rFonts w:ascii="宋体" w:hAnsi="宋体" w:eastAsia="宋体" w:cs="宋体"/>
      <w:b/>
      <w:bCs/>
      <w:sz w:val="24"/>
      <w:szCs w:val="24"/>
      <w:lang w:val="zh-CN" w:eastAsia="zh-CN" w:bidi="zh-CN"/>
    </w:rPr>
  </w:style>
  <w:style w:type="character" w:default="1" w:styleId="27">
    <w:name w:val="Default Paragraph Font"/>
    <w:semiHidden/>
    <w:unhideWhenUsed/>
    <w:qFormat/>
    <w:uiPriority w:val="1"/>
  </w:style>
  <w:style w:type="table" w:default="1" w:styleId="2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spacing w:after="120"/>
      <w:ind w:left="0" w:firstLine="420" w:firstLineChars="100"/>
    </w:pPr>
    <w:rPr>
      <w:sz w:val="21"/>
    </w:rPr>
  </w:style>
  <w:style w:type="paragraph" w:styleId="3">
    <w:name w:val="Body Text"/>
    <w:basedOn w:val="1"/>
    <w:next w:val="1"/>
    <w:qFormat/>
    <w:uiPriority w:val="0"/>
    <w:pPr>
      <w:ind w:left="178"/>
    </w:pPr>
    <w:rPr>
      <w:sz w:val="22"/>
    </w:rPr>
  </w:style>
  <w:style w:type="paragraph" w:styleId="8">
    <w:name w:val="Normal Indent"/>
    <w:basedOn w:val="1"/>
    <w:unhideWhenUsed/>
    <w:qFormat/>
    <w:uiPriority w:val="0"/>
    <w:pPr>
      <w:ind w:firstLine="420" w:firstLineChars="200"/>
    </w:pPr>
    <w:rPr>
      <w:rFonts w:ascii="Calibri" w:hAnsi="Calibri"/>
    </w:rPr>
  </w:style>
  <w:style w:type="paragraph" w:styleId="12">
    <w:name w:val="Document Map"/>
    <w:basedOn w:val="1"/>
    <w:unhideWhenUsed/>
    <w:qFormat/>
    <w:uiPriority w:val="99"/>
    <w:rPr>
      <w:rFonts w:ascii="Microsoft YaHei UI" w:eastAsia="Microsoft YaHei UI"/>
      <w:sz w:val="18"/>
      <w:szCs w:val="18"/>
    </w:rPr>
  </w:style>
  <w:style w:type="paragraph" w:styleId="13">
    <w:name w:val="toa heading"/>
    <w:basedOn w:val="14"/>
    <w:next w:val="14"/>
    <w:qFormat/>
    <w:uiPriority w:val="0"/>
    <w:pPr>
      <w:spacing w:before="120"/>
    </w:pPr>
    <w:rPr>
      <w:rFonts w:ascii="Cambria" w:hAnsi="Cambria" w:cs="Times New Roman"/>
      <w:sz w:val="24"/>
      <w:szCs w:val="24"/>
    </w:rPr>
  </w:style>
  <w:style w:type="paragraph" w:customStyle="1" w:styleId="14">
    <w:name w:val="正文_0_1"/>
    <w:basedOn w:val="15"/>
    <w:next w:val="13"/>
    <w:qFormat/>
    <w:uiPriority w:val="0"/>
    <w:rPr>
      <w:rFonts w:ascii="Calibri" w:hAnsi="Calibri"/>
    </w:rPr>
  </w:style>
  <w:style w:type="paragraph" w:customStyle="1" w:styleId="15">
    <w:name w:val="正文_1"/>
    <w:basedOn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_2"/>
    <w:basedOn w:val="17"/>
    <w:qFormat/>
    <w:uiPriority w:val="0"/>
    <w:pPr>
      <w:widowControl w:val="0"/>
      <w:jc w:val="both"/>
    </w:pPr>
    <w:rPr>
      <w:rFonts w:ascii="Calibri" w:hAnsi="Calibri"/>
      <w:kern w:val="2"/>
      <w:sz w:val="21"/>
      <w:szCs w:val="22"/>
      <w:lang w:val="en-US" w:eastAsia="zh-CN" w:bidi="ar-SA"/>
    </w:rPr>
  </w:style>
  <w:style w:type="paragraph" w:customStyle="1" w:styleId="17">
    <w:name w:val="正文_3"/>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文本_0"/>
    <w:basedOn w:val="19"/>
    <w:qFormat/>
    <w:uiPriority w:val="0"/>
    <w:pPr>
      <w:spacing w:after="120"/>
    </w:pPr>
    <w:rPr>
      <w:rFonts w:ascii="Times New Roman" w:hAnsi="Times New Roman"/>
      <w:szCs w:val="24"/>
    </w:rPr>
  </w:style>
  <w:style w:type="paragraph" w:customStyle="1" w:styleId="19">
    <w:name w:val="正文_3_0_0"/>
    <w:basedOn w:val="20"/>
    <w:qFormat/>
    <w:uiPriority w:val="0"/>
    <w:pPr>
      <w:widowControl w:val="0"/>
      <w:jc w:val="both"/>
    </w:pPr>
    <w:rPr>
      <w:rFonts w:ascii="Calibri" w:hAnsi="Calibri"/>
      <w:kern w:val="2"/>
      <w:sz w:val="21"/>
      <w:szCs w:val="22"/>
      <w:lang w:val="en-US" w:eastAsia="zh-CN" w:bidi="ar-SA"/>
    </w:rPr>
  </w:style>
  <w:style w:type="paragraph" w:customStyle="1" w:styleId="20">
    <w:name w:val="Normal"/>
    <w:next w:val="21"/>
    <w:qFormat/>
    <w:uiPriority w:val="0"/>
    <w:rPr>
      <w:rFonts w:ascii="Times New Roman" w:hAnsi="Times New Roman" w:eastAsia="Times New Roman" w:cs="Times New Roman"/>
      <w:sz w:val="24"/>
      <w:szCs w:val="24"/>
      <w:lang w:bidi="ar-SA"/>
    </w:rPr>
  </w:style>
  <w:style w:type="paragraph" w:customStyle="1" w:styleId="21">
    <w:name w:val="Body Text"/>
    <w:basedOn w:val="20"/>
    <w:qFormat/>
    <w:uiPriority w:val="0"/>
    <w:pPr>
      <w:spacing w:after="120"/>
    </w:pPr>
  </w:style>
  <w:style w:type="paragraph" w:styleId="22">
    <w:name w:val="annotation text"/>
    <w:basedOn w:val="1"/>
    <w:qFormat/>
    <w:uiPriority w:val="0"/>
    <w:pPr>
      <w:adjustRightInd w:val="0"/>
      <w:spacing w:line="360" w:lineRule="atLeast"/>
      <w:jc w:val="left"/>
      <w:textAlignment w:val="baseline"/>
    </w:pPr>
    <w:rPr>
      <w:rFonts w:ascii="Verdana" w:hAnsi="Verdana"/>
      <w:kern w:val="0"/>
      <w:sz w:val="24"/>
      <w:szCs w:val="20"/>
      <w:lang w:eastAsia="en-US"/>
    </w:rPr>
  </w:style>
  <w:style w:type="paragraph" w:styleId="23">
    <w:name w:val="Plain Text"/>
    <w:basedOn w:val="1"/>
    <w:qFormat/>
    <w:uiPriority w:val="99"/>
    <w:rPr>
      <w:rFonts w:ascii="宋体" w:hAnsi="Courier New"/>
      <w:szCs w:val="21"/>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TML Sample"/>
    <w:basedOn w:val="27"/>
    <w:qFormat/>
    <w:uiPriority w:val="0"/>
    <w:rPr>
      <w:rFonts w:ascii="Courier New" w:hAnsi="Courier New"/>
    </w:rPr>
  </w:style>
  <w:style w:type="paragraph" w:customStyle="1" w:styleId="30">
    <w:name w:val="Body Text1"/>
    <w:basedOn w:val="20"/>
    <w:qFormat/>
    <w:uiPriority w:val="0"/>
    <w:pPr>
      <w:spacing w:after="120"/>
    </w:pPr>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1"/>
    <w:pPr>
      <w:ind w:left="401" w:firstLine="480"/>
    </w:pPr>
    <w:rPr>
      <w:rFonts w:ascii="宋体" w:hAnsi="宋体" w:eastAsia="宋体" w:cs="宋体"/>
      <w:lang w:val="zh-CN" w:eastAsia="zh-CN" w:bidi="zh-CN"/>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bookmark-item"/>
    <w:qFormat/>
    <w:uiPriority w:val="0"/>
  </w:style>
  <w:style w:type="paragraph" w:customStyle="1" w:styleId="36">
    <w:name w:val="正文_3_1_0"/>
    <w:basedOn w:val="37"/>
    <w:qFormat/>
    <w:uiPriority w:val="0"/>
    <w:rPr>
      <w:rFonts w:ascii="Calibri" w:hAnsi="Calibri" w:eastAsia="宋体"/>
      <w:szCs w:val="21"/>
    </w:rPr>
  </w:style>
  <w:style w:type="paragraph" w:customStyle="1" w:styleId="37">
    <w:name w:val="正文_2_0_0_1"/>
    <w:basedOn w:val="38"/>
    <w:next w:val="40"/>
    <w:qFormat/>
    <w:uiPriority w:val="0"/>
    <w:pPr>
      <w:widowControl w:val="0"/>
      <w:jc w:val="both"/>
    </w:pPr>
    <w:rPr>
      <w:kern w:val="2"/>
      <w:sz w:val="21"/>
      <w:szCs w:val="24"/>
      <w:lang w:val="en-US" w:eastAsia="zh-CN" w:bidi="ar-SA"/>
    </w:rPr>
  </w:style>
  <w:style w:type="paragraph" w:customStyle="1" w:styleId="38">
    <w:name w:val="正文_4_1_2"/>
    <w:next w:val="39"/>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9">
    <w:name w:val="引文目录标题_3_1_2"/>
    <w:basedOn w:val="38"/>
    <w:next w:val="38"/>
    <w:qFormat/>
    <w:uiPriority w:val="0"/>
    <w:pPr>
      <w:spacing w:before="120"/>
    </w:pPr>
    <w:rPr>
      <w:rFonts w:ascii="Cambria" w:hAnsi="Cambria" w:eastAsia="Times New Roman"/>
      <w:sz w:val="24"/>
    </w:rPr>
  </w:style>
  <w:style w:type="paragraph" w:customStyle="1" w:styleId="40">
    <w:name w:val="引文目录标题_0_0_1"/>
    <w:basedOn w:val="41"/>
    <w:next w:val="37"/>
    <w:qFormat/>
    <w:uiPriority w:val="0"/>
    <w:pPr>
      <w:spacing w:before="120"/>
    </w:pPr>
    <w:rPr>
      <w:rFonts w:ascii="Cambria" w:hAnsi="Cambria" w:cs="Times New Roman"/>
      <w:sz w:val="24"/>
      <w:szCs w:val="24"/>
    </w:rPr>
  </w:style>
  <w:style w:type="paragraph" w:customStyle="1" w:styleId="41">
    <w:name w:val="正文_0_1_0_0_1"/>
    <w:next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3">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5">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emf"/><Relationship Id="rId16" Type="http://schemas.openxmlformats.org/officeDocument/2006/relationships/oleObject" Target="embeddings/oleObject2.bin"/><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30242</Words>
  <Characters>31185</Characters>
  <Lines>1</Lines>
  <Paragraphs>1</Paragraphs>
  <TotalTime>57</TotalTime>
  <ScaleCrop>false</ScaleCrop>
  <LinksUpToDate>false</LinksUpToDate>
  <CharactersWithSpaces>32445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2020-04-26T06:56:00Z</dcterms:created>
  <dc:creator>似水流年</dc:creator>
  <cp:lastModifiedBy>SF</cp:lastModifiedBy>
  <dcterms:modified xsi:type="dcterms:W3CDTF">2022-04-29T02:14:28Z</dcterms:modified>
  <dc:title>甲A65010011005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WPS 文字</vt:lpwstr>
  </property>
  <property fmtid="{D5CDD505-2E9C-101B-9397-08002B2CF9AE}" pid="4" name="LastSaved">
    <vt:filetime>2020-04-26T00:00:00Z</vt:filetime>
  </property>
  <property fmtid="{D5CDD505-2E9C-101B-9397-08002B2CF9AE}" pid="5" name="KSOProductBuildVer">
    <vt:lpwstr>2052-11.1.0.11636</vt:lpwstr>
  </property>
  <property fmtid="{D5CDD505-2E9C-101B-9397-08002B2CF9AE}" pid="6" name="ICV">
    <vt:lpwstr>CF417D27B8E84843A62D7C3018B4DD56</vt:lpwstr>
  </property>
</Properties>
</file>