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p>
    <w:p>
      <w:pPr>
        <w:pStyle w:val="6"/>
        <w:spacing w:line="840" w:lineRule="exact"/>
        <w:ind w:left="849" w:leftChars="386" w:right="869" w:rightChars="395"/>
        <w:jc w:val="center"/>
        <w:rPr>
          <w:b/>
          <w:sz w:val="56"/>
          <w:szCs w:val="52"/>
          <w:lang w:val="en-US"/>
        </w:rPr>
      </w:pPr>
      <w:r>
        <w:rPr>
          <w:rFonts w:hint="eastAsia"/>
          <w:b/>
          <w:sz w:val="56"/>
          <w:szCs w:val="52"/>
          <w:lang w:val="en-US"/>
        </w:rPr>
        <w:t xml:space="preserve"> 新疆维吾尔自治区第二济困医院（新疆维吾尔自治区第五人民医院）等级保护测评项目</w:t>
      </w:r>
    </w:p>
    <w:p>
      <w:pPr>
        <w:pStyle w:val="6"/>
        <w:spacing w:line="240" w:lineRule="auto"/>
        <w:ind w:left="849" w:leftChars="386" w:right="869" w:rightChars="395"/>
        <w:jc w:val="center"/>
        <w:rPr>
          <w:b/>
          <w:sz w:val="56"/>
          <w:szCs w:val="52"/>
          <w:lang w:val="en-US"/>
        </w:rPr>
      </w:pPr>
    </w:p>
    <w:p>
      <w:pPr>
        <w:pStyle w:val="6"/>
        <w:spacing w:after="0"/>
        <w:ind w:left="849" w:leftChars="386" w:right="869" w:rightChars="395"/>
        <w:jc w:val="center"/>
        <w:rPr>
          <w:rFonts w:hAnsi="宋体"/>
          <w:b/>
          <w:sz w:val="72"/>
          <w:szCs w:val="52"/>
        </w:rPr>
      </w:pPr>
      <w:r>
        <w:rPr>
          <w:rFonts w:hint="eastAsia" w:hAnsi="宋体"/>
          <w:b/>
          <w:sz w:val="72"/>
          <w:szCs w:val="52"/>
        </w:rPr>
        <w:t>公开招标</w:t>
      </w:r>
      <w:r>
        <w:rPr>
          <w:rFonts w:hAnsi="宋体"/>
          <w:b/>
          <w:sz w:val="72"/>
          <w:szCs w:val="52"/>
        </w:rPr>
        <w:t>文件</w:t>
      </w:r>
    </w:p>
    <w:p>
      <w:pPr>
        <w:pStyle w:val="6"/>
        <w:spacing w:after="0"/>
        <w:ind w:left="849" w:leftChars="386" w:right="869" w:rightChars="395"/>
        <w:jc w:val="center"/>
        <w:rPr>
          <w:b/>
          <w:color w:val="000000"/>
          <w:sz w:val="30"/>
          <w:szCs w:val="30"/>
        </w:rPr>
      </w:pPr>
    </w:p>
    <w:p>
      <w:pPr>
        <w:pStyle w:val="6"/>
        <w:spacing w:after="0"/>
        <w:ind w:left="849" w:leftChars="386" w:right="869" w:rightChars="395"/>
        <w:jc w:val="center"/>
      </w:pPr>
      <w:r>
        <w:rPr>
          <w:b/>
          <w:lang w:val="en-US"/>
        </w:rPr>
        <w:drawing>
          <wp:inline distT="0" distB="0" distL="0" distR="0">
            <wp:extent cx="1704975" cy="217170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4" cstate="print"/>
                    <a:srcRect/>
                    <a:stretch>
                      <a:fillRect/>
                    </a:stretch>
                  </pic:blipFill>
                  <pic:spPr>
                    <a:xfrm>
                      <a:off x="0" y="0"/>
                      <a:ext cx="1704975" cy="2171700"/>
                    </a:xfrm>
                    <a:prstGeom prst="rect">
                      <a:avLst/>
                    </a:prstGeom>
                    <a:noFill/>
                    <a:ln w="9525">
                      <a:noFill/>
                      <a:miter lim="800000"/>
                      <a:headEnd/>
                      <a:tailEnd/>
                    </a:ln>
                  </pic:spPr>
                </pic:pic>
              </a:graphicData>
            </a:graphic>
          </wp:inline>
        </w:drawing>
      </w:r>
    </w:p>
    <w:p>
      <w:pPr>
        <w:pStyle w:val="6"/>
        <w:spacing w:after="0"/>
        <w:ind w:left="849" w:leftChars="386" w:right="869" w:rightChars="395"/>
        <w:jc w:val="center"/>
      </w:pPr>
    </w:p>
    <w:p>
      <w:pPr>
        <w:pStyle w:val="6"/>
        <w:spacing w:after="0"/>
        <w:ind w:left="849" w:leftChars="386" w:right="869" w:rightChars="395"/>
        <w:jc w:val="center"/>
      </w:pPr>
    </w:p>
    <w:p>
      <w:pPr>
        <w:pStyle w:val="6"/>
        <w:spacing w:after="0"/>
        <w:ind w:left="849" w:leftChars="386" w:right="869" w:rightChars="395"/>
        <w:jc w:val="center"/>
      </w:pPr>
    </w:p>
    <w:p>
      <w:pPr>
        <w:pStyle w:val="6"/>
        <w:spacing w:after="0" w:line="360" w:lineRule="auto"/>
        <w:ind w:left="849" w:leftChars="386" w:right="869" w:rightChars="395"/>
        <w:jc w:val="left"/>
        <w:rPr>
          <w:rFonts w:hAnsi="宋体"/>
          <w:b/>
          <w:color w:val="000000"/>
          <w:sz w:val="32"/>
          <w:szCs w:val="28"/>
        </w:rPr>
      </w:pPr>
      <w:r>
        <w:rPr>
          <w:rFonts w:hint="eastAsia" w:hAnsi="宋体"/>
          <w:b/>
          <w:color w:val="000000"/>
          <w:sz w:val="32"/>
          <w:szCs w:val="28"/>
        </w:rPr>
        <w:t>采   购</w:t>
      </w:r>
      <w:r>
        <w:rPr>
          <w:rFonts w:hAnsi="宋体"/>
          <w:b/>
          <w:color w:val="000000"/>
          <w:sz w:val="32"/>
          <w:szCs w:val="28"/>
        </w:rPr>
        <w:t xml:space="preserve">  </w:t>
      </w:r>
      <w:r>
        <w:rPr>
          <w:rFonts w:hint="eastAsia" w:hAnsi="宋体"/>
          <w:b/>
          <w:color w:val="000000"/>
          <w:sz w:val="32"/>
          <w:szCs w:val="28"/>
        </w:rPr>
        <w:t xml:space="preserve"> </w:t>
      </w:r>
      <w:r>
        <w:rPr>
          <w:rFonts w:hAnsi="宋体"/>
          <w:b/>
          <w:color w:val="000000"/>
          <w:sz w:val="32"/>
          <w:szCs w:val="28"/>
        </w:rPr>
        <w:t>人：</w:t>
      </w:r>
      <w:r>
        <w:rPr>
          <w:rFonts w:hint="eastAsia" w:hAnsi="宋体"/>
          <w:b/>
          <w:color w:val="000000"/>
          <w:sz w:val="32"/>
          <w:szCs w:val="28"/>
        </w:rPr>
        <w:t>新疆维吾尔自治区第二济困医院（新疆维吾尔自治区第五人民医院）</w:t>
      </w:r>
    </w:p>
    <w:p>
      <w:pPr>
        <w:pStyle w:val="6"/>
        <w:spacing w:after="0" w:line="360" w:lineRule="auto"/>
        <w:ind w:left="849" w:leftChars="386" w:right="869" w:rightChars="395"/>
        <w:jc w:val="left"/>
        <w:rPr>
          <w:rFonts w:hAnsi="宋体"/>
          <w:b/>
          <w:color w:val="000000"/>
          <w:sz w:val="32"/>
          <w:szCs w:val="28"/>
        </w:rPr>
      </w:pPr>
      <w:r>
        <w:rPr>
          <w:rFonts w:hint="eastAsia" w:hAnsi="宋体"/>
          <w:b/>
          <w:color w:val="000000"/>
          <w:sz w:val="32"/>
          <w:szCs w:val="28"/>
        </w:rPr>
        <w:t>采购内容：</w:t>
      </w:r>
      <w:r>
        <w:rPr>
          <w:rFonts w:hint="eastAsia" w:hAnsi="宋体"/>
          <w:b/>
          <w:color w:val="000000"/>
          <w:sz w:val="32"/>
          <w:szCs w:val="28"/>
          <w:lang w:val="en-US"/>
        </w:rPr>
        <w:t>等保测评</w:t>
      </w:r>
    </w:p>
    <w:p>
      <w:pPr>
        <w:pStyle w:val="6"/>
        <w:spacing w:after="0" w:line="360" w:lineRule="auto"/>
        <w:ind w:left="849" w:leftChars="386" w:right="869" w:rightChars="395"/>
        <w:jc w:val="left"/>
        <w:rPr>
          <w:rFonts w:hAnsi="宋体"/>
          <w:b/>
          <w:color w:val="000000"/>
          <w:sz w:val="32"/>
          <w:szCs w:val="28"/>
        </w:rPr>
      </w:pPr>
      <w:r>
        <w:rPr>
          <w:rFonts w:hAnsi="宋体"/>
          <w:b/>
          <w:color w:val="000000"/>
          <w:sz w:val="32"/>
          <w:szCs w:val="28"/>
        </w:rPr>
        <w:t xml:space="preserve">招标代理机构: </w:t>
      </w:r>
      <w:r>
        <w:rPr>
          <w:rFonts w:hint="eastAsia" w:hAnsi="宋体"/>
          <w:b/>
          <w:color w:val="000000"/>
          <w:sz w:val="32"/>
          <w:szCs w:val="28"/>
        </w:rPr>
        <w:t>新疆华域建设工程项目管理咨询有限公司</w:t>
      </w:r>
    </w:p>
    <w:p>
      <w:pPr>
        <w:pStyle w:val="6"/>
        <w:spacing w:after="0" w:line="360" w:lineRule="auto"/>
        <w:ind w:left="849" w:leftChars="386" w:right="869" w:rightChars="395"/>
        <w:jc w:val="left"/>
        <w:rPr>
          <w:rFonts w:hAnsi="宋体"/>
          <w:b/>
          <w:color w:val="000000"/>
          <w:sz w:val="32"/>
          <w:szCs w:val="28"/>
          <w:lang w:val="en-US"/>
        </w:rPr>
      </w:pPr>
      <w:r>
        <w:rPr>
          <w:rFonts w:hAnsi="宋体"/>
          <w:b/>
          <w:color w:val="000000"/>
          <w:sz w:val="32"/>
          <w:szCs w:val="28"/>
        </w:rPr>
        <w:t>项 目 编 号： ZFCGHY-</w:t>
      </w:r>
      <w:r>
        <w:rPr>
          <w:rFonts w:hint="eastAsia" w:hAnsi="宋体"/>
          <w:b/>
          <w:color w:val="000000"/>
          <w:sz w:val="32"/>
          <w:szCs w:val="28"/>
        </w:rPr>
        <w:t>20220028</w:t>
      </w:r>
    </w:p>
    <w:p>
      <w:pPr>
        <w:pStyle w:val="6"/>
        <w:adjustRightInd w:val="0"/>
        <w:snapToGrid w:val="0"/>
        <w:spacing w:line="360" w:lineRule="auto"/>
        <w:ind w:firstLine="427" w:firstLineChars="152"/>
        <w:jc w:val="center"/>
        <w:rPr>
          <w:rFonts w:hAnsi="宋体"/>
          <w:b/>
          <w:color w:val="FF0000"/>
          <w:spacing w:val="-20"/>
          <w:sz w:val="28"/>
          <w:szCs w:val="28"/>
        </w:rPr>
      </w:pPr>
      <w:r>
        <w:rPr>
          <w:rFonts w:hint="eastAsia" w:hAnsi="宋体"/>
          <w:b/>
          <w:sz w:val="28"/>
          <w:szCs w:val="28"/>
        </w:rPr>
        <w:t>2022年4月编制</w:t>
      </w:r>
    </w:p>
    <w:p>
      <w:pPr>
        <w:jc w:val="center"/>
        <w:rPr>
          <w:sz w:val="30"/>
        </w:rPr>
        <w:sectPr>
          <w:headerReference r:id="rId3" w:type="default"/>
          <w:footerReference r:id="rId4" w:type="default"/>
          <w:type w:val="continuous"/>
          <w:pgSz w:w="11910" w:h="16840"/>
          <w:pgMar w:top="1440" w:right="620" w:bottom="1180" w:left="780" w:header="852" w:footer="993" w:gutter="0"/>
          <w:cols w:space="720" w:num="1"/>
        </w:sectPr>
      </w:pPr>
    </w:p>
    <w:p>
      <w:pPr>
        <w:pStyle w:val="5"/>
        <w:rPr>
          <w:sz w:val="20"/>
        </w:rPr>
      </w:pPr>
    </w:p>
    <w:p>
      <w:pPr>
        <w:pStyle w:val="5"/>
        <w:spacing w:before="11"/>
      </w:pPr>
    </w:p>
    <w:p>
      <w:pPr>
        <w:spacing w:before="70"/>
        <w:ind w:left="1528" w:right="1746"/>
        <w:jc w:val="center"/>
        <w:rPr>
          <w:sz w:val="32"/>
        </w:rPr>
      </w:pPr>
      <w:r>
        <w:rPr>
          <w:sz w:val="32"/>
        </w:rPr>
        <w:t>目录</w:t>
      </w:r>
    </w:p>
    <w:sdt>
      <w:sdtPr>
        <w:id w:val="27052969"/>
        <w:docPartObj>
          <w:docPartGallery w:val="Table of Contents"/>
          <w:docPartUnique/>
        </w:docPartObj>
      </w:sdtPr>
      <w:sdtContent>
        <w:p>
          <w:pPr>
            <w:pStyle w:val="14"/>
            <w:tabs>
              <w:tab w:val="right" w:leader="dot" w:pos="9412"/>
            </w:tabs>
            <w:spacing w:before="55"/>
            <w:rPr>
              <w:rFonts w:ascii="Calibri" w:eastAsia="Calibri"/>
            </w:rPr>
          </w:pPr>
          <w:r>
            <w:fldChar w:fldCharType="begin"/>
          </w:r>
          <w:r>
            <w:instrText xml:space="preserve"> HYPERLINK \l "_bookmark0" </w:instrText>
          </w:r>
          <w:r>
            <w:fldChar w:fldCharType="separate"/>
          </w:r>
          <w:r>
            <w:t>第一部分</w:t>
          </w:r>
          <w:r>
            <w:rPr>
              <w:rFonts w:hint="eastAsia"/>
            </w:rPr>
            <w:t>采购公告</w:t>
          </w:r>
          <w:r>
            <w:tab/>
          </w:r>
          <w:r>
            <w:rPr>
              <w:rFonts w:ascii="Calibri" w:eastAsia="Calibri"/>
            </w:rPr>
            <w:t>3</w:t>
          </w:r>
          <w:r>
            <w:rPr>
              <w:rFonts w:ascii="Calibri" w:eastAsia="Calibri"/>
            </w:rPr>
            <w:fldChar w:fldCharType="end"/>
          </w:r>
        </w:p>
        <w:p>
          <w:pPr>
            <w:pStyle w:val="14"/>
            <w:tabs>
              <w:tab w:val="right" w:leader="dot" w:pos="9412"/>
            </w:tabs>
            <w:rPr>
              <w:rFonts w:ascii="Calibri" w:eastAsia="Calibri"/>
            </w:rPr>
          </w:pPr>
          <w:r>
            <w:fldChar w:fldCharType="begin"/>
          </w:r>
          <w:r>
            <w:instrText xml:space="preserve"> HYPERLINK \l "_bookmark1" </w:instrText>
          </w:r>
          <w:r>
            <w:fldChar w:fldCharType="separate"/>
          </w:r>
          <w:r>
            <w:t>第二部分投标人须知前附表</w:t>
          </w:r>
          <w:r>
            <w:tab/>
          </w:r>
          <w:r>
            <w:rPr>
              <w:rFonts w:ascii="Calibri" w:eastAsia="Calibri"/>
            </w:rPr>
            <w:t>5</w:t>
          </w:r>
          <w:r>
            <w:rPr>
              <w:rFonts w:ascii="Calibri" w:eastAsia="Calibri"/>
            </w:rPr>
            <w:fldChar w:fldCharType="end"/>
          </w:r>
        </w:p>
        <w:p>
          <w:pPr>
            <w:pStyle w:val="14"/>
            <w:tabs>
              <w:tab w:val="right" w:leader="dot" w:pos="8992"/>
            </w:tabs>
            <w:spacing w:before="63"/>
            <w:rPr>
              <w:rFonts w:ascii="Calibri" w:eastAsia="Calibri"/>
            </w:rPr>
          </w:pPr>
          <w:r>
            <w:fldChar w:fldCharType="begin"/>
          </w:r>
          <w:r>
            <w:instrText xml:space="preserve"> HYPERLINK \l "_bookmark2" </w:instrText>
          </w:r>
          <w:r>
            <w:fldChar w:fldCharType="separate"/>
          </w:r>
          <w:r>
            <w:t>一、总则</w:t>
          </w:r>
          <w:r>
            <w:tab/>
          </w:r>
          <w:r>
            <w:rPr>
              <w:rFonts w:ascii="Calibri" w:eastAsia="Calibri"/>
            </w:rPr>
            <w:t>8</w:t>
          </w:r>
          <w:r>
            <w:rPr>
              <w:rFonts w:ascii="Calibri" w:eastAsia="Calibri"/>
            </w:rPr>
            <w:fldChar w:fldCharType="end"/>
          </w:r>
        </w:p>
        <w:p>
          <w:pPr>
            <w:pStyle w:val="14"/>
            <w:tabs>
              <w:tab w:val="right" w:leader="dot" w:pos="8992"/>
            </w:tabs>
            <w:rPr>
              <w:rFonts w:ascii="Calibri" w:eastAsia="Calibri"/>
            </w:rPr>
          </w:pPr>
          <w:r>
            <w:fldChar w:fldCharType="begin"/>
          </w:r>
          <w:r>
            <w:instrText xml:space="preserve"> HYPERLINK \l "_bookmark3" </w:instrText>
          </w:r>
          <w:r>
            <w:fldChar w:fldCharType="separate"/>
          </w:r>
          <w:r>
            <w:t>二、招标文件</w:t>
          </w:r>
          <w:r>
            <w:tab/>
          </w:r>
          <w:r>
            <w:rPr>
              <w:rFonts w:ascii="Calibri" w:eastAsia="Calibri"/>
            </w:rPr>
            <w:t>9</w:t>
          </w:r>
          <w:r>
            <w:rPr>
              <w:rFonts w:ascii="Calibri" w:eastAsia="Calibri"/>
            </w:rPr>
            <w:fldChar w:fldCharType="end"/>
          </w:r>
        </w:p>
        <w:p>
          <w:pPr>
            <w:pStyle w:val="14"/>
            <w:tabs>
              <w:tab w:val="right" w:leader="dot" w:pos="8992"/>
            </w:tabs>
            <w:spacing w:before="60"/>
            <w:rPr>
              <w:rFonts w:ascii="Calibri" w:eastAsia="Calibri"/>
            </w:rPr>
          </w:pPr>
          <w:r>
            <w:fldChar w:fldCharType="begin"/>
          </w:r>
          <w:r>
            <w:instrText xml:space="preserve"> HYPERLINK \l "_bookmark4" </w:instrText>
          </w:r>
          <w:r>
            <w:fldChar w:fldCharType="separate"/>
          </w:r>
          <w:r>
            <w:t>三、投标文件的编制</w:t>
          </w:r>
          <w:r>
            <w:tab/>
          </w:r>
          <w:r>
            <w:rPr>
              <w:rFonts w:ascii="Calibri" w:eastAsia="Calibri"/>
            </w:rPr>
            <w:t>10</w:t>
          </w:r>
          <w:r>
            <w:rPr>
              <w:rFonts w:ascii="Calibri" w:eastAsia="Calibri"/>
            </w:rPr>
            <w:fldChar w:fldCharType="end"/>
          </w:r>
        </w:p>
        <w:p>
          <w:pPr>
            <w:pStyle w:val="14"/>
            <w:tabs>
              <w:tab w:val="right" w:leader="dot" w:pos="8992"/>
            </w:tabs>
            <w:rPr>
              <w:rFonts w:ascii="Calibri" w:eastAsia="Calibri"/>
            </w:rPr>
          </w:pPr>
          <w:r>
            <w:fldChar w:fldCharType="begin"/>
          </w:r>
          <w:r>
            <w:instrText xml:space="preserve"> HYPERLINK \l "_bookmark5" </w:instrText>
          </w:r>
          <w:r>
            <w:fldChar w:fldCharType="separate"/>
          </w:r>
          <w:r>
            <w:t>四、投标文件的递交</w:t>
          </w:r>
          <w:r>
            <w:tab/>
          </w:r>
          <w:r>
            <w:rPr>
              <w:rFonts w:ascii="Calibri" w:eastAsia="Calibri"/>
            </w:rPr>
            <w:t>12</w:t>
          </w:r>
          <w:r>
            <w:rPr>
              <w:rFonts w:ascii="Calibri" w:eastAsia="Calibri"/>
            </w:rPr>
            <w:fldChar w:fldCharType="end"/>
          </w:r>
        </w:p>
        <w:p>
          <w:pPr>
            <w:pStyle w:val="14"/>
            <w:tabs>
              <w:tab w:val="right" w:leader="dot" w:pos="8992"/>
            </w:tabs>
            <w:spacing w:before="60"/>
            <w:rPr>
              <w:rFonts w:ascii="Calibri" w:eastAsia="Calibri"/>
            </w:rPr>
          </w:pPr>
          <w:r>
            <w:fldChar w:fldCharType="begin"/>
          </w:r>
          <w:r>
            <w:instrText xml:space="preserve"> HYPERLINK \l "_bookmark6" </w:instrText>
          </w:r>
          <w:r>
            <w:fldChar w:fldCharType="separate"/>
          </w:r>
          <w:r>
            <w:t>五、无效标、废标条款</w:t>
          </w:r>
          <w:r>
            <w:tab/>
          </w:r>
          <w:r>
            <w:rPr>
              <w:rFonts w:ascii="Calibri" w:eastAsia="Calibri"/>
            </w:rPr>
            <w:t>13</w:t>
          </w:r>
          <w:r>
            <w:rPr>
              <w:rFonts w:ascii="Calibri" w:eastAsia="Calibri"/>
            </w:rPr>
            <w:fldChar w:fldCharType="end"/>
          </w:r>
        </w:p>
        <w:p>
          <w:pPr>
            <w:pStyle w:val="14"/>
            <w:tabs>
              <w:tab w:val="right" w:leader="dot" w:pos="8992"/>
            </w:tabs>
            <w:rPr>
              <w:rFonts w:ascii="Calibri" w:eastAsia="Calibri"/>
            </w:rPr>
          </w:pPr>
          <w:r>
            <w:fldChar w:fldCharType="begin"/>
          </w:r>
          <w:r>
            <w:instrText xml:space="preserve"> HYPERLINK \l "_bookmark7" </w:instrText>
          </w:r>
          <w:r>
            <w:fldChar w:fldCharType="separate"/>
          </w:r>
          <w:r>
            <w:t>六、评标程序</w:t>
          </w:r>
          <w:r>
            <w:tab/>
          </w:r>
          <w:r>
            <w:rPr>
              <w:rFonts w:ascii="Calibri" w:eastAsia="Calibri"/>
            </w:rPr>
            <w:t>14</w:t>
          </w:r>
          <w:r>
            <w:rPr>
              <w:rFonts w:ascii="Calibri" w:eastAsia="Calibri"/>
            </w:rPr>
            <w:fldChar w:fldCharType="end"/>
          </w:r>
        </w:p>
        <w:p>
          <w:pPr>
            <w:pStyle w:val="14"/>
            <w:tabs>
              <w:tab w:val="right" w:leader="dot" w:pos="8992"/>
            </w:tabs>
            <w:spacing w:before="60"/>
            <w:rPr>
              <w:rFonts w:ascii="Calibri" w:eastAsia="Calibri"/>
            </w:rPr>
          </w:pPr>
          <w:r>
            <w:fldChar w:fldCharType="begin"/>
          </w:r>
          <w:r>
            <w:instrText xml:space="preserve"> HYPERLINK \l "_bookmark8" </w:instrText>
          </w:r>
          <w:r>
            <w:fldChar w:fldCharType="separate"/>
          </w:r>
          <w:r>
            <w:t>七、评标办法</w:t>
          </w:r>
          <w:r>
            <w:tab/>
          </w:r>
          <w:r>
            <w:rPr>
              <w:rFonts w:ascii="Calibri" w:eastAsia="Calibri"/>
            </w:rPr>
            <w:t>17</w:t>
          </w:r>
          <w:r>
            <w:rPr>
              <w:rFonts w:ascii="Calibri" w:eastAsia="Calibri"/>
            </w:rPr>
            <w:fldChar w:fldCharType="end"/>
          </w:r>
        </w:p>
        <w:p>
          <w:pPr>
            <w:pStyle w:val="14"/>
            <w:tabs>
              <w:tab w:val="right" w:leader="dot" w:pos="8992"/>
            </w:tabs>
            <w:rPr>
              <w:rFonts w:ascii="Calibri" w:eastAsia="Calibri"/>
            </w:rPr>
          </w:pPr>
          <w:r>
            <w:fldChar w:fldCharType="begin"/>
          </w:r>
          <w:r>
            <w:instrText xml:space="preserve"> HYPERLINK \l "_bookmark9" </w:instrText>
          </w:r>
          <w:r>
            <w:fldChar w:fldCharType="separate"/>
          </w:r>
          <w:r>
            <w:t>八、中标及合同签订</w:t>
          </w:r>
          <w:r>
            <w:tab/>
          </w:r>
          <w:r>
            <w:rPr>
              <w:rFonts w:ascii="Calibri" w:eastAsia="Calibri"/>
            </w:rPr>
            <w:t>21</w:t>
          </w:r>
          <w:r>
            <w:rPr>
              <w:rFonts w:ascii="Calibri" w:eastAsia="Calibri"/>
            </w:rPr>
            <w:fldChar w:fldCharType="end"/>
          </w:r>
        </w:p>
        <w:p>
          <w:pPr>
            <w:pStyle w:val="14"/>
            <w:tabs>
              <w:tab w:val="right" w:leader="dot" w:pos="8992"/>
            </w:tabs>
            <w:spacing w:before="60"/>
            <w:rPr>
              <w:rFonts w:ascii="Calibri" w:eastAsia="Calibri"/>
            </w:rPr>
          </w:pPr>
          <w:r>
            <w:fldChar w:fldCharType="begin"/>
          </w:r>
          <w:r>
            <w:instrText xml:space="preserve"> HYPERLINK \l "_bookmark10" </w:instrText>
          </w:r>
          <w:r>
            <w:fldChar w:fldCharType="separate"/>
          </w:r>
          <w:r>
            <w:t>九、验收及付款</w:t>
          </w:r>
          <w:r>
            <w:tab/>
          </w:r>
          <w:r>
            <w:rPr>
              <w:rFonts w:ascii="Calibri" w:eastAsia="Calibri"/>
            </w:rPr>
            <w:t>22</w:t>
          </w:r>
          <w:r>
            <w:rPr>
              <w:rFonts w:ascii="Calibri" w:eastAsia="Calibri"/>
            </w:rPr>
            <w:fldChar w:fldCharType="end"/>
          </w:r>
        </w:p>
        <w:p>
          <w:pPr>
            <w:pStyle w:val="14"/>
            <w:tabs>
              <w:tab w:val="right" w:leader="dot" w:pos="8992"/>
            </w:tabs>
            <w:rPr>
              <w:rFonts w:ascii="Calibri" w:eastAsia="Calibri"/>
            </w:rPr>
          </w:pPr>
          <w:r>
            <w:fldChar w:fldCharType="begin"/>
          </w:r>
          <w:r>
            <w:instrText xml:space="preserve"> HYPERLINK \l "_bookmark11" </w:instrText>
          </w:r>
          <w:r>
            <w:fldChar w:fldCharType="separate"/>
          </w:r>
          <w:r>
            <w:t>十、质疑与投诉</w:t>
          </w:r>
          <w:r>
            <w:tab/>
          </w:r>
          <w:r>
            <w:rPr>
              <w:rFonts w:ascii="Calibri" w:eastAsia="Calibri"/>
            </w:rPr>
            <w:t>22</w:t>
          </w:r>
          <w:r>
            <w:rPr>
              <w:rFonts w:ascii="Calibri" w:eastAsia="Calibri"/>
            </w:rPr>
            <w:fldChar w:fldCharType="end"/>
          </w:r>
        </w:p>
        <w:p>
          <w:pPr>
            <w:pStyle w:val="14"/>
            <w:tabs>
              <w:tab w:val="right" w:leader="dot" w:pos="9412"/>
            </w:tabs>
            <w:spacing w:before="60"/>
            <w:rPr>
              <w:rFonts w:ascii="Calibri" w:eastAsia="Calibri"/>
            </w:rPr>
          </w:pPr>
          <w:r>
            <w:fldChar w:fldCharType="begin"/>
          </w:r>
          <w:r>
            <w:instrText xml:space="preserve"> HYPERLINK \l "_bookmark12" </w:instrText>
          </w:r>
          <w:r>
            <w:fldChar w:fldCharType="separate"/>
          </w:r>
          <w:r>
            <w:t>第三部分授予合同（参考）</w:t>
          </w:r>
          <w:r>
            <w:tab/>
          </w:r>
          <w:r>
            <w:rPr>
              <w:rFonts w:ascii="Calibri" w:eastAsia="Calibri"/>
            </w:rPr>
            <w:t>24</w:t>
          </w:r>
          <w:r>
            <w:rPr>
              <w:rFonts w:ascii="Calibri" w:eastAsia="Calibri"/>
            </w:rPr>
            <w:fldChar w:fldCharType="end"/>
          </w:r>
        </w:p>
        <w:p>
          <w:pPr>
            <w:pStyle w:val="14"/>
            <w:tabs>
              <w:tab w:val="right" w:leader="dot" w:pos="9412"/>
            </w:tabs>
            <w:rPr>
              <w:rFonts w:ascii="Calibri" w:eastAsia="Calibri"/>
            </w:rPr>
          </w:pPr>
          <w:r>
            <w:fldChar w:fldCharType="begin"/>
          </w:r>
          <w:r>
            <w:instrText xml:space="preserve"> HYPERLINK \l "_bookmark13" </w:instrText>
          </w:r>
          <w:r>
            <w:fldChar w:fldCharType="separate"/>
          </w:r>
          <w:r>
            <w:t>第四部分需求方案</w:t>
          </w:r>
          <w:r>
            <w:tab/>
          </w:r>
          <w:r>
            <w:rPr>
              <w:rFonts w:ascii="Calibri" w:eastAsia="Calibri"/>
            </w:rPr>
            <w:t>34</w:t>
          </w:r>
          <w:r>
            <w:rPr>
              <w:rFonts w:ascii="Calibri" w:eastAsia="Calibri"/>
            </w:rPr>
            <w:fldChar w:fldCharType="end"/>
          </w:r>
        </w:p>
        <w:p>
          <w:pPr>
            <w:pStyle w:val="14"/>
            <w:tabs>
              <w:tab w:val="right" w:leader="dot" w:pos="9412"/>
            </w:tabs>
            <w:spacing w:before="63"/>
            <w:rPr>
              <w:rFonts w:ascii="Calibri" w:eastAsia="Calibri"/>
            </w:rPr>
          </w:pPr>
          <w:r>
            <w:fldChar w:fldCharType="begin"/>
          </w:r>
          <w:r>
            <w:instrText xml:space="preserve"> HYPERLINK \l "_bookmark14" </w:instrText>
          </w:r>
          <w:r>
            <w:fldChar w:fldCharType="separate"/>
          </w:r>
          <w:r>
            <w:t>第五部分投标文件格式</w:t>
          </w:r>
          <w:r>
            <w:tab/>
          </w:r>
          <w:r>
            <w:rPr>
              <w:rFonts w:ascii="Calibri" w:eastAsia="Calibri"/>
            </w:rPr>
            <w:t>40</w:t>
          </w:r>
          <w:r>
            <w:rPr>
              <w:rFonts w:ascii="Calibri" w:eastAsia="Calibri"/>
            </w:rPr>
            <w:fldChar w:fldCharType="end"/>
          </w:r>
        </w:p>
        <w:p>
          <w:pPr>
            <w:pStyle w:val="14"/>
            <w:tabs>
              <w:tab w:val="right" w:leader="dot" w:pos="9412"/>
            </w:tabs>
            <w:rPr>
              <w:rFonts w:ascii="Calibri" w:eastAsia="Calibri"/>
            </w:rPr>
          </w:pPr>
          <w:r>
            <w:fldChar w:fldCharType="begin"/>
          </w:r>
          <w:r>
            <w:instrText xml:space="preserve"> HYPERLINK \l "_bookmark15" </w:instrText>
          </w:r>
          <w:r>
            <w:fldChar w:fldCharType="separate"/>
          </w:r>
          <w:r>
            <w:t>附件一 投标函</w:t>
          </w:r>
          <w:r>
            <w:tab/>
          </w:r>
          <w:r>
            <w:rPr>
              <w:rFonts w:ascii="Calibri" w:eastAsia="Calibri"/>
            </w:rPr>
            <w:t>40</w:t>
          </w:r>
          <w:r>
            <w:rPr>
              <w:rFonts w:ascii="Calibri" w:eastAsia="Calibri"/>
            </w:rPr>
            <w:fldChar w:fldCharType="end"/>
          </w:r>
        </w:p>
        <w:p>
          <w:pPr>
            <w:pStyle w:val="14"/>
            <w:tabs>
              <w:tab w:val="right" w:leader="dot" w:pos="9412"/>
            </w:tabs>
            <w:spacing w:before="60"/>
            <w:rPr>
              <w:rFonts w:ascii="Calibri" w:eastAsia="Calibri"/>
            </w:rPr>
          </w:pPr>
          <w:r>
            <w:fldChar w:fldCharType="begin"/>
          </w:r>
          <w:r>
            <w:instrText xml:space="preserve"> HYPERLINK \l "_bookmark16" </w:instrText>
          </w:r>
          <w:r>
            <w:fldChar w:fldCharType="separate"/>
          </w:r>
          <w:r>
            <w:t>附件二 报价一览表</w:t>
          </w:r>
          <w:r>
            <w:tab/>
          </w:r>
          <w:r>
            <w:rPr>
              <w:rFonts w:ascii="Calibri" w:eastAsia="Calibri"/>
            </w:rPr>
            <w:t>41</w:t>
          </w:r>
          <w:r>
            <w:rPr>
              <w:rFonts w:ascii="Calibri" w:eastAsia="Calibri"/>
            </w:rPr>
            <w:fldChar w:fldCharType="end"/>
          </w:r>
        </w:p>
        <w:p>
          <w:pPr>
            <w:pStyle w:val="14"/>
            <w:tabs>
              <w:tab w:val="right" w:leader="dot" w:pos="9412"/>
            </w:tabs>
            <w:rPr>
              <w:rFonts w:ascii="Calibri" w:eastAsia="Calibri"/>
            </w:rPr>
          </w:pPr>
          <w:r>
            <w:fldChar w:fldCharType="begin"/>
          </w:r>
          <w:r>
            <w:instrText xml:space="preserve"> HYPERLINK \l "_bookmark17" </w:instrText>
          </w:r>
          <w:r>
            <w:fldChar w:fldCharType="separate"/>
          </w:r>
          <w:r>
            <w:t>附件三 法定代表人授权委托书</w:t>
          </w:r>
          <w:r>
            <w:tab/>
          </w:r>
          <w:r>
            <w:rPr>
              <w:rFonts w:ascii="Calibri" w:eastAsia="Calibri"/>
            </w:rPr>
            <w:t>42</w:t>
          </w:r>
          <w:r>
            <w:rPr>
              <w:rFonts w:ascii="Calibri" w:eastAsia="Calibri"/>
            </w:rPr>
            <w:fldChar w:fldCharType="end"/>
          </w:r>
        </w:p>
        <w:p>
          <w:pPr>
            <w:pStyle w:val="14"/>
            <w:tabs>
              <w:tab w:val="right" w:leader="dot" w:pos="9412"/>
            </w:tabs>
            <w:spacing w:before="60"/>
            <w:rPr>
              <w:rFonts w:ascii="Calibri" w:eastAsia="Calibri"/>
            </w:rPr>
          </w:pPr>
          <w:r>
            <w:fldChar w:fldCharType="begin"/>
          </w:r>
          <w:r>
            <w:instrText xml:space="preserve"> HYPERLINK \l "_bookmark18" </w:instrText>
          </w:r>
          <w:r>
            <w:fldChar w:fldCharType="separate"/>
          </w:r>
          <w:r>
            <w:t>附件四 投标人资格情况承诺书</w:t>
          </w:r>
          <w:r>
            <w:tab/>
          </w:r>
          <w:r>
            <w:rPr>
              <w:rFonts w:ascii="Calibri" w:eastAsia="Calibri"/>
            </w:rPr>
            <w:t>43</w:t>
          </w:r>
          <w:r>
            <w:rPr>
              <w:rFonts w:ascii="Calibri" w:eastAsia="Calibri"/>
            </w:rPr>
            <w:fldChar w:fldCharType="end"/>
          </w:r>
        </w:p>
        <w:p>
          <w:pPr>
            <w:pStyle w:val="14"/>
            <w:tabs>
              <w:tab w:val="right" w:leader="dot" w:pos="9412"/>
            </w:tabs>
            <w:rPr>
              <w:rFonts w:ascii="Calibri" w:eastAsia="Calibri"/>
            </w:rPr>
          </w:pPr>
          <w:r>
            <w:fldChar w:fldCharType="begin"/>
          </w:r>
          <w:r>
            <w:instrText xml:space="preserve"> HYPERLINK \l "_bookmark19" </w:instrText>
          </w:r>
          <w:r>
            <w:fldChar w:fldCharType="separate"/>
          </w:r>
          <w:r>
            <w:t>附件五 近三年同类项目业绩一览表</w:t>
          </w:r>
          <w:r>
            <w:tab/>
          </w:r>
          <w:r>
            <w:rPr>
              <w:rFonts w:ascii="Calibri" w:eastAsia="Calibri"/>
            </w:rPr>
            <w:t>44</w:t>
          </w:r>
          <w:r>
            <w:rPr>
              <w:rFonts w:ascii="Calibri" w:eastAsia="Calibri"/>
            </w:rPr>
            <w:fldChar w:fldCharType="end"/>
          </w:r>
        </w:p>
        <w:p>
          <w:pPr>
            <w:pStyle w:val="14"/>
            <w:tabs>
              <w:tab w:val="right" w:leader="dot" w:pos="9412"/>
            </w:tabs>
            <w:spacing w:before="60"/>
            <w:rPr>
              <w:rFonts w:ascii="Calibri" w:eastAsia="Calibri"/>
            </w:rPr>
          </w:pPr>
          <w:r>
            <w:fldChar w:fldCharType="begin"/>
          </w:r>
          <w:r>
            <w:instrText xml:space="preserve"> HYPERLINK \l "_bookmark20" </w:instrText>
          </w:r>
          <w:r>
            <w:fldChar w:fldCharType="separate"/>
          </w:r>
          <w:r>
            <w:t>附件六 明细报价表</w:t>
          </w:r>
          <w:r>
            <w:tab/>
          </w:r>
          <w:r>
            <w:rPr>
              <w:rFonts w:ascii="Calibri" w:eastAsia="Calibri"/>
            </w:rPr>
            <w:t>45</w:t>
          </w:r>
          <w:r>
            <w:rPr>
              <w:rFonts w:ascii="Calibri" w:eastAsia="Calibri"/>
            </w:rPr>
            <w:fldChar w:fldCharType="end"/>
          </w:r>
        </w:p>
        <w:p>
          <w:pPr>
            <w:pStyle w:val="14"/>
            <w:tabs>
              <w:tab w:val="right" w:leader="dot" w:pos="9412"/>
            </w:tabs>
            <w:rPr>
              <w:rFonts w:ascii="Calibri" w:eastAsia="Calibri"/>
            </w:rPr>
          </w:pPr>
          <w:r>
            <w:fldChar w:fldCharType="begin"/>
          </w:r>
          <w:r>
            <w:instrText xml:space="preserve"> HYPERLINK \l "_bookmark21" </w:instrText>
          </w:r>
          <w:r>
            <w:fldChar w:fldCharType="separate"/>
          </w:r>
          <w:r>
            <w:t>附件七 测评辅助设备明细表</w:t>
          </w:r>
          <w:r>
            <w:tab/>
          </w:r>
          <w:r>
            <w:rPr>
              <w:rFonts w:ascii="Calibri" w:eastAsia="Calibri"/>
            </w:rPr>
            <w:t>46</w:t>
          </w:r>
          <w:r>
            <w:rPr>
              <w:rFonts w:ascii="Calibri" w:eastAsia="Calibri"/>
            </w:rPr>
            <w:fldChar w:fldCharType="end"/>
          </w:r>
        </w:p>
        <w:p>
          <w:pPr>
            <w:pStyle w:val="14"/>
            <w:tabs>
              <w:tab w:val="right" w:leader="dot" w:pos="9412"/>
            </w:tabs>
            <w:spacing w:before="60"/>
            <w:rPr>
              <w:rFonts w:ascii="Calibri" w:eastAsia="Calibri"/>
            </w:rPr>
          </w:pPr>
          <w:r>
            <w:fldChar w:fldCharType="begin"/>
          </w:r>
          <w:r>
            <w:instrText xml:space="preserve"> HYPERLINK \l "_bookmark22" </w:instrText>
          </w:r>
          <w:r>
            <w:fldChar w:fldCharType="separate"/>
          </w:r>
          <w:r>
            <w:t>附件八 技术服务人员一览表</w:t>
          </w:r>
          <w:r>
            <w:tab/>
          </w:r>
          <w:r>
            <w:rPr>
              <w:rFonts w:ascii="Calibri" w:eastAsia="Calibri"/>
            </w:rPr>
            <w:t>47</w:t>
          </w:r>
          <w:r>
            <w:rPr>
              <w:rFonts w:ascii="Calibri" w:eastAsia="Calibri"/>
            </w:rPr>
            <w:fldChar w:fldCharType="end"/>
          </w:r>
        </w:p>
        <w:p>
          <w:pPr>
            <w:pStyle w:val="14"/>
            <w:tabs>
              <w:tab w:val="right" w:leader="dot" w:pos="9412"/>
            </w:tabs>
            <w:rPr>
              <w:rFonts w:ascii="Calibri" w:eastAsia="Calibri"/>
            </w:rPr>
          </w:pPr>
          <w:r>
            <w:fldChar w:fldCharType="begin"/>
          </w:r>
          <w:r>
            <w:instrText xml:space="preserve"> HYPERLINK \l "_bookmark23" </w:instrText>
          </w:r>
          <w:r>
            <w:fldChar w:fldCharType="separate"/>
          </w:r>
          <w:r>
            <w:t>附件九 技术规格偏离表</w:t>
          </w:r>
          <w:r>
            <w:tab/>
          </w:r>
          <w:r>
            <w:rPr>
              <w:rFonts w:ascii="Calibri" w:eastAsia="Calibri"/>
            </w:rPr>
            <w:t>48</w:t>
          </w:r>
          <w:r>
            <w:rPr>
              <w:rFonts w:ascii="Calibri" w:eastAsia="Calibri"/>
            </w:rPr>
            <w:fldChar w:fldCharType="end"/>
          </w:r>
        </w:p>
        <w:p>
          <w:pPr>
            <w:pStyle w:val="14"/>
            <w:tabs>
              <w:tab w:val="right" w:leader="dot" w:pos="9412"/>
            </w:tabs>
            <w:spacing w:before="60"/>
            <w:rPr>
              <w:rFonts w:ascii="Calibri" w:eastAsia="Calibri"/>
            </w:rPr>
          </w:pPr>
          <w:r>
            <w:fldChar w:fldCharType="begin"/>
          </w:r>
          <w:r>
            <w:instrText xml:space="preserve"> HYPERLINK \l "_bookmark24" </w:instrText>
          </w:r>
          <w:r>
            <w:fldChar w:fldCharType="separate"/>
          </w:r>
          <w:r>
            <w:t>附件十 商务条款偏离表</w:t>
          </w:r>
          <w:r>
            <w:tab/>
          </w:r>
          <w:r>
            <w:rPr>
              <w:rFonts w:ascii="Calibri" w:eastAsia="Calibri"/>
            </w:rPr>
            <w:t>49</w:t>
          </w:r>
          <w:r>
            <w:rPr>
              <w:rFonts w:ascii="Calibri" w:eastAsia="Calibri"/>
            </w:rPr>
            <w:fldChar w:fldCharType="end"/>
          </w:r>
        </w:p>
      </w:sdtContent>
    </w:sdt>
    <w:p>
      <w:pPr>
        <w:rPr>
          <w:rFonts w:ascii="Calibri" w:eastAsia="Calibri"/>
        </w:rPr>
        <w:sectPr>
          <w:footerReference r:id="rId5" w:type="default"/>
          <w:pgSz w:w="11910" w:h="16840"/>
          <w:pgMar w:top="1440" w:right="620" w:bottom="1100" w:left="780" w:header="852" w:footer="913" w:gutter="0"/>
          <w:pgNumType w:start="1"/>
          <w:cols w:space="720" w:num="1"/>
        </w:sectPr>
      </w:pPr>
    </w:p>
    <w:p>
      <w:pPr>
        <w:pStyle w:val="16"/>
        <w:spacing w:before="3"/>
        <w:rPr>
          <w:b/>
        </w:rPr>
      </w:pPr>
      <w:bookmarkStart w:id="0" w:name="_bookmark0"/>
      <w:bookmarkEnd w:id="0"/>
      <w:r>
        <w:rPr>
          <w:b/>
        </w:rPr>
        <w:t>第一部分 采购公告</w:t>
      </w:r>
    </w:p>
    <w:p>
      <w:pPr>
        <w:pStyle w:val="16"/>
        <w:spacing w:before="3"/>
      </w:pPr>
    </w:p>
    <w:p>
      <w:pPr>
        <w:widowControl/>
        <w:spacing w:line="360" w:lineRule="auto"/>
        <w:ind w:left="565" w:leftChars="257" w:right="585" w:rightChars="266"/>
        <w:jc w:val="center"/>
        <w:rPr>
          <w:b/>
          <w:sz w:val="32"/>
          <w:szCs w:val="21"/>
        </w:rPr>
      </w:pPr>
      <w:r>
        <w:rPr>
          <w:rFonts w:hint="eastAsia"/>
          <w:b/>
          <w:sz w:val="32"/>
          <w:szCs w:val="21"/>
        </w:rPr>
        <w:t>新疆维吾尔自治区第二济困医院（新疆维吾尔自治区第五人民医院）等级保护测评项目公开招标公告</w:t>
      </w:r>
    </w:p>
    <w:p>
      <w:pPr>
        <w:widowControl/>
        <w:spacing w:line="360" w:lineRule="auto"/>
        <w:ind w:left="565" w:leftChars="257" w:right="585" w:rightChars="266"/>
        <w:jc w:val="center"/>
        <w:rPr>
          <w:b/>
          <w:sz w:val="32"/>
          <w:szCs w:val="21"/>
        </w:rPr>
      </w:pPr>
    </w:p>
    <w:p>
      <w:pPr>
        <w:widowControl/>
        <w:spacing w:line="360" w:lineRule="auto"/>
        <w:ind w:left="565" w:leftChars="257" w:right="585" w:rightChars="266"/>
        <w:rPr>
          <w:color w:val="000000"/>
          <w:szCs w:val="21"/>
        </w:rPr>
      </w:pPr>
      <w:r>
        <w:rPr>
          <w:b/>
          <w:color w:val="000000"/>
          <w:szCs w:val="21"/>
        </w:rPr>
        <w:t>一、项目名称：</w:t>
      </w:r>
      <w:r>
        <w:rPr>
          <w:rFonts w:hint="eastAsia"/>
          <w:color w:val="000000"/>
          <w:szCs w:val="21"/>
        </w:rPr>
        <w:t>新疆维吾尔自治区第二济困医院（新疆维吾尔自治区第五人民医院）等级保护测评项目</w:t>
      </w:r>
    </w:p>
    <w:p>
      <w:pPr>
        <w:widowControl/>
        <w:spacing w:line="360" w:lineRule="auto"/>
        <w:ind w:left="565" w:leftChars="257" w:right="585" w:rightChars="266"/>
        <w:rPr>
          <w:szCs w:val="21"/>
          <w:lang w:val="en-US"/>
        </w:rPr>
      </w:pPr>
      <w:r>
        <w:rPr>
          <w:b/>
          <w:color w:val="000000"/>
          <w:szCs w:val="21"/>
        </w:rPr>
        <w:t>二、项目编号</w:t>
      </w:r>
      <w:r>
        <w:rPr>
          <w:b/>
          <w:szCs w:val="21"/>
        </w:rPr>
        <w:t>：</w:t>
      </w:r>
      <w:r>
        <w:rPr>
          <w:szCs w:val="21"/>
        </w:rPr>
        <w:t>ZFCGHY-</w:t>
      </w:r>
      <w:r>
        <w:rPr>
          <w:rFonts w:hint="eastAsia"/>
          <w:szCs w:val="21"/>
        </w:rPr>
        <w:t>20220028</w:t>
      </w:r>
    </w:p>
    <w:p>
      <w:pPr>
        <w:widowControl/>
        <w:spacing w:line="360" w:lineRule="auto"/>
        <w:ind w:left="565" w:leftChars="257" w:right="585" w:rightChars="266"/>
        <w:rPr>
          <w:szCs w:val="21"/>
        </w:rPr>
      </w:pPr>
      <w:r>
        <w:rPr>
          <w:b/>
          <w:szCs w:val="21"/>
        </w:rPr>
        <w:t>三、</w:t>
      </w:r>
      <w:r>
        <w:rPr>
          <w:rFonts w:hint="eastAsia"/>
          <w:b/>
          <w:szCs w:val="21"/>
        </w:rPr>
        <w:t>采购</w:t>
      </w:r>
      <w:r>
        <w:rPr>
          <w:b/>
          <w:szCs w:val="21"/>
        </w:rPr>
        <w:t>人：</w:t>
      </w:r>
      <w:r>
        <w:rPr>
          <w:rFonts w:hint="eastAsia"/>
          <w:color w:val="000000"/>
          <w:szCs w:val="21"/>
        </w:rPr>
        <w:t>新疆维吾尔自治区第二济困医院（新疆维吾尔自治区第五人民医院）</w:t>
      </w:r>
    </w:p>
    <w:p>
      <w:pPr>
        <w:widowControl/>
        <w:spacing w:line="360" w:lineRule="auto"/>
        <w:ind w:left="565" w:leftChars="257" w:right="585" w:rightChars="266"/>
        <w:rPr>
          <w:szCs w:val="21"/>
        </w:rPr>
      </w:pPr>
      <w:r>
        <w:rPr>
          <w:b/>
          <w:szCs w:val="21"/>
        </w:rPr>
        <w:t>四、采购代理机构：</w:t>
      </w:r>
      <w:r>
        <w:rPr>
          <w:rFonts w:hint="eastAsia"/>
          <w:szCs w:val="21"/>
        </w:rPr>
        <w:t>新疆华域建设工程项目管理咨询有限公司</w:t>
      </w:r>
    </w:p>
    <w:p>
      <w:pPr>
        <w:widowControl/>
        <w:spacing w:line="360" w:lineRule="auto"/>
        <w:ind w:left="565" w:leftChars="257" w:right="585" w:rightChars="266"/>
        <w:rPr>
          <w:szCs w:val="21"/>
        </w:rPr>
      </w:pPr>
      <w:r>
        <w:rPr>
          <w:rFonts w:hint="eastAsia"/>
          <w:b/>
          <w:szCs w:val="21"/>
        </w:rPr>
        <w:t>五、采购范围：</w:t>
      </w:r>
      <w:r>
        <w:rPr>
          <w:rFonts w:hint="eastAsia"/>
          <w:szCs w:val="21"/>
        </w:rPr>
        <w:t>本项目采购文件所有内容</w:t>
      </w:r>
    </w:p>
    <w:p>
      <w:pPr>
        <w:widowControl/>
        <w:spacing w:line="360" w:lineRule="auto"/>
        <w:ind w:left="565" w:leftChars="257" w:right="585" w:rightChars="266"/>
        <w:rPr>
          <w:b/>
          <w:szCs w:val="21"/>
        </w:rPr>
      </w:pPr>
      <w:r>
        <w:rPr>
          <w:rFonts w:hint="eastAsia"/>
          <w:b/>
          <w:szCs w:val="21"/>
        </w:rPr>
        <w:t>六、采购内容：</w:t>
      </w:r>
      <w:r>
        <w:rPr>
          <w:rFonts w:hint="eastAsia"/>
          <w:szCs w:val="21"/>
        </w:rPr>
        <w:t>具体内容详见采购文件</w:t>
      </w:r>
    </w:p>
    <w:p>
      <w:pPr>
        <w:widowControl/>
        <w:spacing w:line="360" w:lineRule="auto"/>
        <w:ind w:left="565" w:leftChars="257" w:right="585" w:rightChars="266"/>
        <w:rPr>
          <w:szCs w:val="21"/>
        </w:rPr>
      </w:pPr>
      <w:r>
        <w:rPr>
          <w:rFonts w:hint="eastAsia"/>
          <w:b/>
          <w:szCs w:val="21"/>
        </w:rPr>
        <w:t>七、采购方式：</w:t>
      </w:r>
      <w:r>
        <w:rPr>
          <w:rFonts w:hint="eastAsia"/>
          <w:szCs w:val="21"/>
        </w:rPr>
        <w:t>公开招标</w:t>
      </w:r>
    </w:p>
    <w:p>
      <w:pPr>
        <w:widowControl/>
        <w:spacing w:line="360" w:lineRule="auto"/>
        <w:ind w:left="565" w:leftChars="257" w:right="585" w:rightChars="266"/>
        <w:rPr>
          <w:szCs w:val="21"/>
        </w:rPr>
      </w:pPr>
      <w:r>
        <w:rPr>
          <w:rFonts w:hint="eastAsia"/>
          <w:b/>
          <w:szCs w:val="21"/>
        </w:rPr>
        <w:t>八</w:t>
      </w:r>
      <w:r>
        <w:rPr>
          <w:b/>
          <w:szCs w:val="21"/>
        </w:rPr>
        <w:t>、</w:t>
      </w:r>
      <w:r>
        <w:rPr>
          <w:rFonts w:hint="eastAsia"/>
          <w:b/>
          <w:szCs w:val="21"/>
        </w:rPr>
        <w:t>采购预算（采购控制价）：（人民币）</w:t>
      </w:r>
      <w:r>
        <w:rPr>
          <w:rFonts w:hint="eastAsia"/>
          <w:szCs w:val="21"/>
          <w:lang w:val="en-US"/>
        </w:rPr>
        <w:t>350000</w:t>
      </w:r>
      <w:r>
        <w:rPr>
          <w:rFonts w:hint="eastAsia"/>
          <w:szCs w:val="21"/>
        </w:rPr>
        <w:t>.00元；</w:t>
      </w:r>
    </w:p>
    <w:p>
      <w:pPr>
        <w:widowControl/>
        <w:spacing w:line="360" w:lineRule="auto"/>
        <w:ind w:left="565" w:leftChars="257" w:right="585" w:rightChars="266"/>
        <w:rPr>
          <w:b/>
          <w:szCs w:val="21"/>
        </w:rPr>
      </w:pPr>
      <w:r>
        <w:rPr>
          <w:rFonts w:hint="eastAsia"/>
          <w:b/>
          <w:szCs w:val="21"/>
        </w:rPr>
        <w:t>九</w:t>
      </w:r>
      <w:r>
        <w:rPr>
          <w:b/>
          <w:szCs w:val="21"/>
        </w:rPr>
        <w:t>、</w:t>
      </w:r>
      <w:r>
        <w:rPr>
          <w:rFonts w:hint="eastAsia"/>
          <w:b/>
          <w:szCs w:val="21"/>
        </w:rPr>
        <w:t>投标人资格</w:t>
      </w:r>
      <w:r>
        <w:rPr>
          <w:b/>
          <w:szCs w:val="21"/>
        </w:rPr>
        <w:t>：</w:t>
      </w:r>
    </w:p>
    <w:p>
      <w:pPr>
        <w:widowControl/>
        <w:spacing w:line="360" w:lineRule="auto"/>
        <w:ind w:left="565" w:leftChars="257" w:right="585" w:rightChars="266" w:firstLine="220" w:firstLineChars="100"/>
        <w:rPr>
          <w:szCs w:val="21"/>
        </w:rPr>
      </w:pPr>
      <w:r>
        <w:rPr>
          <w:szCs w:val="21"/>
        </w:rPr>
        <w:t>（1）符合《中华人民共和国政府采购法》第二十二条规定；</w:t>
      </w:r>
    </w:p>
    <w:p>
      <w:pPr>
        <w:widowControl/>
        <w:spacing w:line="360" w:lineRule="auto"/>
        <w:ind w:left="565" w:leftChars="257" w:right="585" w:rightChars="266" w:firstLine="220" w:firstLineChars="100"/>
        <w:rPr>
          <w:szCs w:val="21"/>
        </w:rPr>
      </w:pPr>
      <w:r>
        <w:rPr>
          <w:rFonts w:hint="eastAsia"/>
          <w:szCs w:val="21"/>
        </w:rPr>
        <w:t>（2）本项目要求投标人具备有效的工商营业执照、税务登记证、组织机构代码证或“三证合一”的营业执照；</w:t>
      </w:r>
    </w:p>
    <w:p>
      <w:pPr>
        <w:widowControl/>
        <w:spacing w:line="360" w:lineRule="auto"/>
        <w:ind w:left="565" w:leftChars="257" w:right="585" w:rightChars="266" w:firstLine="220" w:firstLineChars="100"/>
      </w:pPr>
      <w:r>
        <w:rPr>
          <w:rFonts w:hint="eastAsia"/>
          <w:szCs w:val="21"/>
        </w:rPr>
        <w:t>（3）</w:t>
      </w:r>
      <w:r>
        <w:t>投标人须</w:t>
      </w:r>
      <w:r>
        <w:rPr>
          <w:rFonts w:hint="eastAsia"/>
        </w:rPr>
        <w:t>具备《网络安全等级测评与检测评估机构服务认证证书》；</w:t>
      </w:r>
    </w:p>
    <w:p>
      <w:pPr>
        <w:widowControl/>
        <w:spacing w:line="360" w:lineRule="auto"/>
        <w:ind w:left="565" w:leftChars="257" w:right="585" w:rightChars="266" w:firstLine="220" w:firstLineChars="100"/>
        <w:rPr>
          <w:szCs w:val="21"/>
        </w:rPr>
      </w:pPr>
      <w:r>
        <w:rPr>
          <w:rFonts w:hint="eastAsia"/>
          <w:szCs w:val="21"/>
        </w:rPr>
        <w:t>（4）投标人须具有独立法人资格；</w:t>
      </w:r>
    </w:p>
    <w:p>
      <w:pPr>
        <w:widowControl/>
        <w:spacing w:line="360" w:lineRule="auto"/>
        <w:ind w:left="565" w:leftChars="257" w:right="585" w:rightChars="266" w:firstLine="220" w:firstLineChars="100"/>
        <w:rPr>
          <w:szCs w:val="21"/>
        </w:rPr>
      </w:pPr>
      <w:r>
        <w:rPr>
          <w:rFonts w:hint="eastAsia"/>
          <w:szCs w:val="21"/>
        </w:rPr>
        <w:t>（5）提供法人授权委托书原件及被授权人身份证原件，授权委托人须为投标人缴纳社保人员；</w:t>
      </w:r>
    </w:p>
    <w:p>
      <w:pPr>
        <w:widowControl/>
        <w:spacing w:line="360" w:lineRule="auto"/>
        <w:ind w:left="565" w:leftChars="257" w:right="585" w:rightChars="266" w:firstLine="220" w:firstLineChars="100"/>
        <w:rPr>
          <w:color w:val="000000"/>
          <w:szCs w:val="21"/>
        </w:rPr>
      </w:pPr>
      <w:r>
        <w:rPr>
          <w:rFonts w:hint="eastAsia"/>
          <w:color w:val="000000"/>
          <w:szCs w:val="21"/>
        </w:rPr>
        <w:t>（6）提供经第三方审计的财务审计报告（投标人为注册未满一年的，提供成立至今的月或季度财务状况报告），有依法缴纳税收和社会保障资金的良好纪录；</w:t>
      </w:r>
    </w:p>
    <w:p>
      <w:pPr>
        <w:widowControl/>
        <w:spacing w:line="360" w:lineRule="auto"/>
        <w:ind w:left="565" w:leftChars="257" w:right="585" w:rightChars="266" w:firstLine="220" w:firstLineChars="100"/>
        <w:rPr>
          <w:szCs w:val="21"/>
        </w:rPr>
      </w:pPr>
      <w:r>
        <w:rPr>
          <w:rFonts w:hint="eastAsia"/>
          <w:szCs w:val="21"/>
        </w:rPr>
        <w:t>（7）投标人须提供在“信用中国”（www.creditchina.gov.cn）和“中国政府采购网 （www.ccgp.gov.cn）”网站上未被列入失信被执行人、重大税收违法案件当事人名单、政府采购严重违法失信行为记录名单截图及信用报告的网页打印件（网页打印件须自公告发布之日起至投标截止时间从上述网站中打印）；</w:t>
      </w:r>
    </w:p>
    <w:p>
      <w:pPr>
        <w:widowControl/>
        <w:spacing w:line="360" w:lineRule="auto"/>
        <w:ind w:left="565" w:leftChars="257" w:right="585" w:rightChars="266" w:firstLine="220" w:firstLineChars="100"/>
        <w:rPr>
          <w:szCs w:val="21"/>
        </w:rPr>
      </w:pPr>
      <w:r>
        <w:rPr>
          <w:rFonts w:hint="eastAsia"/>
          <w:szCs w:val="21"/>
        </w:rPr>
        <w:t>（8）本项目不接受联合体投标；</w:t>
      </w:r>
    </w:p>
    <w:p>
      <w:pPr>
        <w:widowControl/>
        <w:spacing w:line="360" w:lineRule="auto"/>
        <w:ind w:left="565" w:leftChars="257" w:right="585" w:rightChars="266"/>
        <w:rPr>
          <w:b/>
          <w:szCs w:val="21"/>
        </w:rPr>
      </w:pPr>
      <w:r>
        <w:rPr>
          <w:rFonts w:hint="eastAsia"/>
          <w:b/>
          <w:szCs w:val="21"/>
        </w:rPr>
        <w:t>十</w:t>
      </w:r>
      <w:r>
        <w:rPr>
          <w:b/>
          <w:szCs w:val="21"/>
        </w:rPr>
        <w:t>、采购文件的获取：</w:t>
      </w:r>
    </w:p>
    <w:p>
      <w:pPr>
        <w:widowControl/>
        <w:spacing w:line="360" w:lineRule="auto"/>
        <w:ind w:left="565" w:leftChars="257" w:right="585" w:rightChars="266" w:firstLine="110" w:firstLineChars="50"/>
        <w:rPr>
          <w:szCs w:val="21"/>
        </w:rPr>
      </w:pPr>
      <w:r>
        <w:rPr>
          <w:rFonts w:hint="eastAsia"/>
          <w:szCs w:val="21"/>
        </w:rPr>
        <w:t xml:space="preserve"> （1）购买采购文件时须提供：携带本公告投标人资格（2条-7条）规定的资格证明文件（均为原件）。以上证件需提供原件备查及复印件二份加盖公章。采购文件售后不退。</w:t>
      </w:r>
    </w:p>
    <w:p>
      <w:pPr>
        <w:widowControl/>
        <w:spacing w:line="360" w:lineRule="auto"/>
        <w:ind w:left="565" w:leftChars="257" w:right="585" w:rightChars="266" w:firstLine="110" w:firstLineChars="50"/>
        <w:rPr>
          <w:szCs w:val="21"/>
        </w:rPr>
      </w:pPr>
      <w:r>
        <w:rPr>
          <w:rFonts w:hint="eastAsia"/>
          <w:szCs w:val="21"/>
        </w:rPr>
        <w:t xml:space="preserve"> （2）购买时间：2022年</w:t>
      </w:r>
      <w:r>
        <w:rPr>
          <w:rFonts w:hint="eastAsia"/>
          <w:szCs w:val="21"/>
          <w:lang w:val="en-US" w:eastAsia="zh-CN"/>
        </w:rPr>
        <w:t>4</w:t>
      </w:r>
      <w:r>
        <w:rPr>
          <w:rFonts w:hint="eastAsia"/>
          <w:szCs w:val="21"/>
        </w:rPr>
        <w:t>月</w:t>
      </w:r>
      <w:r>
        <w:rPr>
          <w:rFonts w:hint="eastAsia"/>
          <w:szCs w:val="21"/>
          <w:lang w:val="en-US" w:eastAsia="zh-CN"/>
        </w:rPr>
        <w:t>8</w:t>
      </w:r>
      <w:r>
        <w:rPr>
          <w:rFonts w:hint="eastAsia"/>
          <w:szCs w:val="21"/>
        </w:rPr>
        <w:t>日至2022年</w:t>
      </w:r>
      <w:r>
        <w:rPr>
          <w:rFonts w:hint="eastAsia"/>
          <w:szCs w:val="21"/>
          <w:lang w:val="en-US" w:eastAsia="zh-CN"/>
        </w:rPr>
        <w:t>4</w:t>
      </w:r>
      <w:r>
        <w:rPr>
          <w:rFonts w:hint="eastAsia"/>
          <w:szCs w:val="21"/>
        </w:rPr>
        <w:t>月</w:t>
      </w:r>
      <w:r>
        <w:rPr>
          <w:rFonts w:hint="eastAsia"/>
          <w:szCs w:val="21"/>
          <w:lang w:val="en-US" w:eastAsia="zh-CN"/>
        </w:rPr>
        <w:t>15</w:t>
      </w:r>
      <w:r>
        <w:rPr>
          <w:rFonts w:hint="eastAsia"/>
          <w:szCs w:val="21"/>
        </w:rPr>
        <w:t>日，上午10:30至14:00，下午15:30至19:00（北京时间）。</w:t>
      </w:r>
    </w:p>
    <w:p>
      <w:pPr>
        <w:widowControl/>
        <w:spacing w:line="360" w:lineRule="auto"/>
        <w:ind w:left="565" w:leftChars="257" w:right="585" w:rightChars="266" w:firstLine="110" w:firstLineChars="50"/>
        <w:rPr>
          <w:szCs w:val="21"/>
        </w:rPr>
      </w:pPr>
      <w:r>
        <w:rPr>
          <w:rFonts w:hint="eastAsia"/>
          <w:szCs w:val="21"/>
        </w:rPr>
        <w:t xml:space="preserve"> （3）购买地点：新疆华域建设工程项目管理咨询有限公司。</w:t>
      </w:r>
    </w:p>
    <w:p>
      <w:pPr>
        <w:spacing w:line="360" w:lineRule="auto"/>
        <w:ind w:left="565" w:leftChars="257" w:right="585" w:rightChars="266"/>
        <w:rPr>
          <w:szCs w:val="21"/>
        </w:rPr>
      </w:pPr>
      <w:r>
        <w:rPr>
          <w:rFonts w:hint="eastAsia"/>
          <w:b/>
          <w:szCs w:val="21"/>
        </w:rPr>
        <w:t>十一、投标截止时间（开标时间）：</w:t>
      </w:r>
      <w:r>
        <w:rPr>
          <w:rFonts w:hint="eastAsia"/>
          <w:szCs w:val="21"/>
        </w:rPr>
        <w:t xml:space="preserve"> 2022年</w:t>
      </w:r>
      <w:r>
        <w:rPr>
          <w:rFonts w:hint="eastAsia"/>
          <w:szCs w:val="21"/>
          <w:lang w:val="en-US" w:eastAsia="zh-CN"/>
        </w:rPr>
        <w:t>5</w:t>
      </w:r>
      <w:r>
        <w:rPr>
          <w:rFonts w:hint="eastAsia"/>
          <w:szCs w:val="21"/>
        </w:rPr>
        <w:t>月</w:t>
      </w:r>
      <w:r>
        <w:rPr>
          <w:rFonts w:hint="eastAsia"/>
          <w:szCs w:val="21"/>
          <w:lang w:val="en-US" w:eastAsia="zh-CN"/>
        </w:rPr>
        <w:t>7</w:t>
      </w:r>
      <w:r>
        <w:rPr>
          <w:rFonts w:hint="eastAsia"/>
          <w:szCs w:val="21"/>
        </w:rPr>
        <w:t xml:space="preserve">日 </w:t>
      </w:r>
      <w:r>
        <w:rPr>
          <w:rFonts w:hint="eastAsia"/>
          <w:szCs w:val="21"/>
          <w:lang w:val="en-US" w:eastAsia="zh-CN"/>
        </w:rPr>
        <w:t>16</w:t>
      </w:r>
      <w:r>
        <w:rPr>
          <w:rFonts w:hint="eastAsia"/>
          <w:szCs w:val="21"/>
        </w:rPr>
        <w:t>:00（北京时间）。</w:t>
      </w:r>
    </w:p>
    <w:p>
      <w:pPr>
        <w:spacing w:line="360" w:lineRule="auto"/>
        <w:ind w:left="565" w:leftChars="257" w:right="585" w:rightChars="266"/>
        <w:rPr>
          <w:szCs w:val="21"/>
        </w:rPr>
      </w:pPr>
      <w:r>
        <w:rPr>
          <w:rFonts w:hint="eastAsia"/>
          <w:b/>
          <w:szCs w:val="21"/>
        </w:rPr>
        <w:t>十二、</w:t>
      </w:r>
      <w:r>
        <w:rPr>
          <w:b/>
          <w:szCs w:val="21"/>
        </w:rPr>
        <w:t>开标地点：</w:t>
      </w:r>
      <w:r>
        <w:rPr>
          <w:rFonts w:hint="eastAsia"/>
          <w:szCs w:val="21"/>
        </w:rPr>
        <w:t>新疆华域建设工程项目管理咨询有限公司会议室</w:t>
      </w:r>
    </w:p>
    <w:p>
      <w:pPr>
        <w:widowControl/>
        <w:spacing w:line="360" w:lineRule="auto"/>
        <w:ind w:left="565" w:leftChars="257" w:right="585" w:rightChars="266"/>
        <w:rPr>
          <w:b/>
          <w:szCs w:val="21"/>
        </w:rPr>
      </w:pPr>
      <w:r>
        <w:rPr>
          <w:b/>
          <w:szCs w:val="21"/>
        </w:rPr>
        <w:t>十</w:t>
      </w:r>
      <w:r>
        <w:rPr>
          <w:rFonts w:hint="eastAsia"/>
          <w:b/>
          <w:szCs w:val="21"/>
        </w:rPr>
        <w:t>三</w:t>
      </w:r>
      <w:r>
        <w:rPr>
          <w:b/>
          <w:szCs w:val="21"/>
        </w:rPr>
        <w:t>、联系方式</w:t>
      </w:r>
    </w:p>
    <w:p>
      <w:pPr>
        <w:widowControl/>
        <w:spacing w:line="360" w:lineRule="auto"/>
        <w:ind w:left="565" w:leftChars="257" w:right="585" w:rightChars="266" w:firstLine="440" w:firstLineChars="200"/>
        <w:rPr>
          <w:szCs w:val="21"/>
        </w:rPr>
      </w:pPr>
      <w:r>
        <w:rPr>
          <w:rFonts w:hint="eastAsia"/>
          <w:szCs w:val="21"/>
        </w:rPr>
        <w:t>采购人：新疆维吾尔自治区第二济困医院（新疆维吾尔自治区第五人民医院）</w:t>
      </w:r>
    </w:p>
    <w:p>
      <w:pPr>
        <w:widowControl/>
        <w:spacing w:line="360" w:lineRule="auto"/>
        <w:ind w:left="565" w:leftChars="257" w:right="585" w:rightChars="266" w:firstLine="440" w:firstLineChars="200"/>
        <w:rPr>
          <w:szCs w:val="21"/>
        </w:rPr>
      </w:pPr>
      <w:r>
        <w:rPr>
          <w:rFonts w:hint="eastAsia"/>
          <w:szCs w:val="21"/>
        </w:rPr>
        <w:t>地</w:t>
      </w:r>
      <w:r>
        <w:rPr>
          <w:szCs w:val="21"/>
        </w:rPr>
        <w:t xml:space="preserve">  址：乌鲁木齐市新市区喀什西路159号</w:t>
      </w:r>
    </w:p>
    <w:p>
      <w:pPr>
        <w:widowControl/>
        <w:spacing w:line="360" w:lineRule="auto"/>
        <w:ind w:left="565" w:leftChars="257" w:right="585" w:rightChars="266" w:firstLine="440" w:firstLineChars="200"/>
        <w:rPr>
          <w:szCs w:val="21"/>
        </w:rPr>
      </w:pPr>
      <w:r>
        <w:rPr>
          <w:rFonts w:hint="eastAsia"/>
          <w:szCs w:val="21"/>
        </w:rPr>
        <w:t>联系人：刘老师</w:t>
      </w:r>
    </w:p>
    <w:p>
      <w:pPr>
        <w:widowControl/>
        <w:spacing w:line="360" w:lineRule="auto"/>
        <w:ind w:left="565" w:leftChars="257" w:right="585" w:rightChars="266" w:firstLine="440" w:firstLineChars="200"/>
        <w:rPr>
          <w:szCs w:val="21"/>
        </w:rPr>
      </w:pPr>
      <w:r>
        <w:rPr>
          <w:rFonts w:hint="eastAsia"/>
          <w:szCs w:val="21"/>
        </w:rPr>
        <w:t>联系方式：</w:t>
      </w:r>
      <w:r>
        <w:rPr>
          <w:szCs w:val="21"/>
        </w:rPr>
        <w:t>0991-5269101</w:t>
      </w:r>
    </w:p>
    <w:p>
      <w:pPr>
        <w:widowControl/>
        <w:spacing w:line="360" w:lineRule="auto"/>
        <w:ind w:left="565" w:leftChars="257" w:right="585" w:rightChars="266" w:firstLine="440" w:firstLineChars="200"/>
        <w:rPr>
          <w:szCs w:val="21"/>
          <w:lang w:val="en-US"/>
        </w:rPr>
      </w:pPr>
    </w:p>
    <w:p>
      <w:pPr>
        <w:widowControl/>
        <w:spacing w:line="360" w:lineRule="auto"/>
        <w:ind w:left="565" w:leftChars="257" w:right="585" w:rightChars="266" w:firstLine="440" w:firstLineChars="200"/>
        <w:rPr>
          <w:szCs w:val="21"/>
        </w:rPr>
      </w:pPr>
      <w:r>
        <w:rPr>
          <w:szCs w:val="21"/>
        </w:rPr>
        <w:t>采购代理机构：</w:t>
      </w:r>
      <w:r>
        <w:rPr>
          <w:rFonts w:hint="eastAsia"/>
          <w:szCs w:val="21"/>
        </w:rPr>
        <w:t>新疆华域建设工程项目管理咨询有限公司</w:t>
      </w:r>
    </w:p>
    <w:p>
      <w:pPr>
        <w:widowControl/>
        <w:spacing w:line="360" w:lineRule="auto"/>
        <w:ind w:left="565" w:leftChars="257" w:right="585" w:rightChars="266" w:firstLine="440" w:firstLineChars="200"/>
        <w:rPr>
          <w:szCs w:val="21"/>
        </w:rPr>
      </w:pPr>
      <w:r>
        <w:rPr>
          <w:szCs w:val="21"/>
        </w:rPr>
        <w:t>地  址：</w:t>
      </w:r>
      <w:r>
        <w:rPr>
          <w:rFonts w:hint="eastAsia"/>
          <w:szCs w:val="21"/>
        </w:rPr>
        <w:t>乌鲁木齐市五星北路194号新地园大厦13楼</w:t>
      </w:r>
    </w:p>
    <w:p>
      <w:pPr>
        <w:widowControl/>
        <w:spacing w:line="360" w:lineRule="auto"/>
        <w:ind w:left="565" w:leftChars="257" w:right="585" w:rightChars="266" w:firstLine="440" w:firstLineChars="200"/>
        <w:rPr>
          <w:szCs w:val="21"/>
        </w:rPr>
      </w:pPr>
      <w:r>
        <w:rPr>
          <w:szCs w:val="21"/>
        </w:rPr>
        <w:t>联系人</w:t>
      </w:r>
      <w:r>
        <w:rPr>
          <w:rFonts w:hint="eastAsia"/>
          <w:szCs w:val="21"/>
        </w:rPr>
        <w:t>：吴哲  马红萍</w:t>
      </w:r>
    </w:p>
    <w:p>
      <w:pPr>
        <w:widowControl/>
        <w:spacing w:line="360" w:lineRule="auto"/>
        <w:ind w:left="565" w:leftChars="257" w:right="585" w:rightChars="266" w:firstLine="440" w:firstLineChars="200"/>
        <w:rPr>
          <w:szCs w:val="21"/>
        </w:rPr>
      </w:pPr>
      <w:r>
        <w:rPr>
          <w:rFonts w:hint="eastAsia"/>
          <w:szCs w:val="21"/>
        </w:rPr>
        <w:t>联系电话：</w:t>
      </w:r>
      <w:r>
        <w:rPr>
          <w:rFonts w:hint="eastAsia"/>
          <w:szCs w:val="21"/>
          <w:lang w:val="en-US"/>
        </w:rPr>
        <w:t>15999108676</w:t>
      </w:r>
      <w:r>
        <w:rPr>
          <w:rFonts w:hint="eastAsia"/>
          <w:szCs w:val="21"/>
        </w:rPr>
        <w:t>、0991-4630336</w:t>
      </w:r>
    </w:p>
    <w:p/>
    <w:p>
      <w:pPr>
        <w:widowControl/>
        <w:spacing w:line="360" w:lineRule="auto"/>
        <w:ind w:left="565" w:leftChars="257" w:right="585" w:rightChars="266" w:firstLine="440" w:firstLineChars="200"/>
        <w:rPr>
          <w:szCs w:val="21"/>
        </w:rPr>
      </w:pPr>
    </w:p>
    <w:p/>
    <w:p>
      <w:pPr>
        <w:pStyle w:val="5"/>
        <w:spacing w:before="9"/>
        <w:rPr>
          <w:sz w:val="27"/>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16"/>
        <w:spacing w:before="58"/>
        <w:rPr>
          <w:b/>
        </w:rPr>
      </w:pPr>
      <w:bookmarkStart w:id="1" w:name="_bookmark1"/>
      <w:bookmarkEnd w:id="1"/>
      <w:r>
        <w:rPr>
          <w:b/>
        </w:rPr>
        <w:t>第二部分</w:t>
      </w:r>
      <w:r>
        <w:rPr>
          <w:rFonts w:hint="eastAsia"/>
          <w:b/>
        </w:rPr>
        <w:t xml:space="preserve">  </w:t>
      </w:r>
      <w:r>
        <w:rPr>
          <w:b/>
        </w:rPr>
        <w:t>投标人须知前附表</w:t>
      </w:r>
    </w:p>
    <w:p>
      <w:pPr>
        <w:pStyle w:val="5"/>
        <w:spacing w:before="4"/>
        <w:rPr>
          <w:sz w:val="15"/>
        </w:rPr>
      </w:pPr>
    </w:p>
    <w:tbl>
      <w:tblPr>
        <w:tblStyle w:val="13"/>
        <w:tblW w:w="9900" w:type="dxa"/>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9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cantSplit/>
          <w:trHeight w:val="467" w:hRule="atLeast"/>
        </w:trPr>
        <w:tc>
          <w:tcPr>
            <w:tcW w:w="900" w:type="dxa"/>
          </w:tcPr>
          <w:p>
            <w:pPr>
              <w:pStyle w:val="19"/>
              <w:spacing w:before="2"/>
              <w:ind w:left="90" w:right="280"/>
              <w:jc w:val="center"/>
              <w:rPr>
                <w:sz w:val="24"/>
              </w:rPr>
            </w:pPr>
            <w:r>
              <w:rPr>
                <w:sz w:val="24"/>
              </w:rPr>
              <w:t>项目</w:t>
            </w:r>
          </w:p>
        </w:tc>
        <w:tc>
          <w:tcPr>
            <w:tcW w:w="9000" w:type="dxa"/>
          </w:tcPr>
          <w:p>
            <w:pPr>
              <w:pStyle w:val="19"/>
              <w:spacing w:before="2"/>
              <w:ind w:left="4189" w:right="4281"/>
              <w:jc w:val="center"/>
              <w:rPr>
                <w:sz w:val="24"/>
              </w:rPr>
            </w:pPr>
            <w:r>
              <w:rPr>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913" w:hRule="atLeast"/>
        </w:trPr>
        <w:tc>
          <w:tcPr>
            <w:tcW w:w="900" w:type="dxa"/>
            <w:vAlign w:val="center"/>
          </w:tcPr>
          <w:p>
            <w:pPr>
              <w:pStyle w:val="19"/>
              <w:ind w:right="93"/>
              <w:jc w:val="center"/>
              <w:rPr>
                <w:sz w:val="28"/>
              </w:rPr>
            </w:pPr>
            <w:r>
              <w:rPr>
                <w:sz w:val="28"/>
              </w:rPr>
              <w:t>1</w:t>
            </w:r>
          </w:p>
        </w:tc>
        <w:tc>
          <w:tcPr>
            <w:tcW w:w="9000" w:type="dxa"/>
            <w:vAlign w:val="center"/>
          </w:tcPr>
          <w:p>
            <w:pPr>
              <w:pStyle w:val="19"/>
              <w:spacing w:before="2" w:line="362" w:lineRule="auto"/>
              <w:ind w:left="96" w:right="95" w:firstLine="12"/>
              <w:jc w:val="both"/>
              <w:rPr>
                <w:sz w:val="24"/>
              </w:rPr>
            </w:pPr>
            <w:r>
              <w:rPr>
                <w:spacing w:val="-12"/>
                <w:sz w:val="24"/>
              </w:rPr>
              <w:t>项目名称：</w:t>
            </w:r>
            <w:r>
              <w:rPr>
                <w:rFonts w:hint="eastAsia"/>
                <w:spacing w:val="-12"/>
                <w:sz w:val="24"/>
              </w:rPr>
              <w:t>新疆维吾尔自治区第二济困医院（新疆维吾尔自治区第五人民医院）等级保护测评项目</w:t>
            </w:r>
          </w:p>
          <w:p>
            <w:pPr>
              <w:pStyle w:val="19"/>
              <w:spacing w:before="5"/>
              <w:ind w:left="108"/>
              <w:jc w:val="both"/>
              <w:rPr>
                <w:sz w:val="24"/>
              </w:rPr>
            </w:pPr>
            <w:r>
              <w:rPr>
                <w:sz w:val="24"/>
              </w:rPr>
              <w:t>项目编号：ZFCGHY-</w:t>
            </w:r>
            <w:r>
              <w:rPr>
                <w:rFonts w:hint="eastAsia"/>
                <w:sz w:val="24"/>
              </w:rPr>
              <w:t>20220028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45" w:hRule="atLeast"/>
        </w:trPr>
        <w:tc>
          <w:tcPr>
            <w:tcW w:w="900" w:type="dxa"/>
            <w:vAlign w:val="center"/>
          </w:tcPr>
          <w:p>
            <w:pPr>
              <w:pStyle w:val="19"/>
              <w:ind w:right="93"/>
              <w:jc w:val="center"/>
              <w:rPr>
                <w:sz w:val="28"/>
              </w:rPr>
            </w:pPr>
            <w:r>
              <w:rPr>
                <w:sz w:val="28"/>
              </w:rPr>
              <w:t>2</w:t>
            </w:r>
          </w:p>
        </w:tc>
        <w:tc>
          <w:tcPr>
            <w:tcW w:w="9000" w:type="dxa"/>
            <w:vAlign w:val="center"/>
          </w:tcPr>
          <w:p>
            <w:pPr>
              <w:pStyle w:val="19"/>
              <w:spacing w:before="2" w:line="362" w:lineRule="auto"/>
              <w:ind w:left="96" w:right="95" w:firstLine="12"/>
              <w:rPr>
                <w:sz w:val="24"/>
              </w:rPr>
            </w:pPr>
            <w:r>
              <w:rPr>
                <w:sz w:val="24"/>
              </w:rPr>
              <w:t>采购内容：</w:t>
            </w:r>
            <w:r>
              <w:rPr>
                <w:rFonts w:hint="eastAsia"/>
                <w:sz w:val="24"/>
              </w:rPr>
              <w:t>1.技术测评：物理安全、网络安全、安全区域边界、安全计算环境、数据安全及备份恢复、应用安全。</w:t>
            </w:r>
          </w:p>
          <w:p>
            <w:pPr>
              <w:pStyle w:val="19"/>
              <w:spacing w:before="2" w:line="362" w:lineRule="auto"/>
              <w:ind w:left="96" w:right="95" w:firstLine="12"/>
              <w:rPr>
                <w:sz w:val="24"/>
              </w:rPr>
            </w:pPr>
            <w:r>
              <w:rPr>
                <w:rFonts w:hint="eastAsia"/>
                <w:sz w:val="24"/>
              </w:rPr>
              <w:t>2.管理测评：安全管理制度、安全管理机构、安全管理人员、系统建设管理、系统运维管理。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951" w:hRule="atLeast"/>
        </w:trPr>
        <w:tc>
          <w:tcPr>
            <w:tcW w:w="900" w:type="dxa"/>
          </w:tcPr>
          <w:p>
            <w:pPr>
              <w:pStyle w:val="19"/>
              <w:rPr>
                <w:sz w:val="28"/>
              </w:rPr>
            </w:pPr>
          </w:p>
          <w:p>
            <w:pPr>
              <w:pStyle w:val="19"/>
              <w:rPr>
                <w:sz w:val="28"/>
              </w:rPr>
            </w:pPr>
          </w:p>
          <w:p>
            <w:pPr>
              <w:pStyle w:val="19"/>
              <w:rPr>
                <w:sz w:val="28"/>
              </w:rPr>
            </w:pPr>
          </w:p>
          <w:p>
            <w:pPr>
              <w:pStyle w:val="19"/>
              <w:rPr>
                <w:sz w:val="28"/>
              </w:rPr>
            </w:pPr>
          </w:p>
          <w:p>
            <w:pPr>
              <w:pStyle w:val="19"/>
              <w:rPr>
                <w:sz w:val="28"/>
              </w:rPr>
            </w:pPr>
          </w:p>
          <w:p>
            <w:pPr>
              <w:pStyle w:val="19"/>
              <w:rPr>
                <w:sz w:val="28"/>
              </w:rPr>
            </w:pPr>
          </w:p>
          <w:p>
            <w:pPr>
              <w:pStyle w:val="19"/>
              <w:rPr>
                <w:sz w:val="28"/>
              </w:rPr>
            </w:pPr>
          </w:p>
          <w:p>
            <w:pPr>
              <w:pStyle w:val="19"/>
              <w:spacing w:before="180"/>
              <w:ind w:right="93"/>
              <w:jc w:val="center"/>
              <w:rPr>
                <w:sz w:val="28"/>
              </w:rPr>
            </w:pPr>
            <w:r>
              <w:rPr>
                <w:sz w:val="28"/>
              </w:rPr>
              <w:t>3</w:t>
            </w:r>
          </w:p>
        </w:tc>
        <w:tc>
          <w:tcPr>
            <w:tcW w:w="9000" w:type="dxa"/>
          </w:tcPr>
          <w:p>
            <w:pPr>
              <w:pStyle w:val="19"/>
              <w:spacing w:before="2" w:line="362" w:lineRule="auto"/>
              <w:ind w:left="96" w:right="95" w:firstLine="12"/>
              <w:rPr>
                <w:sz w:val="24"/>
              </w:rPr>
            </w:pPr>
          </w:p>
          <w:p>
            <w:pPr>
              <w:pStyle w:val="19"/>
              <w:spacing w:before="2" w:line="362" w:lineRule="auto"/>
              <w:ind w:left="96" w:right="95" w:firstLine="12"/>
              <w:rPr>
                <w:sz w:val="24"/>
              </w:rPr>
            </w:pPr>
            <w:r>
              <w:rPr>
                <w:sz w:val="24"/>
              </w:rPr>
              <w:t>投标人资格要求：</w:t>
            </w:r>
          </w:p>
          <w:p>
            <w:pPr>
              <w:pStyle w:val="19"/>
              <w:spacing w:before="2" w:line="362" w:lineRule="auto"/>
              <w:ind w:left="96" w:right="95" w:firstLine="12"/>
              <w:rPr>
                <w:sz w:val="24"/>
              </w:rPr>
            </w:pPr>
            <w:r>
              <w:rPr>
                <w:sz w:val="24"/>
              </w:rPr>
              <w:t>（1）符合《中华人民共和国政府采购法》第二十二条规定；</w:t>
            </w:r>
          </w:p>
          <w:p>
            <w:pPr>
              <w:pStyle w:val="19"/>
              <w:spacing w:before="2" w:line="362" w:lineRule="auto"/>
              <w:ind w:left="96" w:right="95" w:firstLine="12"/>
              <w:rPr>
                <w:sz w:val="24"/>
              </w:rPr>
            </w:pPr>
            <w:r>
              <w:rPr>
                <w:rFonts w:hint="eastAsia"/>
                <w:sz w:val="24"/>
              </w:rPr>
              <w:t>（2）本项目要求投标人具备有效的工商营业执照、税务登记证、组织机构代码证或“三证合一”的营业执照；</w:t>
            </w:r>
          </w:p>
          <w:p>
            <w:pPr>
              <w:pStyle w:val="19"/>
              <w:spacing w:before="2" w:line="362" w:lineRule="auto"/>
              <w:ind w:left="96" w:right="95" w:firstLine="12"/>
              <w:rPr>
                <w:sz w:val="24"/>
              </w:rPr>
            </w:pPr>
            <w:r>
              <w:rPr>
                <w:rFonts w:hint="eastAsia"/>
                <w:sz w:val="24"/>
              </w:rPr>
              <w:t>（3）</w:t>
            </w:r>
            <w:r>
              <w:rPr>
                <w:sz w:val="24"/>
              </w:rPr>
              <w:t>投标人须</w:t>
            </w:r>
            <w:r>
              <w:rPr>
                <w:rFonts w:hint="eastAsia"/>
                <w:sz w:val="24"/>
              </w:rPr>
              <w:t>具备《网络安全等级测评与检测评估机构服务认证证书》；</w:t>
            </w:r>
          </w:p>
          <w:p>
            <w:pPr>
              <w:pStyle w:val="19"/>
              <w:spacing w:before="2" w:line="362" w:lineRule="auto"/>
              <w:ind w:left="96" w:right="95" w:firstLine="12"/>
              <w:rPr>
                <w:sz w:val="24"/>
              </w:rPr>
            </w:pPr>
            <w:r>
              <w:rPr>
                <w:rFonts w:hint="eastAsia"/>
                <w:sz w:val="24"/>
              </w:rPr>
              <w:t>（4）投标人须具有独立法人资格；</w:t>
            </w:r>
          </w:p>
          <w:p>
            <w:pPr>
              <w:pStyle w:val="19"/>
              <w:spacing w:before="2" w:line="362" w:lineRule="auto"/>
              <w:ind w:left="96" w:right="95" w:firstLine="12"/>
              <w:rPr>
                <w:sz w:val="24"/>
              </w:rPr>
            </w:pPr>
            <w:r>
              <w:rPr>
                <w:rFonts w:hint="eastAsia"/>
                <w:sz w:val="24"/>
              </w:rPr>
              <w:t>（5）提供法人授权委托书原件及被授权人身份证原件，授权委托人须为投标人缴纳社保人员；</w:t>
            </w:r>
          </w:p>
          <w:p>
            <w:pPr>
              <w:pStyle w:val="19"/>
              <w:spacing w:before="2" w:line="362" w:lineRule="auto"/>
              <w:ind w:left="96" w:right="95" w:firstLine="12"/>
              <w:rPr>
                <w:sz w:val="24"/>
              </w:rPr>
            </w:pPr>
            <w:r>
              <w:rPr>
                <w:rFonts w:hint="eastAsia"/>
                <w:sz w:val="24"/>
              </w:rPr>
              <w:t>（6）提供经第三方审计的财务审计报告（投标人为注册未满一年的，提供成立至今的月或季度财务状况报告），有依法缴纳税收和社会保障资金的良好纪录；</w:t>
            </w:r>
          </w:p>
          <w:p>
            <w:pPr>
              <w:pStyle w:val="19"/>
              <w:spacing w:before="2" w:line="362" w:lineRule="auto"/>
              <w:ind w:left="96" w:right="95" w:firstLine="12"/>
              <w:rPr>
                <w:sz w:val="24"/>
              </w:rPr>
            </w:pPr>
            <w:r>
              <w:rPr>
                <w:rFonts w:hint="eastAsia"/>
                <w:sz w:val="24"/>
              </w:rPr>
              <w:t>（7）投标人须提供在“信用中国”（www.creditchina.gov.cn）和“中国政府采购网 （www.ccgp.gov.cn）”网站上未被列入失信被执行人、重大税收违法案件当事人名单、政府采购严重违法失信行为记录名单截图及信用报告的网页打印件（网页打印件须自公告发布之日起至投标截止时间从上述网站中打印）；</w:t>
            </w:r>
          </w:p>
          <w:p>
            <w:pPr>
              <w:pStyle w:val="19"/>
              <w:spacing w:before="2" w:line="362" w:lineRule="auto"/>
              <w:ind w:left="96" w:right="95" w:firstLine="12"/>
              <w:rPr>
                <w:sz w:val="24"/>
              </w:rPr>
            </w:pPr>
            <w:r>
              <w:rPr>
                <w:rFonts w:hint="eastAsia"/>
                <w:sz w:val="24"/>
              </w:rPr>
              <w:t>（8）本项目不接受联合体投标；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cantSplit/>
          <w:trHeight w:val="3732" w:hRule="atLeast"/>
        </w:trPr>
        <w:tc>
          <w:tcPr>
            <w:tcW w:w="900" w:type="dxa"/>
            <w:tcBorders>
              <w:left w:val="single" w:color="000000" w:sz="4" w:space="0"/>
              <w:bottom w:val="single" w:color="000000" w:sz="4" w:space="0"/>
              <w:right w:val="single" w:color="000000" w:sz="4" w:space="0"/>
            </w:tcBorders>
          </w:tcPr>
          <w:p>
            <w:pPr>
              <w:pStyle w:val="19"/>
              <w:rPr>
                <w:sz w:val="28"/>
              </w:rPr>
            </w:pPr>
          </w:p>
          <w:p>
            <w:pPr>
              <w:pStyle w:val="19"/>
              <w:rPr>
                <w:sz w:val="28"/>
              </w:rPr>
            </w:pPr>
          </w:p>
          <w:p>
            <w:pPr>
              <w:pStyle w:val="19"/>
              <w:rPr>
                <w:sz w:val="28"/>
              </w:rPr>
            </w:pPr>
          </w:p>
          <w:p>
            <w:pPr>
              <w:pStyle w:val="19"/>
              <w:spacing w:before="7"/>
              <w:rPr>
                <w:sz w:val="40"/>
              </w:rPr>
            </w:pPr>
          </w:p>
          <w:p>
            <w:pPr>
              <w:pStyle w:val="19"/>
              <w:spacing w:before="1"/>
              <w:ind w:right="420"/>
              <w:jc w:val="right"/>
              <w:rPr>
                <w:sz w:val="28"/>
              </w:rPr>
            </w:pPr>
            <w:r>
              <w:rPr>
                <w:rFonts w:hint="eastAsia"/>
                <w:sz w:val="28"/>
              </w:rPr>
              <w:t>4</w:t>
            </w:r>
          </w:p>
        </w:tc>
        <w:tc>
          <w:tcPr>
            <w:tcW w:w="9000" w:type="dxa"/>
            <w:tcBorders>
              <w:left w:val="single" w:color="000000" w:sz="4" w:space="0"/>
              <w:bottom w:val="single" w:color="000000" w:sz="4" w:space="0"/>
              <w:right w:val="single" w:color="000000" w:sz="4" w:space="0"/>
            </w:tcBorders>
          </w:tcPr>
          <w:p>
            <w:pPr>
              <w:pStyle w:val="19"/>
              <w:spacing w:before="2" w:line="362" w:lineRule="auto"/>
              <w:ind w:left="96" w:right="95" w:firstLine="12"/>
              <w:rPr>
                <w:sz w:val="24"/>
              </w:rPr>
            </w:pPr>
            <w:r>
              <w:rPr>
                <w:sz w:val="24"/>
              </w:rPr>
              <w:t>本项目的投标保证金为人民币：</w:t>
            </w:r>
            <w:r>
              <w:rPr>
                <w:rFonts w:hint="eastAsia"/>
                <w:sz w:val="24"/>
                <w:u w:val="single"/>
                <w:lang w:val="en-US" w:eastAsia="zh-CN"/>
              </w:rPr>
              <w:t>10000</w:t>
            </w:r>
            <w:r>
              <w:rPr>
                <w:rFonts w:hint="eastAsia"/>
                <w:sz w:val="24"/>
                <w:u w:val="single"/>
              </w:rPr>
              <w:t>.00</w:t>
            </w:r>
            <w:r>
              <w:rPr>
                <w:sz w:val="24"/>
              </w:rPr>
              <w:t>元</w:t>
            </w:r>
          </w:p>
          <w:p>
            <w:pPr>
              <w:pStyle w:val="19"/>
              <w:spacing w:before="2" w:line="362" w:lineRule="auto"/>
              <w:ind w:left="96" w:right="95" w:firstLine="12"/>
              <w:rPr>
                <w:sz w:val="24"/>
              </w:rPr>
            </w:pPr>
            <w:r>
              <w:rPr>
                <w:rFonts w:hint="eastAsia"/>
                <w:sz w:val="24"/>
              </w:rPr>
              <w:t>投标保证金的形式：银行电汇或网银</w:t>
            </w:r>
          </w:p>
          <w:p>
            <w:pPr>
              <w:pStyle w:val="19"/>
              <w:spacing w:before="2" w:line="362" w:lineRule="auto"/>
              <w:ind w:left="96" w:right="95" w:firstLine="12"/>
              <w:rPr>
                <w:sz w:val="24"/>
              </w:rPr>
            </w:pPr>
            <w:r>
              <w:rPr>
                <w:rFonts w:hint="eastAsia"/>
                <w:sz w:val="24"/>
              </w:rPr>
              <w:t>开户单位名称：新疆华域建设工程项目管理咨询有限公司</w:t>
            </w:r>
          </w:p>
          <w:p>
            <w:pPr>
              <w:pStyle w:val="19"/>
              <w:spacing w:before="2" w:line="362" w:lineRule="auto"/>
              <w:ind w:left="96" w:right="95" w:firstLine="12"/>
              <w:rPr>
                <w:sz w:val="24"/>
              </w:rPr>
            </w:pPr>
            <w:r>
              <w:rPr>
                <w:rFonts w:hint="eastAsia"/>
                <w:sz w:val="24"/>
              </w:rPr>
              <w:t>开户银行：中国银行乌鲁木齐市南湖东路支行</w:t>
            </w:r>
          </w:p>
          <w:p>
            <w:pPr>
              <w:pStyle w:val="19"/>
              <w:spacing w:before="2" w:line="362" w:lineRule="auto"/>
              <w:ind w:left="96" w:right="95" w:firstLine="12"/>
              <w:rPr>
                <w:sz w:val="24"/>
              </w:rPr>
            </w:pPr>
            <w:r>
              <w:rPr>
                <w:rFonts w:hint="eastAsia"/>
                <w:sz w:val="24"/>
              </w:rPr>
              <w:t>账号：</w:t>
            </w:r>
            <w:r>
              <w:rPr>
                <w:sz w:val="24"/>
              </w:rPr>
              <w:t>107083025521</w:t>
            </w:r>
          </w:p>
          <w:p>
            <w:pPr>
              <w:pStyle w:val="19"/>
              <w:spacing w:before="2" w:line="362" w:lineRule="auto"/>
              <w:ind w:left="96" w:right="95" w:firstLine="12"/>
              <w:rPr>
                <w:sz w:val="24"/>
              </w:rPr>
            </w:pPr>
            <w:r>
              <w:rPr>
                <w:rFonts w:hint="eastAsia"/>
                <w:sz w:val="24"/>
              </w:rPr>
              <w:t>开户行行号：</w:t>
            </w:r>
            <w:r>
              <w:rPr>
                <w:sz w:val="24"/>
              </w:rPr>
              <w:t>104881006151</w:t>
            </w:r>
          </w:p>
          <w:p>
            <w:pPr>
              <w:pStyle w:val="19"/>
              <w:spacing w:before="2" w:line="362" w:lineRule="auto"/>
              <w:ind w:left="96" w:right="95" w:firstLine="12"/>
              <w:rPr>
                <w:sz w:val="24"/>
              </w:rPr>
            </w:pPr>
            <w:r>
              <w:rPr>
                <w:rFonts w:hint="eastAsia"/>
                <w:sz w:val="24"/>
              </w:rPr>
              <w:t>投标保证金的缴纳形式：投标保证金于投标截止时间（北京时间，以到账时间为准）之前，从投标人基本账户以银行电汇、网银的形式汇至或递交至招标代理机构账户，各投标单位缴纳投标保证金时在附加信息及用途栏内注明“项目名称简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cantSplit/>
          <w:trHeight w:val="545" w:hRule="atLeast"/>
        </w:trPr>
        <w:tc>
          <w:tcPr>
            <w:tcW w:w="900" w:type="dxa"/>
            <w:tcBorders>
              <w:top w:val="single" w:color="000000" w:sz="4" w:space="0"/>
              <w:left w:val="single" w:color="000000" w:sz="4" w:space="0"/>
              <w:bottom w:val="single" w:color="000000" w:sz="4" w:space="0"/>
              <w:right w:val="single" w:color="000000" w:sz="4" w:space="0"/>
            </w:tcBorders>
          </w:tcPr>
          <w:p>
            <w:pPr>
              <w:pStyle w:val="19"/>
              <w:spacing w:before="2"/>
              <w:ind w:right="420"/>
              <w:jc w:val="right"/>
              <w:rPr>
                <w:sz w:val="28"/>
              </w:rPr>
            </w:pPr>
            <w:r>
              <w:rPr>
                <w:rFonts w:hint="eastAsia"/>
                <w:sz w:val="28"/>
              </w:rPr>
              <w:t>5</w:t>
            </w:r>
          </w:p>
        </w:tc>
        <w:tc>
          <w:tcPr>
            <w:tcW w:w="9000" w:type="dxa"/>
            <w:tcBorders>
              <w:top w:val="single" w:color="000000" w:sz="4" w:space="0"/>
              <w:left w:val="single" w:color="000000" w:sz="4" w:space="0"/>
              <w:bottom w:val="single" w:color="000000" w:sz="4" w:space="0"/>
              <w:right w:val="single" w:color="000000" w:sz="4" w:space="0"/>
            </w:tcBorders>
            <w:vAlign w:val="center"/>
          </w:tcPr>
          <w:p>
            <w:pPr>
              <w:pStyle w:val="19"/>
              <w:spacing w:before="40"/>
              <w:ind w:left="108"/>
              <w:jc w:val="both"/>
              <w:rPr>
                <w:sz w:val="24"/>
              </w:rPr>
            </w:pPr>
            <w:r>
              <w:rPr>
                <w:sz w:val="24"/>
              </w:rPr>
              <w:t>本项目费用预算：</w:t>
            </w:r>
            <w:r>
              <w:rPr>
                <w:rFonts w:hint="eastAsia"/>
                <w:sz w:val="24"/>
              </w:rPr>
              <w:t>35</w:t>
            </w:r>
            <w:r>
              <w:rPr>
                <w:sz w:val="24"/>
              </w:rPr>
              <w:t>万元。</w:t>
            </w:r>
          </w:p>
          <w:p>
            <w:pPr>
              <w:pStyle w:val="19"/>
              <w:spacing w:before="40"/>
              <w:ind w:left="108"/>
              <w:jc w:val="both"/>
              <w:rPr>
                <w:sz w:val="24"/>
              </w:rPr>
            </w:pPr>
            <w:r>
              <w:rPr>
                <w:rFonts w:hint="eastAsia"/>
                <w:sz w:val="24"/>
              </w:rPr>
              <w:t>注：响应人的报价不得超过采购预算，否则其响应文件将被拒绝。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cantSplit/>
          <w:trHeight w:val="543" w:hRule="atLeast"/>
        </w:trPr>
        <w:tc>
          <w:tcPr>
            <w:tcW w:w="900" w:type="dxa"/>
            <w:tcBorders>
              <w:top w:val="single" w:color="000000" w:sz="4" w:space="0"/>
              <w:left w:val="single" w:color="000000" w:sz="4" w:space="0"/>
              <w:bottom w:val="single" w:color="000000" w:sz="4" w:space="0"/>
              <w:right w:val="single" w:color="000000" w:sz="4" w:space="0"/>
            </w:tcBorders>
          </w:tcPr>
          <w:p>
            <w:pPr>
              <w:pStyle w:val="19"/>
              <w:spacing w:before="1"/>
              <w:ind w:right="420"/>
              <w:jc w:val="right"/>
              <w:rPr>
                <w:sz w:val="28"/>
              </w:rPr>
            </w:pPr>
            <w:r>
              <w:rPr>
                <w:rFonts w:hint="eastAsia"/>
                <w:sz w:val="28"/>
              </w:rPr>
              <w:t>6</w:t>
            </w:r>
          </w:p>
        </w:tc>
        <w:tc>
          <w:tcPr>
            <w:tcW w:w="9000" w:type="dxa"/>
            <w:tcBorders>
              <w:top w:val="single" w:color="000000" w:sz="4" w:space="0"/>
              <w:left w:val="single" w:color="000000" w:sz="4" w:space="0"/>
              <w:bottom w:val="single" w:color="000000" w:sz="4" w:space="0"/>
              <w:right w:val="single" w:color="000000" w:sz="4" w:space="0"/>
            </w:tcBorders>
            <w:vAlign w:val="center"/>
          </w:tcPr>
          <w:p>
            <w:pPr>
              <w:pStyle w:val="19"/>
              <w:spacing w:before="39"/>
              <w:ind w:left="108"/>
              <w:jc w:val="both"/>
              <w:rPr>
                <w:sz w:val="24"/>
              </w:rPr>
            </w:pPr>
            <w:r>
              <w:rPr>
                <w:sz w:val="24"/>
              </w:rPr>
              <w:t xml:space="preserve">投标文件份数：正本 1 份，副本 </w:t>
            </w:r>
            <w:r>
              <w:rPr>
                <w:rFonts w:hint="eastAsia"/>
                <w:sz w:val="24"/>
                <w:lang w:val="en-US"/>
              </w:rPr>
              <w:t>3</w:t>
            </w:r>
            <w:r>
              <w:rPr>
                <w:sz w:val="24"/>
              </w:rPr>
              <w:t>份，报价一览表 1 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cantSplit/>
          <w:trHeight w:val="1843" w:hRule="atLeast"/>
        </w:trPr>
        <w:tc>
          <w:tcPr>
            <w:tcW w:w="900" w:type="dxa"/>
            <w:tcBorders>
              <w:top w:val="single" w:color="000000" w:sz="4" w:space="0"/>
              <w:left w:val="single" w:color="000000" w:sz="4" w:space="0"/>
              <w:bottom w:val="single" w:color="000000" w:sz="4" w:space="0"/>
              <w:right w:val="single" w:color="000000" w:sz="4" w:space="0"/>
            </w:tcBorders>
          </w:tcPr>
          <w:p>
            <w:pPr>
              <w:pStyle w:val="19"/>
              <w:rPr>
                <w:sz w:val="28"/>
              </w:rPr>
            </w:pPr>
          </w:p>
          <w:p>
            <w:pPr>
              <w:pStyle w:val="19"/>
              <w:rPr>
                <w:sz w:val="28"/>
              </w:rPr>
            </w:pPr>
          </w:p>
          <w:p>
            <w:pPr>
              <w:pStyle w:val="19"/>
              <w:ind w:right="420"/>
              <w:jc w:val="right"/>
              <w:rPr>
                <w:sz w:val="28"/>
              </w:rPr>
            </w:pPr>
            <w:r>
              <w:rPr>
                <w:sz w:val="28"/>
              </w:rPr>
              <w:t>7</w:t>
            </w:r>
          </w:p>
        </w:tc>
        <w:tc>
          <w:tcPr>
            <w:tcW w:w="90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right="110" w:rightChars="50"/>
              <w:rPr>
                <w:b/>
                <w:sz w:val="24"/>
                <w:szCs w:val="24"/>
                <w:lang w:val="en-US"/>
              </w:rPr>
            </w:pPr>
            <w:r>
              <w:rPr>
                <w:rFonts w:hint="eastAsia"/>
                <w:b/>
                <w:bCs/>
                <w:iCs/>
                <w:sz w:val="24"/>
                <w:szCs w:val="24"/>
              </w:rPr>
              <w:t>开标时须携带资料</w:t>
            </w:r>
            <w:r>
              <w:rPr>
                <w:rFonts w:hint="eastAsia"/>
                <w:bCs/>
                <w:iCs/>
                <w:sz w:val="24"/>
                <w:szCs w:val="24"/>
              </w:rPr>
              <w:t>：</w:t>
            </w:r>
            <w:r>
              <w:rPr>
                <w:rFonts w:hint="eastAsia"/>
                <w:b/>
                <w:sz w:val="24"/>
                <w:szCs w:val="24"/>
              </w:rPr>
              <w:t>法人代表授权委托书原件及被授权人身份证原件（依据招标文件规定的格式提供）、“三证合一”的营业执照原件或者加盖投标人公章的复印件、投标保证金交纳凭证。未通过原件审核的供应商，予以废标处理。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cantSplit/>
          <w:trHeight w:val="1401" w:hRule="atLeast"/>
        </w:trPr>
        <w:tc>
          <w:tcPr>
            <w:tcW w:w="900" w:type="dxa"/>
            <w:tcBorders>
              <w:top w:val="single" w:color="000000" w:sz="4" w:space="0"/>
              <w:left w:val="single" w:color="000000" w:sz="4" w:space="0"/>
              <w:bottom w:val="single" w:color="000000" w:sz="4" w:space="0"/>
              <w:right w:val="single" w:color="000000" w:sz="4" w:space="0"/>
            </w:tcBorders>
          </w:tcPr>
          <w:p>
            <w:pPr>
              <w:pStyle w:val="19"/>
              <w:spacing w:before="8"/>
              <w:rPr>
                <w:sz w:val="33"/>
              </w:rPr>
            </w:pPr>
          </w:p>
          <w:p>
            <w:pPr>
              <w:pStyle w:val="19"/>
              <w:ind w:right="420"/>
              <w:jc w:val="right"/>
              <w:rPr>
                <w:sz w:val="28"/>
              </w:rPr>
            </w:pPr>
            <w:r>
              <w:rPr>
                <w:rFonts w:hint="eastAsia"/>
                <w:sz w:val="28"/>
              </w:rPr>
              <w:t>8</w:t>
            </w:r>
          </w:p>
        </w:tc>
        <w:tc>
          <w:tcPr>
            <w:tcW w:w="9000" w:type="dxa"/>
            <w:tcBorders>
              <w:top w:val="single" w:color="000000" w:sz="4" w:space="0"/>
              <w:left w:val="single" w:color="000000" w:sz="4" w:space="0"/>
              <w:bottom w:val="single" w:color="000000" w:sz="4" w:space="0"/>
              <w:right w:val="single" w:color="000000" w:sz="4" w:space="0"/>
            </w:tcBorders>
            <w:vAlign w:val="center"/>
          </w:tcPr>
          <w:p>
            <w:pPr>
              <w:pStyle w:val="19"/>
              <w:spacing w:before="3"/>
              <w:ind w:left="108"/>
              <w:jc w:val="both"/>
              <w:rPr>
                <w:sz w:val="24"/>
              </w:rPr>
            </w:pPr>
            <w:r>
              <w:rPr>
                <w:sz w:val="24"/>
              </w:rPr>
              <w:t>投标报价：投标人的报价应为所确定的招标范围内的全部工作内容的价格体现。</w:t>
            </w:r>
          </w:p>
          <w:p>
            <w:pPr>
              <w:pStyle w:val="19"/>
              <w:spacing w:before="5" w:line="460" w:lineRule="atLeast"/>
              <w:ind w:left="108" w:right="201"/>
              <w:jc w:val="both"/>
              <w:rPr>
                <w:sz w:val="24"/>
              </w:rPr>
            </w:pPr>
            <w:r>
              <w:rPr>
                <w:sz w:val="24"/>
              </w:rPr>
              <w:t>招标文件中未列出的相关辅助材料和在实施过程中涉及到的运杂费、税金等其它一切费用应在报价时一并考虑，项目实施过程中不再单独结算。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cantSplit/>
          <w:trHeight w:val="3267" w:hRule="atLeast"/>
        </w:trPr>
        <w:tc>
          <w:tcPr>
            <w:tcW w:w="900" w:type="dxa"/>
            <w:tcBorders>
              <w:top w:val="single" w:color="000000" w:sz="4" w:space="0"/>
              <w:left w:val="single" w:color="000000" w:sz="4" w:space="0"/>
              <w:bottom w:val="single" w:color="000000" w:sz="4" w:space="0"/>
              <w:right w:val="single" w:color="000000" w:sz="4" w:space="0"/>
            </w:tcBorders>
          </w:tcPr>
          <w:p>
            <w:pPr>
              <w:pStyle w:val="19"/>
              <w:rPr>
                <w:sz w:val="28"/>
              </w:rPr>
            </w:pPr>
          </w:p>
          <w:p>
            <w:pPr>
              <w:pStyle w:val="19"/>
              <w:rPr>
                <w:sz w:val="28"/>
              </w:rPr>
            </w:pPr>
          </w:p>
          <w:p>
            <w:pPr>
              <w:pStyle w:val="19"/>
              <w:rPr>
                <w:sz w:val="28"/>
              </w:rPr>
            </w:pPr>
          </w:p>
          <w:p>
            <w:pPr>
              <w:pStyle w:val="19"/>
              <w:spacing w:before="6"/>
            </w:pPr>
          </w:p>
          <w:p>
            <w:pPr>
              <w:pStyle w:val="19"/>
              <w:spacing w:before="1"/>
              <w:ind w:right="348"/>
              <w:jc w:val="right"/>
              <w:rPr>
                <w:sz w:val="28"/>
              </w:rPr>
            </w:pPr>
            <w:r>
              <w:rPr>
                <w:rFonts w:hint="eastAsia"/>
                <w:sz w:val="28"/>
              </w:rPr>
              <w:t>9</w:t>
            </w:r>
          </w:p>
        </w:tc>
        <w:tc>
          <w:tcPr>
            <w:tcW w:w="9000" w:type="dxa"/>
            <w:tcBorders>
              <w:top w:val="single" w:color="000000" w:sz="4" w:space="0"/>
              <w:left w:val="single" w:color="000000" w:sz="4" w:space="0"/>
              <w:bottom w:val="single" w:color="000000" w:sz="4" w:space="0"/>
              <w:right w:val="single" w:color="000000" w:sz="4" w:space="0"/>
            </w:tcBorders>
            <w:vAlign w:val="center"/>
          </w:tcPr>
          <w:p>
            <w:pPr>
              <w:pStyle w:val="19"/>
              <w:spacing w:before="1" w:line="364" w:lineRule="auto"/>
              <w:ind w:left="108" w:right="119"/>
              <w:jc w:val="both"/>
              <w:rPr>
                <w:sz w:val="24"/>
              </w:rPr>
            </w:pPr>
            <w:r>
              <w:rPr>
                <w:sz w:val="24"/>
              </w:rPr>
              <w:t>1、投标文件的装订要求：投标文件不得以活页方式装订，不可拆装。装订应牢固、胶粘不易拆散和换页。</w:t>
            </w:r>
          </w:p>
          <w:p>
            <w:pPr>
              <w:pStyle w:val="19"/>
              <w:spacing w:line="306" w:lineRule="exact"/>
              <w:ind w:left="108"/>
              <w:jc w:val="both"/>
              <w:rPr>
                <w:sz w:val="24"/>
              </w:rPr>
            </w:pPr>
            <w:r>
              <w:rPr>
                <w:sz w:val="24"/>
              </w:rPr>
              <w:t>2、投标文件的密封要求：</w:t>
            </w:r>
          </w:p>
          <w:p>
            <w:pPr>
              <w:pStyle w:val="19"/>
              <w:spacing w:before="160" w:line="364" w:lineRule="auto"/>
              <w:ind w:left="108" w:right="81"/>
              <w:jc w:val="both"/>
              <w:rPr>
                <w:spacing w:val="-4"/>
                <w:sz w:val="24"/>
              </w:rPr>
            </w:pPr>
            <w:r>
              <w:rPr>
                <w:sz w:val="24"/>
              </w:rPr>
              <w:t>(1)</w:t>
            </w:r>
            <w:r>
              <w:rPr>
                <w:spacing w:val="-4"/>
                <w:sz w:val="24"/>
              </w:rPr>
              <w:t xml:space="preserve">投标人应在以下递交的资料密封，封面上应注明项目名称、项目编号、投标人的名称、地址、委托代理人、联系电话等字样，并在封面及封口处加盖单位公章； </w:t>
            </w:r>
          </w:p>
          <w:p>
            <w:pPr>
              <w:pStyle w:val="19"/>
              <w:spacing w:before="160" w:line="364" w:lineRule="auto"/>
              <w:ind w:left="108" w:right="81"/>
              <w:jc w:val="both"/>
              <w:rPr>
                <w:sz w:val="24"/>
              </w:rPr>
            </w:pPr>
            <w:r>
              <w:rPr>
                <w:spacing w:val="-4"/>
                <w:sz w:val="24"/>
              </w:rPr>
              <w:t>(2)</w:t>
            </w:r>
            <w:r>
              <w:rPr>
                <w:spacing w:val="-16"/>
                <w:sz w:val="24"/>
              </w:rPr>
              <w:t>第一个密封袋内需包含：报价一览表、投标人资格审查承诺书</w:t>
            </w:r>
            <w:r>
              <w:rPr>
                <w:sz w:val="24"/>
              </w:rPr>
              <w:t>（</w:t>
            </w:r>
            <w:r>
              <w:rPr>
                <w:spacing w:val="-2"/>
                <w:sz w:val="24"/>
              </w:rPr>
              <w:t>与投标文件一致，</w:t>
            </w:r>
          </w:p>
          <w:p>
            <w:pPr>
              <w:pStyle w:val="19"/>
              <w:spacing w:line="307" w:lineRule="exact"/>
              <w:ind w:left="108"/>
              <w:jc w:val="both"/>
              <w:rPr>
                <w:sz w:val="24"/>
              </w:rPr>
            </w:pPr>
            <w:r>
              <w:rPr>
                <w:sz w:val="24"/>
              </w:rPr>
              <w:t>单独提交的</w:t>
            </w:r>
            <w:r>
              <w:rPr>
                <w:spacing w:val="-120"/>
                <w:sz w:val="24"/>
              </w:rPr>
              <w:t>）</w:t>
            </w:r>
            <w:r>
              <w:rPr>
                <w:sz w:val="24"/>
              </w:rPr>
              <w:t>；第二个密封袋内需包含：投标文件的正本及副本。</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cantSplit/>
          <w:trHeight w:val="934" w:hRule="atLeast"/>
        </w:trPr>
        <w:tc>
          <w:tcPr>
            <w:tcW w:w="900" w:type="dxa"/>
            <w:tcBorders>
              <w:top w:val="single" w:color="000000" w:sz="4" w:space="0"/>
              <w:left w:val="single" w:color="000000" w:sz="4" w:space="0"/>
              <w:bottom w:val="single" w:color="auto" w:sz="4" w:space="0"/>
              <w:right w:val="single" w:color="000000" w:sz="4" w:space="0"/>
            </w:tcBorders>
          </w:tcPr>
          <w:p>
            <w:pPr>
              <w:pStyle w:val="19"/>
              <w:spacing w:before="196"/>
              <w:ind w:right="348"/>
              <w:jc w:val="right"/>
              <w:rPr>
                <w:sz w:val="28"/>
              </w:rPr>
            </w:pPr>
            <w:r>
              <w:rPr>
                <w:sz w:val="28"/>
              </w:rPr>
              <w:t>1</w:t>
            </w:r>
            <w:r>
              <w:rPr>
                <w:rFonts w:hint="eastAsia"/>
                <w:sz w:val="28"/>
              </w:rPr>
              <w:t>0</w:t>
            </w:r>
          </w:p>
        </w:tc>
        <w:tc>
          <w:tcPr>
            <w:tcW w:w="9000" w:type="dxa"/>
            <w:tcBorders>
              <w:top w:val="single" w:color="000000" w:sz="4" w:space="0"/>
              <w:left w:val="single" w:color="000000" w:sz="4" w:space="0"/>
              <w:bottom w:val="single" w:color="auto" w:sz="4" w:space="0"/>
              <w:right w:val="single" w:color="000000" w:sz="4" w:space="0"/>
            </w:tcBorders>
            <w:vAlign w:val="center"/>
          </w:tcPr>
          <w:p>
            <w:pPr>
              <w:pStyle w:val="19"/>
              <w:spacing w:before="1"/>
              <w:ind w:left="108"/>
              <w:jc w:val="both"/>
              <w:rPr>
                <w:sz w:val="24"/>
              </w:rPr>
            </w:pPr>
            <w:r>
              <w:rPr>
                <w:spacing w:val="-2"/>
                <w:sz w:val="24"/>
              </w:rPr>
              <w:t>投标文件递交截止时间及开标时间：</w:t>
            </w:r>
            <w:r>
              <w:rPr>
                <w:rFonts w:hint="eastAsia"/>
                <w:spacing w:val="-4"/>
                <w:sz w:val="24"/>
              </w:rPr>
              <w:t>2022 年</w:t>
            </w:r>
            <w:r>
              <w:rPr>
                <w:rFonts w:hint="eastAsia"/>
                <w:spacing w:val="-4"/>
                <w:sz w:val="24"/>
                <w:lang w:val="en-US" w:eastAsia="zh-CN"/>
              </w:rPr>
              <w:t>5</w:t>
            </w:r>
            <w:r>
              <w:rPr>
                <w:rFonts w:hint="eastAsia"/>
                <w:spacing w:val="-4"/>
                <w:sz w:val="24"/>
              </w:rPr>
              <w:t>月</w:t>
            </w:r>
            <w:r>
              <w:rPr>
                <w:rFonts w:hint="eastAsia"/>
                <w:spacing w:val="-4"/>
                <w:sz w:val="24"/>
                <w:lang w:val="en-US" w:eastAsia="zh-CN"/>
              </w:rPr>
              <w:t>7</w:t>
            </w:r>
            <w:r>
              <w:rPr>
                <w:rFonts w:hint="eastAsia"/>
                <w:spacing w:val="-4"/>
                <w:sz w:val="24"/>
              </w:rPr>
              <w:t>日 1</w:t>
            </w:r>
            <w:r>
              <w:rPr>
                <w:rFonts w:hint="eastAsia"/>
                <w:spacing w:val="-4"/>
                <w:sz w:val="24"/>
                <w:lang w:val="en-US" w:eastAsia="zh-CN"/>
              </w:rPr>
              <w:t>6</w:t>
            </w:r>
            <w:r>
              <w:rPr>
                <w:rFonts w:hint="eastAsia"/>
                <w:spacing w:val="-4"/>
                <w:sz w:val="24"/>
              </w:rPr>
              <w:t>：00</w:t>
            </w:r>
            <w:r>
              <w:rPr>
                <w:spacing w:val="-6"/>
                <w:sz w:val="24"/>
              </w:rPr>
              <w:t>（</w:t>
            </w:r>
            <w:r>
              <w:rPr>
                <w:sz w:val="24"/>
              </w:rPr>
              <w:t>北京时间</w:t>
            </w:r>
            <w:r>
              <w:rPr>
                <w:spacing w:val="-17"/>
                <w:sz w:val="24"/>
              </w:rPr>
              <w:t>）</w:t>
            </w:r>
            <w:r>
              <w:rPr>
                <w:spacing w:val="-6"/>
                <w:sz w:val="24"/>
              </w:rPr>
              <w:t>止，之</w:t>
            </w:r>
            <w:r>
              <w:rPr>
                <w:sz w:val="24"/>
              </w:rPr>
              <w:t>后所提交的文件将被拒绝接收。</w:t>
            </w:r>
            <w:bookmarkStart w:id="151" w:name="_GoBack"/>
            <w:bookmarkEnd w:id="151"/>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cantSplit/>
          <w:trHeight w:val="964" w:hRule="atLeast"/>
        </w:trPr>
        <w:tc>
          <w:tcPr>
            <w:tcW w:w="900" w:type="dxa"/>
            <w:tcBorders>
              <w:top w:val="single" w:color="auto" w:sz="4" w:space="0"/>
              <w:left w:val="single" w:color="auto" w:sz="4" w:space="0"/>
              <w:bottom w:val="single" w:color="auto" w:sz="4" w:space="0"/>
              <w:right w:val="single" w:color="auto" w:sz="4" w:space="0"/>
            </w:tcBorders>
          </w:tcPr>
          <w:p>
            <w:pPr>
              <w:pStyle w:val="19"/>
              <w:spacing w:before="212"/>
              <w:ind w:right="348"/>
              <w:jc w:val="right"/>
              <w:rPr>
                <w:sz w:val="28"/>
              </w:rPr>
            </w:pPr>
            <w:r>
              <w:rPr>
                <w:sz w:val="28"/>
              </w:rPr>
              <w:t>1</w:t>
            </w:r>
            <w:r>
              <w:rPr>
                <w:rFonts w:hint="eastAsia"/>
                <w:sz w:val="28"/>
              </w:rPr>
              <w:t>1</w:t>
            </w:r>
          </w:p>
        </w:tc>
        <w:tc>
          <w:tcPr>
            <w:tcW w:w="9000" w:type="dxa"/>
            <w:tcBorders>
              <w:top w:val="single" w:color="auto" w:sz="4" w:space="0"/>
              <w:left w:val="single" w:color="auto" w:sz="4" w:space="0"/>
              <w:bottom w:val="single" w:color="auto" w:sz="4" w:space="0"/>
              <w:right w:val="single" w:color="auto" w:sz="4" w:space="0"/>
            </w:tcBorders>
            <w:vAlign w:val="center"/>
          </w:tcPr>
          <w:p>
            <w:pPr>
              <w:pStyle w:val="19"/>
              <w:spacing w:before="17"/>
              <w:ind w:left="108"/>
              <w:jc w:val="both"/>
              <w:rPr>
                <w:sz w:val="24"/>
              </w:rPr>
            </w:pPr>
            <w:r>
              <w:rPr>
                <w:sz w:val="24"/>
              </w:rPr>
              <w:t>投标文件递交地点及开标地点：新疆华域建设工程项目管理咨询有限公司会议室</w:t>
            </w:r>
            <w:r>
              <w:rPr>
                <w:rFonts w:hint="eastAsia"/>
                <w:sz w:val="24"/>
              </w:rPr>
              <w:t>（乌鲁木齐市五星北路</w:t>
            </w:r>
            <w:r>
              <w:rPr>
                <w:sz w:val="24"/>
              </w:rPr>
              <w:t>194号新地园大厦13楼</w:t>
            </w:r>
            <w:r>
              <w:rPr>
                <w:rFonts w:hint="eastAsia"/>
                <w:sz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cantSplit/>
          <w:trHeight w:val="1398" w:hRule="atLeast"/>
        </w:trPr>
        <w:tc>
          <w:tcPr>
            <w:tcW w:w="900" w:type="dxa"/>
            <w:tcBorders>
              <w:top w:val="single" w:color="auto" w:sz="4" w:space="0"/>
              <w:left w:val="single" w:color="auto" w:sz="4" w:space="0"/>
              <w:bottom w:val="single" w:color="auto" w:sz="4" w:space="0"/>
              <w:right w:val="single" w:color="auto" w:sz="4" w:space="0"/>
            </w:tcBorders>
          </w:tcPr>
          <w:p>
            <w:pPr>
              <w:pStyle w:val="19"/>
              <w:spacing w:before="5"/>
              <w:rPr>
                <w:sz w:val="33"/>
              </w:rPr>
            </w:pPr>
          </w:p>
          <w:p>
            <w:pPr>
              <w:pStyle w:val="19"/>
              <w:ind w:left="257"/>
              <w:rPr>
                <w:sz w:val="28"/>
              </w:rPr>
            </w:pPr>
            <w:r>
              <w:rPr>
                <w:rFonts w:hint="eastAsia"/>
                <w:sz w:val="28"/>
              </w:rPr>
              <w:t>12</w:t>
            </w:r>
          </w:p>
        </w:tc>
        <w:tc>
          <w:tcPr>
            <w:tcW w:w="9000" w:type="dxa"/>
            <w:tcBorders>
              <w:top w:val="single" w:color="auto" w:sz="4" w:space="0"/>
              <w:left w:val="single" w:color="auto" w:sz="4" w:space="0"/>
              <w:bottom w:val="single" w:color="auto" w:sz="4" w:space="0"/>
              <w:right w:val="single" w:color="auto" w:sz="4" w:space="0"/>
            </w:tcBorders>
            <w:vAlign w:val="center"/>
          </w:tcPr>
          <w:p>
            <w:pPr>
              <w:pStyle w:val="19"/>
              <w:spacing w:line="362" w:lineRule="auto"/>
              <w:ind w:left="108" w:right="1"/>
              <w:jc w:val="both"/>
              <w:rPr>
                <w:sz w:val="24"/>
              </w:rPr>
            </w:pPr>
            <w:r>
              <w:rPr>
                <w:sz w:val="24"/>
              </w:rPr>
              <w:t>中标原则：由评标委员会采用综合评分法对投标人的投标文件和报价进行综合评分。综合评分法，是指投标文件满足招标文件全部实质性要求，且按照评审因素的量化</w:t>
            </w:r>
          </w:p>
          <w:p>
            <w:pPr>
              <w:pStyle w:val="19"/>
              <w:spacing w:before="5"/>
              <w:ind w:left="108"/>
              <w:jc w:val="both"/>
              <w:rPr>
                <w:sz w:val="24"/>
              </w:rPr>
            </w:pPr>
            <w:r>
              <w:rPr>
                <w:sz w:val="24"/>
              </w:rPr>
              <w:t>指标评审得分最高的投标人为中标候选人的评标方法。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cantSplit/>
          <w:trHeight w:val="933"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19"/>
              <w:spacing w:before="198"/>
              <w:ind w:left="257"/>
              <w:rPr>
                <w:sz w:val="28"/>
                <w:highlight w:val="yellow"/>
              </w:rPr>
            </w:pPr>
            <w:r>
              <w:rPr>
                <w:rFonts w:hint="eastAsia"/>
                <w:sz w:val="28"/>
                <w:highlight w:val="yellow"/>
              </w:rPr>
              <w:t>13</w:t>
            </w:r>
          </w:p>
        </w:tc>
        <w:tc>
          <w:tcPr>
            <w:tcW w:w="9000" w:type="dxa"/>
            <w:tcBorders>
              <w:top w:val="single" w:color="auto" w:sz="4" w:space="0"/>
              <w:left w:val="single" w:color="auto" w:sz="4" w:space="0"/>
              <w:bottom w:val="single" w:color="auto" w:sz="4" w:space="0"/>
              <w:right w:val="single" w:color="auto" w:sz="4" w:space="0"/>
            </w:tcBorders>
            <w:vAlign w:val="center"/>
          </w:tcPr>
          <w:p>
            <w:pPr>
              <w:pStyle w:val="19"/>
              <w:spacing w:before="2"/>
              <w:ind w:left="108"/>
              <w:jc w:val="both"/>
              <w:rPr>
                <w:sz w:val="24"/>
                <w:highlight w:val="yellow"/>
              </w:rPr>
            </w:pPr>
            <w:r>
              <w:rPr>
                <w:sz w:val="24"/>
                <w:highlight w:val="yellow"/>
              </w:rPr>
              <w:t xml:space="preserve">服务期：合同签订后 </w:t>
            </w:r>
            <w:r>
              <w:rPr>
                <w:rFonts w:hint="eastAsia"/>
                <w:sz w:val="24"/>
                <w:highlight w:val="yellow"/>
              </w:rPr>
              <w:t>30个工作日</w:t>
            </w:r>
            <w:r>
              <w:rPr>
                <w:sz w:val="24"/>
                <w:highlight w:val="yellow"/>
              </w:rPr>
              <w:t>内完成</w:t>
            </w:r>
            <w:r>
              <w:rPr>
                <w:rFonts w:hint="eastAsia"/>
                <w:sz w:val="24"/>
                <w:highlight w:val="yellow"/>
              </w:rPr>
              <w:t>整体</w:t>
            </w:r>
            <w:r>
              <w:rPr>
                <w:sz w:val="24"/>
                <w:highlight w:val="yellow"/>
              </w:rPr>
              <w:t>测评</w:t>
            </w:r>
            <w:r>
              <w:rPr>
                <w:rFonts w:hint="eastAsia"/>
                <w:sz w:val="24"/>
                <w:highlight w:val="yellow"/>
              </w:rPr>
              <w:t>工作</w:t>
            </w:r>
            <w:r>
              <w:rPr>
                <w:sz w:val="24"/>
                <w:highlight w:val="yellow"/>
              </w:rPr>
              <w:t>并提供</w:t>
            </w:r>
            <w:r>
              <w:rPr>
                <w:rFonts w:hint="eastAsia"/>
                <w:sz w:val="24"/>
                <w:highlight w:val="yellow"/>
              </w:rPr>
              <w:t>《网络安全等级保护测评报告》</w:t>
            </w:r>
            <w:r>
              <w:rPr>
                <w:sz w:val="24"/>
                <w:highlight w:val="yellow"/>
              </w:rPr>
              <w:t>。</w:t>
            </w:r>
          </w:p>
          <w:p>
            <w:pPr>
              <w:pStyle w:val="19"/>
              <w:spacing w:before="159"/>
              <w:ind w:left="108"/>
              <w:jc w:val="both"/>
              <w:rPr>
                <w:sz w:val="24"/>
                <w:highlight w:val="yellow"/>
              </w:rPr>
            </w:pPr>
            <w:r>
              <w:rPr>
                <w:sz w:val="24"/>
                <w:highlight w:val="yellow"/>
              </w:rPr>
              <w:t>项目实施地点：</w:t>
            </w:r>
            <w:r>
              <w:rPr>
                <w:rFonts w:hint="eastAsia"/>
                <w:sz w:val="24"/>
                <w:highlight w:val="yellow"/>
              </w:rPr>
              <w:t>采购人指定地点。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cantSplit/>
          <w:trHeight w:val="780"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19"/>
              <w:spacing w:before="120"/>
              <w:ind w:left="257"/>
              <w:rPr>
                <w:sz w:val="28"/>
                <w:highlight w:val="yellow"/>
              </w:rPr>
            </w:pPr>
            <w:r>
              <w:rPr>
                <w:rFonts w:hint="eastAsia"/>
                <w:sz w:val="28"/>
                <w:highlight w:val="yellow"/>
              </w:rPr>
              <w:t>14</w:t>
            </w:r>
          </w:p>
        </w:tc>
        <w:tc>
          <w:tcPr>
            <w:tcW w:w="9000" w:type="dxa"/>
            <w:tcBorders>
              <w:top w:val="single" w:color="auto" w:sz="4" w:space="0"/>
              <w:left w:val="single" w:color="auto" w:sz="4" w:space="0"/>
              <w:bottom w:val="single" w:color="auto" w:sz="4" w:space="0"/>
              <w:right w:val="single" w:color="auto" w:sz="4" w:space="0"/>
            </w:tcBorders>
            <w:vAlign w:val="center"/>
          </w:tcPr>
          <w:p>
            <w:pPr>
              <w:pStyle w:val="19"/>
              <w:spacing w:before="158"/>
              <w:ind w:left="108"/>
              <w:jc w:val="both"/>
              <w:rPr>
                <w:sz w:val="24"/>
                <w:highlight w:val="yellow"/>
              </w:rPr>
            </w:pPr>
            <w:r>
              <w:rPr>
                <w:sz w:val="24"/>
                <w:highlight w:val="yellow"/>
              </w:rPr>
              <w:t>付款方式：</w:t>
            </w:r>
            <w:r>
              <w:rPr>
                <w:rFonts w:hint="eastAsia"/>
                <w:sz w:val="24"/>
                <w:highlight w:val="yellow"/>
              </w:rPr>
              <w:t>以最终签订的合同为准。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cantSplit/>
          <w:trHeight w:val="934" w:hRule="atLeast"/>
        </w:trPr>
        <w:tc>
          <w:tcPr>
            <w:tcW w:w="900" w:type="dxa"/>
            <w:tcBorders>
              <w:top w:val="single" w:color="auto" w:sz="4" w:space="0"/>
              <w:left w:val="single" w:color="000000" w:sz="4" w:space="0"/>
              <w:bottom w:val="single" w:color="000000" w:sz="4" w:space="0"/>
              <w:right w:val="single" w:color="000000" w:sz="4" w:space="0"/>
            </w:tcBorders>
            <w:vAlign w:val="center"/>
          </w:tcPr>
          <w:p>
            <w:pPr>
              <w:pStyle w:val="19"/>
              <w:spacing w:before="197"/>
              <w:ind w:left="257"/>
              <w:rPr>
                <w:sz w:val="28"/>
                <w:highlight w:val="yellow"/>
              </w:rPr>
            </w:pPr>
            <w:r>
              <w:rPr>
                <w:rFonts w:hint="eastAsia"/>
                <w:sz w:val="28"/>
                <w:highlight w:val="yellow"/>
              </w:rPr>
              <w:t>15</w:t>
            </w:r>
          </w:p>
        </w:tc>
        <w:tc>
          <w:tcPr>
            <w:tcW w:w="9000" w:type="dxa"/>
            <w:tcBorders>
              <w:top w:val="single" w:color="auto" w:sz="4" w:space="0"/>
              <w:left w:val="single" w:color="000000" w:sz="4" w:space="0"/>
              <w:bottom w:val="single" w:color="000000" w:sz="4" w:space="0"/>
              <w:right w:val="single" w:color="000000" w:sz="4" w:space="0"/>
            </w:tcBorders>
            <w:vAlign w:val="center"/>
          </w:tcPr>
          <w:p>
            <w:pPr>
              <w:pStyle w:val="19"/>
              <w:spacing w:before="1"/>
              <w:ind w:left="108"/>
              <w:jc w:val="both"/>
              <w:rPr>
                <w:sz w:val="24"/>
                <w:highlight w:val="yellow"/>
              </w:rPr>
            </w:pPr>
            <w:r>
              <w:rPr>
                <w:sz w:val="24"/>
                <w:highlight w:val="yellow"/>
              </w:rPr>
              <w:t>履约保证金：合同总额的 5%。中标人与采购人签订合同时</w:t>
            </w:r>
            <w:r>
              <w:rPr>
                <w:rFonts w:hint="eastAsia"/>
                <w:sz w:val="24"/>
                <w:highlight w:val="yellow"/>
              </w:rPr>
              <w:t>以银行出具的履约保函形式</w:t>
            </w:r>
            <w:r>
              <w:rPr>
                <w:sz w:val="24"/>
                <w:highlight w:val="yellow"/>
              </w:rPr>
              <w:t>交纳。测试报告交付后无息退还。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cantSplit/>
          <w:trHeight w:val="55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19"/>
              <w:spacing w:before="196"/>
              <w:ind w:left="257"/>
              <w:rPr>
                <w:sz w:val="28"/>
              </w:rPr>
            </w:pPr>
            <w:r>
              <w:rPr>
                <w:rFonts w:hint="eastAsia"/>
                <w:sz w:val="28"/>
              </w:rPr>
              <w:t>16</w:t>
            </w:r>
          </w:p>
        </w:tc>
        <w:tc>
          <w:tcPr>
            <w:tcW w:w="9000" w:type="dxa"/>
            <w:tcBorders>
              <w:top w:val="single" w:color="000000" w:sz="4" w:space="0"/>
              <w:left w:val="single" w:color="000000" w:sz="4" w:space="0"/>
              <w:bottom w:val="single" w:color="000000" w:sz="4" w:space="0"/>
              <w:right w:val="single" w:color="000000" w:sz="4" w:space="0"/>
            </w:tcBorders>
            <w:vAlign w:val="center"/>
          </w:tcPr>
          <w:p>
            <w:pPr>
              <w:pStyle w:val="19"/>
              <w:ind w:left="108"/>
              <w:jc w:val="both"/>
              <w:rPr>
                <w:sz w:val="24"/>
              </w:rPr>
            </w:pPr>
            <w:r>
              <w:rPr>
                <w:sz w:val="24"/>
              </w:rPr>
              <w:t>中标服务费：中标人应向新疆华域建设工程项目管理咨询有限公司交纳中标服务费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cantSplit/>
          <w:trHeight w:val="933"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19"/>
              <w:spacing w:before="198"/>
              <w:ind w:left="257"/>
              <w:rPr>
                <w:sz w:val="28"/>
              </w:rPr>
            </w:pPr>
            <w:r>
              <w:rPr>
                <w:rFonts w:hint="eastAsia"/>
                <w:sz w:val="28"/>
              </w:rPr>
              <w:t>17</w:t>
            </w:r>
          </w:p>
        </w:tc>
        <w:tc>
          <w:tcPr>
            <w:tcW w:w="9000" w:type="dxa"/>
            <w:tcBorders>
              <w:top w:val="single" w:color="000000" w:sz="4" w:space="0"/>
              <w:left w:val="single" w:color="000000" w:sz="4" w:space="0"/>
              <w:bottom w:val="single" w:color="000000" w:sz="4" w:space="0"/>
              <w:right w:val="single" w:color="000000" w:sz="4" w:space="0"/>
            </w:tcBorders>
            <w:vAlign w:val="center"/>
          </w:tcPr>
          <w:p>
            <w:pPr>
              <w:pStyle w:val="19"/>
              <w:spacing w:before="2"/>
              <w:ind w:left="108"/>
              <w:jc w:val="both"/>
              <w:rPr>
                <w:sz w:val="24"/>
              </w:rPr>
            </w:pPr>
            <w:r>
              <w:rPr>
                <w:sz w:val="24"/>
              </w:rPr>
              <w:t>各投标人的调研费、差旅费等费用自理。无论结果如何，投标人均应自行承担投标</w:t>
            </w:r>
          </w:p>
          <w:p>
            <w:pPr>
              <w:pStyle w:val="19"/>
              <w:spacing w:before="159"/>
              <w:ind w:left="108"/>
              <w:jc w:val="both"/>
              <w:rPr>
                <w:sz w:val="24"/>
              </w:rPr>
            </w:pPr>
            <w:r>
              <w:rPr>
                <w:sz w:val="24"/>
              </w:rPr>
              <w:t>所需一切费用。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cantSplit/>
          <w:trHeight w:val="2801"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19"/>
              <w:ind w:left="257"/>
              <w:rPr>
                <w:sz w:val="28"/>
              </w:rPr>
            </w:pPr>
            <w:r>
              <w:rPr>
                <w:rFonts w:hint="eastAsia"/>
                <w:sz w:val="28"/>
              </w:rPr>
              <w:t>18</w:t>
            </w:r>
          </w:p>
        </w:tc>
        <w:tc>
          <w:tcPr>
            <w:tcW w:w="9000" w:type="dxa"/>
            <w:tcBorders>
              <w:top w:val="single" w:color="000000" w:sz="4" w:space="0"/>
              <w:left w:val="single" w:color="000000" w:sz="4" w:space="0"/>
              <w:bottom w:val="single" w:color="000000" w:sz="4" w:space="0"/>
              <w:right w:val="single" w:color="000000" w:sz="4" w:space="0"/>
            </w:tcBorders>
            <w:vAlign w:val="center"/>
          </w:tcPr>
          <w:p>
            <w:pPr>
              <w:pStyle w:val="19"/>
              <w:spacing w:before="2"/>
              <w:ind w:left="108"/>
              <w:jc w:val="both"/>
              <w:rPr>
                <w:sz w:val="24"/>
              </w:rPr>
            </w:pPr>
            <w:r>
              <w:rPr>
                <w:sz w:val="24"/>
              </w:rPr>
              <w:t>特别说明：</w:t>
            </w:r>
          </w:p>
          <w:p>
            <w:pPr>
              <w:pStyle w:val="19"/>
              <w:numPr>
                <w:ilvl w:val="0"/>
                <w:numId w:val="1"/>
              </w:numPr>
              <w:tabs>
                <w:tab w:val="left" w:pos="350"/>
              </w:tabs>
              <w:spacing w:before="158"/>
              <w:ind w:hanging="242"/>
              <w:jc w:val="both"/>
              <w:rPr>
                <w:sz w:val="24"/>
              </w:rPr>
            </w:pPr>
            <w:r>
              <w:rPr>
                <w:sz w:val="24"/>
              </w:rPr>
              <w:t>为保证本项目质量，良好的售后服务，最低报价不作为中标的唯一依据。</w:t>
            </w:r>
          </w:p>
          <w:p>
            <w:pPr>
              <w:pStyle w:val="19"/>
              <w:numPr>
                <w:ilvl w:val="0"/>
                <w:numId w:val="1"/>
              </w:numPr>
              <w:tabs>
                <w:tab w:val="left" w:pos="350"/>
              </w:tabs>
              <w:spacing w:before="160" w:line="364" w:lineRule="auto"/>
              <w:ind w:left="108" w:right="201" w:firstLine="0"/>
              <w:jc w:val="both"/>
              <w:rPr>
                <w:sz w:val="24"/>
              </w:rPr>
            </w:pPr>
            <w:r>
              <w:rPr>
                <w:spacing w:val="-1"/>
                <w:sz w:val="24"/>
              </w:rPr>
              <w:t>采购人若发现中标候选人在投标过程中提供虚假证明文件，故意隐瞒公司不良信誉和财务状况，以及存在可能对合同圆满履行造成风险的其他因素等，则按规定取</w:t>
            </w:r>
            <w:r>
              <w:rPr>
                <w:sz w:val="24"/>
              </w:rPr>
              <w:t>消其中标资格，监管部门依法进行处理。</w:t>
            </w:r>
          </w:p>
          <w:p>
            <w:pPr>
              <w:pStyle w:val="19"/>
              <w:numPr>
                <w:ilvl w:val="0"/>
                <w:numId w:val="1"/>
              </w:numPr>
              <w:tabs>
                <w:tab w:val="left" w:pos="350"/>
              </w:tabs>
              <w:spacing w:line="307" w:lineRule="exact"/>
              <w:ind w:hanging="242"/>
              <w:jc w:val="both"/>
              <w:rPr>
                <w:sz w:val="24"/>
              </w:rPr>
            </w:pPr>
            <w:r>
              <w:rPr>
                <w:sz w:val="24"/>
              </w:rPr>
              <w:t>本项目设最高限价，超出此限价的投标将被做无效标处理。</w:t>
            </w:r>
          </w:p>
        </w:tc>
      </w:tr>
    </w:tbl>
    <w:p>
      <w:pPr>
        <w:pStyle w:val="5"/>
      </w:pPr>
      <w:bookmarkStart w:id="2" w:name="_bookmark2"/>
      <w:bookmarkEnd w:id="2"/>
    </w:p>
    <w:p/>
    <w:p/>
    <w:p/>
    <w:p/>
    <w:p/>
    <w:p>
      <w:pPr>
        <w:sectPr>
          <w:headerReference r:id="rId6" w:type="default"/>
          <w:pgSz w:w="11910" w:h="16840"/>
          <w:pgMar w:top="1420" w:right="620" w:bottom="1100" w:left="780" w:header="852" w:footer="913" w:gutter="0"/>
          <w:cols w:space="720" w:num="1"/>
        </w:sectPr>
      </w:pPr>
    </w:p>
    <w:p>
      <w:pPr>
        <w:pStyle w:val="16"/>
        <w:spacing w:before="3"/>
      </w:pPr>
      <w:bookmarkStart w:id="3" w:name="一、总则"/>
      <w:bookmarkEnd w:id="3"/>
      <w:r>
        <w:t>一、总则</w:t>
      </w:r>
    </w:p>
    <w:p>
      <w:pPr>
        <w:pStyle w:val="5"/>
        <w:spacing w:before="161" w:line="362" w:lineRule="auto"/>
        <w:ind w:left="523" w:right="741" w:firstLine="480"/>
      </w:pPr>
      <w:bookmarkStart w:id="4" w:name="（一）项目概况："/>
      <w:bookmarkEnd w:id="4"/>
      <w:r>
        <w:t>（一）项目概况：</w:t>
      </w:r>
      <w:bookmarkStart w:id="5" w:name="按照关于印发《信息安全等级保护管理办法》的通知、国务院办公厅《关于进一步加强政府"/>
      <w:bookmarkEnd w:id="5"/>
    </w:p>
    <w:p>
      <w:pPr>
        <w:pStyle w:val="5"/>
        <w:spacing w:before="161" w:line="362" w:lineRule="auto"/>
        <w:ind w:left="523" w:right="741" w:firstLine="480"/>
      </w:pPr>
      <w:r>
        <w:rPr>
          <w:rFonts w:hint="eastAsia"/>
        </w:rPr>
        <w:t>对新疆维吾尔自治区第二济困医院（新疆维吾尔自治区第五人民医院）等级保护测评项目</w:t>
      </w:r>
      <w:r>
        <w:t>4套业务系统</w:t>
      </w:r>
      <w:r>
        <w:rPr>
          <w:rFonts w:hint="eastAsia"/>
        </w:rPr>
        <w:t>进行网络安全等级保护测评</w:t>
      </w:r>
      <w:r>
        <w:t>。</w:t>
      </w:r>
    </w:p>
    <w:p>
      <w:pPr>
        <w:pStyle w:val="5"/>
        <w:spacing w:line="304" w:lineRule="exact"/>
        <w:ind w:left="1003"/>
      </w:pPr>
      <w:bookmarkStart w:id="6" w:name="（二）采购方式"/>
      <w:bookmarkEnd w:id="6"/>
      <w:r>
        <w:t>（二）采购方式</w:t>
      </w:r>
    </w:p>
    <w:p>
      <w:pPr>
        <w:pStyle w:val="5"/>
        <w:spacing w:before="158"/>
        <w:ind w:left="1003"/>
      </w:pPr>
      <w:r>
        <w:t>本项目采取公开招标方式采购。</w:t>
      </w:r>
    </w:p>
    <w:p>
      <w:pPr>
        <w:pStyle w:val="5"/>
        <w:spacing w:before="160"/>
        <w:ind w:left="1003"/>
      </w:pPr>
      <w:bookmarkStart w:id="7" w:name="（三）合格的投标人"/>
      <w:bookmarkEnd w:id="7"/>
      <w:r>
        <w:t>（三）合格的投标人</w:t>
      </w:r>
    </w:p>
    <w:p>
      <w:pPr>
        <w:pStyle w:val="5"/>
        <w:spacing w:before="161" w:line="362" w:lineRule="auto"/>
        <w:ind w:left="523" w:right="741" w:firstLine="480"/>
      </w:pPr>
      <w:r>
        <w:t>1、合格的投标人必须是有能力按照本招标文件规定的要求提供服务，且具有独立承担民事等法律责任的法人或其它经济组织，本次投标不接受联合体投标。</w:t>
      </w:r>
    </w:p>
    <w:p>
      <w:pPr>
        <w:pStyle w:val="5"/>
        <w:spacing w:before="2" w:line="364" w:lineRule="auto"/>
        <w:ind w:left="523" w:right="741" w:firstLine="480"/>
      </w:pPr>
      <w:r>
        <w:t>2</w:t>
      </w:r>
      <w:r>
        <w:rPr>
          <w:spacing w:val="-3"/>
        </w:rPr>
        <w:t>、合格的投标人必须符合招标文件第一部分《采购公告》</w:t>
      </w:r>
      <w:r>
        <w:rPr>
          <w:spacing w:val="-9"/>
        </w:rPr>
        <w:t>规定，且具备独立</w:t>
      </w:r>
      <w:r>
        <w:t>完成本项目的能力，中标后经采购人同意可以将部分非主要工程分包，不允许转包。</w:t>
      </w:r>
    </w:p>
    <w:p>
      <w:pPr>
        <w:pStyle w:val="5"/>
        <w:spacing w:before="2"/>
        <w:ind w:left="1003"/>
      </w:pPr>
      <w:r>
        <w:t>3、合格的投标人应遵守《中华人民共和国政府采购法》、《中华人民共和国招投标法》、</w:t>
      </w:r>
    </w:p>
    <w:p>
      <w:pPr>
        <w:pStyle w:val="5"/>
        <w:spacing w:before="158"/>
        <w:ind w:left="523"/>
      </w:pPr>
      <w:r>
        <w:t>《合同法》和《反不正当竞争法》等有关法律、法规。</w:t>
      </w:r>
    </w:p>
    <w:p>
      <w:pPr>
        <w:pStyle w:val="5"/>
        <w:spacing w:before="160"/>
        <w:ind w:left="1003"/>
      </w:pPr>
      <w:bookmarkStart w:id="8" w:name="（四）适用法律"/>
      <w:bookmarkEnd w:id="8"/>
      <w:r>
        <w:t>（四）适用法律</w:t>
      </w:r>
    </w:p>
    <w:p>
      <w:pPr>
        <w:pStyle w:val="5"/>
        <w:spacing w:before="158" w:line="364" w:lineRule="auto"/>
        <w:ind w:left="703" w:right="739" w:firstLine="480"/>
      </w:pPr>
      <w:r>
        <w:rPr>
          <w:spacing w:val="3"/>
          <w:u w:val="single"/>
        </w:rPr>
        <w:t>本次评标及由本次评标产生的合同受中华人民共和国的相关法律、法规制约和保</w:t>
      </w:r>
      <w:r>
        <w:rPr>
          <w:spacing w:val="-235"/>
          <w:u w:val="single"/>
        </w:rPr>
        <w:t>护</w:t>
      </w:r>
      <w:r>
        <w:rPr>
          <w:u w:val="single"/>
        </w:rPr>
        <w:t>。</w:t>
      </w:r>
    </w:p>
    <w:p>
      <w:pPr>
        <w:pStyle w:val="5"/>
        <w:spacing w:line="306" w:lineRule="exact"/>
        <w:ind w:left="1003"/>
      </w:pPr>
      <w:bookmarkStart w:id="9" w:name="（五）投标相关费用"/>
      <w:bookmarkEnd w:id="9"/>
      <w:r>
        <w:t>（五）投标相关费用</w:t>
      </w:r>
    </w:p>
    <w:p>
      <w:pPr>
        <w:pStyle w:val="5"/>
        <w:spacing w:before="161"/>
        <w:ind w:left="1003"/>
      </w:pPr>
      <w:r>
        <w:t>1、投标人应自行承担所有参加投标有关的费用。</w:t>
      </w:r>
    </w:p>
    <w:p>
      <w:pPr>
        <w:pStyle w:val="5"/>
        <w:spacing w:before="158"/>
        <w:ind w:left="969"/>
      </w:pPr>
      <w:r>
        <w:t>2、中标人应向新疆华域建设工程项目管理咨询有限公司交纳中标服务费。</w:t>
      </w:r>
    </w:p>
    <w:p>
      <w:pPr>
        <w:pStyle w:val="5"/>
        <w:spacing w:before="160"/>
        <w:ind w:left="1003"/>
      </w:pPr>
      <w:bookmarkStart w:id="10" w:name="（六）招标文件的约束力"/>
      <w:bookmarkEnd w:id="10"/>
      <w:r>
        <w:t>（六）招标文件的约束力</w:t>
      </w:r>
    </w:p>
    <w:p>
      <w:pPr>
        <w:pStyle w:val="5"/>
        <w:spacing w:before="159"/>
        <w:ind w:left="1003"/>
      </w:pPr>
      <w:r>
        <w:t>投标人一旦报名参加本项目投标，即被认为接受了本招标文件中的所有条件和规定。</w:t>
      </w:r>
    </w:p>
    <w:p>
      <w:pPr>
        <w:pStyle w:val="16"/>
        <w:spacing w:before="160"/>
      </w:pPr>
      <w:bookmarkStart w:id="11" w:name="_bookmark3"/>
      <w:bookmarkEnd w:id="11"/>
      <w:bookmarkStart w:id="12" w:name="二、招标文件"/>
      <w:bookmarkEnd w:id="12"/>
      <w:r>
        <w:t>二、招标文件</w:t>
      </w:r>
    </w:p>
    <w:p>
      <w:pPr>
        <w:pStyle w:val="5"/>
        <w:spacing w:before="199" w:afterLines="50"/>
        <w:ind w:left="1004" w:right="7341"/>
      </w:pPr>
      <w:bookmarkStart w:id="13" w:name="（七）招标文件构成"/>
      <w:bookmarkEnd w:id="13"/>
      <w:r>
        <w:t>（七）招标文件构成</w:t>
      </w:r>
    </w:p>
    <w:p>
      <w:pPr>
        <w:pStyle w:val="5"/>
        <w:spacing w:before="199" w:afterLines="50"/>
        <w:ind w:left="1004" w:right="7341"/>
      </w:pPr>
      <w:r>
        <w:t>投标邀请；</w:t>
      </w:r>
    </w:p>
    <w:p>
      <w:pPr>
        <w:pStyle w:val="5"/>
        <w:spacing w:before="5" w:afterLines="50"/>
        <w:ind w:left="1004"/>
      </w:pPr>
      <w:r>
        <w:t>投标人须知；</w:t>
      </w:r>
    </w:p>
    <w:p>
      <w:pPr>
        <w:pStyle w:val="5"/>
        <w:spacing w:before="199"/>
        <w:ind w:left="1004" w:right="7341"/>
      </w:pPr>
      <w:r>
        <w:t>授予合同；</w:t>
      </w:r>
    </w:p>
    <w:p>
      <w:pPr>
        <w:pStyle w:val="5"/>
        <w:spacing w:before="199"/>
        <w:ind w:left="1004" w:right="7341"/>
      </w:pPr>
      <w:r>
        <w:t>需求方案；</w:t>
      </w:r>
    </w:p>
    <w:p>
      <w:pPr>
        <w:pStyle w:val="5"/>
        <w:spacing w:before="199"/>
        <w:ind w:left="1004" w:right="7341"/>
      </w:pPr>
      <w:r>
        <w:t>投标文件格式。</w:t>
      </w:r>
    </w:p>
    <w:p>
      <w:pPr>
        <w:pStyle w:val="5"/>
        <w:spacing w:before="161" w:line="364" w:lineRule="auto"/>
        <w:ind w:left="523" w:right="739" w:firstLine="480"/>
        <w:jc w:val="both"/>
      </w:pPr>
      <w:r>
        <w:rPr>
          <w:spacing w:val="-8"/>
        </w:rPr>
        <w:t>投标人获取招标文件后，应仔细检查招标文件页数和附件数量，如发现有缺漏，请及时与采购代理机构联系补全。如果投标人不按上述要求操作而造成不良后果，采购代理机</w:t>
      </w:r>
      <w:r>
        <w:t>构不承担责任。</w:t>
      </w:r>
    </w:p>
    <w:p>
      <w:pPr>
        <w:pStyle w:val="5"/>
        <w:spacing w:line="307" w:lineRule="exact"/>
        <w:ind w:left="1003"/>
      </w:pPr>
      <w:bookmarkStart w:id="14" w:name="（八）招标文件的澄清"/>
      <w:bookmarkEnd w:id="14"/>
      <w:r>
        <w:t>（八）招标文件的澄清</w:t>
      </w:r>
    </w:p>
    <w:p>
      <w:pPr>
        <w:pStyle w:val="5"/>
        <w:spacing w:before="158" w:line="364" w:lineRule="auto"/>
        <w:ind w:left="523" w:right="739" w:firstLine="480"/>
        <w:jc w:val="both"/>
      </w:pPr>
      <w:r>
        <w:rPr>
          <w:spacing w:val="-3"/>
        </w:rPr>
        <w:t>任何要求对招标文件澄清的投标人，均应在</w:t>
      </w:r>
      <w:r>
        <w:rPr>
          <w:rFonts w:hint="eastAsia"/>
          <w:spacing w:val="-3"/>
        </w:rPr>
        <w:t>规定时间截止</w:t>
      </w:r>
      <w:r>
        <w:rPr>
          <w:spacing w:val="-11"/>
        </w:rPr>
        <w:t>之前按公告中</w:t>
      </w:r>
      <w:r>
        <w:rPr>
          <w:spacing w:val="-6"/>
        </w:rPr>
        <w:t>的通讯地址，以书面形式</w:t>
      </w:r>
      <w:r>
        <w:rPr>
          <w:spacing w:val="-3"/>
        </w:rPr>
        <w:t>（</w:t>
      </w:r>
      <w:r>
        <w:rPr>
          <w:spacing w:val="-5"/>
        </w:rPr>
        <w:t>如信函、传真等</w:t>
      </w:r>
      <w:r>
        <w:rPr>
          <w:spacing w:val="-24"/>
        </w:rPr>
        <w:t>）</w:t>
      </w:r>
      <w:r>
        <w:rPr>
          <w:spacing w:val="-4"/>
        </w:rPr>
        <w:t>通知采购代理机构，采购代理机构对规定时</w:t>
      </w:r>
      <w:r>
        <w:t>间内收到的澄清要求以书面形式予以答复，答复不包括问题的来源。</w:t>
      </w:r>
    </w:p>
    <w:p>
      <w:pPr>
        <w:pStyle w:val="5"/>
        <w:spacing w:line="307" w:lineRule="exact"/>
        <w:ind w:left="1003"/>
      </w:pPr>
      <w:bookmarkStart w:id="15" w:name="（九）招标文件的修改"/>
      <w:bookmarkEnd w:id="15"/>
      <w:r>
        <w:t>（九）招标文件的修改</w:t>
      </w:r>
    </w:p>
    <w:p>
      <w:pPr>
        <w:pStyle w:val="5"/>
        <w:spacing w:before="158" w:line="364" w:lineRule="auto"/>
        <w:ind w:left="523" w:right="741" w:firstLine="480"/>
      </w:pPr>
      <w:r>
        <w:t>1、在投标文件接收截止日期前，采购人可以更正公告或补充文件的形式对招标文件进行修改。</w:t>
      </w:r>
    </w:p>
    <w:p>
      <w:pPr>
        <w:pStyle w:val="5"/>
        <w:spacing w:line="364" w:lineRule="auto"/>
        <w:ind w:left="523" w:right="741" w:firstLine="480"/>
      </w:pPr>
      <w:r>
        <w:t>2、招标文件的修改将以书面形式通知所有已报名投标人，并对投标人具有约束力。投标人收到修改文件后，应于 1 个工作日内回复采购人，逾期不回的，视同已收。</w:t>
      </w:r>
    </w:p>
    <w:p>
      <w:pPr>
        <w:pStyle w:val="5"/>
        <w:spacing w:line="362" w:lineRule="auto"/>
        <w:ind w:left="523" w:right="621" w:firstLine="480"/>
      </w:pPr>
      <w:r>
        <w:t>3、为使投标人有充分的时间对招标文件的修改部分进行分析、研究，采购人有权推迟投标文件接收截止日期和开标时间，并将此变更书面通知所有购买招标文件的投标人。</w:t>
      </w:r>
    </w:p>
    <w:p>
      <w:pPr>
        <w:pStyle w:val="5"/>
        <w:spacing w:before="3" w:line="364" w:lineRule="auto"/>
        <w:ind w:left="523" w:right="741" w:firstLine="480"/>
      </w:pPr>
      <w:r>
        <w:t>4、采购人发出的所有补充、修改和变更文件均作为招标文件的组成部分，与招标文件具有同等法律效力。</w:t>
      </w:r>
    </w:p>
    <w:p>
      <w:pPr>
        <w:pStyle w:val="16"/>
        <w:ind w:left="1727"/>
      </w:pPr>
      <w:bookmarkStart w:id="16" w:name="三、投标文件的编制"/>
      <w:bookmarkEnd w:id="16"/>
      <w:bookmarkStart w:id="17" w:name="_bookmark4"/>
      <w:bookmarkEnd w:id="17"/>
      <w:r>
        <w:t>三、投标文件的编制</w:t>
      </w:r>
    </w:p>
    <w:p>
      <w:pPr>
        <w:pStyle w:val="5"/>
        <w:spacing w:before="199"/>
        <w:ind w:left="1003"/>
      </w:pPr>
      <w:bookmarkStart w:id="18" w:name="（十）投标文件的编制要求"/>
      <w:bookmarkEnd w:id="18"/>
      <w:r>
        <w:t>（十）投标文件的编制要求</w:t>
      </w:r>
    </w:p>
    <w:p>
      <w:pPr>
        <w:pStyle w:val="5"/>
        <w:spacing w:before="158" w:line="364" w:lineRule="auto"/>
        <w:ind w:left="523" w:right="619" w:firstLine="480"/>
      </w:pPr>
      <w:r>
        <w:rPr>
          <w:spacing w:val="-24"/>
        </w:rPr>
        <w:t>投标人应仔细阅读“招标文件”的所有内容，按“招标文件”的要求编制“投标文件”，</w:t>
      </w:r>
      <w:r>
        <w:rPr>
          <w:spacing w:val="-6"/>
        </w:rPr>
        <w:t>并保证所提供的全部资料的真实性、完整性及有效性，以使其投标对“招标文件”做出实质性响应。否则，可能被拒绝。</w:t>
      </w:r>
    </w:p>
    <w:p>
      <w:pPr>
        <w:pStyle w:val="5"/>
        <w:spacing w:line="307" w:lineRule="exact"/>
        <w:ind w:left="1003"/>
      </w:pPr>
      <w:bookmarkStart w:id="19" w:name="（十一）投标文件构成"/>
      <w:bookmarkEnd w:id="19"/>
      <w:r>
        <w:t>（十一）投标文件构成</w:t>
      </w:r>
    </w:p>
    <w:p>
      <w:pPr>
        <w:pStyle w:val="18"/>
        <w:numPr>
          <w:ilvl w:val="1"/>
          <w:numId w:val="2"/>
        </w:numPr>
        <w:tabs>
          <w:tab w:val="left" w:pos="1665"/>
        </w:tabs>
        <w:ind w:hanging="602"/>
        <w:rPr>
          <w:sz w:val="24"/>
        </w:rPr>
      </w:pPr>
      <w:r>
        <w:rPr>
          <w:sz w:val="24"/>
        </w:rPr>
        <w:t>法定代表人或其授权代理人签署的投标函（附件一</w:t>
      </w:r>
      <w:r>
        <w:rPr>
          <w:spacing w:val="-120"/>
          <w:sz w:val="24"/>
        </w:rPr>
        <w:t>）</w:t>
      </w:r>
      <w:r>
        <w:rPr>
          <w:sz w:val="24"/>
        </w:rPr>
        <w:t>；</w:t>
      </w:r>
    </w:p>
    <w:p>
      <w:pPr>
        <w:pStyle w:val="18"/>
        <w:numPr>
          <w:ilvl w:val="1"/>
          <w:numId w:val="2"/>
        </w:numPr>
        <w:tabs>
          <w:tab w:val="left" w:pos="1665"/>
        </w:tabs>
        <w:spacing w:before="160"/>
        <w:ind w:hanging="602"/>
        <w:rPr>
          <w:sz w:val="24"/>
        </w:rPr>
      </w:pPr>
      <w:r>
        <w:rPr>
          <w:sz w:val="24"/>
        </w:rPr>
        <w:t>报价一览表（附件二</w:t>
      </w:r>
      <w:r>
        <w:rPr>
          <w:spacing w:val="-120"/>
          <w:sz w:val="24"/>
        </w:rPr>
        <w:t>）</w:t>
      </w:r>
      <w:r>
        <w:rPr>
          <w:sz w:val="24"/>
        </w:rPr>
        <w:t>；</w:t>
      </w:r>
    </w:p>
    <w:p>
      <w:pPr>
        <w:pStyle w:val="18"/>
        <w:numPr>
          <w:ilvl w:val="1"/>
          <w:numId w:val="2"/>
        </w:numPr>
        <w:tabs>
          <w:tab w:val="left" w:pos="1665"/>
        </w:tabs>
        <w:spacing w:before="161" w:line="362" w:lineRule="auto"/>
        <w:ind w:left="523" w:right="739" w:firstLine="540"/>
        <w:rPr>
          <w:sz w:val="24"/>
        </w:rPr>
      </w:pPr>
      <w:r>
        <w:rPr>
          <w:spacing w:val="-5"/>
          <w:sz w:val="24"/>
        </w:rPr>
        <w:t xml:space="preserve">投标人参加政府采购活动前 </w:t>
      </w:r>
      <w:r>
        <w:rPr>
          <w:sz w:val="24"/>
        </w:rPr>
        <w:t>3 年内在经营活动中无重大违法记录的声明和无</w:t>
      </w:r>
      <w:r>
        <w:rPr>
          <w:spacing w:val="-4"/>
          <w:sz w:val="24"/>
        </w:rPr>
        <w:t>行贿犯罪的声明；</w:t>
      </w:r>
    </w:p>
    <w:p>
      <w:pPr>
        <w:pStyle w:val="18"/>
        <w:numPr>
          <w:ilvl w:val="1"/>
          <w:numId w:val="2"/>
        </w:numPr>
        <w:tabs>
          <w:tab w:val="left" w:pos="1665"/>
        </w:tabs>
        <w:spacing w:before="160"/>
        <w:ind w:hanging="602"/>
        <w:rPr>
          <w:sz w:val="24"/>
        </w:rPr>
      </w:pPr>
      <w:r>
        <w:rPr>
          <w:sz w:val="24"/>
        </w:rPr>
        <w:t>法人代表证明或法定代表人授权委托书（附件三）；</w:t>
      </w:r>
    </w:p>
    <w:p>
      <w:pPr>
        <w:pStyle w:val="18"/>
        <w:numPr>
          <w:ilvl w:val="1"/>
          <w:numId w:val="2"/>
        </w:numPr>
        <w:tabs>
          <w:tab w:val="left" w:pos="1665"/>
        </w:tabs>
        <w:spacing w:before="160"/>
        <w:ind w:hanging="602"/>
        <w:rPr>
          <w:sz w:val="24"/>
        </w:rPr>
      </w:pPr>
      <w:r>
        <w:rPr>
          <w:sz w:val="24"/>
        </w:rPr>
        <w:t>投标人资格情况承诺书（附件四）；</w:t>
      </w:r>
    </w:p>
    <w:p>
      <w:pPr>
        <w:pStyle w:val="18"/>
        <w:numPr>
          <w:ilvl w:val="1"/>
          <w:numId w:val="2"/>
        </w:numPr>
        <w:tabs>
          <w:tab w:val="left" w:pos="1665"/>
        </w:tabs>
        <w:spacing w:before="161" w:line="362" w:lineRule="auto"/>
        <w:ind w:left="523" w:right="739" w:firstLine="540"/>
        <w:rPr>
          <w:spacing w:val="-5"/>
          <w:sz w:val="24"/>
        </w:rPr>
      </w:pPr>
      <w:r>
        <w:rPr>
          <w:spacing w:val="-5"/>
          <w:sz w:val="24"/>
        </w:rPr>
        <w:t>公司简介（后附营业执照（事业单位法人证书）、税务登记证、组织机构代码证、资质证书、中国裁判文书网无行贿犯罪记录查询截图、信用中国查询截图、纳税证明材料、社保交纳证明材料、保证金汇款凭证等</w:t>
      </w:r>
      <w:r>
        <w:rPr>
          <w:rFonts w:hint="eastAsia"/>
          <w:spacing w:val="-5"/>
          <w:sz w:val="24"/>
        </w:rPr>
        <w:t>相关材料</w:t>
      </w:r>
      <w:r>
        <w:rPr>
          <w:spacing w:val="-5"/>
          <w:sz w:val="24"/>
        </w:rPr>
        <w:t>）；</w:t>
      </w:r>
    </w:p>
    <w:p>
      <w:pPr>
        <w:pStyle w:val="18"/>
        <w:numPr>
          <w:ilvl w:val="1"/>
          <w:numId w:val="2"/>
        </w:numPr>
        <w:tabs>
          <w:tab w:val="left" w:pos="1665"/>
        </w:tabs>
        <w:ind w:hanging="602"/>
        <w:rPr>
          <w:sz w:val="24"/>
        </w:rPr>
      </w:pPr>
      <w:r>
        <w:rPr>
          <w:sz w:val="24"/>
        </w:rPr>
        <w:t>投标人其他相关资质证书；</w:t>
      </w:r>
    </w:p>
    <w:p>
      <w:pPr>
        <w:pStyle w:val="18"/>
        <w:numPr>
          <w:ilvl w:val="1"/>
          <w:numId w:val="2"/>
        </w:numPr>
        <w:tabs>
          <w:tab w:val="left" w:pos="1665"/>
        </w:tabs>
        <w:ind w:hanging="602"/>
        <w:rPr>
          <w:sz w:val="24"/>
        </w:rPr>
      </w:pPr>
      <w:r>
        <w:rPr>
          <w:sz w:val="24"/>
        </w:rPr>
        <w:t>近三年同类项目业绩一览表（附件五）；</w:t>
      </w:r>
    </w:p>
    <w:p>
      <w:pPr>
        <w:pStyle w:val="18"/>
        <w:numPr>
          <w:ilvl w:val="1"/>
          <w:numId w:val="2"/>
        </w:numPr>
        <w:tabs>
          <w:tab w:val="left" w:pos="1665"/>
        </w:tabs>
        <w:ind w:hanging="602"/>
        <w:rPr>
          <w:sz w:val="24"/>
        </w:rPr>
      </w:pPr>
      <w:r>
        <w:rPr>
          <w:sz w:val="24"/>
        </w:rPr>
        <w:t>投标人近三年财务状况（需提供财务报表）；</w:t>
      </w:r>
    </w:p>
    <w:p>
      <w:pPr>
        <w:pStyle w:val="18"/>
        <w:numPr>
          <w:ilvl w:val="1"/>
          <w:numId w:val="2"/>
        </w:numPr>
        <w:tabs>
          <w:tab w:val="left" w:pos="1665"/>
        </w:tabs>
        <w:ind w:hanging="602"/>
        <w:rPr>
          <w:sz w:val="24"/>
        </w:rPr>
      </w:pPr>
      <w:r>
        <w:rPr>
          <w:sz w:val="24"/>
        </w:rPr>
        <w:t>明细报价表（附件六）；</w:t>
      </w:r>
    </w:p>
    <w:p>
      <w:pPr>
        <w:pStyle w:val="18"/>
        <w:numPr>
          <w:ilvl w:val="1"/>
          <w:numId w:val="2"/>
        </w:numPr>
        <w:tabs>
          <w:tab w:val="left" w:pos="1785"/>
        </w:tabs>
        <w:spacing w:before="160"/>
        <w:ind w:left="1784" w:hanging="722"/>
        <w:rPr>
          <w:sz w:val="24"/>
        </w:rPr>
      </w:pPr>
      <w:r>
        <w:rPr>
          <w:sz w:val="24"/>
        </w:rPr>
        <w:t>项目需求分析；</w:t>
      </w:r>
    </w:p>
    <w:p>
      <w:pPr>
        <w:pStyle w:val="18"/>
        <w:numPr>
          <w:ilvl w:val="1"/>
          <w:numId w:val="2"/>
        </w:numPr>
        <w:tabs>
          <w:tab w:val="left" w:pos="1785"/>
        </w:tabs>
        <w:ind w:left="1784" w:hanging="722"/>
        <w:rPr>
          <w:sz w:val="24"/>
        </w:rPr>
      </w:pPr>
      <w:r>
        <w:rPr>
          <w:sz w:val="24"/>
        </w:rPr>
        <w:t>项目测评方案；</w:t>
      </w:r>
    </w:p>
    <w:p>
      <w:pPr>
        <w:pStyle w:val="18"/>
        <w:numPr>
          <w:ilvl w:val="1"/>
          <w:numId w:val="2"/>
        </w:numPr>
        <w:tabs>
          <w:tab w:val="left" w:pos="1785"/>
        </w:tabs>
        <w:spacing w:before="161"/>
        <w:ind w:left="1784" w:hanging="722"/>
        <w:rPr>
          <w:sz w:val="24"/>
        </w:rPr>
      </w:pPr>
      <w:r>
        <w:rPr>
          <w:sz w:val="24"/>
        </w:rPr>
        <w:t>测评辅助设备明细表（附件七</w:t>
      </w:r>
      <w:r>
        <w:rPr>
          <w:spacing w:val="-120"/>
          <w:sz w:val="24"/>
        </w:rPr>
        <w:t>）</w:t>
      </w:r>
      <w:r>
        <w:rPr>
          <w:sz w:val="24"/>
        </w:rPr>
        <w:t>；</w:t>
      </w:r>
    </w:p>
    <w:p>
      <w:pPr>
        <w:pStyle w:val="18"/>
        <w:numPr>
          <w:ilvl w:val="1"/>
          <w:numId w:val="2"/>
        </w:numPr>
        <w:tabs>
          <w:tab w:val="left" w:pos="1785"/>
        </w:tabs>
        <w:ind w:left="1784" w:hanging="722"/>
        <w:rPr>
          <w:sz w:val="24"/>
        </w:rPr>
      </w:pPr>
      <w:r>
        <w:rPr>
          <w:sz w:val="24"/>
        </w:rPr>
        <w:t>技术服务人员一览表（附件八</w:t>
      </w:r>
      <w:r>
        <w:rPr>
          <w:spacing w:val="-120"/>
          <w:sz w:val="24"/>
        </w:rPr>
        <w:t>）</w:t>
      </w:r>
      <w:r>
        <w:rPr>
          <w:sz w:val="24"/>
        </w:rPr>
        <w:t>；</w:t>
      </w:r>
    </w:p>
    <w:p>
      <w:pPr>
        <w:pStyle w:val="18"/>
        <w:numPr>
          <w:ilvl w:val="1"/>
          <w:numId w:val="2"/>
        </w:numPr>
        <w:tabs>
          <w:tab w:val="left" w:pos="1785"/>
        </w:tabs>
        <w:spacing w:before="160"/>
        <w:ind w:left="1784" w:hanging="722"/>
        <w:rPr>
          <w:sz w:val="24"/>
        </w:rPr>
      </w:pPr>
      <w:r>
        <w:rPr>
          <w:sz w:val="24"/>
        </w:rPr>
        <w:t>现场服务计划；</w:t>
      </w:r>
    </w:p>
    <w:p>
      <w:pPr>
        <w:pStyle w:val="18"/>
        <w:numPr>
          <w:ilvl w:val="1"/>
          <w:numId w:val="2"/>
        </w:numPr>
        <w:tabs>
          <w:tab w:val="left" w:pos="1785"/>
        </w:tabs>
        <w:ind w:left="1784" w:hanging="722"/>
        <w:rPr>
          <w:sz w:val="24"/>
        </w:rPr>
      </w:pPr>
      <w:r>
        <w:rPr>
          <w:sz w:val="24"/>
        </w:rPr>
        <w:t>售后服务承诺；</w:t>
      </w:r>
    </w:p>
    <w:p>
      <w:pPr>
        <w:pStyle w:val="18"/>
        <w:numPr>
          <w:ilvl w:val="1"/>
          <w:numId w:val="2"/>
        </w:numPr>
        <w:tabs>
          <w:tab w:val="left" w:pos="1785"/>
        </w:tabs>
        <w:spacing w:before="161"/>
        <w:ind w:left="1784" w:hanging="722"/>
        <w:rPr>
          <w:sz w:val="24"/>
        </w:rPr>
      </w:pPr>
      <w:r>
        <w:rPr>
          <w:sz w:val="24"/>
        </w:rPr>
        <w:t>其他与技术方案有关的资料；</w:t>
      </w:r>
    </w:p>
    <w:p>
      <w:pPr>
        <w:pStyle w:val="18"/>
        <w:numPr>
          <w:ilvl w:val="1"/>
          <w:numId w:val="2"/>
        </w:numPr>
        <w:tabs>
          <w:tab w:val="left" w:pos="1785"/>
        </w:tabs>
        <w:spacing w:before="160"/>
        <w:ind w:left="1784" w:hanging="722"/>
        <w:rPr>
          <w:sz w:val="24"/>
        </w:rPr>
      </w:pPr>
      <w:r>
        <w:rPr>
          <w:sz w:val="24"/>
        </w:rPr>
        <w:t>技术规格偏离表（附件九</w:t>
      </w:r>
      <w:r>
        <w:rPr>
          <w:spacing w:val="-120"/>
          <w:sz w:val="24"/>
        </w:rPr>
        <w:t>）</w:t>
      </w:r>
      <w:r>
        <w:rPr>
          <w:sz w:val="24"/>
        </w:rPr>
        <w:t>；</w:t>
      </w:r>
    </w:p>
    <w:p>
      <w:pPr>
        <w:pStyle w:val="18"/>
        <w:numPr>
          <w:ilvl w:val="1"/>
          <w:numId w:val="2"/>
        </w:numPr>
        <w:tabs>
          <w:tab w:val="left" w:pos="1785"/>
        </w:tabs>
        <w:spacing w:before="159"/>
        <w:ind w:left="1784" w:hanging="722"/>
        <w:rPr>
          <w:sz w:val="24"/>
        </w:rPr>
      </w:pPr>
      <w:r>
        <w:rPr>
          <w:sz w:val="24"/>
        </w:rPr>
        <w:t>商务条款偏离表（附件十</w:t>
      </w:r>
      <w:r>
        <w:rPr>
          <w:spacing w:val="-120"/>
          <w:sz w:val="24"/>
        </w:rPr>
        <w:t>）</w:t>
      </w:r>
      <w:r>
        <w:rPr>
          <w:sz w:val="24"/>
        </w:rPr>
        <w:t>；</w:t>
      </w:r>
    </w:p>
    <w:p>
      <w:pPr>
        <w:pStyle w:val="18"/>
        <w:numPr>
          <w:ilvl w:val="1"/>
          <w:numId w:val="2"/>
        </w:numPr>
        <w:tabs>
          <w:tab w:val="left" w:pos="1785"/>
        </w:tabs>
        <w:ind w:left="1784" w:hanging="722"/>
        <w:rPr>
          <w:sz w:val="24"/>
        </w:rPr>
      </w:pPr>
      <w:r>
        <w:rPr>
          <w:sz w:val="24"/>
        </w:rPr>
        <w:t>投标人认为有必要提供的其它材料。</w:t>
      </w:r>
    </w:p>
    <w:p>
      <w:pPr>
        <w:pStyle w:val="5"/>
        <w:spacing w:before="160"/>
        <w:ind w:left="523"/>
      </w:pPr>
      <w:r>
        <w:rPr>
          <w:u w:val="single"/>
        </w:rPr>
        <w:t>注：1.以上材料须加盖单位公章，投标人需将投标文件按上述顺序装订成册。</w:t>
      </w:r>
    </w:p>
    <w:p>
      <w:pPr>
        <w:pStyle w:val="5"/>
        <w:spacing w:before="161"/>
        <w:ind w:left="1003"/>
      </w:pPr>
      <w:bookmarkStart w:id="20" w:name="（十二）投标文件格式"/>
      <w:bookmarkEnd w:id="20"/>
      <w:r>
        <w:t>（十二）投标文件格式</w:t>
      </w:r>
    </w:p>
    <w:p>
      <w:pPr>
        <w:pStyle w:val="5"/>
        <w:spacing w:before="158" w:line="364" w:lineRule="auto"/>
        <w:ind w:left="523" w:right="739" w:firstLine="480"/>
      </w:pPr>
      <w:r>
        <w:rPr>
          <w:spacing w:val="-7"/>
        </w:rPr>
        <w:t>投标人需按照上述投标文件构成顺序编制投标文件，并按招标文件中提供的格式填写</w:t>
      </w:r>
      <w:r>
        <w:t>投标函、授权委托书、报价一览表等材料。</w:t>
      </w:r>
    </w:p>
    <w:p>
      <w:pPr>
        <w:pStyle w:val="5"/>
        <w:spacing w:line="306" w:lineRule="exact"/>
        <w:ind w:left="1003"/>
      </w:pPr>
      <w:bookmarkStart w:id="21" w:name="（十三）投标报价"/>
      <w:bookmarkEnd w:id="21"/>
      <w:r>
        <w:t>（十三）投标报价</w:t>
      </w:r>
    </w:p>
    <w:p>
      <w:pPr>
        <w:pStyle w:val="5"/>
        <w:spacing w:before="160" w:line="364" w:lineRule="auto"/>
        <w:ind w:left="523" w:right="739" w:firstLine="480"/>
        <w:jc w:val="both"/>
      </w:pPr>
      <w:r>
        <w:t>1</w:t>
      </w:r>
      <w:r>
        <w:rPr>
          <w:spacing w:val="-1"/>
        </w:rPr>
        <w:t>、投标人的报价应为所确定的招标范围内的全部工作内容的价格体现，应包括：测</w:t>
      </w:r>
      <w:r>
        <w:rPr>
          <w:spacing w:val="-13"/>
        </w:rPr>
        <w:t>评费、设备费、租赁、劳务、管理、材料、制作、调试、维修、利润、税金及政策性文件</w:t>
      </w:r>
      <w:r>
        <w:rPr>
          <w:spacing w:val="-9"/>
        </w:rPr>
        <w:t>规定的各项应有费用；现场安全措施、工期保证、质量保证、各种不利因素的影响产生的</w:t>
      </w:r>
      <w:r>
        <w:t>措施和风险费用等。</w:t>
      </w:r>
    </w:p>
    <w:p>
      <w:pPr>
        <w:pStyle w:val="5"/>
        <w:spacing w:line="362" w:lineRule="auto"/>
        <w:ind w:left="523" w:right="741" w:firstLine="480"/>
      </w:pPr>
      <w:r>
        <w:t>2、凡要求投标人考虑在报价中的内容投标人在投标文件中没有考虑、没有计入的或未单独列出，采购人认为投标人已将此项费用涵盖在其它费用、价格中。</w:t>
      </w:r>
    </w:p>
    <w:p>
      <w:pPr>
        <w:pStyle w:val="5"/>
        <w:spacing w:before="160" w:line="364" w:lineRule="auto"/>
        <w:ind w:left="523" w:right="739" w:firstLine="480"/>
        <w:jc w:val="both"/>
      </w:pPr>
      <w:r>
        <w:t>3、采购人不接受备选的投标方案或有选择的报价，只允许有一个报价。投标报价应包含项目实施过程中涉及到的一切费用。</w:t>
      </w:r>
    </w:p>
    <w:p>
      <w:pPr>
        <w:pStyle w:val="5"/>
        <w:spacing w:before="160" w:line="364" w:lineRule="auto"/>
        <w:ind w:left="523" w:right="739" w:firstLine="480"/>
        <w:jc w:val="both"/>
      </w:pPr>
      <w:r>
        <w:t>4、报价注意事项：</w:t>
      </w:r>
    </w:p>
    <w:p>
      <w:pPr>
        <w:pStyle w:val="18"/>
        <w:numPr>
          <w:ilvl w:val="0"/>
          <w:numId w:val="3"/>
        </w:numPr>
        <w:tabs>
          <w:tab w:val="left" w:pos="1605"/>
        </w:tabs>
        <w:spacing w:before="2"/>
        <w:ind w:hanging="602"/>
        <w:rPr>
          <w:sz w:val="24"/>
        </w:rPr>
      </w:pPr>
      <w:r>
        <w:rPr>
          <w:sz w:val="24"/>
        </w:rPr>
        <w:t>价格一律以人民币计算，以元为单位标准；</w:t>
      </w:r>
    </w:p>
    <w:p>
      <w:pPr>
        <w:pStyle w:val="18"/>
        <w:numPr>
          <w:ilvl w:val="0"/>
          <w:numId w:val="3"/>
        </w:numPr>
        <w:tabs>
          <w:tab w:val="left" w:pos="1605"/>
        </w:tabs>
        <w:spacing w:before="161" w:line="364" w:lineRule="auto"/>
        <w:ind w:left="523" w:right="739" w:firstLine="480"/>
        <w:jc w:val="both"/>
        <w:rPr>
          <w:sz w:val="24"/>
        </w:rPr>
      </w:pPr>
      <w:r>
        <w:rPr>
          <w:spacing w:val="-1"/>
          <w:sz w:val="24"/>
        </w:rPr>
        <w:t>投标人报价时应充分考虑所有可能影响到报价的报价因素，一旦评标结束最终</w:t>
      </w:r>
      <w:r>
        <w:rPr>
          <w:spacing w:val="-13"/>
          <w:sz w:val="24"/>
        </w:rPr>
        <w:t>中标，总价将包定，不予调整。如发生漏、缺、少项，都将被认为是中标人的报价让利行</w:t>
      </w:r>
      <w:r>
        <w:rPr>
          <w:sz w:val="24"/>
        </w:rPr>
        <w:t>为，损失自负。</w:t>
      </w:r>
    </w:p>
    <w:p>
      <w:pPr>
        <w:pStyle w:val="5"/>
        <w:spacing w:line="307" w:lineRule="exact"/>
        <w:ind w:left="763"/>
      </w:pPr>
      <w:bookmarkStart w:id="22" w:name="（十四）投标保证金"/>
      <w:bookmarkEnd w:id="22"/>
      <w:r>
        <w:t>（十四）投标保证金</w:t>
      </w:r>
    </w:p>
    <w:p>
      <w:pPr>
        <w:pStyle w:val="5"/>
        <w:spacing w:before="158" w:line="364" w:lineRule="auto"/>
        <w:ind w:left="523" w:right="741" w:firstLine="480"/>
      </w:pPr>
      <w:r>
        <w:t>1</w:t>
      </w:r>
      <w:r>
        <w:rPr>
          <w:spacing w:val="-10"/>
        </w:rPr>
        <w:t>、投标人需提交投标保证金</w:t>
      </w:r>
      <w:r>
        <w:t>（</w:t>
      </w:r>
      <w:r>
        <w:rPr>
          <w:spacing w:val="-5"/>
        </w:rPr>
        <w:t>须在投标文件接收截止时间前</w:t>
      </w:r>
      <w:r>
        <w:rPr>
          <w:spacing w:val="-14"/>
        </w:rPr>
        <w:t>到帐，投标保证</w:t>
      </w:r>
      <w:r>
        <w:t>金金额、银行帐号见前附表</w:t>
      </w:r>
      <w:r>
        <w:rPr>
          <w:spacing w:val="-120"/>
        </w:rPr>
        <w:t>）</w:t>
      </w:r>
      <w:r>
        <w:t>，并作为参与投标的组成部分之一。</w:t>
      </w:r>
    </w:p>
    <w:p>
      <w:pPr>
        <w:pStyle w:val="5"/>
        <w:spacing w:line="306" w:lineRule="exact"/>
        <w:ind w:left="1003"/>
      </w:pPr>
      <w:r>
        <w:t>2、对于未按要求提交投标保证金的，将被视为非响应性投标而予以拒绝。</w:t>
      </w:r>
    </w:p>
    <w:p>
      <w:pPr>
        <w:pStyle w:val="5"/>
        <w:spacing w:before="161" w:line="362" w:lineRule="auto"/>
        <w:ind w:left="523" w:right="741" w:firstLine="480"/>
      </w:pPr>
      <w:r>
        <w:t>3</w:t>
      </w:r>
      <w:r>
        <w:rPr>
          <w:spacing w:val="-3"/>
        </w:rPr>
        <w:t xml:space="preserve">、未中标人的投标保证金将在中标通知书签发后 </w:t>
      </w:r>
      <w:r>
        <w:t>5</w:t>
      </w:r>
      <w:r>
        <w:rPr>
          <w:spacing w:val="-8"/>
        </w:rPr>
        <w:t xml:space="preserve"> 个工作日内退还。</w:t>
      </w:r>
      <w:r>
        <w:rPr>
          <w:spacing w:val="-3"/>
          <w:u w:val="single"/>
        </w:rPr>
        <w:t>投标人协助办</w:t>
      </w:r>
      <w:r>
        <w:rPr>
          <w:spacing w:val="-220"/>
          <w:u w:val="single"/>
        </w:rPr>
        <w:t>理</w:t>
      </w:r>
      <w:r>
        <w:rPr>
          <w:u w:val="single"/>
        </w:rPr>
        <w:t>投标保证金退回手续。</w:t>
      </w:r>
    </w:p>
    <w:p>
      <w:pPr>
        <w:pStyle w:val="18"/>
        <w:numPr>
          <w:ilvl w:val="0"/>
          <w:numId w:val="4"/>
        </w:numPr>
        <w:tabs>
          <w:tab w:val="left" w:pos="1605"/>
        </w:tabs>
        <w:spacing w:before="4"/>
        <w:ind w:hanging="602"/>
        <w:rPr>
          <w:sz w:val="24"/>
        </w:rPr>
      </w:pPr>
      <w:r>
        <w:rPr>
          <w:sz w:val="24"/>
        </w:rPr>
        <w:t>缴纳投标保证金的收据原件；</w:t>
      </w:r>
    </w:p>
    <w:p>
      <w:pPr>
        <w:pStyle w:val="18"/>
        <w:numPr>
          <w:ilvl w:val="0"/>
          <w:numId w:val="4"/>
        </w:numPr>
        <w:tabs>
          <w:tab w:val="left" w:pos="1605"/>
        </w:tabs>
        <w:spacing w:before="159"/>
        <w:ind w:hanging="602"/>
        <w:rPr>
          <w:sz w:val="24"/>
        </w:rPr>
      </w:pPr>
      <w:r>
        <w:rPr>
          <w:sz w:val="24"/>
        </w:rPr>
        <w:t>保证金退还申请书；</w:t>
      </w:r>
    </w:p>
    <w:p>
      <w:pPr>
        <w:pStyle w:val="18"/>
        <w:numPr>
          <w:ilvl w:val="0"/>
          <w:numId w:val="4"/>
        </w:numPr>
        <w:tabs>
          <w:tab w:val="left" w:pos="1605"/>
        </w:tabs>
        <w:spacing w:before="160" w:line="364" w:lineRule="auto"/>
        <w:ind w:left="523" w:right="741" w:firstLine="480"/>
        <w:rPr>
          <w:sz w:val="24"/>
        </w:rPr>
      </w:pPr>
      <w:r>
        <w:rPr>
          <w:spacing w:val="-1"/>
          <w:sz w:val="24"/>
        </w:rPr>
        <w:t>因投标人提供的开户行和银行账号信息不准确或错误导致保证金不能及时退付</w:t>
      </w:r>
      <w:r>
        <w:rPr>
          <w:sz w:val="24"/>
        </w:rPr>
        <w:t>或退付出现问题和纠纷的，由投标人承担责任。</w:t>
      </w:r>
    </w:p>
    <w:p>
      <w:pPr>
        <w:pStyle w:val="5"/>
        <w:spacing w:line="306" w:lineRule="exact"/>
        <w:ind w:left="1003"/>
      </w:pPr>
      <w:r>
        <w:t>4、中标人的投标保证金，在中标人按规定签订合同并交纳中标服务费后退还。</w:t>
      </w:r>
    </w:p>
    <w:p>
      <w:pPr>
        <w:pStyle w:val="5"/>
        <w:spacing w:before="158"/>
        <w:ind w:left="1003"/>
      </w:pPr>
      <w:r>
        <w:t>5、下列任何情况发生时，投标保证金将被没收:</w:t>
      </w:r>
    </w:p>
    <w:p>
      <w:pPr>
        <w:pStyle w:val="18"/>
        <w:numPr>
          <w:ilvl w:val="0"/>
          <w:numId w:val="5"/>
        </w:numPr>
        <w:tabs>
          <w:tab w:val="left" w:pos="1605"/>
        </w:tabs>
        <w:spacing w:before="161"/>
        <w:ind w:hanging="602"/>
        <w:rPr>
          <w:sz w:val="24"/>
        </w:rPr>
      </w:pPr>
      <w:r>
        <w:rPr>
          <w:sz w:val="24"/>
        </w:rPr>
        <w:t>投标人在投标有效期内撤回其投标文件的；</w:t>
      </w:r>
    </w:p>
    <w:p>
      <w:pPr>
        <w:pStyle w:val="18"/>
        <w:numPr>
          <w:ilvl w:val="0"/>
          <w:numId w:val="5"/>
        </w:numPr>
        <w:tabs>
          <w:tab w:val="left" w:pos="1605"/>
        </w:tabs>
        <w:spacing w:before="160"/>
        <w:ind w:hanging="602"/>
        <w:rPr>
          <w:sz w:val="24"/>
        </w:rPr>
      </w:pPr>
      <w:r>
        <w:rPr>
          <w:sz w:val="24"/>
        </w:rPr>
        <w:t>中标人未在规定期限内及时签订项目合同的；</w:t>
      </w:r>
    </w:p>
    <w:p>
      <w:pPr>
        <w:pStyle w:val="18"/>
        <w:numPr>
          <w:ilvl w:val="0"/>
          <w:numId w:val="5"/>
        </w:numPr>
        <w:tabs>
          <w:tab w:val="left" w:pos="1605"/>
        </w:tabs>
        <w:ind w:hanging="602"/>
        <w:rPr>
          <w:sz w:val="24"/>
        </w:rPr>
      </w:pPr>
      <w:r>
        <w:rPr>
          <w:sz w:val="24"/>
        </w:rPr>
        <w:t>其它违反政府采购法律法规的有关情况。</w:t>
      </w:r>
    </w:p>
    <w:p>
      <w:pPr>
        <w:pStyle w:val="5"/>
        <w:spacing w:before="161"/>
        <w:ind w:left="758"/>
      </w:pPr>
      <w:bookmarkStart w:id="23" w:name="（十五）投标有效期"/>
      <w:bookmarkEnd w:id="23"/>
      <w:r>
        <w:t>（十五）投标有效期</w:t>
      </w:r>
    </w:p>
    <w:p>
      <w:pPr>
        <w:pStyle w:val="5"/>
        <w:spacing w:before="158" w:line="364" w:lineRule="auto"/>
        <w:ind w:left="523" w:right="739" w:firstLine="480"/>
        <w:jc w:val="both"/>
      </w:pPr>
      <w:r>
        <w:t>1</w:t>
      </w:r>
      <w:r>
        <w:rPr>
          <w:spacing w:val="-10"/>
        </w:rPr>
        <w:t xml:space="preserve">、投标有效期为招标文件规定的投标人提交投标文件截止之日起 </w:t>
      </w:r>
      <w:r>
        <w:rPr>
          <w:u w:val="single"/>
        </w:rPr>
        <w:t>60</w:t>
      </w:r>
      <w:r>
        <w:rPr>
          <w:spacing w:val="-18"/>
        </w:rPr>
        <w:t xml:space="preserve"> 天。投标有效期</w:t>
      </w:r>
      <w:r>
        <w:t>不满足招标文件要求的将视为非响应性文件而予以拒绝。</w:t>
      </w:r>
    </w:p>
    <w:p>
      <w:pPr>
        <w:pStyle w:val="5"/>
        <w:spacing w:line="364" w:lineRule="auto"/>
        <w:ind w:left="523" w:right="739" w:firstLine="480"/>
        <w:jc w:val="both"/>
      </w:pPr>
      <w:r>
        <w:t>2</w:t>
      </w:r>
      <w:r>
        <w:rPr>
          <w:spacing w:val="-1"/>
        </w:rPr>
        <w:t>、在特殊情况下，采购人于原投标有效期满之前，可向投标人提出延长投标有效期</w:t>
      </w:r>
      <w:r>
        <w:t>的要求，这种要求与答复均应采用书面形式（如信件、传真或电报等</w:t>
      </w:r>
      <w:r>
        <w:rPr>
          <w:spacing w:val="-120"/>
        </w:rPr>
        <w:t>）</w:t>
      </w:r>
      <w:r>
        <w:rPr>
          <w:spacing w:val="-2"/>
        </w:rPr>
        <w:t>，投标人可以拒绝</w:t>
      </w:r>
      <w:r>
        <w:rPr>
          <w:spacing w:val="-8"/>
        </w:rPr>
        <w:t>采购人的这一要求而放弃参与投标，投标保证金予以退回；同意延长的投标人既不能要求</w:t>
      </w:r>
      <w:r>
        <w:rPr>
          <w:spacing w:val="-11"/>
        </w:rPr>
        <w:t>也不允许修改其投标文件。第十四条有关投标保证金的没收和退还的规定在延长期内继续</w:t>
      </w:r>
      <w:r>
        <w:t>有效。</w:t>
      </w:r>
    </w:p>
    <w:p>
      <w:pPr>
        <w:pStyle w:val="5"/>
        <w:spacing w:line="364" w:lineRule="auto"/>
        <w:ind w:left="523" w:right="739" w:firstLine="480"/>
        <w:jc w:val="both"/>
      </w:pPr>
      <w:bookmarkStart w:id="24" w:name="（十六）投标文件份数和签署"/>
      <w:bookmarkEnd w:id="24"/>
      <w:r>
        <w:t>（十六）投标文件份数和签署</w:t>
      </w:r>
    </w:p>
    <w:p>
      <w:pPr>
        <w:pStyle w:val="5"/>
        <w:spacing w:line="364" w:lineRule="auto"/>
        <w:ind w:left="523" w:right="739" w:firstLine="480"/>
        <w:jc w:val="both"/>
      </w:pPr>
      <w:r>
        <w:t>1、投标人应严格按照投标人须知的要求准备投标文件，每份投标文件封面显著处必须清楚地标明“正本”或“副本”字样。投标文件的正本和副本均需打印，正本和副本不符的，以正本为准。投标文件包括：正本一份，副本</w:t>
      </w:r>
      <w:r>
        <w:rPr>
          <w:rFonts w:hint="eastAsia"/>
        </w:rPr>
        <w:t>三</w:t>
      </w:r>
      <w:r>
        <w:t>份，报价一览表一份。</w:t>
      </w:r>
    </w:p>
    <w:p>
      <w:pPr>
        <w:pStyle w:val="5"/>
        <w:spacing w:before="6" w:line="364" w:lineRule="auto"/>
        <w:ind w:left="523" w:right="739" w:firstLine="360"/>
      </w:pPr>
      <w:r>
        <w:t>2</w:t>
      </w:r>
      <w:r>
        <w:rPr>
          <w:spacing w:val="-11"/>
        </w:rPr>
        <w:t>、除投标人对错处做必要修改外，投标文件不得行间插字、涂改或增删，必要的修改</w:t>
      </w:r>
      <w:r>
        <w:t>处必须有投标人法人代表或其授权代表人签字并加盖公章。</w:t>
      </w:r>
    </w:p>
    <w:p>
      <w:pPr>
        <w:pStyle w:val="5"/>
        <w:spacing w:line="306" w:lineRule="exact"/>
        <w:ind w:left="758"/>
      </w:pPr>
      <w:bookmarkStart w:id="25" w:name="（十七）投标文件装订"/>
      <w:bookmarkEnd w:id="25"/>
      <w:r>
        <w:t>（十七）投标文件装订</w:t>
      </w:r>
    </w:p>
    <w:p>
      <w:pPr>
        <w:pStyle w:val="5"/>
        <w:spacing w:before="161" w:line="362" w:lineRule="auto"/>
        <w:ind w:left="523" w:right="621" w:firstLine="480"/>
      </w:pPr>
      <w:r>
        <w:t>1</w:t>
      </w:r>
      <w:r>
        <w:rPr>
          <w:spacing w:val="-3"/>
        </w:rPr>
        <w:t xml:space="preserve">、除特别说明外，全套投标文件的书面部分均使用 </w:t>
      </w:r>
      <w:r>
        <w:t>A4</w:t>
      </w:r>
      <w:r>
        <w:rPr>
          <w:spacing w:val="-9"/>
        </w:rPr>
        <w:t xml:space="preserve"> 规格纸张无线胶装方式装订， </w:t>
      </w:r>
      <w:r>
        <w:t>不得采用活页夹等可随时拆换的方式装订。</w:t>
      </w:r>
    </w:p>
    <w:p>
      <w:pPr>
        <w:pStyle w:val="5"/>
        <w:spacing w:before="5" w:line="362" w:lineRule="auto"/>
        <w:ind w:left="523" w:right="741" w:firstLine="480"/>
      </w:pPr>
      <w:r>
        <w:t>2、密封件外层正面应注明投标人名称、招标项目名称、项目编号等字样，并在封面和封口处加盖公章，因标注不清而产生的一切后果由投标人自负。</w:t>
      </w:r>
    </w:p>
    <w:p>
      <w:pPr>
        <w:pStyle w:val="5"/>
        <w:spacing w:before="5"/>
        <w:ind w:left="1003"/>
      </w:pPr>
      <w:r>
        <w:t>3、投标人应按每个标段分别装订、标记、密封投标文件。</w:t>
      </w:r>
    </w:p>
    <w:p>
      <w:pPr>
        <w:pStyle w:val="5"/>
        <w:spacing w:before="158" w:line="364" w:lineRule="auto"/>
        <w:ind w:left="523" w:right="739" w:firstLine="480"/>
      </w:pPr>
      <w:r>
        <w:rPr>
          <w:spacing w:val="-3"/>
        </w:rPr>
        <w:t>若投标文件未按第（</w:t>
      </w:r>
      <w:r>
        <w:t>十六</w:t>
      </w:r>
      <w:r>
        <w:rPr>
          <w:spacing w:val="-24"/>
        </w:rPr>
        <w:t>）</w:t>
      </w:r>
      <w:r>
        <w:rPr>
          <w:spacing w:val="-6"/>
        </w:rPr>
        <w:t>条款和第</w:t>
      </w:r>
      <w:r>
        <w:t>（十七</w:t>
      </w:r>
      <w:r>
        <w:rPr>
          <w:spacing w:val="-24"/>
        </w:rPr>
        <w:t>）</w:t>
      </w:r>
      <w:r>
        <w:rPr>
          <w:spacing w:val="-3"/>
        </w:rPr>
        <w:t>条款要求密封和加写标记，将作为无效</w:t>
      </w:r>
      <w:r>
        <w:t>标处理。</w:t>
      </w:r>
    </w:p>
    <w:p>
      <w:pPr>
        <w:pStyle w:val="16"/>
        <w:ind w:left="1727"/>
      </w:pPr>
      <w:bookmarkStart w:id="26" w:name="四、投标文件的递交"/>
      <w:bookmarkEnd w:id="26"/>
      <w:bookmarkStart w:id="27" w:name="_bookmark5"/>
      <w:bookmarkEnd w:id="27"/>
      <w:r>
        <w:t>四、投标文件的递交</w:t>
      </w:r>
    </w:p>
    <w:p>
      <w:pPr>
        <w:pStyle w:val="5"/>
        <w:spacing w:before="196"/>
        <w:ind w:left="1003"/>
      </w:pPr>
      <w:bookmarkStart w:id="28" w:name="（十八）投标文件递交截止日期及方式"/>
      <w:bookmarkEnd w:id="28"/>
      <w:r>
        <w:t>（十八）投标文件递交截止日期及方式</w:t>
      </w:r>
    </w:p>
    <w:p>
      <w:pPr>
        <w:pStyle w:val="5"/>
        <w:spacing w:before="161" w:line="364" w:lineRule="auto"/>
        <w:ind w:left="523" w:right="741" w:firstLine="480"/>
      </w:pPr>
      <w:r>
        <w:t>1、所有投标文件都必须在招标文件规定的递交截止时间前送达指定地点，采购人对误投概不负责。</w:t>
      </w:r>
    </w:p>
    <w:p>
      <w:pPr>
        <w:pStyle w:val="5"/>
        <w:spacing w:line="364" w:lineRule="auto"/>
        <w:ind w:left="523" w:right="741" w:firstLine="480"/>
      </w:pPr>
      <w:r>
        <w:t>2、采购代理机构将在招标文件规定的时间和地点组织开标会议，投标人必须派法定代表人或其授权的委托人出席会议。</w:t>
      </w:r>
    </w:p>
    <w:p>
      <w:pPr>
        <w:pStyle w:val="5"/>
        <w:spacing w:line="364" w:lineRule="auto"/>
        <w:ind w:left="523" w:right="741" w:firstLine="480"/>
      </w:pPr>
      <w:r>
        <w:t>3、采购人可以通过修改招标文件酌情延长投标文件接收截止日期，在此情况下，投标人的所有权利和义务以及投标人受制约的截止日期均应以延长后新的截止日期为准。</w:t>
      </w:r>
    </w:p>
    <w:p>
      <w:pPr>
        <w:pStyle w:val="5"/>
        <w:spacing w:line="306" w:lineRule="exact"/>
        <w:ind w:left="1003"/>
      </w:pPr>
      <w:bookmarkStart w:id="29" w:name="（十九）迟交的投标文件"/>
      <w:bookmarkEnd w:id="29"/>
      <w:r>
        <w:t>（十九）迟交的投标文件</w:t>
      </w:r>
    </w:p>
    <w:p>
      <w:pPr>
        <w:pStyle w:val="5"/>
        <w:spacing w:before="158"/>
        <w:ind w:left="1003"/>
      </w:pPr>
      <w:r>
        <w:t>采购人将拒绝接收在规定的截止日期后递交的任何投标文件。</w:t>
      </w:r>
    </w:p>
    <w:p>
      <w:pPr>
        <w:pStyle w:val="5"/>
        <w:spacing w:before="158"/>
        <w:ind w:left="1003"/>
      </w:pPr>
      <w:bookmarkStart w:id="30" w:name="（二十）投标文件的修改"/>
      <w:bookmarkEnd w:id="30"/>
      <w:r>
        <w:t>（二十）投标文件的修改</w:t>
      </w:r>
    </w:p>
    <w:p>
      <w:pPr>
        <w:pStyle w:val="5"/>
        <w:spacing w:before="160" w:line="362" w:lineRule="auto"/>
        <w:ind w:left="523" w:right="621" w:firstLine="480"/>
      </w:pPr>
      <w:r>
        <w:rPr>
          <w:spacing w:val="-1"/>
        </w:rPr>
        <w:t>投标人在递交投标文件截止时间之前，对所递交的投标文件可以补充、修改，补充、</w:t>
      </w:r>
      <w:r>
        <w:t>修改的内容为投标文件的组成部分，对投标人具有约束力。</w:t>
      </w:r>
    </w:p>
    <w:p>
      <w:pPr>
        <w:pStyle w:val="16"/>
        <w:spacing w:before="5"/>
      </w:pPr>
      <w:bookmarkStart w:id="31" w:name="五、无效标、废标条款"/>
      <w:bookmarkEnd w:id="31"/>
      <w:bookmarkStart w:id="32" w:name="_bookmark6"/>
      <w:bookmarkEnd w:id="32"/>
      <w:r>
        <w:t>五、无效标、废标条款</w:t>
      </w:r>
    </w:p>
    <w:p>
      <w:pPr>
        <w:pStyle w:val="5"/>
        <w:spacing w:before="199"/>
        <w:ind w:left="1003"/>
      </w:pPr>
      <w:bookmarkStart w:id="33" w:name="（二十一）无效投标条款"/>
      <w:bookmarkEnd w:id="33"/>
      <w:r>
        <w:t>（二十一）无效投标条款</w:t>
      </w:r>
    </w:p>
    <w:p>
      <w:pPr>
        <w:pStyle w:val="5"/>
        <w:spacing w:before="158"/>
        <w:ind w:left="1003"/>
      </w:pPr>
      <w:bookmarkStart w:id="34" w:name="1、未按照招标文件的规定提交投标保证金的；"/>
      <w:bookmarkEnd w:id="34"/>
      <w:r>
        <w:t>1、未按照招标文件的规定提交投标保证金的；</w:t>
      </w:r>
    </w:p>
    <w:p>
      <w:pPr>
        <w:pStyle w:val="5"/>
        <w:spacing w:before="161"/>
        <w:ind w:left="1003"/>
      </w:pPr>
      <w:bookmarkStart w:id="35" w:name="2、投标文件未按招标文件要求胶装、签署、盖章的；"/>
      <w:bookmarkEnd w:id="35"/>
      <w:r>
        <w:t>2、投标文件未按招标文件要求胶装、签署、盖章的；</w:t>
      </w:r>
    </w:p>
    <w:p>
      <w:pPr>
        <w:sectPr>
          <w:footerReference r:id="rId7" w:type="default"/>
          <w:pgSz w:w="11910" w:h="16840"/>
          <w:pgMar w:top="1440" w:right="620" w:bottom="1180" w:left="780" w:header="852" w:footer="993" w:gutter="0"/>
          <w:cols w:space="720" w:num="1"/>
        </w:sectPr>
      </w:pPr>
    </w:p>
    <w:p>
      <w:pPr>
        <w:pStyle w:val="5"/>
        <w:spacing w:before="3"/>
        <w:ind w:left="1003"/>
      </w:pPr>
      <w:bookmarkStart w:id="36" w:name="3、不具备招标文件中规定的资格要求的；"/>
      <w:bookmarkEnd w:id="36"/>
      <w:r>
        <w:t>3、不具备招标文件中规定的资格要求的；</w:t>
      </w:r>
    </w:p>
    <w:p>
      <w:pPr>
        <w:pStyle w:val="5"/>
        <w:spacing w:before="158"/>
        <w:ind w:left="1003"/>
      </w:pPr>
      <w:bookmarkStart w:id="37" w:name="4、报价超过招标文件中规定的预算金额或者最高限价的；"/>
      <w:bookmarkEnd w:id="37"/>
      <w:r>
        <w:t>4、报价超过招标文件中规定的预算金额或者最高限价的；</w:t>
      </w:r>
    </w:p>
    <w:p>
      <w:pPr>
        <w:pStyle w:val="5"/>
        <w:spacing w:before="158"/>
        <w:ind w:left="1003"/>
      </w:pPr>
      <w:bookmarkStart w:id="38" w:name="5、投标文件含有采购人不能接受的附加条件的；"/>
      <w:bookmarkEnd w:id="38"/>
      <w:r>
        <w:t>5、投标文件含有采购人不能接受的附加条件的；</w:t>
      </w:r>
    </w:p>
    <w:p>
      <w:pPr>
        <w:pStyle w:val="5"/>
        <w:spacing w:before="161"/>
        <w:ind w:left="1003"/>
      </w:pPr>
      <w:r>
        <w:t>6、投标人串通投标、妨碍其他投标人的竞争行为；</w:t>
      </w:r>
    </w:p>
    <w:p>
      <w:pPr>
        <w:pStyle w:val="5"/>
        <w:spacing w:before="160" w:line="362" w:lineRule="auto"/>
        <w:ind w:left="523" w:right="741" w:firstLine="480"/>
      </w:pPr>
      <w:r>
        <w:t>7、报价同时出现两种以上不一致的，按照招标文件规定的顺序修正。修正后的报价按照本办法第五十一条第二款的规定经投标人确认后产生约束力，投标人不确认的；</w:t>
      </w:r>
    </w:p>
    <w:p>
      <w:pPr>
        <w:pStyle w:val="5"/>
        <w:spacing w:before="5"/>
        <w:ind w:left="1003"/>
      </w:pPr>
      <w:r>
        <w:t>8、报价明显偏低，投标书面材料不认可，修改后的报价，投标人不认可的；</w:t>
      </w:r>
    </w:p>
    <w:p>
      <w:pPr>
        <w:pStyle w:val="5"/>
        <w:spacing w:before="158"/>
        <w:ind w:left="1003"/>
      </w:pPr>
      <w:bookmarkStart w:id="39" w:name="9、法律、法规和招标文件规定的其他无效情形。"/>
      <w:bookmarkEnd w:id="39"/>
      <w:r>
        <w:t>9、法律、法规和招标文件规定的其他无效情形。</w:t>
      </w:r>
    </w:p>
    <w:p>
      <w:pPr>
        <w:pStyle w:val="5"/>
        <w:spacing w:before="161" w:line="362" w:lineRule="auto"/>
        <w:ind w:left="1003" w:right="2232"/>
      </w:pPr>
      <w:bookmarkStart w:id="40" w:name="（二十二）投标人有下列情形之一的，视为串通投标，其投标无效："/>
      <w:bookmarkEnd w:id="40"/>
      <w:r>
        <w:t>（二十二）</w:t>
      </w:r>
      <w:r>
        <w:rPr>
          <w:spacing w:val="-1"/>
        </w:rPr>
        <w:t>投标人有下列情形之一的，视为串通投标，其投标无效：</w:t>
      </w:r>
      <w:bookmarkStart w:id="41" w:name="1、不同投标人的投标文件由同一单位或者个人编制；"/>
      <w:bookmarkEnd w:id="41"/>
      <w:r>
        <w:rPr>
          <w:spacing w:val="-1"/>
        </w:rPr>
        <w:t xml:space="preserve"> </w:t>
      </w:r>
      <w:r>
        <w:t>1、不同投标人的投标文件由同一单位或者个人编制；</w:t>
      </w:r>
    </w:p>
    <w:p>
      <w:pPr>
        <w:pStyle w:val="5"/>
        <w:spacing w:before="5"/>
        <w:ind w:left="1003"/>
      </w:pPr>
      <w:bookmarkStart w:id="42" w:name="2、不同投标人委托同一单位或者个人办理投标事宜；"/>
      <w:bookmarkEnd w:id="42"/>
      <w:r>
        <w:t>2、不同投标人委托同一单位或者个人办理投标事宜；</w:t>
      </w:r>
    </w:p>
    <w:p>
      <w:pPr>
        <w:pStyle w:val="5"/>
        <w:spacing w:before="158"/>
        <w:ind w:left="1003"/>
      </w:pPr>
      <w:bookmarkStart w:id="43" w:name="3、不同投标人的投标文件载明的项目管理成员或者联系人员为同一人；"/>
      <w:bookmarkEnd w:id="43"/>
      <w:r>
        <w:t>3、不同投标人的投标文件载明的项目管理成员或者联系人员为同一人；</w:t>
      </w:r>
    </w:p>
    <w:p>
      <w:pPr>
        <w:pStyle w:val="5"/>
        <w:spacing w:before="160"/>
        <w:ind w:left="1003"/>
      </w:pPr>
      <w:bookmarkStart w:id="44" w:name="4、不同投标人的投标文件异常一致或者投标报价呈规律性差异；"/>
      <w:bookmarkEnd w:id="44"/>
      <w:r>
        <w:t>4、不同投标人的投标文件异常一致或者投标报价呈规律性差异；</w:t>
      </w:r>
    </w:p>
    <w:p>
      <w:pPr>
        <w:pStyle w:val="5"/>
        <w:spacing w:before="158"/>
        <w:ind w:left="1003"/>
      </w:pPr>
      <w:bookmarkStart w:id="45" w:name="5、不同投标人的投标文件相互混装；"/>
      <w:bookmarkEnd w:id="45"/>
      <w:r>
        <w:t>5、不同投标人的投标文件相互混装；</w:t>
      </w:r>
    </w:p>
    <w:p>
      <w:pPr>
        <w:pStyle w:val="5"/>
        <w:spacing w:before="161"/>
        <w:ind w:left="1003"/>
      </w:pPr>
      <w:bookmarkStart w:id="46" w:name="6、不同投标人的投标保证金从同一单位或者个人的账户转出。"/>
      <w:bookmarkEnd w:id="46"/>
      <w:r>
        <w:t>6、不同投标人的投标保证金从同一单位或者个人的账户转出。</w:t>
      </w:r>
    </w:p>
    <w:p>
      <w:pPr>
        <w:pStyle w:val="5"/>
        <w:spacing w:before="160"/>
        <w:ind w:left="1003"/>
      </w:pPr>
      <w:bookmarkStart w:id="47" w:name="（二十三）废标条款"/>
      <w:bookmarkEnd w:id="47"/>
      <w:r>
        <w:t>（二十三）废标条款</w:t>
      </w:r>
    </w:p>
    <w:p>
      <w:pPr>
        <w:pStyle w:val="5"/>
        <w:spacing w:before="158"/>
        <w:ind w:left="1003"/>
      </w:pPr>
      <w:r>
        <w:t>1、符合专业条件的投标人或者对招标文件作实质响应的投标人不足三家的；</w:t>
      </w:r>
    </w:p>
    <w:p>
      <w:pPr>
        <w:pStyle w:val="5"/>
        <w:spacing w:before="159"/>
        <w:ind w:left="1003"/>
      </w:pPr>
      <w:r>
        <w:t>2、出现影响采购公正的违法、违规行为的；</w:t>
      </w:r>
    </w:p>
    <w:p>
      <w:pPr>
        <w:pStyle w:val="5"/>
        <w:spacing w:before="160"/>
        <w:ind w:left="1003"/>
      </w:pPr>
      <w:r>
        <w:t>3、投标人的报价均超过了采购预算，采购人不能支付的；</w:t>
      </w:r>
    </w:p>
    <w:p>
      <w:pPr>
        <w:pStyle w:val="5"/>
        <w:spacing w:before="160"/>
        <w:ind w:left="1003"/>
      </w:pPr>
      <w:r>
        <w:t>4、因重大变故，采购任务取消的。</w:t>
      </w:r>
    </w:p>
    <w:p>
      <w:pPr>
        <w:pStyle w:val="5"/>
        <w:spacing w:before="159" w:line="364" w:lineRule="auto"/>
        <w:ind w:left="1003" w:right="5661"/>
      </w:pPr>
      <w:bookmarkStart w:id="48" w:name="（二十四）取消中标候选人资格条款"/>
      <w:bookmarkEnd w:id="48"/>
      <w:r>
        <w:t>（二十四）取消中标候选人资格条款1、提供虚假材料谋取中标的；</w:t>
      </w:r>
    </w:p>
    <w:p>
      <w:pPr>
        <w:pStyle w:val="5"/>
        <w:spacing w:line="306" w:lineRule="exact"/>
        <w:ind w:left="1003"/>
      </w:pPr>
      <w:r>
        <w:t>2、采取不正当手段诋毁、排挤其他投标人的；</w:t>
      </w:r>
    </w:p>
    <w:p>
      <w:pPr>
        <w:pStyle w:val="5"/>
        <w:spacing w:before="160"/>
        <w:ind w:left="1003"/>
      </w:pPr>
      <w:r>
        <w:t>3、与采购人、其他投标人或者采购代理机构恶意串通的；</w:t>
      </w:r>
    </w:p>
    <w:p>
      <w:pPr>
        <w:pStyle w:val="5"/>
        <w:spacing w:before="158"/>
        <w:ind w:left="1003"/>
      </w:pPr>
      <w:r>
        <w:t>4、向采购人、采购代理机构行贿或者提供其他不正当利益的；</w:t>
      </w:r>
    </w:p>
    <w:p>
      <w:pPr>
        <w:pStyle w:val="5"/>
        <w:spacing w:before="161"/>
        <w:ind w:left="1003"/>
      </w:pPr>
      <w:r>
        <w:t>5、在规定的时间内未与采购人签订采购合同的；</w:t>
      </w:r>
    </w:p>
    <w:p>
      <w:pPr>
        <w:pStyle w:val="5"/>
        <w:spacing w:before="158"/>
        <w:ind w:left="1003"/>
      </w:pPr>
      <w:r>
        <w:t>6、法律、法规规定的其他情况。</w:t>
      </w:r>
    </w:p>
    <w:p>
      <w:pPr>
        <w:pStyle w:val="16"/>
        <w:spacing w:before="160"/>
      </w:pPr>
      <w:bookmarkStart w:id="49" w:name="六、评标程序"/>
      <w:bookmarkEnd w:id="49"/>
      <w:bookmarkStart w:id="50" w:name="_bookmark7"/>
      <w:bookmarkEnd w:id="50"/>
      <w:r>
        <w:t>六、评标程序</w:t>
      </w:r>
    </w:p>
    <w:p>
      <w:pPr>
        <w:pStyle w:val="5"/>
        <w:spacing w:before="158"/>
        <w:ind w:left="993"/>
      </w:pPr>
      <w:bookmarkStart w:id="51" w:name="（二十五）开标程序"/>
      <w:bookmarkEnd w:id="51"/>
      <w:r>
        <w:t>（二十</w:t>
      </w:r>
      <w:r>
        <w:rPr>
          <w:rFonts w:hint="eastAsia"/>
        </w:rPr>
        <w:t>五</w:t>
      </w:r>
      <w:r>
        <w:t>）评标原则</w:t>
      </w:r>
    </w:p>
    <w:p>
      <w:pPr>
        <w:pStyle w:val="5"/>
        <w:spacing w:before="158" w:line="364" w:lineRule="auto"/>
        <w:ind w:left="523" w:right="571" w:firstLine="480"/>
      </w:pPr>
      <w:r>
        <w:rPr>
          <w:spacing w:val="-12"/>
        </w:rPr>
        <w:t>评、定标依据《中华人民共和国招标投标法》、《中华人民共和国政府采购法》及新疆维吾尔自治区财政厅等相关规定，遵循公开、公平、公正、竞争的原则。</w:t>
      </w:r>
    </w:p>
    <w:p>
      <w:pPr>
        <w:pStyle w:val="5"/>
        <w:spacing w:before="1" w:line="362" w:lineRule="auto"/>
        <w:ind w:left="523" w:right="501" w:firstLine="480"/>
      </w:pPr>
      <w:r>
        <w:t>1、严格执行《中华人民共和国政府采购法》及自治区有关法规、政策、维护采购人、投标人的合法权益，选择对采购人最为有利的投标人或候选投标人。</w:t>
      </w:r>
    </w:p>
    <w:p>
      <w:pPr>
        <w:pStyle w:val="5"/>
        <w:spacing w:before="5"/>
        <w:ind w:left="1003"/>
      </w:pPr>
      <w:r>
        <w:t>2、坚持价格合理、方案第一的原则，不以最低报价作为中标唯一标准。</w:t>
      </w:r>
    </w:p>
    <w:p>
      <w:pPr>
        <w:pStyle w:val="5"/>
        <w:spacing w:before="158" w:line="364" w:lineRule="auto"/>
        <w:ind w:left="523" w:right="570" w:firstLine="480"/>
      </w:pPr>
      <w:r>
        <w:t>3</w:t>
      </w:r>
      <w:r>
        <w:rPr>
          <w:spacing w:val="-8"/>
        </w:rPr>
        <w:t>、评审工作由评审专家及采购人代表共同组建的评标委员会承担。评审专家占评标委</w:t>
      </w:r>
      <w:r>
        <w:t>员会总数的三分之二以上。</w:t>
      </w:r>
    </w:p>
    <w:p>
      <w:pPr>
        <w:pStyle w:val="5"/>
        <w:spacing w:line="306" w:lineRule="exact"/>
        <w:ind w:left="876"/>
      </w:pPr>
      <w:bookmarkStart w:id="52" w:name="（二十七）评标委员会"/>
      <w:bookmarkEnd w:id="52"/>
      <w:r>
        <w:t>（二十</w:t>
      </w:r>
      <w:r>
        <w:rPr>
          <w:rFonts w:hint="eastAsia"/>
        </w:rPr>
        <w:t>六</w:t>
      </w:r>
      <w:r>
        <w:t>）评标委员会</w:t>
      </w:r>
    </w:p>
    <w:p>
      <w:pPr>
        <w:pStyle w:val="5"/>
        <w:spacing w:before="161"/>
        <w:ind w:left="1003"/>
        <w:jc w:val="both"/>
      </w:pPr>
      <w:r>
        <w:t>采购人根据本项目的特点，于开标前 24 小时内，从评审专家库中随机抽取组建评标</w:t>
      </w:r>
    </w:p>
    <w:p>
      <w:pPr>
        <w:pStyle w:val="5"/>
        <w:spacing w:before="158" w:line="364" w:lineRule="auto"/>
        <w:ind w:left="523" w:right="739"/>
        <w:jc w:val="both"/>
      </w:pPr>
      <w:r>
        <w:rPr>
          <w:spacing w:val="-11"/>
        </w:rPr>
        <w:t>委员会，其成员由有关技术、经济等方面的专家</w:t>
      </w:r>
      <w:r>
        <w:rPr>
          <w:rFonts w:hint="eastAsia"/>
        </w:rPr>
        <w:t>及</w:t>
      </w:r>
      <w:r>
        <w:rPr>
          <w:spacing w:val="-18"/>
        </w:rPr>
        <w:t>业主代表</w:t>
      </w:r>
      <w:r>
        <w:rPr>
          <w:spacing w:val="-13"/>
        </w:rPr>
        <w:t>组成。评标委员</w:t>
      </w:r>
      <w:r>
        <w:rPr>
          <w:spacing w:val="-6"/>
        </w:rPr>
        <w:t>会在监督部门的监督下独立完成评审工作，负责对投标文件进行审查、质询、评审、推选</w:t>
      </w:r>
      <w:r>
        <w:t>中标候选人。</w:t>
      </w:r>
    </w:p>
    <w:p>
      <w:pPr>
        <w:pStyle w:val="5"/>
        <w:spacing w:before="83"/>
        <w:ind w:left="525"/>
      </w:pPr>
      <w:r>
        <w:t>1、评标事务由评标委员会负责，并独立履行下列职责：</w:t>
      </w:r>
    </w:p>
    <w:p>
      <w:pPr>
        <w:pStyle w:val="18"/>
        <w:numPr>
          <w:ilvl w:val="1"/>
          <w:numId w:val="5"/>
        </w:numPr>
        <w:tabs>
          <w:tab w:val="left" w:pos="1840"/>
        </w:tabs>
        <w:spacing w:before="168"/>
        <w:ind w:hanging="602"/>
        <w:rPr>
          <w:sz w:val="24"/>
        </w:rPr>
      </w:pPr>
      <w:bookmarkStart w:id="53" w:name="（a）审查投标文件是否符合本文件要求，并做出评价；"/>
      <w:bookmarkEnd w:id="53"/>
      <w:r>
        <w:rPr>
          <w:sz w:val="24"/>
        </w:rPr>
        <w:t>审查投标文件是否符合本文件要求，并做出评价；</w:t>
      </w:r>
    </w:p>
    <w:p>
      <w:pPr>
        <w:pStyle w:val="18"/>
        <w:numPr>
          <w:ilvl w:val="1"/>
          <w:numId w:val="5"/>
        </w:numPr>
        <w:tabs>
          <w:tab w:val="left" w:pos="1840"/>
        </w:tabs>
        <w:spacing w:before="168"/>
        <w:ind w:hanging="602"/>
        <w:rPr>
          <w:sz w:val="24"/>
        </w:rPr>
      </w:pPr>
      <w:r>
        <w:rPr>
          <w:sz w:val="24"/>
        </w:rPr>
        <w:t>要求投标人对投标文件有关事项做出澄清或答复；</w:t>
      </w:r>
    </w:p>
    <w:p>
      <w:pPr>
        <w:pStyle w:val="18"/>
        <w:numPr>
          <w:ilvl w:val="1"/>
          <w:numId w:val="5"/>
        </w:numPr>
        <w:tabs>
          <w:tab w:val="left" w:pos="1840"/>
        </w:tabs>
        <w:spacing w:before="167"/>
        <w:ind w:hanging="602"/>
        <w:rPr>
          <w:sz w:val="24"/>
        </w:rPr>
      </w:pPr>
      <w:bookmarkStart w:id="54" w:name="（c）推荐中标候选人名单，或者直接确定中标人；"/>
      <w:bookmarkEnd w:id="54"/>
      <w:r>
        <w:rPr>
          <w:sz w:val="24"/>
        </w:rPr>
        <w:t>推荐中标候选人名单，或者直接确定中标人；</w:t>
      </w:r>
    </w:p>
    <w:p>
      <w:pPr>
        <w:pStyle w:val="18"/>
        <w:numPr>
          <w:ilvl w:val="1"/>
          <w:numId w:val="5"/>
        </w:numPr>
        <w:tabs>
          <w:tab w:val="left" w:pos="1840"/>
        </w:tabs>
        <w:spacing w:before="168" w:line="372" w:lineRule="auto"/>
        <w:ind w:left="525" w:right="2186" w:firstLine="712"/>
        <w:rPr>
          <w:sz w:val="24"/>
        </w:rPr>
      </w:pPr>
      <w:r>
        <w:rPr>
          <w:spacing w:val="-1"/>
          <w:sz w:val="24"/>
        </w:rPr>
        <w:t>向招标采购单位或者有关部门报告非法干预评标工作的行为。</w:t>
      </w:r>
      <w:bookmarkStart w:id="55" w:name="2．评标委员会成员的义务"/>
      <w:bookmarkEnd w:id="55"/>
      <w:r>
        <w:rPr>
          <w:sz w:val="24"/>
        </w:rPr>
        <w:t>2．评标委员会成员的义务</w:t>
      </w:r>
    </w:p>
    <w:p>
      <w:pPr>
        <w:pStyle w:val="18"/>
        <w:numPr>
          <w:ilvl w:val="0"/>
          <w:numId w:val="6"/>
        </w:numPr>
        <w:tabs>
          <w:tab w:val="left" w:pos="1840"/>
        </w:tabs>
        <w:spacing w:before="0" w:line="305" w:lineRule="exact"/>
        <w:ind w:hanging="602"/>
        <w:rPr>
          <w:sz w:val="24"/>
        </w:rPr>
      </w:pPr>
      <w:r>
        <w:rPr>
          <w:sz w:val="24"/>
        </w:rPr>
        <w:t>遵纪守法，客观、公正、廉洁地履行职责；</w:t>
      </w:r>
    </w:p>
    <w:p>
      <w:pPr>
        <w:pStyle w:val="18"/>
        <w:numPr>
          <w:ilvl w:val="0"/>
          <w:numId w:val="6"/>
        </w:numPr>
        <w:tabs>
          <w:tab w:val="left" w:pos="1840"/>
        </w:tabs>
        <w:spacing w:before="168"/>
        <w:ind w:hanging="602"/>
        <w:rPr>
          <w:sz w:val="24"/>
        </w:rPr>
      </w:pPr>
      <w:r>
        <w:rPr>
          <w:sz w:val="24"/>
        </w:rPr>
        <w:t>按照招标文件规定的评标方法和标准进行评标，对评审意见承担个人责任；</w:t>
      </w:r>
    </w:p>
    <w:p>
      <w:pPr>
        <w:pStyle w:val="18"/>
        <w:numPr>
          <w:ilvl w:val="0"/>
          <w:numId w:val="6"/>
        </w:numPr>
        <w:tabs>
          <w:tab w:val="left" w:pos="1840"/>
        </w:tabs>
        <w:spacing w:before="170"/>
        <w:ind w:hanging="602"/>
        <w:rPr>
          <w:sz w:val="24"/>
        </w:rPr>
      </w:pPr>
      <w:bookmarkStart w:id="56" w:name="（c）对评标过程和结果，以及投标人的商业秘密保密；"/>
      <w:bookmarkEnd w:id="56"/>
      <w:r>
        <w:rPr>
          <w:sz w:val="24"/>
        </w:rPr>
        <w:t>对评标过程和结果，以及投标人的商业秘密保密；</w:t>
      </w:r>
    </w:p>
    <w:p>
      <w:pPr>
        <w:pStyle w:val="18"/>
        <w:numPr>
          <w:ilvl w:val="0"/>
          <w:numId w:val="6"/>
        </w:numPr>
        <w:tabs>
          <w:tab w:val="left" w:pos="1840"/>
        </w:tabs>
        <w:spacing w:before="168"/>
        <w:ind w:hanging="602"/>
        <w:rPr>
          <w:sz w:val="24"/>
        </w:rPr>
      </w:pPr>
      <w:r>
        <w:rPr>
          <w:sz w:val="24"/>
        </w:rPr>
        <w:t>参与评标报告的起草；</w:t>
      </w:r>
    </w:p>
    <w:p>
      <w:pPr>
        <w:pStyle w:val="18"/>
        <w:numPr>
          <w:ilvl w:val="0"/>
          <w:numId w:val="6"/>
        </w:numPr>
        <w:tabs>
          <w:tab w:val="left" w:pos="1840"/>
        </w:tabs>
        <w:spacing w:before="167"/>
        <w:ind w:hanging="602"/>
        <w:rPr>
          <w:sz w:val="24"/>
        </w:rPr>
      </w:pPr>
      <w:r>
        <w:rPr>
          <w:sz w:val="24"/>
        </w:rPr>
        <w:t>配合财政部门的投诉处理工作；</w:t>
      </w:r>
    </w:p>
    <w:p>
      <w:pPr>
        <w:pStyle w:val="18"/>
        <w:numPr>
          <w:ilvl w:val="0"/>
          <w:numId w:val="6"/>
        </w:numPr>
        <w:tabs>
          <w:tab w:val="left" w:pos="1840"/>
        </w:tabs>
        <w:spacing w:before="168"/>
        <w:ind w:hanging="602"/>
        <w:rPr>
          <w:sz w:val="24"/>
        </w:rPr>
      </w:pPr>
      <w:r>
        <w:rPr>
          <w:sz w:val="24"/>
        </w:rPr>
        <w:t>配合采购人答复投标人提出的质疑。</w:t>
      </w:r>
    </w:p>
    <w:p>
      <w:pPr>
        <w:pStyle w:val="5"/>
        <w:spacing w:before="86"/>
        <w:ind w:left="876"/>
      </w:pPr>
      <w:bookmarkStart w:id="57" w:name="（二十八）评标程序"/>
      <w:bookmarkEnd w:id="57"/>
      <w:r>
        <w:t>（二十</w:t>
      </w:r>
      <w:r>
        <w:rPr>
          <w:rFonts w:hint="eastAsia"/>
        </w:rPr>
        <w:t>七</w:t>
      </w:r>
      <w:r>
        <w:t>）评标程序</w:t>
      </w:r>
    </w:p>
    <w:p>
      <w:pPr>
        <w:pStyle w:val="5"/>
        <w:spacing w:before="158" w:line="364" w:lineRule="auto"/>
        <w:ind w:left="523" w:right="619" w:firstLine="480"/>
      </w:pPr>
      <w:r>
        <w:t>1</w:t>
      </w:r>
      <w:r>
        <w:rPr>
          <w:spacing w:val="-13"/>
        </w:rPr>
        <w:t xml:space="preserve">、评审会议由评标委员会组长主持。评标委员会首先对各投标文件进行符合性审查， </w:t>
      </w:r>
      <w:r>
        <w:rPr>
          <w:spacing w:val="-7"/>
        </w:rPr>
        <w:t>未通过审查的为无效标。符合性检查：依据招标文件的规定，从投标文件的有效性、完整</w:t>
      </w:r>
      <w:r>
        <w:rPr>
          <w:spacing w:val="-1"/>
        </w:rPr>
        <w:t>性和对招标文件的响应程度进行审查，以确定是否对招标文件的要求做出了实质性的响</w:t>
      </w:r>
      <w:r>
        <w:rPr>
          <w:spacing w:val="-12"/>
        </w:rPr>
        <w:t>应，存在重大偏离的投标文件为无效标。所谓重大偏离是指投标人投标文件中所述服务质</w:t>
      </w:r>
      <w:r>
        <w:rPr>
          <w:spacing w:val="-13"/>
        </w:rPr>
        <w:t>量、技术、规格、数量、交货期等和服务明显不能满足招标文件要求。重大偏离的认定须</w:t>
      </w:r>
      <w:r>
        <w:t>经评标委员会三分之二以上组员同意。</w:t>
      </w:r>
    </w:p>
    <w:p>
      <w:pPr>
        <w:pStyle w:val="5"/>
        <w:spacing w:before="6" w:line="364" w:lineRule="auto"/>
        <w:ind w:left="523" w:right="739" w:firstLine="480"/>
        <w:jc w:val="both"/>
      </w:pPr>
      <w:r>
        <w:t>2</w:t>
      </w:r>
      <w:r>
        <w:rPr>
          <w:spacing w:val="-1"/>
        </w:rPr>
        <w:t>、评标委员会判断最终确认的“投标文件”的响应性，仅基于“投标文件”本身而</w:t>
      </w:r>
      <w:r>
        <w:rPr>
          <w:spacing w:val="-10"/>
        </w:rPr>
        <w:t>不靠外部证据。对非实质性响应的投标文件，投标人不能通过修正或撤销不符之处，而使</w:t>
      </w:r>
      <w:r>
        <w:t>其成为实质性响应。</w:t>
      </w:r>
    </w:p>
    <w:p>
      <w:pPr>
        <w:pStyle w:val="5"/>
        <w:spacing w:before="81"/>
        <w:ind w:left="1003"/>
      </w:pPr>
      <w:r>
        <w:t>3、评标委员会根据招标文件要求，讨论、通过评标工作流程和评标要点。</w:t>
      </w:r>
    </w:p>
    <w:p>
      <w:pPr>
        <w:pStyle w:val="5"/>
        <w:spacing w:before="168"/>
        <w:ind w:left="1003"/>
      </w:pPr>
      <w:r>
        <w:t>4、围绕评标要点，评标委员会全体成员对有效投标人递交的投标文件分别进行评标。</w:t>
      </w:r>
    </w:p>
    <w:p>
      <w:pPr>
        <w:pStyle w:val="5"/>
        <w:spacing w:before="7" w:line="470" w:lineRule="atLeast"/>
        <w:ind w:left="523" w:right="741" w:firstLine="477"/>
      </w:pPr>
      <w:r>
        <w:t>5、评标过程出现异议的，由评标委员会共同商讨决定，需要投标人澄清的，评标委员会将以书面形式通知投标人。</w:t>
      </w:r>
    </w:p>
    <w:p>
      <w:pPr>
        <w:pStyle w:val="5"/>
        <w:spacing w:before="89" w:line="364" w:lineRule="auto"/>
        <w:ind w:left="523" w:right="619" w:firstLine="480"/>
        <w:jc w:val="both"/>
      </w:pPr>
      <w:r>
        <w:rPr>
          <w:spacing w:val="-12"/>
        </w:rPr>
        <w:t>投标文件的澄清：在评标期间，评标委员会可要求投标人对其投标文件中含义不明确</w:t>
      </w:r>
      <w:r>
        <w:rPr>
          <w:spacing w:val="-17"/>
        </w:rPr>
        <w:t>的内容作必要的澄清或说明，但澄清或说明不得超出投标文件的范围或改变投标文件实质</w:t>
      </w:r>
      <w:r>
        <w:rPr>
          <w:spacing w:val="-19"/>
        </w:rPr>
        <w:t>性内容。有关澄清的要求和答复均应以书面形式提交，澄清的内容为投标文件的组成部分。</w:t>
      </w:r>
    </w:p>
    <w:p>
      <w:pPr>
        <w:pStyle w:val="5"/>
        <w:spacing w:line="307" w:lineRule="exact"/>
        <w:ind w:left="876"/>
      </w:pPr>
      <w:bookmarkStart w:id="58" w:name="（二十九）确定中标候选人"/>
      <w:bookmarkEnd w:id="58"/>
      <w:r>
        <w:t>（二十</w:t>
      </w:r>
      <w:r>
        <w:rPr>
          <w:rFonts w:hint="eastAsia"/>
        </w:rPr>
        <w:t>八</w:t>
      </w:r>
      <w:r>
        <w:t>）确定中标候选人</w:t>
      </w:r>
    </w:p>
    <w:p>
      <w:pPr>
        <w:pStyle w:val="5"/>
        <w:spacing w:before="12"/>
        <w:rPr>
          <w:sz w:val="18"/>
        </w:rPr>
      </w:pPr>
    </w:p>
    <w:p>
      <w:pPr>
        <w:pStyle w:val="5"/>
        <w:spacing w:line="372" w:lineRule="auto"/>
        <w:ind w:left="523" w:right="739" w:firstLine="472"/>
      </w:pPr>
      <w:r>
        <w:rPr>
          <w:spacing w:val="-12"/>
        </w:rPr>
        <w:t>综合评分法，是指投标文件满足招标文件全部实质性要求且按评审因素的量化指标评</w:t>
      </w:r>
      <w:r>
        <w:t>审得分最高的投标人为中标候选人的评审方法。</w:t>
      </w:r>
    </w:p>
    <w:p>
      <w:pPr>
        <w:pStyle w:val="5"/>
        <w:spacing w:line="372" w:lineRule="auto"/>
        <w:ind w:left="523" w:right="739" w:firstLine="472"/>
        <w:jc w:val="both"/>
      </w:pPr>
      <w:r>
        <w:rPr>
          <w:spacing w:val="-8"/>
        </w:rPr>
        <w:t>采用综合评分法的，评标结果按评审后得分由高到低顺序排列。得分相同的，按投标</w:t>
      </w:r>
      <w:r>
        <w:rPr>
          <w:spacing w:val="-10"/>
        </w:rPr>
        <w:t>报价由低到高顺序排列。得分且投标报价相同的并列。投标文件满足招标文件全部实质性</w:t>
      </w:r>
      <w:r>
        <w:t>要求，且按照评审因素的量化指标评审得分最高的投标人为排名第一的中标候选人。</w:t>
      </w:r>
    </w:p>
    <w:p>
      <w:pPr>
        <w:pStyle w:val="5"/>
        <w:spacing w:line="372" w:lineRule="auto"/>
        <w:ind w:left="523" w:right="618" w:firstLine="465"/>
      </w:pPr>
      <w:r>
        <w:rPr>
          <w:spacing w:val="-15"/>
        </w:rPr>
        <w:t>综合评分的主要因素为，包括投标报价、技术或者服务水平、履约能力、售后服务等。</w:t>
      </w:r>
      <w:r>
        <w:rPr>
          <w:spacing w:val="-6"/>
        </w:rPr>
        <w:t>投标人需通过初步评审后才能参加下一阶段的评标工作。投标人的得分为各评委所给分数</w:t>
      </w:r>
      <w:r>
        <w:rPr>
          <w:spacing w:val="-11"/>
        </w:rPr>
        <w:t>的平均分。计算结果值在小数点后均保留两位小数，后余位数四舍五入计。并以综合评分</w:t>
      </w:r>
      <w:r>
        <w:rPr>
          <w:spacing w:val="-16"/>
        </w:rPr>
        <w:t xml:space="preserve">法进行评估，总分值为 </w:t>
      </w:r>
      <w:r>
        <w:t>100</w:t>
      </w:r>
      <w:r>
        <w:rPr>
          <w:spacing w:val="-30"/>
        </w:rPr>
        <w:t xml:space="preserve"> 分</w:t>
      </w:r>
    </w:p>
    <w:p>
      <w:pPr>
        <w:pStyle w:val="5"/>
        <w:spacing w:line="372" w:lineRule="auto"/>
        <w:ind w:left="523" w:right="739" w:firstLine="480"/>
        <w:jc w:val="both"/>
      </w:pPr>
      <w:r>
        <w:t>评标委员会将分析投标人提交的总报价及各个分项报价是否合理，报价范围是否完</w:t>
      </w:r>
      <w:r>
        <w:rPr>
          <w:spacing w:val="-13"/>
        </w:rPr>
        <w:t>整，有否重大错漏项，特别说明：评标委员会认为，投标人的最低投标价或者某些分项报</w:t>
      </w:r>
      <w:r>
        <w:rPr>
          <w:spacing w:val="-8"/>
        </w:rPr>
        <w:t>价明显不合理或者低于成本，有可能影响商品质量和不能诚信履约的，应当要求其在规定的期限内提供书面文件予以解释说明，并提交相关证明材料；否则，评标委员会可以取消</w:t>
      </w:r>
      <w:r>
        <w:rPr>
          <w:spacing w:val="-9"/>
        </w:rPr>
        <w:t>该投标人的中标候选资格。为保证本项目产品质量、良好的售后服务，最低报价不作为中</w:t>
      </w:r>
      <w:r>
        <w:rPr>
          <w:spacing w:val="-10"/>
        </w:rPr>
        <w:t>标的唯一依据。如果某投标人的报价中有漏项，将认为是投标人的让利行为。如果该投标</w:t>
      </w:r>
      <w:r>
        <w:t>人中标，则其中标价不能调整，即漏项部分的价格需该投标方自行消化（如构成未实质性响应招标文件要求的，将不得中标）。投标人必须如实提供和本项目所要求的有关内容， 评委一旦发现投标人提供的材料与事实不符，评标委员会核实无误后，将作无效投标处理。</w:t>
      </w:r>
    </w:p>
    <w:p>
      <w:pPr>
        <w:pStyle w:val="5"/>
        <w:spacing w:line="372" w:lineRule="auto"/>
        <w:ind w:left="523" w:right="739" w:firstLine="480"/>
        <w:jc w:val="both"/>
      </w:pPr>
      <w:bookmarkStart w:id="59" w:name="（三十）评标过程保密"/>
      <w:bookmarkEnd w:id="59"/>
      <w:r>
        <w:t>（</w:t>
      </w:r>
      <w:r>
        <w:rPr>
          <w:rFonts w:hint="eastAsia"/>
        </w:rPr>
        <w:t>二十九</w:t>
      </w:r>
      <w:r>
        <w:t>）评标过程保密</w:t>
      </w:r>
    </w:p>
    <w:p>
      <w:pPr>
        <w:pStyle w:val="5"/>
        <w:spacing w:line="372" w:lineRule="auto"/>
        <w:ind w:left="523" w:right="739" w:firstLine="480"/>
        <w:jc w:val="both"/>
      </w:pPr>
      <w:r>
        <w:t>1、在宣布中标结果之前，凡属于审查、澄清、评价、比较招标文件等有关信息，相关当事人均不得泄露给任何投标人或与招标工作无关的人员。</w:t>
      </w:r>
    </w:p>
    <w:p>
      <w:pPr>
        <w:pStyle w:val="5"/>
        <w:spacing w:line="372" w:lineRule="auto"/>
        <w:ind w:left="523" w:right="739" w:firstLine="480"/>
        <w:jc w:val="both"/>
      </w:pPr>
      <w:r>
        <w:t>2、投标人不得探听上述信息，不得以任何行为影响评标过程，否则其投标文件将被作为无效投标文件。</w:t>
      </w:r>
    </w:p>
    <w:p>
      <w:pPr>
        <w:pStyle w:val="5"/>
        <w:spacing w:line="306" w:lineRule="exact"/>
        <w:ind w:left="1003"/>
      </w:pPr>
      <w:r>
        <w:t>3、在评标期间，代理机构有专门工作人员与投标人进行联络。</w:t>
      </w:r>
    </w:p>
    <w:p>
      <w:pPr>
        <w:pStyle w:val="5"/>
        <w:spacing w:before="159" w:line="364" w:lineRule="auto"/>
        <w:ind w:left="523" w:right="741" w:firstLine="480"/>
      </w:pPr>
      <w:r>
        <w:t>4、采购人和评标委员会不向未中标的投标人解释未中标原因，也不对评标过程中的细节问题进行公布。</w:t>
      </w:r>
    </w:p>
    <w:p>
      <w:pPr>
        <w:pStyle w:val="5"/>
        <w:spacing w:before="208"/>
        <w:ind w:left="1728" w:right="1746"/>
        <w:jc w:val="center"/>
      </w:pPr>
      <w:bookmarkStart w:id="60" w:name="_bookmark8"/>
      <w:bookmarkEnd w:id="60"/>
      <w:bookmarkStart w:id="61" w:name="七、评标办法"/>
      <w:bookmarkEnd w:id="61"/>
      <w:r>
        <w:t>七、评标办法</w:t>
      </w:r>
    </w:p>
    <w:p>
      <w:pPr>
        <w:pStyle w:val="5"/>
        <w:spacing w:before="161"/>
        <w:ind w:left="523"/>
      </w:pPr>
      <w:r>
        <w:t>初步审查表-资格性审查</w:t>
      </w:r>
    </w:p>
    <w:p>
      <w:pPr>
        <w:pStyle w:val="5"/>
        <w:spacing w:before="4"/>
        <w:rPr>
          <w:sz w:val="12"/>
        </w:rPr>
      </w:pPr>
    </w:p>
    <w:tbl>
      <w:tblPr>
        <w:tblStyle w:val="13"/>
        <w:tblW w:w="9090" w:type="dxa"/>
        <w:tblInd w:w="6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2"/>
        <w:gridCol w:w="567"/>
        <w:gridCol w:w="7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2" w:hRule="atLeast"/>
        </w:trPr>
        <w:tc>
          <w:tcPr>
            <w:tcW w:w="1082" w:type="dxa"/>
            <w:vMerge w:val="restart"/>
          </w:tcPr>
          <w:p>
            <w:pPr>
              <w:pStyle w:val="19"/>
              <w:rPr>
                <w:sz w:val="24"/>
              </w:rPr>
            </w:pPr>
          </w:p>
          <w:p>
            <w:pPr>
              <w:pStyle w:val="19"/>
              <w:rPr>
                <w:sz w:val="24"/>
              </w:rPr>
            </w:pPr>
          </w:p>
          <w:p>
            <w:pPr>
              <w:pStyle w:val="19"/>
              <w:rPr>
                <w:sz w:val="24"/>
              </w:rPr>
            </w:pPr>
          </w:p>
          <w:p>
            <w:pPr>
              <w:pStyle w:val="19"/>
              <w:rPr>
                <w:sz w:val="24"/>
              </w:rPr>
            </w:pPr>
          </w:p>
          <w:p>
            <w:pPr>
              <w:pStyle w:val="19"/>
              <w:rPr>
                <w:sz w:val="24"/>
              </w:rPr>
            </w:pPr>
          </w:p>
          <w:p>
            <w:pPr>
              <w:pStyle w:val="19"/>
              <w:rPr>
                <w:sz w:val="24"/>
              </w:rPr>
            </w:pPr>
          </w:p>
          <w:p>
            <w:pPr>
              <w:pStyle w:val="19"/>
              <w:rPr>
                <w:sz w:val="24"/>
              </w:rPr>
            </w:pPr>
          </w:p>
          <w:p>
            <w:pPr>
              <w:pStyle w:val="19"/>
              <w:rPr>
                <w:sz w:val="24"/>
              </w:rPr>
            </w:pPr>
          </w:p>
          <w:p>
            <w:pPr>
              <w:pStyle w:val="19"/>
              <w:rPr>
                <w:sz w:val="24"/>
              </w:rPr>
            </w:pPr>
          </w:p>
          <w:p>
            <w:pPr>
              <w:pStyle w:val="19"/>
              <w:spacing w:before="10"/>
            </w:pPr>
          </w:p>
          <w:p>
            <w:pPr>
              <w:pStyle w:val="19"/>
              <w:spacing w:line="362" w:lineRule="auto"/>
              <w:ind w:left="106" w:right="96"/>
              <w:rPr>
                <w:sz w:val="24"/>
              </w:rPr>
            </w:pPr>
            <w:bookmarkStart w:id="62" w:name="资格性审查"/>
            <w:bookmarkEnd w:id="62"/>
            <w:r>
              <w:rPr>
                <w:spacing w:val="-23"/>
                <w:sz w:val="24"/>
              </w:rPr>
              <w:t>资 格 性</w:t>
            </w:r>
            <w:r>
              <w:rPr>
                <w:sz w:val="24"/>
              </w:rPr>
              <w:t>审查</w:t>
            </w:r>
          </w:p>
        </w:tc>
        <w:tc>
          <w:tcPr>
            <w:tcW w:w="567" w:type="dxa"/>
          </w:tcPr>
          <w:p>
            <w:pPr>
              <w:pStyle w:val="19"/>
              <w:spacing w:before="3"/>
              <w:rPr>
                <w:sz w:val="18"/>
              </w:rPr>
            </w:pPr>
          </w:p>
          <w:p>
            <w:pPr>
              <w:pStyle w:val="19"/>
              <w:spacing w:before="1"/>
              <w:ind w:left="107" w:firstLine="120" w:firstLineChars="50"/>
              <w:rPr>
                <w:sz w:val="24"/>
              </w:rPr>
            </w:pPr>
            <w:r>
              <w:rPr>
                <w:sz w:val="24"/>
              </w:rPr>
              <w:t>1</w:t>
            </w:r>
          </w:p>
        </w:tc>
        <w:tc>
          <w:tcPr>
            <w:tcW w:w="7441" w:type="dxa"/>
          </w:tcPr>
          <w:p>
            <w:pPr>
              <w:pStyle w:val="19"/>
              <w:spacing w:before="1"/>
              <w:ind w:left="106"/>
              <w:rPr>
                <w:sz w:val="24"/>
              </w:rPr>
            </w:pPr>
            <w:bookmarkStart w:id="63" w:name="法定代表人身份证明或授权委托书及被授权人身份证是否提供且有效（与投标文件一致，单"/>
            <w:bookmarkEnd w:id="63"/>
            <w:r>
              <w:rPr>
                <w:sz w:val="24"/>
              </w:rPr>
              <w:t>法定代表人身份证明或授权委托书及被授权人身份证是否提供且有效</w:t>
            </w:r>
          </w:p>
          <w:p>
            <w:pPr>
              <w:pStyle w:val="19"/>
              <w:spacing w:before="159"/>
              <w:ind w:left="106"/>
              <w:rPr>
                <w:sz w:val="24"/>
              </w:rPr>
            </w:pPr>
            <w:r>
              <w:rPr>
                <w:sz w:val="24"/>
              </w:rPr>
              <w:t>（与投标文件一致，单独提供）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1" w:hRule="atLeast"/>
        </w:trPr>
        <w:tc>
          <w:tcPr>
            <w:tcW w:w="1082" w:type="dxa"/>
            <w:vMerge w:val="continue"/>
            <w:tcBorders>
              <w:top w:val="nil"/>
            </w:tcBorders>
          </w:tcPr>
          <w:p>
            <w:pPr>
              <w:rPr>
                <w:sz w:val="2"/>
                <w:szCs w:val="2"/>
              </w:rPr>
            </w:pPr>
          </w:p>
        </w:tc>
        <w:tc>
          <w:tcPr>
            <w:tcW w:w="567" w:type="dxa"/>
          </w:tcPr>
          <w:p>
            <w:pPr>
              <w:pStyle w:val="19"/>
              <w:rPr>
                <w:sz w:val="24"/>
              </w:rPr>
            </w:pPr>
          </w:p>
          <w:p>
            <w:pPr>
              <w:pStyle w:val="19"/>
              <w:spacing w:before="160"/>
              <w:ind w:left="107" w:firstLine="120" w:firstLineChars="50"/>
              <w:rPr>
                <w:sz w:val="24"/>
              </w:rPr>
            </w:pPr>
            <w:r>
              <w:rPr>
                <w:sz w:val="24"/>
              </w:rPr>
              <w:t>2</w:t>
            </w:r>
          </w:p>
        </w:tc>
        <w:tc>
          <w:tcPr>
            <w:tcW w:w="7441" w:type="dxa"/>
          </w:tcPr>
          <w:p>
            <w:pPr>
              <w:pStyle w:val="19"/>
              <w:spacing w:before="2" w:line="362" w:lineRule="auto"/>
              <w:ind w:left="106" w:right="96"/>
              <w:rPr>
                <w:sz w:val="24"/>
              </w:rPr>
            </w:pPr>
            <w:bookmarkStart w:id="64" w:name="营业执照（事业单位法人证书）、组织机构代码证和税务登记证（三证合一无需提供）是否"/>
            <w:bookmarkEnd w:id="64"/>
            <w:r>
              <w:rPr>
                <w:spacing w:val="-8"/>
                <w:sz w:val="24"/>
              </w:rPr>
              <w:t>营业执照</w:t>
            </w:r>
            <w:r>
              <w:rPr>
                <w:spacing w:val="-3"/>
                <w:sz w:val="24"/>
              </w:rPr>
              <w:t>（</w:t>
            </w:r>
            <w:r>
              <w:rPr>
                <w:sz w:val="24"/>
              </w:rPr>
              <w:t>事业单位法人证书</w:t>
            </w:r>
            <w:r>
              <w:rPr>
                <w:spacing w:val="-120"/>
                <w:sz w:val="24"/>
              </w:rPr>
              <w:t>）</w:t>
            </w:r>
            <w:r>
              <w:rPr>
                <w:spacing w:val="-8"/>
                <w:sz w:val="24"/>
              </w:rPr>
              <w:t>、组织机构代码证和税务登记证</w:t>
            </w:r>
            <w:r>
              <w:rPr>
                <w:sz w:val="24"/>
              </w:rPr>
              <w:t>（</w:t>
            </w:r>
            <w:r>
              <w:rPr>
                <w:spacing w:val="-8"/>
                <w:sz w:val="24"/>
              </w:rPr>
              <w:t>三证</w:t>
            </w:r>
            <w:r>
              <w:rPr>
                <w:sz w:val="24"/>
              </w:rPr>
              <w:t>合一无需提供）是否和投标人名称一致且有效（</w:t>
            </w:r>
            <w:r>
              <w:rPr>
                <w:spacing w:val="-2"/>
                <w:sz w:val="24"/>
              </w:rPr>
              <w:t>提供有效的原件或公</w:t>
            </w:r>
          </w:p>
          <w:p>
            <w:pPr>
              <w:pStyle w:val="19"/>
              <w:spacing w:before="5"/>
              <w:ind w:left="106"/>
              <w:rPr>
                <w:sz w:val="24"/>
              </w:rPr>
            </w:pPr>
            <w:r>
              <w:rPr>
                <w:sz w:val="24"/>
              </w:rPr>
              <w:t>证件，并在投标文件中提供复印件）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trPr>
        <w:tc>
          <w:tcPr>
            <w:tcW w:w="1082" w:type="dxa"/>
            <w:vMerge w:val="continue"/>
            <w:tcBorders>
              <w:top w:val="nil"/>
            </w:tcBorders>
          </w:tcPr>
          <w:p>
            <w:pPr>
              <w:rPr>
                <w:sz w:val="2"/>
                <w:szCs w:val="2"/>
              </w:rPr>
            </w:pPr>
          </w:p>
        </w:tc>
        <w:tc>
          <w:tcPr>
            <w:tcW w:w="567" w:type="dxa"/>
          </w:tcPr>
          <w:p>
            <w:pPr>
              <w:pStyle w:val="19"/>
              <w:spacing w:before="4"/>
              <w:rPr>
                <w:sz w:val="18"/>
              </w:rPr>
            </w:pPr>
          </w:p>
          <w:p>
            <w:pPr>
              <w:pStyle w:val="19"/>
              <w:ind w:left="107" w:firstLine="120" w:firstLineChars="50"/>
              <w:rPr>
                <w:sz w:val="24"/>
              </w:rPr>
            </w:pPr>
            <w:r>
              <w:rPr>
                <w:sz w:val="24"/>
              </w:rPr>
              <w:t>3</w:t>
            </w:r>
          </w:p>
        </w:tc>
        <w:tc>
          <w:tcPr>
            <w:tcW w:w="7441" w:type="dxa"/>
          </w:tcPr>
          <w:p>
            <w:pPr>
              <w:pStyle w:val="19"/>
              <w:spacing w:before="2"/>
              <w:ind w:left="106"/>
              <w:rPr>
                <w:sz w:val="24"/>
              </w:rPr>
            </w:pPr>
            <w:bookmarkStart w:id="65" w:name="投标人是否具有《信息安全等级保护测评机构推荐证书》（提供有效的原件或公证件，并在"/>
            <w:bookmarkEnd w:id="65"/>
            <w:r>
              <w:rPr>
                <w:spacing w:val="-7"/>
                <w:sz w:val="24"/>
              </w:rPr>
              <w:t>投标人是否具有《</w:t>
            </w:r>
            <w:r>
              <w:rPr>
                <w:rFonts w:hint="eastAsia"/>
                <w:spacing w:val="-7"/>
                <w:sz w:val="24"/>
              </w:rPr>
              <w:t>网络安全等级测评与检测评估机构服务认证证书</w:t>
            </w:r>
            <w:r>
              <w:rPr>
                <w:spacing w:val="-168"/>
                <w:sz w:val="24"/>
              </w:rPr>
              <w:t>》</w:t>
            </w:r>
            <w:r>
              <w:rPr>
                <w:sz w:val="24"/>
              </w:rPr>
              <w:t>（提供有效的</w:t>
            </w:r>
          </w:p>
          <w:p>
            <w:pPr>
              <w:pStyle w:val="19"/>
              <w:spacing w:before="158"/>
              <w:ind w:left="106"/>
              <w:rPr>
                <w:sz w:val="24"/>
              </w:rPr>
            </w:pPr>
            <w:r>
              <w:rPr>
                <w:sz w:val="24"/>
              </w:rPr>
              <w:t>原件或公证件，并在投标文件中提供复印件）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4" w:hRule="atLeast"/>
        </w:trPr>
        <w:tc>
          <w:tcPr>
            <w:tcW w:w="1082" w:type="dxa"/>
            <w:vMerge w:val="continue"/>
            <w:tcBorders>
              <w:top w:val="nil"/>
            </w:tcBorders>
          </w:tcPr>
          <w:p>
            <w:pPr>
              <w:rPr>
                <w:sz w:val="2"/>
                <w:szCs w:val="2"/>
              </w:rPr>
            </w:pPr>
          </w:p>
        </w:tc>
        <w:tc>
          <w:tcPr>
            <w:tcW w:w="567" w:type="dxa"/>
          </w:tcPr>
          <w:p>
            <w:pPr>
              <w:pStyle w:val="19"/>
              <w:spacing w:before="3"/>
              <w:rPr>
                <w:sz w:val="18"/>
              </w:rPr>
            </w:pPr>
          </w:p>
          <w:p>
            <w:pPr>
              <w:pStyle w:val="19"/>
              <w:ind w:left="107" w:firstLine="120" w:firstLineChars="50"/>
              <w:rPr>
                <w:sz w:val="24"/>
              </w:rPr>
            </w:pPr>
            <w:r>
              <w:rPr>
                <w:sz w:val="24"/>
              </w:rPr>
              <w:t>4</w:t>
            </w:r>
          </w:p>
        </w:tc>
        <w:tc>
          <w:tcPr>
            <w:tcW w:w="7441" w:type="dxa"/>
          </w:tcPr>
          <w:p>
            <w:pPr>
              <w:pStyle w:val="19"/>
              <w:spacing w:before="1"/>
              <w:ind w:left="106"/>
              <w:rPr>
                <w:sz w:val="24"/>
              </w:rPr>
            </w:pPr>
            <w:bookmarkStart w:id="66" w:name="无行贿犯罪记录承诺是否提供，且在中国裁判文书网等相关网站上无行贿犯罪记录（加盖公"/>
            <w:bookmarkEnd w:id="66"/>
            <w:r>
              <w:rPr>
                <w:sz w:val="24"/>
              </w:rPr>
              <w:t>无行贿犯罪记录承诺是否提供，且在中国裁判文书网等相关网站上无</w:t>
            </w:r>
          </w:p>
          <w:p>
            <w:pPr>
              <w:pStyle w:val="19"/>
              <w:spacing w:before="158"/>
              <w:ind w:left="106"/>
              <w:rPr>
                <w:sz w:val="24"/>
              </w:rPr>
            </w:pPr>
            <w:r>
              <w:rPr>
                <w:sz w:val="24"/>
              </w:rPr>
              <w:t>行贿犯罪记录（加盖公章，并在投标文件中提供复印件）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96" w:hRule="atLeast"/>
        </w:trPr>
        <w:tc>
          <w:tcPr>
            <w:tcW w:w="1082" w:type="dxa"/>
            <w:vMerge w:val="continue"/>
            <w:tcBorders>
              <w:top w:val="nil"/>
            </w:tcBorders>
          </w:tcPr>
          <w:p>
            <w:pPr>
              <w:rPr>
                <w:sz w:val="2"/>
                <w:szCs w:val="2"/>
              </w:rPr>
            </w:pPr>
          </w:p>
        </w:tc>
        <w:tc>
          <w:tcPr>
            <w:tcW w:w="567" w:type="dxa"/>
            <w:vAlign w:val="center"/>
          </w:tcPr>
          <w:p>
            <w:pPr>
              <w:pStyle w:val="19"/>
              <w:ind w:left="107" w:firstLine="120" w:firstLineChars="50"/>
              <w:jc w:val="both"/>
              <w:rPr>
                <w:sz w:val="24"/>
              </w:rPr>
            </w:pPr>
            <w:r>
              <w:rPr>
                <w:sz w:val="24"/>
              </w:rPr>
              <w:t>5</w:t>
            </w:r>
          </w:p>
        </w:tc>
        <w:tc>
          <w:tcPr>
            <w:tcW w:w="7441" w:type="dxa"/>
            <w:vAlign w:val="center"/>
          </w:tcPr>
          <w:p>
            <w:pPr>
              <w:pStyle w:val="19"/>
              <w:spacing w:line="364" w:lineRule="auto"/>
              <w:ind w:left="106" w:right="-29"/>
              <w:jc w:val="both"/>
              <w:rPr>
                <w:sz w:val="24"/>
              </w:rPr>
            </w:pPr>
            <w:bookmarkStart w:id="67" w:name="投标人的信誉情况需在开标日前未被列入信用中国的“失信被执行人”“企业经营异常名录"/>
            <w:bookmarkEnd w:id="67"/>
            <w:r>
              <w:rPr>
                <w:spacing w:val="-6"/>
                <w:sz w:val="24"/>
              </w:rPr>
              <w:t xml:space="preserve">投标人的信誉情况需在开标日前未被列入信用中国的“失信被执行人” </w:t>
            </w:r>
            <w:r>
              <w:rPr>
                <w:spacing w:val="-15"/>
                <w:sz w:val="24"/>
              </w:rPr>
              <w:t>“企业经营异常名录”“重大税收违法案件当事人名单”“政府采购严</w:t>
            </w:r>
            <w:r>
              <w:rPr>
                <w:spacing w:val="-19"/>
                <w:sz w:val="24"/>
              </w:rPr>
              <w:t>重违法失信名单”其中之一。若列入，将拒绝其参与本项目。</w:t>
            </w:r>
            <w:r>
              <w:rPr>
                <w:sz w:val="24"/>
              </w:rPr>
              <w:t>（网址：</w:t>
            </w:r>
          </w:p>
          <w:p>
            <w:pPr>
              <w:pStyle w:val="19"/>
              <w:spacing w:line="307" w:lineRule="exact"/>
              <w:ind w:left="106"/>
              <w:jc w:val="both"/>
              <w:rPr>
                <w:sz w:val="24"/>
              </w:rPr>
            </w:pPr>
            <w:r>
              <w:fldChar w:fldCharType="begin"/>
            </w:r>
            <w:r>
              <w:instrText xml:space="preserve"> HYPERLINK "http://www.creditchina.gov.cn/" \h </w:instrText>
            </w:r>
            <w:r>
              <w:fldChar w:fldCharType="separate"/>
            </w:r>
            <w:r>
              <w:rPr>
                <w:sz w:val="24"/>
              </w:rPr>
              <w:t>http://www.creditchina.gov.cn/</w:t>
            </w:r>
            <w:r>
              <w:rPr>
                <w:sz w:val="24"/>
              </w:rPr>
              <w:fldChar w:fldCharType="end"/>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4" w:hRule="atLeast"/>
        </w:trPr>
        <w:tc>
          <w:tcPr>
            <w:tcW w:w="9090" w:type="dxa"/>
            <w:gridSpan w:val="3"/>
          </w:tcPr>
          <w:p>
            <w:pPr>
              <w:pStyle w:val="19"/>
              <w:spacing w:before="2"/>
              <w:ind w:left="106"/>
              <w:rPr>
                <w:sz w:val="24"/>
              </w:rPr>
            </w:pPr>
            <w:bookmarkStart w:id="68" w:name="采购人和监督人在开标时对投标人的资质进行审查，审查不通过的将退回其投标文件。"/>
            <w:bookmarkEnd w:id="68"/>
            <w:r>
              <w:rPr>
                <w:sz w:val="24"/>
              </w:rPr>
              <w:t>审查不通过的将</w:t>
            </w:r>
            <w:r>
              <w:rPr>
                <w:rFonts w:hint="eastAsia"/>
                <w:sz w:val="24"/>
              </w:rPr>
              <w:t>废标处理</w:t>
            </w:r>
            <w:r>
              <w:rPr>
                <w:sz w:val="24"/>
              </w:rPr>
              <w:t>。</w:t>
            </w:r>
          </w:p>
        </w:tc>
      </w:tr>
    </w:tbl>
    <w:p>
      <w:pPr>
        <w:rPr>
          <w:sz w:val="24"/>
        </w:rPr>
        <w:sectPr>
          <w:pgSz w:w="11910" w:h="16840"/>
          <w:pgMar w:top="1440" w:right="620" w:bottom="1180" w:left="780" w:header="852" w:footer="993" w:gutter="0"/>
          <w:cols w:space="720" w:num="1"/>
        </w:sectPr>
      </w:pPr>
    </w:p>
    <w:p>
      <w:pPr>
        <w:pStyle w:val="5"/>
        <w:spacing w:before="212"/>
        <w:ind w:left="523"/>
      </w:pPr>
      <w:r>
        <w:t>初步审查表-符合性审查</w:t>
      </w:r>
    </w:p>
    <w:p>
      <w:pPr>
        <w:pStyle w:val="5"/>
        <w:spacing w:before="5"/>
        <w:rPr>
          <w:sz w:val="12"/>
        </w:rPr>
      </w:pPr>
    </w:p>
    <w:tbl>
      <w:tblPr>
        <w:tblStyle w:val="13"/>
        <w:tblW w:w="9090" w:type="dxa"/>
        <w:tblInd w:w="6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2"/>
        <w:gridCol w:w="567"/>
        <w:gridCol w:w="7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082" w:type="dxa"/>
            <w:vMerge w:val="restart"/>
            <w:vAlign w:val="center"/>
          </w:tcPr>
          <w:p>
            <w:pPr>
              <w:pStyle w:val="19"/>
              <w:spacing w:before="200" w:line="364" w:lineRule="auto"/>
              <w:ind w:left="106" w:right="96"/>
              <w:jc w:val="center"/>
              <w:rPr>
                <w:sz w:val="24"/>
              </w:rPr>
            </w:pPr>
            <w:bookmarkStart w:id="69" w:name="符合性审查"/>
            <w:bookmarkEnd w:id="69"/>
            <w:r>
              <w:rPr>
                <w:spacing w:val="-23"/>
                <w:sz w:val="24"/>
              </w:rPr>
              <w:t>符 合 性</w:t>
            </w:r>
            <w:r>
              <w:rPr>
                <w:sz w:val="24"/>
              </w:rPr>
              <w:t>审查</w:t>
            </w:r>
          </w:p>
        </w:tc>
        <w:tc>
          <w:tcPr>
            <w:tcW w:w="567" w:type="dxa"/>
          </w:tcPr>
          <w:p>
            <w:pPr>
              <w:pStyle w:val="19"/>
              <w:spacing w:before="2"/>
              <w:ind w:left="107"/>
              <w:rPr>
                <w:sz w:val="24"/>
              </w:rPr>
            </w:pPr>
            <w:bookmarkStart w:id="70" w:name="1"/>
            <w:bookmarkEnd w:id="70"/>
            <w:r>
              <w:rPr>
                <w:sz w:val="24"/>
              </w:rPr>
              <w:t>1</w:t>
            </w:r>
          </w:p>
        </w:tc>
        <w:tc>
          <w:tcPr>
            <w:tcW w:w="7441" w:type="dxa"/>
          </w:tcPr>
          <w:p>
            <w:pPr>
              <w:pStyle w:val="19"/>
              <w:spacing w:before="2"/>
              <w:ind w:left="106"/>
              <w:rPr>
                <w:sz w:val="24"/>
              </w:rPr>
            </w:pPr>
            <w:bookmarkStart w:id="71" w:name="报价是否唯一"/>
            <w:bookmarkEnd w:id="71"/>
            <w:r>
              <w:rPr>
                <w:sz w:val="24"/>
              </w:rPr>
              <w:t>报价是否唯一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082" w:type="dxa"/>
            <w:vMerge w:val="continue"/>
            <w:tcBorders>
              <w:top w:val="nil"/>
            </w:tcBorders>
          </w:tcPr>
          <w:p>
            <w:pPr>
              <w:rPr>
                <w:sz w:val="2"/>
                <w:szCs w:val="2"/>
              </w:rPr>
            </w:pPr>
          </w:p>
        </w:tc>
        <w:tc>
          <w:tcPr>
            <w:tcW w:w="567" w:type="dxa"/>
          </w:tcPr>
          <w:p>
            <w:pPr>
              <w:pStyle w:val="19"/>
              <w:ind w:left="107"/>
              <w:rPr>
                <w:sz w:val="24"/>
              </w:rPr>
            </w:pPr>
            <w:bookmarkStart w:id="72" w:name="2"/>
            <w:bookmarkEnd w:id="72"/>
            <w:r>
              <w:rPr>
                <w:sz w:val="24"/>
              </w:rPr>
              <w:t>2</w:t>
            </w:r>
          </w:p>
        </w:tc>
        <w:tc>
          <w:tcPr>
            <w:tcW w:w="7441" w:type="dxa"/>
          </w:tcPr>
          <w:p>
            <w:pPr>
              <w:pStyle w:val="19"/>
              <w:ind w:left="106"/>
              <w:rPr>
                <w:sz w:val="24"/>
              </w:rPr>
            </w:pPr>
            <w:bookmarkStart w:id="73" w:name="投标文件是否注明“正本”或“副本”字样"/>
            <w:bookmarkEnd w:id="73"/>
            <w:r>
              <w:rPr>
                <w:sz w:val="24"/>
              </w:rPr>
              <w:t>投标文件是否注明“正本”或“副本”字样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trPr>
        <w:tc>
          <w:tcPr>
            <w:tcW w:w="1082" w:type="dxa"/>
            <w:vMerge w:val="continue"/>
            <w:tcBorders>
              <w:top w:val="nil"/>
            </w:tcBorders>
          </w:tcPr>
          <w:p>
            <w:pPr>
              <w:rPr>
                <w:sz w:val="2"/>
                <w:szCs w:val="2"/>
              </w:rPr>
            </w:pPr>
          </w:p>
        </w:tc>
        <w:tc>
          <w:tcPr>
            <w:tcW w:w="567" w:type="dxa"/>
            <w:vAlign w:val="center"/>
          </w:tcPr>
          <w:p>
            <w:pPr>
              <w:pStyle w:val="19"/>
              <w:spacing w:before="1"/>
              <w:ind w:left="107"/>
              <w:rPr>
                <w:sz w:val="24"/>
              </w:rPr>
            </w:pPr>
            <w:bookmarkStart w:id="74" w:name="3"/>
            <w:bookmarkEnd w:id="74"/>
            <w:r>
              <w:rPr>
                <w:sz w:val="24"/>
              </w:rPr>
              <w:t>3</w:t>
            </w:r>
          </w:p>
        </w:tc>
        <w:tc>
          <w:tcPr>
            <w:tcW w:w="7441" w:type="dxa"/>
          </w:tcPr>
          <w:p>
            <w:pPr>
              <w:pStyle w:val="19"/>
              <w:spacing w:before="1"/>
              <w:ind w:left="106"/>
              <w:rPr>
                <w:sz w:val="24"/>
              </w:rPr>
            </w:pPr>
            <w:bookmarkStart w:id="75" w:name="投标文件是否有投标人法定代表人或其授权代表签字，并加盖了投标人的公章"/>
            <w:bookmarkEnd w:id="75"/>
            <w:r>
              <w:rPr>
                <w:sz w:val="24"/>
              </w:rPr>
              <w:t>投标文件是否有投标人法定代表人或其授权代表签字，并加盖了投标</w:t>
            </w:r>
          </w:p>
          <w:p>
            <w:pPr>
              <w:pStyle w:val="19"/>
              <w:spacing w:before="158"/>
              <w:ind w:left="106"/>
              <w:rPr>
                <w:sz w:val="24"/>
              </w:rPr>
            </w:pPr>
            <w:r>
              <w:rPr>
                <w:sz w:val="24"/>
              </w:rPr>
              <w:t>人的公章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082" w:type="dxa"/>
            <w:vMerge w:val="continue"/>
            <w:tcBorders>
              <w:top w:val="nil"/>
            </w:tcBorders>
          </w:tcPr>
          <w:p>
            <w:pPr>
              <w:rPr>
                <w:sz w:val="2"/>
                <w:szCs w:val="2"/>
              </w:rPr>
            </w:pPr>
          </w:p>
        </w:tc>
        <w:tc>
          <w:tcPr>
            <w:tcW w:w="567" w:type="dxa"/>
          </w:tcPr>
          <w:p>
            <w:pPr>
              <w:pStyle w:val="19"/>
              <w:spacing w:before="1"/>
              <w:ind w:left="107"/>
              <w:rPr>
                <w:sz w:val="24"/>
              </w:rPr>
            </w:pPr>
            <w:bookmarkStart w:id="76" w:name="4"/>
            <w:bookmarkEnd w:id="76"/>
            <w:r>
              <w:rPr>
                <w:sz w:val="24"/>
              </w:rPr>
              <w:t>4</w:t>
            </w:r>
          </w:p>
        </w:tc>
        <w:tc>
          <w:tcPr>
            <w:tcW w:w="7441" w:type="dxa"/>
          </w:tcPr>
          <w:p>
            <w:pPr>
              <w:pStyle w:val="19"/>
              <w:spacing w:before="1"/>
              <w:ind w:left="106"/>
              <w:rPr>
                <w:sz w:val="24"/>
              </w:rPr>
            </w:pPr>
            <w:bookmarkStart w:id="77" w:name="投标文件是否完整，无重大缺漏项"/>
            <w:bookmarkEnd w:id="77"/>
            <w:r>
              <w:rPr>
                <w:sz w:val="24"/>
              </w:rPr>
              <w:t>投标文件是否完整，无重大缺漏项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082" w:type="dxa"/>
            <w:vMerge w:val="continue"/>
            <w:tcBorders>
              <w:top w:val="nil"/>
            </w:tcBorders>
          </w:tcPr>
          <w:p>
            <w:pPr>
              <w:rPr>
                <w:sz w:val="2"/>
                <w:szCs w:val="2"/>
              </w:rPr>
            </w:pPr>
          </w:p>
        </w:tc>
        <w:tc>
          <w:tcPr>
            <w:tcW w:w="567" w:type="dxa"/>
          </w:tcPr>
          <w:p>
            <w:pPr>
              <w:pStyle w:val="19"/>
              <w:spacing w:before="1"/>
              <w:ind w:left="107"/>
              <w:rPr>
                <w:sz w:val="24"/>
              </w:rPr>
            </w:pPr>
            <w:bookmarkStart w:id="78" w:name="5"/>
            <w:bookmarkEnd w:id="78"/>
            <w:r>
              <w:rPr>
                <w:sz w:val="24"/>
              </w:rPr>
              <w:t>5</w:t>
            </w:r>
          </w:p>
        </w:tc>
        <w:tc>
          <w:tcPr>
            <w:tcW w:w="7441" w:type="dxa"/>
          </w:tcPr>
          <w:p>
            <w:pPr>
              <w:pStyle w:val="19"/>
              <w:spacing w:before="1"/>
              <w:ind w:left="106"/>
              <w:rPr>
                <w:sz w:val="24"/>
              </w:rPr>
            </w:pPr>
            <w:bookmarkStart w:id="79" w:name="服务期及项目实施地点是否符合招标文件要求"/>
            <w:bookmarkEnd w:id="79"/>
            <w:r>
              <w:rPr>
                <w:sz w:val="24"/>
              </w:rPr>
              <w:t>服务期及项目实施地点是否符合招标文件要求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082" w:type="dxa"/>
            <w:vMerge w:val="continue"/>
            <w:tcBorders>
              <w:top w:val="nil"/>
            </w:tcBorders>
          </w:tcPr>
          <w:p>
            <w:pPr>
              <w:rPr>
                <w:sz w:val="2"/>
                <w:szCs w:val="2"/>
              </w:rPr>
            </w:pPr>
          </w:p>
        </w:tc>
        <w:tc>
          <w:tcPr>
            <w:tcW w:w="567" w:type="dxa"/>
          </w:tcPr>
          <w:p>
            <w:pPr>
              <w:pStyle w:val="19"/>
              <w:spacing w:before="2"/>
              <w:ind w:left="107"/>
              <w:rPr>
                <w:sz w:val="24"/>
              </w:rPr>
            </w:pPr>
            <w:bookmarkStart w:id="80" w:name="6"/>
            <w:bookmarkEnd w:id="80"/>
            <w:r>
              <w:rPr>
                <w:sz w:val="24"/>
              </w:rPr>
              <w:t>6</w:t>
            </w:r>
          </w:p>
        </w:tc>
        <w:tc>
          <w:tcPr>
            <w:tcW w:w="7441" w:type="dxa"/>
          </w:tcPr>
          <w:p>
            <w:pPr>
              <w:pStyle w:val="19"/>
              <w:spacing w:before="2"/>
              <w:ind w:left="106"/>
              <w:rPr>
                <w:sz w:val="24"/>
              </w:rPr>
            </w:pPr>
            <w:bookmarkStart w:id="81" w:name="投标人的报价是否超过了本项目采购预算"/>
            <w:bookmarkEnd w:id="81"/>
            <w:r>
              <w:rPr>
                <w:sz w:val="24"/>
              </w:rPr>
              <w:t>投标人的报价是否超过了本项目采购预算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082" w:type="dxa"/>
            <w:vMerge w:val="continue"/>
            <w:tcBorders>
              <w:top w:val="nil"/>
            </w:tcBorders>
          </w:tcPr>
          <w:p>
            <w:pPr>
              <w:rPr>
                <w:sz w:val="2"/>
                <w:szCs w:val="2"/>
              </w:rPr>
            </w:pPr>
          </w:p>
        </w:tc>
        <w:tc>
          <w:tcPr>
            <w:tcW w:w="567" w:type="dxa"/>
          </w:tcPr>
          <w:p>
            <w:pPr>
              <w:pStyle w:val="19"/>
              <w:ind w:left="107"/>
              <w:rPr>
                <w:sz w:val="24"/>
              </w:rPr>
            </w:pPr>
            <w:bookmarkStart w:id="82" w:name="7"/>
            <w:bookmarkEnd w:id="82"/>
            <w:r>
              <w:rPr>
                <w:sz w:val="24"/>
              </w:rPr>
              <w:t>7</w:t>
            </w:r>
          </w:p>
        </w:tc>
        <w:tc>
          <w:tcPr>
            <w:tcW w:w="7441" w:type="dxa"/>
          </w:tcPr>
          <w:p>
            <w:pPr>
              <w:pStyle w:val="19"/>
              <w:ind w:left="106"/>
              <w:rPr>
                <w:sz w:val="24"/>
              </w:rPr>
            </w:pPr>
            <w:bookmarkStart w:id="83" w:name="投标文件是否含有采购人不能接受的条件"/>
            <w:bookmarkEnd w:id="83"/>
            <w:r>
              <w:rPr>
                <w:sz w:val="24"/>
              </w:rPr>
              <w:t>投标文件是否含有采购人不能接受的条件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0" w:hRule="atLeast"/>
        </w:trPr>
        <w:tc>
          <w:tcPr>
            <w:tcW w:w="9090" w:type="dxa"/>
            <w:gridSpan w:val="3"/>
          </w:tcPr>
          <w:p>
            <w:pPr>
              <w:pStyle w:val="19"/>
              <w:spacing w:before="1" w:line="362" w:lineRule="auto"/>
              <w:ind w:left="106" w:right="55"/>
              <w:rPr>
                <w:sz w:val="24"/>
              </w:rPr>
            </w:pPr>
            <w:r>
              <w:rPr>
                <w:sz w:val="24"/>
              </w:rPr>
              <w:t>备注：如果投标人提供的投标文件中初步审查有一项未通过上述审查标准，评审小组将认定整个投标文件不响应招标文件而予以废标，并且不允许投标人通过修改或撤销</w:t>
            </w:r>
          </w:p>
          <w:p>
            <w:pPr>
              <w:pStyle w:val="19"/>
              <w:spacing w:before="5"/>
              <w:ind w:left="106"/>
              <w:rPr>
                <w:sz w:val="24"/>
              </w:rPr>
            </w:pPr>
            <w:r>
              <w:rPr>
                <w:sz w:val="24"/>
              </w:rPr>
              <w:t>其不符合要求的差异或保留，使之成为具有响应性的竞标。</w:t>
            </w:r>
          </w:p>
        </w:tc>
      </w:tr>
    </w:tbl>
    <w:p>
      <w:pPr>
        <w:spacing w:before="163"/>
        <w:ind w:left="1860" w:right="1666"/>
        <w:jc w:val="center"/>
        <w:rPr>
          <w:sz w:val="24"/>
        </w:rPr>
      </w:pPr>
      <w:bookmarkStart w:id="84" w:name="_bookmark9"/>
      <w:bookmarkEnd w:id="84"/>
      <w:r>
        <w:rPr>
          <w:sz w:val="24"/>
        </w:rPr>
        <w:t>评审标准</w:t>
      </w:r>
    </w:p>
    <w:tbl>
      <w:tblPr>
        <w:tblStyle w:val="11"/>
        <w:tblW w:w="101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297"/>
        <w:gridCol w:w="148"/>
        <w:gridCol w:w="4546"/>
        <w:gridCol w:w="769"/>
        <w:gridCol w:w="258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380" w:hRule="atLeast"/>
          <w:jc w:val="center"/>
        </w:trPr>
        <w:tc>
          <w:tcPr>
            <w:tcW w:w="789" w:type="dxa"/>
            <w:shd w:val="clear" w:color="000000" w:fill="FFFFFF"/>
            <w:vAlign w:val="center"/>
          </w:tcPr>
          <w:p>
            <w:pPr>
              <w:widowControl/>
              <w:rPr>
                <w:rFonts w:ascii="楷体" w:hAnsi="楷体" w:eastAsia="楷体" w:cs="楷体"/>
                <w:color w:val="000000"/>
              </w:rPr>
            </w:pPr>
            <w:r>
              <w:rPr>
                <w:rFonts w:hint="eastAsia" w:ascii="楷体" w:hAnsi="楷体" w:eastAsia="楷体" w:cs="楷体"/>
                <w:color w:val="000000"/>
              </w:rPr>
              <w:t>序号</w:t>
            </w:r>
          </w:p>
        </w:tc>
        <w:tc>
          <w:tcPr>
            <w:tcW w:w="1445" w:type="dxa"/>
            <w:gridSpan w:val="2"/>
            <w:shd w:val="clear" w:color="000000" w:fill="FFFFFF"/>
            <w:vAlign w:val="center"/>
          </w:tcPr>
          <w:p>
            <w:pPr>
              <w:widowControl/>
              <w:ind w:firstLine="240"/>
              <w:jc w:val="center"/>
              <w:rPr>
                <w:rFonts w:ascii="楷体" w:hAnsi="楷体" w:eastAsia="楷体" w:cs="楷体"/>
                <w:color w:val="000000"/>
              </w:rPr>
            </w:pPr>
            <w:r>
              <w:rPr>
                <w:rFonts w:hint="eastAsia" w:ascii="楷体" w:hAnsi="楷体" w:eastAsia="楷体" w:cs="楷体"/>
                <w:color w:val="000000"/>
              </w:rPr>
              <w:t>项目</w:t>
            </w:r>
          </w:p>
        </w:tc>
        <w:tc>
          <w:tcPr>
            <w:tcW w:w="4546" w:type="dxa"/>
            <w:shd w:val="clear" w:color="000000" w:fill="FFFFFF"/>
            <w:vAlign w:val="center"/>
          </w:tcPr>
          <w:p>
            <w:pPr>
              <w:widowControl/>
              <w:ind w:firstLine="240"/>
              <w:jc w:val="center"/>
              <w:rPr>
                <w:rFonts w:ascii="楷体" w:hAnsi="楷体" w:eastAsia="楷体" w:cs="楷体"/>
                <w:color w:val="000000"/>
              </w:rPr>
            </w:pPr>
            <w:r>
              <w:rPr>
                <w:rFonts w:hint="eastAsia" w:ascii="楷体" w:hAnsi="楷体" w:eastAsia="楷体" w:cs="楷体"/>
                <w:color w:val="000000"/>
              </w:rPr>
              <w:t>评审标准</w:t>
            </w:r>
          </w:p>
        </w:tc>
        <w:tc>
          <w:tcPr>
            <w:tcW w:w="769" w:type="dxa"/>
            <w:shd w:val="clear" w:color="000000" w:fill="FFFFFF"/>
            <w:vAlign w:val="center"/>
          </w:tcPr>
          <w:p>
            <w:pPr>
              <w:widowControl/>
              <w:rPr>
                <w:rFonts w:ascii="楷体" w:hAnsi="楷体" w:eastAsia="楷体" w:cs="楷体"/>
                <w:color w:val="000000"/>
              </w:rPr>
            </w:pPr>
            <w:r>
              <w:rPr>
                <w:rFonts w:hint="eastAsia" w:ascii="楷体" w:hAnsi="楷体" w:eastAsia="楷体" w:cs="楷体"/>
                <w:color w:val="000000"/>
              </w:rPr>
              <w:t>满分</w:t>
            </w:r>
          </w:p>
        </w:tc>
        <w:tc>
          <w:tcPr>
            <w:tcW w:w="2581" w:type="dxa"/>
            <w:shd w:val="clear" w:color="000000" w:fill="FFFFFF"/>
            <w:vAlign w:val="center"/>
          </w:tcPr>
          <w:p>
            <w:pPr>
              <w:widowControl/>
              <w:ind w:firstLine="240"/>
              <w:jc w:val="center"/>
              <w:rPr>
                <w:rFonts w:ascii="楷体" w:hAnsi="楷体" w:eastAsia="楷体" w:cs="楷体"/>
                <w:color w:val="000000"/>
              </w:rPr>
            </w:pPr>
            <w:r>
              <w:rPr>
                <w:rFonts w:hint="eastAsia" w:ascii="楷体" w:hAnsi="楷体" w:eastAsia="楷体" w:cs="楷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380" w:hRule="atLeast"/>
          <w:jc w:val="center"/>
        </w:trPr>
        <w:tc>
          <w:tcPr>
            <w:tcW w:w="10130" w:type="dxa"/>
            <w:gridSpan w:val="6"/>
            <w:shd w:val="clear" w:color="000000" w:fill="FFFFFF"/>
            <w:vAlign w:val="center"/>
          </w:tcPr>
          <w:p>
            <w:pPr>
              <w:widowControl/>
              <w:ind w:firstLine="241"/>
              <w:rPr>
                <w:rFonts w:ascii="楷体" w:hAnsi="楷体" w:eastAsia="楷体" w:cs="楷体"/>
                <w:color w:val="000000"/>
              </w:rPr>
            </w:pPr>
            <w:r>
              <w:rPr>
                <w:rFonts w:hint="eastAsia" w:ascii="楷体" w:hAnsi="楷体" w:eastAsia="楷体" w:cs="楷体"/>
                <w:b/>
              </w:rPr>
              <w:t>一、报价部分（</w:t>
            </w:r>
            <w:r>
              <w:rPr>
                <w:rFonts w:hint="eastAsia" w:ascii="楷体" w:hAnsi="楷体" w:eastAsia="楷体" w:cs="楷体"/>
                <w:b/>
                <w:lang w:val="en-US"/>
              </w:rPr>
              <w:t>10</w:t>
            </w:r>
            <w:r>
              <w:rPr>
                <w:rFonts w:hint="eastAsia" w:ascii="楷体" w:hAnsi="楷体" w:eastAsia="楷体" w:cs="楷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380" w:hRule="atLeast"/>
          <w:jc w:val="center"/>
        </w:trPr>
        <w:tc>
          <w:tcPr>
            <w:tcW w:w="789" w:type="dxa"/>
            <w:shd w:val="clear" w:color="000000" w:fill="FFFFFF"/>
            <w:vAlign w:val="center"/>
          </w:tcPr>
          <w:p>
            <w:pPr>
              <w:widowControl/>
              <w:jc w:val="center"/>
              <w:rPr>
                <w:rFonts w:ascii="楷体" w:hAnsi="楷体" w:eastAsia="楷体" w:cs="楷体"/>
                <w:color w:val="000000"/>
              </w:rPr>
            </w:pPr>
            <w:r>
              <w:rPr>
                <w:rFonts w:hint="eastAsia" w:ascii="楷体" w:hAnsi="楷体" w:eastAsia="楷体" w:cs="楷体"/>
                <w:color w:val="000000"/>
              </w:rPr>
              <w:t>1</w:t>
            </w:r>
          </w:p>
        </w:tc>
        <w:tc>
          <w:tcPr>
            <w:tcW w:w="1445" w:type="dxa"/>
            <w:gridSpan w:val="2"/>
            <w:shd w:val="clear" w:color="000000" w:fill="FFFFFF"/>
            <w:vAlign w:val="center"/>
          </w:tcPr>
          <w:p>
            <w:pPr>
              <w:widowControl/>
              <w:ind w:firstLine="240"/>
              <w:jc w:val="center"/>
              <w:rPr>
                <w:rFonts w:ascii="楷体" w:hAnsi="楷体" w:eastAsia="楷体" w:cs="楷体"/>
                <w:color w:val="000000"/>
              </w:rPr>
            </w:pPr>
            <w:r>
              <w:rPr>
                <w:rFonts w:hint="eastAsia" w:ascii="楷体" w:hAnsi="楷体" w:eastAsia="楷体" w:cs="楷体"/>
                <w:color w:val="000000"/>
              </w:rPr>
              <w:t>报价得分</w:t>
            </w:r>
          </w:p>
        </w:tc>
        <w:tc>
          <w:tcPr>
            <w:tcW w:w="4546" w:type="dxa"/>
            <w:shd w:val="clear" w:color="000000" w:fill="FFFFFF"/>
            <w:vAlign w:val="center"/>
          </w:tcPr>
          <w:p>
            <w:pPr>
              <w:widowControl/>
              <w:ind w:firstLine="240"/>
              <w:jc w:val="center"/>
              <w:rPr>
                <w:rFonts w:ascii="楷体" w:hAnsi="楷体" w:eastAsia="楷体" w:cs="楷体"/>
                <w:color w:val="000000"/>
              </w:rPr>
            </w:pPr>
            <w:r>
              <w:rPr>
                <w:rFonts w:hint="eastAsia" w:ascii="楷体" w:hAnsi="楷体" w:eastAsia="楷体" w:cs="楷体"/>
                <w:color w:val="000000"/>
              </w:rPr>
              <w:t>按照招标文件要求的有效投标价中最低报价为评标基准价，其价格为满分</w:t>
            </w:r>
            <w:r>
              <w:rPr>
                <w:rFonts w:ascii="楷体" w:hAnsi="楷体" w:eastAsia="楷体" w:cs="楷体"/>
                <w:color w:val="000000"/>
              </w:rPr>
              <w:t>10。其他响应人的价格分统一按下列公式计算：投标报价得分=（评标基准价/有效投标报价）*10</w:t>
            </w:r>
          </w:p>
        </w:tc>
        <w:tc>
          <w:tcPr>
            <w:tcW w:w="769" w:type="dxa"/>
            <w:shd w:val="clear" w:color="000000" w:fill="FFFFFF"/>
            <w:vAlign w:val="center"/>
          </w:tcPr>
          <w:p>
            <w:pPr>
              <w:widowControl/>
              <w:jc w:val="center"/>
              <w:rPr>
                <w:rFonts w:ascii="楷体" w:hAnsi="楷体" w:eastAsia="楷体" w:cs="楷体"/>
                <w:color w:val="000000"/>
              </w:rPr>
            </w:pPr>
            <w:r>
              <w:rPr>
                <w:rFonts w:hint="eastAsia" w:ascii="楷体" w:hAnsi="楷体" w:eastAsia="楷体" w:cs="楷体"/>
                <w:color w:val="000000"/>
              </w:rPr>
              <w:t>10</w:t>
            </w:r>
          </w:p>
        </w:tc>
        <w:tc>
          <w:tcPr>
            <w:tcW w:w="2581" w:type="dxa"/>
            <w:shd w:val="clear" w:color="000000" w:fill="FFFFFF"/>
            <w:vAlign w:val="center"/>
          </w:tcPr>
          <w:p>
            <w:pPr>
              <w:widowControl/>
              <w:ind w:firstLine="240"/>
              <w:jc w:val="center"/>
              <w:rPr>
                <w:rFonts w:ascii="楷体" w:hAnsi="楷体" w:eastAsia="楷体" w:cs="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0145" w:type="dxa"/>
            <w:gridSpan w:val="7"/>
            <w:vAlign w:val="center"/>
          </w:tcPr>
          <w:p>
            <w:pPr>
              <w:widowControl/>
              <w:ind w:firstLine="241"/>
              <w:rPr>
                <w:rFonts w:ascii="楷体" w:hAnsi="楷体" w:eastAsia="楷体" w:cs="楷体"/>
                <w:b/>
              </w:rPr>
            </w:pPr>
            <w:r>
              <w:rPr>
                <w:rFonts w:hint="eastAsia" w:ascii="楷体" w:hAnsi="楷体" w:eastAsia="楷体" w:cs="楷体"/>
                <w:b/>
              </w:rPr>
              <w:t>二、商务部分（</w:t>
            </w:r>
            <w:r>
              <w:rPr>
                <w:rFonts w:hint="eastAsia" w:ascii="楷体" w:hAnsi="楷体" w:eastAsia="楷体" w:cs="楷体"/>
                <w:b/>
                <w:lang w:val="en-US"/>
              </w:rPr>
              <w:t>32</w:t>
            </w:r>
            <w:r>
              <w:rPr>
                <w:rFonts w:hint="eastAsia" w:ascii="楷体" w:hAnsi="楷体" w:eastAsia="楷体" w:cs="楷体"/>
                <w:b/>
              </w:rPr>
              <w:t>分）</w:t>
            </w:r>
            <w:r>
              <w:rPr>
                <w:rFonts w:hint="eastAsia" w:ascii="楷体" w:hAnsi="楷体" w:eastAsia="楷体" w:cs="楷体"/>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0" w:hRule="atLeast"/>
          <w:jc w:val="center"/>
        </w:trPr>
        <w:tc>
          <w:tcPr>
            <w:tcW w:w="789" w:type="dxa"/>
            <w:vAlign w:val="center"/>
          </w:tcPr>
          <w:p>
            <w:pPr>
              <w:widowControl/>
              <w:ind w:firstLine="240"/>
              <w:rPr>
                <w:rFonts w:ascii="楷体" w:hAnsi="楷体" w:eastAsia="楷体" w:cs="楷体"/>
              </w:rPr>
            </w:pPr>
            <w:r>
              <w:rPr>
                <w:rFonts w:hint="eastAsia" w:ascii="楷体" w:hAnsi="楷体" w:eastAsia="楷体" w:cs="楷体"/>
              </w:rPr>
              <w:t>2</w:t>
            </w:r>
          </w:p>
        </w:tc>
        <w:tc>
          <w:tcPr>
            <w:tcW w:w="1445" w:type="dxa"/>
            <w:gridSpan w:val="2"/>
            <w:vAlign w:val="center"/>
          </w:tcPr>
          <w:p>
            <w:pPr>
              <w:widowControl/>
              <w:ind w:firstLine="240"/>
              <w:rPr>
                <w:rFonts w:ascii="楷体" w:hAnsi="楷体" w:eastAsia="楷体" w:cs="楷体"/>
              </w:rPr>
            </w:pPr>
            <w:r>
              <w:rPr>
                <w:rFonts w:hint="eastAsia" w:ascii="楷体" w:hAnsi="楷体" w:eastAsia="楷体" w:cs="楷体"/>
              </w:rPr>
              <w:t>类似业绩</w:t>
            </w:r>
          </w:p>
        </w:tc>
        <w:tc>
          <w:tcPr>
            <w:tcW w:w="4546" w:type="dxa"/>
            <w:vAlign w:val="center"/>
          </w:tcPr>
          <w:p>
            <w:pPr>
              <w:snapToGrid w:val="0"/>
              <w:ind w:firstLine="240"/>
              <w:rPr>
                <w:rFonts w:ascii="楷体" w:hAnsi="楷体" w:eastAsia="楷体" w:cs="楷体"/>
              </w:rPr>
            </w:pPr>
            <w:r>
              <w:rPr>
                <w:rFonts w:hint="eastAsia" w:ascii="楷体" w:hAnsi="楷体" w:eastAsia="楷体" w:cs="楷体"/>
              </w:rPr>
              <w:t>响应人近三年（201</w:t>
            </w:r>
            <w:r>
              <w:rPr>
                <w:rFonts w:hint="eastAsia" w:ascii="楷体" w:hAnsi="楷体" w:eastAsia="楷体" w:cs="楷体"/>
                <w:lang w:val="en-US"/>
              </w:rPr>
              <w:t>9</w:t>
            </w:r>
            <w:r>
              <w:rPr>
                <w:rFonts w:hint="eastAsia" w:ascii="楷体" w:hAnsi="楷体" w:eastAsia="楷体" w:cs="楷体"/>
              </w:rPr>
              <w:t>年1月至今）具有类似业绩的，每有一个得</w:t>
            </w:r>
            <w:r>
              <w:rPr>
                <w:rFonts w:hint="eastAsia" w:ascii="楷体" w:hAnsi="楷体" w:eastAsia="楷体" w:cs="楷体"/>
                <w:lang w:val="en-US"/>
              </w:rPr>
              <w:t>1</w:t>
            </w:r>
            <w:r>
              <w:rPr>
                <w:rFonts w:hint="eastAsia" w:ascii="楷体" w:hAnsi="楷体" w:eastAsia="楷体" w:cs="楷体"/>
              </w:rPr>
              <w:t>分，最高得</w:t>
            </w:r>
            <w:r>
              <w:rPr>
                <w:rFonts w:hint="eastAsia" w:ascii="楷体" w:hAnsi="楷体" w:eastAsia="楷体" w:cs="楷体"/>
                <w:lang w:val="en-US"/>
              </w:rPr>
              <w:t>5</w:t>
            </w:r>
            <w:r>
              <w:rPr>
                <w:rFonts w:hint="eastAsia" w:ascii="楷体" w:hAnsi="楷体" w:eastAsia="楷体" w:cs="楷体"/>
              </w:rPr>
              <w:t>分。</w:t>
            </w:r>
          </w:p>
        </w:tc>
        <w:tc>
          <w:tcPr>
            <w:tcW w:w="769" w:type="dxa"/>
            <w:vAlign w:val="center"/>
          </w:tcPr>
          <w:p>
            <w:pPr>
              <w:ind w:firstLine="240"/>
              <w:rPr>
                <w:rFonts w:ascii="楷体" w:hAnsi="楷体" w:eastAsia="楷体" w:cs="楷体"/>
                <w:lang w:val="en-US"/>
              </w:rPr>
            </w:pPr>
            <w:r>
              <w:rPr>
                <w:rFonts w:hint="eastAsia" w:ascii="楷体" w:hAnsi="楷体" w:eastAsia="楷体" w:cs="楷体"/>
                <w:lang w:val="en-US"/>
              </w:rPr>
              <w:t>5</w:t>
            </w:r>
          </w:p>
        </w:tc>
        <w:tc>
          <w:tcPr>
            <w:tcW w:w="2596" w:type="dxa"/>
            <w:gridSpan w:val="2"/>
            <w:vAlign w:val="center"/>
          </w:tcPr>
          <w:p>
            <w:pPr>
              <w:widowControl/>
              <w:ind w:firstLine="240"/>
              <w:rPr>
                <w:rFonts w:ascii="楷体" w:hAnsi="楷体" w:eastAsia="楷体" w:cs="楷体"/>
              </w:rPr>
            </w:pPr>
            <w:r>
              <w:rPr>
                <w:rFonts w:hint="eastAsia" w:ascii="楷体" w:hAnsi="楷体" w:eastAsia="楷体" w:cs="楷体"/>
              </w:rPr>
              <w:t>须提供加盖公章的有关合同的首页、尾页、金额页及签字页等实质内容的复印件加盖公章；未提供证明文件，不得分。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789" w:type="dxa"/>
            <w:vAlign w:val="center"/>
          </w:tcPr>
          <w:p>
            <w:pPr>
              <w:widowControl/>
              <w:ind w:firstLine="240"/>
              <w:rPr>
                <w:rFonts w:ascii="楷体" w:hAnsi="楷体" w:eastAsia="楷体" w:cs="楷体"/>
              </w:rPr>
            </w:pPr>
            <w:r>
              <w:rPr>
                <w:rFonts w:hint="eastAsia" w:ascii="楷体" w:hAnsi="楷体" w:eastAsia="楷体" w:cs="楷体"/>
              </w:rPr>
              <w:t>3</w:t>
            </w:r>
          </w:p>
        </w:tc>
        <w:tc>
          <w:tcPr>
            <w:tcW w:w="1445" w:type="dxa"/>
            <w:gridSpan w:val="2"/>
            <w:vAlign w:val="center"/>
          </w:tcPr>
          <w:p>
            <w:pPr>
              <w:widowControl/>
              <w:jc w:val="center"/>
              <w:rPr>
                <w:rFonts w:ascii="楷体" w:hAnsi="楷体" w:eastAsia="楷体" w:cs="楷体"/>
              </w:rPr>
            </w:pPr>
            <w:r>
              <w:rPr>
                <w:rFonts w:hint="eastAsia" w:ascii="楷体" w:hAnsi="楷体" w:eastAsia="楷体" w:cs="楷体"/>
              </w:rPr>
              <w:t>测试工具的软件著作权截图</w:t>
            </w:r>
          </w:p>
        </w:tc>
        <w:tc>
          <w:tcPr>
            <w:tcW w:w="4546" w:type="dxa"/>
            <w:vAlign w:val="center"/>
          </w:tcPr>
          <w:p>
            <w:pPr>
              <w:snapToGrid w:val="0"/>
              <w:ind w:firstLine="240"/>
              <w:rPr>
                <w:rFonts w:ascii="楷体" w:hAnsi="楷体" w:eastAsia="楷体" w:cs="楷体"/>
              </w:rPr>
            </w:pPr>
            <w:r>
              <w:rPr>
                <w:rFonts w:hint="eastAsia" w:ascii="楷体" w:hAnsi="楷体" w:eastAsia="楷体" w:cs="楷体"/>
              </w:rPr>
              <w:t>提供漏洞扫描结果分析系统、等级保护操作系统基线核查系统、代码审查系统、大数据基准测试系统、等级保护测评辅助系统、等级保护差距分析辅助系统、等级保护网络设备配置核查系统相应测试工具的软件著作权截图，每提供一个得</w:t>
            </w:r>
            <w:r>
              <w:rPr>
                <w:rFonts w:ascii="楷体" w:hAnsi="楷体" w:eastAsia="楷体" w:cs="楷体"/>
              </w:rPr>
              <w:t>1分，最高得7分；</w:t>
            </w:r>
          </w:p>
        </w:tc>
        <w:tc>
          <w:tcPr>
            <w:tcW w:w="769" w:type="dxa"/>
            <w:vAlign w:val="center"/>
          </w:tcPr>
          <w:p>
            <w:pPr>
              <w:ind w:firstLine="240"/>
              <w:rPr>
                <w:rFonts w:ascii="楷体" w:hAnsi="楷体" w:eastAsia="楷体" w:cs="楷体"/>
                <w:lang w:val="en-US"/>
              </w:rPr>
            </w:pPr>
            <w:r>
              <w:rPr>
                <w:rFonts w:hint="eastAsia" w:ascii="楷体" w:hAnsi="楷体" w:eastAsia="楷体" w:cs="楷体"/>
                <w:lang w:val="en-US"/>
              </w:rPr>
              <w:t>7</w:t>
            </w:r>
          </w:p>
        </w:tc>
        <w:tc>
          <w:tcPr>
            <w:tcW w:w="2596" w:type="dxa"/>
            <w:gridSpan w:val="2"/>
            <w:vAlign w:val="center"/>
          </w:tcPr>
          <w:p>
            <w:pPr>
              <w:widowControl/>
              <w:ind w:firstLine="240"/>
              <w:rPr>
                <w:rFonts w:ascii="楷体" w:hAnsi="楷体" w:eastAsia="楷体" w:cs="楷体"/>
              </w:rPr>
            </w:pPr>
            <w:r>
              <w:rPr>
                <w:rFonts w:hint="eastAsia" w:ascii="楷体" w:hAnsi="楷体" w:eastAsia="楷体" w:cs="楷体"/>
              </w:rPr>
              <w:t>须提供加盖公章的软件著作权截图。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789" w:type="dxa"/>
            <w:vAlign w:val="center"/>
          </w:tcPr>
          <w:p>
            <w:pPr>
              <w:widowControl/>
              <w:ind w:firstLine="240"/>
              <w:rPr>
                <w:rFonts w:ascii="楷体" w:hAnsi="楷体" w:eastAsia="楷体" w:cs="楷体"/>
              </w:rPr>
            </w:pPr>
            <w:r>
              <w:rPr>
                <w:rFonts w:hint="eastAsia" w:ascii="楷体" w:hAnsi="楷体" w:eastAsia="楷体" w:cs="楷体"/>
                <w:lang w:val="en-US"/>
              </w:rPr>
              <w:t>4</w:t>
            </w:r>
          </w:p>
        </w:tc>
        <w:tc>
          <w:tcPr>
            <w:tcW w:w="1445" w:type="dxa"/>
            <w:gridSpan w:val="2"/>
            <w:vMerge w:val="restart"/>
            <w:vAlign w:val="center"/>
          </w:tcPr>
          <w:p>
            <w:pPr>
              <w:widowControl/>
              <w:ind w:firstLine="240"/>
              <w:rPr>
                <w:rFonts w:ascii="楷体" w:hAnsi="楷体" w:eastAsia="楷体" w:cs="楷体"/>
              </w:rPr>
            </w:pPr>
            <w:r>
              <w:rPr>
                <w:rFonts w:hint="eastAsia" w:ascii="楷体" w:hAnsi="楷体" w:eastAsia="楷体" w:cs="楷体"/>
              </w:rPr>
              <w:t>项目团队</w:t>
            </w:r>
          </w:p>
          <w:p>
            <w:pPr>
              <w:widowControl/>
              <w:ind w:firstLine="240"/>
              <w:rPr>
                <w:rFonts w:ascii="楷体" w:hAnsi="楷体" w:eastAsia="楷体" w:cs="楷体"/>
              </w:rPr>
            </w:pPr>
          </w:p>
        </w:tc>
        <w:tc>
          <w:tcPr>
            <w:tcW w:w="4546" w:type="dxa"/>
            <w:vAlign w:val="center"/>
          </w:tcPr>
          <w:p>
            <w:pPr>
              <w:widowControl/>
              <w:ind w:firstLine="240"/>
              <w:rPr>
                <w:rFonts w:ascii="楷体" w:hAnsi="楷体" w:eastAsia="楷体" w:cs="楷体"/>
              </w:rPr>
            </w:pPr>
            <w:r>
              <w:rPr>
                <w:rFonts w:hint="eastAsia" w:ascii="楷体" w:hAnsi="楷体" w:eastAsia="楷体" w:cs="楷体"/>
              </w:rPr>
              <w:t>项目负责人：</w:t>
            </w:r>
          </w:p>
          <w:p>
            <w:pPr>
              <w:widowControl/>
              <w:ind w:firstLine="240"/>
              <w:rPr>
                <w:rFonts w:ascii="楷体" w:hAnsi="楷体" w:eastAsia="楷体" w:cs="楷体"/>
              </w:rPr>
            </w:pPr>
            <w:r>
              <w:rPr>
                <w:rFonts w:ascii="楷体" w:hAnsi="楷体" w:eastAsia="楷体" w:cs="楷体"/>
              </w:rPr>
              <w:t>1、项目经理获得网络安全等级保护高级测评师证书得1分。</w:t>
            </w:r>
          </w:p>
          <w:p>
            <w:pPr>
              <w:widowControl/>
              <w:ind w:firstLine="240"/>
              <w:rPr>
                <w:rFonts w:ascii="楷体" w:hAnsi="楷体" w:eastAsia="楷体" w:cs="楷体"/>
              </w:rPr>
            </w:pPr>
            <w:r>
              <w:rPr>
                <w:rFonts w:ascii="楷体" w:hAnsi="楷体" w:eastAsia="楷体" w:cs="楷体"/>
              </w:rPr>
              <w:t>2、项目经理获得中国信息安全测评中心颁发的注册信息安全专业人员证书（即CISP证书）资质证书得1分；</w:t>
            </w:r>
          </w:p>
          <w:p>
            <w:pPr>
              <w:widowControl/>
              <w:ind w:firstLine="240"/>
              <w:rPr>
                <w:rFonts w:ascii="楷体" w:hAnsi="楷体" w:eastAsia="楷体" w:cs="楷体"/>
              </w:rPr>
            </w:pPr>
            <w:r>
              <w:rPr>
                <w:rFonts w:ascii="楷体" w:hAnsi="楷体" w:eastAsia="楷体" w:cs="楷体"/>
              </w:rPr>
              <w:t>3、项目经理获得信息安全保障人员认证证书（即CISAW证书）得1分；</w:t>
            </w:r>
          </w:p>
          <w:p>
            <w:pPr>
              <w:widowControl/>
              <w:ind w:firstLine="240"/>
              <w:rPr>
                <w:rFonts w:ascii="楷体" w:hAnsi="楷体" w:eastAsia="楷体" w:cs="楷体"/>
              </w:rPr>
            </w:pPr>
            <w:r>
              <w:rPr>
                <w:rFonts w:ascii="楷体" w:hAnsi="楷体" w:eastAsia="楷体" w:cs="楷体"/>
              </w:rPr>
              <w:t>4、项目经理获得渗透测试证书（即CISP-PTE证书）得2分；</w:t>
            </w:r>
          </w:p>
        </w:tc>
        <w:tc>
          <w:tcPr>
            <w:tcW w:w="769" w:type="dxa"/>
            <w:vAlign w:val="center"/>
          </w:tcPr>
          <w:p>
            <w:pPr>
              <w:widowControl/>
              <w:snapToGrid w:val="0"/>
              <w:ind w:firstLine="240"/>
              <w:rPr>
                <w:rFonts w:ascii="楷体" w:hAnsi="楷体" w:eastAsia="楷体" w:cs="楷体"/>
              </w:rPr>
            </w:pPr>
            <w:r>
              <w:rPr>
                <w:rFonts w:hint="eastAsia" w:ascii="楷体" w:hAnsi="楷体" w:eastAsia="楷体" w:cs="楷体"/>
                <w:lang w:val="en-US"/>
              </w:rPr>
              <w:t>5</w:t>
            </w:r>
          </w:p>
        </w:tc>
        <w:tc>
          <w:tcPr>
            <w:tcW w:w="2596" w:type="dxa"/>
            <w:gridSpan w:val="2"/>
            <w:vAlign w:val="center"/>
          </w:tcPr>
          <w:p>
            <w:pPr>
              <w:widowControl/>
              <w:ind w:firstLine="240"/>
              <w:rPr>
                <w:rFonts w:ascii="楷体" w:hAnsi="楷体" w:eastAsia="楷体" w:cs="楷体"/>
              </w:rPr>
            </w:pPr>
            <w:r>
              <w:rPr>
                <w:rFonts w:hint="eastAsia" w:ascii="楷体" w:hAnsi="楷体" w:eastAsia="楷体" w:cs="楷体"/>
              </w:rPr>
              <w:t>须提供项目人个人简历表及相应的认证资格证书、近三个月</w:t>
            </w:r>
            <w:r>
              <w:rPr>
                <w:rFonts w:hint="eastAsia" w:ascii="楷体" w:hAnsi="楷体" w:eastAsia="楷体" w:cs="楷体"/>
                <w:lang w:val="en-US"/>
              </w:rPr>
              <w:t>内任意1个月</w:t>
            </w:r>
            <w:r>
              <w:rPr>
                <w:rFonts w:hint="eastAsia" w:ascii="楷体" w:hAnsi="楷体" w:eastAsia="楷体" w:cs="楷体"/>
              </w:rPr>
              <w:t>社保缴纳证明等的复印件加盖公章；未提供证明文件，不得分。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789" w:type="dxa"/>
            <w:vAlign w:val="center"/>
          </w:tcPr>
          <w:p>
            <w:pPr>
              <w:widowControl/>
              <w:ind w:firstLine="240"/>
              <w:rPr>
                <w:rFonts w:ascii="楷体" w:hAnsi="楷体" w:eastAsia="楷体" w:cs="楷体"/>
                <w:highlight w:val="yellow"/>
              </w:rPr>
            </w:pPr>
            <w:r>
              <w:rPr>
                <w:rFonts w:hint="eastAsia" w:ascii="楷体" w:hAnsi="楷体" w:eastAsia="楷体" w:cs="楷体"/>
                <w:lang w:val="en-US"/>
              </w:rPr>
              <w:t>5</w:t>
            </w:r>
          </w:p>
        </w:tc>
        <w:tc>
          <w:tcPr>
            <w:tcW w:w="1445" w:type="dxa"/>
            <w:gridSpan w:val="2"/>
            <w:vMerge w:val="continue"/>
            <w:vAlign w:val="center"/>
          </w:tcPr>
          <w:p>
            <w:pPr>
              <w:widowControl/>
              <w:ind w:firstLine="240"/>
              <w:rPr>
                <w:rFonts w:ascii="楷体" w:hAnsi="楷体" w:eastAsia="楷体" w:cs="楷体"/>
              </w:rPr>
            </w:pPr>
          </w:p>
        </w:tc>
        <w:tc>
          <w:tcPr>
            <w:tcW w:w="4546" w:type="dxa"/>
            <w:vAlign w:val="center"/>
          </w:tcPr>
          <w:p>
            <w:pPr>
              <w:ind w:firstLine="240"/>
              <w:rPr>
                <w:rFonts w:ascii="楷体" w:hAnsi="楷体" w:eastAsia="楷体" w:cs="楷体"/>
              </w:rPr>
            </w:pPr>
            <w:r>
              <w:rPr>
                <w:rFonts w:hint="eastAsia" w:ascii="楷体" w:hAnsi="楷体" w:eastAsia="楷体" w:cs="楷体"/>
              </w:rPr>
              <w:t>项目团队人员：</w:t>
            </w:r>
          </w:p>
          <w:p>
            <w:pPr>
              <w:ind w:firstLine="220" w:firstLineChars="100"/>
              <w:rPr>
                <w:rFonts w:ascii="楷体" w:hAnsi="楷体" w:eastAsia="楷体" w:cs="楷体"/>
              </w:rPr>
            </w:pPr>
            <w:r>
              <w:rPr>
                <w:rFonts w:hint="eastAsia" w:ascii="楷体" w:hAnsi="楷体" w:eastAsia="楷体" w:cs="楷体"/>
                <w:lang w:val="en-US"/>
              </w:rPr>
              <w:t>项目组技术人员配备具有国家重要信息系统保护人员证书（CIIP-T）、国家网络安全应用检测专业测评人员证书（NSATP—A）、注册渗透测试工程师证书（CISP-PTE）、云计算安全证书（CIIP—A）。有一个得1分，满分4分。</w:t>
            </w:r>
          </w:p>
        </w:tc>
        <w:tc>
          <w:tcPr>
            <w:tcW w:w="769" w:type="dxa"/>
            <w:vAlign w:val="center"/>
          </w:tcPr>
          <w:p>
            <w:pPr>
              <w:ind w:left="-257" w:leftChars="-117" w:firstLine="99" w:firstLineChars="45"/>
              <w:jc w:val="center"/>
              <w:rPr>
                <w:rFonts w:ascii="楷体" w:hAnsi="楷体" w:eastAsia="楷体" w:cs="楷体"/>
              </w:rPr>
            </w:pPr>
            <w:r>
              <w:rPr>
                <w:rFonts w:hint="eastAsia" w:ascii="楷体" w:hAnsi="楷体" w:eastAsia="楷体" w:cs="楷体"/>
                <w:lang w:val="en-US"/>
              </w:rPr>
              <w:t>4</w:t>
            </w:r>
          </w:p>
        </w:tc>
        <w:tc>
          <w:tcPr>
            <w:tcW w:w="2596" w:type="dxa"/>
            <w:gridSpan w:val="2"/>
            <w:vAlign w:val="center"/>
          </w:tcPr>
          <w:p>
            <w:pPr>
              <w:widowControl/>
              <w:ind w:firstLine="240"/>
              <w:rPr>
                <w:rFonts w:ascii="楷体" w:hAnsi="楷体" w:eastAsia="楷体" w:cs="楷体"/>
              </w:rPr>
            </w:pPr>
            <w:r>
              <w:rPr>
                <w:rFonts w:hint="eastAsia" w:ascii="楷体" w:hAnsi="楷体" w:eastAsia="楷体" w:cs="楷体"/>
              </w:rPr>
              <w:t>须提供项目团队成员个人简历表、相应的认证资格证书、近三个月</w:t>
            </w:r>
            <w:r>
              <w:rPr>
                <w:rFonts w:hint="eastAsia" w:ascii="楷体" w:hAnsi="楷体" w:eastAsia="楷体" w:cs="楷体"/>
                <w:lang w:val="en-US"/>
              </w:rPr>
              <w:t>内任意1个月</w:t>
            </w:r>
            <w:r>
              <w:rPr>
                <w:rFonts w:hint="eastAsia" w:ascii="楷体" w:hAnsi="楷体" w:eastAsia="楷体" w:cs="楷体"/>
              </w:rPr>
              <w:t>社保缴纳证明等的复印件加盖公章；未提供证明文件，不得分。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jc w:val="center"/>
        </w:trPr>
        <w:tc>
          <w:tcPr>
            <w:tcW w:w="789" w:type="dxa"/>
            <w:vAlign w:val="center"/>
          </w:tcPr>
          <w:p>
            <w:pPr>
              <w:widowControl/>
              <w:ind w:firstLine="240"/>
              <w:rPr>
                <w:rFonts w:ascii="楷体" w:hAnsi="楷体" w:eastAsia="楷体" w:cs="楷体"/>
                <w:lang w:val="en-US"/>
              </w:rPr>
            </w:pPr>
            <w:r>
              <w:rPr>
                <w:rFonts w:hint="eastAsia" w:ascii="楷体" w:hAnsi="楷体" w:eastAsia="楷体" w:cs="楷体"/>
                <w:lang w:val="en-US"/>
              </w:rPr>
              <w:t>6</w:t>
            </w:r>
          </w:p>
        </w:tc>
        <w:tc>
          <w:tcPr>
            <w:tcW w:w="1445" w:type="dxa"/>
            <w:gridSpan w:val="2"/>
            <w:vMerge w:val="continue"/>
            <w:vAlign w:val="center"/>
          </w:tcPr>
          <w:p>
            <w:pPr>
              <w:widowControl/>
              <w:ind w:firstLine="240"/>
              <w:rPr>
                <w:rFonts w:ascii="楷体" w:hAnsi="楷体" w:eastAsia="楷体" w:cs="楷体"/>
              </w:rPr>
            </w:pPr>
          </w:p>
        </w:tc>
        <w:tc>
          <w:tcPr>
            <w:tcW w:w="4546" w:type="dxa"/>
            <w:vAlign w:val="center"/>
          </w:tcPr>
          <w:p>
            <w:pPr>
              <w:ind w:firstLine="240"/>
              <w:rPr>
                <w:rFonts w:ascii="楷体" w:hAnsi="楷体" w:eastAsia="楷体" w:cs="楷体"/>
              </w:rPr>
            </w:pPr>
            <w:r>
              <w:rPr>
                <w:rFonts w:hint="eastAsia" w:ascii="楷体" w:hAnsi="楷体" w:eastAsia="楷体" w:cs="楷体"/>
              </w:rPr>
              <w:t>驻场人员配备：测评师≥3人</w:t>
            </w:r>
            <w:r>
              <w:rPr>
                <w:rFonts w:hint="eastAsia" w:ascii="楷体" w:hAnsi="楷体" w:eastAsia="楷体" w:cs="楷体"/>
                <w:lang w:val="en-US"/>
              </w:rPr>
              <w:t>信息安全等级测评师得3</w:t>
            </w:r>
            <w:r>
              <w:rPr>
                <w:rFonts w:hint="eastAsia" w:ascii="楷体" w:hAnsi="楷体" w:eastAsia="楷体" w:cs="楷体"/>
              </w:rPr>
              <w:t>分，承诺根据需要随时增加安全性评估人员得</w:t>
            </w:r>
            <w:r>
              <w:rPr>
                <w:rFonts w:hint="eastAsia" w:ascii="楷体" w:hAnsi="楷体" w:eastAsia="楷体" w:cs="楷体"/>
                <w:lang w:val="en-US"/>
              </w:rPr>
              <w:t>2</w:t>
            </w:r>
            <w:r>
              <w:rPr>
                <w:rFonts w:hint="eastAsia" w:ascii="楷体" w:hAnsi="楷体" w:eastAsia="楷体" w:cs="楷体"/>
              </w:rPr>
              <w:t>分。没有或不足3人的不得分。</w:t>
            </w:r>
          </w:p>
        </w:tc>
        <w:tc>
          <w:tcPr>
            <w:tcW w:w="769" w:type="dxa"/>
            <w:vAlign w:val="center"/>
          </w:tcPr>
          <w:p>
            <w:pPr>
              <w:ind w:left="-257" w:leftChars="-117" w:firstLine="99" w:firstLineChars="45"/>
              <w:jc w:val="center"/>
              <w:rPr>
                <w:rFonts w:ascii="楷体" w:hAnsi="楷体" w:eastAsia="楷体" w:cs="楷体"/>
                <w:lang w:val="en-US"/>
              </w:rPr>
            </w:pPr>
            <w:r>
              <w:rPr>
                <w:rFonts w:hint="eastAsia" w:ascii="楷体" w:hAnsi="楷体" w:eastAsia="楷体" w:cs="楷体"/>
                <w:lang w:val="en-US"/>
              </w:rPr>
              <w:t>5</w:t>
            </w:r>
          </w:p>
        </w:tc>
        <w:tc>
          <w:tcPr>
            <w:tcW w:w="2596" w:type="dxa"/>
            <w:gridSpan w:val="2"/>
            <w:vAlign w:val="center"/>
          </w:tcPr>
          <w:p>
            <w:pPr>
              <w:pStyle w:val="4"/>
              <w:rPr>
                <w:rFonts w:ascii="楷体" w:hAnsi="楷体" w:eastAsia="楷体" w:cs="楷体"/>
              </w:rPr>
            </w:pPr>
            <w:r>
              <w:rPr>
                <w:rFonts w:hint="eastAsia" w:ascii="楷体" w:hAnsi="楷体" w:eastAsia="楷体" w:cs="楷体"/>
              </w:rPr>
              <w:t>提供相人员名单加盖公章。未提供证明文件，不得分。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789" w:type="dxa"/>
            <w:vAlign w:val="center"/>
          </w:tcPr>
          <w:p>
            <w:pPr>
              <w:widowControl/>
              <w:ind w:firstLine="240"/>
              <w:rPr>
                <w:rFonts w:ascii="楷体" w:hAnsi="楷体" w:eastAsia="楷体" w:cs="楷体"/>
                <w:lang w:val="en-US"/>
              </w:rPr>
            </w:pPr>
            <w:r>
              <w:rPr>
                <w:rFonts w:hint="eastAsia" w:ascii="楷体" w:hAnsi="楷体" w:eastAsia="楷体" w:cs="楷体"/>
                <w:lang w:val="en-US"/>
              </w:rPr>
              <w:t>7</w:t>
            </w:r>
          </w:p>
        </w:tc>
        <w:tc>
          <w:tcPr>
            <w:tcW w:w="1445" w:type="dxa"/>
            <w:gridSpan w:val="2"/>
            <w:vAlign w:val="center"/>
          </w:tcPr>
          <w:p>
            <w:pPr>
              <w:widowControl/>
              <w:ind w:firstLine="240"/>
              <w:rPr>
                <w:rFonts w:ascii="楷体" w:hAnsi="楷体" w:eastAsia="楷体" w:cs="楷体"/>
                <w:lang w:val="en-US"/>
              </w:rPr>
            </w:pPr>
            <w:r>
              <w:rPr>
                <w:rFonts w:hint="eastAsia" w:ascii="楷体" w:hAnsi="楷体" w:eastAsia="楷体" w:cs="楷体"/>
                <w:lang w:val="en-US"/>
              </w:rPr>
              <w:t>企业实力</w:t>
            </w:r>
          </w:p>
        </w:tc>
        <w:tc>
          <w:tcPr>
            <w:tcW w:w="4546" w:type="dxa"/>
            <w:vAlign w:val="center"/>
          </w:tcPr>
          <w:p>
            <w:pPr>
              <w:ind w:firstLine="240"/>
              <w:rPr>
                <w:rFonts w:ascii="楷体" w:hAnsi="楷体" w:eastAsia="楷体" w:cs="楷体"/>
                <w:lang w:val="en-US"/>
              </w:rPr>
            </w:pPr>
            <w:r>
              <w:rPr>
                <w:rFonts w:hint="eastAsia" w:ascii="楷体" w:hAnsi="楷体" w:eastAsia="楷体" w:cs="楷体"/>
                <w:lang w:val="en-US"/>
              </w:rPr>
              <w:t>1、投标人具备网络安全等级测评与检测评估机构服务认证证书，得2分。</w:t>
            </w:r>
          </w:p>
          <w:p>
            <w:pPr>
              <w:ind w:firstLine="220" w:firstLineChars="100"/>
              <w:rPr>
                <w:rFonts w:ascii="楷体" w:hAnsi="楷体" w:eastAsia="楷体" w:cs="楷体"/>
                <w:lang w:val="en-US"/>
              </w:rPr>
            </w:pPr>
            <w:r>
              <w:rPr>
                <w:rFonts w:hint="eastAsia" w:ascii="楷体" w:hAnsi="楷体" w:eastAsia="楷体" w:cs="楷体"/>
                <w:lang w:val="en-US"/>
              </w:rPr>
              <w:t>2、投标人具有CNAS等级保护测评能力认证资质证书，得1分。取得证书满2年加0.5分，取得证书满3年及以上加1分。本项最多得2分。</w:t>
            </w:r>
          </w:p>
          <w:p>
            <w:pPr>
              <w:ind w:firstLine="220" w:firstLineChars="100"/>
              <w:rPr>
                <w:rFonts w:ascii="楷体" w:hAnsi="楷体" w:eastAsia="楷体" w:cs="楷体"/>
              </w:rPr>
            </w:pPr>
            <w:r>
              <w:rPr>
                <w:rFonts w:hint="eastAsia" w:ascii="楷体" w:hAnsi="楷体" w:eastAsia="楷体" w:cs="楷体"/>
                <w:lang w:val="en-US"/>
              </w:rPr>
              <w:t>3、具有中国网络安全审查技术与认证中心颁布的信息安全风险评估二级（含）以上资质，得2分。</w:t>
            </w:r>
          </w:p>
        </w:tc>
        <w:tc>
          <w:tcPr>
            <w:tcW w:w="769" w:type="dxa"/>
            <w:vAlign w:val="center"/>
          </w:tcPr>
          <w:p>
            <w:pPr>
              <w:ind w:left="-257" w:leftChars="-117" w:firstLine="99" w:firstLineChars="45"/>
              <w:jc w:val="center"/>
              <w:rPr>
                <w:rFonts w:ascii="楷体" w:hAnsi="楷体" w:eastAsia="楷体" w:cs="楷体"/>
                <w:lang w:val="en-US"/>
              </w:rPr>
            </w:pPr>
            <w:r>
              <w:rPr>
                <w:rFonts w:hint="eastAsia" w:ascii="楷体" w:hAnsi="楷体" w:eastAsia="楷体" w:cs="楷体"/>
                <w:lang w:val="en-US"/>
              </w:rPr>
              <w:t>6</w:t>
            </w:r>
          </w:p>
        </w:tc>
        <w:tc>
          <w:tcPr>
            <w:tcW w:w="2596" w:type="dxa"/>
            <w:gridSpan w:val="2"/>
            <w:vAlign w:val="center"/>
          </w:tcPr>
          <w:p>
            <w:pPr>
              <w:widowControl/>
              <w:ind w:firstLine="240"/>
              <w:rPr>
                <w:rFonts w:ascii="楷体" w:hAnsi="楷体" w:eastAsia="楷体" w:cs="楷体"/>
              </w:rPr>
            </w:pPr>
            <w:r>
              <w:rPr>
                <w:rFonts w:hint="eastAsia" w:ascii="楷体" w:hAnsi="楷体" w:eastAsia="楷体" w:cs="楷体"/>
              </w:rPr>
              <w:t>须提供相应证明材料并加盖投标人公章，否则不得分。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0145" w:type="dxa"/>
            <w:gridSpan w:val="7"/>
            <w:vAlign w:val="center"/>
          </w:tcPr>
          <w:p>
            <w:pPr>
              <w:widowControl/>
              <w:ind w:firstLine="241"/>
              <w:rPr>
                <w:rFonts w:ascii="楷体" w:hAnsi="楷体" w:eastAsia="楷体" w:cs="楷体"/>
                <w:b/>
              </w:rPr>
            </w:pPr>
            <w:r>
              <w:rPr>
                <w:rFonts w:hint="eastAsia" w:ascii="楷体" w:hAnsi="楷体" w:eastAsia="楷体" w:cs="楷体"/>
                <w:b/>
              </w:rPr>
              <w:t>三、技术方案部分（</w:t>
            </w:r>
            <w:r>
              <w:rPr>
                <w:rFonts w:hint="eastAsia" w:ascii="楷体" w:hAnsi="楷体" w:eastAsia="楷体" w:cs="楷体"/>
                <w:b/>
                <w:lang w:val="en-US"/>
              </w:rPr>
              <w:t>58</w:t>
            </w:r>
            <w:r>
              <w:rPr>
                <w:rFonts w:hint="eastAsia" w:ascii="楷体" w:hAnsi="楷体" w:eastAsia="楷体" w:cs="楷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613" w:hRule="atLeast"/>
          <w:jc w:val="center"/>
        </w:trPr>
        <w:tc>
          <w:tcPr>
            <w:tcW w:w="789" w:type="dxa"/>
            <w:vAlign w:val="center"/>
          </w:tcPr>
          <w:p>
            <w:pPr>
              <w:widowControl/>
              <w:ind w:firstLine="240"/>
              <w:rPr>
                <w:rFonts w:ascii="楷体" w:hAnsi="楷体" w:eastAsia="楷体" w:cs="楷体"/>
              </w:rPr>
            </w:pPr>
            <w:r>
              <w:rPr>
                <w:rFonts w:hint="eastAsia" w:ascii="楷体" w:hAnsi="楷体" w:eastAsia="楷体" w:cs="楷体"/>
              </w:rPr>
              <w:t>1</w:t>
            </w:r>
          </w:p>
        </w:tc>
        <w:tc>
          <w:tcPr>
            <w:tcW w:w="1297" w:type="dxa"/>
            <w:vAlign w:val="center"/>
          </w:tcPr>
          <w:p>
            <w:pPr>
              <w:widowControl/>
              <w:jc w:val="center"/>
              <w:rPr>
                <w:rFonts w:ascii="楷体" w:hAnsi="楷体" w:eastAsia="楷体" w:cs="楷体"/>
              </w:rPr>
            </w:pPr>
            <w:r>
              <w:rPr>
                <w:rFonts w:hint="eastAsia" w:ascii="楷体" w:hAnsi="楷体" w:eastAsia="楷体" w:cs="楷体"/>
              </w:rPr>
              <w:t>项目需求理解及难点分 析</w:t>
            </w:r>
          </w:p>
        </w:tc>
        <w:tc>
          <w:tcPr>
            <w:tcW w:w="4694" w:type="dxa"/>
            <w:gridSpan w:val="2"/>
            <w:vAlign w:val="center"/>
          </w:tcPr>
          <w:p>
            <w:pPr>
              <w:widowControl/>
              <w:ind w:firstLine="240"/>
              <w:rPr>
                <w:rFonts w:ascii="楷体" w:hAnsi="楷体" w:eastAsia="楷体" w:cs="楷体"/>
              </w:rPr>
            </w:pPr>
            <w:r>
              <w:rPr>
                <w:rFonts w:hint="eastAsia" w:ascii="楷体" w:hAnsi="楷体" w:eastAsia="楷体" w:cs="楷体"/>
              </w:rPr>
              <w:t>项目需求理解及难点分析</w:t>
            </w:r>
            <w:r>
              <w:rPr>
                <w:rFonts w:hint="eastAsia" w:ascii="楷体" w:hAnsi="楷体" w:eastAsia="楷体" w:cs="楷体"/>
                <w:lang w:val="en-US"/>
              </w:rPr>
              <w:t>是否描述清晰、完整合理、符合采购人要求，从</w:t>
            </w:r>
            <w:r>
              <w:rPr>
                <w:rFonts w:hint="eastAsia" w:ascii="楷体" w:hAnsi="楷体" w:eastAsia="楷体" w:cs="楷体"/>
              </w:rPr>
              <w:t>物理安全、网络安全、主机安全、应用安全、数据安全、安全管理制度、安全管理机构、人员安全管理、系统建设管理、系统运维管理</w:t>
            </w:r>
            <w:r>
              <w:rPr>
                <w:rFonts w:hint="eastAsia" w:ascii="楷体" w:hAnsi="楷体" w:eastAsia="楷体" w:cs="楷体"/>
                <w:lang w:val="en-US"/>
              </w:rPr>
              <w:t>10项内容进行评价，每项0-1分，最高得10分。</w:t>
            </w:r>
          </w:p>
        </w:tc>
        <w:tc>
          <w:tcPr>
            <w:tcW w:w="769" w:type="dxa"/>
            <w:vAlign w:val="center"/>
          </w:tcPr>
          <w:p>
            <w:pPr>
              <w:widowControl/>
              <w:jc w:val="center"/>
              <w:rPr>
                <w:rFonts w:ascii="楷体" w:hAnsi="楷体" w:eastAsia="楷体" w:cs="楷体"/>
                <w:lang w:val="en-US"/>
              </w:rPr>
            </w:pPr>
            <w:r>
              <w:rPr>
                <w:rFonts w:hint="eastAsia" w:ascii="楷体" w:hAnsi="楷体" w:eastAsia="楷体" w:cs="楷体"/>
                <w:lang w:val="en-US"/>
              </w:rPr>
              <w:t>10</w:t>
            </w:r>
          </w:p>
        </w:tc>
        <w:tc>
          <w:tcPr>
            <w:tcW w:w="2581" w:type="dxa"/>
            <w:vAlign w:val="center"/>
          </w:tcPr>
          <w:p>
            <w:pPr>
              <w:widowControl/>
              <w:ind w:firstLine="240"/>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838" w:hRule="atLeast"/>
          <w:jc w:val="center"/>
        </w:trPr>
        <w:tc>
          <w:tcPr>
            <w:tcW w:w="789" w:type="dxa"/>
            <w:vAlign w:val="center"/>
          </w:tcPr>
          <w:p>
            <w:pPr>
              <w:widowControl/>
              <w:ind w:firstLine="240"/>
              <w:rPr>
                <w:rFonts w:ascii="楷体" w:hAnsi="楷体" w:eastAsia="楷体" w:cs="楷体"/>
              </w:rPr>
            </w:pPr>
            <w:r>
              <w:rPr>
                <w:rFonts w:hint="eastAsia" w:ascii="楷体" w:hAnsi="楷体" w:eastAsia="楷体" w:cs="楷体"/>
              </w:rPr>
              <w:t>2</w:t>
            </w:r>
          </w:p>
        </w:tc>
        <w:tc>
          <w:tcPr>
            <w:tcW w:w="1297" w:type="dxa"/>
            <w:vAlign w:val="center"/>
          </w:tcPr>
          <w:p>
            <w:pPr>
              <w:widowControl/>
              <w:jc w:val="center"/>
              <w:rPr>
                <w:rFonts w:ascii="楷体" w:hAnsi="楷体" w:eastAsia="楷体" w:cs="楷体"/>
                <w:lang w:val="en-US"/>
              </w:rPr>
            </w:pPr>
            <w:r>
              <w:rPr>
                <w:rFonts w:hint="eastAsia" w:ascii="楷体" w:hAnsi="楷体" w:eastAsia="楷体" w:cs="楷体"/>
                <w:lang w:val="en-US"/>
              </w:rPr>
              <w:t>等级保护</w:t>
            </w:r>
          </w:p>
          <w:p>
            <w:pPr>
              <w:widowControl/>
              <w:jc w:val="center"/>
              <w:rPr>
                <w:rFonts w:ascii="楷体" w:hAnsi="楷体" w:eastAsia="楷体" w:cs="楷体"/>
              </w:rPr>
            </w:pPr>
            <w:r>
              <w:rPr>
                <w:rFonts w:hint="eastAsia" w:ascii="楷体" w:hAnsi="楷体" w:eastAsia="楷体" w:cs="楷体"/>
                <w:lang w:val="en-US"/>
              </w:rPr>
              <w:t>测评方案</w:t>
            </w:r>
          </w:p>
        </w:tc>
        <w:tc>
          <w:tcPr>
            <w:tcW w:w="4694" w:type="dxa"/>
            <w:gridSpan w:val="2"/>
            <w:vAlign w:val="center"/>
          </w:tcPr>
          <w:p>
            <w:pPr>
              <w:widowControl/>
              <w:ind w:firstLine="440" w:firstLineChars="200"/>
              <w:rPr>
                <w:rFonts w:ascii="楷体" w:hAnsi="楷体" w:eastAsia="楷体" w:cs="楷体"/>
                <w:lang w:val="en-US"/>
              </w:rPr>
            </w:pPr>
            <w:r>
              <w:rPr>
                <w:rFonts w:hint="eastAsia" w:ascii="楷体" w:hAnsi="楷体" w:eastAsia="楷体" w:cs="楷体"/>
                <w:lang w:val="en-US"/>
              </w:rPr>
              <w:t>等级保护测评方案是否描述清晰、完整合理、符合采购人要求，从现场测评、渗透测试、配置审计、现场扫描、测评范围、工具测试、人员检查、网络构架分析、问卷调查、用户访谈10项内容进行评价，每项0-1分，最高得10分。</w:t>
            </w:r>
          </w:p>
        </w:tc>
        <w:tc>
          <w:tcPr>
            <w:tcW w:w="769" w:type="dxa"/>
            <w:vAlign w:val="center"/>
          </w:tcPr>
          <w:p>
            <w:pPr>
              <w:jc w:val="center"/>
              <w:rPr>
                <w:rFonts w:ascii="楷体" w:hAnsi="楷体" w:eastAsia="楷体" w:cs="楷体"/>
                <w:lang w:val="en-US"/>
              </w:rPr>
            </w:pPr>
            <w:r>
              <w:rPr>
                <w:rFonts w:hint="eastAsia" w:ascii="楷体" w:hAnsi="楷体" w:eastAsia="楷体" w:cs="楷体"/>
                <w:lang w:val="en-US"/>
              </w:rPr>
              <w:t>10</w:t>
            </w:r>
          </w:p>
        </w:tc>
        <w:tc>
          <w:tcPr>
            <w:tcW w:w="2581" w:type="dxa"/>
          </w:tcPr>
          <w:p>
            <w:pPr>
              <w:widowControl/>
              <w:ind w:firstLine="240"/>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726" w:hRule="atLeast"/>
          <w:jc w:val="center"/>
        </w:trPr>
        <w:tc>
          <w:tcPr>
            <w:tcW w:w="789" w:type="dxa"/>
            <w:vAlign w:val="center"/>
          </w:tcPr>
          <w:p>
            <w:pPr>
              <w:widowControl/>
              <w:ind w:firstLine="240"/>
              <w:jc w:val="center"/>
              <w:rPr>
                <w:rFonts w:ascii="楷体" w:hAnsi="楷体" w:eastAsia="楷体" w:cs="楷体"/>
              </w:rPr>
            </w:pPr>
            <w:r>
              <w:rPr>
                <w:rFonts w:hint="eastAsia" w:ascii="楷体" w:hAnsi="楷体" w:eastAsia="楷体" w:cs="楷体"/>
              </w:rPr>
              <w:t>3</w:t>
            </w:r>
          </w:p>
        </w:tc>
        <w:tc>
          <w:tcPr>
            <w:tcW w:w="1297" w:type="dxa"/>
            <w:vAlign w:val="center"/>
          </w:tcPr>
          <w:p>
            <w:pPr>
              <w:widowControl/>
              <w:jc w:val="center"/>
              <w:rPr>
                <w:rFonts w:ascii="楷体" w:hAnsi="楷体" w:eastAsia="楷体" w:cs="楷体"/>
                <w:lang w:val="en-US"/>
              </w:rPr>
            </w:pPr>
            <w:r>
              <w:rPr>
                <w:rFonts w:hint="eastAsia" w:ascii="楷体" w:hAnsi="楷体" w:eastAsia="楷体" w:cs="楷体"/>
                <w:lang w:val="en-US"/>
              </w:rPr>
              <w:t>风险评估方案</w:t>
            </w:r>
          </w:p>
          <w:p>
            <w:pPr>
              <w:widowControl/>
              <w:ind w:firstLine="240"/>
              <w:jc w:val="center"/>
              <w:rPr>
                <w:rFonts w:ascii="楷体" w:hAnsi="楷体" w:eastAsia="楷体" w:cs="楷体"/>
              </w:rPr>
            </w:pPr>
          </w:p>
        </w:tc>
        <w:tc>
          <w:tcPr>
            <w:tcW w:w="4694" w:type="dxa"/>
            <w:gridSpan w:val="2"/>
            <w:vAlign w:val="center"/>
          </w:tcPr>
          <w:p>
            <w:pPr>
              <w:widowControl/>
              <w:ind w:firstLine="440" w:firstLineChars="200"/>
              <w:rPr>
                <w:rFonts w:ascii="楷体" w:hAnsi="楷体" w:eastAsia="楷体" w:cs="楷体"/>
                <w:lang w:val="en-US"/>
              </w:rPr>
            </w:pPr>
            <w:r>
              <w:rPr>
                <w:rFonts w:hint="eastAsia" w:ascii="楷体" w:hAnsi="楷体" w:eastAsia="楷体" w:cs="楷体"/>
                <w:lang w:val="en-US"/>
              </w:rPr>
              <w:t>风险评估方案是否描述清晰、完整合理、符合采购人要求。</w:t>
            </w:r>
          </w:p>
          <w:p>
            <w:pPr>
              <w:widowControl/>
              <w:ind w:firstLine="440" w:firstLineChars="200"/>
              <w:rPr>
                <w:rFonts w:ascii="楷体" w:hAnsi="楷体" w:eastAsia="楷体" w:cs="楷体"/>
                <w:lang w:val="en-US"/>
              </w:rPr>
            </w:pPr>
            <w:r>
              <w:rPr>
                <w:rFonts w:hint="eastAsia" w:ascii="楷体" w:hAnsi="楷体" w:eastAsia="楷体" w:cs="楷体"/>
                <w:lang w:val="en-US"/>
              </w:rPr>
              <w:t>1、系统网络架构评估从检查网络架构、网络安全防护、网络架构优化建议3项内容进行评价，每项0-1分，最高得3分。</w:t>
            </w:r>
          </w:p>
          <w:p>
            <w:pPr>
              <w:widowControl/>
              <w:ind w:firstLine="440" w:firstLineChars="200"/>
              <w:rPr>
                <w:rFonts w:ascii="楷体" w:hAnsi="楷体" w:eastAsia="楷体" w:cs="楷体"/>
                <w:lang w:val="en-US"/>
              </w:rPr>
            </w:pPr>
            <w:r>
              <w:rPr>
                <w:rFonts w:hint="eastAsia" w:ascii="楷体" w:hAnsi="楷体" w:eastAsia="楷体" w:cs="楷体"/>
                <w:lang w:val="en-US"/>
              </w:rPr>
              <w:t>2、应用系统安全评估从应用系统漏洞扫描、人员访谈、应用系统现状分析、应用系统分解、确定应用系统威胁5项内容进行评价，每项0-1分，最高得5分。</w:t>
            </w:r>
          </w:p>
          <w:p>
            <w:pPr>
              <w:widowControl/>
              <w:ind w:firstLine="440" w:firstLineChars="200"/>
              <w:rPr>
                <w:rFonts w:ascii="楷体" w:hAnsi="楷体" w:eastAsia="楷体" w:cs="楷体"/>
              </w:rPr>
            </w:pPr>
            <w:r>
              <w:rPr>
                <w:rFonts w:hint="eastAsia" w:ascii="楷体" w:hAnsi="楷体" w:eastAsia="楷体" w:cs="楷体"/>
                <w:lang w:val="en-US"/>
              </w:rPr>
              <w:t>3、渗透测试从人工对漏洞进行分析、模拟入侵测试2项内容进行评价，每项0-1分，最高得2分。</w:t>
            </w:r>
          </w:p>
        </w:tc>
        <w:tc>
          <w:tcPr>
            <w:tcW w:w="769" w:type="dxa"/>
            <w:vAlign w:val="center"/>
          </w:tcPr>
          <w:p>
            <w:pPr>
              <w:ind w:firstLine="110" w:firstLineChars="50"/>
              <w:rPr>
                <w:rFonts w:ascii="楷体" w:hAnsi="楷体" w:eastAsia="楷体" w:cs="楷体"/>
                <w:lang w:val="en-US"/>
              </w:rPr>
            </w:pPr>
            <w:r>
              <w:rPr>
                <w:rFonts w:hint="eastAsia" w:ascii="楷体" w:hAnsi="楷体" w:eastAsia="楷体" w:cs="楷体"/>
                <w:lang w:val="en-US"/>
              </w:rPr>
              <w:t>10</w:t>
            </w:r>
          </w:p>
        </w:tc>
        <w:tc>
          <w:tcPr>
            <w:tcW w:w="2581" w:type="dxa"/>
          </w:tcPr>
          <w:p>
            <w:pPr>
              <w:ind w:firstLine="240"/>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029" w:hRule="atLeast"/>
          <w:jc w:val="center"/>
        </w:trPr>
        <w:tc>
          <w:tcPr>
            <w:tcW w:w="789" w:type="dxa"/>
            <w:vAlign w:val="center"/>
          </w:tcPr>
          <w:p>
            <w:pPr>
              <w:widowControl/>
              <w:ind w:firstLine="240"/>
              <w:jc w:val="center"/>
              <w:rPr>
                <w:rFonts w:ascii="楷体" w:hAnsi="楷体" w:eastAsia="楷体" w:cs="楷体"/>
              </w:rPr>
            </w:pPr>
            <w:r>
              <w:rPr>
                <w:rFonts w:hint="eastAsia" w:ascii="楷体" w:hAnsi="楷体" w:eastAsia="楷体" w:cs="楷体"/>
              </w:rPr>
              <w:t>4</w:t>
            </w:r>
          </w:p>
        </w:tc>
        <w:tc>
          <w:tcPr>
            <w:tcW w:w="1297" w:type="dxa"/>
            <w:vAlign w:val="center"/>
          </w:tcPr>
          <w:p>
            <w:pPr>
              <w:widowControl/>
              <w:rPr>
                <w:rFonts w:ascii="楷体" w:hAnsi="楷体" w:eastAsia="楷体" w:cs="楷体"/>
                <w:lang w:val="en-US"/>
              </w:rPr>
            </w:pPr>
            <w:r>
              <w:rPr>
                <w:rFonts w:hint="eastAsia" w:ascii="楷体" w:hAnsi="楷体" w:eastAsia="楷体" w:cs="楷体"/>
                <w:lang w:val="en-US"/>
              </w:rPr>
              <w:t>安全整改</w:t>
            </w:r>
          </w:p>
          <w:p>
            <w:pPr>
              <w:widowControl/>
              <w:rPr>
                <w:rFonts w:ascii="楷体" w:hAnsi="楷体" w:eastAsia="楷体" w:cs="楷体"/>
                <w:lang w:val="en-US"/>
              </w:rPr>
            </w:pPr>
            <w:r>
              <w:rPr>
                <w:rFonts w:hint="eastAsia" w:ascii="楷体" w:hAnsi="楷体" w:eastAsia="楷体" w:cs="楷体"/>
                <w:lang w:val="en-US"/>
              </w:rPr>
              <w:t>方案设计</w:t>
            </w:r>
          </w:p>
        </w:tc>
        <w:tc>
          <w:tcPr>
            <w:tcW w:w="4694" w:type="dxa"/>
            <w:gridSpan w:val="2"/>
            <w:vAlign w:val="center"/>
          </w:tcPr>
          <w:p>
            <w:pPr>
              <w:widowControl/>
              <w:ind w:firstLine="440" w:firstLineChars="200"/>
              <w:rPr>
                <w:rFonts w:ascii="楷体" w:hAnsi="楷体" w:eastAsia="楷体" w:cs="楷体"/>
              </w:rPr>
            </w:pPr>
            <w:r>
              <w:rPr>
                <w:rFonts w:hint="eastAsia" w:ascii="楷体" w:hAnsi="楷体" w:eastAsia="楷体" w:cs="楷体"/>
                <w:lang w:val="en-US"/>
              </w:rPr>
              <w:t>安全整改方案设计是否描述清晰、完整合理、符合采购人要求，从安全管理设计、安全技术设计2项内容进行评价，每项0-3分，最高得6分。</w:t>
            </w:r>
          </w:p>
        </w:tc>
        <w:tc>
          <w:tcPr>
            <w:tcW w:w="769" w:type="dxa"/>
            <w:vAlign w:val="center"/>
          </w:tcPr>
          <w:p>
            <w:pPr>
              <w:ind w:firstLine="240"/>
              <w:rPr>
                <w:rFonts w:ascii="楷体" w:hAnsi="楷体" w:eastAsia="楷体" w:cs="楷体"/>
                <w:lang w:val="en-US"/>
              </w:rPr>
            </w:pPr>
            <w:r>
              <w:rPr>
                <w:rFonts w:hint="eastAsia" w:ascii="楷体" w:hAnsi="楷体" w:eastAsia="楷体" w:cs="楷体"/>
                <w:lang w:val="en-US"/>
              </w:rPr>
              <w:t>6</w:t>
            </w:r>
          </w:p>
        </w:tc>
        <w:tc>
          <w:tcPr>
            <w:tcW w:w="2581" w:type="dxa"/>
          </w:tcPr>
          <w:p>
            <w:pPr>
              <w:ind w:firstLine="240"/>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440" w:hRule="atLeast"/>
          <w:jc w:val="center"/>
        </w:trPr>
        <w:tc>
          <w:tcPr>
            <w:tcW w:w="789" w:type="dxa"/>
            <w:vAlign w:val="center"/>
          </w:tcPr>
          <w:p>
            <w:pPr>
              <w:widowControl/>
              <w:ind w:firstLine="240"/>
              <w:jc w:val="center"/>
              <w:rPr>
                <w:rFonts w:ascii="楷体" w:hAnsi="楷体" w:eastAsia="楷体" w:cs="楷体"/>
              </w:rPr>
            </w:pPr>
            <w:r>
              <w:rPr>
                <w:rFonts w:hint="eastAsia" w:ascii="楷体" w:hAnsi="楷体" w:eastAsia="楷体" w:cs="楷体"/>
                <w:lang w:val="en-US"/>
              </w:rPr>
              <w:t>5</w:t>
            </w:r>
          </w:p>
        </w:tc>
        <w:tc>
          <w:tcPr>
            <w:tcW w:w="1297" w:type="dxa"/>
            <w:vAlign w:val="center"/>
          </w:tcPr>
          <w:p>
            <w:pPr>
              <w:widowControl/>
              <w:rPr>
                <w:rFonts w:ascii="楷体" w:hAnsi="楷体" w:eastAsia="楷体" w:cs="楷体"/>
                <w:lang w:val="en-US"/>
              </w:rPr>
            </w:pPr>
            <w:r>
              <w:rPr>
                <w:rFonts w:hint="eastAsia" w:ascii="楷体" w:hAnsi="楷体" w:eastAsia="楷体" w:cs="楷体"/>
                <w:lang w:val="en-US"/>
              </w:rPr>
              <w:t>安全运维</w:t>
            </w:r>
          </w:p>
          <w:p>
            <w:pPr>
              <w:widowControl/>
              <w:rPr>
                <w:rFonts w:ascii="楷体" w:hAnsi="楷体" w:eastAsia="楷体" w:cs="楷体"/>
                <w:lang w:val="en-US"/>
              </w:rPr>
            </w:pPr>
            <w:r>
              <w:rPr>
                <w:rFonts w:hint="eastAsia" w:ascii="楷体" w:hAnsi="楷体" w:eastAsia="楷体" w:cs="楷体"/>
                <w:lang w:val="en-US"/>
              </w:rPr>
              <w:t>服务方案</w:t>
            </w:r>
          </w:p>
        </w:tc>
        <w:tc>
          <w:tcPr>
            <w:tcW w:w="4694" w:type="dxa"/>
            <w:gridSpan w:val="2"/>
            <w:vAlign w:val="center"/>
          </w:tcPr>
          <w:p>
            <w:pPr>
              <w:widowControl/>
              <w:ind w:firstLine="240"/>
              <w:rPr>
                <w:rFonts w:ascii="楷体" w:hAnsi="楷体" w:eastAsia="楷体" w:cs="楷体"/>
              </w:rPr>
            </w:pPr>
            <w:r>
              <w:rPr>
                <w:rFonts w:hint="eastAsia" w:ascii="楷体" w:hAnsi="楷体" w:eastAsia="楷体" w:cs="楷体"/>
                <w:lang w:val="en-US"/>
              </w:rPr>
              <w:t>安全运维服务方案设计是否描述清晰、完整合理、符合采购人要求，从安全威胁检测及溯源、威胁进行预警及通报、安全巡检服务3项内容进行评价，每项0-2分，最高得6分。</w:t>
            </w:r>
          </w:p>
        </w:tc>
        <w:tc>
          <w:tcPr>
            <w:tcW w:w="769" w:type="dxa"/>
            <w:vAlign w:val="center"/>
          </w:tcPr>
          <w:p>
            <w:pPr>
              <w:ind w:firstLine="240"/>
              <w:rPr>
                <w:rFonts w:ascii="楷体" w:hAnsi="楷体" w:eastAsia="楷体" w:cs="楷体"/>
                <w:lang w:val="en-US"/>
              </w:rPr>
            </w:pPr>
            <w:r>
              <w:rPr>
                <w:rFonts w:hint="eastAsia" w:ascii="楷体" w:hAnsi="楷体" w:eastAsia="楷体" w:cs="楷体"/>
                <w:lang w:val="en-US"/>
              </w:rPr>
              <w:t>6</w:t>
            </w:r>
          </w:p>
        </w:tc>
        <w:tc>
          <w:tcPr>
            <w:tcW w:w="2581" w:type="dxa"/>
          </w:tcPr>
          <w:p>
            <w:pPr>
              <w:ind w:firstLine="240"/>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00" w:hRule="atLeast"/>
          <w:jc w:val="center"/>
        </w:trPr>
        <w:tc>
          <w:tcPr>
            <w:tcW w:w="789" w:type="dxa"/>
            <w:vAlign w:val="center"/>
          </w:tcPr>
          <w:p>
            <w:pPr>
              <w:widowControl/>
              <w:ind w:firstLine="240"/>
              <w:jc w:val="center"/>
              <w:rPr>
                <w:rFonts w:ascii="楷体" w:hAnsi="楷体" w:eastAsia="楷体" w:cs="楷体"/>
                <w:lang w:val="en-US"/>
              </w:rPr>
            </w:pPr>
            <w:r>
              <w:rPr>
                <w:rFonts w:hint="eastAsia" w:ascii="楷体" w:hAnsi="楷体" w:eastAsia="楷体" w:cs="楷体"/>
                <w:lang w:val="en-US"/>
              </w:rPr>
              <w:t>6</w:t>
            </w:r>
          </w:p>
        </w:tc>
        <w:tc>
          <w:tcPr>
            <w:tcW w:w="1297" w:type="dxa"/>
            <w:vAlign w:val="center"/>
          </w:tcPr>
          <w:p>
            <w:pPr>
              <w:widowControl/>
              <w:jc w:val="center"/>
              <w:rPr>
                <w:rFonts w:ascii="楷体" w:hAnsi="楷体" w:eastAsia="楷体" w:cs="楷体"/>
                <w:lang w:val="en-US"/>
              </w:rPr>
            </w:pPr>
            <w:r>
              <w:rPr>
                <w:rFonts w:hint="eastAsia" w:ascii="楷体" w:hAnsi="楷体" w:eastAsia="楷体" w:cs="楷体"/>
                <w:lang w:val="en-US"/>
              </w:rPr>
              <w:t>应急保障预案</w:t>
            </w:r>
          </w:p>
        </w:tc>
        <w:tc>
          <w:tcPr>
            <w:tcW w:w="4694" w:type="dxa"/>
            <w:gridSpan w:val="2"/>
            <w:vAlign w:val="center"/>
          </w:tcPr>
          <w:p>
            <w:pPr>
              <w:widowControl/>
              <w:ind w:firstLine="240"/>
              <w:rPr>
                <w:rFonts w:ascii="楷体" w:hAnsi="楷体" w:eastAsia="楷体" w:cs="楷体"/>
                <w:lang w:val="en-US"/>
              </w:rPr>
            </w:pPr>
            <w:r>
              <w:rPr>
                <w:rFonts w:hint="eastAsia" w:ascii="楷体" w:hAnsi="楷体" w:eastAsia="楷体" w:cs="楷体"/>
                <w:lang w:val="en-US"/>
              </w:rPr>
              <w:t>安全应急保障预案是否描述清晰、完整合理、符合采购人要求，从括事件分类分级、组织机构、运行机制、预案管理4项内容进行评价，每项0-2分，最高得8分。</w:t>
            </w:r>
          </w:p>
        </w:tc>
        <w:tc>
          <w:tcPr>
            <w:tcW w:w="769" w:type="dxa"/>
            <w:vAlign w:val="center"/>
          </w:tcPr>
          <w:p>
            <w:pPr>
              <w:ind w:firstLine="240"/>
              <w:rPr>
                <w:rFonts w:ascii="楷体" w:hAnsi="楷体" w:eastAsia="楷体" w:cs="楷体"/>
                <w:lang w:val="en-US"/>
              </w:rPr>
            </w:pPr>
            <w:r>
              <w:rPr>
                <w:rFonts w:hint="eastAsia" w:ascii="楷体" w:hAnsi="楷体" w:eastAsia="楷体" w:cs="楷体"/>
                <w:lang w:val="en-US"/>
              </w:rPr>
              <w:t>8</w:t>
            </w:r>
          </w:p>
        </w:tc>
        <w:tc>
          <w:tcPr>
            <w:tcW w:w="2581" w:type="dxa"/>
          </w:tcPr>
          <w:p>
            <w:pPr>
              <w:ind w:firstLine="240"/>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00" w:hRule="atLeast"/>
          <w:jc w:val="center"/>
        </w:trPr>
        <w:tc>
          <w:tcPr>
            <w:tcW w:w="789" w:type="dxa"/>
            <w:vAlign w:val="center"/>
          </w:tcPr>
          <w:p>
            <w:pPr>
              <w:widowControl/>
              <w:ind w:firstLine="240"/>
              <w:jc w:val="center"/>
              <w:rPr>
                <w:rFonts w:ascii="楷体" w:hAnsi="楷体" w:eastAsia="楷体" w:cs="楷体"/>
                <w:lang w:val="en-US"/>
              </w:rPr>
            </w:pPr>
            <w:r>
              <w:rPr>
                <w:rFonts w:hint="eastAsia" w:ascii="楷体" w:hAnsi="楷体" w:eastAsia="楷体" w:cs="楷体"/>
                <w:lang w:val="en-US"/>
              </w:rPr>
              <w:t>7</w:t>
            </w:r>
          </w:p>
        </w:tc>
        <w:tc>
          <w:tcPr>
            <w:tcW w:w="1297" w:type="dxa"/>
            <w:vAlign w:val="center"/>
          </w:tcPr>
          <w:p>
            <w:pPr>
              <w:widowControl/>
              <w:jc w:val="center"/>
              <w:rPr>
                <w:rFonts w:ascii="楷体" w:hAnsi="楷体" w:eastAsia="楷体" w:cs="楷体"/>
              </w:rPr>
            </w:pPr>
            <w:r>
              <w:rPr>
                <w:rFonts w:hint="eastAsia" w:ascii="楷体" w:hAnsi="楷体" w:eastAsia="楷体" w:cs="楷体"/>
              </w:rPr>
              <w:t>售后、培训方案</w:t>
            </w:r>
          </w:p>
        </w:tc>
        <w:tc>
          <w:tcPr>
            <w:tcW w:w="4694" w:type="dxa"/>
            <w:gridSpan w:val="2"/>
            <w:vAlign w:val="center"/>
          </w:tcPr>
          <w:p>
            <w:pPr>
              <w:widowControl/>
              <w:ind w:firstLine="240"/>
              <w:rPr>
                <w:rFonts w:ascii="楷体" w:hAnsi="楷体" w:eastAsia="楷体" w:cs="楷体"/>
                <w:lang w:val="en-US"/>
              </w:rPr>
            </w:pPr>
            <w:r>
              <w:rPr>
                <w:rFonts w:hint="eastAsia" w:ascii="楷体" w:hAnsi="楷体" w:eastAsia="楷体" w:cs="楷体"/>
                <w:lang w:val="en-US"/>
              </w:rPr>
              <w:t>售后服务方案：满足</w:t>
            </w:r>
            <w:r>
              <w:rPr>
                <w:rFonts w:ascii="楷体" w:hAnsi="楷体" w:eastAsia="楷体" w:cs="楷体"/>
                <w:lang w:val="en-US"/>
              </w:rPr>
              <w:t>7*24小时响应，服务响应时间（赶至现场）在4小时以内，售后服务承诺</w:t>
            </w:r>
            <w:r>
              <w:rPr>
                <w:rFonts w:hint="eastAsia" w:ascii="楷体" w:hAnsi="楷体" w:eastAsia="楷体" w:cs="楷体"/>
                <w:lang w:val="en-US"/>
              </w:rPr>
              <w:t>最优着</w:t>
            </w:r>
            <w:r>
              <w:rPr>
                <w:rFonts w:ascii="楷体" w:hAnsi="楷体" w:eastAsia="楷体" w:cs="楷体"/>
                <w:lang w:val="en-US"/>
              </w:rPr>
              <w:t>得</w:t>
            </w:r>
            <w:r>
              <w:rPr>
                <w:rFonts w:hint="eastAsia" w:ascii="楷体" w:hAnsi="楷体" w:eastAsia="楷体" w:cs="楷体"/>
                <w:lang w:val="en-US"/>
              </w:rPr>
              <w:t>4</w:t>
            </w:r>
            <w:r>
              <w:rPr>
                <w:rFonts w:ascii="楷体" w:hAnsi="楷体" w:eastAsia="楷体" w:cs="楷体"/>
                <w:lang w:val="en-US"/>
              </w:rPr>
              <w:t>分；</w:t>
            </w:r>
            <w:r>
              <w:rPr>
                <w:rFonts w:hint="eastAsia" w:ascii="楷体" w:hAnsi="楷体" w:eastAsia="楷体" w:cs="楷体"/>
                <w:lang w:val="en-US"/>
              </w:rPr>
              <w:t>其余依次扣0.5分</w:t>
            </w:r>
            <w:r>
              <w:rPr>
                <w:rFonts w:ascii="楷体" w:hAnsi="楷体" w:eastAsia="楷体" w:cs="楷体"/>
                <w:lang w:val="en-US"/>
              </w:rPr>
              <w:t>。</w:t>
            </w:r>
          </w:p>
          <w:p>
            <w:pPr>
              <w:widowControl/>
              <w:ind w:firstLine="240"/>
              <w:rPr>
                <w:rFonts w:ascii="楷体" w:hAnsi="楷体" w:eastAsia="楷体" w:cs="楷体"/>
              </w:rPr>
            </w:pPr>
            <w:r>
              <w:rPr>
                <w:rFonts w:hint="eastAsia" w:ascii="楷体" w:hAnsi="楷体" w:eastAsia="楷体" w:cs="楷体"/>
                <w:lang w:val="en-US"/>
              </w:rPr>
              <w:t>培训方案是否描述清晰、完整合理、符合采购人要求，从</w:t>
            </w:r>
            <w:r>
              <w:rPr>
                <w:rFonts w:hint="eastAsia" w:ascii="楷体" w:hAnsi="楷体" w:eastAsia="楷体" w:cs="楷体"/>
              </w:rPr>
              <w:t>培训目标、任务、计划、组织</w:t>
            </w:r>
            <w:r>
              <w:rPr>
                <w:rFonts w:hint="eastAsia" w:ascii="楷体" w:hAnsi="楷体" w:eastAsia="楷体" w:cs="楷体"/>
                <w:lang w:val="en-US"/>
              </w:rPr>
              <w:t>4项内容进行评价，每项0-1分，最高得4分。</w:t>
            </w:r>
          </w:p>
        </w:tc>
        <w:tc>
          <w:tcPr>
            <w:tcW w:w="769" w:type="dxa"/>
            <w:vAlign w:val="center"/>
          </w:tcPr>
          <w:p>
            <w:pPr>
              <w:ind w:firstLine="240"/>
              <w:rPr>
                <w:rFonts w:ascii="楷体" w:hAnsi="楷体" w:eastAsia="楷体" w:cs="楷体"/>
                <w:lang w:val="en-US"/>
              </w:rPr>
            </w:pPr>
            <w:r>
              <w:rPr>
                <w:rFonts w:hint="eastAsia" w:ascii="楷体" w:hAnsi="楷体" w:eastAsia="楷体" w:cs="楷体"/>
                <w:lang w:val="en-US"/>
              </w:rPr>
              <w:t>8</w:t>
            </w:r>
          </w:p>
        </w:tc>
        <w:tc>
          <w:tcPr>
            <w:tcW w:w="2581" w:type="dxa"/>
          </w:tcPr>
          <w:p>
            <w:pPr>
              <w:ind w:firstLine="240"/>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jc w:val="center"/>
        </w:trPr>
        <w:tc>
          <w:tcPr>
            <w:tcW w:w="10145" w:type="dxa"/>
            <w:gridSpan w:val="7"/>
            <w:vAlign w:val="center"/>
          </w:tcPr>
          <w:p>
            <w:pPr>
              <w:pStyle w:val="10"/>
              <w:ind w:firstLine="210"/>
              <w:jc w:val="left"/>
              <w:rPr>
                <w:rFonts w:ascii="楷体" w:hAnsi="楷体" w:eastAsia="楷体" w:cs="楷体"/>
                <w:b w:val="0"/>
                <w:bCs w:val="0"/>
                <w:sz w:val="21"/>
                <w:szCs w:val="24"/>
              </w:rPr>
            </w:pPr>
            <w:r>
              <w:rPr>
                <w:rFonts w:hint="eastAsia" w:ascii="楷体" w:hAnsi="楷体" w:eastAsia="楷体" w:cs="楷体"/>
                <w:b w:val="0"/>
                <w:bCs w:val="0"/>
                <w:sz w:val="21"/>
                <w:szCs w:val="24"/>
              </w:rPr>
              <w:t>注：</w:t>
            </w:r>
          </w:p>
          <w:p>
            <w:pPr>
              <w:pStyle w:val="10"/>
              <w:ind w:firstLine="210"/>
              <w:jc w:val="left"/>
              <w:rPr>
                <w:rFonts w:ascii="楷体" w:hAnsi="楷体" w:eastAsia="楷体" w:cs="楷体"/>
                <w:b w:val="0"/>
                <w:bCs w:val="0"/>
                <w:sz w:val="21"/>
                <w:szCs w:val="24"/>
              </w:rPr>
            </w:pPr>
            <w:r>
              <w:rPr>
                <w:rFonts w:hint="eastAsia" w:ascii="楷体" w:hAnsi="楷体" w:eastAsia="楷体" w:cs="楷体"/>
                <w:b w:val="0"/>
                <w:bCs w:val="0"/>
                <w:sz w:val="21"/>
                <w:szCs w:val="24"/>
              </w:rPr>
              <w:t>1.应答人必须针对打分内容提供相应证明文件，不能承诺或复制招标文件要求作为响应方案。未提供证明资料或提供证明资料不完整的，评标专家有权按0分处理。</w:t>
            </w:r>
          </w:p>
          <w:p>
            <w:pPr>
              <w:pStyle w:val="10"/>
              <w:ind w:firstLine="210"/>
              <w:jc w:val="left"/>
              <w:rPr>
                <w:rFonts w:ascii="楷体" w:hAnsi="楷体" w:eastAsia="楷体" w:cs="楷体"/>
                <w:b w:val="0"/>
                <w:bCs w:val="0"/>
                <w:sz w:val="21"/>
                <w:szCs w:val="24"/>
              </w:rPr>
            </w:pPr>
            <w:r>
              <w:rPr>
                <w:rFonts w:hint="eastAsia" w:ascii="楷体" w:hAnsi="楷体" w:eastAsia="楷体" w:cs="楷体"/>
                <w:b w:val="0"/>
                <w:bCs w:val="0"/>
                <w:sz w:val="21"/>
                <w:szCs w:val="24"/>
              </w:rPr>
              <w:t>2.得分保留小数点后两位，第三位四舍五入。</w:t>
            </w:r>
          </w:p>
          <w:p>
            <w:pPr>
              <w:ind w:firstLine="240"/>
              <w:rPr>
                <w:rFonts w:ascii="楷体" w:hAnsi="楷体" w:eastAsia="楷体" w:cs="楷体"/>
              </w:rPr>
            </w:pPr>
            <w:r>
              <w:rPr>
                <w:rFonts w:hint="eastAsia" w:ascii="楷体" w:hAnsi="楷体" w:eastAsia="楷体" w:cs="楷体"/>
              </w:rPr>
              <w:t>3.应答人单项（商务或技术部分）得分为所有评委打分的算术平均值。</w:t>
            </w:r>
          </w:p>
          <w:p>
            <w:pPr>
              <w:ind w:firstLine="240"/>
              <w:rPr>
                <w:rFonts w:ascii="楷体" w:hAnsi="楷体" w:eastAsia="楷体" w:cs="楷体"/>
              </w:rPr>
            </w:pPr>
            <w:r>
              <w:rPr>
                <w:rFonts w:hint="eastAsia" w:ascii="楷体" w:hAnsi="楷体" w:eastAsia="楷体" w:cs="楷体"/>
              </w:rPr>
              <w:t>4.应答人最终得分为商务部分、价格部分和技术部分之和。</w:t>
            </w:r>
          </w:p>
        </w:tc>
      </w:tr>
    </w:tbl>
    <w:p>
      <w:pPr>
        <w:rPr>
          <w:sz w:val="24"/>
        </w:rPr>
        <w:sectPr>
          <w:pgSz w:w="11910" w:h="16840"/>
          <w:pgMar w:top="1440" w:right="620" w:bottom="1180" w:left="780" w:header="852" w:footer="993" w:gutter="0"/>
          <w:cols w:space="720" w:num="1"/>
        </w:sectPr>
      </w:pPr>
    </w:p>
    <w:p>
      <w:pPr>
        <w:pStyle w:val="16"/>
        <w:spacing w:before="154"/>
        <w:ind w:left="1727"/>
      </w:pPr>
      <w:bookmarkStart w:id="85" w:name="八、中标及合同签订"/>
      <w:bookmarkEnd w:id="85"/>
      <w:r>
        <w:t>八、中标及合同签订</w:t>
      </w:r>
    </w:p>
    <w:p>
      <w:pPr>
        <w:pStyle w:val="5"/>
        <w:spacing w:before="199"/>
        <w:ind w:left="1003"/>
      </w:pPr>
      <w:bookmarkStart w:id="86" w:name="（三十一）中标人"/>
      <w:bookmarkEnd w:id="86"/>
      <w:r>
        <w:t>（三十一）中标人</w:t>
      </w:r>
    </w:p>
    <w:p>
      <w:pPr>
        <w:pStyle w:val="5"/>
        <w:spacing w:before="158" w:line="364" w:lineRule="auto"/>
        <w:ind w:left="523" w:right="619" w:firstLine="480"/>
      </w:pPr>
      <w:r>
        <w:rPr>
          <w:spacing w:val="-3"/>
        </w:rPr>
        <w:t>根据评标委员会对各投标人满足招标文件实质性响应</w:t>
      </w:r>
      <w:r>
        <w:t>（</w:t>
      </w:r>
      <w:r>
        <w:rPr>
          <w:spacing w:val="-8"/>
        </w:rPr>
        <w:t>所谓实质性响应，是指文件应</w:t>
      </w:r>
      <w:r>
        <w:rPr>
          <w:spacing w:val="-24"/>
        </w:rPr>
        <w:t>与招标文件的所有实质性条款、条件和要求相符，无显著差异或保留</w:t>
      </w:r>
      <w:r>
        <w:rPr>
          <w:spacing w:val="-3"/>
        </w:rPr>
        <w:t>（</w:t>
      </w:r>
      <w:r>
        <w:t>由评标委员会确定</w:t>
      </w:r>
      <w:r>
        <w:rPr>
          <w:spacing w:val="-120"/>
        </w:rPr>
        <w:t>）</w:t>
      </w:r>
      <w:r>
        <w:rPr>
          <w:spacing w:val="-16"/>
        </w:rPr>
        <w:t>、</w:t>
      </w:r>
      <w:r>
        <w:t>质量和服务相等且综合得分最高的原则确定中标候选人。</w:t>
      </w:r>
    </w:p>
    <w:p>
      <w:pPr>
        <w:pStyle w:val="5"/>
        <w:spacing w:line="307" w:lineRule="exact"/>
        <w:ind w:left="1003"/>
      </w:pPr>
      <w:bookmarkStart w:id="87" w:name="（三十二）资格条件"/>
      <w:bookmarkEnd w:id="87"/>
      <w:r>
        <w:t>（三十二）资格条件</w:t>
      </w:r>
    </w:p>
    <w:p>
      <w:pPr>
        <w:pStyle w:val="5"/>
        <w:spacing w:before="158" w:line="364" w:lineRule="auto"/>
        <w:ind w:left="523" w:right="739" w:firstLine="480"/>
        <w:jc w:val="both"/>
      </w:pPr>
      <w:r>
        <w:t>1</w:t>
      </w:r>
      <w:r>
        <w:rPr>
          <w:spacing w:val="-1"/>
        </w:rPr>
        <w:t>、采购人将在签订合同前对中标候选人是否能圆满地履行合同进行审查。审查包括</w:t>
      </w:r>
      <w:r>
        <w:rPr>
          <w:spacing w:val="-6"/>
        </w:rPr>
        <w:t>中标候选人投标文件中提供的所有资格证明材料原件，中标候选人投标文件及补充承诺中</w:t>
      </w:r>
      <w:r>
        <w:t>涉及的其他相关资料原件，以及对本项目实施可能存在风险的其他因素。</w:t>
      </w:r>
    </w:p>
    <w:p>
      <w:pPr>
        <w:pStyle w:val="5"/>
        <w:spacing w:line="364" w:lineRule="auto"/>
        <w:ind w:left="523" w:right="739" w:firstLine="480"/>
        <w:jc w:val="both"/>
      </w:pPr>
      <w:r>
        <w:t>2</w:t>
      </w:r>
      <w:r>
        <w:rPr>
          <w:spacing w:val="-1"/>
        </w:rPr>
        <w:t>、采购人若发现中标候选人在投标过程中提供虚假证明文件，故意隐瞒公司不良信</w:t>
      </w:r>
      <w:r>
        <w:rPr>
          <w:spacing w:val="-11"/>
        </w:rPr>
        <w:t>誉和财务状况，以及存在可能对合同圆满履行造成风险的其他因素等，则按规定取消其中</w:t>
      </w:r>
      <w:r>
        <w:t>标资格，监管部门依法进行处理。</w:t>
      </w:r>
    </w:p>
    <w:p>
      <w:pPr>
        <w:pStyle w:val="5"/>
        <w:spacing w:line="362" w:lineRule="auto"/>
        <w:ind w:left="523" w:right="741" w:firstLine="480"/>
      </w:pPr>
      <w:r>
        <w:t>3、如果中标候选人被确认为不具备执行合同的能力，采购人将考虑按同样的程序审查下一个中标候选人。</w:t>
      </w:r>
    </w:p>
    <w:p>
      <w:pPr>
        <w:pStyle w:val="5"/>
        <w:spacing w:before="3"/>
        <w:ind w:left="1003"/>
      </w:pPr>
      <w:bookmarkStart w:id="88" w:name="（三十三）中标通知书"/>
      <w:bookmarkEnd w:id="88"/>
      <w:r>
        <w:t>（三十三）中标通知书</w:t>
      </w:r>
    </w:p>
    <w:p>
      <w:pPr>
        <w:pStyle w:val="5"/>
        <w:spacing w:before="158"/>
        <w:ind w:left="1003"/>
      </w:pPr>
      <w:r>
        <w:t>1、中标结果经采购人确认后，采购人将向中标人发出中标通知书。</w:t>
      </w:r>
    </w:p>
    <w:p>
      <w:pPr>
        <w:pStyle w:val="5"/>
        <w:spacing w:before="158" w:line="364" w:lineRule="auto"/>
        <w:ind w:left="523" w:right="741" w:firstLine="480"/>
      </w:pPr>
      <w:r>
        <w:t>2、中标人应及时到采购人或者代理机构领取中标通知书，中标通知书是签订合同的依据和组成部分。</w:t>
      </w:r>
    </w:p>
    <w:p>
      <w:pPr>
        <w:pStyle w:val="5"/>
        <w:spacing w:before="1"/>
        <w:ind w:left="1003"/>
      </w:pPr>
      <w:bookmarkStart w:id="89" w:name="（三十四）签订合同"/>
      <w:bookmarkEnd w:id="89"/>
      <w:r>
        <w:t>（三十四）签订合同</w:t>
      </w:r>
    </w:p>
    <w:p>
      <w:pPr>
        <w:pStyle w:val="5"/>
        <w:spacing w:before="158" w:line="364" w:lineRule="auto"/>
        <w:ind w:left="523" w:right="739" w:firstLine="480"/>
        <w:jc w:val="both"/>
      </w:pPr>
      <w:r>
        <w:rPr>
          <w:spacing w:val="-8"/>
        </w:rPr>
        <w:t>中标人应在规定的时间、地点与采购人签订合同，招标文件、中标人的投标文件、分</w:t>
      </w:r>
      <w:r>
        <w:rPr>
          <w:spacing w:val="-5"/>
        </w:rPr>
        <w:t>次报价及服务承诺文件以及评标过程中有关澄清文件均作为合同附件，合同经采购人审核</w:t>
      </w:r>
      <w:r>
        <w:t>盖章后实施。</w:t>
      </w:r>
    </w:p>
    <w:p>
      <w:pPr>
        <w:pStyle w:val="5"/>
        <w:spacing w:line="362" w:lineRule="auto"/>
        <w:ind w:left="523" w:right="739" w:firstLine="480"/>
      </w:pPr>
      <w:r>
        <w:rPr>
          <w:spacing w:val="-6"/>
        </w:rPr>
        <w:t>中标人无正当理由未在规定时间内与采购人签订合同的，采购人有权建议取消其中标</w:t>
      </w:r>
      <w:r>
        <w:t>资格，监管部门将对其依法处理。</w:t>
      </w:r>
    </w:p>
    <w:p>
      <w:pPr>
        <w:pStyle w:val="5"/>
        <w:spacing w:before="5"/>
        <w:ind w:left="1003"/>
      </w:pPr>
      <w:bookmarkStart w:id="90" w:name="（三十五）中标服务费和履约保证金"/>
      <w:bookmarkEnd w:id="90"/>
      <w:r>
        <w:t>（三十五）履约保证金</w:t>
      </w:r>
    </w:p>
    <w:p>
      <w:pPr>
        <w:pStyle w:val="5"/>
        <w:spacing w:before="160"/>
        <w:ind w:left="1003"/>
      </w:pPr>
      <w:r>
        <w:rPr>
          <w:rFonts w:hint="eastAsia"/>
          <w:highlight w:val="yellow"/>
        </w:rPr>
        <w:t>1</w:t>
      </w:r>
      <w:r>
        <w:rPr>
          <w:highlight w:val="yellow"/>
        </w:rPr>
        <w:t>、中标人需在签订合同时向采购人提供合同价 5%履约保证金。中标人</w:t>
      </w:r>
      <w:r>
        <w:rPr>
          <w:rFonts w:hint="eastAsia"/>
          <w:highlight w:val="yellow"/>
        </w:rPr>
        <w:t>以银行出具的履约保函形式</w:t>
      </w:r>
      <w:r>
        <w:rPr>
          <w:highlight w:val="yellow"/>
        </w:rPr>
        <w:t>交纳</w:t>
      </w:r>
      <w:r>
        <w:rPr>
          <w:rFonts w:hint="eastAsia"/>
        </w:rPr>
        <w:t>。</w:t>
      </w:r>
    </w:p>
    <w:p>
      <w:pPr>
        <w:pStyle w:val="16"/>
        <w:spacing w:before="161"/>
        <w:ind w:left="1727"/>
      </w:pPr>
      <w:bookmarkStart w:id="91" w:name="_bookmark10"/>
      <w:bookmarkEnd w:id="91"/>
      <w:bookmarkStart w:id="92" w:name="九、验收及付款"/>
      <w:bookmarkEnd w:id="92"/>
      <w:r>
        <w:t>九、验收及付款</w:t>
      </w:r>
    </w:p>
    <w:p>
      <w:pPr>
        <w:pStyle w:val="5"/>
        <w:spacing w:before="196"/>
        <w:ind w:left="1003"/>
      </w:pPr>
      <w:bookmarkStart w:id="93" w:name="（三十六）验收"/>
      <w:bookmarkEnd w:id="93"/>
      <w:r>
        <w:t>（三十六）验收</w:t>
      </w:r>
    </w:p>
    <w:p>
      <w:pPr>
        <w:pStyle w:val="5"/>
        <w:spacing w:before="161" w:line="364" w:lineRule="auto"/>
        <w:ind w:left="523" w:right="861" w:firstLine="480"/>
      </w:pPr>
      <w:r>
        <w:t>采购单位组建验收小组，验收小组由采购单位三人以上组成，按采购合同约定的时间组织验收。</w:t>
      </w:r>
    </w:p>
    <w:p>
      <w:pPr>
        <w:pStyle w:val="5"/>
        <w:spacing w:line="306" w:lineRule="exact"/>
        <w:ind w:left="1003"/>
      </w:pPr>
      <w:bookmarkStart w:id="94" w:name="（三十七）项目办结及付款"/>
      <w:bookmarkEnd w:id="94"/>
      <w:r>
        <w:t>（三十七）项目办结及付款</w:t>
      </w:r>
    </w:p>
    <w:p>
      <w:pPr>
        <w:pStyle w:val="5"/>
        <w:spacing w:before="160" w:line="362" w:lineRule="auto"/>
        <w:ind w:left="523" w:right="739" w:firstLine="480"/>
      </w:pPr>
      <w:r>
        <w:rPr>
          <w:spacing w:val="-12"/>
        </w:rPr>
        <w:t>采购人凭项目合同、验收报告和经政府采购处签章的发票原件在合同约定的时间内办</w:t>
      </w:r>
      <w:r>
        <w:t>理采购款支付手续。</w:t>
      </w:r>
    </w:p>
    <w:p>
      <w:pPr>
        <w:pStyle w:val="16"/>
        <w:spacing w:before="5"/>
        <w:ind w:left="1727"/>
      </w:pPr>
      <w:bookmarkStart w:id="95" w:name="_bookmark11"/>
      <w:bookmarkEnd w:id="95"/>
      <w:bookmarkStart w:id="96" w:name="十、质疑与投诉"/>
      <w:bookmarkEnd w:id="96"/>
      <w:r>
        <w:t>十、质疑与投诉</w:t>
      </w:r>
    </w:p>
    <w:p>
      <w:pPr>
        <w:pStyle w:val="5"/>
        <w:spacing w:before="199" w:line="362" w:lineRule="auto"/>
        <w:ind w:left="1003" w:right="7111" w:hanging="10"/>
      </w:pPr>
      <w:bookmarkStart w:id="97" w:name="（三十八）质疑与投诉"/>
      <w:bookmarkEnd w:id="97"/>
      <w:r>
        <w:t>（三十八）质疑与投诉</w:t>
      </w:r>
      <w:bookmarkStart w:id="98" w:name="1.质疑的提出"/>
      <w:bookmarkEnd w:id="98"/>
      <w:r>
        <w:t>1.质疑的提出</w:t>
      </w:r>
    </w:p>
    <w:p>
      <w:pPr>
        <w:pStyle w:val="18"/>
        <w:numPr>
          <w:ilvl w:val="1"/>
          <w:numId w:val="7"/>
        </w:numPr>
        <w:tabs>
          <w:tab w:val="left" w:pos="1424"/>
        </w:tabs>
        <w:spacing w:before="5"/>
        <w:ind w:hanging="421"/>
        <w:rPr>
          <w:sz w:val="24"/>
        </w:rPr>
      </w:pPr>
      <w:bookmarkStart w:id="99" w:name="1.1质疑人必须是直接参与本次采购活动的投标人。"/>
      <w:bookmarkEnd w:id="99"/>
      <w:r>
        <w:rPr>
          <w:sz w:val="24"/>
        </w:rPr>
        <w:t>质疑人必须是直接参与本次采购活动的投标人。</w:t>
      </w:r>
    </w:p>
    <w:p>
      <w:pPr>
        <w:pStyle w:val="18"/>
        <w:numPr>
          <w:ilvl w:val="1"/>
          <w:numId w:val="7"/>
        </w:numPr>
        <w:tabs>
          <w:tab w:val="left" w:pos="1424"/>
        </w:tabs>
        <w:spacing w:before="161" w:line="364" w:lineRule="auto"/>
        <w:ind w:left="523" w:right="621" w:firstLine="480"/>
        <w:rPr>
          <w:sz w:val="24"/>
        </w:rPr>
      </w:pPr>
      <w:bookmarkStart w:id="100" w:name="1.2对采购内容有异议的，自采购公告发布后，潜在投标人根据采购内容，在报名和取得"/>
      <w:bookmarkEnd w:id="100"/>
      <w:r>
        <w:rPr>
          <w:spacing w:val="-4"/>
          <w:sz w:val="24"/>
        </w:rPr>
        <w:t>对采购内容有异议的，自采购公告发布后，潜在投标人根据采购内容，在报名和</w:t>
      </w:r>
      <w:r>
        <w:rPr>
          <w:spacing w:val="-5"/>
          <w:sz w:val="24"/>
        </w:rPr>
        <w:t xml:space="preserve">取得招标文件后，可对招标文件提出质疑；未报名及未取得招标文件的，不得提出质疑； </w:t>
      </w:r>
      <w:r>
        <w:rPr>
          <w:spacing w:val="-7"/>
          <w:sz w:val="24"/>
        </w:rPr>
        <w:t xml:space="preserve">对资质审查不合格的投标人，不得对采购结果提出质疑；投标截止期前 </w:t>
      </w:r>
      <w:r>
        <w:rPr>
          <w:sz w:val="24"/>
        </w:rPr>
        <w:t>5</w:t>
      </w:r>
      <w:r>
        <w:rPr>
          <w:spacing w:val="-14"/>
          <w:sz w:val="24"/>
        </w:rPr>
        <w:t xml:space="preserve"> 日，停止接受质</w:t>
      </w:r>
      <w:r>
        <w:rPr>
          <w:spacing w:val="-12"/>
          <w:sz w:val="24"/>
        </w:rPr>
        <w:t>疑。在开标评标过程中，凡采购人或评标委员会明确提出须由投标人确认的事项，且投标人当场确认无异议的，不得再提出相关质疑。</w:t>
      </w:r>
    </w:p>
    <w:p>
      <w:pPr>
        <w:pStyle w:val="18"/>
        <w:numPr>
          <w:ilvl w:val="1"/>
          <w:numId w:val="7"/>
        </w:numPr>
        <w:tabs>
          <w:tab w:val="left" w:pos="1424"/>
        </w:tabs>
        <w:spacing w:before="161" w:line="364" w:lineRule="auto"/>
        <w:ind w:left="523" w:right="621" w:firstLine="480"/>
        <w:rPr>
          <w:spacing w:val="-4"/>
          <w:sz w:val="24"/>
        </w:rPr>
      </w:pPr>
      <w:bookmarkStart w:id="101" w:name="1.3对中标公示有异议的，在中标公示发布之日起五日内，以书面形式并加盖公章和法人"/>
      <w:bookmarkEnd w:id="101"/>
      <w:r>
        <w:rPr>
          <w:spacing w:val="-4"/>
          <w:sz w:val="24"/>
        </w:rPr>
        <w:t>对中标公示有异议的，在中标公示发布之日起五日内，以书面形式并加盖公章和法人代表签字向采购人提出质疑。</w:t>
      </w:r>
    </w:p>
    <w:p>
      <w:pPr>
        <w:pStyle w:val="18"/>
        <w:numPr>
          <w:ilvl w:val="1"/>
          <w:numId w:val="7"/>
        </w:numPr>
        <w:tabs>
          <w:tab w:val="left" w:pos="1424"/>
        </w:tabs>
        <w:spacing w:line="362" w:lineRule="auto"/>
        <w:ind w:left="523" w:right="739" w:firstLine="480"/>
        <w:jc w:val="both"/>
        <w:rPr>
          <w:spacing w:val="-4"/>
          <w:sz w:val="24"/>
        </w:rPr>
      </w:pPr>
      <w:bookmarkStart w:id="102" w:name="1.4提出质疑时，必须按照“实事求是”、“谁主张，谁举证”的原则，提供相关证明材"/>
      <w:bookmarkEnd w:id="102"/>
      <w:r>
        <w:rPr>
          <w:spacing w:val="-4"/>
          <w:sz w:val="24"/>
        </w:rPr>
        <w:t>提出质疑时，必须按照“实事求是”、“谁主张，谁举证”的原则，提供相关证明材料，不能主观臆测。</w:t>
      </w:r>
    </w:p>
    <w:p>
      <w:pPr>
        <w:pStyle w:val="18"/>
        <w:numPr>
          <w:ilvl w:val="1"/>
          <w:numId w:val="7"/>
        </w:numPr>
        <w:tabs>
          <w:tab w:val="left" w:pos="1424"/>
        </w:tabs>
        <w:spacing w:before="5" w:line="364" w:lineRule="auto"/>
        <w:ind w:left="523" w:right="739" w:firstLine="480"/>
        <w:jc w:val="both"/>
        <w:rPr>
          <w:sz w:val="24"/>
        </w:rPr>
      </w:pPr>
      <w:bookmarkStart w:id="103" w:name="1.5质疑函采用实名制，不得进行虚假、恶意质疑。质疑人应在质疑有效期内提交《质疑"/>
      <w:bookmarkEnd w:id="103"/>
      <w:r>
        <w:rPr>
          <w:spacing w:val="-19"/>
          <w:sz w:val="24"/>
        </w:rPr>
        <w:t>质疑函采用实名制，不得进行虚假、恶意质疑。质疑人应在质疑有效期内提交《质</w:t>
      </w:r>
      <w:r>
        <w:rPr>
          <w:spacing w:val="-13"/>
          <w:sz w:val="24"/>
        </w:rPr>
        <w:t>疑函》，质疑函内容应包括质疑人相关信息、质疑事项、事实依据、适应法规条款、佐证</w:t>
      </w:r>
      <w:r>
        <w:rPr>
          <w:sz w:val="24"/>
        </w:rPr>
        <w:t>材料等。</w:t>
      </w:r>
    </w:p>
    <w:p>
      <w:pPr>
        <w:pStyle w:val="18"/>
        <w:numPr>
          <w:ilvl w:val="1"/>
          <w:numId w:val="7"/>
        </w:numPr>
        <w:tabs>
          <w:tab w:val="left" w:pos="1424"/>
        </w:tabs>
        <w:spacing w:before="0" w:line="364" w:lineRule="auto"/>
        <w:ind w:left="523" w:right="621" w:firstLine="480"/>
        <w:rPr>
          <w:sz w:val="24"/>
        </w:rPr>
      </w:pPr>
      <w:bookmarkStart w:id="104" w:name="1.6质疑必须提供合法的信息来源或有效证据。质疑人保证所提出的质疑内容及相关佐证"/>
      <w:bookmarkEnd w:id="104"/>
      <w:r>
        <w:rPr>
          <w:spacing w:val="-4"/>
          <w:sz w:val="24"/>
        </w:rPr>
        <w:t>质疑必须提供合法的信息来源或有效证据。质疑人保证所提出的质疑内容及相关</w:t>
      </w:r>
      <w:r>
        <w:rPr>
          <w:spacing w:val="-10"/>
          <w:sz w:val="24"/>
        </w:rPr>
        <w:t>佐证材料的真实性及来源的合法性，并承担相应的法律责任。属于须由相关部门调查、鉴</w:t>
      </w:r>
      <w:r>
        <w:rPr>
          <w:spacing w:val="-11"/>
          <w:sz w:val="24"/>
        </w:rPr>
        <w:t xml:space="preserve">定或者先行做出相关认定的事项，质疑人应当依法申请具有法定职权的部门查清、认定， </w:t>
      </w:r>
      <w:r>
        <w:rPr>
          <w:sz w:val="24"/>
        </w:rPr>
        <w:t>并将相关结果提供给采购人。采购人不具有法定调查、认定权限和义务。</w:t>
      </w:r>
    </w:p>
    <w:p>
      <w:pPr>
        <w:pStyle w:val="18"/>
        <w:numPr>
          <w:ilvl w:val="1"/>
          <w:numId w:val="7"/>
        </w:numPr>
        <w:tabs>
          <w:tab w:val="left" w:pos="1424"/>
        </w:tabs>
        <w:spacing w:before="0" w:line="362" w:lineRule="auto"/>
        <w:ind w:left="523" w:right="681" w:firstLine="480"/>
        <w:rPr>
          <w:sz w:val="24"/>
        </w:rPr>
      </w:pPr>
      <w:bookmarkStart w:id="105" w:name="1.7佐证材料要具备客观性、关联性、合法性，无法查实的（如宣传册、媒体报道、猜测"/>
      <w:bookmarkEnd w:id="105"/>
      <w:r>
        <w:rPr>
          <w:sz w:val="24"/>
        </w:rPr>
        <w:t>佐证材料要具备客观性、关联性、合法性，无法查实的（</w:t>
      </w:r>
      <w:r>
        <w:rPr>
          <w:spacing w:val="-2"/>
          <w:sz w:val="24"/>
        </w:rPr>
        <w:t>如宣传册、媒体报道、</w:t>
      </w:r>
      <w:r>
        <w:rPr>
          <w:sz w:val="24"/>
        </w:rPr>
        <w:t>猜测、推理等）不能作为佐证材料。</w:t>
      </w:r>
    </w:p>
    <w:p>
      <w:pPr>
        <w:pStyle w:val="18"/>
        <w:numPr>
          <w:ilvl w:val="1"/>
          <w:numId w:val="7"/>
        </w:numPr>
        <w:tabs>
          <w:tab w:val="left" w:pos="1424"/>
        </w:tabs>
        <w:spacing w:before="2" w:line="362" w:lineRule="auto"/>
        <w:ind w:left="523" w:right="739" w:firstLine="480"/>
        <w:rPr>
          <w:sz w:val="24"/>
        </w:rPr>
      </w:pPr>
      <w:bookmarkStart w:id="106" w:name="1.8对不能提供相关佐证材料的、涉及商业秘密的、非书面形式送达的、匿名的质疑将不"/>
      <w:bookmarkEnd w:id="106"/>
      <w:r>
        <w:rPr>
          <w:spacing w:val="-5"/>
          <w:sz w:val="24"/>
        </w:rPr>
        <w:t>对不能提供相关佐证材料的、涉及商业秘密的、非书面形式送达的、匿名的质疑</w:t>
      </w:r>
      <w:r>
        <w:rPr>
          <w:sz w:val="24"/>
        </w:rPr>
        <w:t>将不予受理。</w:t>
      </w:r>
    </w:p>
    <w:p>
      <w:pPr>
        <w:pStyle w:val="18"/>
        <w:numPr>
          <w:ilvl w:val="1"/>
          <w:numId w:val="7"/>
        </w:numPr>
        <w:tabs>
          <w:tab w:val="left" w:pos="1424"/>
        </w:tabs>
        <w:spacing w:before="5" w:line="364" w:lineRule="auto"/>
        <w:ind w:left="523" w:right="739" w:firstLine="480"/>
        <w:rPr>
          <w:sz w:val="24"/>
        </w:rPr>
      </w:pPr>
      <w:bookmarkStart w:id="107" w:name="1.9对于有关资质要求、技术参数存在限制性、倾向性条款的及付款方式等方面的质疑，"/>
      <w:bookmarkEnd w:id="107"/>
      <w:r>
        <w:rPr>
          <w:spacing w:val="-7"/>
          <w:sz w:val="24"/>
        </w:rPr>
        <w:t>对于有关资质要求、技术参数存在限制性、倾向性条款的及付款方式等方面的质</w:t>
      </w:r>
      <w:r>
        <w:rPr>
          <w:sz w:val="24"/>
        </w:rPr>
        <w:t>疑，可在规定的时间内直接向代理机构提出并抄送采购人。</w:t>
      </w:r>
    </w:p>
    <w:p>
      <w:pPr>
        <w:pStyle w:val="18"/>
        <w:numPr>
          <w:ilvl w:val="0"/>
          <w:numId w:val="8"/>
        </w:numPr>
        <w:tabs>
          <w:tab w:val="left" w:pos="1483"/>
          <w:tab w:val="left" w:pos="1484"/>
        </w:tabs>
        <w:spacing w:before="0" w:line="306" w:lineRule="exact"/>
        <w:ind w:hanging="481"/>
        <w:rPr>
          <w:sz w:val="24"/>
        </w:rPr>
      </w:pPr>
      <w:bookmarkStart w:id="108" w:name="2._受理和处理"/>
      <w:bookmarkEnd w:id="108"/>
      <w:r>
        <w:rPr>
          <w:sz w:val="24"/>
        </w:rPr>
        <w:t>受理和处理</w:t>
      </w:r>
    </w:p>
    <w:p>
      <w:pPr>
        <w:pStyle w:val="18"/>
        <w:numPr>
          <w:ilvl w:val="1"/>
          <w:numId w:val="8"/>
        </w:numPr>
        <w:tabs>
          <w:tab w:val="left" w:pos="1365"/>
        </w:tabs>
        <w:spacing w:line="364" w:lineRule="auto"/>
        <w:ind w:right="741" w:firstLine="480"/>
        <w:rPr>
          <w:sz w:val="24"/>
        </w:rPr>
      </w:pPr>
      <w:bookmarkStart w:id="109" w:name="2.1《质疑函》必须由质疑方的法定代表人或参与本次投标的授权人送达采购人或代理机"/>
      <w:bookmarkEnd w:id="109"/>
      <w:r>
        <w:rPr>
          <w:spacing w:val="-1"/>
          <w:sz w:val="24"/>
        </w:rPr>
        <w:t>《质疑函》必须由质疑方的法定代表人或参与本次投标的授权人送达采购人或代</w:t>
      </w:r>
      <w:r>
        <w:rPr>
          <w:sz w:val="24"/>
        </w:rPr>
        <w:t>理机构。</w:t>
      </w:r>
    </w:p>
    <w:p>
      <w:pPr>
        <w:pStyle w:val="18"/>
        <w:numPr>
          <w:ilvl w:val="1"/>
          <w:numId w:val="8"/>
        </w:numPr>
        <w:tabs>
          <w:tab w:val="left" w:pos="1424"/>
        </w:tabs>
        <w:spacing w:before="1"/>
        <w:ind w:left="1423" w:hanging="421"/>
        <w:rPr>
          <w:sz w:val="24"/>
        </w:rPr>
      </w:pPr>
      <w:bookmarkStart w:id="110" w:name="2.2对符合要求的质疑，代理机构或采购人须签收。同一质疑人的质疑只接受一次。"/>
      <w:bookmarkEnd w:id="110"/>
      <w:r>
        <w:rPr>
          <w:sz w:val="24"/>
        </w:rPr>
        <w:t>对符合要求的质疑，代理机构或采购人须签收。同一质疑人的质疑只接受一次。</w:t>
      </w:r>
    </w:p>
    <w:p>
      <w:pPr>
        <w:pStyle w:val="18"/>
        <w:numPr>
          <w:ilvl w:val="1"/>
          <w:numId w:val="8"/>
        </w:numPr>
        <w:tabs>
          <w:tab w:val="left" w:pos="1424"/>
        </w:tabs>
        <w:ind w:left="1423" w:hanging="421"/>
        <w:jc w:val="both"/>
        <w:rPr>
          <w:sz w:val="24"/>
        </w:rPr>
      </w:pPr>
      <w:bookmarkStart w:id="111" w:name="2.3对于不符合上述27项所有条款要求的质疑，采购人将不予受理。"/>
      <w:bookmarkEnd w:id="111"/>
      <w:r>
        <w:rPr>
          <w:spacing w:val="-8"/>
          <w:sz w:val="24"/>
        </w:rPr>
        <w:t xml:space="preserve">对于不符合上述 </w:t>
      </w:r>
      <w:r>
        <w:rPr>
          <w:sz w:val="24"/>
        </w:rPr>
        <w:t>27</w:t>
      </w:r>
      <w:r>
        <w:rPr>
          <w:spacing w:val="-8"/>
          <w:sz w:val="24"/>
        </w:rPr>
        <w:t xml:space="preserve"> 项所有条款要求的质疑，采购人将不予受理。</w:t>
      </w:r>
    </w:p>
    <w:p>
      <w:pPr>
        <w:pStyle w:val="18"/>
        <w:numPr>
          <w:ilvl w:val="1"/>
          <w:numId w:val="8"/>
        </w:numPr>
        <w:tabs>
          <w:tab w:val="left" w:pos="1424"/>
        </w:tabs>
        <w:spacing w:before="161" w:line="362" w:lineRule="auto"/>
        <w:ind w:right="739" w:firstLine="480"/>
        <w:jc w:val="both"/>
        <w:rPr>
          <w:sz w:val="24"/>
        </w:rPr>
      </w:pPr>
      <w:bookmarkStart w:id="112" w:name="2.4在处理过程中，发现需要质疑人进一步补充相关佐证材料的，要求质疑人在规定时间"/>
      <w:bookmarkEnd w:id="112"/>
      <w:r>
        <w:rPr>
          <w:spacing w:val="-7"/>
          <w:sz w:val="24"/>
        </w:rPr>
        <w:t>在处理过程中，发现需要质疑人进一步补充相关佐证材料的，要求质疑人在规定</w:t>
      </w:r>
      <w:r>
        <w:rPr>
          <w:sz w:val="24"/>
        </w:rPr>
        <w:t>时间内提供。质疑人不能按照要求提供相关佐证材料的，视同放弃质疑。</w:t>
      </w:r>
    </w:p>
    <w:p>
      <w:pPr>
        <w:pStyle w:val="18"/>
        <w:numPr>
          <w:ilvl w:val="1"/>
          <w:numId w:val="8"/>
        </w:numPr>
        <w:tabs>
          <w:tab w:val="left" w:pos="1424"/>
        </w:tabs>
        <w:spacing w:before="5" w:line="362" w:lineRule="auto"/>
        <w:ind w:right="739" w:firstLine="480"/>
        <w:jc w:val="both"/>
        <w:rPr>
          <w:sz w:val="24"/>
        </w:rPr>
      </w:pPr>
      <w:bookmarkStart w:id="113" w:name="2.5采购人或代理机构负责对质疑的回复工作，将质疑人的质疑材料提供给相关专家或评"/>
      <w:bookmarkEnd w:id="113"/>
      <w:r>
        <w:rPr>
          <w:spacing w:val="-5"/>
          <w:sz w:val="24"/>
        </w:rPr>
        <w:t>采购人或代理机构负责对质疑的回复工作，将质疑人的质疑材料提供给相关专家</w:t>
      </w:r>
      <w:r>
        <w:rPr>
          <w:sz w:val="24"/>
        </w:rPr>
        <w:t>或评标委员会，并将处理意见回复质疑人。</w:t>
      </w:r>
    </w:p>
    <w:p>
      <w:pPr>
        <w:pStyle w:val="18"/>
        <w:numPr>
          <w:ilvl w:val="1"/>
          <w:numId w:val="8"/>
        </w:numPr>
        <w:tabs>
          <w:tab w:val="left" w:pos="1424"/>
        </w:tabs>
        <w:spacing w:before="5" w:line="364" w:lineRule="auto"/>
        <w:ind w:right="739" w:firstLine="480"/>
        <w:jc w:val="both"/>
        <w:rPr>
          <w:sz w:val="24"/>
        </w:rPr>
      </w:pPr>
      <w:bookmarkStart w:id="114" w:name="2.6对招标文件参数的质疑成立的，采购人或代理机构将对质疑部分进行调整；对中标结"/>
      <w:bookmarkEnd w:id="114"/>
      <w:r>
        <w:rPr>
          <w:spacing w:val="-5"/>
          <w:sz w:val="24"/>
        </w:rPr>
        <w:t>对招标文件参数的质疑成立的，采购人或代理机构将对质疑部分进行调整；对中</w:t>
      </w:r>
      <w:r>
        <w:rPr>
          <w:spacing w:val="-11"/>
          <w:sz w:val="24"/>
        </w:rPr>
        <w:t>标结果质疑成立的，采购人将取消预中标投标人中标资格，按照招标文件有关约定重新确</w:t>
      </w:r>
      <w:r>
        <w:rPr>
          <w:sz w:val="24"/>
        </w:rPr>
        <w:t>定中标人。同时，将意见反馈政府采购管理部门，视情对当事人进行处理。</w:t>
      </w:r>
    </w:p>
    <w:p>
      <w:pPr>
        <w:pStyle w:val="18"/>
        <w:numPr>
          <w:ilvl w:val="0"/>
          <w:numId w:val="8"/>
        </w:numPr>
        <w:tabs>
          <w:tab w:val="left" w:pos="1365"/>
        </w:tabs>
        <w:spacing w:before="0" w:afterLines="50" w:line="305" w:lineRule="exact"/>
        <w:ind w:left="1367" w:hanging="363"/>
        <w:rPr>
          <w:sz w:val="24"/>
        </w:rPr>
      </w:pPr>
      <w:bookmarkStart w:id="115" w:name="3．质疑无效的处理"/>
      <w:bookmarkEnd w:id="115"/>
      <w:r>
        <w:rPr>
          <w:sz w:val="24"/>
        </w:rPr>
        <w:t>质疑无效的处理</w:t>
      </w:r>
    </w:p>
    <w:p>
      <w:pPr>
        <w:pStyle w:val="18"/>
        <w:numPr>
          <w:ilvl w:val="1"/>
          <w:numId w:val="8"/>
        </w:numPr>
        <w:tabs>
          <w:tab w:val="left" w:pos="1424"/>
        </w:tabs>
        <w:spacing w:before="5" w:line="364" w:lineRule="auto"/>
        <w:ind w:right="739" w:firstLine="480"/>
        <w:jc w:val="both"/>
        <w:rPr>
          <w:spacing w:val="-5"/>
          <w:sz w:val="24"/>
        </w:rPr>
      </w:pPr>
      <w:bookmarkStart w:id="116" w:name="3.1质疑人提供的相关佐证材料不能证明质疑成立的，采购人可要求质疑人补充相关佐证"/>
      <w:bookmarkEnd w:id="116"/>
      <w:r>
        <w:rPr>
          <w:spacing w:val="-5"/>
          <w:sz w:val="24"/>
        </w:rPr>
        <w:t>质疑人提供的相关佐证材料不能证明质疑成立的，采购人可要求质疑人补充相关佐证材料，如补充材料仍不能证明质疑成立的，将不予受理。</w:t>
      </w:r>
    </w:p>
    <w:p>
      <w:pPr>
        <w:pStyle w:val="18"/>
        <w:numPr>
          <w:ilvl w:val="1"/>
          <w:numId w:val="8"/>
        </w:numPr>
        <w:tabs>
          <w:tab w:val="left" w:pos="1424"/>
        </w:tabs>
        <w:spacing w:before="5" w:line="364" w:lineRule="auto"/>
        <w:ind w:right="739" w:firstLine="480"/>
        <w:jc w:val="both"/>
        <w:rPr>
          <w:spacing w:val="-5"/>
          <w:sz w:val="24"/>
        </w:rPr>
      </w:pPr>
      <w:bookmarkStart w:id="117" w:name="3.2对于质疑人在质疑期间不配合进行质疑调查处理的，视为自动放弃质疑。"/>
      <w:bookmarkEnd w:id="117"/>
      <w:r>
        <w:rPr>
          <w:spacing w:val="-5"/>
          <w:sz w:val="24"/>
        </w:rPr>
        <w:t>对于质疑人在质疑期间不配合进行质疑调查处理的，视为自动放弃质疑。</w:t>
      </w:r>
    </w:p>
    <w:p>
      <w:pPr>
        <w:pStyle w:val="18"/>
        <w:numPr>
          <w:ilvl w:val="1"/>
          <w:numId w:val="8"/>
        </w:numPr>
        <w:tabs>
          <w:tab w:val="left" w:pos="1424"/>
        </w:tabs>
        <w:spacing w:before="5" w:line="364" w:lineRule="auto"/>
        <w:ind w:right="739" w:firstLine="480"/>
        <w:jc w:val="both"/>
        <w:rPr>
          <w:spacing w:val="-5"/>
          <w:sz w:val="24"/>
        </w:rPr>
      </w:pPr>
      <w:bookmarkStart w:id="118" w:name="3.3质疑人提出的质疑，经评审专家审定后驳回的，列为无效质疑。"/>
      <w:bookmarkEnd w:id="118"/>
      <w:r>
        <w:rPr>
          <w:spacing w:val="-5"/>
          <w:sz w:val="24"/>
        </w:rPr>
        <w:t>质疑人提出的质疑，经评审专家审定后驳回的，列为无效质疑。</w:t>
      </w:r>
    </w:p>
    <w:p>
      <w:pPr>
        <w:pStyle w:val="18"/>
        <w:numPr>
          <w:ilvl w:val="1"/>
          <w:numId w:val="8"/>
        </w:numPr>
        <w:tabs>
          <w:tab w:val="left" w:pos="1424"/>
        </w:tabs>
        <w:spacing w:before="161" w:line="364" w:lineRule="auto"/>
        <w:ind w:right="739" w:firstLine="480"/>
        <w:rPr>
          <w:sz w:val="24"/>
        </w:rPr>
      </w:pPr>
      <w:bookmarkStart w:id="119" w:name="3.4对于质疑中使用虚假材料或恶意方式质疑的，按无效质疑处理，并列入不良记录投标"/>
      <w:bookmarkEnd w:id="119"/>
      <w:r>
        <w:rPr>
          <w:spacing w:val="-4"/>
          <w:sz w:val="24"/>
        </w:rPr>
        <w:t>对于质疑中使用虚假材料或恶意方式质疑的，按无效质疑处理，并列入不良记录</w:t>
      </w:r>
      <w:r>
        <w:rPr>
          <w:sz w:val="24"/>
        </w:rPr>
        <w:t>投标人名单。</w:t>
      </w:r>
    </w:p>
    <w:p>
      <w:pPr>
        <w:pStyle w:val="18"/>
        <w:numPr>
          <w:ilvl w:val="1"/>
          <w:numId w:val="8"/>
        </w:numPr>
        <w:tabs>
          <w:tab w:val="left" w:pos="1424"/>
        </w:tabs>
        <w:spacing w:before="82" w:line="372" w:lineRule="auto"/>
        <w:ind w:right="739" w:firstLine="480"/>
        <w:rPr>
          <w:sz w:val="24"/>
        </w:rPr>
      </w:pPr>
      <w:r>
        <w:rPr>
          <w:spacing w:val="-6"/>
          <w:sz w:val="24"/>
        </w:rPr>
        <w:t>质疑人进行质疑后，采购人在法定时间内对质疑进行回复，质疑人认为回复不满</w:t>
      </w:r>
      <w:r>
        <w:rPr>
          <w:sz w:val="24"/>
        </w:rPr>
        <w:t>意的，可向政府采购管理部门进行投诉。</w:t>
      </w:r>
    </w:p>
    <w:p>
      <w:pPr>
        <w:spacing w:line="372" w:lineRule="auto"/>
        <w:rPr>
          <w:sz w:val="24"/>
        </w:rPr>
        <w:sectPr>
          <w:headerReference r:id="rId8" w:type="default"/>
          <w:pgSz w:w="11910" w:h="16840"/>
          <w:pgMar w:top="1440" w:right="620" w:bottom="1180" w:left="780" w:header="852" w:footer="961" w:gutter="0"/>
          <w:cols w:space="720" w:num="1"/>
        </w:sectPr>
      </w:pPr>
    </w:p>
    <w:p>
      <w:pPr>
        <w:pStyle w:val="15"/>
        <w:spacing w:before="2" w:line="429" w:lineRule="auto"/>
        <w:ind w:left="4344" w:right="3442" w:hanging="1121"/>
        <w:jc w:val="left"/>
      </w:pPr>
      <w:bookmarkStart w:id="120" w:name="_bookmark12"/>
      <w:bookmarkEnd w:id="120"/>
      <w:r>
        <w:t>第三部分授予合同（参考） 合同协议书</w:t>
      </w:r>
    </w:p>
    <w:p>
      <w:pPr>
        <w:pStyle w:val="5"/>
        <w:spacing w:before="189" w:line="372" w:lineRule="auto"/>
        <w:ind w:left="1008" w:right="8298"/>
      </w:pPr>
      <w:r>
        <w:t>合同名称： 合同编号：</w:t>
      </w:r>
    </w:p>
    <w:p>
      <w:pPr>
        <w:pStyle w:val="5"/>
        <w:spacing w:line="372" w:lineRule="auto"/>
        <w:ind w:left="523" w:right="650" w:firstLine="600"/>
        <w:jc w:val="both"/>
      </w:pPr>
      <w:r>
        <w:t>（以下称甲方</w:t>
      </w:r>
      <w:r>
        <w:rPr>
          <w:spacing w:val="-22"/>
        </w:rPr>
        <w:t>）</w:t>
      </w:r>
      <w:r>
        <w:rPr>
          <w:spacing w:val="-5"/>
        </w:rPr>
        <w:t>就进行采购</w:t>
      </w:r>
      <w:r>
        <w:t>（项目编号</w:t>
      </w:r>
      <w:r>
        <w:rPr>
          <w:spacing w:val="-120"/>
        </w:rPr>
        <w:t>：）</w:t>
      </w:r>
      <w:r>
        <w:rPr>
          <w:spacing w:val="-12"/>
        </w:rPr>
        <w:t>，接受了</w:t>
      </w:r>
      <w:r>
        <w:t>（以下称乙方</w:t>
      </w:r>
      <w:r>
        <w:rPr>
          <w:spacing w:val="-22"/>
        </w:rPr>
        <w:t>）</w:t>
      </w:r>
      <w:r>
        <w:rPr>
          <w:spacing w:val="-8"/>
        </w:rPr>
        <w:t>的投标，依据《中</w:t>
      </w:r>
      <w:r>
        <w:rPr>
          <w:spacing w:val="-2"/>
        </w:rPr>
        <w:t>华人民共和国合同法》及相关法律、法规，双方达成如下协议，并于</w:t>
      </w:r>
      <w:r>
        <w:rPr>
          <w:rFonts w:hint="eastAsia"/>
          <w:spacing w:val="-2"/>
        </w:rPr>
        <w:t xml:space="preserve">  </w:t>
      </w:r>
      <w:r>
        <w:rPr>
          <w:spacing w:val="-1"/>
        </w:rPr>
        <w:t>年 月 日签订了本协议书，合同总金额为元（大写：人民币元</w:t>
      </w:r>
      <w:r>
        <w:rPr>
          <w:spacing w:val="-120"/>
        </w:rPr>
        <w:t>）</w:t>
      </w:r>
      <w:r>
        <w:t>。</w:t>
      </w:r>
    </w:p>
    <w:p>
      <w:pPr>
        <w:pStyle w:val="5"/>
        <w:spacing w:line="306" w:lineRule="exact"/>
        <w:ind w:left="1008"/>
        <w:jc w:val="both"/>
      </w:pPr>
      <w:r>
        <w:t>1、本协议书的词语涵义与下述第 2 条所列的合同条款中的词语涵义相同。</w:t>
      </w:r>
    </w:p>
    <w:p>
      <w:pPr>
        <w:pStyle w:val="5"/>
        <w:spacing w:before="163" w:line="372" w:lineRule="auto"/>
        <w:ind w:left="523" w:right="657" w:firstLine="484"/>
      </w:pPr>
      <w:r>
        <w:t>2、本合同包括下列文件：本合同包括的“附件”和补充协议等，是本合同不可分割的部分，与本合同具有同等法律效力。</w:t>
      </w:r>
    </w:p>
    <w:p>
      <w:pPr>
        <w:pStyle w:val="5"/>
        <w:spacing w:line="307" w:lineRule="exact"/>
        <w:ind w:left="1008"/>
      </w:pPr>
      <w:r>
        <w:t>组成本合同的文件及优先解释顺序如下：</w:t>
      </w:r>
    </w:p>
    <w:p>
      <w:pPr>
        <w:pStyle w:val="18"/>
        <w:numPr>
          <w:ilvl w:val="0"/>
          <w:numId w:val="9"/>
        </w:numPr>
        <w:tabs>
          <w:tab w:val="left" w:pos="1609"/>
        </w:tabs>
        <w:spacing w:before="167"/>
        <w:rPr>
          <w:sz w:val="24"/>
        </w:rPr>
      </w:pPr>
      <w:r>
        <w:rPr>
          <w:sz w:val="24"/>
        </w:rPr>
        <w:t>本合同协议书(包括补充协议)；</w:t>
      </w:r>
    </w:p>
    <w:p>
      <w:pPr>
        <w:pStyle w:val="18"/>
        <w:numPr>
          <w:ilvl w:val="0"/>
          <w:numId w:val="9"/>
        </w:numPr>
        <w:tabs>
          <w:tab w:val="left" w:pos="1609"/>
        </w:tabs>
        <w:spacing w:before="168"/>
        <w:rPr>
          <w:sz w:val="24"/>
        </w:rPr>
      </w:pPr>
      <w:r>
        <w:rPr>
          <w:sz w:val="24"/>
        </w:rPr>
        <w:t>招标文件技术需求书；</w:t>
      </w:r>
    </w:p>
    <w:p>
      <w:pPr>
        <w:pStyle w:val="18"/>
        <w:numPr>
          <w:ilvl w:val="0"/>
          <w:numId w:val="9"/>
        </w:numPr>
        <w:tabs>
          <w:tab w:val="left" w:pos="1609"/>
        </w:tabs>
        <w:spacing w:before="168"/>
        <w:rPr>
          <w:sz w:val="24"/>
        </w:rPr>
      </w:pPr>
      <w:r>
        <w:rPr>
          <w:sz w:val="24"/>
        </w:rPr>
        <w:t>投标文件；</w:t>
      </w:r>
    </w:p>
    <w:p>
      <w:pPr>
        <w:pStyle w:val="18"/>
        <w:numPr>
          <w:ilvl w:val="0"/>
          <w:numId w:val="9"/>
        </w:numPr>
        <w:tabs>
          <w:tab w:val="left" w:pos="1609"/>
        </w:tabs>
        <w:spacing w:before="167"/>
        <w:rPr>
          <w:sz w:val="24"/>
        </w:rPr>
      </w:pPr>
      <w:r>
        <w:rPr>
          <w:sz w:val="24"/>
        </w:rPr>
        <w:t>经双方确认进入合同的其它文件。</w:t>
      </w:r>
    </w:p>
    <w:p>
      <w:pPr>
        <w:pStyle w:val="5"/>
        <w:spacing w:before="170" w:line="369" w:lineRule="auto"/>
        <w:ind w:left="523" w:right="658" w:firstLine="484"/>
      </w:pPr>
      <w:r>
        <w:t>3、上列文件汇集并代替了本协议书签订前双方为本合同签订的所有协议、会谈记录以及相互承诺的一切文件。</w:t>
      </w:r>
    </w:p>
    <w:p>
      <w:pPr>
        <w:pStyle w:val="5"/>
        <w:spacing w:before="4" w:line="372" w:lineRule="auto"/>
        <w:ind w:left="523" w:right="658" w:firstLine="484"/>
      </w:pPr>
      <w:r>
        <w:t>4、本合同价为固定总价合同，合同执行期间，合同价格不因市场因素而调整，合同价款分期支付。</w:t>
      </w:r>
    </w:p>
    <w:p>
      <w:pPr>
        <w:pStyle w:val="5"/>
        <w:spacing w:line="372" w:lineRule="auto"/>
        <w:ind w:left="523" w:right="655" w:firstLine="484"/>
      </w:pPr>
      <w:r>
        <w:t>5、乙方保证按照合同规定全面完成合同内各项工作，并承担合同规定的乙方的全部义务和责任。</w:t>
      </w:r>
    </w:p>
    <w:p>
      <w:pPr>
        <w:pStyle w:val="5"/>
        <w:spacing w:line="305" w:lineRule="exact"/>
        <w:ind w:left="1008"/>
      </w:pPr>
      <w:r>
        <w:t>6、甲方保证按照合同规定付款并承担合同规定的甲方的全部义务和责任。</w:t>
      </w:r>
    </w:p>
    <w:p>
      <w:pPr>
        <w:pStyle w:val="5"/>
        <w:spacing w:before="165"/>
        <w:ind w:left="1008"/>
      </w:pPr>
      <w:r>
        <w:t>7、本协议书经双方法定代表人（或委托代理人）签名并分别盖本单位公章后生效。</w:t>
      </w:r>
    </w:p>
    <w:p>
      <w:pPr>
        <w:pStyle w:val="5"/>
        <w:spacing w:before="170" w:line="369" w:lineRule="auto"/>
        <w:ind w:left="523" w:right="658" w:firstLine="484"/>
      </w:pPr>
      <w:r>
        <w:t>8、本合同签订后，如需对合同进行修改，可经双方协商一致并签订补充协议作为本合同附件来修改或补充合同内容。</w:t>
      </w:r>
    </w:p>
    <w:p>
      <w:pPr>
        <w:pStyle w:val="5"/>
        <w:spacing w:before="3"/>
        <w:ind w:left="1008"/>
      </w:pPr>
      <w:r>
        <w:t>9、本合同一式捌份，甲乙双方各执肆份。</w:t>
      </w:r>
    </w:p>
    <w:p>
      <w:pPr>
        <w:pStyle w:val="5"/>
        <w:spacing w:before="168"/>
        <w:ind w:left="1008"/>
      </w:pPr>
      <w:r>
        <w:t>10、本合同有效期至合同项下所有权利义务完成之日起结束。</w:t>
      </w:r>
    </w:p>
    <w:p>
      <w:pPr>
        <w:sectPr>
          <w:pgSz w:w="11910" w:h="16840"/>
          <w:pgMar w:top="1440" w:right="620" w:bottom="1180" w:left="780" w:header="852" w:footer="961" w:gutter="0"/>
          <w:cols w:space="720" w:num="1"/>
        </w:sectPr>
      </w:pPr>
    </w:p>
    <w:p>
      <w:pPr>
        <w:pStyle w:val="5"/>
        <w:tabs>
          <w:tab w:val="left" w:pos="5130"/>
          <w:tab w:val="left" w:pos="9656"/>
        </w:tabs>
        <w:spacing w:before="84"/>
        <w:ind w:left="643"/>
        <w:jc w:val="both"/>
      </w:pPr>
      <w:r>
        <w:t>甲方名称</w:t>
      </w:r>
      <w:r>
        <w:rPr>
          <w:u w:val="single"/>
        </w:rPr>
        <w:t>：</w:t>
      </w:r>
      <w:r>
        <w:rPr>
          <w:u w:val="single"/>
        </w:rPr>
        <w:tab/>
      </w:r>
      <w:r>
        <w:t>乙方名称：</w:t>
      </w:r>
      <w:r>
        <w:rPr>
          <w:u w:val="single"/>
        </w:rPr>
        <w:tab/>
      </w:r>
    </w:p>
    <w:p>
      <w:pPr>
        <w:pStyle w:val="5"/>
        <w:tabs>
          <w:tab w:val="left" w:pos="5212"/>
        </w:tabs>
        <w:ind w:left="643"/>
        <w:jc w:val="both"/>
      </w:pPr>
      <w:r>
        <w:t>（盖公章）</w:t>
      </w:r>
      <w:r>
        <w:tab/>
      </w:r>
      <w:r>
        <w:t>（盖公章）</w:t>
      </w:r>
    </w:p>
    <w:p>
      <w:pPr>
        <w:pStyle w:val="5"/>
        <w:tabs>
          <w:tab w:val="left" w:pos="5212"/>
        </w:tabs>
        <w:spacing w:line="372" w:lineRule="auto"/>
        <w:ind w:left="643" w:right="864"/>
        <w:jc w:val="both"/>
        <w:rPr>
          <w:u w:val="single"/>
        </w:rPr>
      </w:pPr>
      <w:r>
        <w:pict>
          <v:line id="_x0000_s1036" o:spid="_x0000_s1036" o:spt="20" style="position:absolute;left:0pt;margin-left:119.25pt;margin-top:38.75pt;height:0pt;width:170.1pt;mso-position-horizontal-relative:page;z-index:-255296512;mso-width-relative:page;mso-height-relative:page;" coordsize="21600,21600">
            <v:path arrowok="t"/>
            <v:fill focussize="0,0"/>
            <v:stroke/>
            <v:imagedata o:title=""/>
            <o:lock v:ext="edit"/>
          </v:line>
        </w:pict>
      </w:r>
      <w:r>
        <w:pict>
          <v:line id="_x0000_s1035" o:spid="_x0000_s1035" o:spt="20" style="position:absolute;left:0pt;margin-left:351.75pt;margin-top:38.75pt;height:0pt;width:170.1pt;mso-position-horizontal-relative:page;z-index:-255294464;mso-width-relative:page;mso-height-relative:page;" coordsize="21600,21600">
            <v:path arrowok="t"/>
            <v:fill focussize="0,0"/>
            <v:stroke/>
            <v:imagedata o:title=""/>
            <o:lock v:ext="edit"/>
          </v:line>
        </w:pict>
      </w:r>
      <w:r>
        <w:t>法定代表人（或委托代理人</w:t>
      </w:r>
      <w:r>
        <w:rPr>
          <w:spacing w:val="-120"/>
        </w:rPr>
        <w:t>）</w:t>
      </w:r>
      <w:r>
        <w:rPr>
          <w:u w:val="single"/>
        </w:rPr>
        <w:t xml:space="preserve">： </w:t>
      </w:r>
      <w:r>
        <w:rPr>
          <w:rFonts w:hint="eastAsia"/>
          <w:u w:val="single"/>
        </w:rPr>
        <w:t xml:space="preserve">       </w:t>
      </w:r>
      <w:r>
        <w:rPr>
          <w:rFonts w:hint="eastAsia"/>
        </w:rPr>
        <w:t xml:space="preserve">  </w:t>
      </w:r>
      <w:r>
        <w:rPr>
          <w:spacing w:val="-37"/>
        </w:rPr>
        <w:t xml:space="preserve"> </w:t>
      </w:r>
      <w:r>
        <w:t>法定代表人（或委托代理人</w:t>
      </w:r>
      <w:r>
        <w:rPr>
          <w:spacing w:val="-120"/>
        </w:rPr>
        <w:t>）</w:t>
      </w:r>
      <w:r>
        <w:t>：</w:t>
      </w:r>
      <w:r>
        <w:rPr>
          <w:u w:val="single"/>
        </w:rPr>
        <w:t xml:space="preserve">         </w:t>
      </w:r>
    </w:p>
    <w:p>
      <w:pPr>
        <w:pStyle w:val="5"/>
        <w:tabs>
          <w:tab w:val="left" w:pos="5212"/>
        </w:tabs>
        <w:spacing w:line="372" w:lineRule="auto"/>
        <w:ind w:left="643" w:right="864"/>
        <w:jc w:val="both"/>
      </w:pPr>
      <w:r>
        <w:t>地址：</w:t>
      </w:r>
      <w:r>
        <w:tab/>
      </w:r>
      <w:r>
        <w:t>地址：</w:t>
      </w:r>
    </w:p>
    <w:p>
      <w:pPr>
        <w:pStyle w:val="5"/>
        <w:tabs>
          <w:tab w:val="left" w:pos="5212"/>
        </w:tabs>
        <w:spacing w:after="4" w:line="305" w:lineRule="exact"/>
        <w:ind w:left="643"/>
        <w:jc w:val="both"/>
      </w:pPr>
      <w:r>
        <w:t>电话：</w:t>
      </w:r>
      <w:r>
        <w:tab/>
      </w:r>
      <w:r>
        <w:t>电话：</w:t>
      </w:r>
    </w:p>
    <w:p>
      <w:pPr>
        <w:tabs>
          <w:tab w:val="left" w:pos="6247"/>
        </w:tabs>
        <w:spacing w:line="20" w:lineRule="exact"/>
        <w:ind w:left="1597"/>
        <w:rPr>
          <w:sz w:val="2"/>
        </w:rPr>
      </w:pPr>
      <w:r>
        <w:rPr>
          <w:sz w:val="2"/>
        </w:rPr>
        <w:pict>
          <v:group id="_x0000_s1033" o:spid="_x0000_s1033" o:spt="203" style="height:0.75pt;width:170.1pt;" coordsize="3402,15203">
            <o:lock v:ext="edit"/>
            <v:line id="_x0000_s1034" o:spid="_x0000_s1034" o:spt="20" style="position:absolute;left:0;top:8;height:0;width:3402;" coordsize="21600,21600">
              <v:path arrowok="t"/>
              <v:fill focussize="0,0"/>
              <v:stroke/>
              <v:imagedata o:title=""/>
              <o:lock v:ext="edit"/>
            </v:line>
            <w10:wrap type="none"/>
            <w10:anchorlock/>
          </v:group>
        </w:pict>
      </w:r>
      <w:r>
        <w:rPr>
          <w:sz w:val="2"/>
        </w:rPr>
        <w:tab/>
      </w:r>
      <w:r>
        <w:rPr>
          <w:sz w:val="2"/>
        </w:rPr>
        <w:pict>
          <v:group id="_x0000_s1031" o:spid="_x0000_s1031" o:spt="203" style="height:0.75pt;width:170.1pt;" coordsize="3402,15203">
            <o:lock v:ext="edit"/>
            <v:line id="_x0000_s1032" o:spid="_x0000_s1032" o:spt="20" style="position:absolute;left:0;top:8;height:0;width:3402;" coordsize="21600,21600">
              <v:path arrowok="t"/>
              <v:fill focussize="0,0"/>
              <v:stroke/>
              <v:imagedata o:title=""/>
              <o:lock v:ext="edit"/>
            </v:line>
            <w10:wrap type="none"/>
            <w10:anchorlock/>
          </v:group>
        </w:pict>
      </w:r>
    </w:p>
    <w:p>
      <w:pPr>
        <w:pStyle w:val="5"/>
        <w:tabs>
          <w:tab w:val="left" w:pos="5006"/>
          <w:tab w:val="left" w:pos="5066"/>
          <w:tab w:val="left" w:pos="5212"/>
          <w:tab w:val="left" w:pos="9656"/>
          <w:tab w:val="left" w:pos="9716"/>
        </w:tabs>
        <w:spacing w:before="144" w:line="372" w:lineRule="auto"/>
        <w:ind w:left="643" w:right="788"/>
        <w:jc w:val="both"/>
      </w:pPr>
      <w:r>
        <w:pict>
          <v:line id="_x0000_s1030" o:spid="_x0000_s1030" o:spt="20" style="position:absolute;left:0pt;margin-left:119.25pt;margin-top:93.9pt;height:0pt;width:170.1pt;mso-position-horizontal-relative:page;z-index:-255295488;mso-width-relative:page;mso-height-relative:page;" coordsize="21600,21600">
            <v:path arrowok="t"/>
            <v:fill focussize="0,0"/>
            <v:stroke/>
            <v:imagedata o:title=""/>
            <o:lock v:ext="edit"/>
          </v:line>
        </w:pict>
      </w:r>
      <w:r>
        <w:pict>
          <v:line id="_x0000_s1029" o:spid="_x0000_s1029" o:spt="20" style="position:absolute;left:0pt;margin-left:351.75pt;margin-top:93.9pt;height:0pt;width:170.1pt;mso-position-horizontal-relative:page;z-index:-255293440;mso-width-relative:page;mso-height-relative:page;" coordsize="21600,21600">
            <v:path arrowok="t"/>
            <v:fill focussize="0,0"/>
            <v:stroke/>
            <v:imagedata o:title=""/>
            <o:lock v:ext="edit"/>
          </v:line>
        </w:pict>
      </w:r>
      <w:r>
        <w:t>传真：</w:t>
      </w:r>
      <w:r>
        <w:rPr>
          <w:u w:val="single"/>
        </w:rPr>
        <w:t xml:space="preserve"> </w:t>
      </w:r>
      <w:r>
        <w:rPr>
          <w:u w:val="single"/>
        </w:rPr>
        <w:tab/>
      </w:r>
      <w:r>
        <w:rPr>
          <w:u w:val="single"/>
        </w:rPr>
        <w:tab/>
      </w:r>
      <w:r>
        <w:rPr>
          <w:u w:val="single"/>
        </w:rPr>
        <w:tab/>
      </w:r>
      <w:r>
        <w:t xml:space="preserve">传真：  </w:t>
      </w:r>
      <w:r>
        <w:rPr>
          <w:spacing w:val="-38"/>
        </w:rPr>
        <w:t xml:space="preserve"> </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邮政编码</w:t>
      </w:r>
      <w:r>
        <w:rPr>
          <w:u w:val="single"/>
        </w:rPr>
        <w:t>：</w:t>
      </w:r>
      <w:r>
        <w:rPr>
          <w:u w:val="single"/>
        </w:rPr>
        <w:tab/>
      </w:r>
      <w:r>
        <w:rPr>
          <w:u w:val="single"/>
        </w:rPr>
        <w:tab/>
      </w:r>
      <w:r>
        <w:t>邮政编码：</w:t>
      </w:r>
      <w:r>
        <w:rPr>
          <w:u w:val="single"/>
        </w:rPr>
        <w:tab/>
      </w:r>
      <w:r>
        <w:rPr>
          <w:u w:val="single"/>
        </w:rPr>
        <w:t xml:space="preserve"> </w:t>
      </w:r>
      <w:r>
        <w:t>开户银行</w:t>
      </w:r>
      <w:r>
        <w:rPr>
          <w:u w:val="single"/>
        </w:rPr>
        <w:t>：</w:t>
      </w:r>
      <w:r>
        <w:rPr>
          <w:u w:val="single"/>
        </w:rPr>
        <w:tab/>
      </w:r>
      <w:r>
        <w:rPr>
          <w:u w:val="single"/>
        </w:rPr>
        <w:tab/>
      </w:r>
      <w:r>
        <w:t>开户银行：</w:t>
      </w:r>
      <w:r>
        <w:rPr>
          <w:u w:val="single"/>
        </w:rPr>
        <w:tab/>
      </w:r>
      <w:r>
        <w:t xml:space="preserve"> 帐号：</w:t>
      </w:r>
      <w:r>
        <w:tab/>
      </w:r>
      <w:r>
        <w:tab/>
      </w:r>
      <w:r>
        <w:tab/>
      </w:r>
      <w:r>
        <w:t>帐号：</w:t>
      </w:r>
    </w:p>
    <w:p>
      <w:pPr>
        <w:spacing w:line="372" w:lineRule="auto"/>
        <w:jc w:val="both"/>
        <w:sectPr>
          <w:pgSz w:w="11910" w:h="16840"/>
          <w:pgMar w:top="1440" w:right="620" w:bottom="1180" w:left="780" w:header="852" w:footer="961" w:gutter="0"/>
          <w:cols w:space="720" w:num="1"/>
        </w:sectPr>
      </w:pPr>
    </w:p>
    <w:p>
      <w:pPr>
        <w:pStyle w:val="15"/>
        <w:spacing w:before="112"/>
        <w:ind w:right="1719"/>
      </w:pPr>
      <w:r>
        <w:t>合同条款</w:t>
      </w:r>
    </w:p>
    <w:p>
      <w:pPr>
        <w:pStyle w:val="5"/>
        <w:spacing w:before="11"/>
        <w:rPr>
          <w:sz w:val="33"/>
        </w:rPr>
      </w:pPr>
    </w:p>
    <w:p>
      <w:pPr>
        <w:pStyle w:val="5"/>
        <w:spacing w:line="247" w:lineRule="auto"/>
        <w:ind w:left="523" w:right="741" w:firstLine="360"/>
      </w:pPr>
      <w:r>
        <w:fldChar w:fldCharType="begin"/>
      </w:r>
      <w:r>
        <w:instrText xml:space="preserve"> HYPERLINK "http://hetong.lawyer88.com/" \h </w:instrText>
      </w:r>
      <w:r>
        <w:fldChar w:fldCharType="separate"/>
      </w:r>
      <w:r>
        <w:t>为明确甲乙双方的权利与义务，根据《中华人民共和国合同法</w:t>
      </w:r>
      <w:r>
        <w:fldChar w:fldCharType="end"/>
      </w:r>
      <w:r>
        <w:t>》及相关</w:t>
      </w:r>
      <w:r>
        <w:fldChar w:fldCharType="begin"/>
      </w:r>
      <w:r>
        <w:instrText xml:space="preserve"> HYPERLINK "http://fagui.lawyer88.com/" \h </w:instrText>
      </w:r>
      <w:r>
        <w:fldChar w:fldCharType="separate"/>
      </w:r>
      <w:r>
        <w:t>法律法规</w:t>
      </w:r>
      <w:r>
        <w:fldChar w:fldCharType="end"/>
      </w:r>
      <w:r>
        <w:t>的规定，本着互惠互利的原则，双方就有关事宜达成以下协议以共同遵守：</w:t>
      </w:r>
    </w:p>
    <w:p>
      <w:pPr>
        <w:pStyle w:val="5"/>
        <w:spacing w:before="9"/>
        <w:rPr>
          <w:sz w:val="18"/>
        </w:rPr>
      </w:pPr>
    </w:p>
    <w:p>
      <w:pPr>
        <w:pStyle w:val="5"/>
        <w:ind w:left="1008"/>
      </w:pPr>
      <w:bookmarkStart w:id="121" w:name="第一条术语定义"/>
      <w:bookmarkEnd w:id="121"/>
      <w:r>
        <w:t>第一条术语定义</w:t>
      </w:r>
    </w:p>
    <w:p>
      <w:pPr>
        <w:pStyle w:val="5"/>
        <w:spacing w:before="6"/>
        <w:rPr>
          <w:sz w:val="25"/>
        </w:rPr>
      </w:pPr>
    </w:p>
    <w:p>
      <w:pPr>
        <w:pStyle w:val="5"/>
        <w:spacing w:line="372" w:lineRule="auto"/>
        <w:ind w:left="1008" w:right="2058"/>
      </w:pPr>
      <w:r>
        <w:t>除非合同条款或上下文另有所指，本合同中出现的下列用语的含义是： 1、“本项目”：指“”。</w:t>
      </w:r>
    </w:p>
    <w:p>
      <w:pPr>
        <w:pStyle w:val="5"/>
        <w:spacing w:line="372" w:lineRule="auto"/>
        <w:ind w:left="523" w:right="658" w:firstLine="484"/>
      </w:pPr>
      <w:r>
        <w:rPr>
          <w:spacing w:val="2"/>
        </w:rPr>
        <w:t>2</w:t>
      </w:r>
      <w:r>
        <w:rPr>
          <w:spacing w:val="-15"/>
        </w:rPr>
        <w:t>、“合同价款”：指甲乙双方在合同中约定，甲方用以支付乙方按照合同约定完成全部服务并承担质量保证责任的款项。</w:t>
      </w:r>
    </w:p>
    <w:p>
      <w:pPr>
        <w:pStyle w:val="5"/>
        <w:spacing w:line="372" w:lineRule="auto"/>
        <w:ind w:left="523" w:right="658" w:firstLine="484"/>
      </w:pPr>
      <w:r>
        <w:rPr>
          <w:spacing w:val="2"/>
        </w:rPr>
        <w:t>3</w:t>
      </w:r>
      <w:r>
        <w:rPr>
          <w:spacing w:val="-15"/>
        </w:rPr>
        <w:t>、“书面形式”：指合同书、信件和数据电文</w:t>
      </w:r>
      <w:r>
        <w:rPr>
          <w:spacing w:val="2"/>
        </w:rPr>
        <w:t>（</w:t>
      </w:r>
      <w:r>
        <w:t>包括电报、电传、传真、电子数据交换和电子邮件）等可以有形地表现所载内容的形式。</w:t>
      </w:r>
    </w:p>
    <w:p>
      <w:pPr>
        <w:pStyle w:val="5"/>
        <w:spacing w:line="305" w:lineRule="exact"/>
        <w:ind w:left="1008"/>
      </w:pPr>
      <w:r>
        <w:t>4</w:t>
      </w:r>
      <w:r>
        <w:rPr>
          <w:spacing w:val="-28"/>
        </w:rPr>
        <w:t>、“质保期”：无。</w:t>
      </w:r>
    </w:p>
    <w:p>
      <w:pPr>
        <w:pStyle w:val="5"/>
        <w:spacing w:before="165"/>
        <w:ind w:left="1008"/>
      </w:pPr>
      <w:r>
        <w:rPr>
          <w:spacing w:val="2"/>
        </w:rPr>
        <w:t>5</w:t>
      </w:r>
      <w:r>
        <w:rPr>
          <w:spacing w:val="-15"/>
        </w:rPr>
        <w:t>、“违约责任”：指合同一方不履行合同义务或履行合同义务不符合约定应承担的责</w:t>
      </w:r>
    </w:p>
    <w:p>
      <w:pPr>
        <w:pStyle w:val="5"/>
        <w:spacing w:before="11"/>
        <w:rPr>
          <w:sz w:val="7"/>
        </w:rPr>
      </w:pPr>
    </w:p>
    <w:p>
      <w:pPr>
        <w:pStyle w:val="5"/>
        <w:spacing w:before="67"/>
        <w:ind w:left="523"/>
      </w:pPr>
      <w:r>
        <w:t>任。</w:t>
      </w:r>
    </w:p>
    <w:p>
      <w:pPr>
        <w:pStyle w:val="5"/>
        <w:spacing w:before="167"/>
        <w:ind w:left="1008"/>
      </w:pPr>
      <w:r>
        <w:rPr>
          <w:spacing w:val="2"/>
        </w:rPr>
        <w:t>6</w:t>
      </w:r>
      <w:r>
        <w:rPr>
          <w:spacing w:val="-15"/>
        </w:rPr>
        <w:t>、“索赔”：指在合同履行中，对于并非自己的过错，而是应由对方承担责任的情况</w:t>
      </w:r>
    </w:p>
    <w:p>
      <w:pPr>
        <w:pStyle w:val="5"/>
        <w:spacing w:before="12"/>
        <w:rPr>
          <w:sz w:val="7"/>
        </w:rPr>
      </w:pPr>
    </w:p>
    <w:p>
      <w:pPr>
        <w:pStyle w:val="5"/>
        <w:spacing w:before="66"/>
        <w:ind w:left="523"/>
      </w:pPr>
      <w:r>
        <w:t>造成的实际损失，向对方提出经济补偿和（或）工期顺延的要求。</w:t>
      </w:r>
    </w:p>
    <w:p>
      <w:pPr>
        <w:pStyle w:val="5"/>
        <w:spacing w:before="170" w:line="372" w:lineRule="auto"/>
        <w:ind w:left="523" w:right="658" w:firstLine="484"/>
      </w:pPr>
      <w:r>
        <w:rPr>
          <w:spacing w:val="2"/>
        </w:rPr>
        <w:t>7</w:t>
      </w:r>
      <w:r>
        <w:rPr>
          <w:spacing w:val="-15"/>
        </w:rPr>
        <w:t>、“不可抗力”：指因战争、动乱、空中飞行物体坠落或其他非甲方、乙方责任造成的爆炸、火灾以及专用条款约定的风、雨、雪、洪、震等自然灾害。</w:t>
      </w:r>
    </w:p>
    <w:p>
      <w:pPr>
        <w:pStyle w:val="5"/>
        <w:spacing w:before="156"/>
        <w:ind w:left="1008"/>
      </w:pPr>
      <w:bookmarkStart w:id="122" w:name="第二条项目概况"/>
      <w:bookmarkEnd w:id="122"/>
      <w:r>
        <w:t>第二条项目概况</w:t>
      </w:r>
    </w:p>
    <w:p>
      <w:pPr>
        <w:pStyle w:val="5"/>
        <w:spacing w:before="6"/>
        <w:rPr>
          <w:sz w:val="25"/>
        </w:rPr>
      </w:pPr>
    </w:p>
    <w:p>
      <w:pPr>
        <w:pStyle w:val="5"/>
        <w:ind w:left="1008"/>
      </w:pPr>
      <w:r>
        <w:t>（一）项目名称：</w:t>
      </w:r>
    </w:p>
    <w:p>
      <w:pPr>
        <w:pStyle w:val="5"/>
        <w:spacing w:before="170"/>
        <w:ind w:left="1008"/>
      </w:pPr>
      <w:r>
        <w:t>（二）项目地址：</w:t>
      </w:r>
    </w:p>
    <w:p>
      <w:pPr>
        <w:pStyle w:val="5"/>
        <w:spacing w:before="168" w:line="372" w:lineRule="auto"/>
        <w:ind w:left="1008" w:right="6378"/>
      </w:pPr>
      <w:r>
        <w:t>（三）</w:t>
      </w:r>
      <w:r>
        <w:rPr>
          <w:spacing w:val="-2"/>
        </w:rPr>
        <w:t xml:space="preserve">双方委派的工程代表： </w:t>
      </w:r>
      <w:r>
        <w:t>甲方代表：联系电话</w:t>
      </w:r>
      <w:r>
        <w:rPr>
          <w:u w:val="single"/>
        </w:rPr>
        <w:t>：</w:t>
      </w:r>
      <w:r>
        <w:t>.</w:t>
      </w:r>
    </w:p>
    <w:p>
      <w:pPr>
        <w:pStyle w:val="5"/>
        <w:spacing w:line="305" w:lineRule="exact"/>
        <w:ind w:left="1008"/>
      </w:pPr>
      <w:r>
        <w:t>乙方代表：联系电话</w:t>
      </w:r>
      <w:r>
        <w:rPr>
          <w:u w:val="single"/>
        </w:rPr>
        <w:t>：</w:t>
      </w:r>
      <w:r>
        <w:t>.</w:t>
      </w:r>
    </w:p>
    <w:p>
      <w:pPr>
        <w:pStyle w:val="5"/>
        <w:spacing w:before="167" w:line="372" w:lineRule="auto"/>
        <w:ind w:left="523" w:right="655" w:firstLine="484"/>
        <w:jc w:val="both"/>
      </w:pPr>
      <w:r>
        <w:rPr>
          <w:spacing w:val="-6"/>
        </w:rPr>
        <w:t>合同履行中，发生影响发包人承包人双方权利或义务的事件时，甲乙双方应依据合同</w:t>
      </w:r>
      <w:r>
        <w:rPr>
          <w:spacing w:val="-3"/>
        </w:rPr>
        <w:t>在其职权范围内客观公正地进行处理。一方对处理有异议时，按本合同关于争议的约定处</w:t>
      </w:r>
      <w:r>
        <w:t>理。</w:t>
      </w:r>
    </w:p>
    <w:p>
      <w:pPr>
        <w:pStyle w:val="5"/>
        <w:spacing w:before="157"/>
        <w:ind w:left="1008"/>
      </w:pPr>
      <w:r>
        <w:t>第三条项目实施</w:t>
      </w:r>
    </w:p>
    <w:p>
      <w:pPr>
        <w:sectPr>
          <w:pgSz w:w="11910" w:h="16840"/>
          <w:pgMar w:top="1440" w:right="620" w:bottom="1200" w:left="780" w:header="852" w:footer="961" w:gutter="0"/>
          <w:cols w:space="720" w:num="1"/>
        </w:sectPr>
      </w:pPr>
    </w:p>
    <w:p>
      <w:pPr>
        <w:pStyle w:val="5"/>
        <w:spacing w:before="84" w:line="372" w:lineRule="auto"/>
        <w:ind w:left="523" w:right="655" w:firstLine="484"/>
        <w:jc w:val="both"/>
      </w:pPr>
      <w:r>
        <w:rPr>
          <w:spacing w:val="2"/>
        </w:rPr>
        <w:t>（一）</w:t>
      </w:r>
      <w:r>
        <w:rPr>
          <w:spacing w:val="1"/>
        </w:rPr>
        <w:t>甲乙双方协商确定，由甲方将</w:t>
      </w:r>
      <w:r>
        <w:rPr>
          <w:spacing w:val="2"/>
        </w:rPr>
        <w:t>（</w:t>
      </w:r>
      <w:r>
        <w:rPr>
          <w:spacing w:val="-13"/>
        </w:rPr>
        <w:t>以下简称“本项目”</w:t>
      </w:r>
      <w:r>
        <w:rPr>
          <w:spacing w:val="2"/>
        </w:rPr>
        <w:t>）</w:t>
      </w:r>
      <w:r>
        <w:t>发包给乙方，包括本项</w:t>
      </w:r>
      <w:r>
        <w:rPr>
          <w:spacing w:val="-6"/>
        </w:rPr>
        <w:t>目深化设计、施工、货物采购供应、软件开发、系统集成、相关服务等全部工作，以及与</w:t>
      </w:r>
      <w:r>
        <w:t>相关单位沟通协调等所有相关事宜均由乙方负责；</w:t>
      </w:r>
    </w:p>
    <w:p>
      <w:pPr>
        <w:pStyle w:val="5"/>
        <w:spacing w:line="372" w:lineRule="auto"/>
        <w:ind w:left="523" w:right="655" w:firstLine="484"/>
        <w:jc w:val="both"/>
      </w:pPr>
      <w:r>
        <w:t>（二</w:t>
      </w:r>
      <w:r>
        <w:rPr>
          <w:spacing w:val="-20"/>
        </w:rPr>
        <w:t>）</w:t>
      </w:r>
      <w:r>
        <w:rPr>
          <w:spacing w:val="-3"/>
        </w:rPr>
        <w:t>甲方审定乙方制定的本项目工作方案，乙方根据甲方审核确定的工作方案进行</w:t>
      </w:r>
      <w:r>
        <w:rPr>
          <w:spacing w:val="-6"/>
        </w:rPr>
        <w:t>项目实施，其间乙方涉及到的与项目实施有关的各项事宜均由乙方自行解决，涉及乙方不</w:t>
      </w:r>
      <w:r>
        <w:t>能确定的技术的问题或特殊突发情况应和甲方协商解决。</w:t>
      </w:r>
    </w:p>
    <w:p>
      <w:pPr>
        <w:pStyle w:val="5"/>
        <w:spacing w:before="153"/>
        <w:ind w:left="1008"/>
      </w:pPr>
      <w:bookmarkStart w:id="123" w:name="第四条项目承包范围和技术要求"/>
      <w:bookmarkEnd w:id="123"/>
      <w:r>
        <w:t>第四条项目承包范围和技术要求</w:t>
      </w:r>
    </w:p>
    <w:p>
      <w:pPr>
        <w:pStyle w:val="5"/>
        <w:spacing w:before="5"/>
        <w:rPr>
          <w:sz w:val="25"/>
        </w:rPr>
      </w:pPr>
    </w:p>
    <w:p>
      <w:pPr>
        <w:pStyle w:val="5"/>
        <w:spacing w:before="1"/>
        <w:ind w:left="1008"/>
      </w:pPr>
      <w:r>
        <w:t>（一） 供货内容</w:t>
      </w:r>
    </w:p>
    <w:p>
      <w:pPr>
        <w:pStyle w:val="5"/>
      </w:pPr>
    </w:p>
    <w:p>
      <w:pPr>
        <w:pStyle w:val="5"/>
        <w:spacing w:before="4"/>
        <w:rPr>
          <w:sz w:val="26"/>
        </w:rPr>
      </w:pPr>
    </w:p>
    <w:p>
      <w:pPr>
        <w:pStyle w:val="5"/>
        <w:ind w:left="1008"/>
      </w:pPr>
      <w:r>
        <w:t>（二）供货服务要求</w:t>
      </w:r>
    </w:p>
    <w:p>
      <w:pPr>
        <w:pStyle w:val="5"/>
        <w:spacing w:before="6"/>
        <w:rPr>
          <w:sz w:val="25"/>
        </w:rPr>
      </w:pPr>
    </w:p>
    <w:p>
      <w:pPr>
        <w:pStyle w:val="5"/>
        <w:ind w:left="1008"/>
      </w:pPr>
      <w:bookmarkStart w:id="124" w:name="第五条合同文件的组成及优先顺序"/>
      <w:bookmarkEnd w:id="124"/>
      <w:r>
        <w:t>第五条合同文件的组成及优先顺序</w:t>
      </w:r>
    </w:p>
    <w:p>
      <w:pPr>
        <w:pStyle w:val="5"/>
        <w:spacing w:before="6"/>
        <w:rPr>
          <w:sz w:val="25"/>
        </w:rPr>
      </w:pPr>
    </w:p>
    <w:p>
      <w:pPr>
        <w:pStyle w:val="5"/>
        <w:spacing w:line="372" w:lineRule="auto"/>
        <w:ind w:left="523" w:right="599" w:firstLine="484"/>
      </w:pPr>
      <w:r>
        <w:t>组成合同的各项文件应互相解释，互为说明。除双方另有规定外，解释合同文件的优先顺序如下：</w:t>
      </w:r>
    </w:p>
    <w:p>
      <w:pPr>
        <w:pStyle w:val="18"/>
        <w:numPr>
          <w:ilvl w:val="0"/>
          <w:numId w:val="10"/>
        </w:numPr>
        <w:tabs>
          <w:tab w:val="left" w:pos="1609"/>
        </w:tabs>
        <w:spacing w:before="0" w:line="307" w:lineRule="exact"/>
        <w:rPr>
          <w:sz w:val="24"/>
        </w:rPr>
      </w:pPr>
      <w:r>
        <w:rPr>
          <w:sz w:val="24"/>
        </w:rPr>
        <w:t>本合同协议书(包括补充协议)；</w:t>
      </w:r>
    </w:p>
    <w:p>
      <w:pPr>
        <w:pStyle w:val="18"/>
        <w:numPr>
          <w:ilvl w:val="0"/>
          <w:numId w:val="10"/>
        </w:numPr>
        <w:tabs>
          <w:tab w:val="left" w:pos="1609"/>
        </w:tabs>
        <w:spacing w:before="167"/>
        <w:rPr>
          <w:sz w:val="24"/>
        </w:rPr>
      </w:pPr>
      <w:r>
        <w:rPr>
          <w:sz w:val="24"/>
        </w:rPr>
        <w:t>招标文件技术需求书；</w:t>
      </w:r>
    </w:p>
    <w:p>
      <w:pPr>
        <w:pStyle w:val="18"/>
        <w:numPr>
          <w:ilvl w:val="0"/>
          <w:numId w:val="10"/>
        </w:numPr>
        <w:tabs>
          <w:tab w:val="left" w:pos="1609"/>
        </w:tabs>
        <w:spacing w:before="168"/>
        <w:rPr>
          <w:sz w:val="24"/>
        </w:rPr>
      </w:pPr>
      <w:r>
        <w:rPr>
          <w:sz w:val="24"/>
        </w:rPr>
        <w:t>投标文件；</w:t>
      </w:r>
    </w:p>
    <w:p>
      <w:pPr>
        <w:pStyle w:val="18"/>
        <w:numPr>
          <w:ilvl w:val="0"/>
          <w:numId w:val="10"/>
        </w:numPr>
        <w:tabs>
          <w:tab w:val="left" w:pos="1609"/>
        </w:tabs>
        <w:spacing w:before="168" w:line="494" w:lineRule="auto"/>
        <w:ind w:left="1008" w:right="5298" w:firstLine="0"/>
        <w:rPr>
          <w:sz w:val="24"/>
        </w:rPr>
      </w:pPr>
      <w:r>
        <w:rPr>
          <w:spacing w:val="-2"/>
          <w:sz w:val="24"/>
        </w:rPr>
        <w:t>经双方确认进入合同的其它文件。</w:t>
      </w:r>
      <w:bookmarkStart w:id="125" w:name="第六条付款方式及履约保证金"/>
      <w:bookmarkEnd w:id="125"/>
      <w:r>
        <w:rPr>
          <w:sz w:val="24"/>
        </w:rPr>
        <w:t>第六条付款方式及履约保证金</w:t>
      </w:r>
    </w:p>
    <w:p>
      <w:pPr>
        <w:pStyle w:val="5"/>
        <w:spacing w:line="372" w:lineRule="auto"/>
        <w:ind w:left="523" w:right="655" w:firstLine="484"/>
        <w:jc w:val="both"/>
        <w:rPr>
          <w:spacing w:val="-6"/>
        </w:rPr>
      </w:pPr>
      <w:r>
        <w:rPr>
          <w:spacing w:val="-6"/>
        </w:rPr>
        <w:t>（一）合同金额：大写人民币（¥）。</w:t>
      </w:r>
    </w:p>
    <w:p>
      <w:pPr>
        <w:pStyle w:val="5"/>
        <w:spacing w:line="372" w:lineRule="auto"/>
        <w:ind w:left="523" w:right="655" w:firstLine="484"/>
        <w:jc w:val="both"/>
        <w:rPr>
          <w:spacing w:val="-6"/>
        </w:rPr>
      </w:pPr>
      <w:r>
        <w:rPr>
          <w:spacing w:val="-6"/>
        </w:rPr>
        <w:t>（</w:t>
      </w:r>
      <w:r>
        <w:rPr>
          <w:rFonts w:hint="eastAsia"/>
          <w:spacing w:val="-6"/>
        </w:rPr>
        <w:t>二</w:t>
      </w:r>
      <w:r>
        <w:rPr>
          <w:spacing w:val="-6"/>
        </w:rPr>
        <w:t xml:space="preserve">）付款方式：出具测试报告（经甲方确认）后 </w:t>
      </w:r>
      <w:r>
        <w:rPr>
          <w:rFonts w:hint="eastAsia"/>
          <w:spacing w:val="-6"/>
        </w:rPr>
        <w:t>15</w:t>
      </w:r>
      <w:r>
        <w:rPr>
          <w:spacing w:val="-6"/>
        </w:rPr>
        <w:t xml:space="preserve"> 个工作日支付合同款</w:t>
      </w:r>
      <w:r>
        <w:rPr>
          <w:rFonts w:hint="eastAsia"/>
          <w:spacing w:val="-6"/>
        </w:rPr>
        <w:t>的90%，待项目整体验收合格后支付合同款的10%</w:t>
      </w:r>
      <w:r>
        <w:rPr>
          <w:spacing w:val="-6"/>
        </w:rPr>
        <w:t>。</w:t>
      </w:r>
    </w:p>
    <w:p>
      <w:pPr>
        <w:pStyle w:val="5"/>
        <w:spacing w:line="372" w:lineRule="auto"/>
        <w:ind w:left="523" w:right="655" w:firstLine="484"/>
        <w:jc w:val="both"/>
        <w:rPr>
          <w:spacing w:val="-6"/>
        </w:rPr>
      </w:pPr>
      <w:r>
        <w:rPr>
          <w:spacing w:val="-6"/>
        </w:rPr>
        <w:t>（三）乙方在甲方支付合同款项前，</w:t>
      </w:r>
      <w:r>
        <w:fldChar w:fldCharType="begin"/>
      </w:r>
      <w:r>
        <w:instrText xml:space="preserve"> HYPERLINK "http://www.lawyer88.com/" \h </w:instrText>
      </w:r>
      <w:r>
        <w:fldChar w:fldCharType="separate"/>
      </w:r>
      <w:r>
        <w:rPr>
          <w:spacing w:val="-6"/>
        </w:rPr>
        <w:t>应先按各期付款数额向甲方开具符合国家法律法</w:t>
      </w:r>
      <w:r>
        <w:rPr>
          <w:spacing w:val="-6"/>
        </w:rPr>
        <w:fldChar w:fldCharType="end"/>
      </w:r>
      <w:r>
        <w:rPr>
          <w:spacing w:val="-6"/>
        </w:rPr>
        <w:t>规和标准的税务发票，甲方收到合格发票后予以支付相应款项。乙方不开具或者开具不合格的发票，甲方有权延迟支付款项直至乙方开具合格发票之日且不承担任何违约责任，且乙方的各项合同义务仍应按合同约定履行。</w:t>
      </w:r>
    </w:p>
    <w:p>
      <w:pPr>
        <w:spacing w:line="372" w:lineRule="auto"/>
        <w:jc w:val="both"/>
        <w:sectPr>
          <w:pgSz w:w="11910" w:h="16840"/>
          <w:pgMar w:top="1440" w:right="620" w:bottom="1200" w:left="780" w:header="852" w:footer="961" w:gutter="0"/>
          <w:cols w:space="720" w:num="1"/>
        </w:sectPr>
      </w:pPr>
    </w:p>
    <w:p>
      <w:pPr>
        <w:pStyle w:val="5"/>
        <w:spacing w:before="84"/>
        <w:ind w:left="1008"/>
      </w:pPr>
      <w:r>
        <w:t>合同期限</w:t>
      </w:r>
    </w:p>
    <w:p>
      <w:pPr>
        <w:pStyle w:val="5"/>
        <w:spacing w:before="6"/>
        <w:rPr>
          <w:sz w:val="25"/>
        </w:rPr>
      </w:pPr>
    </w:p>
    <w:p>
      <w:pPr>
        <w:pStyle w:val="5"/>
        <w:spacing w:line="372" w:lineRule="auto"/>
        <w:ind w:left="1008" w:right="1938"/>
      </w:pPr>
      <w:r>
        <w:t>本项目自合同签订之日起计算,合同约定内容条款全部履行完毕日结束。</w:t>
      </w:r>
      <w:bookmarkStart w:id="126" w:name="第七条双方的权利和义务"/>
      <w:bookmarkEnd w:id="126"/>
    </w:p>
    <w:p>
      <w:pPr>
        <w:pStyle w:val="5"/>
        <w:spacing w:line="494" w:lineRule="auto"/>
        <w:ind w:left="1008" w:right="2538"/>
      </w:pPr>
      <w:r>
        <w:t>第七条双方的权利和义务</w:t>
      </w:r>
    </w:p>
    <w:p>
      <w:pPr>
        <w:pStyle w:val="5"/>
        <w:ind w:left="1008"/>
      </w:pPr>
      <w:r>
        <w:t>（一）甲方的权利与义务</w:t>
      </w:r>
    </w:p>
    <w:p>
      <w:pPr>
        <w:pStyle w:val="5"/>
        <w:spacing w:before="168"/>
        <w:ind w:left="1008"/>
      </w:pPr>
      <w:r>
        <w:t>1、明确乙方的具体工作内容；</w:t>
      </w:r>
    </w:p>
    <w:p>
      <w:pPr>
        <w:pStyle w:val="5"/>
        <w:spacing w:before="167" w:line="372" w:lineRule="auto"/>
        <w:ind w:left="523" w:right="655" w:firstLine="484"/>
      </w:pPr>
      <w:r>
        <w:t>2</w:t>
      </w:r>
      <w:r>
        <w:rPr>
          <w:spacing w:val="-7"/>
        </w:rPr>
        <w:t>、对乙方提交的合同综合进度计划进行及时确认，甲方对于乙方提交的"合同综合进</w:t>
      </w:r>
      <w:r>
        <w:rPr>
          <w:spacing w:val="-5"/>
        </w:rPr>
        <w:t xml:space="preserve">度计划"同意与否，应在 </w:t>
      </w:r>
      <w:r>
        <w:t>7</w:t>
      </w:r>
      <w:r>
        <w:rPr>
          <w:spacing w:val="-8"/>
        </w:rPr>
        <w:t xml:space="preserve"> 日内予以答复，逾期未复，乙方可视为甲方已经同意；</w:t>
      </w:r>
    </w:p>
    <w:p>
      <w:pPr>
        <w:pStyle w:val="5"/>
        <w:spacing w:line="307" w:lineRule="exact"/>
        <w:ind w:left="1008"/>
      </w:pPr>
      <w:r>
        <w:t>3、合同执行期间，甲方负责与相关单位的协调，确保不影响合同实施进度；</w:t>
      </w:r>
    </w:p>
    <w:p>
      <w:pPr>
        <w:pStyle w:val="5"/>
        <w:spacing w:before="166" w:line="372" w:lineRule="auto"/>
        <w:ind w:left="523" w:right="658" w:firstLine="484"/>
      </w:pPr>
      <w:r>
        <w:t>4、合同执行过程中，甲方有权根据需要对项目内容进行相应的调整和修改，具体程序及细节由甲乙双方协商；</w:t>
      </w:r>
    </w:p>
    <w:p>
      <w:pPr>
        <w:pStyle w:val="5"/>
        <w:spacing w:line="372" w:lineRule="auto"/>
        <w:ind w:left="523" w:right="658" w:firstLine="484"/>
        <w:jc w:val="both"/>
      </w:pPr>
      <w:r>
        <w:t>5、甲方拥有乙方为本项目开发的软件的使用权和修改权，甲方及其附属机构和所聘用的专职及非专职人员有权使用乙方为本项目开发的软件。甲方有义务保护乙方知识产权。</w:t>
      </w:r>
    </w:p>
    <w:p>
      <w:pPr>
        <w:pStyle w:val="5"/>
        <w:spacing w:line="303" w:lineRule="exact"/>
        <w:ind w:left="1008"/>
      </w:pPr>
      <w:r>
        <w:t>6、甲方保证按照合同约定支付合同价款。</w:t>
      </w:r>
    </w:p>
    <w:p>
      <w:pPr>
        <w:pStyle w:val="5"/>
        <w:spacing w:before="167"/>
        <w:ind w:left="1008"/>
      </w:pPr>
      <w:r>
        <w:t>（二）乙方的权利与义务</w:t>
      </w:r>
    </w:p>
    <w:p>
      <w:pPr>
        <w:pStyle w:val="5"/>
        <w:spacing w:before="171"/>
        <w:ind w:left="1008"/>
      </w:pPr>
      <w:r>
        <w:t>1</w:t>
      </w:r>
      <w:r>
        <w:rPr>
          <w:spacing w:val="-5"/>
        </w:rPr>
        <w:t>、乙方应在规定的时间内向甲方提交“合同综合进度计划”；</w:t>
      </w:r>
    </w:p>
    <w:p>
      <w:pPr>
        <w:pStyle w:val="5"/>
        <w:spacing w:before="165" w:line="372" w:lineRule="auto"/>
        <w:ind w:left="523" w:right="658" w:firstLine="484"/>
      </w:pPr>
      <w:r>
        <w:t>2、乙方确保按时完成全部合同内容，并确保全部工作内容符合国家标准、规范、合同技术要求，确保全部合同工作达到质量合格标准。</w:t>
      </w:r>
    </w:p>
    <w:p>
      <w:pPr>
        <w:pStyle w:val="5"/>
        <w:spacing w:line="307" w:lineRule="exact"/>
        <w:ind w:left="1008"/>
      </w:pPr>
      <w:r>
        <w:t>3、乙方负责将所有设备运抵安装现场或甲方指定的场所；</w:t>
      </w:r>
    </w:p>
    <w:p>
      <w:pPr>
        <w:pStyle w:val="5"/>
        <w:spacing w:before="168"/>
        <w:ind w:left="1008"/>
      </w:pPr>
      <w:r>
        <w:t>4、乙方按甲方要求负责全部材料采购、安装等工作；</w:t>
      </w:r>
    </w:p>
    <w:p>
      <w:pPr>
        <w:pStyle w:val="5"/>
        <w:spacing w:before="167" w:line="372" w:lineRule="auto"/>
        <w:ind w:left="523" w:right="658" w:firstLine="484"/>
      </w:pPr>
      <w:r>
        <w:t>5、乙方在组织施工时应切实注意安全，凡乙方人员在合同执行期间所发生的一切意外事故及人身伤害事故，由乙方自行负责；</w:t>
      </w:r>
    </w:p>
    <w:p>
      <w:pPr>
        <w:pStyle w:val="5"/>
        <w:spacing w:line="305" w:lineRule="exact"/>
        <w:ind w:left="1008"/>
      </w:pPr>
      <w:r>
        <w:fldChar w:fldCharType="begin"/>
      </w:r>
      <w:r>
        <w:instrText xml:space="preserve"> HYPERLINK "http://personal.lawyer88.com/343/list_1.html" \h </w:instrText>
      </w:r>
      <w:r>
        <w:fldChar w:fldCharType="separate"/>
      </w:r>
      <w:r>
        <w:t>6、乙方在合同实施过程中造成侵害第三人人身或财产</w:t>
      </w:r>
      <w:r>
        <w:fldChar w:fldCharType="end"/>
      </w:r>
      <w:r>
        <w:t>损害的责任由乙方负责。</w:t>
      </w:r>
    </w:p>
    <w:p>
      <w:pPr>
        <w:pStyle w:val="5"/>
        <w:spacing w:before="168" w:line="372" w:lineRule="auto"/>
        <w:ind w:left="523" w:right="658" w:firstLine="484"/>
      </w:pPr>
      <w:r>
        <w:t>7、乙方按照合同规定负责对甲方技术人员进行培训。乙方提供自最终验收证明签署之日起为期一年的免费维护与保修，乙方有义务提供终身有偿维护服务。</w:t>
      </w:r>
    </w:p>
    <w:p>
      <w:pPr>
        <w:pStyle w:val="5"/>
        <w:spacing w:before="168" w:line="372" w:lineRule="auto"/>
        <w:ind w:left="523" w:right="658" w:firstLine="484"/>
      </w:pPr>
      <w:r>
        <w:t>8、乙方人员在合同执行期间，应服从遵守甲方有关制度，维护甲方的形象，不得借甲方的名义在合同执行期间从事各种违法违纪活动，由此产生的一切后果由乙方负责。</w:t>
      </w:r>
    </w:p>
    <w:p>
      <w:pPr>
        <w:pStyle w:val="5"/>
        <w:spacing w:before="168" w:line="372" w:lineRule="auto"/>
        <w:ind w:left="523" w:right="658" w:firstLine="484"/>
      </w:pPr>
      <w:bookmarkStart w:id="127" w:name="第八条合同分包与转让"/>
      <w:bookmarkEnd w:id="127"/>
      <w:r>
        <w:t>第八条合同分包与转让</w:t>
      </w:r>
    </w:p>
    <w:p>
      <w:pPr>
        <w:pStyle w:val="5"/>
        <w:spacing w:before="168" w:line="372" w:lineRule="auto"/>
        <w:ind w:left="523" w:right="658" w:firstLine="484"/>
      </w:pPr>
      <w:r>
        <w:t>乙方不得将本合同项下的权利义务转让给任何第三人；如果乙方将本合同部分工作内容分包给第三方，乙方选择的分包单位必须具有相应的工作能力且必须经甲方审查同意。</w:t>
      </w:r>
    </w:p>
    <w:p>
      <w:pPr>
        <w:pStyle w:val="5"/>
        <w:spacing w:before="168" w:line="372" w:lineRule="auto"/>
        <w:ind w:left="523" w:right="658" w:firstLine="484"/>
      </w:pPr>
      <w:bookmarkStart w:id="128" w:name="第九条保密条款"/>
      <w:bookmarkEnd w:id="128"/>
      <w:r>
        <w:t>第九条保密条款</w:t>
      </w:r>
    </w:p>
    <w:p>
      <w:pPr>
        <w:pStyle w:val="5"/>
        <w:spacing w:before="1" w:line="372" w:lineRule="auto"/>
        <w:ind w:left="523" w:right="655" w:firstLine="484"/>
        <w:jc w:val="both"/>
      </w:pPr>
      <w:r>
        <w:t>甲乙双方应恪守因签署或履行本合同而获知的对方政府/商业信息及其它政府/商业秘密。任何一方如将获知的对方政府/商业秘密泄露给第三方，应赔偿因泄密而给对方造</w:t>
      </w:r>
      <w:r>
        <w:fldChar w:fldCharType="begin"/>
      </w:r>
      <w:r>
        <w:instrText xml:space="preserve"> HYPERLINK "http://www.lawyer88.com/" \h </w:instrText>
      </w:r>
      <w:r>
        <w:fldChar w:fldCharType="separate"/>
      </w:r>
      <w:r>
        <w:t>成的一切损失并承担相应的法律</w:t>
      </w:r>
      <w:r>
        <w:fldChar w:fldCharType="end"/>
      </w:r>
      <w:r>
        <w:t>责任。</w:t>
      </w:r>
    </w:p>
    <w:p>
      <w:pPr>
        <w:pStyle w:val="5"/>
        <w:spacing w:before="156"/>
        <w:ind w:left="1008"/>
      </w:pPr>
      <w:bookmarkStart w:id="129" w:name="第十条工程质量与验收"/>
      <w:bookmarkEnd w:id="129"/>
      <w:r>
        <w:t>第十条工程质量与验收</w:t>
      </w:r>
    </w:p>
    <w:p>
      <w:pPr>
        <w:pStyle w:val="5"/>
        <w:spacing w:before="6"/>
        <w:rPr>
          <w:sz w:val="25"/>
        </w:rPr>
      </w:pPr>
    </w:p>
    <w:p>
      <w:pPr>
        <w:pStyle w:val="5"/>
        <w:ind w:left="1008"/>
      </w:pPr>
      <w:r>
        <w:t>1、甲方按合同约定的施工及验收标准对乙方所完成的合同工作内容进行验收。</w:t>
      </w:r>
    </w:p>
    <w:p>
      <w:pPr>
        <w:pStyle w:val="5"/>
        <w:spacing w:before="168" w:line="372" w:lineRule="auto"/>
        <w:ind w:left="523" w:right="655" w:firstLine="484"/>
        <w:jc w:val="both"/>
      </w:pPr>
      <w:r>
        <w:t>2、乙方按合同规定的国家标准、技术规范、设计和技术要求、甲方代表依据合同发</w:t>
      </w:r>
      <w:r>
        <w:rPr>
          <w:spacing w:val="-5"/>
        </w:rPr>
        <w:t>出指令执行合同，乙方确保合同工作内容达到质量合格标准；乙方随时接受甲方代表及其委派人员的检查检验，并为检查检验提供便利条件；对于不符合合同规定的工作内容，乙</w:t>
      </w:r>
      <w:r>
        <w:rPr>
          <w:spacing w:val="-4"/>
        </w:rPr>
        <w:t>方应按甲方代表及其委派人员的要求进行返工、修改，乙方承担由自身原因导致返工、修</w:t>
      </w:r>
      <w:r>
        <w:t>改的费用。</w:t>
      </w:r>
    </w:p>
    <w:p>
      <w:pPr>
        <w:pStyle w:val="5"/>
        <w:spacing w:line="303" w:lineRule="exact"/>
        <w:ind w:left="1008"/>
      </w:pPr>
      <w:r>
        <w:t>3、经甲方检查合格后，又发现由乙方原因引起的质量问题，仍由乙方承担责任。</w:t>
      </w:r>
    </w:p>
    <w:p>
      <w:pPr>
        <w:pStyle w:val="5"/>
        <w:spacing w:before="167" w:line="372" w:lineRule="auto"/>
        <w:ind w:left="523" w:right="535" w:firstLine="484"/>
      </w:pPr>
      <w:r>
        <w:t>4、乙方合同工作内容达不到约定质量标准和要求的部分，甲方代表一经发现，可要</w:t>
      </w:r>
      <w:r>
        <w:rPr>
          <w:spacing w:val="-13"/>
        </w:rPr>
        <w:t xml:space="preserve">求乙方返工，乙方应按甲方代表要求的时间进度要求进行返工，直到符合约定的质量条件， </w:t>
      </w:r>
      <w:r>
        <w:rPr>
          <w:spacing w:val="-3"/>
        </w:rPr>
        <w:t>同时乙方应承担全部返工费用，且工期不予顺延；返工后仍不能达到约定的质量条件，乙方承担违约责任，并赔偿由此造成的损失。</w:t>
      </w:r>
    </w:p>
    <w:p>
      <w:pPr>
        <w:pStyle w:val="5"/>
        <w:spacing w:line="369" w:lineRule="auto"/>
        <w:ind w:left="523" w:right="655" w:firstLine="484"/>
      </w:pPr>
      <w:r>
        <w:t>5、由于设计或其他非乙方原因使合同工作内容未达到约定的质量标准和要求，乙方</w:t>
      </w:r>
      <w:r>
        <w:fldChar w:fldCharType="begin"/>
      </w:r>
      <w:r>
        <w:instrText xml:space="preserve"> HYPERLINK "http://news.lawyer88.com/233/list_1.html" \h </w:instrText>
      </w:r>
      <w:r>
        <w:fldChar w:fldCharType="separate"/>
      </w:r>
      <w:r>
        <w:t>予以返工，因修改导致的经济</w:t>
      </w:r>
      <w:r>
        <w:fldChar w:fldCharType="end"/>
      </w:r>
      <w:r>
        <w:t>支出增加部分由甲方承担，工期相应顺延。</w:t>
      </w:r>
    </w:p>
    <w:p>
      <w:pPr>
        <w:pStyle w:val="5"/>
        <w:spacing w:line="372" w:lineRule="auto"/>
        <w:ind w:left="523" w:right="655" w:firstLine="484"/>
        <w:jc w:val="both"/>
        <w:rPr>
          <w:spacing w:val="-5"/>
        </w:rPr>
      </w:pPr>
      <w:r>
        <w:t>6、到货验收：合同项下货物运抵工地指定地点后，到货验收工作由采购人主持，由</w:t>
      </w:r>
      <w:r>
        <w:rPr>
          <w:spacing w:val="-5"/>
        </w:rPr>
        <w:t>甲乙双方共同开箱检查、清点。验收时应同时查验材质证明和产品合格证书，乙方还应按本合同《技术条款》的规定进行材料的抽样检验和工程设备的检验测评，并将检验结果提交监理人，其所需费用由承包人承担，进口产品到货验收时应提供海关、商检手续、原产地证明或其他发包人认可的、能够证明货物合法性与真实性的证明文件。监理人应按合同规定参加交货验收，承包人应为监理人进行到货验收的监督检查提供一切方便。监理人参加到货验收或出具任何检验证明不免除承包人在本合同项下的的任何义务和责任。验收时间由甲乙双方协商确定。若到货验收发现货物短缺、破损或与合同规定的数量、型号及外形不符，则甲乙双方须作记录并签字，此记录可作为甲方向乙方索赔的有效文件。若到货验收发生因乙方过失引起的修理、更换或补充而致使规定的进度计划发生延迟，则甲方有权向乙方索赔由于安装延迟所造成的一切直接损失。到货验收并不减免合同项下乙方责任。</w:t>
      </w:r>
    </w:p>
    <w:p>
      <w:pPr>
        <w:pStyle w:val="5"/>
        <w:spacing w:line="372" w:lineRule="auto"/>
        <w:ind w:left="523" w:right="655" w:firstLine="484"/>
        <w:jc w:val="both"/>
        <w:rPr>
          <w:spacing w:val="-5"/>
        </w:rPr>
      </w:pPr>
      <w:r>
        <w:rPr>
          <w:spacing w:val="-5"/>
        </w:rPr>
        <w:t>7、现场验收：工程具备覆盖、掩盖条件或达到约定的中间验收部位，乙方自检合格后在隐蔽或中间验收 48 小时前通知甲方代表进行现场验收，并准备现场验收记录；乙方发出的通知应包括乙方自检记录、隐蔽和中间验收的内容、验收时间和地点；现场验收合格，甲方代表在验收记录上签字后，乙方方可进行隐蔽和继续施工，现场验收不合格，乙方在限定时间内修改合格后再通知甲方重新组织现场验收。</w:t>
      </w:r>
    </w:p>
    <w:p>
      <w:pPr>
        <w:pStyle w:val="5"/>
        <w:spacing w:line="372" w:lineRule="auto"/>
        <w:ind w:left="523" w:right="655" w:firstLine="484"/>
        <w:jc w:val="both"/>
        <w:rPr>
          <w:spacing w:val="-5"/>
        </w:rPr>
      </w:pPr>
      <w:r>
        <w:rPr>
          <w:spacing w:val="-5"/>
        </w:rPr>
        <w:t>8、初步验收：乙方完成全部合同工作内容，整理好所有工程验收合格资料后，提出对本合同初步验收申请，甲方组织对本合同初步验收，验收合格后，验收工作组人员共同签署本合同初步验收证书。</w:t>
      </w:r>
    </w:p>
    <w:p>
      <w:pPr>
        <w:pStyle w:val="5"/>
        <w:spacing w:before="143"/>
        <w:ind w:left="1008"/>
      </w:pPr>
      <w:bookmarkStart w:id="130" w:name="第十一条违约责任"/>
      <w:bookmarkEnd w:id="130"/>
      <w:r>
        <w:t>第十一条违约责任</w:t>
      </w:r>
    </w:p>
    <w:p>
      <w:pPr>
        <w:pStyle w:val="5"/>
        <w:spacing w:before="6"/>
        <w:rPr>
          <w:sz w:val="25"/>
        </w:rPr>
      </w:pPr>
    </w:p>
    <w:p>
      <w:pPr>
        <w:pStyle w:val="5"/>
        <w:spacing w:line="372" w:lineRule="auto"/>
        <w:ind w:left="523" w:right="658" w:firstLine="484"/>
      </w:pPr>
      <w:r>
        <w:t>1、合同签订后确因乙方质量问题造成返工、延误工期、给甲方造成损失的，乙方应支付给甲方违约金。</w:t>
      </w:r>
    </w:p>
    <w:p>
      <w:pPr>
        <w:pStyle w:val="5"/>
        <w:spacing w:line="372" w:lineRule="auto"/>
        <w:ind w:left="523" w:right="655" w:firstLine="484"/>
        <w:jc w:val="both"/>
      </w:pPr>
      <w:r>
        <w:rPr>
          <w:spacing w:val="-2"/>
        </w:rPr>
        <w:t xml:space="preserve">乙方工期延误：完工期限每逾期一天，乙方向甲方支付金额为合同款的 </w:t>
      </w:r>
      <w:r>
        <w:t>1</w:t>
      </w:r>
      <w:r>
        <w:rPr>
          <w:spacing w:val="-3"/>
        </w:rPr>
        <w:t>‰的逾期违</w:t>
      </w:r>
      <w:r>
        <w:rPr>
          <w:spacing w:val="-4"/>
        </w:rPr>
        <w:t xml:space="preserve">约金，逾期违约金上限为合同总额的 </w:t>
      </w:r>
      <w:r>
        <w:t>3</w:t>
      </w:r>
      <w:r>
        <w:rPr>
          <w:spacing w:val="-4"/>
        </w:rPr>
        <w:t xml:space="preserve">%；因乙方原因造成工期延误超过 </w:t>
      </w:r>
      <w:r>
        <w:t>15</w:t>
      </w:r>
      <w:r>
        <w:rPr>
          <w:spacing w:val="-11"/>
        </w:rPr>
        <w:t xml:space="preserve"> 天的，甲方有</w:t>
      </w:r>
      <w:r>
        <w:t>权解除本合同。</w:t>
      </w:r>
    </w:p>
    <w:p>
      <w:pPr>
        <w:pStyle w:val="5"/>
        <w:spacing w:line="372" w:lineRule="auto"/>
        <w:ind w:left="523" w:right="655" w:firstLine="484"/>
        <w:jc w:val="both"/>
      </w:pPr>
      <w:r>
        <w:rPr>
          <w:spacing w:val="-5"/>
        </w:rPr>
        <w:t>乙方质量违约：质量未达到合同约定的质量标准，乙方应无条件返工，费用由乙方自</w:t>
      </w:r>
      <w:r>
        <w:rPr>
          <w:spacing w:val="-4"/>
        </w:rPr>
        <w:t>理并承担由此给甲方带来的损失；返工后仍达不到合同要求，甲方有权另择第三方完成该</w:t>
      </w:r>
      <w:r>
        <w:rPr>
          <w:spacing w:val="-11"/>
        </w:rPr>
        <w:t xml:space="preserve">部分工作，由此发生的费用由乙方承担，发生此情况，甲方将扣除合同价款的 </w:t>
      </w:r>
      <w:r>
        <w:t>5%</w:t>
      </w:r>
      <w:r>
        <w:rPr>
          <w:spacing w:val="-4"/>
        </w:rPr>
        <w:t>作为违约</w:t>
      </w:r>
      <w:r>
        <w:t>金。</w:t>
      </w:r>
    </w:p>
    <w:p>
      <w:pPr>
        <w:pStyle w:val="5"/>
        <w:spacing w:line="372" w:lineRule="auto"/>
        <w:ind w:left="523" w:right="535" w:firstLine="484"/>
      </w:pPr>
      <w:r>
        <w:rPr>
          <w:spacing w:val="-13"/>
        </w:rPr>
        <w:t xml:space="preserve">乙方其他违约：乙方不履行合同义务或不按合同约定履行义务的，甲方有权终止合同， </w:t>
      </w:r>
      <w:r>
        <w:t>并由乙方承担由此带来的一切损失。</w:t>
      </w:r>
    </w:p>
    <w:p>
      <w:pPr>
        <w:pStyle w:val="5"/>
        <w:spacing w:line="305" w:lineRule="exact"/>
        <w:ind w:left="1008"/>
      </w:pPr>
      <w:r>
        <w:t>2、甲方逾期付款的，每逾期支付一天向乙方支付合同款的 1‰作为逾期支付违约金，</w:t>
      </w:r>
    </w:p>
    <w:p>
      <w:pPr>
        <w:pStyle w:val="5"/>
        <w:spacing w:before="84"/>
        <w:ind w:left="523"/>
        <w:jc w:val="both"/>
      </w:pPr>
      <w:r>
        <w:t>逾期支付违约金最多不超过合同总价的 3%。</w:t>
      </w:r>
    </w:p>
    <w:p>
      <w:pPr>
        <w:pStyle w:val="5"/>
        <w:spacing w:before="168" w:line="372" w:lineRule="auto"/>
        <w:ind w:left="523" w:right="658" w:firstLine="484"/>
        <w:jc w:val="both"/>
      </w:pPr>
      <w:r>
        <w:t>3、本合同生效后，除甲乙双方一致同意或不可抗力外，双方应认真履行。任何一方单方中止合同，应承担违约责任，违约金额为本合同总价的 5%。</w:t>
      </w:r>
    </w:p>
    <w:p>
      <w:pPr>
        <w:pStyle w:val="5"/>
        <w:spacing w:line="372" w:lineRule="auto"/>
        <w:ind w:left="523" w:right="655" w:firstLine="484"/>
        <w:jc w:val="both"/>
      </w:pPr>
      <w:r>
        <w:t>4、乙方工作质量达不到合同规定的，甲方有权要求乙方予以完善和改进，由此产生</w:t>
      </w:r>
      <w:r>
        <w:rPr>
          <w:spacing w:val="-5"/>
        </w:rPr>
        <w:t>的一切费用由乙方负责，给甲方带来损失的，甲方有权向乙方索赔；因甲方原因给乙方造</w:t>
      </w:r>
      <w:r>
        <w:t>成的经济损失，乙方有权向甲方索赔。</w:t>
      </w:r>
    </w:p>
    <w:p>
      <w:pPr>
        <w:pStyle w:val="5"/>
        <w:spacing w:before="154"/>
        <w:ind w:left="1008"/>
      </w:pPr>
      <w:bookmarkStart w:id="131" w:name="第十二条争议解决方式"/>
      <w:bookmarkEnd w:id="131"/>
      <w:r>
        <w:t>第十二条争议解决方式</w:t>
      </w:r>
    </w:p>
    <w:p>
      <w:pPr>
        <w:pStyle w:val="5"/>
        <w:spacing w:before="5"/>
        <w:rPr>
          <w:sz w:val="25"/>
        </w:rPr>
      </w:pPr>
    </w:p>
    <w:p>
      <w:pPr>
        <w:pStyle w:val="5"/>
        <w:spacing w:before="1" w:line="372" w:lineRule="auto"/>
        <w:ind w:left="523" w:right="655" w:firstLine="484"/>
      </w:pPr>
      <w:r>
        <w:rPr>
          <w:spacing w:val="-4"/>
        </w:rPr>
        <w:t>甲乙双方在履行合同过程中发生争议，应友好协商解决，协商不成的，可向甲方所在</w:t>
      </w:r>
      <w:r>
        <w:t>地人民法院提起诉讼。</w:t>
      </w:r>
    </w:p>
    <w:p>
      <w:pPr>
        <w:pStyle w:val="5"/>
        <w:spacing w:before="158"/>
        <w:ind w:left="1008"/>
      </w:pPr>
      <w:bookmarkStart w:id="132" w:name="第十三条其他事宜"/>
      <w:bookmarkEnd w:id="132"/>
      <w:r>
        <w:t>第十三条其他事宜</w:t>
      </w:r>
    </w:p>
    <w:p>
      <w:pPr>
        <w:pStyle w:val="5"/>
        <w:spacing w:before="8"/>
        <w:rPr>
          <w:sz w:val="25"/>
        </w:rPr>
      </w:pPr>
    </w:p>
    <w:p>
      <w:pPr>
        <w:pStyle w:val="5"/>
        <w:ind w:left="1008"/>
      </w:pPr>
      <w:r>
        <w:t>本合同未尽事宜，双方协商解决。经双方协商一致，合同条款可以予以变更或终止。</w:t>
      </w:r>
    </w:p>
    <w:p>
      <w:pPr>
        <w:sectPr>
          <w:footerReference r:id="rId9" w:type="default"/>
          <w:pgSz w:w="11910" w:h="16840"/>
          <w:pgMar w:top="1440" w:right="620" w:bottom="1200" w:left="780" w:header="852" w:footer="1004" w:gutter="0"/>
          <w:cols w:space="720" w:num="1"/>
        </w:sectPr>
      </w:pPr>
    </w:p>
    <w:p>
      <w:pPr>
        <w:pStyle w:val="5"/>
        <w:spacing w:before="5"/>
        <w:ind w:left="883"/>
      </w:pPr>
      <w:r>
        <w:t>附件：保密协议格式</w:t>
      </w: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0"/>
        <w:rPr>
          <w:sz w:val="18"/>
        </w:rPr>
      </w:pPr>
    </w:p>
    <w:p>
      <w:pPr>
        <w:spacing w:before="28"/>
        <w:ind w:left="1860" w:right="1719"/>
        <w:jc w:val="center"/>
        <w:rPr>
          <w:sz w:val="52"/>
        </w:rPr>
      </w:pPr>
      <w:r>
        <w:rPr>
          <w:sz w:val="52"/>
        </w:rPr>
        <w:t>保密协议</w:t>
      </w:r>
    </w:p>
    <w:p>
      <w:pPr>
        <w:pStyle w:val="5"/>
        <w:rPr>
          <w:sz w:val="52"/>
        </w:rPr>
      </w:pPr>
    </w:p>
    <w:p>
      <w:pPr>
        <w:pStyle w:val="5"/>
        <w:rPr>
          <w:sz w:val="52"/>
        </w:rPr>
      </w:pPr>
    </w:p>
    <w:p>
      <w:pPr>
        <w:pStyle w:val="5"/>
        <w:rPr>
          <w:sz w:val="52"/>
        </w:rPr>
      </w:pPr>
    </w:p>
    <w:p>
      <w:pPr>
        <w:pStyle w:val="5"/>
        <w:spacing w:before="1"/>
        <w:rPr>
          <w:sz w:val="52"/>
        </w:rPr>
      </w:pPr>
    </w:p>
    <w:p>
      <w:pPr>
        <w:pStyle w:val="5"/>
        <w:ind w:left="1860" w:right="1721"/>
        <w:jc w:val="center"/>
      </w:pPr>
      <w:r>
        <w:t>公司（印章）</w:t>
      </w:r>
    </w:p>
    <w:p>
      <w:pPr>
        <w:jc w:val="center"/>
        <w:sectPr>
          <w:pgSz w:w="11910" w:h="16840"/>
          <w:pgMar w:top="1440" w:right="620" w:bottom="1200" w:left="780" w:header="852" w:footer="1004" w:gutter="0"/>
          <w:cols w:space="720" w:num="1"/>
        </w:sectPr>
      </w:pPr>
    </w:p>
    <w:p>
      <w:pPr>
        <w:pStyle w:val="5"/>
        <w:rPr>
          <w:sz w:val="20"/>
        </w:rPr>
      </w:pPr>
    </w:p>
    <w:p>
      <w:pPr>
        <w:pStyle w:val="5"/>
        <w:rPr>
          <w:sz w:val="20"/>
        </w:rPr>
      </w:pPr>
    </w:p>
    <w:p>
      <w:pPr>
        <w:pStyle w:val="15"/>
        <w:spacing w:before="234"/>
        <w:ind w:right="1721"/>
      </w:pPr>
      <w:r>
        <w:t>保密责任书</w:t>
      </w:r>
    </w:p>
    <w:p>
      <w:pPr>
        <w:pStyle w:val="5"/>
        <w:rPr>
          <w:sz w:val="32"/>
        </w:rPr>
      </w:pPr>
    </w:p>
    <w:p>
      <w:pPr>
        <w:pStyle w:val="5"/>
        <w:spacing w:before="11"/>
        <w:rPr>
          <w:sz w:val="32"/>
        </w:rPr>
      </w:pPr>
    </w:p>
    <w:p>
      <w:pPr>
        <w:pStyle w:val="5"/>
        <w:ind w:left="1008"/>
      </w:pPr>
      <w:r>
        <w:rPr>
          <w:spacing w:val="2"/>
        </w:rPr>
        <w:t>鉴于（乙方）</w:t>
      </w:r>
      <w:r>
        <w:rPr>
          <w:spacing w:val="1"/>
        </w:rPr>
        <w:t>参与</w:t>
      </w:r>
      <w:r>
        <w:rPr>
          <w:spacing w:val="2"/>
          <w:u w:val="single"/>
        </w:rPr>
        <w:t>（项目名称</w:t>
      </w:r>
      <w:r>
        <w:rPr>
          <w:spacing w:val="-118"/>
          <w:u w:val="single"/>
        </w:rPr>
        <w:t>）</w:t>
      </w:r>
      <w:r>
        <w:t>，为保证在系统建设过程中所涉秘密安全，乙方依据</w:t>
      </w:r>
    </w:p>
    <w:p>
      <w:pPr>
        <w:pStyle w:val="5"/>
        <w:spacing w:before="168"/>
        <w:ind w:left="523"/>
      </w:pPr>
      <w:r>
        <w:t>《中华人民共和国保守国家秘密法》的有关规定，自愿遵守以下保密条款：</w:t>
      </w:r>
    </w:p>
    <w:p>
      <w:pPr>
        <w:pStyle w:val="5"/>
        <w:spacing w:before="168" w:line="372" w:lineRule="auto"/>
        <w:ind w:left="523" w:right="535" w:firstLine="484"/>
      </w:pPr>
      <w:r>
        <w:t>1、甲方向乙方提供的所有资料，以及乙方编制的所有与本项目相关的信息、文档、</w:t>
      </w:r>
      <w:r>
        <w:rPr>
          <w:spacing w:val="-12"/>
        </w:rPr>
        <w:t>资料，仅供本项目小组人员参考使用，乙方须严守资料中所涉秘密、妥善保管，不得遗失、</w:t>
      </w:r>
      <w:r>
        <w:t>转借、复印。</w:t>
      </w:r>
    </w:p>
    <w:p>
      <w:pPr>
        <w:pStyle w:val="5"/>
        <w:spacing w:line="372" w:lineRule="auto"/>
        <w:ind w:left="523" w:right="658" w:firstLine="484"/>
      </w:pPr>
      <w:r>
        <w:t>2、乙方发现甲方的保密事项已经泄露或可能泄露时，应当立即采取补救措施，并及时报告甲方。</w:t>
      </w:r>
    </w:p>
    <w:p>
      <w:pPr>
        <w:pStyle w:val="5"/>
        <w:spacing w:line="372" w:lineRule="auto"/>
        <w:ind w:left="523" w:right="655" w:firstLine="484"/>
      </w:pPr>
      <w:r>
        <w:t>3</w:t>
      </w:r>
      <w:r>
        <w:rPr>
          <w:spacing w:val="-11"/>
        </w:rPr>
        <w:t xml:space="preserve">、本项目完成后 </w:t>
      </w:r>
      <w:r>
        <w:t>15</w:t>
      </w:r>
      <w:r>
        <w:rPr>
          <w:spacing w:val="-11"/>
        </w:rPr>
        <w:t xml:space="preserve"> 天内，甲方有权向乙方索回部分或全部资料。乙方应根据甲方要</w:t>
      </w:r>
      <w:r>
        <w:t>求，如数退还。</w:t>
      </w:r>
    </w:p>
    <w:p>
      <w:pPr>
        <w:pStyle w:val="5"/>
        <w:spacing w:line="307" w:lineRule="exact"/>
        <w:ind w:left="1008"/>
      </w:pPr>
      <w:r>
        <w:t>4、乙方在接受和退还涉密内容的资料时建立登记制度。</w:t>
      </w:r>
    </w:p>
    <w:p>
      <w:pPr>
        <w:pStyle w:val="5"/>
        <w:spacing w:before="160"/>
        <w:ind w:left="1008"/>
      </w:pPr>
      <w:r>
        <w:t>5、乙方造成的泄失密事件，乙方须承担有关法律责任，并赔偿相应经济损失。</w:t>
      </w:r>
    </w:p>
    <w:p>
      <w:pPr>
        <w:pStyle w:val="5"/>
        <w:spacing w:before="168"/>
        <w:ind w:left="1008"/>
      </w:pPr>
      <w:r>
        <w:t>6、本项目保密期限为永久。</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spacing w:before="10"/>
        <w:rPr>
          <w:sz w:val="19"/>
        </w:rPr>
      </w:pPr>
    </w:p>
    <w:p>
      <w:pPr>
        <w:pStyle w:val="5"/>
        <w:tabs>
          <w:tab w:val="left" w:pos="7247"/>
        </w:tabs>
        <w:ind w:left="4680"/>
      </w:pPr>
      <w:r>
        <w:rPr>
          <w:rFonts w:ascii="Times New Roman" w:eastAsia="Times New Roman"/>
          <w:u w:val="single"/>
        </w:rPr>
        <w:t xml:space="preserve"> </w:t>
      </w:r>
      <w:r>
        <w:rPr>
          <w:rFonts w:ascii="Times New Roman" w:eastAsia="Times New Roman"/>
          <w:u w:val="single"/>
        </w:rPr>
        <w:tab/>
      </w:r>
      <w:r>
        <w:rPr>
          <w:u w:val="single"/>
        </w:rPr>
        <w:t>（印章）</w:t>
      </w:r>
    </w:p>
    <w:p>
      <w:pPr>
        <w:pStyle w:val="5"/>
        <w:rPr>
          <w:sz w:val="26"/>
        </w:rPr>
      </w:pPr>
    </w:p>
    <w:p>
      <w:pPr>
        <w:pStyle w:val="5"/>
        <w:spacing w:before="2"/>
      </w:pPr>
    </w:p>
    <w:p>
      <w:pPr>
        <w:pStyle w:val="5"/>
        <w:ind w:left="1008"/>
      </w:pPr>
      <w:r>
        <w:pict>
          <v:line id="_x0000_s1028" o:spid="_x0000_s1028" o:spt="20" style="position:absolute;left:0pt;margin-left:348.75pt;margin-top:14.45pt;height:0pt;width:87.85pt;mso-position-horizontal-relative:page;z-index:251668480;mso-width-relative:page;mso-height-relative:page;" coordsize="21600,21600">
            <v:path arrowok="t"/>
            <v:fill focussize="0,0"/>
            <v:stroke/>
            <v:imagedata o:title=""/>
            <o:lock v:ext="edit"/>
          </v:line>
        </w:pict>
      </w:r>
      <w:r>
        <w:t>法人代表：</w:t>
      </w:r>
    </w:p>
    <w:p>
      <w:pPr>
        <w:pStyle w:val="5"/>
        <w:spacing w:before="168"/>
        <w:ind w:left="1008"/>
      </w:pPr>
      <w:r>
        <w:t>签字日期：</w:t>
      </w:r>
      <w:r>
        <w:rPr>
          <w:rFonts w:hint="eastAsia"/>
        </w:rPr>
        <w:t xml:space="preserve"> </w:t>
      </w:r>
      <w:r>
        <w:t xml:space="preserve"> 年月日</w:t>
      </w:r>
    </w:p>
    <w:p>
      <w:pPr>
        <w:sectPr>
          <w:pgSz w:w="11910" w:h="16840"/>
          <w:pgMar w:top="1440" w:right="620" w:bottom="1200" w:left="780" w:header="852" w:footer="1004" w:gutter="0"/>
          <w:cols w:space="720" w:num="1"/>
        </w:sectPr>
      </w:pPr>
    </w:p>
    <w:p>
      <w:pPr>
        <w:pStyle w:val="5"/>
        <w:spacing w:before="8"/>
        <w:rPr>
          <w:sz w:val="19"/>
        </w:rPr>
      </w:pPr>
    </w:p>
    <w:p>
      <w:pPr>
        <w:pStyle w:val="5"/>
        <w:spacing w:line="20" w:lineRule="exact"/>
        <w:ind w:left="1012"/>
        <w:rPr>
          <w:sz w:val="2"/>
        </w:rPr>
      </w:pPr>
      <w:r>
        <w:rPr>
          <w:sz w:val="2"/>
        </w:rPr>
        <w:pict>
          <v:group id="_x0000_s1026" o:spid="_x0000_s1026" o:spt="203" style="height:0.75pt;width:415.3pt;" coordsize="8306,15203">
            <o:lock v:ext="edit"/>
            <v:line id="_x0000_s1027" o:spid="_x0000_s1027" o:spt="20" style="position:absolute;left:0;top:7;height:0;width:8306;" coordsize="21600,21600">
              <v:path arrowok="t"/>
              <v:fill focussize="0,0"/>
              <v:stroke weight="0.72pt"/>
              <v:imagedata o:title=""/>
              <o:lock v:ext="edit"/>
            </v:line>
            <w10:wrap type="none"/>
            <w10:anchorlock/>
          </v:group>
        </w:pict>
      </w:r>
    </w:p>
    <w:p>
      <w:pPr>
        <w:pStyle w:val="15"/>
        <w:spacing w:line="360" w:lineRule="auto"/>
        <w:ind w:left="908"/>
      </w:pPr>
      <w:bookmarkStart w:id="133" w:name="_bookmark13"/>
      <w:bookmarkEnd w:id="133"/>
      <w:r>
        <w:t>第四部分需求方案</w:t>
      </w:r>
    </w:p>
    <w:p>
      <w:pPr>
        <w:pStyle w:val="15"/>
        <w:spacing w:line="360" w:lineRule="auto"/>
        <w:ind w:left="908"/>
      </w:pPr>
    </w:p>
    <w:p>
      <w:pPr>
        <w:adjustRightInd w:val="0"/>
        <w:snapToGrid w:val="0"/>
        <w:spacing w:line="360" w:lineRule="auto"/>
        <w:ind w:left="849" w:leftChars="386" w:right="871" w:rightChars="396"/>
        <w:jc w:val="center"/>
        <w:outlineLvl w:val="0"/>
        <w:rPr>
          <w:b/>
          <w:sz w:val="32"/>
          <w:szCs w:val="32"/>
        </w:rPr>
      </w:pPr>
      <w:r>
        <w:rPr>
          <w:rFonts w:hint="eastAsia"/>
          <w:b/>
          <w:sz w:val="32"/>
          <w:szCs w:val="32"/>
        </w:rPr>
        <w:t>第一部分 项目需求</w:t>
      </w:r>
    </w:p>
    <w:p>
      <w:pPr>
        <w:pStyle w:val="18"/>
        <w:numPr>
          <w:ilvl w:val="0"/>
          <w:numId w:val="11"/>
        </w:numPr>
        <w:autoSpaceDE/>
        <w:autoSpaceDN/>
        <w:spacing w:before="0" w:line="360" w:lineRule="auto"/>
        <w:ind w:left="1293" w:leftChars="386" w:right="871" w:rightChars="396" w:hanging="444"/>
        <w:outlineLvl w:val="1"/>
        <w:rPr>
          <w:b/>
          <w:sz w:val="28"/>
          <w:szCs w:val="28"/>
        </w:rPr>
      </w:pPr>
      <w:r>
        <w:rPr>
          <w:rFonts w:hint="eastAsia"/>
          <w:b/>
          <w:sz w:val="28"/>
          <w:szCs w:val="28"/>
        </w:rPr>
        <w:t>项目</w:t>
      </w:r>
      <w:r>
        <w:rPr>
          <w:b/>
          <w:sz w:val="28"/>
          <w:szCs w:val="28"/>
        </w:rPr>
        <w:t>背景</w:t>
      </w:r>
    </w:p>
    <w:p>
      <w:pPr>
        <w:spacing w:line="360" w:lineRule="auto"/>
        <w:ind w:left="849" w:leftChars="386" w:right="871" w:rightChars="396" w:firstLine="480"/>
        <w:rPr>
          <w:szCs w:val="24"/>
        </w:rPr>
      </w:pPr>
      <w:r>
        <w:rPr>
          <w:rFonts w:hint="eastAsia"/>
          <w:szCs w:val="24"/>
        </w:rPr>
        <w:t>随着医疗卫生体制改革的不断深化，卫生行业信息化应用不断普及，医院信息系统已成为医疗服务的重要支撑体系。其应用的安全与稳定，直接关系到医院医疗工作的正常运行，一旦网络瘫痪或数据丢失，将会给医院和病人带来巨大的灾难和难以弥补的损失。同时，医院信息系统涉及大量医院经营和患者医疗等私密信息，信息的泄露和传播将会给医院、社会和患者带来安全风险。</w:t>
      </w:r>
    </w:p>
    <w:p>
      <w:pPr>
        <w:spacing w:line="360" w:lineRule="auto"/>
        <w:ind w:left="849" w:leftChars="386" w:right="871" w:rightChars="396" w:firstLine="480"/>
        <w:rPr>
          <w:szCs w:val="24"/>
        </w:rPr>
      </w:pPr>
      <w:r>
        <w:rPr>
          <w:rFonts w:hint="eastAsia"/>
          <w:szCs w:val="24"/>
        </w:rPr>
        <w:t>在面对医疗信息泄密事件频发的同时，国家对医疗信息化安全也越来越重视。2011年，网络安全等级保护已列入《三级综合医院评审标准》中信息化规范建设的重要考核依据与指标。同年12月份，卫生部发布《卫生部办公厅关于全面开展卫生行业网络安全等级保护工作的通知》，要求卫生行业“全面开展网络安全等级保护工作”。网络安全等级保护制度是国家信息安全保障工作的基本制度，医疗信息安全等级化建设已成为事关国家安全、社会稳定的政治任务。</w:t>
      </w:r>
    </w:p>
    <w:p>
      <w:pPr>
        <w:spacing w:line="360" w:lineRule="auto"/>
        <w:ind w:left="849" w:leftChars="386" w:right="871" w:rightChars="396" w:firstLine="480"/>
        <w:rPr>
          <w:szCs w:val="24"/>
        </w:rPr>
      </w:pPr>
      <w:r>
        <w:rPr>
          <w:rFonts w:hint="eastAsia"/>
          <w:szCs w:val="24"/>
        </w:rPr>
        <w:t>通过建立网络安全等级保护工作长效机制，提升卫生行业信息安全防护能力、隐患发现能力、应急处置能力，为卫生信息化健康发展提供可靠保障。</w:t>
      </w:r>
    </w:p>
    <w:p>
      <w:pPr>
        <w:spacing w:line="360" w:lineRule="auto"/>
        <w:ind w:left="849" w:leftChars="386" w:right="871" w:rightChars="396" w:firstLine="480"/>
        <w:rPr>
          <w:szCs w:val="24"/>
        </w:rPr>
      </w:pPr>
      <w:r>
        <w:rPr>
          <w:rFonts w:hint="eastAsia"/>
          <w:szCs w:val="24"/>
        </w:rPr>
        <w:t>医疗是一个信息和技术密集型的行业，其计算机网络是一个完善的办公网络系统，第二济困医院作为一个现代化的医疗机构网络,除了要满足高效的内部自动化办公需求以外,还应对外界的通讯保证畅通。结合第二济困医院复杂的HIS、LIS、PACS等应用系统，要求网络必须能够满足数据、语音、图像等综合业务的传输要求，所以在这样的网络上应运用多种高性能设备和先进技术来保证系统的正常运作和稳定的效率。同时第二济困医院的外网网络系统连接着Internet而内网则连接着医保中心、疾控中心、卫生局及银行等单位，访问人员比较复杂，所以如何保证医院网络系统中的数据安全问题尤为重要。在日新月异的现代化社会进程中，计算机网络几乎延伸到了世界每一个角落，它不停的改变着我们的工作生活方式和思维方式，但是，计算机信息系统的脆弱性和易受攻击性是不容忽视的。由于网络设备、计算机操作系统、网络协议等安全技术上的漏洞和管理体制上的不严密，从而使计算机网络受到威胁。近年来，在全国范围内，由于医院信息泄露、管理不当等问题引起的安全事件也是层出不穷，使医院在经济效益和社会效益方面都蒙受了巨大的损失。</w:t>
      </w:r>
    </w:p>
    <w:p>
      <w:pPr>
        <w:spacing w:line="360" w:lineRule="auto"/>
        <w:ind w:left="849" w:leftChars="386" w:right="871" w:rightChars="396" w:firstLine="480"/>
        <w:rPr>
          <w:szCs w:val="24"/>
        </w:rPr>
      </w:pPr>
      <w:r>
        <w:rPr>
          <w:rFonts w:hint="eastAsia"/>
          <w:szCs w:val="24"/>
        </w:rPr>
        <w:t>为此，国家公安部、保密局、国家密码管理局、国务院信息化领导小组办公室于2007年联合颁布了861号文件《关于开展全国重要信息系统等级保护定级工作的通知》和《信息安全等级保护管理办法》，要求涉及国计民生的信息系统应达到一定的安全等级，根据网络安全等级保护制度的要求，第二济困医院信息系统安全需求应达到三级防护要求。</w:t>
      </w:r>
    </w:p>
    <w:p>
      <w:pPr>
        <w:pStyle w:val="18"/>
        <w:numPr>
          <w:ilvl w:val="0"/>
          <w:numId w:val="11"/>
        </w:numPr>
        <w:autoSpaceDE/>
        <w:autoSpaceDN/>
        <w:spacing w:before="0" w:line="360" w:lineRule="auto"/>
        <w:ind w:left="1293" w:leftChars="386" w:right="871" w:rightChars="396" w:hanging="444"/>
        <w:outlineLvl w:val="1"/>
        <w:rPr>
          <w:b/>
          <w:sz w:val="28"/>
          <w:szCs w:val="28"/>
        </w:rPr>
      </w:pPr>
      <w:r>
        <w:rPr>
          <w:rFonts w:hint="eastAsia"/>
          <w:b/>
          <w:sz w:val="28"/>
          <w:szCs w:val="28"/>
        </w:rPr>
        <w:t>建设目标</w:t>
      </w:r>
    </w:p>
    <w:p>
      <w:pPr>
        <w:spacing w:line="360" w:lineRule="auto"/>
        <w:ind w:left="849" w:leftChars="386" w:right="871" w:rightChars="396" w:firstLine="480"/>
        <w:rPr>
          <w:szCs w:val="24"/>
        </w:rPr>
      </w:pPr>
      <w:r>
        <w:rPr>
          <w:rFonts w:hint="eastAsia"/>
          <w:szCs w:val="24"/>
        </w:rPr>
        <w:t>由于自治区第五人民医院业务特殊性，必须规划并建设一个技术先进、安全高效、可靠可控的信息安全系统，在实现网络系统安全的基础上，保护信息在传输交换和存储过程中的机密性、完整性和真实性。</w:t>
      </w:r>
    </w:p>
    <w:p>
      <w:pPr>
        <w:spacing w:line="360" w:lineRule="auto"/>
        <w:ind w:left="849" w:leftChars="386" w:right="871" w:rightChars="396" w:firstLine="480"/>
        <w:rPr>
          <w:szCs w:val="24"/>
        </w:rPr>
      </w:pPr>
      <w:r>
        <w:rPr>
          <w:rFonts w:hint="eastAsia"/>
          <w:szCs w:val="24"/>
        </w:rPr>
        <w:t>从安全检测与安全管理上提高我单位网络与信</w:t>
      </w:r>
      <w:r>
        <w:rPr>
          <w:szCs w:val="24"/>
        </w:rPr>
        <w:t>息系统安全防护水平，防止信息网络瘫痪，防止应用系统破坏，防止业务数据丢失，防止组织内部信息泄密，防止终端病毒感染，防止有害信息传播，防止恶意渗透攻击，确保信息系统安全稳定运行，确保业务数据安全。</w:t>
      </w:r>
    </w:p>
    <w:p>
      <w:pPr>
        <w:pStyle w:val="18"/>
        <w:numPr>
          <w:ilvl w:val="0"/>
          <w:numId w:val="11"/>
        </w:numPr>
        <w:autoSpaceDE/>
        <w:autoSpaceDN/>
        <w:spacing w:before="0" w:line="360" w:lineRule="auto"/>
        <w:ind w:left="1293" w:leftChars="386" w:right="871" w:rightChars="396" w:hanging="444"/>
        <w:outlineLvl w:val="1"/>
        <w:rPr>
          <w:b/>
          <w:sz w:val="28"/>
          <w:szCs w:val="28"/>
        </w:rPr>
      </w:pPr>
      <w:bookmarkStart w:id="134" w:name="_Toc5615"/>
      <w:bookmarkStart w:id="135" w:name="_Toc16111"/>
      <w:r>
        <w:rPr>
          <w:rFonts w:hint="eastAsia"/>
          <w:b/>
          <w:sz w:val="28"/>
          <w:szCs w:val="28"/>
        </w:rPr>
        <w:t>建设依据</w:t>
      </w:r>
      <w:bookmarkEnd w:id="134"/>
      <w:bookmarkEnd w:id="135"/>
    </w:p>
    <w:p>
      <w:pPr>
        <w:spacing w:line="360" w:lineRule="auto"/>
        <w:ind w:left="849" w:leftChars="386" w:right="871" w:rightChars="396" w:firstLine="480"/>
        <w:rPr>
          <w:rFonts w:cs="仿宋"/>
          <w:color w:val="000000"/>
          <w:szCs w:val="24"/>
        </w:rPr>
      </w:pPr>
      <w:r>
        <w:rPr>
          <w:rFonts w:hint="eastAsia" w:cs="仿宋"/>
          <w:color w:val="000000"/>
          <w:szCs w:val="24"/>
        </w:rPr>
        <w:t>设计主要依据如下等级保护标准：</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GBT22239-2019《信息安全技术网络安全等级保护基本要求》</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GBT28448-2019《信息安全技术网络安全等级保护测评要求》</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GBT25070-2019《信息安全技术网络安全等级保护安全设计技术要求》</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《信息安全技术 个人信息安全规范GB/T 35273—2020》</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《网络安全法》</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建筑单位提供的设计要求、市政资料、机房建筑、结构资料</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《电子计算机机房设计规范》（GB50174-93）</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《计算机机房场地技术要求》（GB2887-89）</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《计算机机房活动地板的技术要求》（GB6650-86）</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《计算机站场地安全技术》（GB9361-88）</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《电子计算机机房施工及验收规范》（SJ/T3003-93）</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《低压配电设计规范》（GB50054-95）；</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《供配电系统设计规范》（GB50052-95）；</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《高层民用建筑设计防火规范》（GB50045-92）；</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《采暖通风与空气调节设计规范》（GBJ19-87）</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《建筑给水排水设计规范》（GBJ15-88）</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《民用建筑电气设计规范》（JGJ/T16-92）</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《建筑设计防火规范》（GBJ16-87）</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《高层民用建筑设计防火规范》（GBJ59045-95）</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《建筑内部装修设计防火规范》（GB50222-95）</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《火灾自动报警系统设计规范》（GB50116-98）</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《二氧化碳灭火系统设计规范》（GB50193-93）</w:t>
      </w:r>
    </w:p>
    <w:p>
      <w:pPr>
        <w:widowControl/>
        <w:numPr>
          <w:ilvl w:val="0"/>
          <w:numId w:val="12"/>
        </w:numPr>
        <w:autoSpaceDE/>
        <w:autoSpaceDN/>
        <w:spacing w:line="360" w:lineRule="auto"/>
        <w:ind w:left="1132" w:leftChars="386" w:right="871" w:rightChars="396" w:hanging="283"/>
        <w:rPr>
          <w:rFonts w:cs="仿宋"/>
          <w:color w:val="000000"/>
          <w:szCs w:val="24"/>
        </w:rPr>
      </w:pPr>
      <w:r>
        <w:rPr>
          <w:rFonts w:hint="eastAsia" w:cs="仿宋"/>
          <w:color w:val="000000"/>
          <w:szCs w:val="24"/>
        </w:rPr>
        <w:t>中国工程建设标准化协会标准——建筑与建筑综合布线系统工程设计规范   CECS72：95</w:t>
      </w:r>
    </w:p>
    <w:p>
      <w:pPr>
        <w:ind w:left="849" w:leftChars="386" w:right="871" w:rightChars="396"/>
      </w:pPr>
    </w:p>
    <w:p>
      <w:pPr>
        <w:pStyle w:val="18"/>
        <w:numPr>
          <w:ilvl w:val="0"/>
          <w:numId w:val="11"/>
        </w:numPr>
        <w:autoSpaceDE/>
        <w:autoSpaceDN/>
        <w:spacing w:before="0" w:line="360" w:lineRule="auto"/>
        <w:ind w:left="1293" w:leftChars="386" w:right="871" w:rightChars="396" w:hanging="444"/>
        <w:outlineLvl w:val="1"/>
        <w:rPr>
          <w:b/>
          <w:sz w:val="28"/>
          <w:szCs w:val="28"/>
        </w:rPr>
      </w:pPr>
      <w:bookmarkStart w:id="136" w:name="_Toc17708"/>
      <w:bookmarkStart w:id="137" w:name="_Toc6463"/>
      <w:r>
        <w:rPr>
          <w:rFonts w:hint="eastAsia"/>
          <w:b/>
          <w:sz w:val="28"/>
          <w:szCs w:val="28"/>
        </w:rPr>
        <w:t>建设原则</w:t>
      </w:r>
      <w:bookmarkEnd w:id="136"/>
      <w:bookmarkEnd w:id="137"/>
    </w:p>
    <w:p>
      <w:pPr>
        <w:spacing w:line="360" w:lineRule="auto"/>
        <w:ind w:left="849" w:leftChars="386" w:right="871" w:rightChars="396" w:firstLine="480"/>
        <w:rPr>
          <w:rFonts w:cs="仿宋"/>
          <w:szCs w:val="24"/>
        </w:rPr>
      </w:pPr>
      <w:r>
        <w:rPr>
          <w:rFonts w:hint="eastAsia" w:cs="仿宋"/>
          <w:szCs w:val="24"/>
        </w:rPr>
        <w:t>应充分结合我单位网络现状及实际的安全需求进行设计，在设计过程中将采取如下原则：</w:t>
      </w:r>
    </w:p>
    <w:p>
      <w:pPr>
        <w:widowControl/>
        <w:numPr>
          <w:ilvl w:val="0"/>
          <w:numId w:val="13"/>
        </w:numPr>
        <w:autoSpaceDE/>
        <w:autoSpaceDN/>
        <w:spacing w:line="360" w:lineRule="auto"/>
        <w:ind w:left="849" w:leftChars="386" w:right="871" w:rightChars="396" w:firstLine="480"/>
        <w:rPr>
          <w:rFonts w:cs="仿宋"/>
          <w:szCs w:val="24"/>
        </w:rPr>
      </w:pPr>
      <w:r>
        <w:rPr>
          <w:rFonts w:hint="eastAsia" w:cs="仿宋"/>
          <w:szCs w:val="24"/>
        </w:rPr>
        <w:t>综合防范、整体安全</w:t>
      </w:r>
    </w:p>
    <w:p>
      <w:pPr>
        <w:spacing w:line="360" w:lineRule="auto"/>
        <w:ind w:left="849" w:leftChars="386" w:right="871" w:rightChars="396" w:firstLine="480"/>
        <w:rPr>
          <w:rFonts w:cs="仿宋"/>
          <w:szCs w:val="24"/>
        </w:rPr>
      </w:pPr>
      <w:r>
        <w:rPr>
          <w:rFonts w:hint="eastAsia" w:cs="仿宋"/>
          <w:szCs w:val="24"/>
        </w:rPr>
        <w:t>坚持管理与技术并重，从人员、管理、安全技术手段等多方面着手，建立综合防范机制，实现整体安全；</w:t>
      </w:r>
    </w:p>
    <w:p>
      <w:pPr>
        <w:widowControl/>
        <w:numPr>
          <w:ilvl w:val="0"/>
          <w:numId w:val="13"/>
        </w:numPr>
        <w:autoSpaceDE/>
        <w:autoSpaceDN/>
        <w:spacing w:line="360" w:lineRule="auto"/>
        <w:ind w:left="849" w:leftChars="386" w:right="871" w:rightChars="396" w:firstLine="480"/>
        <w:rPr>
          <w:rFonts w:cs="仿宋"/>
          <w:szCs w:val="24"/>
        </w:rPr>
      </w:pPr>
      <w:r>
        <w:rPr>
          <w:rFonts w:hint="eastAsia" w:cs="仿宋"/>
          <w:szCs w:val="24"/>
        </w:rPr>
        <w:t>分域保护、务求实效</w:t>
      </w:r>
    </w:p>
    <w:p>
      <w:pPr>
        <w:spacing w:line="360" w:lineRule="auto"/>
        <w:ind w:left="849" w:leftChars="386" w:right="871" w:rightChars="396" w:firstLine="480"/>
        <w:rPr>
          <w:rFonts w:cs="仿宋"/>
          <w:szCs w:val="24"/>
        </w:rPr>
      </w:pPr>
      <w:r>
        <w:rPr>
          <w:rFonts w:hint="eastAsia" w:cs="仿宋"/>
          <w:szCs w:val="24"/>
        </w:rPr>
        <w:t>通过安全域的划分，制定数据资源划分的规则，将信息资源划分为计算环境、区域边界、通信网络三个方面进行安全防护设计，以体现层层递进，逐级深入的安全防护理念；</w:t>
      </w:r>
    </w:p>
    <w:p>
      <w:pPr>
        <w:widowControl/>
        <w:numPr>
          <w:ilvl w:val="0"/>
          <w:numId w:val="13"/>
        </w:numPr>
        <w:autoSpaceDE/>
        <w:autoSpaceDN/>
        <w:spacing w:line="360" w:lineRule="auto"/>
        <w:ind w:left="849" w:leftChars="386" w:right="871" w:rightChars="396" w:firstLine="480"/>
        <w:rPr>
          <w:rFonts w:cs="仿宋"/>
          <w:szCs w:val="24"/>
        </w:rPr>
      </w:pPr>
      <w:r>
        <w:rPr>
          <w:rFonts w:hint="eastAsia" w:cs="仿宋"/>
          <w:szCs w:val="24"/>
        </w:rPr>
        <w:t>同步建设</w:t>
      </w:r>
    </w:p>
    <w:p>
      <w:pPr>
        <w:spacing w:line="360" w:lineRule="auto"/>
        <w:ind w:left="849" w:leftChars="386" w:right="871" w:rightChars="396" w:firstLine="480"/>
        <w:rPr>
          <w:rFonts w:cs="仿宋"/>
          <w:szCs w:val="24"/>
        </w:rPr>
      </w:pPr>
      <w:r>
        <w:rPr>
          <w:rFonts w:hint="eastAsia" w:cs="仿宋"/>
          <w:szCs w:val="24"/>
        </w:rPr>
        <w:t>网络安全保障体系规划与系统建设同步，协调发展，将安全保障体系建设融入到信息化建设的规划、建设、运行和维护的全过程中；</w:t>
      </w:r>
    </w:p>
    <w:p>
      <w:pPr>
        <w:widowControl/>
        <w:numPr>
          <w:ilvl w:val="0"/>
          <w:numId w:val="13"/>
        </w:numPr>
        <w:autoSpaceDE/>
        <w:autoSpaceDN/>
        <w:spacing w:line="360" w:lineRule="auto"/>
        <w:ind w:left="849" w:leftChars="386" w:right="871" w:rightChars="396" w:firstLine="480"/>
        <w:rPr>
          <w:rFonts w:cs="仿宋"/>
          <w:szCs w:val="24"/>
        </w:rPr>
      </w:pPr>
      <w:r>
        <w:rPr>
          <w:rFonts w:hint="eastAsia" w:cs="仿宋"/>
          <w:szCs w:val="24"/>
        </w:rPr>
        <w:t>纵深防御，集中管理</w:t>
      </w:r>
    </w:p>
    <w:p>
      <w:pPr>
        <w:spacing w:line="360" w:lineRule="auto"/>
        <w:ind w:left="849" w:leftChars="386" w:right="871" w:rightChars="396" w:firstLine="480"/>
        <w:rPr>
          <w:rFonts w:cs="仿宋"/>
          <w:szCs w:val="24"/>
        </w:rPr>
      </w:pPr>
      <w:r>
        <w:rPr>
          <w:rFonts w:hint="eastAsia" w:cs="仿宋"/>
          <w:szCs w:val="24"/>
        </w:rPr>
        <w:t>可构建一个从外到内、功能互补的纵深防御体系，对资产、安全事件、风险、访问行为等进行集中统一分析与监管。</w:t>
      </w:r>
    </w:p>
    <w:p>
      <w:pPr>
        <w:pStyle w:val="18"/>
        <w:numPr>
          <w:ilvl w:val="0"/>
          <w:numId w:val="11"/>
        </w:numPr>
        <w:autoSpaceDE/>
        <w:autoSpaceDN/>
        <w:spacing w:before="0" w:line="360" w:lineRule="auto"/>
        <w:ind w:left="1293" w:leftChars="386" w:right="871" w:rightChars="396" w:hanging="444"/>
        <w:outlineLvl w:val="1"/>
        <w:rPr>
          <w:b/>
          <w:sz w:val="28"/>
          <w:szCs w:val="28"/>
        </w:rPr>
      </w:pPr>
      <w:r>
        <w:rPr>
          <w:rFonts w:hint="eastAsia"/>
          <w:b/>
          <w:sz w:val="28"/>
          <w:szCs w:val="28"/>
        </w:rPr>
        <w:t>采购需求</w:t>
      </w:r>
    </w:p>
    <w:p>
      <w:pPr>
        <w:ind w:left="849" w:leftChars="386" w:right="871" w:rightChars="396" w:firstLine="480"/>
        <w:rPr>
          <w:szCs w:val="24"/>
        </w:rPr>
      </w:pPr>
      <w:r>
        <w:rPr>
          <w:rFonts w:hint="eastAsia"/>
          <w:szCs w:val="24"/>
        </w:rPr>
        <w:t>项目需求清单</w:t>
      </w:r>
    </w:p>
    <w:tbl>
      <w:tblPr>
        <w:tblStyle w:val="11"/>
        <w:tblW w:w="8784"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984"/>
        <w:gridCol w:w="2977"/>
        <w:gridCol w:w="709"/>
        <w:gridCol w:w="850"/>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shd w:val="clear" w:color="auto" w:fill="auto"/>
            <w:vAlign w:val="center"/>
          </w:tcPr>
          <w:p>
            <w:pPr>
              <w:widowControl/>
              <w:jc w:val="center"/>
              <w:rPr>
                <w:b/>
                <w:bCs/>
              </w:rPr>
            </w:pPr>
            <w:r>
              <w:rPr>
                <w:rFonts w:hint="eastAsia"/>
                <w:b/>
                <w:bCs/>
              </w:rPr>
              <w:t>序号</w:t>
            </w:r>
          </w:p>
        </w:tc>
        <w:tc>
          <w:tcPr>
            <w:tcW w:w="1984" w:type="dxa"/>
            <w:shd w:val="clear" w:color="auto" w:fill="auto"/>
            <w:vAlign w:val="center"/>
          </w:tcPr>
          <w:p>
            <w:pPr>
              <w:widowControl/>
              <w:jc w:val="center"/>
              <w:rPr>
                <w:b/>
                <w:bCs/>
              </w:rPr>
            </w:pPr>
            <w:r>
              <w:rPr>
                <w:rFonts w:hint="eastAsia"/>
                <w:b/>
                <w:bCs/>
              </w:rPr>
              <w:t>设备名称</w:t>
            </w:r>
          </w:p>
        </w:tc>
        <w:tc>
          <w:tcPr>
            <w:tcW w:w="2977" w:type="dxa"/>
            <w:shd w:val="clear" w:color="auto" w:fill="auto"/>
            <w:vAlign w:val="center"/>
          </w:tcPr>
          <w:p>
            <w:pPr>
              <w:widowControl/>
              <w:ind w:firstLine="442"/>
              <w:jc w:val="center"/>
              <w:rPr>
                <w:b/>
                <w:bCs/>
              </w:rPr>
            </w:pPr>
            <w:r>
              <w:rPr>
                <w:rFonts w:hint="eastAsia"/>
                <w:b/>
                <w:bCs/>
              </w:rPr>
              <w:t>设备参数配置要求</w:t>
            </w:r>
          </w:p>
        </w:tc>
        <w:tc>
          <w:tcPr>
            <w:tcW w:w="709" w:type="dxa"/>
            <w:shd w:val="clear" w:color="auto" w:fill="auto"/>
            <w:vAlign w:val="center"/>
          </w:tcPr>
          <w:p>
            <w:pPr>
              <w:widowControl/>
              <w:jc w:val="center"/>
              <w:rPr>
                <w:b/>
                <w:bCs/>
              </w:rPr>
            </w:pPr>
            <w:r>
              <w:rPr>
                <w:rFonts w:hint="eastAsia"/>
                <w:b/>
                <w:bCs/>
              </w:rPr>
              <w:t>数量</w:t>
            </w:r>
          </w:p>
        </w:tc>
        <w:tc>
          <w:tcPr>
            <w:tcW w:w="850" w:type="dxa"/>
            <w:shd w:val="clear" w:color="auto" w:fill="auto"/>
            <w:vAlign w:val="center"/>
          </w:tcPr>
          <w:p>
            <w:pPr>
              <w:widowControl/>
              <w:jc w:val="center"/>
              <w:rPr>
                <w:b/>
                <w:bCs/>
              </w:rPr>
            </w:pPr>
            <w:r>
              <w:rPr>
                <w:rFonts w:hint="eastAsia"/>
                <w:b/>
                <w:bCs/>
              </w:rPr>
              <w:t>单位</w:t>
            </w:r>
          </w:p>
        </w:tc>
        <w:tc>
          <w:tcPr>
            <w:tcW w:w="1531" w:type="dxa"/>
            <w:shd w:val="clear" w:color="auto" w:fill="auto"/>
            <w:vAlign w:val="center"/>
          </w:tcPr>
          <w:p>
            <w:pPr>
              <w:widowControl/>
              <w:jc w:val="center"/>
              <w:rPr>
                <w:b/>
                <w:bCs/>
              </w:rPr>
            </w:pPr>
            <w:r>
              <w:rPr>
                <w:rFonts w:hint="eastAsia"/>
                <w:b/>
                <w:bCs/>
              </w:rPr>
              <w:t>质保期限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shd w:val="clear" w:color="000000" w:fill="FFFFFF"/>
            <w:vAlign w:val="center"/>
          </w:tcPr>
          <w:p>
            <w:pPr>
              <w:widowControl/>
              <w:jc w:val="center"/>
            </w:pPr>
            <w:r>
              <w:rPr>
                <w:rFonts w:hint="eastAsia"/>
              </w:rPr>
              <w:t>1</w:t>
            </w:r>
          </w:p>
        </w:tc>
        <w:tc>
          <w:tcPr>
            <w:tcW w:w="1984" w:type="dxa"/>
            <w:shd w:val="clear" w:color="000000" w:fill="FFFFFF"/>
            <w:vAlign w:val="center"/>
          </w:tcPr>
          <w:p>
            <w:pPr>
              <w:widowControl/>
            </w:pPr>
            <w:r>
              <w:rPr>
                <w:rFonts w:hint="eastAsia"/>
              </w:rPr>
              <w:t>信息系统等级保护测评</w:t>
            </w:r>
          </w:p>
        </w:tc>
        <w:tc>
          <w:tcPr>
            <w:tcW w:w="2977" w:type="dxa"/>
            <w:shd w:val="clear" w:color="000000" w:fill="FFFFFF"/>
            <w:vAlign w:val="center"/>
          </w:tcPr>
          <w:p>
            <w:pPr>
              <w:widowControl/>
            </w:pPr>
            <w:r>
              <w:rPr>
                <w:rFonts w:hint="eastAsia"/>
              </w:rPr>
              <w:t>详细参数见《招标技术参数》</w:t>
            </w:r>
          </w:p>
        </w:tc>
        <w:tc>
          <w:tcPr>
            <w:tcW w:w="709" w:type="dxa"/>
            <w:shd w:val="clear" w:color="000000" w:fill="FFFFFF"/>
            <w:vAlign w:val="center"/>
          </w:tcPr>
          <w:p>
            <w:pPr>
              <w:widowControl/>
              <w:ind w:firstLine="198" w:firstLineChars="90"/>
              <w:jc w:val="center"/>
              <w:rPr>
                <w:rFonts w:ascii="Times New Roman" w:hAnsi="Times New Roman" w:eastAsia="等线" w:cs="Times New Roman"/>
              </w:rPr>
            </w:pPr>
            <w:r>
              <w:rPr>
                <w:rFonts w:hint="eastAsia" w:ascii="Times New Roman" w:hAnsi="Times New Roman" w:eastAsia="等线" w:cs="Times New Roman"/>
              </w:rPr>
              <w:t>1</w:t>
            </w:r>
          </w:p>
        </w:tc>
        <w:tc>
          <w:tcPr>
            <w:tcW w:w="850" w:type="dxa"/>
            <w:shd w:val="clear" w:color="000000" w:fill="FFFFFF"/>
            <w:vAlign w:val="center"/>
          </w:tcPr>
          <w:p>
            <w:pPr>
              <w:widowControl/>
              <w:ind w:firstLine="198" w:firstLineChars="90"/>
            </w:pPr>
            <w:r>
              <w:rPr>
                <w:rFonts w:hint="eastAsia"/>
              </w:rPr>
              <w:t>项</w:t>
            </w:r>
          </w:p>
        </w:tc>
        <w:tc>
          <w:tcPr>
            <w:tcW w:w="1531" w:type="dxa"/>
            <w:shd w:val="clear" w:color="000000" w:fill="FFFFFF"/>
            <w:vAlign w:val="center"/>
          </w:tcPr>
          <w:p>
            <w:pPr>
              <w:widowControl/>
              <w:ind w:firstLine="198" w:firstLineChars="90"/>
              <w:rPr>
                <w:szCs w:val="21"/>
              </w:rPr>
            </w:pPr>
            <w:r>
              <w:rPr>
                <w:rFonts w:hint="eastAsia"/>
                <w:szCs w:val="21"/>
              </w:rPr>
              <w:t>一年质保</w:t>
            </w:r>
          </w:p>
        </w:tc>
      </w:tr>
    </w:tbl>
    <w:p>
      <w:pPr>
        <w:ind w:left="849" w:leftChars="386" w:right="871" w:rightChars="396" w:firstLine="480"/>
        <w:rPr>
          <w:szCs w:val="24"/>
        </w:rPr>
      </w:pPr>
    </w:p>
    <w:p>
      <w:pPr>
        <w:ind w:left="849" w:leftChars="386" w:right="871" w:rightChars="396"/>
      </w:pPr>
    </w:p>
    <w:p>
      <w:pPr>
        <w:adjustRightInd w:val="0"/>
        <w:snapToGrid w:val="0"/>
        <w:spacing w:line="360" w:lineRule="auto"/>
        <w:ind w:left="849" w:leftChars="386" w:right="871" w:rightChars="396"/>
        <w:jc w:val="center"/>
        <w:outlineLvl w:val="0"/>
        <w:rPr>
          <w:b/>
          <w:sz w:val="32"/>
          <w:szCs w:val="32"/>
        </w:rPr>
      </w:pPr>
      <w:bookmarkStart w:id="138" w:name="_Toc627"/>
      <w:r>
        <w:rPr>
          <w:rFonts w:hint="eastAsia"/>
          <w:b/>
          <w:sz w:val="32"/>
          <w:szCs w:val="32"/>
        </w:rPr>
        <w:t>第二部分 招标技术参数</w:t>
      </w:r>
      <w:bookmarkEnd w:id="138"/>
    </w:p>
    <w:p>
      <w:pPr>
        <w:pStyle w:val="18"/>
        <w:keepNext/>
        <w:keepLines/>
        <w:numPr>
          <w:ilvl w:val="0"/>
          <w:numId w:val="14"/>
        </w:numPr>
        <w:autoSpaceDE/>
        <w:autoSpaceDN/>
        <w:spacing w:before="280" w:after="290" w:line="376" w:lineRule="atLeast"/>
        <w:ind w:left="849" w:leftChars="386" w:right="871" w:rightChars="396"/>
        <w:jc w:val="both"/>
        <w:outlineLvl w:val="3"/>
        <w:rPr>
          <w:rFonts w:asciiTheme="majorHAnsi" w:hAnsiTheme="majorHAnsi" w:eastAsiaTheme="majorEastAsia" w:cstheme="majorBidi"/>
          <w:b/>
          <w:bCs/>
          <w:vanish/>
          <w:kern w:val="44"/>
          <w:sz w:val="28"/>
          <w:szCs w:val="28"/>
        </w:rPr>
      </w:pPr>
    </w:p>
    <w:p>
      <w:pPr>
        <w:pStyle w:val="18"/>
        <w:keepNext/>
        <w:keepLines/>
        <w:numPr>
          <w:ilvl w:val="0"/>
          <w:numId w:val="14"/>
        </w:numPr>
        <w:autoSpaceDE/>
        <w:autoSpaceDN/>
        <w:spacing w:before="280" w:after="290" w:line="376" w:lineRule="atLeast"/>
        <w:ind w:left="849" w:leftChars="386" w:right="871" w:rightChars="396"/>
        <w:jc w:val="both"/>
        <w:outlineLvl w:val="3"/>
        <w:rPr>
          <w:rFonts w:asciiTheme="majorHAnsi" w:hAnsiTheme="majorHAnsi" w:eastAsiaTheme="majorEastAsia" w:cstheme="majorBidi"/>
          <w:b/>
          <w:bCs/>
          <w:vanish/>
          <w:kern w:val="44"/>
          <w:sz w:val="28"/>
          <w:szCs w:val="28"/>
        </w:rPr>
      </w:pPr>
    </w:p>
    <w:p>
      <w:pPr>
        <w:pStyle w:val="2"/>
        <w:numPr>
          <w:ilvl w:val="1"/>
          <w:numId w:val="14"/>
        </w:numPr>
        <w:spacing w:before="156" w:line="360" w:lineRule="auto"/>
        <w:ind w:left="849" w:leftChars="386" w:right="871" w:rightChars="396"/>
      </w:pPr>
      <w:r>
        <w:rPr>
          <w:rFonts w:hint="eastAsia"/>
        </w:rPr>
        <w:t>信息系统等级保护测评招标参数</w:t>
      </w:r>
    </w:p>
    <w:p>
      <w:pPr>
        <w:tabs>
          <w:tab w:val="center" w:pos="4156"/>
          <w:tab w:val="left" w:pos="6165"/>
        </w:tabs>
        <w:spacing w:line="360" w:lineRule="auto"/>
        <w:ind w:left="849" w:leftChars="386" w:right="871" w:rightChars="396" w:firstLine="482"/>
        <w:rPr>
          <w:b/>
          <w:color w:val="000000"/>
          <w:szCs w:val="21"/>
        </w:rPr>
      </w:pPr>
      <w:r>
        <w:rPr>
          <w:rFonts w:hint="eastAsia"/>
          <w:b/>
          <w:color w:val="000000"/>
          <w:szCs w:val="21"/>
        </w:rPr>
        <w:t>（1）、项目背景</w:t>
      </w:r>
    </w:p>
    <w:p>
      <w:pPr>
        <w:spacing w:line="360" w:lineRule="auto"/>
        <w:ind w:left="849" w:leftChars="386" w:right="871" w:rightChars="396" w:firstLine="480"/>
        <w:rPr>
          <w:rFonts w:cs="Arial"/>
          <w:szCs w:val="21"/>
        </w:rPr>
      </w:pPr>
      <w:r>
        <w:rPr>
          <w:rFonts w:hint="eastAsia" w:cs="Arial"/>
          <w:szCs w:val="21"/>
        </w:rPr>
        <w:t xml:space="preserve">信息安全等级保护是国家信息安全保障的基本制度、基本策略、基本方法，是维护国家信息安全的根本保障。通过开展信息安全等级保护工作，可以有效地解决我国信息安全面临的主要问题，按照“明确重点、突出重点、保护重点”的原则，将有限的财力、物力、人力投入到重要信息系统的安全保护中去。通过实施信息系统安全等级保护自测评，能够准确把握信息系统安全状况，帮助信息系统运营使用单位和主管部门按照标准进行安全建设、整改和管理运行。 </w:t>
      </w:r>
    </w:p>
    <w:p>
      <w:pPr>
        <w:spacing w:line="360" w:lineRule="auto"/>
        <w:ind w:left="849" w:leftChars="386" w:right="871" w:rightChars="396" w:firstLine="480"/>
        <w:rPr>
          <w:szCs w:val="21"/>
        </w:rPr>
      </w:pPr>
      <w:r>
        <w:rPr>
          <w:rFonts w:hint="eastAsia"/>
          <w:szCs w:val="21"/>
        </w:rPr>
        <w:t>本项目主要对</w:t>
      </w:r>
      <w:r>
        <w:rPr>
          <w:rFonts w:hint="eastAsia"/>
          <w:color w:val="000000"/>
          <w:szCs w:val="21"/>
        </w:rPr>
        <w:t>新疆维吾尔自治区第二济困医院</w:t>
      </w:r>
      <w:r>
        <w:rPr>
          <w:rFonts w:hint="eastAsia"/>
          <w:szCs w:val="21"/>
        </w:rPr>
        <w:t>重要信息系统进行信息安全等级保护工作。为使得重要信息系统达到相应等级的安全防护水平，指导用户完成信息系统安全整改建设工作并提供信息系统安全等级测评服务，建立信息安全管理制度体系,协助用户完成信息系统安全等级保护其他相关工作。进行风险评估和提出安全需求是制定网络安全策略的依据。</w:t>
      </w:r>
    </w:p>
    <w:p>
      <w:pPr>
        <w:spacing w:line="360" w:lineRule="auto"/>
        <w:ind w:left="849" w:leftChars="386" w:right="871" w:rightChars="396" w:firstLine="482"/>
        <w:rPr>
          <w:b/>
          <w:color w:val="000000"/>
          <w:szCs w:val="21"/>
        </w:rPr>
      </w:pPr>
      <w:r>
        <w:rPr>
          <w:rFonts w:hint="eastAsia"/>
          <w:b/>
          <w:color w:val="000000"/>
          <w:szCs w:val="21"/>
        </w:rPr>
        <w:t>（2）、项目服务范围</w:t>
      </w:r>
    </w:p>
    <w:p>
      <w:pPr>
        <w:spacing w:line="360" w:lineRule="auto"/>
        <w:ind w:left="849" w:leftChars="386" w:right="871" w:rightChars="396" w:firstLine="480"/>
        <w:rPr>
          <w:szCs w:val="21"/>
        </w:rPr>
      </w:pPr>
      <w:r>
        <w:rPr>
          <w:rFonts w:hint="eastAsia"/>
          <w:szCs w:val="21"/>
        </w:rPr>
        <w:t>本项目将对4个</w:t>
      </w:r>
      <w:r>
        <w:rPr>
          <w:rFonts w:hint="eastAsia"/>
          <w:spacing w:val="-2"/>
          <w:szCs w:val="21"/>
        </w:rPr>
        <w:t>信息系统</w:t>
      </w:r>
      <w:r>
        <w:rPr>
          <w:spacing w:val="-2"/>
          <w:szCs w:val="21"/>
        </w:rPr>
        <w:t>进行差距分析</w:t>
      </w:r>
      <w:r>
        <w:rPr>
          <w:rFonts w:hint="eastAsia"/>
          <w:spacing w:val="-2"/>
          <w:szCs w:val="21"/>
        </w:rPr>
        <w:t>，对不符合信息安全等级保护有关管理规范和技术标准的，提出可行性整改方案并协助整改，在整改完成后对整改项进行测评，在整改完成后需再次测评。</w:t>
      </w:r>
    </w:p>
    <w:p>
      <w:pPr>
        <w:spacing w:line="360" w:lineRule="auto"/>
        <w:ind w:left="849" w:leftChars="386" w:right="871" w:rightChars="396" w:firstLine="480"/>
        <w:rPr>
          <w:szCs w:val="21"/>
        </w:rPr>
      </w:pPr>
      <w:r>
        <w:rPr>
          <w:rFonts w:hint="eastAsia"/>
          <w:szCs w:val="21"/>
        </w:rPr>
        <w:t>重要信息系统的名称和数量如下表所示。</w:t>
      </w:r>
    </w:p>
    <w:tbl>
      <w:tblPr>
        <w:tblStyle w:val="11"/>
        <w:tblW w:w="9127" w:type="dxa"/>
        <w:jc w:val="center"/>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6444"/>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tblHeader/>
          <w:jc w:val="center"/>
        </w:trPr>
        <w:tc>
          <w:tcPr>
            <w:tcW w:w="1228" w:type="dxa"/>
            <w:vAlign w:val="center"/>
          </w:tcPr>
          <w:p>
            <w:pPr>
              <w:spacing w:line="360" w:lineRule="auto"/>
              <w:jc w:val="center"/>
              <w:rPr>
                <w:spacing w:val="-2"/>
                <w:szCs w:val="21"/>
              </w:rPr>
            </w:pPr>
            <w:r>
              <w:rPr>
                <w:rFonts w:hint="eastAsia"/>
                <w:spacing w:val="-2"/>
                <w:szCs w:val="21"/>
              </w:rPr>
              <w:t>序号</w:t>
            </w:r>
          </w:p>
        </w:tc>
        <w:tc>
          <w:tcPr>
            <w:tcW w:w="6444" w:type="dxa"/>
            <w:vAlign w:val="center"/>
          </w:tcPr>
          <w:p>
            <w:pPr>
              <w:spacing w:line="360" w:lineRule="auto"/>
              <w:ind w:firstLine="472"/>
              <w:jc w:val="center"/>
              <w:rPr>
                <w:spacing w:val="-2"/>
                <w:szCs w:val="21"/>
              </w:rPr>
            </w:pPr>
            <w:r>
              <w:rPr>
                <w:rFonts w:hint="eastAsia"/>
                <w:spacing w:val="-2"/>
                <w:szCs w:val="21"/>
              </w:rPr>
              <w:t>信息系统项目名称</w:t>
            </w:r>
          </w:p>
        </w:tc>
        <w:tc>
          <w:tcPr>
            <w:tcW w:w="1455" w:type="dxa"/>
          </w:tcPr>
          <w:p>
            <w:pPr>
              <w:spacing w:line="360" w:lineRule="auto"/>
              <w:rPr>
                <w:spacing w:val="-2"/>
                <w:szCs w:val="21"/>
              </w:rPr>
            </w:pPr>
            <w:r>
              <w:rPr>
                <w:rFonts w:hint="eastAsia"/>
                <w:spacing w:val="-2"/>
                <w:szCs w:val="21"/>
              </w:rPr>
              <w:t>系统等级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228" w:type="dxa"/>
            <w:vAlign w:val="center"/>
          </w:tcPr>
          <w:p>
            <w:pPr>
              <w:spacing w:line="360" w:lineRule="auto"/>
              <w:ind w:firstLine="472"/>
              <w:rPr>
                <w:spacing w:val="-2"/>
                <w:szCs w:val="21"/>
              </w:rPr>
            </w:pPr>
            <w:r>
              <w:rPr>
                <w:rFonts w:hint="eastAsia"/>
                <w:spacing w:val="-2"/>
                <w:szCs w:val="21"/>
              </w:rPr>
              <w:t>1</w:t>
            </w:r>
          </w:p>
        </w:tc>
        <w:tc>
          <w:tcPr>
            <w:tcW w:w="6444" w:type="dxa"/>
            <w:vAlign w:val="center"/>
          </w:tcPr>
          <w:p>
            <w:pPr>
              <w:spacing w:line="360" w:lineRule="auto"/>
              <w:ind w:firstLine="472"/>
              <w:jc w:val="center"/>
              <w:rPr>
                <w:spacing w:val="-2"/>
                <w:szCs w:val="21"/>
              </w:rPr>
            </w:pPr>
            <w:r>
              <w:rPr>
                <w:rFonts w:hint="eastAsia"/>
                <w:spacing w:val="-2"/>
                <w:szCs w:val="21"/>
              </w:rPr>
              <w:t>实验室信息管理系统（</w:t>
            </w:r>
            <w:r>
              <w:rPr>
                <w:spacing w:val="-2"/>
                <w:szCs w:val="21"/>
              </w:rPr>
              <w:t>LIS）</w:t>
            </w:r>
          </w:p>
        </w:tc>
        <w:tc>
          <w:tcPr>
            <w:tcW w:w="1455" w:type="dxa"/>
          </w:tcPr>
          <w:p>
            <w:pPr>
              <w:spacing w:line="360" w:lineRule="auto"/>
              <w:ind w:firstLine="472"/>
              <w:rPr>
                <w:spacing w:val="-2"/>
                <w:szCs w:val="21"/>
              </w:rPr>
            </w:pPr>
            <w:r>
              <w:rPr>
                <w:rFonts w:hint="eastAsia"/>
                <w:spacing w:val="-2"/>
                <w:szCs w:val="21"/>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exact"/>
          <w:jc w:val="center"/>
        </w:trPr>
        <w:tc>
          <w:tcPr>
            <w:tcW w:w="1228" w:type="dxa"/>
            <w:vAlign w:val="center"/>
          </w:tcPr>
          <w:p>
            <w:pPr>
              <w:spacing w:line="360" w:lineRule="auto"/>
              <w:ind w:firstLine="472"/>
              <w:rPr>
                <w:spacing w:val="-2"/>
                <w:szCs w:val="21"/>
              </w:rPr>
            </w:pPr>
            <w:r>
              <w:rPr>
                <w:rFonts w:hint="eastAsia"/>
                <w:spacing w:val="-2"/>
                <w:szCs w:val="21"/>
              </w:rPr>
              <w:t>2</w:t>
            </w:r>
          </w:p>
        </w:tc>
        <w:tc>
          <w:tcPr>
            <w:tcW w:w="6444" w:type="dxa"/>
            <w:vAlign w:val="center"/>
          </w:tcPr>
          <w:p>
            <w:pPr>
              <w:spacing w:line="360" w:lineRule="auto"/>
              <w:ind w:firstLine="472"/>
              <w:jc w:val="center"/>
              <w:rPr>
                <w:spacing w:val="-2"/>
                <w:szCs w:val="21"/>
              </w:rPr>
            </w:pPr>
            <w:r>
              <w:rPr>
                <w:rFonts w:hint="eastAsia"/>
                <w:spacing w:val="-2"/>
                <w:szCs w:val="21"/>
              </w:rPr>
              <w:t>医学影像信息系统（</w:t>
            </w:r>
            <w:r>
              <w:rPr>
                <w:spacing w:val="-2"/>
                <w:szCs w:val="21"/>
              </w:rPr>
              <w:t>PACS）</w:t>
            </w:r>
          </w:p>
        </w:tc>
        <w:tc>
          <w:tcPr>
            <w:tcW w:w="1455" w:type="dxa"/>
          </w:tcPr>
          <w:p>
            <w:pPr>
              <w:spacing w:line="360" w:lineRule="auto"/>
              <w:ind w:firstLine="472"/>
              <w:rPr>
                <w:spacing w:val="-2"/>
                <w:szCs w:val="21"/>
              </w:rPr>
            </w:pPr>
            <w:r>
              <w:rPr>
                <w:rFonts w:hint="eastAsia"/>
                <w:spacing w:val="-2"/>
                <w:szCs w:val="21"/>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228" w:type="dxa"/>
            <w:vAlign w:val="center"/>
          </w:tcPr>
          <w:p>
            <w:pPr>
              <w:spacing w:line="360" w:lineRule="auto"/>
              <w:ind w:firstLine="472"/>
              <w:rPr>
                <w:spacing w:val="-2"/>
                <w:szCs w:val="21"/>
              </w:rPr>
            </w:pPr>
            <w:r>
              <w:rPr>
                <w:rFonts w:hint="eastAsia"/>
                <w:spacing w:val="-2"/>
                <w:szCs w:val="21"/>
              </w:rPr>
              <w:t>3</w:t>
            </w:r>
          </w:p>
        </w:tc>
        <w:tc>
          <w:tcPr>
            <w:tcW w:w="6444" w:type="dxa"/>
            <w:vAlign w:val="center"/>
          </w:tcPr>
          <w:p>
            <w:pPr>
              <w:spacing w:line="360" w:lineRule="auto"/>
              <w:ind w:firstLine="472"/>
              <w:jc w:val="center"/>
              <w:rPr>
                <w:spacing w:val="-2"/>
                <w:szCs w:val="21"/>
              </w:rPr>
            </w:pPr>
            <w:r>
              <w:rPr>
                <w:rFonts w:hint="eastAsia"/>
                <w:spacing w:val="-2"/>
                <w:szCs w:val="21"/>
              </w:rPr>
              <w:t>医院管理信息系统（</w:t>
            </w:r>
            <w:r>
              <w:rPr>
                <w:spacing w:val="-2"/>
                <w:szCs w:val="21"/>
              </w:rPr>
              <w:t>HIS）</w:t>
            </w:r>
          </w:p>
        </w:tc>
        <w:tc>
          <w:tcPr>
            <w:tcW w:w="1455" w:type="dxa"/>
          </w:tcPr>
          <w:p>
            <w:pPr>
              <w:spacing w:line="360" w:lineRule="auto"/>
              <w:ind w:firstLine="472"/>
              <w:rPr>
                <w:spacing w:val="-2"/>
                <w:szCs w:val="21"/>
              </w:rPr>
            </w:pPr>
            <w:r>
              <w:rPr>
                <w:rFonts w:hint="eastAsia"/>
                <w:spacing w:val="-2"/>
                <w:szCs w:val="21"/>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228" w:type="dxa"/>
            <w:vAlign w:val="center"/>
          </w:tcPr>
          <w:p>
            <w:pPr>
              <w:spacing w:line="360" w:lineRule="auto"/>
              <w:ind w:firstLine="472"/>
              <w:rPr>
                <w:spacing w:val="-2"/>
                <w:szCs w:val="21"/>
              </w:rPr>
            </w:pPr>
            <w:r>
              <w:rPr>
                <w:rFonts w:hint="eastAsia"/>
                <w:spacing w:val="-2"/>
                <w:szCs w:val="21"/>
              </w:rPr>
              <w:t>4</w:t>
            </w:r>
          </w:p>
        </w:tc>
        <w:tc>
          <w:tcPr>
            <w:tcW w:w="6444" w:type="dxa"/>
            <w:vAlign w:val="center"/>
          </w:tcPr>
          <w:p>
            <w:pPr>
              <w:spacing w:line="360" w:lineRule="auto"/>
              <w:ind w:firstLine="472"/>
              <w:jc w:val="center"/>
              <w:rPr>
                <w:spacing w:val="-2"/>
                <w:szCs w:val="21"/>
              </w:rPr>
            </w:pPr>
            <w:r>
              <w:rPr>
                <w:rFonts w:hint="eastAsia"/>
                <w:spacing w:val="-2"/>
                <w:szCs w:val="21"/>
              </w:rPr>
              <w:t>电子病历系统（</w:t>
            </w:r>
            <w:r>
              <w:rPr>
                <w:spacing w:val="-2"/>
                <w:szCs w:val="21"/>
              </w:rPr>
              <w:t>EMR）</w:t>
            </w:r>
          </w:p>
        </w:tc>
        <w:tc>
          <w:tcPr>
            <w:tcW w:w="1455" w:type="dxa"/>
          </w:tcPr>
          <w:p>
            <w:pPr>
              <w:spacing w:line="360" w:lineRule="auto"/>
              <w:ind w:firstLine="472"/>
              <w:rPr>
                <w:spacing w:val="-2"/>
                <w:szCs w:val="21"/>
              </w:rPr>
            </w:pPr>
            <w:r>
              <w:rPr>
                <w:rFonts w:hint="eastAsia"/>
                <w:spacing w:val="-2"/>
                <w:szCs w:val="21"/>
              </w:rPr>
              <w:t>三</w:t>
            </w:r>
          </w:p>
        </w:tc>
      </w:tr>
    </w:tbl>
    <w:p>
      <w:pPr>
        <w:spacing w:line="360" w:lineRule="auto"/>
        <w:ind w:left="849" w:leftChars="386" w:right="871" w:rightChars="396" w:firstLine="480"/>
        <w:jc w:val="center"/>
        <w:rPr>
          <w:szCs w:val="24"/>
        </w:rPr>
      </w:pPr>
    </w:p>
    <w:p>
      <w:pPr>
        <w:spacing w:line="360" w:lineRule="auto"/>
        <w:ind w:left="849" w:leftChars="386" w:right="871" w:rightChars="396" w:firstLine="482"/>
        <w:rPr>
          <w:b/>
          <w:color w:val="000000"/>
          <w:szCs w:val="21"/>
        </w:rPr>
      </w:pPr>
      <w:r>
        <w:rPr>
          <w:rFonts w:hint="eastAsia"/>
          <w:b/>
          <w:color w:val="000000"/>
          <w:szCs w:val="21"/>
        </w:rPr>
        <w:t>（</w:t>
      </w:r>
      <w:r>
        <w:rPr>
          <w:b/>
          <w:color w:val="000000"/>
          <w:szCs w:val="21"/>
        </w:rPr>
        <w:t>3</w:t>
      </w:r>
      <w:r>
        <w:rPr>
          <w:rFonts w:hint="eastAsia"/>
          <w:b/>
          <w:color w:val="000000"/>
          <w:szCs w:val="21"/>
        </w:rPr>
        <w:t>）、项目服务内容</w:t>
      </w:r>
    </w:p>
    <w:tbl>
      <w:tblPr>
        <w:tblStyle w:val="11"/>
        <w:tblW w:w="9675" w:type="dxa"/>
        <w:jc w:val="center"/>
        <w:tblInd w:w="866" w:type="dxa"/>
        <w:tblLayout w:type="fixed"/>
        <w:tblCellMar>
          <w:top w:w="15" w:type="dxa"/>
          <w:left w:w="15" w:type="dxa"/>
          <w:bottom w:w="15" w:type="dxa"/>
          <w:right w:w="15" w:type="dxa"/>
        </w:tblCellMar>
      </w:tblPr>
      <w:tblGrid>
        <w:gridCol w:w="1416"/>
        <w:gridCol w:w="8259"/>
      </w:tblGrid>
      <w:tr>
        <w:tblPrEx>
          <w:tblLayout w:type="fixed"/>
          <w:tblCellMar>
            <w:top w:w="15" w:type="dxa"/>
            <w:left w:w="15" w:type="dxa"/>
            <w:bottom w:w="15" w:type="dxa"/>
            <w:right w:w="15" w:type="dxa"/>
          </w:tblCellMar>
        </w:tblPrEx>
        <w:trPr>
          <w:trHeight w:val="49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line="360" w:lineRule="auto"/>
              <w:textAlignment w:val="center"/>
              <w:rPr>
                <w:color w:val="000000"/>
                <w:szCs w:val="21"/>
              </w:rPr>
            </w:pPr>
            <w:r>
              <w:rPr>
                <w:rFonts w:hint="eastAsia"/>
                <w:color w:val="000000"/>
                <w:szCs w:val="21"/>
              </w:rPr>
              <w:t>工作阶段</w:t>
            </w:r>
          </w:p>
        </w:tc>
        <w:tc>
          <w:tcPr>
            <w:tcW w:w="8259"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line="360" w:lineRule="auto"/>
              <w:ind w:firstLine="480"/>
              <w:jc w:val="center"/>
              <w:textAlignment w:val="center"/>
              <w:rPr>
                <w:color w:val="000000"/>
                <w:szCs w:val="21"/>
              </w:rPr>
            </w:pPr>
            <w:r>
              <w:rPr>
                <w:rFonts w:hint="eastAsia"/>
                <w:color w:val="000000"/>
                <w:szCs w:val="21"/>
              </w:rPr>
              <w:t>具体内容</w:t>
            </w:r>
          </w:p>
        </w:tc>
      </w:tr>
      <w:tr>
        <w:tblPrEx>
          <w:tblLayout w:type="fixed"/>
          <w:tblCellMar>
            <w:top w:w="15" w:type="dxa"/>
            <w:left w:w="15" w:type="dxa"/>
            <w:bottom w:w="15" w:type="dxa"/>
            <w:right w:w="15" w:type="dxa"/>
          </w:tblCellMar>
        </w:tblPrEx>
        <w:trPr>
          <w:trHeight w:val="96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textAlignment w:val="center"/>
              <w:rPr>
                <w:color w:val="000000"/>
                <w:szCs w:val="21"/>
              </w:rPr>
            </w:pPr>
            <w:r>
              <w:rPr>
                <w:rFonts w:hint="eastAsia"/>
                <w:color w:val="000000"/>
                <w:szCs w:val="21"/>
              </w:rPr>
              <w:t>等级保护</w:t>
            </w:r>
          </w:p>
          <w:p>
            <w:pPr>
              <w:widowControl/>
              <w:spacing w:line="360" w:lineRule="auto"/>
              <w:textAlignment w:val="center"/>
              <w:rPr>
                <w:color w:val="000000"/>
                <w:szCs w:val="21"/>
              </w:rPr>
            </w:pPr>
            <w:r>
              <w:rPr>
                <w:rFonts w:hint="eastAsia"/>
                <w:color w:val="000000"/>
                <w:szCs w:val="21"/>
              </w:rPr>
              <w:t>差距分析</w:t>
            </w:r>
          </w:p>
        </w:tc>
        <w:tc>
          <w:tcPr>
            <w:tcW w:w="8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ind w:firstLine="480"/>
              <w:textAlignment w:val="center"/>
              <w:rPr>
                <w:color w:val="000000"/>
                <w:szCs w:val="21"/>
              </w:rPr>
            </w:pPr>
            <w:r>
              <w:rPr>
                <w:rFonts w:hint="eastAsia"/>
                <w:color w:val="000000"/>
                <w:szCs w:val="21"/>
              </w:rPr>
              <w:t>差距分析：针对信息系统的安全保护现状，从物理安全、网络安全、主机安全、应用安全、数据安全、安全管理制度、安全管理机构、人员安全管理、系统建设管理、系统运维管理十个方面进行分析，分析各层面安全现状与等级保护基本要求之间的差距，完成《信息系统安全差距分析报告》。</w:t>
            </w:r>
          </w:p>
        </w:tc>
      </w:tr>
      <w:tr>
        <w:tblPrEx>
          <w:tblLayout w:type="fixed"/>
          <w:tblCellMar>
            <w:top w:w="15" w:type="dxa"/>
            <w:left w:w="15" w:type="dxa"/>
            <w:bottom w:w="15" w:type="dxa"/>
            <w:right w:w="15" w:type="dxa"/>
          </w:tblCellMar>
        </w:tblPrEx>
        <w:trPr>
          <w:trHeight w:val="144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textAlignment w:val="center"/>
              <w:rPr>
                <w:color w:val="000000"/>
                <w:szCs w:val="21"/>
              </w:rPr>
            </w:pPr>
            <w:r>
              <w:rPr>
                <w:rFonts w:hint="eastAsia"/>
                <w:color w:val="000000"/>
                <w:szCs w:val="21"/>
              </w:rPr>
              <w:t>安全整改</w:t>
            </w:r>
          </w:p>
          <w:p>
            <w:pPr>
              <w:widowControl/>
              <w:spacing w:line="360" w:lineRule="auto"/>
              <w:textAlignment w:val="center"/>
              <w:rPr>
                <w:color w:val="000000"/>
                <w:szCs w:val="21"/>
              </w:rPr>
            </w:pPr>
            <w:r>
              <w:rPr>
                <w:rFonts w:hint="eastAsia"/>
                <w:color w:val="000000"/>
                <w:szCs w:val="21"/>
              </w:rPr>
              <w:t>方案设计</w:t>
            </w:r>
          </w:p>
        </w:tc>
        <w:tc>
          <w:tcPr>
            <w:tcW w:w="8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ind w:firstLine="480"/>
              <w:textAlignment w:val="center"/>
              <w:rPr>
                <w:color w:val="000000"/>
                <w:szCs w:val="21"/>
              </w:rPr>
            </w:pPr>
            <w:r>
              <w:rPr>
                <w:rFonts w:hint="eastAsia"/>
                <w:color w:val="000000"/>
                <w:szCs w:val="21"/>
              </w:rPr>
              <w:t>安全管理设计：根据《信息系统安全差距分析报告》，对信息安全保障中各种制度、规章以及相关制度规章的落实，进行细致的规划设计；</w:t>
            </w:r>
            <w:r>
              <w:rPr>
                <w:rFonts w:hint="eastAsia"/>
                <w:color w:val="000000"/>
                <w:szCs w:val="21"/>
              </w:rPr>
              <w:br w:type="textWrapping"/>
            </w:r>
            <w:r>
              <w:rPr>
                <w:rFonts w:hint="eastAsia"/>
                <w:color w:val="000000"/>
                <w:szCs w:val="21"/>
              </w:rPr>
              <w:t>安全技术设计：根据《信息系统安全差距分析报告》，从物理安全、网络安全、主机安全、应用安全、数据安全五个方面，对机房物理环境、网络结构、策略配置、工具评估结果等详细分析，根据分析结果设计安全技术方案，通过对现状的设计规划，完成《信息系统安全整改建设方案》。</w:t>
            </w:r>
          </w:p>
        </w:tc>
      </w:tr>
      <w:tr>
        <w:tblPrEx>
          <w:tblLayout w:type="fixed"/>
          <w:tblCellMar>
            <w:top w:w="15" w:type="dxa"/>
            <w:left w:w="15" w:type="dxa"/>
            <w:bottom w:w="15" w:type="dxa"/>
            <w:right w:w="15" w:type="dxa"/>
          </w:tblCellMar>
        </w:tblPrEx>
        <w:trPr>
          <w:trHeight w:val="48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textAlignment w:val="center"/>
              <w:rPr>
                <w:color w:val="000000"/>
                <w:szCs w:val="21"/>
              </w:rPr>
            </w:pPr>
            <w:r>
              <w:rPr>
                <w:rFonts w:hint="eastAsia"/>
                <w:color w:val="000000"/>
                <w:szCs w:val="21"/>
              </w:rPr>
              <w:t>等级测评</w:t>
            </w:r>
          </w:p>
        </w:tc>
        <w:tc>
          <w:tcPr>
            <w:tcW w:w="8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ind w:firstLine="480"/>
              <w:textAlignment w:val="center"/>
              <w:rPr>
                <w:color w:val="000000"/>
                <w:szCs w:val="21"/>
              </w:rPr>
            </w:pPr>
            <w:r>
              <w:rPr>
                <w:rFonts w:hint="eastAsia"/>
                <w:color w:val="000000"/>
                <w:szCs w:val="21"/>
              </w:rPr>
              <w:t>由测评机构开展等级测评工作。包含现场正式测评工作、渗透测试、配置审计、远程扫描等，并出具《信息系统安全等级测评报告》。</w:t>
            </w:r>
          </w:p>
        </w:tc>
      </w:tr>
      <w:tr>
        <w:tblPrEx>
          <w:tblLayout w:type="fixed"/>
          <w:tblCellMar>
            <w:top w:w="15" w:type="dxa"/>
            <w:left w:w="15" w:type="dxa"/>
            <w:bottom w:w="15" w:type="dxa"/>
            <w:right w:w="15" w:type="dxa"/>
          </w:tblCellMar>
        </w:tblPrEx>
        <w:trPr>
          <w:trHeight w:val="48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jc w:val="center"/>
              <w:rPr>
                <w:color w:val="000000"/>
                <w:szCs w:val="21"/>
              </w:rPr>
            </w:pPr>
          </w:p>
        </w:tc>
        <w:tc>
          <w:tcPr>
            <w:tcW w:w="8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ind w:firstLine="480"/>
              <w:textAlignment w:val="center"/>
              <w:rPr>
                <w:color w:val="000000"/>
                <w:szCs w:val="21"/>
              </w:rPr>
            </w:pPr>
            <w:r>
              <w:rPr>
                <w:rFonts w:hint="eastAsia"/>
                <w:color w:val="000000"/>
                <w:szCs w:val="21"/>
              </w:rPr>
              <w:t>测评范围：物理环境、网络设备、安全设备、服务器、终端、数据库、业务系统、安全管理机构、人员安全管理、安全管理制度、系统建设、系统运维。</w:t>
            </w:r>
          </w:p>
        </w:tc>
      </w:tr>
      <w:tr>
        <w:tblPrEx>
          <w:tblLayout w:type="fixed"/>
          <w:tblCellMar>
            <w:top w:w="15" w:type="dxa"/>
            <w:left w:w="15" w:type="dxa"/>
            <w:bottom w:w="15" w:type="dxa"/>
            <w:right w:w="15" w:type="dxa"/>
          </w:tblCellMar>
        </w:tblPrEx>
        <w:trPr>
          <w:trHeight w:val="48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jc w:val="center"/>
              <w:rPr>
                <w:color w:val="000000"/>
                <w:szCs w:val="21"/>
              </w:rPr>
            </w:pPr>
          </w:p>
        </w:tc>
        <w:tc>
          <w:tcPr>
            <w:tcW w:w="8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ind w:firstLine="480"/>
              <w:textAlignment w:val="center"/>
              <w:rPr>
                <w:color w:val="000000"/>
                <w:szCs w:val="21"/>
              </w:rPr>
            </w:pPr>
            <w:r>
              <w:rPr>
                <w:rFonts w:hint="eastAsia"/>
                <w:color w:val="000000"/>
                <w:szCs w:val="21"/>
              </w:rPr>
              <w:t>工具测试：通过工具扫描测评范围内的系统及网络，进行渗透测试、安全配置审计、脆弱性扫描，发现安全风险、漏洞和威胁。</w:t>
            </w:r>
          </w:p>
        </w:tc>
      </w:tr>
      <w:tr>
        <w:tblPrEx>
          <w:tblLayout w:type="fixed"/>
          <w:tblCellMar>
            <w:top w:w="15" w:type="dxa"/>
            <w:left w:w="15" w:type="dxa"/>
            <w:bottom w:w="15" w:type="dxa"/>
            <w:right w:w="15" w:type="dxa"/>
          </w:tblCellMar>
        </w:tblPrEx>
        <w:trPr>
          <w:trHeight w:val="285"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jc w:val="center"/>
              <w:rPr>
                <w:color w:val="000000"/>
                <w:szCs w:val="21"/>
              </w:rPr>
            </w:pPr>
          </w:p>
        </w:tc>
        <w:tc>
          <w:tcPr>
            <w:tcW w:w="8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ind w:firstLine="480"/>
              <w:textAlignment w:val="center"/>
              <w:rPr>
                <w:color w:val="000000"/>
                <w:szCs w:val="21"/>
              </w:rPr>
            </w:pPr>
            <w:r>
              <w:rPr>
                <w:rFonts w:hint="eastAsia"/>
                <w:color w:val="000000"/>
                <w:szCs w:val="21"/>
              </w:rPr>
              <w:t>人工检查：机房物理设施、网络设备、安全设备、服务器、终端、业务系统的安全策略及其日志分析。</w:t>
            </w:r>
          </w:p>
        </w:tc>
      </w:tr>
      <w:tr>
        <w:tblPrEx>
          <w:tblLayout w:type="fixed"/>
          <w:tblCellMar>
            <w:top w:w="15" w:type="dxa"/>
            <w:left w:w="15" w:type="dxa"/>
            <w:bottom w:w="15" w:type="dxa"/>
            <w:right w:w="15" w:type="dxa"/>
          </w:tblCellMar>
        </w:tblPrEx>
        <w:trPr>
          <w:trHeight w:val="72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jc w:val="center"/>
              <w:rPr>
                <w:color w:val="000000"/>
                <w:szCs w:val="21"/>
              </w:rPr>
            </w:pPr>
          </w:p>
        </w:tc>
        <w:tc>
          <w:tcPr>
            <w:tcW w:w="8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ind w:firstLine="480"/>
              <w:textAlignment w:val="center"/>
              <w:rPr>
                <w:color w:val="000000"/>
                <w:szCs w:val="21"/>
              </w:rPr>
            </w:pPr>
            <w:r>
              <w:rPr>
                <w:rFonts w:hint="eastAsia"/>
                <w:color w:val="000000"/>
                <w:szCs w:val="21"/>
              </w:rPr>
              <w:t>网络构架分析：网络安全规划、设备命名规范性、网络架构安全性。网络设备和链路冗余、设备选型及可扩展性。网络设备的ACL、防火墙SNMP、口令、设备版本、系统漏洞、服务、端口等。</w:t>
            </w:r>
          </w:p>
        </w:tc>
      </w:tr>
      <w:tr>
        <w:tblPrEx>
          <w:tblLayout w:type="fixed"/>
          <w:tblCellMar>
            <w:top w:w="15" w:type="dxa"/>
            <w:left w:w="15" w:type="dxa"/>
            <w:bottom w:w="15" w:type="dxa"/>
            <w:right w:w="15" w:type="dxa"/>
          </w:tblCellMar>
        </w:tblPrEx>
        <w:trPr>
          <w:trHeight w:val="48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jc w:val="center"/>
              <w:rPr>
                <w:color w:val="000000"/>
                <w:szCs w:val="21"/>
              </w:rPr>
            </w:pPr>
          </w:p>
        </w:tc>
        <w:tc>
          <w:tcPr>
            <w:tcW w:w="8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ind w:firstLine="480"/>
              <w:textAlignment w:val="center"/>
              <w:rPr>
                <w:color w:val="000000"/>
                <w:szCs w:val="21"/>
              </w:rPr>
            </w:pPr>
            <w:r>
              <w:rPr>
                <w:rFonts w:hint="eastAsia"/>
                <w:color w:val="000000"/>
                <w:szCs w:val="21"/>
              </w:rPr>
              <w:t>问卷调查：对管理人员、维护人员、业务人员进行问卷调查，问卷涉及威胁与管理脆弱性两个方面。</w:t>
            </w:r>
          </w:p>
        </w:tc>
      </w:tr>
      <w:tr>
        <w:tblPrEx>
          <w:tblLayout w:type="fixed"/>
          <w:tblCellMar>
            <w:top w:w="15" w:type="dxa"/>
            <w:left w:w="15" w:type="dxa"/>
            <w:bottom w:w="15" w:type="dxa"/>
            <w:right w:w="15" w:type="dxa"/>
          </w:tblCellMar>
        </w:tblPrEx>
        <w:trPr>
          <w:trHeight w:val="48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jc w:val="center"/>
              <w:rPr>
                <w:color w:val="000000"/>
                <w:szCs w:val="21"/>
              </w:rPr>
            </w:pPr>
          </w:p>
        </w:tc>
        <w:tc>
          <w:tcPr>
            <w:tcW w:w="8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ind w:firstLine="480"/>
              <w:textAlignment w:val="center"/>
              <w:rPr>
                <w:color w:val="000000"/>
                <w:szCs w:val="21"/>
              </w:rPr>
            </w:pPr>
            <w:r>
              <w:rPr>
                <w:rFonts w:hint="eastAsia"/>
                <w:color w:val="000000"/>
                <w:szCs w:val="21"/>
              </w:rPr>
              <w:t>应用系统调研：通过人工安全检查了解目前应用系统本身的安全性内容，了解前期信息安全建设中的安全思想是否能够准确的表达与使用。</w:t>
            </w:r>
          </w:p>
        </w:tc>
      </w:tr>
      <w:tr>
        <w:tblPrEx>
          <w:tblLayout w:type="fixed"/>
          <w:tblCellMar>
            <w:top w:w="15" w:type="dxa"/>
            <w:left w:w="15" w:type="dxa"/>
            <w:bottom w:w="15" w:type="dxa"/>
            <w:right w:w="15" w:type="dxa"/>
          </w:tblCellMar>
        </w:tblPrEx>
        <w:trPr>
          <w:trHeight w:val="48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jc w:val="center"/>
              <w:rPr>
                <w:color w:val="000000"/>
                <w:szCs w:val="21"/>
              </w:rPr>
            </w:pPr>
          </w:p>
        </w:tc>
        <w:tc>
          <w:tcPr>
            <w:tcW w:w="8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ind w:firstLine="480"/>
              <w:textAlignment w:val="center"/>
              <w:rPr>
                <w:color w:val="000000"/>
                <w:szCs w:val="21"/>
              </w:rPr>
            </w:pPr>
            <w:r>
              <w:rPr>
                <w:rFonts w:hint="eastAsia"/>
                <w:color w:val="000000"/>
                <w:szCs w:val="21"/>
              </w:rPr>
              <w:t>顾问访谈：了解各个层次的人员，了解目前网络中技术的缺陷、管理体系的缺陷。对制度的执行情况进行更为细致的了解和评定。</w:t>
            </w:r>
          </w:p>
        </w:tc>
      </w:tr>
      <w:tr>
        <w:tblPrEx>
          <w:tblLayout w:type="fixed"/>
          <w:tblCellMar>
            <w:top w:w="15" w:type="dxa"/>
            <w:left w:w="15" w:type="dxa"/>
            <w:bottom w:w="15" w:type="dxa"/>
            <w:right w:w="15" w:type="dxa"/>
          </w:tblCellMar>
        </w:tblPrEx>
        <w:trPr>
          <w:trHeight w:val="48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color w:val="000000"/>
                <w:szCs w:val="21"/>
              </w:rPr>
            </w:pPr>
            <w:r>
              <w:rPr>
                <w:rFonts w:hint="eastAsia"/>
                <w:color w:val="000000"/>
                <w:szCs w:val="21"/>
              </w:rPr>
              <w:t>安全培训</w:t>
            </w:r>
          </w:p>
        </w:tc>
        <w:tc>
          <w:tcPr>
            <w:tcW w:w="8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ind w:firstLine="480"/>
              <w:textAlignment w:val="center"/>
              <w:rPr>
                <w:color w:val="000000"/>
                <w:szCs w:val="21"/>
              </w:rPr>
            </w:pPr>
            <w:r>
              <w:rPr>
                <w:rFonts w:hint="eastAsia"/>
                <w:color w:val="000000"/>
                <w:szCs w:val="21"/>
              </w:rPr>
              <w:t>网络安全知识培训、信息安全等级保护技术培训、网络攻防技术培训。</w:t>
            </w:r>
          </w:p>
        </w:tc>
      </w:tr>
      <w:tr>
        <w:tblPrEx>
          <w:tblLayout w:type="fixed"/>
          <w:tblCellMar>
            <w:top w:w="15" w:type="dxa"/>
            <w:left w:w="15" w:type="dxa"/>
            <w:bottom w:w="15" w:type="dxa"/>
            <w:right w:w="15" w:type="dxa"/>
          </w:tblCellMar>
        </w:tblPrEx>
        <w:trPr>
          <w:trHeight w:val="48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color w:val="000000"/>
                <w:szCs w:val="21"/>
              </w:rPr>
            </w:pPr>
            <w:r>
              <w:rPr>
                <w:rFonts w:hint="eastAsia"/>
                <w:color w:val="000000"/>
                <w:szCs w:val="21"/>
              </w:rPr>
              <w:t>风险评估</w:t>
            </w:r>
          </w:p>
        </w:tc>
        <w:tc>
          <w:tcPr>
            <w:tcW w:w="8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ind w:firstLine="480"/>
              <w:textAlignment w:val="center"/>
              <w:rPr>
                <w:color w:val="000000"/>
                <w:szCs w:val="21"/>
              </w:rPr>
            </w:pPr>
            <w:r>
              <w:rPr>
                <w:rFonts w:hint="eastAsia"/>
                <w:color w:val="000000"/>
                <w:szCs w:val="21"/>
              </w:rPr>
              <w:t>根据国家相关要求，对网络资产进行风险评估，找出脆弱性和安全威胁。</w:t>
            </w:r>
          </w:p>
        </w:tc>
      </w:tr>
    </w:tbl>
    <w:p>
      <w:pPr>
        <w:spacing w:line="360" w:lineRule="auto"/>
        <w:ind w:left="849" w:leftChars="386" w:right="871" w:rightChars="396" w:firstLine="482"/>
        <w:rPr>
          <w:b/>
          <w:color w:val="000000"/>
          <w:szCs w:val="21"/>
        </w:rPr>
      </w:pPr>
    </w:p>
    <w:p>
      <w:pPr>
        <w:spacing w:line="360" w:lineRule="auto"/>
        <w:ind w:left="849" w:leftChars="386" w:right="871" w:rightChars="396" w:firstLine="480"/>
        <w:rPr>
          <w:szCs w:val="21"/>
        </w:rPr>
      </w:pPr>
      <w:r>
        <w:rPr>
          <w:rFonts w:hint="eastAsia"/>
          <w:szCs w:val="21"/>
        </w:rPr>
        <w:t>依据国家相关信息安全标准和规范，严格遵循《信息安全技术信息系统安全等级保护测评要求》和《信息安全技术信息系统安全等级保护测评过程指南》文件，根据本项目信息系统已完成的定级备案安全等级，开展相应级别的安全等级测评工作，测评工作包括技术测评和管理测评两部分，分别为：</w:t>
      </w:r>
    </w:p>
    <w:p>
      <w:pPr>
        <w:spacing w:line="360" w:lineRule="auto"/>
        <w:ind w:left="849" w:leftChars="386" w:right="871" w:rightChars="396" w:firstLine="482"/>
        <w:rPr>
          <w:b/>
          <w:szCs w:val="21"/>
        </w:rPr>
      </w:pPr>
      <w:r>
        <w:rPr>
          <w:rFonts w:hint="eastAsia"/>
          <w:b/>
          <w:szCs w:val="21"/>
        </w:rPr>
        <w:t xml:space="preserve">1、技术测评 </w:t>
      </w:r>
    </w:p>
    <w:p>
      <w:pPr>
        <w:spacing w:line="360" w:lineRule="auto"/>
        <w:ind w:left="849" w:leftChars="386" w:right="871" w:rightChars="396" w:firstLine="480"/>
        <w:rPr>
          <w:szCs w:val="21"/>
        </w:rPr>
      </w:pPr>
      <w:r>
        <w:rPr>
          <w:rFonts w:hint="eastAsia"/>
          <w:szCs w:val="21"/>
        </w:rPr>
        <w:t>1.1物理安全：物理位置的选择、物理访问控制、防盗窃和防破坏、防雷击、防火、防水和防潮、防静电、温湿度控制、电力供应、电磁防护。</w:t>
      </w:r>
    </w:p>
    <w:p>
      <w:pPr>
        <w:spacing w:line="360" w:lineRule="auto"/>
        <w:ind w:left="849" w:leftChars="386" w:right="871" w:rightChars="396" w:firstLine="480"/>
        <w:rPr>
          <w:szCs w:val="21"/>
        </w:rPr>
      </w:pPr>
      <w:r>
        <w:rPr>
          <w:rFonts w:hint="eastAsia"/>
          <w:szCs w:val="21"/>
        </w:rPr>
        <w:t>1.2网络安全：网络安全测评通过访谈、检查和测试的方式评测信息系统的网络安全保障情况。主要涉及对象为信息系统的网络拓扑结构、网络设备以及网络安全设备等三大类，具体的测评内容如下所示：结构安全、访问控制、安全审计、边界完整性检查、入侵防范、恶意代码防范、网络设备防护。</w:t>
      </w:r>
    </w:p>
    <w:p>
      <w:pPr>
        <w:spacing w:line="360" w:lineRule="auto"/>
        <w:ind w:left="849" w:leftChars="386" w:right="871" w:rightChars="396" w:firstLine="480"/>
        <w:rPr>
          <w:szCs w:val="21"/>
        </w:rPr>
      </w:pPr>
      <w:r>
        <w:rPr>
          <w:rFonts w:hint="eastAsia"/>
          <w:szCs w:val="21"/>
        </w:rPr>
        <w:t>1.3主机安全：主机系统安全测评通过访谈、检查和测试的方式，测评信息系统主要服务器操作系统和主要数据库管理系统安全保障情况。具体测评内容包括：身份鉴别、访问控制、安全审计、剩余信息保护、入侵防范、恶意代码防范、资源控制。</w:t>
      </w:r>
    </w:p>
    <w:p>
      <w:pPr>
        <w:spacing w:line="360" w:lineRule="auto"/>
        <w:ind w:left="849" w:leftChars="386" w:right="871" w:rightChars="396" w:firstLine="480"/>
        <w:rPr>
          <w:szCs w:val="21"/>
        </w:rPr>
      </w:pPr>
      <w:r>
        <w:rPr>
          <w:rFonts w:hint="eastAsia"/>
          <w:szCs w:val="21"/>
        </w:rPr>
        <w:t>1.4应用安全：应用安全测评通过访谈、检查和测试的方式评测生产系统的应用安全保障情况。主要涉及的对象为应用软件系统，具体测评内容包括：身份鉴别、访问控制、安全审计、剩余信息保护、通信完整性、通信保密性、抗抵赖、软件容错、资源控制。</w:t>
      </w:r>
    </w:p>
    <w:p>
      <w:pPr>
        <w:spacing w:line="360" w:lineRule="auto"/>
        <w:ind w:left="849" w:leftChars="386" w:right="871" w:rightChars="396" w:firstLine="480"/>
        <w:rPr>
          <w:szCs w:val="21"/>
        </w:rPr>
      </w:pPr>
      <w:r>
        <w:rPr>
          <w:rFonts w:hint="eastAsia"/>
          <w:szCs w:val="21"/>
        </w:rPr>
        <w:t>1.5数据安全：数据安全测评通过访谈和检查的方式评估生产系统的数据安全保障情况。重点检测信息系统的数据在采集、传输、处理和存储过程中的安全，以及数据备份恢复的安全。具体测评内容包括：数据完整性、数据保密性、备份和恢复。</w:t>
      </w:r>
    </w:p>
    <w:p>
      <w:pPr>
        <w:spacing w:line="360" w:lineRule="auto"/>
        <w:ind w:left="849" w:leftChars="386" w:right="871" w:rightChars="396" w:firstLine="482"/>
        <w:rPr>
          <w:b/>
          <w:bCs/>
          <w:szCs w:val="21"/>
        </w:rPr>
      </w:pPr>
      <w:r>
        <w:rPr>
          <w:rFonts w:hint="eastAsia"/>
          <w:b/>
          <w:szCs w:val="21"/>
        </w:rPr>
        <w:t>2</w:t>
      </w:r>
      <w:r>
        <w:rPr>
          <w:rFonts w:hint="eastAsia"/>
          <w:b/>
          <w:bCs/>
          <w:szCs w:val="21"/>
        </w:rPr>
        <w:t>管理测评</w:t>
      </w:r>
    </w:p>
    <w:p>
      <w:pPr>
        <w:spacing w:line="360" w:lineRule="auto"/>
        <w:ind w:left="849" w:leftChars="386" w:right="871" w:rightChars="396" w:firstLine="480"/>
        <w:rPr>
          <w:szCs w:val="21"/>
        </w:rPr>
      </w:pPr>
      <w:r>
        <w:rPr>
          <w:szCs w:val="21"/>
        </w:rPr>
        <w:t>2</w:t>
      </w:r>
      <w:r>
        <w:rPr>
          <w:rFonts w:hint="eastAsia"/>
          <w:szCs w:val="21"/>
        </w:rPr>
        <w:t>.1安全管理制度：安全管理制度测评通过访谈和检查的形式评估安全管理制度的制定、发布、评审和修订等情况。主要涉及的对象为安全主管人员、安全管理人员、其他人员、管理制度、操作规程文件等，具体测评内容包括：管理制度、制定和发布、评审和修订。</w:t>
      </w:r>
    </w:p>
    <w:p>
      <w:pPr>
        <w:spacing w:line="360" w:lineRule="auto"/>
        <w:ind w:left="849" w:leftChars="386" w:right="871" w:rightChars="396" w:firstLine="480"/>
        <w:rPr>
          <w:szCs w:val="21"/>
        </w:rPr>
      </w:pPr>
      <w:r>
        <w:rPr>
          <w:szCs w:val="21"/>
        </w:rPr>
        <w:t>2</w:t>
      </w:r>
      <w:r>
        <w:rPr>
          <w:rFonts w:hint="eastAsia"/>
          <w:szCs w:val="21"/>
        </w:rPr>
        <w:t>.2安全管理机构：安全管理机构测评通过访谈和检查的形式评估安全管理机构的组成情况和机构工作组织情况。主要涉及的对象为安全主管人员、安全管理人员、相关的文件资料和工作记录等，具体测评内容包括：岗位设置、人员配备、授权和审批、沟通和合作、审核和检查。</w:t>
      </w:r>
    </w:p>
    <w:p>
      <w:pPr>
        <w:spacing w:line="360" w:lineRule="auto"/>
        <w:ind w:left="849" w:leftChars="386" w:right="871" w:rightChars="396" w:firstLine="480"/>
        <w:rPr>
          <w:szCs w:val="21"/>
        </w:rPr>
      </w:pPr>
      <w:r>
        <w:rPr>
          <w:szCs w:val="21"/>
        </w:rPr>
        <w:t>2</w:t>
      </w:r>
      <w:r>
        <w:rPr>
          <w:rFonts w:hint="eastAsia"/>
          <w:szCs w:val="21"/>
        </w:rPr>
        <w:t>.3人员安全管理：人员安全管理测评通过访谈和检查的形式评估机构人员安全控制方面的情况。主要涉及对象为安全主管人员、人事管理人员、相关管理制度、相关工作记录等，具体测评内容包括：人员录用、人员离岗、人员考核、安全意识教育和培训、外部人员访问管理。</w:t>
      </w:r>
    </w:p>
    <w:p>
      <w:pPr>
        <w:spacing w:line="360" w:lineRule="auto"/>
        <w:ind w:left="849" w:leftChars="386" w:right="871" w:rightChars="396" w:firstLine="480"/>
        <w:rPr>
          <w:szCs w:val="21"/>
        </w:rPr>
      </w:pPr>
      <w:r>
        <w:rPr>
          <w:szCs w:val="21"/>
        </w:rPr>
        <w:t>2</w:t>
      </w:r>
      <w:r>
        <w:rPr>
          <w:rFonts w:hint="eastAsia"/>
          <w:szCs w:val="21"/>
        </w:rPr>
        <w:t>.4系统建设管理：系统建设管理测评通过访谈和检查的形式评估系统建设管理过程中的安全控制情况。主要涉及对象为安全主管人员、系统建设负责人、管理制度、操作规程文件、执行过程记录等，具体测评内容包括：系统定级、安全方案设计、采购和使用、自行软件开发、外包软件开发、工程实施、测试验收、系统交付、系统备案、等级测评、安全服务商选择。</w:t>
      </w:r>
    </w:p>
    <w:p>
      <w:pPr>
        <w:spacing w:line="360" w:lineRule="auto"/>
        <w:ind w:left="849" w:leftChars="386" w:right="871" w:rightChars="396" w:firstLine="480"/>
        <w:rPr>
          <w:szCs w:val="21"/>
        </w:rPr>
      </w:pPr>
      <w:r>
        <w:rPr>
          <w:szCs w:val="21"/>
        </w:rPr>
        <w:t>2</w:t>
      </w:r>
      <w:r>
        <w:rPr>
          <w:rFonts w:hint="eastAsia"/>
          <w:szCs w:val="21"/>
        </w:rPr>
        <w:t>.5系统运维管理：通过访谈和检查的形式评测系统运维管理过程中的安全控制情况。主要涉及人员有安全主管人员、安全管理人员、运维人员，涉及内容有运维管理制度、运维服务团队的管理制度、操作规程文件、执行过程记录等。具体测评内容包括：环境管理、资产管理、介质管理、设备管理、监控管理和安全管理中心、网络安全管理、系统安全管理、恶意代码防范管理、密码管理、变更管理、备份与恢复管理、安全事件处置、应急预案管理。</w:t>
      </w:r>
    </w:p>
    <w:p>
      <w:pPr>
        <w:spacing w:line="360" w:lineRule="auto"/>
        <w:ind w:left="849" w:leftChars="386" w:right="871" w:rightChars="396" w:firstLine="480"/>
        <w:rPr>
          <w:szCs w:val="21"/>
        </w:rPr>
      </w:pPr>
      <w:r>
        <w:rPr>
          <w:rFonts w:hint="eastAsia"/>
          <w:szCs w:val="21"/>
        </w:rPr>
        <w:t>根据以上10个层面的现场测评结果出具相应的单项和整体测评报告，测评报告需得到项目单位的确认，并报请省公安厅主管部门审核、批复。测评报告编制的内容及格式严格遵照《信息安全等级保护测评报告模版（2015年版）》公信安[2014]2866号进行。</w:t>
      </w:r>
    </w:p>
    <w:p>
      <w:pPr>
        <w:spacing w:line="360" w:lineRule="auto"/>
        <w:ind w:left="849" w:leftChars="386" w:right="871" w:rightChars="396" w:firstLine="482"/>
        <w:rPr>
          <w:b/>
          <w:szCs w:val="21"/>
        </w:rPr>
      </w:pPr>
      <w:r>
        <w:rPr>
          <w:rFonts w:hint="eastAsia"/>
          <w:b/>
          <w:szCs w:val="21"/>
        </w:rPr>
        <w:t>3等级保护测评培训</w:t>
      </w:r>
    </w:p>
    <w:p>
      <w:pPr>
        <w:pStyle w:val="3"/>
        <w:spacing w:line="360" w:lineRule="auto"/>
        <w:ind w:left="849" w:leftChars="386" w:right="871" w:rightChars="396" w:firstLine="392" w:firstLineChars="187"/>
        <w:rPr>
          <w:rFonts w:ascii="宋体" w:hAnsi="宋体" w:cs="宋体"/>
          <w:szCs w:val="21"/>
        </w:rPr>
      </w:pPr>
      <w:r>
        <w:rPr>
          <w:rFonts w:hint="eastAsia" w:ascii="宋体" w:hAnsi="宋体" w:cs="宋体"/>
          <w:szCs w:val="21"/>
        </w:rPr>
        <w:t>3.1测评机构必须提供本项目所需的现场培训。</w:t>
      </w:r>
    </w:p>
    <w:p>
      <w:pPr>
        <w:pStyle w:val="3"/>
        <w:spacing w:line="360" w:lineRule="auto"/>
        <w:ind w:left="849" w:leftChars="386" w:right="871" w:rightChars="396" w:firstLine="392" w:firstLineChars="187"/>
        <w:rPr>
          <w:rFonts w:ascii="宋体" w:hAnsi="宋体" w:cs="宋体"/>
          <w:szCs w:val="21"/>
        </w:rPr>
      </w:pPr>
      <w:r>
        <w:rPr>
          <w:rFonts w:ascii="宋体" w:hAnsi="宋体" w:cs="宋体"/>
          <w:szCs w:val="21"/>
        </w:rPr>
        <w:t>3</w:t>
      </w:r>
      <w:r>
        <w:rPr>
          <w:rFonts w:hint="eastAsia" w:ascii="宋体" w:hAnsi="宋体" w:cs="宋体"/>
          <w:szCs w:val="21"/>
        </w:rPr>
        <w:t>.2培训目的：使招标人人员熟悉国家对信息安全等级保护相应法律法规；使甲方人员熟悉信息安全等级保护测评的方法。</w:t>
      </w:r>
    </w:p>
    <w:p>
      <w:pPr>
        <w:pStyle w:val="3"/>
        <w:spacing w:line="360" w:lineRule="auto"/>
        <w:ind w:left="849" w:leftChars="386" w:right="871" w:rightChars="396" w:firstLine="392" w:firstLineChars="187"/>
        <w:rPr>
          <w:rFonts w:ascii="宋体" w:hAnsi="宋体" w:cs="宋体"/>
          <w:szCs w:val="21"/>
        </w:rPr>
      </w:pPr>
      <w:r>
        <w:rPr>
          <w:rFonts w:ascii="宋体" w:hAnsi="宋体" w:cs="宋体"/>
          <w:szCs w:val="21"/>
        </w:rPr>
        <w:t>3</w:t>
      </w:r>
      <w:r>
        <w:rPr>
          <w:rFonts w:hint="eastAsia" w:ascii="宋体" w:hAnsi="宋体" w:cs="宋体"/>
          <w:szCs w:val="21"/>
        </w:rPr>
        <w:t>.3培训内容：信息安全等级保护法律法规；信息安全等级保护测评方法。</w:t>
      </w:r>
    </w:p>
    <w:p>
      <w:pPr>
        <w:pStyle w:val="3"/>
        <w:spacing w:line="360" w:lineRule="auto"/>
        <w:ind w:left="849" w:leftChars="386" w:right="871" w:rightChars="396" w:firstLine="392" w:firstLineChars="187"/>
        <w:rPr>
          <w:rFonts w:ascii="宋体" w:hAnsi="宋体" w:cs="宋体"/>
          <w:szCs w:val="21"/>
        </w:rPr>
      </w:pPr>
      <w:r>
        <w:rPr>
          <w:rFonts w:ascii="宋体" w:hAnsi="宋体" w:cs="宋体"/>
          <w:szCs w:val="21"/>
        </w:rPr>
        <w:t>3</w:t>
      </w:r>
      <w:r>
        <w:rPr>
          <w:rFonts w:hint="eastAsia" w:ascii="宋体" w:hAnsi="宋体" w:cs="宋体"/>
          <w:szCs w:val="21"/>
        </w:rPr>
        <w:t>.4培训对象：招标人信息系统使用及安全管理人员。</w:t>
      </w:r>
    </w:p>
    <w:p>
      <w:pPr>
        <w:pStyle w:val="3"/>
        <w:spacing w:line="360" w:lineRule="auto"/>
        <w:ind w:left="849" w:leftChars="386" w:right="871" w:rightChars="396" w:firstLine="392" w:firstLineChars="187"/>
        <w:rPr>
          <w:rFonts w:ascii="宋体" w:hAnsi="宋体" w:cs="宋体"/>
          <w:szCs w:val="21"/>
        </w:rPr>
      </w:pPr>
      <w:r>
        <w:rPr>
          <w:rFonts w:ascii="宋体" w:hAnsi="宋体" w:cs="宋体"/>
          <w:szCs w:val="21"/>
        </w:rPr>
        <w:t>3</w:t>
      </w:r>
      <w:r>
        <w:rPr>
          <w:rFonts w:hint="eastAsia" w:ascii="宋体" w:hAnsi="宋体" w:cs="宋体"/>
          <w:szCs w:val="21"/>
        </w:rPr>
        <w:t>.5培训教师：培训教师须具备相关专业认证资质与丰富经验。</w:t>
      </w:r>
    </w:p>
    <w:p>
      <w:pPr>
        <w:pStyle w:val="3"/>
        <w:spacing w:line="360" w:lineRule="auto"/>
        <w:ind w:left="849" w:leftChars="386" w:right="871" w:rightChars="396" w:firstLine="392" w:firstLineChars="187"/>
        <w:rPr>
          <w:rFonts w:ascii="宋体" w:hAnsi="宋体" w:cs="宋体"/>
          <w:szCs w:val="21"/>
        </w:rPr>
      </w:pPr>
      <w:r>
        <w:rPr>
          <w:rFonts w:hint="eastAsia" w:ascii="宋体" w:hAnsi="宋体" w:cs="宋体"/>
          <w:szCs w:val="21"/>
        </w:rPr>
        <w:t>3.6培训人数：现场培训人数根据甲方需求确定。</w:t>
      </w:r>
    </w:p>
    <w:p>
      <w:pPr>
        <w:pStyle w:val="3"/>
        <w:spacing w:line="360" w:lineRule="auto"/>
        <w:ind w:left="849" w:leftChars="386" w:right="871" w:rightChars="396" w:firstLine="392" w:firstLineChars="187"/>
        <w:rPr>
          <w:rFonts w:ascii="宋体" w:hAnsi="宋体" w:cs="宋体"/>
          <w:szCs w:val="21"/>
        </w:rPr>
      </w:pPr>
      <w:r>
        <w:rPr>
          <w:rFonts w:hint="eastAsia" w:ascii="宋体" w:hAnsi="宋体" w:cs="宋体"/>
          <w:szCs w:val="21"/>
        </w:rPr>
        <w:t>3.7培训天数：根据招标人需求确定。</w:t>
      </w:r>
    </w:p>
    <w:p>
      <w:pPr>
        <w:spacing w:line="360" w:lineRule="auto"/>
        <w:ind w:left="849" w:leftChars="386" w:right="871" w:rightChars="396" w:firstLine="482"/>
        <w:rPr>
          <w:b/>
          <w:szCs w:val="21"/>
        </w:rPr>
      </w:pPr>
      <w:r>
        <w:rPr>
          <w:b/>
          <w:szCs w:val="21"/>
        </w:rPr>
        <w:t>4</w:t>
      </w:r>
      <w:r>
        <w:rPr>
          <w:rFonts w:hint="eastAsia"/>
          <w:b/>
          <w:szCs w:val="21"/>
        </w:rPr>
        <w:t>、工期要求</w:t>
      </w:r>
    </w:p>
    <w:p>
      <w:pPr>
        <w:pStyle w:val="31"/>
        <w:spacing w:line="360" w:lineRule="auto"/>
        <w:ind w:left="849" w:leftChars="386" w:right="871" w:rightChars="396" w:firstLine="420" w:firstLineChars="200"/>
        <w:rPr>
          <w:rFonts w:ascii="宋体" w:hAnsi="宋体" w:eastAsia="宋体" w:cs="宋体"/>
          <w:kern w:val="0"/>
          <w:sz w:val="21"/>
        </w:rPr>
      </w:pPr>
      <w:r>
        <w:rPr>
          <w:rFonts w:hint="eastAsia" w:ascii="宋体" w:hAnsi="宋体" w:eastAsia="宋体" w:cs="宋体"/>
          <w:kern w:val="0"/>
          <w:sz w:val="21"/>
        </w:rPr>
        <w:t>等级保护测评机构必须在合同签订后</w:t>
      </w:r>
      <w:r>
        <w:rPr>
          <w:rFonts w:ascii="宋体" w:hAnsi="宋体" w:eastAsia="宋体" w:cs="宋体"/>
          <w:kern w:val="0"/>
          <w:sz w:val="21"/>
        </w:rPr>
        <w:t>30</w:t>
      </w:r>
      <w:r>
        <w:rPr>
          <w:rFonts w:hint="eastAsia" w:ascii="宋体" w:hAnsi="宋体" w:eastAsia="宋体" w:cs="宋体"/>
          <w:kern w:val="0"/>
          <w:sz w:val="21"/>
        </w:rPr>
        <w:t>个工作日内完成项目信息系统测评工作。</w:t>
      </w:r>
    </w:p>
    <w:p>
      <w:pPr>
        <w:spacing w:line="360" w:lineRule="auto"/>
        <w:ind w:left="849" w:leftChars="386" w:right="871" w:rightChars="396" w:firstLine="482"/>
        <w:rPr>
          <w:b/>
          <w:szCs w:val="21"/>
        </w:rPr>
      </w:pPr>
      <w:r>
        <w:rPr>
          <w:b/>
          <w:szCs w:val="21"/>
        </w:rPr>
        <w:t>5</w:t>
      </w:r>
      <w:r>
        <w:rPr>
          <w:rFonts w:hint="eastAsia"/>
          <w:b/>
          <w:szCs w:val="21"/>
        </w:rPr>
        <w:t>、实施方案要求</w:t>
      </w:r>
    </w:p>
    <w:p>
      <w:pPr>
        <w:pStyle w:val="31"/>
        <w:spacing w:line="360" w:lineRule="auto"/>
        <w:ind w:left="849" w:leftChars="386" w:right="871" w:rightChars="396" w:firstLine="420" w:firstLineChars="200"/>
        <w:rPr>
          <w:rFonts w:ascii="宋体" w:hAnsi="宋体" w:eastAsia="宋体" w:cs="宋体"/>
          <w:kern w:val="0"/>
          <w:sz w:val="21"/>
        </w:rPr>
      </w:pPr>
      <w:r>
        <w:rPr>
          <w:rFonts w:hint="eastAsia" w:ascii="宋体" w:hAnsi="宋体" w:eastAsia="宋体" w:cs="宋体"/>
          <w:kern w:val="0"/>
          <w:sz w:val="21"/>
        </w:rPr>
        <w:t>项目组人员不少于</w:t>
      </w:r>
      <w:r>
        <w:rPr>
          <w:rFonts w:ascii="宋体" w:hAnsi="宋体" w:eastAsia="宋体" w:cs="宋体"/>
          <w:kern w:val="0"/>
          <w:sz w:val="21"/>
        </w:rPr>
        <w:t>10</w:t>
      </w:r>
      <w:r>
        <w:rPr>
          <w:rFonts w:hint="eastAsia" w:ascii="宋体" w:hAnsi="宋体" w:eastAsia="宋体" w:cs="宋体"/>
          <w:kern w:val="0"/>
          <w:sz w:val="21"/>
        </w:rPr>
        <w:t>人，其中高级信息安全等级测评师不少于</w:t>
      </w:r>
      <w:r>
        <w:rPr>
          <w:rFonts w:ascii="宋体" w:hAnsi="宋体" w:eastAsia="宋体" w:cs="宋体"/>
          <w:kern w:val="0"/>
          <w:sz w:val="21"/>
        </w:rPr>
        <w:t>2</w:t>
      </w:r>
      <w:r>
        <w:rPr>
          <w:rFonts w:hint="eastAsia" w:ascii="宋体" w:hAnsi="宋体" w:eastAsia="宋体" w:cs="宋体"/>
          <w:kern w:val="0"/>
          <w:sz w:val="21"/>
        </w:rPr>
        <w:t>人，中级信息安全等级测评师不少于</w:t>
      </w:r>
      <w:r>
        <w:rPr>
          <w:rFonts w:ascii="宋体" w:hAnsi="宋体" w:eastAsia="宋体" w:cs="宋体"/>
          <w:kern w:val="0"/>
          <w:sz w:val="21"/>
        </w:rPr>
        <w:t>5</w:t>
      </w:r>
      <w:r>
        <w:rPr>
          <w:rFonts w:hint="eastAsia" w:ascii="宋体" w:hAnsi="宋体" w:eastAsia="宋体" w:cs="宋体"/>
          <w:kern w:val="0"/>
          <w:sz w:val="21"/>
        </w:rPr>
        <w:t>人，初级信息安全等级测评师不少于</w:t>
      </w:r>
      <w:r>
        <w:rPr>
          <w:rFonts w:ascii="宋体" w:hAnsi="宋体" w:eastAsia="宋体" w:cs="宋体"/>
          <w:kern w:val="0"/>
          <w:sz w:val="21"/>
        </w:rPr>
        <w:t>2</w:t>
      </w:r>
      <w:r>
        <w:rPr>
          <w:rFonts w:hint="eastAsia" w:ascii="宋体" w:hAnsi="宋体" w:eastAsia="宋体" w:cs="宋体"/>
          <w:kern w:val="0"/>
          <w:sz w:val="21"/>
        </w:rPr>
        <w:t>人。保证提供现场服务的3人以上信息安全等级测评师。</w:t>
      </w:r>
      <w:r>
        <w:rPr>
          <w:rFonts w:hint="eastAsia" w:ascii="宋体" w:hAnsi="宋体" w:eastAsia="宋体"/>
          <w:sz w:val="21"/>
        </w:rPr>
        <w:t>（以上人员须提供投标人相关人员资质证书、社保缴费证明复印件加盖投标人单位公章。）</w:t>
      </w:r>
    </w:p>
    <w:p>
      <w:pPr>
        <w:spacing w:line="360" w:lineRule="auto"/>
        <w:ind w:left="849" w:leftChars="386" w:right="871" w:rightChars="396" w:firstLine="482"/>
        <w:rPr>
          <w:b/>
          <w:szCs w:val="21"/>
        </w:rPr>
      </w:pPr>
      <w:r>
        <w:rPr>
          <w:b/>
          <w:szCs w:val="21"/>
        </w:rPr>
        <w:t>6</w:t>
      </w:r>
      <w:r>
        <w:rPr>
          <w:rFonts w:hint="eastAsia"/>
          <w:b/>
          <w:szCs w:val="21"/>
        </w:rPr>
        <w:t>、保密要求</w:t>
      </w:r>
    </w:p>
    <w:p>
      <w:pPr>
        <w:pStyle w:val="31"/>
        <w:spacing w:line="360" w:lineRule="auto"/>
        <w:ind w:left="849" w:leftChars="386" w:right="871" w:rightChars="396" w:firstLine="420" w:firstLineChars="200"/>
        <w:rPr>
          <w:rFonts w:ascii="宋体" w:hAnsi="宋体" w:eastAsia="宋体" w:cs="宋体"/>
          <w:kern w:val="0"/>
          <w:sz w:val="21"/>
          <w:lang w:val="en-GB"/>
        </w:rPr>
      </w:pPr>
      <w:r>
        <w:rPr>
          <w:rFonts w:hint="eastAsia" w:ascii="宋体" w:hAnsi="宋体" w:eastAsia="宋体" w:cs="宋体"/>
          <w:kern w:val="0"/>
          <w:sz w:val="21"/>
          <w:lang w:val="en-GB"/>
        </w:rPr>
        <w:t>等级保护测评机构有义务对项目实施过程中所收集、产生的所有与本项目相关文档、资料，包括文字、图片、表格、数字等各种形式的内容保密，应按照要求签署保密协议。</w:t>
      </w:r>
    </w:p>
    <w:p>
      <w:pPr>
        <w:spacing w:line="360" w:lineRule="auto"/>
        <w:ind w:left="849" w:leftChars="386" w:right="871" w:rightChars="396" w:firstLine="482"/>
        <w:rPr>
          <w:b/>
          <w:szCs w:val="21"/>
        </w:rPr>
      </w:pPr>
      <w:r>
        <w:rPr>
          <w:b/>
          <w:szCs w:val="21"/>
        </w:rPr>
        <w:t>7</w:t>
      </w:r>
      <w:r>
        <w:rPr>
          <w:rFonts w:hint="eastAsia"/>
          <w:b/>
          <w:szCs w:val="21"/>
        </w:rPr>
        <w:t>、项目交付物</w:t>
      </w:r>
    </w:p>
    <w:p>
      <w:pPr>
        <w:spacing w:line="360" w:lineRule="auto"/>
        <w:ind w:left="849" w:leftChars="386" w:right="871" w:rightChars="396" w:firstLine="480"/>
        <w:rPr>
          <w:rFonts w:cs="Arial"/>
          <w:szCs w:val="21"/>
        </w:rPr>
      </w:pPr>
      <w:r>
        <w:rPr>
          <w:rFonts w:hint="eastAsia" w:cs="Arial"/>
          <w:szCs w:val="21"/>
        </w:rPr>
        <w:t>交付具有评估测评资质效力的报告:</w:t>
      </w:r>
    </w:p>
    <w:p>
      <w:pPr>
        <w:spacing w:line="360" w:lineRule="auto"/>
        <w:ind w:left="849" w:leftChars="386" w:right="871" w:rightChars="396" w:firstLine="480"/>
        <w:rPr>
          <w:rFonts w:cs="Arial"/>
          <w:bCs/>
          <w:szCs w:val="21"/>
        </w:rPr>
      </w:pPr>
      <w:r>
        <w:rPr>
          <w:rFonts w:hint="eastAsia" w:cs="Arial"/>
          <w:bCs/>
          <w:szCs w:val="21"/>
        </w:rPr>
        <w:t>7.1《信息系统安全整改建设方案》</w:t>
      </w:r>
    </w:p>
    <w:p>
      <w:pPr>
        <w:pStyle w:val="32"/>
        <w:spacing w:line="360" w:lineRule="auto"/>
        <w:ind w:left="849" w:leftChars="386" w:right="871" w:rightChars="396" w:firstLine="480"/>
        <w:jc w:val="left"/>
        <w:rPr>
          <w:rFonts w:ascii="宋体" w:hAnsi="宋体" w:cs="Arial"/>
          <w:bCs/>
          <w:szCs w:val="21"/>
        </w:rPr>
      </w:pPr>
      <w:r>
        <w:rPr>
          <w:rFonts w:hint="eastAsia" w:ascii="宋体" w:hAnsi="宋体" w:cs="Arial"/>
          <w:bCs/>
          <w:szCs w:val="21"/>
        </w:rPr>
        <w:t>7.2《信息系统安全等级保护测评报告》</w:t>
      </w:r>
    </w:p>
    <w:p>
      <w:pPr>
        <w:spacing w:line="360" w:lineRule="auto"/>
        <w:ind w:firstLine="560" w:firstLineChars="200"/>
        <w:jc w:val="both"/>
        <w:rPr>
          <w:sz w:val="28"/>
          <w:szCs w:val="28"/>
          <w:lang w:val="en-US"/>
        </w:rPr>
        <w:sectPr>
          <w:headerReference r:id="rId10" w:type="default"/>
          <w:footerReference r:id="rId11" w:type="default"/>
          <w:pgSz w:w="11910" w:h="16840"/>
          <w:pgMar w:top="1380" w:right="619" w:bottom="1180" w:left="780" w:header="852" w:footer="993" w:gutter="0"/>
          <w:cols w:space="720" w:num="1"/>
        </w:sectPr>
      </w:pPr>
    </w:p>
    <w:p>
      <w:pPr>
        <w:pStyle w:val="5"/>
        <w:spacing w:before="5"/>
        <w:rPr>
          <w:sz w:val="8"/>
        </w:rPr>
      </w:pPr>
    </w:p>
    <w:p>
      <w:pPr>
        <w:pStyle w:val="15"/>
        <w:spacing w:before="55"/>
        <w:ind w:left="911"/>
      </w:pPr>
      <w:bookmarkStart w:id="139" w:name="_bookmark14"/>
      <w:bookmarkEnd w:id="139"/>
      <w:r>
        <w:t>第五部分投标文件格式</w:t>
      </w:r>
    </w:p>
    <w:p>
      <w:pPr>
        <w:pStyle w:val="5"/>
        <w:rPr>
          <w:sz w:val="20"/>
        </w:rPr>
      </w:pPr>
    </w:p>
    <w:p>
      <w:pPr>
        <w:pStyle w:val="5"/>
        <w:rPr>
          <w:sz w:val="20"/>
        </w:rPr>
      </w:pPr>
    </w:p>
    <w:p>
      <w:pPr>
        <w:spacing w:before="218"/>
        <w:ind w:left="1020"/>
        <w:rPr>
          <w:sz w:val="28"/>
        </w:rPr>
      </w:pPr>
      <w:bookmarkStart w:id="140" w:name="_bookmark15"/>
      <w:bookmarkEnd w:id="140"/>
      <w:r>
        <w:rPr>
          <w:sz w:val="30"/>
        </w:rPr>
        <w:t xml:space="preserve">附件一 </w:t>
      </w:r>
      <w:r>
        <w:rPr>
          <w:sz w:val="28"/>
        </w:rPr>
        <w:t>投标函</w:t>
      </w:r>
    </w:p>
    <w:p>
      <w:pPr>
        <w:pStyle w:val="5"/>
        <w:rPr>
          <w:sz w:val="30"/>
        </w:rPr>
      </w:pPr>
    </w:p>
    <w:p>
      <w:pPr>
        <w:pStyle w:val="5"/>
        <w:spacing w:before="11"/>
        <w:rPr>
          <w:sz w:val="21"/>
        </w:rPr>
      </w:pPr>
    </w:p>
    <w:p>
      <w:pPr>
        <w:pStyle w:val="5"/>
        <w:ind w:left="1140"/>
      </w:pPr>
      <w:r>
        <w:rPr>
          <w:spacing w:val="-60"/>
        </w:rPr>
        <w:t>致：</w:t>
      </w:r>
      <w:r>
        <w:rPr>
          <w:u w:val="single"/>
        </w:rPr>
        <w:t>（采购人</w:t>
      </w:r>
      <w:r>
        <w:rPr>
          <w:spacing w:val="-120"/>
          <w:u w:val="single"/>
        </w:rPr>
        <w:t>）</w:t>
      </w:r>
      <w:r>
        <w:t>：</w:t>
      </w:r>
    </w:p>
    <w:p>
      <w:pPr>
        <w:pStyle w:val="5"/>
        <w:spacing w:before="161" w:line="362" w:lineRule="auto"/>
        <w:ind w:left="1020" w:right="1178"/>
      </w:pPr>
      <w:r>
        <w:rPr>
          <w:spacing w:val="-8"/>
        </w:rPr>
        <w:t>经研究，我们决定参加编号为的招标投标活动，为此，我方正式授权</w:t>
      </w:r>
      <w:r>
        <w:rPr>
          <w:spacing w:val="-3"/>
          <w:u w:val="single"/>
        </w:rPr>
        <w:t>（</w:t>
      </w:r>
      <w:r>
        <w:rPr>
          <w:spacing w:val="-4"/>
          <w:u w:val="single"/>
        </w:rPr>
        <w:t>委托代理</w:t>
      </w:r>
      <w:r>
        <w:rPr>
          <w:spacing w:val="-220"/>
          <w:u w:val="single"/>
        </w:rPr>
        <w:t>人</w:t>
      </w:r>
      <w:r>
        <w:rPr>
          <w:u w:val="single"/>
        </w:rPr>
        <w:t>）</w:t>
      </w:r>
      <w:r>
        <w:t>代表我公司签署投标文件，郑重声明以下诸点，并负法律责任。</w:t>
      </w:r>
    </w:p>
    <w:p>
      <w:pPr>
        <w:pStyle w:val="5"/>
        <w:spacing w:before="5"/>
        <w:ind w:left="1500"/>
      </w:pPr>
      <w:r>
        <w:t xml:space="preserve">一、我方提交投标文件，正本 1 份，副本 </w:t>
      </w:r>
      <w:r>
        <w:rPr>
          <w:rFonts w:hint="eastAsia"/>
        </w:rPr>
        <w:t>3</w:t>
      </w:r>
      <w:r>
        <w:t xml:space="preserve"> 份，报价一览表 1 份；</w:t>
      </w:r>
    </w:p>
    <w:p>
      <w:pPr>
        <w:pStyle w:val="5"/>
        <w:spacing w:before="158" w:line="364" w:lineRule="auto"/>
        <w:ind w:left="1020" w:right="1086" w:firstLine="480"/>
      </w:pPr>
      <w:r>
        <w:t>二、如果我方的投标文件被接受，我方将履行招标文件中规定的每项要求， 并按我方投标文件中的承诺按期、按质、按量履约；</w:t>
      </w:r>
    </w:p>
    <w:p>
      <w:pPr>
        <w:pStyle w:val="5"/>
        <w:spacing w:before="1" w:line="362" w:lineRule="auto"/>
        <w:ind w:left="1500" w:right="1086"/>
      </w:pPr>
      <w:r>
        <w:t>三、我方理解，最低报价不是中标的唯一条件，你们有选择投标人的权利； 四、我方愿按《中华人民共和国合同法》及其他有关法律、法规的规定，自</w:t>
      </w:r>
    </w:p>
    <w:p>
      <w:pPr>
        <w:pStyle w:val="5"/>
        <w:spacing w:before="2"/>
        <w:ind w:left="1020"/>
      </w:pPr>
      <w:r>
        <w:t>觉履行自己的全部责任；</w:t>
      </w:r>
    </w:p>
    <w:p>
      <w:pPr>
        <w:pStyle w:val="5"/>
        <w:spacing w:before="161" w:line="362" w:lineRule="auto"/>
        <w:ind w:left="1020" w:right="1178" w:firstLine="480"/>
      </w:pPr>
      <w:r>
        <w:rPr>
          <w:spacing w:val="-10"/>
        </w:rPr>
        <w:t>五、我方同意按招标文件的规定交纳投标保证金、中标服务费，遵守贵方有</w:t>
      </w:r>
      <w:r>
        <w:t>关投标的各项规定；</w:t>
      </w:r>
    </w:p>
    <w:p>
      <w:pPr>
        <w:pStyle w:val="5"/>
        <w:spacing w:before="5" w:line="364" w:lineRule="auto"/>
        <w:ind w:left="1020" w:right="1178" w:firstLine="480"/>
        <w:jc w:val="both"/>
      </w:pPr>
      <w:r>
        <w:rPr>
          <w:spacing w:val="-10"/>
        </w:rPr>
        <w:t>六、采购人若发现中标候选人在投标标过程中提供虚假证明文件，故意隐瞒</w:t>
      </w:r>
      <w:r>
        <w:rPr>
          <w:spacing w:val="-11"/>
        </w:rPr>
        <w:t>公司不良信誉、业绩及财务状况，以及存在可能对合同圆满履行造成风险的其他</w:t>
      </w:r>
      <w:r>
        <w:t>因素等，则按规定取消其中标资格，监管部门依法进行处理。</w:t>
      </w:r>
    </w:p>
    <w:p>
      <w:pPr>
        <w:pStyle w:val="5"/>
        <w:spacing w:line="362" w:lineRule="auto"/>
        <w:ind w:left="1500" w:right="5046"/>
      </w:pPr>
      <w:r>
        <w:rPr>
          <w:spacing w:val="-5"/>
        </w:rPr>
        <w:t xml:space="preserve">七、我方的投标文件有效期为 </w:t>
      </w:r>
      <w:r>
        <w:rPr>
          <w:u w:val="single"/>
        </w:rPr>
        <w:t>60</w:t>
      </w:r>
      <w:r>
        <w:rPr>
          <w:spacing w:val="-27"/>
        </w:rPr>
        <w:t xml:space="preserve"> 天。</w:t>
      </w:r>
      <w:r>
        <w:t>单位名称（公章</w:t>
      </w:r>
      <w:r>
        <w:rPr>
          <w:spacing w:val="-120"/>
        </w:rPr>
        <w:t>）</w:t>
      </w:r>
      <w:r>
        <w:t>：</w:t>
      </w:r>
    </w:p>
    <w:p>
      <w:pPr>
        <w:pStyle w:val="5"/>
        <w:spacing w:before="4" w:line="362" w:lineRule="auto"/>
        <w:ind w:left="1500" w:right="6006"/>
      </w:pPr>
      <w:r>
        <w:t>法定代表人（签字或盖章</w:t>
      </w:r>
      <w:r>
        <w:rPr>
          <w:spacing w:val="-130"/>
        </w:rPr>
        <w:t>）</w:t>
      </w:r>
      <w:r>
        <w:rPr>
          <w:spacing w:val="-10"/>
        </w:rPr>
        <w:t>：</w:t>
      </w:r>
      <w:r>
        <w:t>法人授权代表（签字</w:t>
      </w:r>
      <w:r>
        <w:rPr>
          <w:spacing w:val="-120"/>
        </w:rPr>
        <w:t>）</w:t>
      </w:r>
      <w:r>
        <w:t>：</w:t>
      </w:r>
    </w:p>
    <w:p>
      <w:pPr>
        <w:spacing w:line="362" w:lineRule="auto"/>
        <w:sectPr>
          <w:pgSz w:w="11910" w:h="16840"/>
          <w:pgMar w:top="1380" w:right="619" w:bottom="1180" w:left="780" w:header="852" w:footer="993" w:gutter="0"/>
          <w:cols w:space="720" w:num="1"/>
        </w:sectPr>
      </w:pPr>
    </w:p>
    <w:p>
      <w:pPr>
        <w:spacing w:before="58"/>
        <w:ind w:left="1020"/>
        <w:rPr>
          <w:sz w:val="28"/>
        </w:rPr>
      </w:pPr>
      <w:bookmarkStart w:id="141" w:name="_bookmark16"/>
      <w:bookmarkEnd w:id="141"/>
      <w:r>
        <w:rPr>
          <w:sz w:val="30"/>
        </w:rPr>
        <w:t xml:space="preserve">附件二 </w:t>
      </w:r>
      <w:r>
        <w:rPr>
          <w:sz w:val="28"/>
        </w:rPr>
        <w:t>报价一览表</w:t>
      </w:r>
    </w:p>
    <w:p>
      <w:pPr>
        <w:pStyle w:val="5"/>
        <w:rPr>
          <w:sz w:val="20"/>
        </w:rPr>
      </w:pPr>
    </w:p>
    <w:p>
      <w:pPr>
        <w:pStyle w:val="5"/>
        <w:rPr>
          <w:sz w:val="20"/>
        </w:rPr>
      </w:pPr>
    </w:p>
    <w:p>
      <w:pPr>
        <w:pStyle w:val="5"/>
        <w:rPr>
          <w:sz w:val="20"/>
        </w:rPr>
      </w:pPr>
    </w:p>
    <w:p>
      <w:pPr>
        <w:pStyle w:val="5"/>
        <w:spacing w:before="4"/>
        <w:rPr>
          <w:sz w:val="15"/>
        </w:rPr>
      </w:pPr>
    </w:p>
    <w:tbl>
      <w:tblPr>
        <w:tblStyle w:val="13"/>
        <w:tblW w:w="9286" w:type="dxa"/>
        <w:tblInd w:w="5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8"/>
        <w:gridCol w:w="2475"/>
        <w:gridCol w:w="1365"/>
        <w:gridCol w:w="3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9" w:hRule="atLeast"/>
        </w:trPr>
        <w:tc>
          <w:tcPr>
            <w:tcW w:w="1988" w:type="dxa"/>
          </w:tcPr>
          <w:p>
            <w:pPr>
              <w:pStyle w:val="19"/>
              <w:spacing w:before="162"/>
              <w:ind w:left="253" w:right="244"/>
              <w:jc w:val="center"/>
              <w:rPr>
                <w:sz w:val="24"/>
              </w:rPr>
            </w:pPr>
            <w:r>
              <w:rPr>
                <w:sz w:val="24"/>
              </w:rPr>
              <w:t>投标人名称</w:t>
            </w:r>
          </w:p>
        </w:tc>
        <w:tc>
          <w:tcPr>
            <w:tcW w:w="7298" w:type="dxa"/>
            <w:gridSpan w:val="3"/>
          </w:tcPr>
          <w:p>
            <w:pPr>
              <w:pStyle w:val="1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atLeast"/>
        </w:trPr>
        <w:tc>
          <w:tcPr>
            <w:tcW w:w="1988" w:type="dxa"/>
          </w:tcPr>
          <w:p>
            <w:pPr>
              <w:pStyle w:val="19"/>
              <w:spacing w:before="162"/>
              <w:ind w:left="253" w:right="244"/>
              <w:jc w:val="center"/>
              <w:rPr>
                <w:sz w:val="24"/>
              </w:rPr>
            </w:pPr>
            <w:r>
              <w:rPr>
                <w:sz w:val="24"/>
              </w:rPr>
              <w:t>项目编号</w:t>
            </w:r>
          </w:p>
        </w:tc>
        <w:tc>
          <w:tcPr>
            <w:tcW w:w="7298" w:type="dxa"/>
            <w:gridSpan w:val="3"/>
          </w:tcPr>
          <w:p>
            <w:pPr>
              <w:pStyle w:val="1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9" w:hRule="atLeast"/>
        </w:trPr>
        <w:tc>
          <w:tcPr>
            <w:tcW w:w="1988" w:type="dxa"/>
          </w:tcPr>
          <w:p>
            <w:pPr>
              <w:pStyle w:val="19"/>
              <w:spacing w:before="162"/>
              <w:ind w:left="253" w:right="244"/>
              <w:jc w:val="center"/>
              <w:rPr>
                <w:sz w:val="24"/>
              </w:rPr>
            </w:pPr>
            <w:r>
              <w:rPr>
                <w:sz w:val="24"/>
              </w:rPr>
              <w:t>项目名称</w:t>
            </w:r>
          </w:p>
        </w:tc>
        <w:tc>
          <w:tcPr>
            <w:tcW w:w="7298" w:type="dxa"/>
            <w:gridSpan w:val="3"/>
          </w:tcPr>
          <w:p>
            <w:pPr>
              <w:pStyle w:val="1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atLeast"/>
        </w:trPr>
        <w:tc>
          <w:tcPr>
            <w:tcW w:w="1988" w:type="dxa"/>
          </w:tcPr>
          <w:p>
            <w:pPr>
              <w:pStyle w:val="19"/>
              <w:spacing w:before="162"/>
              <w:ind w:left="253" w:right="244"/>
              <w:jc w:val="center"/>
              <w:rPr>
                <w:sz w:val="24"/>
              </w:rPr>
            </w:pPr>
            <w:r>
              <w:rPr>
                <w:sz w:val="24"/>
              </w:rPr>
              <w:t>法定代表人</w:t>
            </w:r>
          </w:p>
        </w:tc>
        <w:tc>
          <w:tcPr>
            <w:tcW w:w="2475" w:type="dxa"/>
          </w:tcPr>
          <w:p>
            <w:pPr>
              <w:pStyle w:val="19"/>
              <w:rPr>
                <w:rFonts w:ascii="Times New Roman"/>
              </w:rPr>
            </w:pPr>
          </w:p>
        </w:tc>
        <w:tc>
          <w:tcPr>
            <w:tcW w:w="1365" w:type="dxa"/>
          </w:tcPr>
          <w:p>
            <w:pPr>
              <w:pStyle w:val="19"/>
              <w:spacing w:before="162"/>
              <w:ind w:left="106"/>
              <w:rPr>
                <w:sz w:val="24"/>
              </w:rPr>
            </w:pPr>
            <w:r>
              <w:rPr>
                <w:sz w:val="24"/>
              </w:rPr>
              <w:t>联系电话</w:t>
            </w:r>
          </w:p>
        </w:tc>
        <w:tc>
          <w:tcPr>
            <w:tcW w:w="3458" w:type="dxa"/>
          </w:tcPr>
          <w:p>
            <w:pPr>
              <w:pStyle w:val="1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9" w:hRule="atLeast"/>
        </w:trPr>
        <w:tc>
          <w:tcPr>
            <w:tcW w:w="1988" w:type="dxa"/>
          </w:tcPr>
          <w:p>
            <w:pPr>
              <w:pStyle w:val="19"/>
              <w:spacing w:before="163"/>
              <w:ind w:left="253" w:right="244"/>
              <w:jc w:val="center"/>
              <w:rPr>
                <w:sz w:val="24"/>
              </w:rPr>
            </w:pPr>
            <w:r>
              <w:rPr>
                <w:sz w:val="24"/>
              </w:rPr>
              <w:t>联系人</w:t>
            </w:r>
          </w:p>
        </w:tc>
        <w:tc>
          <w:tcPr>
            <w:tcW w:w="2475" w:type="dxa"/>
          </w:tcPr>
          <w:p>
            <w:pPr>
              <w:pStyle w:val="19"/>
              <w:rPr>
                <w:rFonts w:ascii="Times New Roman"/>
              </w:rPr>
            </w:pPr>
          </w:p>
        </w:tc>
        <w:tc>
          <w:tcPr>
            <w:tcW w:w="1365" w:type="dxa"/>
          </w:tcPr>
          <w:p>
            <w:pPr>
              <w:pStyle w:val="19"/>
              <w:spacing w:before="163"/>
              <w:ind w:left="106"/>
              <w:rPr>
                <w:sz w:val="24"/>
              </w:rPr>
            </w:pPr>
            <w:r>
              <w:rPr>
                <w:sz w:val="24"/>
              </w:rPr>
              <w:t>联系电话</w:t>
            </w:r>
          </w:p>
        </w:tc>
        <w:tc>
          <w:tcPr>
            <w:tcW w:w="3458" w:type="dxa"/>
          </w:tcPr>
          <w:p>
            <w:pPr>
              <w:pStyle w:val="1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64" w:hRule="atLeast"/>
        </w:trPr>
        <w:tc>
          <w:tcPr>
            <w:tcW w:w="1988" w:type="dxa"/>
          </w:tcPr>
          <w:p>
            <w:pPr>
              <w:pStyle w:val="19"/>
              <w:rPr>
                <w:sz w:val="24"/>
              </w:rPr>
            </w:pPr>
          </w:p>
          <w:p>
            <w:pPr>
              <w:pStyle w:val="19"/>
              <w:rPr>
                <w:sz w:val="32"/>
              </w:rPr>
            </w:pPr>
          </w:p>
          <w:p>
            <w:pPr>
              <w:pStyle w:val="19"/>
              <w:spacing w:line="362" w:lineRule="auto"/>
              <w:ind w:left="753" w:right="742"/>
              <w:jc w:val="center"/>
              <w:rPr>
                <w:sz w:val="24"/>
              </w:rPr>
            </w:pPr>
            <w:r>
              <w:rPr>
                <w:sz w:val="24"/>
              </w:rPr>
              <w:t>投标总价</w:t>
            </w:r>
          </w:p>
        </w:tc>
        <w:tc>
          <w:tcPr>
            <w:tcW w:w="7298" w:type="dxa"/>
            <w:gridSpan w:val="3"/>
          </w:tcPr>
          <w:p>
            <w:pPr>
              <w:pStyle w:val="19"/>
              <w:rPr>
                <w:sz w:val="24"/>
              </w:rPr>
            </w:pPr>
          </w:p>
          <w:p>
            <w:pPr>
              <w:pStyle w:val="19"/>
              <w:rPr>
                <w:sz w:val="32"/>
              </w:rPr>
            </w:pPr>
          </w:p>
          <w:p>
            <w:pPr>
              <w:pStyle w:val="19"/>
              <w:ind w:left="107"/>
              <w:rPr>
                <w:sz w:val="24"/>
              </w:rPr>
            </w:pPr>
            <w:r>
              <w:rPr>
                <w:sz w:val="24"/>
              </w:rPr>
              <w:t>￥：</w:t>
            </w:r>
          </w:p>
          <w:p>
            <w:pPr>
              <w:pStyle w:val="19"/>
              <w:spacing w:before="158"/>
              <w:ind w:left="107"/>
              <w:rPr>
                <w:sz w:val="24"/>
              </w:rPr>
            </w:pPr>
            <w:r>
              <w:rPr>
                <w:sz w:val="24"/>
              </w:rPr>
              <w:t>人民币（大写</w:t>
            </w:r>
            <w:r>
              <w:rPr>
                <w:spacing w:val="-120"/>
                <w:sz w:val="24"/>
              </w:rPr>
              <w:t>）</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3" w:hRule="atLeast"/>
        </w:trPr>
        <w:tc>
          <w:tcPr>
            <w:tcW w:w="1988" w:type="dxa"/>
          </w:tcPr>
          <w:p>
            <w:pPr>
              <w:pStyle w:val="19"/>
              <w:rPr>
                <w:sz w:val="25"/>
              </w:rPr>
            </w:pPr>
          </w:p>
          <w:p>
            <w:pPr>
              <w:pStyle w:val="19"/>
              <w:spacing w:before="1"/>
              <w:ind w:left="253" w:right="244"/>
              <w:jc w:val="center"/>
              <w:rPr>
                <w:sz w:val="24"/>
              </w:rPr>
            </w:pPr>
            <w:r>
              <w:rPr>
                <w:sz w:val="24"/>
              </w:rPr>
              <w:t>服务期</w:t>
            </w:r>
          </w:p>
        </w:tc>
        <w:tc>
          <w:tcPr>
            <w:tcW w:w="7298" w:type="dxa"/>
            <w:gridSpan w:val="3"/>
          </w:tcPr>
          <w:p>
            <w:pPr>
              <w:pStyle w:val="1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2" w:hRule="atLeast"/>
        </w:trPr>
        <w:tc>
          <w:tcPr>
            <w:tcW w:w="1988" w:type="dxa"/>
          </w:tcPr>
          <w:p>
            <w:pPr>
              <w:pStyle w:val="19"/>
              <w:spacing w:before="11"/>
              <w:rPr>
                <w:sz w:val="24"/>
              </w:rPr>
            </w:pPr>
          </w:p>
          <w:p>
            <w:pPr>
              <w:pStyle w:val="19"/>
              <w:spacing w:before="1"/>
              <w:ind w:left="253" w:right="244"/>
              <w:jc w:val="center"/>
              <w:rPr>
                <w:sz w:val="24"/>
              </w:rPr>
            </w:pPr>
            <w:r>
              <w:rPr>
                <w:sz w:val="24"/>
              </w:rPr>
              <w:t>项目实施地点</w:t>
            </w:r>
          </w:p>
        </w:tc>
        <w:tc>
          <w:tcPr>
            <w:tcW w:w="7298" w:type="dxa"/>
            <w:gridSpan w:val="3"/>
          </w:tcPr>
          <w:p>
            <w:pPr>
              <w:pStyle w:val="19"/>
              <w:rPr>
                <w:rFonts w:ascii="Times New Roman"/>
              </w:rPr>
            </w:pPr>
          </w:p>
        </w:tc>
      </w:tr>
    </w:tbl>
    <w:p>
      <w:pPr>
        <w:pStyle w:val="5"/>
        <w:rPr>
          <w:sz w:val="30"/>
        </w:rPr>
      </w:pPr>
    </w:p>
    <w:p>
      <w:pPr>
        <w:pStyle w:val="5"/>
        <w:spacing w:before="240"/>
        <w:ind w:left="1020"/>
      </w:pPr>
      <w:r>
        <w:t>单位公章：法定代表人或授权代表（签字或盖章</w:t>
      </w:r>
      <w:r>
        <w:rPr>
          <w:spacing w:val="-120"/>
        </w:rPr>
        <w:t>）</w:t>
      </w:r>
      <w:r>
        <w:t>：</w:t>
      </w:r>
    </w:p>
    <w:p>
      <w:pPr>
        <w:spacing w:before="160"/>
        <w:ind w:left="1440"/>
        <w:rPr>
          <w:sz w:val="21"/>
        </w:rPr>
      </w:pPr>
      <w:r>
        <w:rPr>
          <w:sz w:val="21"/>
        </w:rPr>
        <w:t>注：</w:t>
      </w:r>
    </w:p>
    <w:p>
      <w:pPr>
        <w:pStyle w:val="18"/>
        <w:numPr>
          <w:ilvl w:val="0"/>
          <w:numId w:val="15"/>
        </w:numPr>
        <w:tabs>
          <w:tab w:val="left" w:pos="1652"/>
        </w:tabs>
        <w:spacing w:before="139"/>
        <w:rPr>
          <w:sz w:val="21"/>
        </w:rPr>
      </w:pPr>
      <w:r>
        <w:rPr>
          <w:sz w:val="21"/>
        </w:rPr>
        <w:t>投标货币为人民币。本项目为总价合同，在数量不发生变化时，不得变动价格；</w:t>
      </w:r>
    </w:p>
    <w:p>
      <w:pPr>
        <w:pStyle w:val="18"/>
        <w:numPr>
          <w:ilvl w:val="0"/>
          <w:numId w:val="15"/>
        </w:numPr>
        <w:tabs>
          <w:tab w:val="left" w:pos="1652"/>
        </w:tabs>
        <w:spacing w:before="138"/>
        <w:rPr>
          <w:sz w:val="21"/>
        </w:rPr>
      </w:pPr>
      <w:bookmarkStart w:id="142" w:name="2.投标总价的报价方式为货交使用部门项目现场并安装完成；"/>
      <w:bookmarkEnd w:id="142"/>
      <w:r>
        <w:rPr>
          <w:sz w:val="21"/>
        </w:rPr>
        <w:t>投标总价的报价方式为货交使用部门项目现场并安装完成；</w:t>
      </w:r>
    </w:p>
    <w:p>
      <w:pPr>
        <w:pStyle w:val="18"/>
        <w:numPr>
          <w:ilvl w:val="0"/>
          <w:numId w:val="15"/>
        </w:numPr>
        <w:tabs>
          <w:tab w:val="left" w:pos="1652"/>
        </w:tabs>
        <w:spacing w:before="139"/>
        <w:rPr>
          <w:sz w:val="21"/>
        </w:rPr>
      </w:pPr>
      <w:r>
        <w:rPr>
          <w:sz w:val="21"/>
        </w:rPr>
        <w:t>所有投标表格应根据投标人预算方式自行编制。</w:t>
      </w:r>
    </w:p>
    <w:p>
      <w:pPr>
        <w:rPr>
          <w:sz w:val="21"/>
        </w:rPr>
        <w:sectPr>
          <w:pgSz w:w="11910" w:h="16840"/>
          <w:pgMar w:top="1380" w:right="619" w:bottom="1180" w:left="780" w:header="852" w:footer="993" w:gutter="0"/>
          <w:cols w:space="720" w:num="1"/>
        </w:sectPr>
      </w:pPr>
    </w:p>
    <w:p>
      <w:pPr>
        <w:spacing w:before="58"/>
        <w:ind w:left="1020"/>
        <w:rPr>
          <w:sz w:val="28"/>
        </w:rPr>
      </w:pPr>
      <w:bookmarkStart w:id="143" w:name="_bookmark17"/>
      <w:bookmarkEnd w:id="143"/>
      <w:r>
        <w:rPr>
          <w:sz w:val="30"/>
        </w:rPr>
        <w:t xml:space="preserve">附件三 </w:t>
      </w:r>
      <w:r>
        <w:rPr>
          <w:sz w:val="28"/>
        </w:rPr>
        <w:t>法定代表人授权委托书</w:t>
      </w:r>
    </w:p>
    <w:p>
      <w:pPr>
        <w:pStyle w:val="5"/>
        <w:rPr>
          <w:sz w:val="30"/>
        </w:rPr>
      </w:pPr>
    </w:p>
    <w:p>
      <w:pPr>
        <w:pStyle w:val="5"/>
        <w:rPr>
          <w:sz w:val="34"/>
        </w:rPr>
      </w:pPr>
    </w:p>
    <w:p>
      <w:pPr>
        <w:pStyle w:val="5"/>
        <w:ind w:left="1140"/>
      </w:pPr>
      <w:r>
        <w:rPr>
          <w:spacing w:val="-60"/>
        </w:rPr>
        <w:t>致：</w:t>
      </w:r>
      <w:r>
        <w:rPr>
          <w:u w:val="single"/>
        </w:rPr>
        <w:t>（采购人</w:t>
      </w:r>
      <w:r>
        <w:rPr>
          <w:spacing w:val="-120"/>
          <w:u w:val="single"/>
        </w:rPr>
        <w:t>）</w:t>
      </w:r>
      <w:r>
        <w:t>：</w:t>
      </w:r>
    </w:p>
    <w:p>
      <w:pPr>
        <w:pStyle w:val="5"/>
        <w:tabs>
          <w:tab w:val="left" w:pos="4979"/>
        </w:tabs>
        <w:spacing w:before="158" w:line="364" w:lineRule="auto"/>
        <w:ind w:left="1020" w:right="1206" w:firstLine="720"/>
      </w:pPr>
      <w:r>
        <w:t>（单位名称）法定代表人授权我单位（职务或职称</w:t>
      </w:r>
      <w:r>
        <w:rPr>
          <w:spacing w:val="-120"/>
        </w:rPr>
        <w:t>）</w:t>
      </w:r>
      <w:r>
        <w:t>（姓名）为我单位</w:t>
      </w:r>
      <w:r>
        <w:rPr>
          <w:spacing w:val="-19"/>
        </w:rPr>
        <w:t>本</w:t>
      </w:r>
      <w:r>
        <w:t>次授权代理人，全权处理</w:t>
      </w:r>
      <w:r>
        <w:rPr>
          <w:u w:val="single"/>
        </w:rPr>
        <w:t xml:space="preserve"> </w:t>
      </w:r>
      <w:r>
        <w:rPr>
          <w:u w:val="single"/>
        </w:rPr>
        <w:tab/>
      </w:r>
      <w:r>
        <w:rPr>
          <w:u w:val="single"/>
        </w:rPr>
        <w:t>项目</w:t>
      </w:r>
      <w:r>
        <w:t>投标活动的一切事宜。</w:t>
      </w:r>
    </w:p>
    <w:p>
      <w:pPr>
        <w:pStyle w:val="5"/>
        <w:spacing w:line="306" w:lineRule="exact"/>
        <w:ind w:left="1500"/>
      </w:pPr>
      <w:r>
        <w:t>特此授权</w:t>
      </w:r>
    </w:p>
    <w:p>
      <w:pPr>
        <w:pStyle w:val="5"/>
        <w:spacing w:before="161"/>
        <w:ind w:left="1500"/>
      </w:pPr>
      <w:r>
        <w:t>（附法定代表人、授权代理人身份证明复印件）</w:t>
      </w:r>
    </w:p>
    <w:p>
      <w:pPr>
        <w:pStyle w:val="5"/>
        <w:spacing w:before="3"/>
        <w:rPr>
          <w:sz w:val="12"/>
        </w:rPr>
      </w:pPr>
    </w:p>
    <w:tbl>
      <w:tblPr>
        <w:tblStyle w:val="13"/>
        <w:tblW w:w="8958" w:type="dxa"/>
        <w:tblInd w:w="917"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4479"/>
        <w:gridCol w:w="4479"/>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2691" w:hRule="atLeast"/>
        </w:trPr>
        <w:tc>
          <w:tcPr>
            <w:tcW w:w="4479" w:type="dxa"/>
          </w:tcPr>
          <w:p>
            <w:pPr>
              <w:pStyle w:val="19"/>
              <w:spacing w:before="3"/>
              <w:ind w:left="107"/>
              <w:rPr>
                <w:sz w:val="24"/>
              </w:rPr>
            </w:pPr>
            <w:r>
              <w:rPr>
                <w:sz w:val="24"/>
              </w:rPr>
              <w:t>法定代表人身份证明正面</w:t>
            </w:r>
          </w:p>
        </w:tc>
        <w:tc>
          <w:tcPr>
            <w:tcW w:w="4479" w:type="dxa"/>
          </w:tcPr>
          <w:p>
            <w:pPr>
              <w:pStyle w:val="19"/>
              <w:spacing w:before="3"/>
              <w:ind w:left="107"/>
              <w:rPr>
                <w:sz w:val="24"/>
              </w:rPr>
            </w:pPr>
            <w:r>
              <w:rPr>
                <w:sz w:val="24"/>
              </w:rPr>
              <w:t>法定代表人身份证明反面</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2691" w:hRule="atLeast"/>
        </w:trPr>
        <w:tc>
          <w:tcPr>
            <w:tcW w:w="4479" w:type="dxa"/>
          </w:tcPr>
          <w:p>
            <w:pPr>
              <w:pStyle w:val="19"/>
              <w:spacing w:before="2"/>
              <w:ind w:left="107"/>
              <w:rPr>
                <w:sz w:val="24"/>
              </w:rPr>
            </w:pPr>
            <w:r>
              <w:rPr>
                <w:sz w:val="24"/>
              </w:rPr>
              <w:t>委托代理人身份证明正面</w:t>
            </w:r>
          </w:p>
        </w:tc>
        <w:tc>
          <w:tcPr>
            <w:tcW w:w="4479" w:type="dxa"/>
          </w:tcPr>
          <w:p>
            <w:pPr>
              <w:pStyle w:val="19"/>
              <w:spacing w:before="2"/>
              <w:ind w:left="107"/>
              <w:rPr>
                <w:sz w:val="24"/>
              </w:rPr>
            </w:pPr>
            <w:r>
              <w:rPr>
                <w:sz w:val="24"/>
              </w:rPr>
              <w:t>委托代理人身份证明反面</w:t>
            </w:r>
          </w:p>
        </w:tc>
      </w:tr>
    </w:tbl>
    <w:p>
      <w:pPr>
        <w:pStyle w:val="5"/>
      </w:pPr>
    </w:p>
    <w:p>
      <w:pPr>
        <w:pStyle w:val="5"/>
      </w:pPr>
    </w:p>
    <w:p>
      <w:pPr>
        <w:pStyle w:val="5"/>
        <w:spacing w:before="2"/>
        <w:rPr>
          <w:sz w:val="25"/>
        </w:rPr>
      </w:pPr>
    </w:p>
    <w:p>
      <w:pPr>
        <w:pStyle w:val="5"/>
        <w:ind w:left="1500"/>
      </w:pPr>
      <w:r>
        <w:t>单位名称（公章</w:t>
      </w:r>
      <w:r>
        <w:rPr>
          <w:spacing w:val="-120"/>
        </w:rPr>
        <w:t>）</w:t>
      </w:r>
      <w:r>
        <w:t>：</w:t>
      </w:r>
    </w:p>
    <w:p>
      <w:pPr>
        <w:pStyle w:val="5"/>
        <w:spacing w:before="158" w:line="362" w:lineRule="auto"/>
        <w:ind w:left="1500" w:right="6006"/>
      </w:pPr>
      <w:r>
        <w:t>法定代表人（签字或盖章</w:t>
      </w:r>
      <w:r>
        <w:rPr>
          <w:spacing w:val="-130"/>
        </w:rPr>
        <w:t>）</w:t>
      </w:r>
      <w:r>
        <w:rPr>
          <w:spacing w:val="-10"/>
        </w:rPr>
        <w:t>：</w:t>
      </w:r>
      <w:r>
        <w:t>法人授权代表（签字</w:t>
      </w:r>
      <w:r>
        <w:rPr>
          <w:spacing w:val="-120"/>
        </w:rPr>
        <w:t>）</w:t>
      </w:r>
      <w:r>
        <w:t>：</w:t>
      </w:r>
    </w:p>
    <w:p>
      <w:pPr>
        <w:spacing w:line="362" w:lineRule="auto"/>
        <w:sectPr>
          <w:footerReference r:id="rId12" w:type="default"/>
          <w:pgSz w:w="11910" w:h="16840"/>
          <w:pgMar w:top="1380" w:right="619" w:bottom="1180" w:left="780" w:header="852" w:footer="993" w:gutter="0"/>
          <w:pgNumType w:start="40"/>
          <w:cols w:space="720" w:num="1"/>
        </w:sectPr>
      </w:pPr>
    </w:p>
    <w:p>
      <w:pPr>
        <w:spacing w:before="58"/>
        <w:ind w:left="1020"/>
        <w:rPr>
          <w:sz w:val="28"/>
        </w:rPr>
      </w:pPr>
      <w:bookmarkStart w:id="144" w:name="_bookmark18"/>
      <w:bookmarkEnd w:id="144"/>
      <w:r>
        <w:rPr>
          <w:sz w:val="30"/>
        </w:rPr>
        <w:t xml:space="preserve">附件四 </w:t>
      </w:r>
      <w:r>
        <w:rPr>
          <w:sz w:val="28"/>
        </w:rPr>
        <w:t>投标人资格情况承诺书</w:t>
      </w:r>
    </w:p>
    <w:p>
      <w:pPr>
        <w:pStyle w:val="5"/>
        <w:spacing w:before="3" w:after="1"/>
        <w:rPr>
          <w:sz w:val="15"/>
        </w:rPr>
      </w:pPr>
    </w:p>
    <w:tbl>
      <w:tblPr>
        <w:tblStyle w:val="13"/>
        <w:tblW w:w="9286" w:type="dxa"/>
        <w:tblInd w:w="9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7"/>
        <w:gridCol w:w="747"/>
        <w:gridCol w:w="800"/>
        <w:gridCol w:w="1566"/>
        <w:gridCol w:w="1530"/>
        <w:gridCol w:w="497"/>
        <w:gridCol w:w="1051"/>
        <w:gridCol w:w="1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6" w:hRule="atLeast"/>
        </w:trPr>
        <w:tc>
          <w:tcPr>
            <w:tcW w:w="2294" w:type="dxa"/>
            <w:gridSpan w:val="2"/>
          </w:tcPr>
          <w:p>
            <w:pPr>
              <w:pStyle w:val="19"/>
              <w:spacing w:before="183"/>
              <w:ind w:left="587"/>
            </w:pPr>
            <w:r>
              <w:t>企业名称</w:t>
            </w:r>
          </w:p>
        </w:tc>
        <w:tc>
          <w:tcPr>
            <w:tcW w:w="2366" w:type="dxa"/>
            <w:gridSpan w:val="2"/>
          </w:tcPr>
          <w:p>
            <w:pPr>
              <w:pStyle w:val="19"/>
              <w:rPr>
                <w:rFonts w:ascii="Times New Roman"/>
              </w:rPr>
            </w:pPr>
          </w:p>
        </w:tc>
        <w:tc>
          <w:tcPr>
            <w:tcW w:w="2027" w:type="dxa"/>
            <w:gridSpan w:val="2"/>
          </w:tcPr>
          <w:p>
            <w:pPr>
              <w:pStyle w:val="19"/>
              <w:spacing w:before="3"/>
              <w:ind w:left="173"/>
            </w:pPr>
            <w:r>
              <w:rPr>
                <w:spacing w:val="-3"/>
              </w:rPr>
              <w:t>企业营业执照</w:t>
            </w:r>
          </w:p>
          <w:p>
            <w:pPr>
              <w:pStyle w:val="19"/>
              <w:spacing w:before="4" w:line="340" w:lineRule="exact"/>
              <w:ind w:left="173"/>
            </w:pPr>
            <w:r>
              <w:rPr>
                <w:spacing w:val="-3"/>
              </w:rPr>
              <w:t>是否合格有效</w:t>
            </w:r>
          </w:p>
        </w:tc>
        <w:tc>
          <w:tcPr>
            <w:tcW w:w="2599" w:type="dxa"/>
            <w:gridSpan w:val="2"/>
          </w:tcPr>
          <w:p>
            <w:pPr>
              <w:pStyle w:val="1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52" w:hRule="atLeast"/>
        </w:trPr>
        <w:tc>
          <w:tcPr>
            <w:tcW w:w="2294" w:type="dxa"/>
            <w:gridSpan w:val="2"/>
          </w:tcPr>
          <w:p>
            <w:pPr>
              <w:pStyle w:val="19"/>
              <w:spacing w:before="184" w:line="242" w:lineRule="auto"/>
              <w:ind w:left="167" w:right="153"/>
              <w:jc w:val="center"/>
            </w:pPr>
            <w:r>
              <w:t>统一社会信用代码证（或营业执照注册号）</w:t>
            </w:r>
          </w:p>
        </w:tc>
        <w:tc>
          <w:tcPr>
            <w:tcW w:w="2366" w:type="dxa"/>
            <w:gridSpan w:val="2"/>
          </w:tcPr>
          <w:p>
            <w:pPr>
              <w:pStyle w:val="19"/>
              <w:rPr>
                <w:rFonts w:ascii="Times New Roman"/>
              </w:rPr>
            </w:pPr>
          </w:p>
        </w:tc>
        <w:tc>
          <w:tcPr>
            <w:tcW w:w="2027" w:type="dxa"/>
            <w:gridSpan w:val="2"/>
          </w:tcPr>
          <w:p>
            <w:pPr>
              <w:pStyle w:val="19"/>
              <w:spacing w:before="1" w:line="242" w:lineRule="auto"/>
              <w:ind w:left="173" w:right="161"/>
              <w:jc w:val="both"/>
            </w:pPr>
            <w:r>
              <w:t>信息安全等级保护测评机构推荐证书是否合格有效</w:t>
            </w:r>
          </w:p>
        </w:tc>
        <w:tc>
          <w:tcPr>
            <w:tcW w:w="2599" w:type="dxa"/>
            <w:gridSpan w:val="2"/>
          </w:tcPr>
          <w:p>
            <w:pPr>
              <w:pStyle w:val="1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15" w:hRule="atLeast"/>
        </w:trPr>
        <w:tc>
          <w:tcPr>
            <w:tcW w:w="2294" w:type="dxa"/>
            <w:gridSpan w:val="2"/>
          </w:tcPr>
          <w:p>
            <w:pPr>
              <w:pStyle w:val="19"/>
            </w:pPr>
          </w:p>
          <w:p>
            <w:pPr>
              <w:pStyle w:val="19"/>
              <w:spacing w:before="10"/>
            </w:pPr>
          </w:p>
          <w:p>
            <w:pPr>
              <w:pStyle w:val="19"/>
              <w:spacing w:before="1"/>
              <w:ind w:left="163" w:right="153"/>
              <w:jc w:val="center"/>
            </w:pPr>
            <w:r>
              <w:t>地址</w:t>
            </w:r>
          </w:p>
        </w:tc>
        <w:tc>
          <w:tcPr>
            <w:tcW w:w="2366" w:type="dxa"/>
            <w:gridSpan w:val="2"/>
          </w:tcPr>
          <w:p>
            <w:pPr>
              <w:pStyle w:val="19"/>
              <w:rPr>
                <w:rFonts w:ascii="Times New Roman"/>
              </w:rPr>
            </w:pPr>
          </w:p>
        </w:tc>
        <w:tc>
          <w:tcPr>
            <w:tcW w:w="2027" w:type="dxa"/>
            <w:gridSpan w:val="2"/>
          </w:tcPr>
          <w:p>
            <w:pPr>
              <w:pStyle w:val="19"/>
              <w:spacing w:before="3" w:line="242" w:lineRule="auto"/>
              <w:ind w:left="173" w:right="161"/>
              <w:jc w:val="both"/>
            </w:pPr>
            <w:r>
              <w:t>测评机构实施人员具备等级保护测评师证书是否合格有效</w:t>
            </w:r>
          </w:p>
        </w:tc>
        <w:tc>
          <w:tcPr>
            <w:tcW w:w="2599" w:type="dxa"/>
            <w:gridSpan w:val="2"/>
          </w:tcPr>
          <w:p>
            <w:pPr>
              <w:pStyle w:val="1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3" w:hRule="atLeast"/>
        </w:trPr>
        <w:tc>
          <w:tcPr>
            <w:tcW w:w="2294" w:type="dxa"/>
            <w:gridSpan w:val="2"/>
          </w:tcPr>
          <w:p>
            <w:pPr>
              <w:pStyle w:val="19"/>
              <w:spacing w:before="1" w:line="341" w:lineRule="exact"/>
              <w:ind w:left="587"/>
            </w:pPr>
            <w:r>
              <w:t>主管部门</w:t>
            </w:r>
          </w:p>
        </w:tc>
        <w:tc>
          <w:tcPr>
            <w:tcW w:w="2366" w:type="dxa"/>
            <w:gridSpan w:val="2"/>
          </w:tcPr>
          <w:p>
            <w:pPr>
              <w:pStyle w:val="19"/>
              <w:rPr>
                <w:rFonts w:ascii="Times New Roman"/>
              </w:rPr>
            </w:pPr>
          </w:p>
        </w:tc>
        <w:tc>
          <w:tcPr>
            <w:tcW w:w="2027" w:type="dxa"/>
            <w:gridSpan w:val="2"/>
          </w:tcPr>
          <w:p>
            <w:pPr>
              <w:pStyle w:val="19"/>
              <w:spacing w:before="1" w:line="341" w:lineRule="exact"/>
              <w:ind w:left="312"/>
            </w:pPr>
            <w:r>
              <w:t>法定代表人</w:t>
            </w:r>
          </w:p>
        </w:tc>
        <w:tc>
          <w:tcPr>
            <w:tcW w:w="2599" w:type="dxa"/>
            <w:gridSpan w:val="2"/>
          </w:tcPr>
          <w:p>
            <w:pPr>
              <w:pStyle w:val="19"/>
              <w:rPr>
                <w:rFonts w:ascii="Times New Roman"/>
              </w:rPr>
            </w:pPr>
          </w:p>
        </w:tc>
      </w:tr>
      <w:tr>
        <w:tblPrEx>
          <w:tblLayout w:type="fixed"/>
          <w:tblCellMar>
            <w:top w:w="0" w:type="dxa"/>
            <w:left w:w="0" w:type="dxa"/>
            <w:bottom w:w="0" w:type="dxa"/>
            <w:right w:w="0" w:type="dxa"/>
          </w:tblCellMar>
        </w:tblPrEx>
        <w:trPr>
          <w:trHeight w:val="362" w:hRule="atLeast"/>
        </w:trPr>
        <w:tc>
          <w:tcPr>
            <w:tcW w:w="2294" w:type="dxa"/>
            <w:gridSpan w:val="2"/>
          </w:tcPr>
          <w:p>
            <w:pPr>
              <w:pStyle w:val="19"/>
              <w:spacing w:before="3" w:line="340" w:lineRule="exact"/>
              <w:ind w:left="587"/>
            </w:pPr>
            <w:r>
              <w:t>注册时间</w:t>
            </w:r>
          </w:p>
        </w:tc>
        <w:tc>
          <w:tcPr>
            <w:tcW w:w="2366" w:type="dxa"/>
            <w:gridSpan w:val="2"/>
          </w:tcPr>
          <w:p>
            <w:pPr>
              <w:pStyle w:val="19"/>
              <w:rPr>
                <w:rFonts w:ascii="Times New Roman"/>
              </w:rPr>
            </w:pPr>
          </w:p>
        </w:tc>
        <w:tc>
          <w:tcPr>
            <w:tcW w:w="2027" w:type="dxa"/>
            <w:gridSpan w:val="2"/>
          </w:tcPr>
          <w:p>
            <w:pPr>
              <w:pStyle w:val="19"/>
              <w:spacing w:before="3" w:line="340" w:lineRule="exact"/>
              <w:ind w:left="451"/>
            </w:pPr>
            <w:r>
              <w:t>经济类型</w:t>
            </w:r>
          </w:p>
        </w:tc>
        <w:tc>
          <w:tcPr>
            <w:tcW w:w="2599" w:type="dxa"/>
            <w:gridSpan w:val="2"/>
          </w:tcPr>
          <w:p>
            <w:pPr>
              <w:pStyle w:val="1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52" w:hRule="atLeast"/>
        </w:trPr>
        <w:tc>
          <w:tcPr>
            <w:tcW w:w="2294" w:type="dxa"/>
            <w:gridSpan w:val="2"/>
          </w:tcPr>
          <w:p>
            <w:pPr>
              <w:pStyle w:val="19"/>
              <w:spacing w:before="184" w:line="242" w:lineRule="auto"/>
              <w:ind w:left="167" w:right="153"/>
              <w:jc w:val="center"/>
            </w:pPr>
            <w:r>
              <w:t>近三年内经营活动中有无重大违法记录</w:t>
            </w:r>
          </w:p>
        </w:tc>
        <w:tc>
          <w:tcPr>
            <w:tcW w:w="2366" w:type="dxa"/>
            <w:gridSpan w:val="2"/>
          </w:tcPr>
          <w:p>
            <w:pPr>
              <w:pStyle w:val="19"/>
              <w:rPr>
                <w:rFonts w:ascii="Times New Roman"/>
              </w:rPr>
            </w:pPr>
          </w:p>
        </w:tc>
        <w:tc>
          <w:tcPr>
            <w:tcW w:w="2027" w:type="dxa"/>
            <w:gridSpan w:val="2"/>
          </w:tcPr>
          <w:p>
            <w:pPr>
              <w:pStyle w:val="19"/>
              <w:spacing w:before="2" w:line="242" w:lineRule="auto"/>
              <w:ind w:left="108" w:right="94"/>
              <w:jc w:val="both"/>
            </w:pPr>
            <w:r>
              <w:t>是否具备履行合同所必需的设备和专业技术能力</w:t>
            </w:r>
          </w:p>
        </w:tc>
        <w:tc>
          <w:tcPr>
            <w:tcW w:w="2599" w:type="dxa"/>
            <w:gridSpan w:val="2"/>
          </w:tcPr>
          <w:p>
            <w:pPr>
              <w:pStyle w:val="1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6" w:hRule="atLeast"/>
        </w:trPr>
        <w:tc>
          <w:tcPr>
            <w:tcW w:w="2294" w:type="dxa"/>
            <w:gridSpan w:val="2"/>
          </w:tcPr>
          <w:p>
            <w:pPr>
              <w:pStyle w:val="19"/>
              <w:spacing w:before="3"/>
              <w:ind w:left="148" w:right="136"/>
              <w:jc w:val="center"/>
            </w:pPr>
            <w:r>
              <w:t>是否依法缴纳税收</w:t>
            </w:r>
          </w:p>
        </w:tc>
        <w:tc>
          <w:tcPr>
            <w:tcW w:w="2366" w:type="dxa"/>
            <w:gridSpan w:val="2"/>
          </w:tcPr>
          <w:p>
            <w:pPr>
              <w:pStyle w:val="19"/>
              <w:rPr>
                <w:rFonts w:ascii="Times New Roman"/>
              </w:rPr>
            </w:pPr>
          </w:p>
        </w:tc>
        <w:tc>
          <w:tcPr>
            <w:tcW w:w="2027" w:type="dxa"/>
            <w:gridSpan w:val="2"/>
          </w:tcPr>
          <w:p>
            <w:pPr>
              <w:pStyle w:val="19"/>
              <w:spacing w:before="3"/>
              <w:ind w:left="173"/>
            </w:pPr>
            <w:r>
              <w:rPr>
                <w:spacing w:val="-3"/>
              </w:rPr>
              <w:t>是否依法缴纳</w:t>
            </w:r>
          </w:p>
          <w:p>
            <w:pPr>
              <w:pStyle w:val="19"/>
              <w:spacing w:before="3" w:line="341" w:lineRule="exact"/>
              <w:ind w:left="173"/>
            </w:pPr>
            <w:r>
              <w:rPr>
                <w:spacing w:val="-3"/>
              </w:rPr>
              <w:t>社会保障资金</w:t>
            </w:r>
          </w:p>
        </w:tc>
        <w:tc>
          <w:tcPr>
            <w:tcW w:w="2599" w:type="dxa"/>
            <w:gridSpan w:val="2"/>
          </w:tcPr>
          <w:p>
            <w:pPr>
              <w:pStyle w:val="1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3" w:hRule="atLeast"/>
        </w:trPr>
        <w:tc>
          <w:tcPr>
            <w:tcW w:w="1547" w:type="dxa"/>
            <w:vMerge w:val="restart"/>
          </w:tcPr>
          <w:p>
            <w:pPr>
              <w:pStyle w:val="19"/>
              <w:spacing w:before="15" w:line="242" w:lineRule="auto"/>
              <w:ind w:left="633" w:right="620"/>
              <w:jc w:val="both"/>
            </w:pPr>
            <w:r>
              <w:t>单位概</w:t>
            </w:r>
          </w:p>
          <w:p>
            <w:pPr>
              <w:pStyle w:val="19"/>
              <w:spacing w:before="3" w:line="357" w:lineRule="exact"/>
              <w:ind w:left="10"/>
              <w:jc w:val="center"/>
            </w:pPr>
            <w:r>
              <w:t>况</w:t>
            </w:r>
          </w:p>
        </w:tc>
        <w:tc>
          <w:tcPr>
            <w:tcW w:w="1547" w:type="dxa"/>
            <w:gridSpan w:val="2"/>
          </w:tcPr>
          <w:p>
            <w:pPr>
              <w:pStyle w:val="19"/>
              <w:spacing w:before="1" w:line="342" w:lineRule="exact"/>
              <w:ind w:left="108"/>
            </w:pPr>
            <w:r>
              <w:t>注册资本</w:t>
            </w:r>
          </w:p>
        </w:tc>
        <w:tc>
          <w:tcPr>
            <w:tcW w:w="1566" w:type="dxa"/>
          </w:tcPr>
          <w:p>
            <w:pPr>
              <w:pStyle w:val="19"/>
              <w:spacing w:before="1" w:line="342" w:lineRule="exact"/>
              <w:ind w:left="107"/>
            </w:pPr>
            <w:r>
              <w:t>万元</w:t>
            </w:r>
          </w:p>
        </w:tc>
        <w:tc>
          <w:tcPr>
            <w:tcW w:w="1530" w:type="dxa"/>
          </w:tcPr>
          <w:p>
            <w:pPr>
              <w:pStyle w:val="19"/>
              <w:spacing w:before="1" w:line="342" w:lineRule="exact"/>
              <w:ind w:left="108"/>
            </w:pPr>
            <w:r>
              <w:t>占地面积</w:t>
            </w:r>
          </w:p>
        </w:tc>
        <w:tc>
          <w:tcPr>
            <w:tcW w:w="3096" w:type="dxa"/>
            <w:gridSpan w:val="3"/>
          </w:tcPr>
          <w:p>
            <w:pPr>
              <w:pStyle w:val="19"/>
              <w:spacing w:before="1" w:line="342" w:lineRule="exact"/>
              <w:ind w:left="1780"/>
            </w:pPr>
            <w: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1547" w:type="dxa"/>
            <w:vMerge w:val="continue"/>
            <w:tcBorders>
              <w:top w:val="nil"/>
            </w:tcBorders>
          </w:tcPr>
          <w:p>
            <w:pPr>
              <w:rPr>
                <w:szCs w:val="2"/>
              </w:rPr>
            </w:pPr>
          </w:p>
        </w:tc>
        <w:tc>
          <w:tcPr>
            <w:tcW w:w="1547" w:type="dxa"/>
            <w:gridSpan w:val="2"/>
          </w:tcPr>
          <w:p>
            <w:pPr>
              <w:pStyle w:val="19"/>
              <w:spacing w:before="2" w:line="340" w:lineRule="exact"/>
              <w:ind w:left="211"/>
            </w:pPr>
            <w:r>
              <w:t>职工总数</w:t>
            </w:r>
          </w:p>
        </w:tc>
        <w:tc>
          <w:tcPr>
            <w:tcW w:w="1566" w:type="dxa"/>
          </w:tcPr>
          <w:p>
            <w:pPr>
              <w:pStyle w:val="19"/>
              <w:spacing w:before="2" w:line="340" w:lineRule="exact"/>
              <w:ind w:left="10"/>
              <w:jc w:val="center"/>
            </w:pPr>
            <w:r>
              <w:t>人</w:t>
            </w:r>
          </w:p>
        </w:tc>
        <w:tc>
          <w:tcPr>
            <w:tcW w:w="1530" w:type="dxa"/>
          </w:tcPr>
          <w:p>
            <w:pPr>
              <w:pStyle w:val="19"/>
              <w:spacing w:before="2" w:line="340" w:lineRule="exact"/>
              <w:ind w:left="204"/>
            </w:pPr>
            <w:r>
              <w:t>建筑面积</w:t>
            </w:r>
          </w:p>
        </w:tc>
        <w:tc>
          <w:tcPr>
            <w:tcW w:w="3096" w:type="dxa"/>
            <w:gridSpan w:val="3"/>
          </w:tcPr>
          <w:p>
            <w:pPr>
              <w:pStyle w:val="19"/>
              <w:spacing w:before="2" w:line="340" w:lineRule="exact"/>
              <w:ind w:left="1758"/>
            </w:pPr>
            <w: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1547" w:type="dxa"/>
            <w:vMerge w:val="continue"/>
            <w:tcBorders>
              <w:top w:val="nil"/>
            </w:tcBorders>
          </w:tcPr>
          <w:p>
            <w:pPr>
              <w:rPr>
                <w:szCs w:val="2"/>
              </w:rPr>
            </w:pPr>
          </w:p>
        </w:tc>
        <w:tc>
          <w:tcPr>
            <w:tcW w:w="1547" w:type="dxa"/>
            <w:gridSpan w:val="2"/>
            <w:vMerge w:val="restart"/>
          </w:tcPr>
          <w:p>
            <w:pPr>
              <w:pStyle w:val="19"/>
              <w:spacing w:before="5" w:line="360" w:lineRule="atLeast"/>
              <w:ind w:left="492" w:right="480"/>
            </w:pPr>
            <w:r>
              <w:t>资产情况</w:t>
            </w:r>
          </w:p>
        </w:tc>
        <w:tc>
          <w:tcPr>
            <w:tcW w:w="3096" w:type="dxa"/>
            <w:gridSpan w:val="2"/>
          </w:tcPr>
          <w:p>
            <w:pPr>
              <w:pStyle w:val="19"/>
              <w:spacing w:before="4" w:line="339" w:lineRule="exact"/>
              <w:ind w:left="846"/>
            </w:pPr>
            <w:r>
              <w:t>净资产万元</w:t>
            </w:r>
          </w:p>
        </w:tc>
        <w:tc>
          <w:tcPr>
            <w:tcW w:w="3096" w:type="dxa"/>
            <w:gridSpan w:val="3"/>
            <w:vMerge w:val="restart"/>
          </w:tcPr>
          <w:p>
            <w:pPr>
              <w:pStyle w:val="19"/>
              <w:tabs>
                <w:tab w:val="left" w:pos="2387"/>
              </w:tabs>
              <w:spacing w:before="3" w:line="360" w:lineRule="atLeast"/>
              <w:ind w:left="148" w:right="134"/>
            </w:pPr>
            <w:r>
              <w:t>固</w:t>
            </w:r>
            <w:r>
              <w:rPr>
                <w:spacing w:val="-3"/>
              </w:rPr>
              <w:t>定</w:t>
            </w:r>
            <w:r>
              <w:t>资产</w:t>
            </w:r>
            <w:r>
              <w:rPr>
                <w:spacing w:val="-3"/>
              </w:rPr>
              <w:t>原</w:t>
            </w:r>
            <w:r>
              <w:t>值:</w:t>
            </w:r>
            <w:r>
              <w:tab/>
            </w:r>
            <w:r>
              <w:t>万</w:t>
            </w:r>
            <w:r>
              <w:rPr>
                <w:spacing w:val="-16"/>
              </w:rPr>
              <w:t>元</w:t>
            </w:r>
            <w:r>
              <w:t>固</w:t>
            </w:r>
            <w:r>
              <w:rPr>
                <w:spacing w:val="-3"/>
              </w:rPr>
              <w:t>定</w:t>
            </w:r>
            <w:r>
              <w:t>资产</w:t>
            </w:r>
            <w:r>
              <w:rPr>
                <w:spacing w:val="-3"/>
              </w:rPr>
              <w:t>净</w:t>
            </w:r>
            <w:r>
              <w:t>值:</w:t>
            </w:r>
            <w:r>
              <w:tab/>
            </w:r>
            <w:r>
              <w:t>万</w:t>
            </w:r>
            <w:r>
              <w:rPr>
                <w:spacing w:val="-16"/>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3" w:hRule="atLeast"/>
        </w:trPr>
        <w:tc>
          <w:tcPr>
            <w:tcW w:w="1547" w:type="dxa"/>
            <w:vMerge w:val="continue"/>
            <w:tcBorders>
              <w:top w:val="nil"/>
            </w:tcBorders>
          </w:tcPr>
          <w:p>
            <w:pPr>
              <w:rPr>
                <w:szCs w:val="2"/>
              </w:rPr>
            </w:pPr>
          </w:p>
        </w:tc>
        <w:tc>
          <w:tcPr>
            <w:tcW w:w="1547" w:type="dxa"/>
            <w:gridSpan w:val="2"/>
            <w:vMerge w:val="continue"/>
            <w:tcBorders>
              <w:top w:val="nil"/>
            </w:tcBorders>
          </w:tcPr>
          <w:p>
            <w:pPr>
              <w:rPr>
                <w:szCs w:val="2"/>
              </w:rPr>
            </w:pPr>
          </w:p>
        </w:tc>
        <w:tc>
          <w:tcPr>
            <w:tcW w:w="3096" w:type="dxa"/>
            <w:gridSpan w:val="2"/>
          </w:tcPr>
          <w:p>
            <w:pPr>
              <w:pStyle w:val="19"/>
              <w:spacing w:before="3" w:line="340" w:lineRule="exact"/>
              <w:ind w:left="988"/>
            </w:pPr>
            <w:r>
              <w:t>负债万元</w:t>
            </w:r>
          </w:p>
        </w:tc>
        <w:tc>
          <w:tcPr>
            <w:tcW w:w="3096" w:type="dxa"/>
            <w:gridSpan w:val="3"/>
            <w:vMerge w:val="continue"/>
            <w:tcBorders>
              <w:top w:val="nil"/>
            </w:tcBorders>
          </w:tcPr>
          <w:p>
            <w:pPr>
              <w:rPr>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7" w:hRule="atLeast"/>
        </w:trPr>
        <w:tc>
          <w:tcPr>
            <w:tcW w:w="1547" w:type="dxa"/>
            <w:vMerge w:val="restart"/>
          </w:tcPr>
          <w:p>
            <w:pPr>
              <w:pStyle w:val="19"/>
              <w:spacing w:before="7"/>
            </w:pPr>
          </w:p>
          <w:p>
            <w:pPr>
              <w:pStyle w:val="19"/>
              <w:ind w:left="352"/>
            </w:pPr>
            <w:r>
              <w:rPr>
                <w:rFonts w:hint="eastAsia"/>
              </w:rPr>
              <w:t>财务状况</w:t>
            </w:r>
          </w:p>
          <w:p>
            <w:pPr>
              <w:pStyle w:val="19"/>
              <w:spacing w:before="6" w:line="242" w:lineRule="auto"/>
              <w:ind w:left="491" w:right="200" w:hanging="279"/>
            </w:pPr>
            <w:r>
              <w:t>（最近三年）</w:t>
            </w:r>
          </w:p>
        </w:tc>
        <w:tc>
          <w:tcPr>
            <w:tcW w:w="1547" w:type="dxa"/>
            <w:gridSpan w:val="2"/>
          </w:tcPr>
          <w:p>
            <w:pPr>
              <w:pStyle w:val="19"/>
              <w:spacing w:before="184"/>
              <w:ind w:left="492"/>
            </w:pPr>
            <w:r>
              <w:t>年份</w:t>
            </w:r>
          </w:p>
        </w:tc>
        <w:tc>
          <w:tcPr>
            <w:tcW w:w="1566" w:type="dxa"/>
          </w:tcPr>
          <w:p>
            <w:pPr>
              <w:pStyle w:val="19"/>
              <w:spacing w:before="2"/>
              <w:ind w:left="222"/>
            </w:pPr>
            <w:r>
              <w:rPr>
                <w:spacing w:val="-2"/>
              </w:rPr>
              <w:t>主营收入</w:t>
            </w:r>
          </w:p>
          <w:p>
            <w:pPr>
              <w:pStyle w:val="19"/>
              <w:spacing w:before="6" w:line="340" w:lineRule="exact"/>
              <w:ind w:left="222"/>
            </w:pPr>
            <w:r>
              <w:rPr>
                <w:spacing w:val="-1"/>
              </w:rPr>
              <w:t>（</w:t>
            </w:r>
            <w:r>
              <w:rPr>
                <w:spacing w:val="-2"/>
              </w:rPr>
              <w:t>万元</w:t>
            </w:r>
            <w:r>
              <w:t>）</w:t>
            </w:r>
          </w:p>
        </w:tc>
        <w:tc>
          <w:tcPr>
            <w:tcW w:w="1530" w:type="dxa"/>
          </w:tcPr>
          <w:p>
            <w:pPr>
              <w:pStyle w:val="19"/>
              <w:spacing w:before="2"/>
              <w:ind w:left="204"/>
            </w:pPr>
            <w:r>
              <w:rPr>
                <w:spacing w:val="-2"/>
              </w:rPr>
              <w:t>收入总额</w:t>
            </w:r>
          </w:p>
          <w:p>
            <w:pPr>
              <w:pStyle w:val="19"/>
              <w:spacing w:before="6" w:line="340" w:lineRule="exact"/>
              <w:ind w:left="204"/>
            </w:pPr>
            <w:r>
              <w:rPr>
                <w:spacing w:val="-1"/>
              </w:rPr>
              <w:t>（</w:t>
            </w:r>
            <w:r>
              <w:rPr>
                <w:spacing w:val="-2"/>
              </w:rPr>
              <w:t>万元</w:t>
            </w:r>
            <w:r>
              <w:t>）</w:t>
            </w:r>
          </w:p>
        </w:tc>
        <w:tc>
          <w:tcPr>
            <w:tcW w:w="1548" w:type="dxa"/>
            <w:gridSpan w:val="2"/>
          </w:tcPr>
          <w:p>
            <w:pPr>
              <w:pStyle w:val="19"/>
              <w:spacing w:before="2"/>
              <w:ind w:left="212"/>
            </w:pPr>
            <w:r>
              <w:rPr>
                <w:spacing w:val="-2"/>
              </w:rPr>
              <w:t>利润总额</w:t>
            </w:r>
          </w:p>
          <w:p>
            <w:pPr>
              <w:pStyle w:val="19"/>
              <w:spacing w:before="6" w:line="340" w:lineRule="exact"/>
              <w:ind w:left="212"/>
            </w:pPr>
            <w:r>
              <w:rPr>
                <w:spacing w:val="-1"/>
              </w:rPr>
              <w:t>（</w:t>
            </w:r>
            <w:r>
              <w:rPr>
                <w:spacing w:val="-2"/>
              </w:rPr>
              <w:t>万元</w:t>
            </w:r>
            <w:r>
              <w:t>）</w:t>
            </w:r>
          </w:p>
        </w:tc>
        <w:tc>
          <w:tcPr>
            <w:tcW w:w="1548" w:type="dxa"/>
          </w:tcPr>
          <w:p>
            <w:pPr>
              <w:pStyle w:val="19"/>
              <w:spacing w:before="2"/>
              <w:ind w:left="193" w:right="182"/>
              <w:jc w:val="center"/>
            </w:pPr>
            <w:r>
              <w:t>净利润</w:t>
            </w:r>
          </w:p>
          <w:p>
            <w:pPr>
              <w:pStyle w:val="19"/>
              <w:spacing w:before="6" w:line="340" w:lineRule="exact"/>
              <w:ind w:left="193" w:right="185"/>
              <w:jc w:val="center"/>
            </w:pP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1547" w:type="dxa"/>
            <w:vMerge w:val="continue"/>
            <w:tcBorders>
              <w:top w:val="nil"/>
            </w:tcBorders>
          </w:tcPr>
          <w:p>
            <w:pPr>
              <w:rPr>
                <w:szCs w:val="2"/>
              </w:rPr>
            </w:pPr>
          </w:p>
        </w:tc>
        <w:tc>
          <w:tcPr>
            <w:tcW w:w="1547" w:type="dxa"/>
            <w:gridSpan w:val="2"/>
          </w:tcPr>
          <w:p>
            <w:pPr>
              <w:pStyle w:val="19"/>
              <w:spacing w:before="2" w:line="341" w:lineRule="exact"/>
              <w:ind w:left="7"/>
              <w:jc w:val="center"/>
            </w:pPr>
            <w:r>
              <w:t>年</w:t>
            </w:r>
          </w:p>
        </w:tc>
        <w:tc>
          <w:tcPr>
            <w:tcW w:w="1566" w:type="dxa"/>
          </w:tcPr>
          <w:p>
            <w:pPr>
              <w:pStyle w:val="19"/>
              <w:rPr>
                <w:rFonts w:ascii="Times New Roman"/>
              </w:rPr>
            </w:pPr>
          </w:p>
        </w:tc>
        <w:tc>
          <w:tcPr>
            <w:tcW w:w="1530" w:type="dxa"/>
          </w:tcPr>
          <w:p>
            <w:pPr>
              <w:pStyle w:val="19"/>
              <w:rPr>
                <w:rFonts w:ascii="Times New Roman"/>
              </w:rPr>
            </w:pPr>
          </w:p>
        </w:tc>
        <w:tc>
          <w:tcPr>
            <w:tcW w:w="1548" w:type="dxa"/>
            <w:gridSpan w:val="2"/>
          </w:tcPr>
          <w:p>
            <w:pPr>
              <w:pStyle w:val="19"/>
              <w:rPr>
                <w:rFonts w:ascii="Times New Roman"/>
              </w:rPr>
            </w:pPr>
          </w:p>
        </w:tc>
        <w:tc>
          <w:tcPr>
            <w:tcW w:w="1548" w:type="dxa"/>
          </w:tcPr>
          <w:p>
            <w:pPr>
              <w:pStyle w:val="1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1547" w:type="dxa"/>
            <w:vMerge w:val="continue"/>
            <w:tcBorders>
              <w:top w:val="nil"/>
            </w:tcBorders>
          </w:tcPr>
          <w:p>
            <w:pPr>
              <w:rPr>
                <w:szCs w:val="2"/>
              </w:rPr>
            </w:pPr>
          </w:p>
        </w:tc>
        <w:tc>
          <w:tcPr>
            <w:tcW w:w="1547" w:type="dxa"/>
            <w:gridSpan w:val="2"/>
          </w:tcPr>
          <w:p>
            <w:pPr>
              <w:pStyle w:val="19"/>
              <w:spacing w:before="1" w:line="342" w:lineRule="exact"/>
              <w:ind w:left="7"/>
              <w:jc w:val="center"/>
            </w:pPr>
            <w:r>
              <w:t>年</w:t>
            </w:r>
          </w:p>
        </w:tc>
        <w:tc>
          <w:tcPr>
            <w:tcW w:w="1566" w:type="dxa"/>
          </w:tcPr>
          <w:p>
            <w:pPr>
              <w:pStyle w:val="19"/>
              <w:rPr>
                <w:rFonts w:ascii="Times New Roman"/>
              </w:rPr>
            </w:pPr>
          </w:p>
        </w:tc>
        <w:tc>
          <w:tcPr>
            <w:tcW w:w="1530" w:type="dxa"/>
          </w:tcPr>
          <w:p>
            <w:pPr>
              <w:pStyle w:val="19"/>
              <w:rPr>
                <w:rFonts w:ascii="Times New Roman"/>
              </w:rPr>
            </w:pPr>
          </w:p>
        </w:tc>
        <w:tc>
          <w:tcPr>
            <w:tcW w:w="1548" w:type="dxa"/>
            <w:gridSpan w:val="2"/>
          </w:tcPr>
          <w:p>
            <w:pPr>
              <w:pStyle w:val="19"/>
              <w:rPr>
                <w:rFonts w:ascii="Times New Roman"/>
              </w:rPr>
            </w:pPr>
          </w:p>
        </w:tc>
        <w:tc>
          <w:tcPr>
            <w:tcW w:w="1548" w:type="dxa"/>
          </w:tcPr>
          <w:p>
            <w:pPr>
              <w:pStyle w:val="1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1547" w:type="dxa"/>
            <w:vMerge w:val="continue"/>
            <w:tcBorders>
              <w:top w:val="nil"/>
            </w:tcBorders>
          </w:tcPr>
          <w:p>
            <w:pPr>
              <w:rPr>
                <w:szCs w:val="2"/>
              </w:rPr>
            </w:pPr>
          </w:p>
        </w:tc>
        <w:tc>
          <w:tcPr>
            <w:tcW w:w="1547" w:type="dxa"/>
            <w:gridSpan w:val="2"/>
          </w:tcPr>
          <w:p>
            <w:pPr>
              <w:pStyle w:val="19"/>
              <w:spacing w:before="2" w:line="341" w:lineRule="exact"/>
              <w:ind w:left="7"/>
              <w:jc w:val="center"/>
            </w:pPr>
            <w:r>
              <w:t>年</w:t>
            </w:r>
          </w:p>
        </w:tc>
        <w:tc>
          <w:tcPr>
            <w:tcW w:w="1566" w:type="dxa"/>
          </w:tcPr>
          <w:p>
            <w:pPr>
              <w:pStyle w:val="19"/>
              <w:rPr>
                <w:rFonts w:ascii="Times New Roman"/>
              </w:rPr>
            </w:pPr>
          </w:p>
        </w:tc>
        <w:tc>
          <w:tcPr>
            <w:tcW w:w="1530" w:type="dxa"/>
          </w:tcPr>
          <w:p>
            <w:pPr>
              <w:pStyle w:val="19"/>
              <w:rPr>
                <w:rFonts w:ascii="Times New Roman"/>
              </w:rPr>
            </w:pPr>
          </w:p>
        </w:tc>
        <w:tc>
          <w:tcPr>
            <w:tcW w:w="1548" w:type="dxa"/>
            <w:gridSpan w:val="2"/>
          </w:tcPr>
          <w:p>
            <w:pPr>
              <w:pStyle w:val="19"/>
              <w:rPr>
                <w:rFonts w:ascii="Times New Roman"/>
              </w:rPr>
            </w:pPr>
          </w:p>
        </w:tc>
        <w:tc>
          <w:tcPr>
            <w:tcW w:w="1548" w:type="dxa"/>
          </w:tcPr>
          <w:p>
            <w:pPr>
              <w:pStyle w:val="19"/>
              <w:rPr>
                <w:rFonts w:ascii="Times New Roman"/>
              </w:rPr>
            </w:pPr>
          </w:p>
        </w:tc>
      </w:tr>
    </w:tbl>
    <w:p>
      <w:pPr>
        <w:pStyle w:val="5"/>
        <w:spacing w:before="3" w:line="362" w:lineRule="auto"/>
        <w:ind w:left="1020" w:right="1058" w:firstLine="280"/>
      </w:pPr>
      <w:r>
        <w:rPr>
          <w:spacing w:val="-3"/>
        </w:rPr>
        <w:t xml:space="preserve">我们保证上述声明中的资料和数据是真实的、正确的，我们同意如贵方要求， </w:t>
      </w:r>
      <w:r>
        <w:rPr>
          <w:spacing w:val="-8"/>
        </w:rPr>
        <w:t>可以出示相关证明文件。如存在虚假情况，贵单位有权取消我公司的中标及中标候选资格，我单位无异议。</w:t>
      </w:r>
    </w:p>
    <w:p>
      <w:pPr>
        <w:pStyle w:val="5"/>
      </w:pPr>
    </w:p>
    <w:p>
      <w:pPr>
        <w:pStyle w:val="17"/>
        <w:spacing w:before="167"/>
      </w:pPr>
      <w:r>
        <w:rPr>
          <w:spacing w:val="-3"/>
        </w:rPr>
        <w:t>单位公章：法定代表人或授权代表</w:t>
      </w:r>
      <w:r>
        <w:rPr>
          <w:spacing w:val="-1"/>
        </w:rPr>
        <w:t>（</w:t>
      </w:r>
      <w:r>
        <w:rPr>
          <w:spacing w:val="-3"/>
        </w:rPr>
        <w:t>签字或盖章</w:t>
      </w:r>
      <w:r>
        <w:rPr>
          <w:spacing w:val="-142"/>
        </w:rPr>
        <w:t>）</w:t>
      </w:r>
      <w:r>
        <w:t>：</w:t>
      </w:r>
    </w:p>
    <w:p>
      <w:pPr>
        <w:sectPr>
          <w:pgSz w:w="11910" w:h="16840"/>
          <w:pgMar w:top="1380" w:right="619" w:bottom="1180" w:left="780" w:header="852" w:footer="993" w:gutter="0"/>
          <w:cols w:space="720" w:num="1"/>
        </w:sectPr>
      </w:pPr>
    </w:p>
    <w:p>
      <w:pPr>
        <w:pStyle w:val="5"/>
        <w:spacing w:before="6"/>
        <w:rPr>
          <w:sz w:val="25"/>
        </w:rPr>
      </w:pPr>
    </w:p>
    <w:p>
      <w:pPr>
        <w:spacing w:before="58"/>
        <w:ind w:left="1020"/>
        <w:rPr>
          <w:sz w:val="28"/>
        </w:rPr>
      </w:pPr>
      <w:bookmarkStart w:id="145" w:name="_bookmark19"/>
      <w:bookmarkEnd w:id="145"/>
      <w:r>
        <w:rPr>
          <w:sz w:val="30"/>
        </w:rPr>
        <w:t xml:space="preserve">附件五 </w:t>
      </w:r>
      <w:r>
        <w:rPr>
          <w:sz w:val="28"/>
        </w:rPr>
        <w:t>近三年同类项目业绩一览表</w:t>
      </w:r>
    </w:p>
    <w:p>
      <w:pPr>
        <w:pStyle w:val="5"/>
        <w:rPr>
          <w:sz w:val="20"/>
        </w:rPr>
      </w:pPr>
    </w:p>
    <w:p>
      <w:pPr>
        <w:pStyle w:val="5"/>
        <w:rPr>
          <w:sz w:val="20"/>
        </w:rPr>
      </w:pPr>
    </w:p>
    <w:p>
      <w:pPr>
        <w:pStyle w:val="5"/>
        <w:spacing w:before="12"/>
        <w:rPr>
          <w:sz w:val="23"/>
        </w:rPr>
      </w:pPr>
    </w:p>
    <w:tbl>
      <w:tblPr>
        <w:tblStyle w:val="13"/>
        <w:tblW w:w="8877" w:type="dxa"/>
        <w:tblInd w:w="7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2018"/>
        <w:gridCol w:w="1401"/>
        <w:gridCol w:w="1303"/>
        <w:gridCol w:w="1374"/>
        <w:gridCol w:w="1054"/>
        <w:gridCol w:w="1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5" w:hRule="atLeast"/>
        </w:trPr>
        <w:tc>
          <w:tcPr>
            <w:tcW w:w="673" w:type="dxa"/>
          </w:tcPr>
          <w:p>
            <w:pPr>
              <w:pStyle w:val="19"/>
              <w:spacing w:before="8"/>
              <w:rPr>
                <w:sz w:val="16"/>
              </w:rPr>
            </w:pPr>
          </w:p>
          <w:p>
            <w:pPr>
              <w:pStyle w:val="19"/>
              <w:ind w:left="115"/>
            </w:pPr>
            <w:r>
              <w:t>序号</w:t>
            </w:r>
          </w:p>
        </w:tc>
        <w:tc>
          <w:tcPr>
            <w:tcW w:w="2018" w:type="dxa"/>
          </w:tcPr>
          <w:p>
            <w:pPr>
              <w:pStyle w:val="19"/>
              <w:spacing w:before="8"/>
              <w:rPr>
                <w:sz w:val="16"/>
              </w:rPr>
            </w:pPr>
          </w:p>
          <w:p>
            <w:pPr>
              <w:pStyle w:val="19"/>
              <w:ind w:left="567"/>
            </w:pPr>
            <w:r>
              <w:t>项目名称</w:t>
            </w:r>
          </w:p>
        </w:tc>
        <w:tc>
          <w:tcPr>
            <w:tcW w:w="1401" w:type="dxa"/>
          </w:tcPr>
          <w:p>
            <w:pPr>
              <w:pStyle w:val="19"/>
              <w:spacing w:before="8"/>
              <w:rPr>
                <w:sz w:val="16"/>
              </w:rPr>
            </w:pPr>
          </w:p>
          <w:p>
            <w:pPr>
              <w:pStyle w:val="19"/>
              <w:ind w:left="258"/>
            </w:pPr>
            <w:r>
              <w:t>合同金额</w:t>
            </w:r>
          </w:p>
        </w:tc>
        <w:tc>
          <w:tcPr>
            <w:tcW w:w="1303" w:type="dxa"/>
          </w:tcPr>
          <w:p>
            <w:pPr>
              <w:pStyle w:val="19"/>
              <w:spacing w:before="8"/>
              <w:rPr>
                <w:sz w:val="16"/>
              </w:rPr>
            </w:pPr>
          </w:p>
          <w:p>
            <w:pPr>
              <w:pStyle w:val="19"/>
              <w:ind w:left="211"/>
            </w:pPr>
            <w:r>
              <w:t>签约时间</w:t>
            </w:r>
          </w:p>
        </w:tc>
        <w:tc>
          <w:tcPr>
            <w:tcW w:w="1374" w:type="dxa"/>
          </w:tcPr>
          <w:p>
            <w:pPr>
              <w:pStyle w:val="19"/>
              <w:spacing w:before="2"/>
              <w:ind w:left="118" w:right="106"/>
              <w:jc w:val="center"/>
            </w:pPr>
            <w:r>
              <w:t>联系人、联</w:t>
            </w:r>
          </w:p>
          <w:p>
            <w:pPr>
              <w:pStyle w:val="19"/>
              <w:spacing w:before="145"/>
              <w:ind w:left="113" w:right="106"/>
              <w:jc w:val="center"/>
            </w:pPr>
            <w:r>
              <w:t>系方式</w:t>
            </w:r>
          </w:p>
        </w:tc>
        <w:tc>
          <w:tcPr>
            <w:tcW w:w="1054" w:type="dxa"/>
          </w:tcPr>
          <w:p>
            <w:pPr>
              <w:pStyle w:val="19"/>
              <w:spacing w:before="2"/>
              <w:ind w:left="306"/>
            </w:pPr>
            <w:r>
              <w:rPr>
                <w:spacing w:val="-1"/>
              </w:rPr>
              <w:t>完成</w:t>
            </w:r>
          </w:p>
          <w:p>
            <w:pPr>
              <w:pStyle w:val="19"/>
              <w:spacing w:before="145"/>
              <w:ind w:left="306"/>
            </w:pPr>
            <w:r>
              <w:rPr>
                <w:spacing w:val="-1"/>
              </w:rPr>
              <w:t>情况</w:t>
            </w:r>
          </w:p>
        </w:tc>
        <w:tc>
          <w:tcPr>
            <w:tcW w:w="1054" w:type="dxa"/>
          </w:tcPr>
          <w:p>
            <w:pPr>
              <w:pStyle w:val="19"/>
              <w:spacing w:before="8"/>
              <w:rPr>
                <w:sz w:val="16"/>
              </w:rPr>
            </w:pPr>
          </w:p>
          <w:p>
            <w:pPr>
              <w:pStyle w:val="19"/>
              <w:ind w:left="305"/>
            </w:pPr>
            <w: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673" w:type="dxa"/>
          </w:tcPr>
          <w:p>
            <w:pPr>
              <w:pStyle w:val="19"/>
              <w:rPr>
                <w:rFonts w:ascii="Times New Roman"/>
                <w:sz w:val="24"/>
              </w:rPr>
            </w:pPr>
          </w:p>
        </w:tc>
        <w:tc>
          <w:tcPr>
            <w:tcW w:w="2018" w:type="dxa"/>
          </w:tcPr>
          <w:p>
            <w:pPr>
              <w:pStyle w:val="19"/>
              <w:rPr>
                <w:rFonts w:ascii="Times New Roman"/>
                <w:sz w:val="24"/>
              </w:rPr>
            </w:pPr>
          </w:p>
        </w:tc>
        <w:tc>
          <w:tcPr>
            <w:tcW w:w="1401" w:type="dxa"/>
          </w:tcPr>
          <w:p>
            <w:pPr>
              <w:pStyle w:val="19"/>
              <w:rPr>
                <w:rFonts w:ascii="Times New Roman"/>
                <w:sz w:val="24"/>
              </w:rPr>
            </w:pPr>
          </w:p>
        </w:tc>
        <w:tc>
          <w:tcPr>
            <w:tcW w:w="1303" w:type="dxa"/>
          </w:tcPr>
          <w:p>
            <w:pPr>
              <w:pStyle w:val="19"/>
              <w:rPr>
                <w:rFonts w:ascii="Times New Roman"/>
                <w:sz w:val="24"/>
              </w:rPr>
            </w:pPr>
          </w:p>
        </w:tc>
        <w:tc>
          <w:tcPr>
            <w:tcW w:w="1374" w:type="dxa"/>
          </w:tcPr>
          <w:p>
            <w:pPr>
              <w:pStyle w:val="19"/>
              <w:rPr>
                <w:rFonts w:ascii="Times New Roman"/>
                <w:sz w:val="24"/>
              </w:rPr>
            </w:pPr>
          </w:p>
        </w:tc>
        <w:tc>
          <w:tcPr>
            <w:tcW w:w="1054" w:type="dxa"/>
          </w:tcPr>
          <w:p>
            <w:pPr>
              <w:pStyle w:val="19"/>
              <w:rPr>
                <w:rFonts w:ascii="Times New Roman"/>
                <w:sz w:val="24"/>
              </w:rPr>
            </w:pPr>
          </w:p>
        </w:tc>
        <w:tc>
          <w:tcPr>
            <w:tcW w:w="1054"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8" w:hRule="atLeast"/>
        </w:trPr>
        <w:tc>
          <w:tcPr>
            <w:tcW w:w="673" w:type="dxa"/>
          </w:tcPr>
          <w:p>
            <w:pPr>
              <w:pStyle w:val="19"/>
              <w:rPr>
                <w:rFonts w:ascii="Times New Roman"/>
                <w:sz w:val="24"/>
              </w:rPr>
            </w:pPr>
          </w:p>
        </w:tc>
        <w:tc>
          <w:tcPr>
            <w:tcW w:w="2018" w:type="dxa"/>
          </w:tcPr>
          <w:p>
            <w:pPr>
              <w:pStyle w:val="19"/>
              <w:rPr>
                <w:rFonts w:ascii="Times New Roman"/>
                <w:sz w:val="24"/>
              </w:rPr>
            </w:pPr>
          </w:p>
        </w:tc>
        <w:tc>
          <w:tcPr>
            <w:tcW w:w="1401" w:type="dxa"/>
          </w:tcPr>
          <w:p>
            <w:pPr>
              <w:pStyle w:val="19"/>
              <w:rPr>
                <w:rFonts w:ascii="Times New Roman"/>
                <w:sz w:val="24"/>
              </w:rPr>
            </w:pPr>
          </w:p>
        </w:tc>
        <w:tc>
          <w:tcPr>
            <w:tcW w:w="1303" w:type="dxa"/>
          </w:tcPr>
          <w:p>
            <w:pPr>
              <w:pStyle w:val="19"/>
              <w:rPr>
                <w:rFonts w:ascii="Times New Roman"/>
                <w:sz w:val="24"/>
              </w:rPr>
            </w:pPr>
          </w:p>
        </w:tc>
        <w:tc>
          <w:tcPr>
            <w:tcW w:w="1374" w:type="dxa"/>
          </w:tcPr>
          <w:p>
            <w:pPr>
              <w:pStyle w:val="19"/>
              <w:rPr>
                <w:rFonts w:ascii="Times New Roman"/>
                <w:sz w:val="24"/>
              </w:rPr>
            </w:pPr>
          </w:p>
        </w:tc>
        <w:tc>
          <w:tcPr>
            <w:tcW w:w="1054" w:type="dxa"/>
          </w:tcPr>
          <w:p>
            <w:pPr>
              <w:pStyle w:val="19"/>
              <w:rPr>
                <w:rFonts w:ascii="Times New Roman"/>
                <w:sz w:val="24"/>
              </w:rPr>
            </w:pPr>
          </w:p>
        </w:tc>
        <w:tc>
          <w:tcPr>
            <w:tcW w:w="1054"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673" w:type="dxa"/>
          </w:tcPr>
          <w:p>
            <w:pPr>
              <w:pStyle w:val="19"/>
              <w:rPr>
                <w:rFonts w:ascii="Times New Roman"/>
                <w:sz w:val="24"/>
              </w:rPr>
            </w:pPr>
          </w:p>
        </w:tc>
        <w:tc>
          <w:tcPr>
            <w:tcW w:w="2018" w:type="dxa"/>
          </w:tcPr>
          <w:p>
            <w:pPr>
              <w:pStyle w:val="19"/>
              <w:rPr>
                <w:rFonts w:ascii="Times New Roman"/>
                <w:sz w:val="24"/>
              </w:rPr>
            </w:pPr>
          </w:p>
        </w:tc>
        <w:tc>
          <w:tcPr>
            <w:tcW w:w="1401" w:type="dxa"/>
          </w:tcPr>
          <w:p>
            <w:pPr>
              <w:pStyle w:val="19"/>
              <w:rPr>
                <w:rFonts w:ascii="Times New Roman"/>
                <w:sz w:val="24"/>
              </w:rPr>
            </w:pPr>
          </w:p>
        </w:tc>
        <w:tc>
          <w:tcPr>
            <w:tcW w:w="1303" w:type="dxa"/>
          </w:tcPr>
          <w:p>
            <w:pPr>
              <w:pStyle w:val="19"/>
              <w:rPr>
                <w:rFonts w:ascii="Times New Roman"/>
                <w:sz w:val="24"/>
              </w:rPr>
            </w:pPr>
          </w:p>
        </w:tc>
        <w:tc>
          <w:tcPr>
            <w:tcW w:w="1374" w:type="dxa"/>
          </w:tcPr>
          <w:p>
            <w:pPr>
              <w:pStyle w:val="19"/>
              <w:rPr>
                <w:rFonts w:ascii="Times New Roman"/>
                <w:sz w:val="24"/>
              </w:rPr>
            </w:pPr>
          </w:p>
        </w:tc>
        <w:tc>
          <w:tcPr>
            <w:tcW w:w="1054" w:type="dxa"/>
          </w:tcPr>
          <w:p>
            <w:pPr>
              <w:pStyle w:val="19"/>
              <w:rPr>
                <w:rFonts w:ascii="Times New Roman"/>
                <w:sz w:val="24"/>
              </w:rPr>
            </w:pPr>
          </w:p>
        </w:tc>
        <w:tc>
          <w:tcPr>
            <w:tcW w:w="1054"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673" w:type="dxa"/>
          </w:tcPr>
          <w:p>
            <w:pPr>
              <w:pStyle w:val="19"/>
              <w:rPr>
                <w:rFonts w:ascii="Times New Roman"/>
                <w:sz w:val="24"/>
              </w:rPr>
            </w:pPr>
          </w:p>
        </w:tc>
        <w:tc>
          <w:tcPr>
            <w:tcW w:w="2018" w:type="dxa"/>
          </w:tcPr>
          <w:p>
            <w:pPr>
              <w:pStyle w:val="19"/>
              <w:rPr>
                <w:rFonts w:ascii="Times New Roman"/>
                <w:sz w:val="24"/>
              </w:rPr>
            </w:pPr>
          </w:p>
        </w:tc>
        <w:tc>
          <w:tcPr>
            <w:tcW w:w="1401" w:type="dxa"/>
          </w:tcPr>
          <w:p>
            <w:pPr>
              <w:pStyle w:val="19"/>
              <w:rPr>
                <w:rFonts w:ascii="Times New Roman"/>
                <w:sz w:val="24"/>
              </w:rPr>
            </w:pPr>
          </w:p>
        </w:tc>
        <w:tc>
          <w:tcPr>
            <w:tcW w:w="1303" w:type="dxa"/>
          </w:tcPr>
          <w:p>
            <w:pPr>
              <w:pStyle w:val="19"/>
              <w:rPr>
                <w:rFonts w:ascii="Times New Roman"/>
                <w:sz w:val="24"/>
              </w:rPr>
            </w:pPr>
          </w:p>
        </w:tc>
        <w:tc>
          <w:tcPr>
            <w:tcW w:w="1374" w:type="dxa"/>
          </w:tcPr>
          <w:p>
            <w:pPr>
              <w:pStyle w:val="19"/>
              <w:rPr>
                <w:rFonts w:ascii="Times New Roman"/>
                <w:sz w:val="24"/>
              </w:rPr>
            </w:pPr>
          </w:p>
        </w:tc>
        <w:tc>
          <w:tcPr>
            <w:tcW w:w="1054" w:type="dxa"/>
          </w:tcPr>
          <w:p>
            <w:pPr>
              <w:pStyle w:val="19"/>
              <w:rPr>
                <w:rFonts w:ascii="Times New Roman"/>
                <w:sz w:val="24"/>
              </w:rPr>
            </w:pPr>
          </w:p>
        </w:tc>
        <w:tc>
          <w:tcPr>
            <w:tcW w:w="1054"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673" w:type="dxa"/>
          </w:tcPr>
          <w:p>
            <w:pPr>
              <w:pStyle w:val="19"/>
              <w:rPr>
                <w:rFonts w:ascii="Times New Roman"/>
                <w:sz w:val="24"/>
              </w:rPr>
            </w:pPr>
          </w:p>
        </w:tc>
        <w:tc>
          <w:tcPr>
            <w:tcW w:w="2018" w:type="dxa"/>
          </w:tcPr>
          <w:p>
            <w:pPr>
              <w:pStyle w:val="19"/>
              <w:rPr>
                <w:rFonts w:ascii="Times New Roman"/>
                <w:sz w:val="24"/>
              </w:rPr>
            </w:pPr>
          </w:p>
        </w:tc>
        <w:tc>
          <w:tcPr>
            <w:tcW w:w="1401" w:type="dxa"/>
          </w:tcPr>
          <w:p>
            <w:pPr>
              <w:pStyle w:val="19"/>
              <w:rPr>
                <w:rFonts w:ascii="Times New Roman"/>
                <w:sz w:val="24"/>
              </w:rPr>
            </w:pPr>
          </w:p>
        </w:tc>
        <w:tc>
          <w:tcPr>
            <w:tcW w:w="1303" w:type="dxa"/>
          </w:tcPr>
          <w:p>
            <w:pPr>
              <w:pStyle w:val="19"/>
              <w:rPr>
                <w:rFonts w:ascii="Times New Roman"/>
                <w:sz w:val="24"/>
              </w:rPr>
            </w:pPr>
          </w:p>
        </w:tc>
        <w:tc>
          <w:tcPr>
            <w:tcW w:w="1374" w:type="dxa"/>
          </w:tcPr>
          <w:p>
            <w:pPr>
              <w:pStyle w:val="19"/>
              <w:rPr>
                <w:rFonts w:ascii="Times New Roman"/>
                <w:sz w:val="24"/>
              </w:rPr>
            </w:pPr>
          </w:p>
        </w:tc>
        <w:tc>
          <w:tcPr>
            <w:tcW w:w="1054" w:type="dxa"/>
          </w:tcPr>
          <w:p>
            <w:pPr>
              <w:pStyle w:val="19"/>
              <w:rPr>
                <w:rFonts w:ascii="Times New Roman"/>
                <w:sz w:val="24"/>
              </w:rPr>
            </w:pPr>
          </w:p>
        </w:tc>
        <w:tc>
          <w:tcPr>
            <w:tcW w:w="1054"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673" w:type="dxa"/>
          </w:tcPr>
          <w:p>
            <w:pPr>
              <w:pStyle w:val="19"/>
              <w:rPr>
                <w:rFonts w:ascii="Times New Roman"/>
                <w:sz w:val="24"/>
              </w:rPr>
            </w:pPr>
          </w:p>
        </w:tc>
        <w:tc>
          <w:tcPr>
            <w:tcW w:w="2018" w:type="dxa"/>
          </w:tcPr>
          <w:p>
            <w:pPr>
              <w:pStyle w:val="19"/>
              <w:rPr>
                <w:rFonts w:ascii="Times New Roman"/>
                <w:sz w:val="24"/>
              </w:rPr>
            </w:pPr>
          </w:p>
        </w:tc>
        <w:tc>
          <w:tcPr>
            <w:tcW w:w="1401" w:type="dxa"/>
          </w:tcPr>
          <w:p>
            <w:pPr>
              <w:pStyle w:val="19"/>
              <w:rPr>
                <w:rFonts w:ascii="Times New Roman"/>
                <w:sz w:val="24"/>
              </w:rPr>
            </w:pPr>
          </w:p>
        </w:tc>
        <w:tc>
          <w:tcPr>
            <w:tcW w:w="1303" w:type="dxa"/>
          </w:tcPr>
          <w:p>
            <w:pPr>
              <w:pStyle w:val="19"/>
              <w:rPr>
                <w:rFonts w:ascii="Times New Roman"/>
                <w:sz w:val="24"/>
              </w:rPr>
            </w:pPr>
          </w:p>
        </w:tc>
        <w:tc>
          <w:tcPr>
            <w:tcW w:w="1374" w:type="dxa"/>
          </w:tcPr>
          <w:p>
            <w:pPr>
              <w:pStyle w:val="19"/>
              <w:rPr>
                <w:rFonts w:ascii="Times New Roman"/>
                <w:sz w:val="24"/>
              </w:rPr>
            </w:pPr>
          </w:p>
        </w:tc>
        <w:tc>
          <w:tcPr>
            <w:tcW w:w="1054" w:type="dxa"/>
          </w:tcPr>
          <w:p>
            <w:pPr>
              <w:pStyle w:val="19"/>
              <w:rPr>
                <w:rFonts w:ascii="Times New Roman"/>
                <w:sz w:val="24"/>
              </w:rPr>
            </w:pPr>
          </w:p>
        </w:tc>
        <w:tc>
          <w:tcPr>
            <w:tcW w:w="1054"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8" w:hRule="atLeast"/>
        </w:trPr>
        <w:tc>
          <w:tcPr>
            <w:tcW w:w="673" w:type="dxa"/>
          </w:tcPr>
          <w:p>
            <w:pPr>
              <w:pStyle w:val="19"/>
              <w:rPr>
                <w:rFonts w:ascii="Times New Roman"/>
                <w:sz w:val="24"/>
              </w:rPr>
            </w:pPr>
          </w:p>
        </w:tc>
        <w:tc>
          <w:tcPr>
            <w:tcW w:w="2018" w:type="dxa"/>
          </w:tcPr>
          <w:p>
            <w:pPr>
              <w:pStyle w:val="19"/>
              <w:rPr>
                <w:rFonts w:ascii="Times New Roman"/>
                <w:sz w:val="24"/>
              </w:rPr>
            </w:pPr>
          </w:p>
        </w:tc>
        <w:tc>
          <w:tcPr>
            <w:tcW w:w="1401" w:type="dxa"/>
          </w:tcPr>
          <w:p>
            <w:pPr>
              <w:pStyle w:val="19"/>
              <w:rPr>
                <w:rFonts w:ascii="Times New Roman"/>
                <w:sz w:val="24"/>
              </w:rPr>
            </w:pPr>
          </w:p>
        </w:tc>
        <w:tc>
          <w:tcPr>
            <w:tcW w:w="1303" w:type="dxa"/>
          </w:tcPr>
          <w:p>
            <w:pPr>
              <w:pStyle w:val="19"/>
              <w:rPr>
                <w:rFonts w:ascii="Times New Roman"/>
                <w:sz w:val="24"/>
              </w:rPr>
            </w:pPr>
          </w:p>
        </w:tc>
        <w:tc>
          <w:tcPr>
            <w:tcW w:w="1374" w:type="dxa"/>
          </w:tcPr>
          <w:p>
            <w:pPr>
              <w:pStyle w:val="19"/>
              <w:rPr>
                <w:rFonts w:ascii="Times New Roman"/>
                <w:sz w:val="24"/>
              </w:rPr>
            </w:pPr>
          </w:p>
        </w:tc>
        <w:tc>
          <w:tcPr>
            <w:tcW w:w="1054" w:type="dxa"/>
          </w:tcPr>
          <w:p>
            <w:pPr>
              <w:pStyle w:val="19"/>
              <w:rPr>
                <w:rFonts w:ascii="Times New Roman"/>
                <w:sz w:val="24"/>
              </w:rPr>
            </w:pPr>
          </w:p>
        </w:tc>
        <w:tc>
          <w:tcPr>
            <w:tcW w:w="1054"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673" w:type="dxa"/>
          </w:tcPr>
          <w:p>
            <w:pPr>
              <w:pStyle w:val="19"/>
              <w:rPr>
                <w:rFonts w:ascii="Times New Roman"/>
                <w:sz w:val="24"/>
              </w:rPr>
            </w:pPr>
          </w:p>
        </w:tc>
        <w:tc>
          <w:tcPr>
            <w:tcW w:w="2018" w:type="dxa"/>
          </w:tcPr>
          <w:p>
            <w:pPr>
              <w:pStyle w:val="19"/>
              <w:rPr>
                <w:rFonts w:ascii="Times New Roman"/>
                <w:sz w:val="24"/>
              </w:rPr>
            </w:pPr>
          </w:p>
        </w:tc>
        <w:tc>
          <w:tcPr>
            <w:tcW w:w="1401" w:type="dxa"/>
          </w:tcPr>
          <w:p>
            <w:pPr>
              <w:pStyle w:val="19"/>
              <w:rPr>
                <w:rFonts w:ascii="Times New Roman"/>
                <w:sz w:val="24"/>
              </w:rPr>
            </w:pPr>
          </w:p>
        </w:tc>
        <w:tc>
          <w:tcPr>
            <w:tcW w:w="1303" w:type="dxa"/>
          </w:tcPr>
          <w:p>
            <w:pPr>
              <w:pStyle w:val="19"/>
              <w:rPr>
                <w:rFonts w:ascii="Times New Roman"/>
                <w:sz w:val="24"/>
              </w:rPr>
            </w:pPr>
          </w:p>
        </w:tc>
        <w:tc>
          <w:tcPr>
            <w:tcW w:w="1374" w:type="dxa"/>
          </w:tcPr>
          <w:p>
            <w:pPr>
              <w:pStyle w:val="19"/>
              <w:rPr>
                <w:rFonts w:ascii="Times New Roman"/>
                <w:sz w:val="24"/>
              </w:rPr>
            </w:pPr>
          </w:p>
        </w:tc>
        <w:tc>
          <w:tcPr>
            <w:tcW w:w="1054" w:type="dxa"/>
          </w:tcPr>
          <w:p>
            <w:pPr>
              <w:pStyle w:val="19"/>
              <w:rPr>
                <w:rFonts w:ascii="Times New Roman"/>
                <w:sz w:val="24"/>
              </w:rPr>
            </w:pPr>
          </w:p>
        </w:tc>
        <w:tc>
          <w:tcPr>
            <w:tcW w:w="1054"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673" w:type="dxa"/>
          </w:tcPr>
          <w:p>
            <w:pPr>
              <w:pStyle w:val="19"/>
              <w:rPr>
                <w:rFonts w:ascii="Times New Roman"/>
                <w:sz w:val="24"/>
              </w:rPr>
            </w:pPr>
          </w:p>
        </w:tc>
        <w:tc>
          <w:tcPr>
            <w:tcW w:w="2018" w:type="dxa"/>
          </w:tcPr>
          <w:p>
            <w:pPr>
              <w:pStyle w:val="19"/>
              <w:rPr>
                <w:rFonts w:ascii="Times New Roman"/>
                <w:sz w:val="24"/>
              </w:rPr>
            </w:pPr>
          </w:p>
        </w:tc>
        <w:tc>
          <w:tcPr>
            <w:tcW w:w="1401" w:type="dxa"/>
          </w:tcPr>
          <w:p>
            <w:pPr>
              <w:pStyle w:val="19"/>
              <w:rPr>
                <w:rFonts w:ascii="Times New Roman"/>
                <w:sz w:val="24"/>
              </w:rPr>
            </w:pPr>
          </w:p>
        </w:tc>
        <w:tc>
          <w:tcPr>
            <w:tcW w:w="1303" w:type="dxa"/>
          </w:tcPr>
          <w:p>
            <w:pPr>
              <w:pStyle w:val="19"/>
              <w:rPr>
                <w:rFonts w:ascii="Times New Roman"/>
                <w:sz w:val="24"/>
              </w:rPr>
            </w:pPr>
          </w:p>
        </w:tc>
        <w:tc>
          <w:tcPr>
            <w:tcW w:w="1374" w:type="dxa"/>
          </w:tcPr>
          <w:p>
            <w:pPr>
              <w:pStyle w:val="19"/>
              <w:rPr>
                <w:rFonts w:ascii="Times New Roman"/>
                <w:sz w:val="24"/>
              </w:rPr>
            </w:pPr>
          </w:p>
        </w:tc>
        <w:tc>
          <w:tcPr>
            <w:tcW w:w="1054" w:type="dxa"/>
          </w:tcPr>
          <w:p>
            <w:pPr>
              <w:pStyle w:val="19"/>
              <w:rPr>
                <w:rFonts w:ascii="Times New Roman"/>
                <w:sz w:val="24"/>
              </w:rPr>
            </w:pPr>
          </w:p>
        </w:tc>
        <w:tc>
          <w:tcPr>
            <w:tcW w:w="1054" w:type="dxa"/>
          </w:tcPr>
          <w:p>
            <w:pPr>
              <w:pStyle w:val="19"/>
              <w:rPr>
                <w:rFonts w:ascii="Times New Roman"/>
                <w:sz w:val="24"/>
              </w:rPr>
            </w:pPr>
          </w:p>
        </w:tc>
      </w:tr>
    </w:tbl>
    <w:p>
      <w:pPr>
        <w:pStyle w:val="5"/>
        <w:spacing w:before="1"/>
        <w:ind w:left="1482" w:right="1069"/>
        <w:jc w:val="center"/>
      </w:pPr>
      <w:r>
        <w:t>注：投标人须将合同或中标通知书（加盖单位公章）附后，原件事后备查。</w:t>
      </w:r>
    </w:p>
    <w:p>
      <w:pPr>
        <w:pStyle w:val="5"/>
      </w:pPr>
    </w:p>
    <w:p>
      <w:pPr>
        <w:pStyle w:val="5"/>
      </w:pPr>
    </w:p>
    <w:p>
      <w:pPr>
        <w:pStyle w:val="17"/>
        <w:spacing w:before="168"/>
      </w:pPr>
      <w:r>
        <w:rPr>
          <w:spacing w:val="-3"/>
        </w:rPr>
        <w:t>单位公章：法定代表人或授权代表</w:t>
      </w:r>
      <w:r>
        <w:rPr>
          <w:spacing w:val="-1"/>
        </w:rPr>
        <w:t>（</w:t>
      </w:r>
      <w:r>
        <w:rPr>
          <w:spacing w:val="-3"/>
        </w:rPr>
        <w:t>签字或盖章</w:t>
      </w:r>
      <w:r>
        <w:rPr>
          <w:spacing w:val="-142"/>
        </w:rPr>
        <w:t>）</w:t>
      </w:r>
      <w:r>
        <w:t>：</w:t>
      </w:r>
    </w:p>
    <w:p>
      <w:pPr>
        <w:sectPr>
          <w:pgSz w:w="11910" w:h="16840"/>
          <w:pgMar w:top="1380" w:right="619" w:bottom="1180" w:left="780" w:header="852" w:footer="993" w:gutter="0"/>
          <w:cols w:space="720" w:num="1"/>
        </w:sectPr>
      </w:pPr>
    </w:p>
    <w:p>
      <w:pPr>
        <w:pStyle w:val="5"/>
        <w:rPr>
          <w:sz w:val="20"/>
        </w:rPr>
      </w:pPr>
    </w:p>
    <w:p>
      <w:pPr>
        <w:pStyle w:val="16"/>
        <w:spacing w:before="58"/>
        <w:ind w:left="1020" w:right="0"/>
        <w:jc w:val="left"/>
      </w:pPr>
      <w:bookmarkStart w:id="146" w:name="_bookmark20"/>
      <w:bookmarkEnd w:id="146"/>
      <w:r>
        <w:t>附件六 明细报价表</w:t>
      </w:r>
    </w:p>
    <w:p>
      <w:pPr>
        <w:pStyle w:val="5"/>
        <w:rPr>
          <w:sz w:val="20"/>
        </w:rPr>
      </w:pPr>
    </w:p>
    <w:p>
      <w:pPr>
        <w:pStyle w:val="5"/>
        <w:rPr>
          <w:sz w:val="20"/>
        </w:rPr>
      </w:pPr>
    </w:p>
    <w:p>
      <w:pPr>
        <w:pStyle w:val="5"/>
        <w:spacing w:before="11"/>
        <w:rPr>
          <w:sz w:val="20"/>
        </w:rPr>
      </w:pPr>
    </w:p>
    <w:tbl>
      <w:tblPr>
        <w:tblStyle w:val="13"/>
        <w:tblW w:w="8800" w:type="dxa"/>
        <w:tblInd w:w="1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3"/>
        <w:gridCol w:w="1087"/>
        <w:gridCol w:w="2200"/>
        <w:gridCol w:w="3071"/>
        <w:gridCol w:w="1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1" w:hRule="atLeast"/>
        </w:trPr>
        <w:tc>
          <w:tcPr>
            <w:tcW w:w="1113" w:type="dxa"/>
          </w:tcPr>
          <w:p>
            <w:pPr>
              <w:pStyle w:val="19"/>
              <w:rPr>
                <w:sz w:val="24"/>
              </w:rPr>
            </w:pPr>
          </w:p>
          <w:p>
            <w:pPr>
              <w:pStyle w:val="19"/>
              <w:spacing w:before="212"/>
              <w:ind w:left="294" w:right="288"/>
              <w:jc w:val="center"/>
              <w:rPr>
                <w:sz w:val="24"/>
              </w:rPr>
            </w:pPr>
            <w:r>
              <w:rPr>
                <w:sz w:val="24"/>
              </w:rPr>
              <w:t>序号</w:t>
            </w:r>
          </w:p>
        </w:tc>
        <w:tc>
          <w:tcPr>
            <w:tcW w:w="3287" w:type="dxa"/>
            <w:gridSpan w:val="2"/>
          </w:tcPr>
          <w:p>
            <w:pPr>
              <w:pStyle w:val="19"/>
              <w:rPr>
                <w:sz w:val="24"/>
              </w:rPr>
            </w:pPr>
          </w:p>
          <w:p>
            <w:pPr>
              <w:pStyle w:val="19"/>
              <w:spacing w:before="212"/>
              <w:ind w:left="922"/>
              <w:rPr>
                <w:sz w:val="24"/>
              </w:rPr>
            </w:pPr>
            <w:r>
              <w:rPr>
                <w:sz w:val="24"/>
              </w:rPr>
              <w:t>服务内容明细</w:t>
            </w:r>
          </w:p>
        </w:tc>
        <w:tc>
          <w:tcPr>
            <w:tcW w:w="3071" w:type="dxa"/>
          </w:tcPr>
          <w:p>
            <w:pPr>
              <w:pStyle w:val="19"/>
              <w:rPr>
                <w:sz w:val="24"/>
              </w:rPr>
            </w:pPr>
          </w:p>
          <w:p>
            <w:pPr>
              <w:pStyle w:val="19"/>
              <w:spacing w:before="212"/>
              <w:ind w:left="935"/>
              <w:rPr>
                <w:sz w:val="24"/>
              </w:rPr>
            </w:pPr>
            <w:r>
              <w:rPr>
                <w:sz w:val="24"/>
              </w:rPr>
              <w:t>报价（元）</w:t>
            </w:r>
          </w:p>
        </w:tc>
        <w:tc>
          <w:tcPr>
            <w:tcW w:w="1329" w:type="dxa"/>
          </w:tcPr>
          <w:p>
            <w:pPr>
              <w:pStyle w:val="19"/>
              <w:rPr>
                <w:sz w:val="24"/>
              </w:rPr>
            </w:pPr>
          </w:p>
          <w:p>
            <w:pPr>
              <w:pStyle w:val="19"/>
              <w:spacing w:before="212"/>
              <w:ind w:left="422"/>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1" w:hRule="atLeast"/>
        </w:trPr>
        <w:tc>
          <w:tcPr>
            <w:tcW w:w="1113" w:type="dxa"/>
          </w:tcPr>
          <w:p>
            <w:pPr>
              <w:pStyle w:val="19"/>
              <w:spacing w:before="16"/>
              <w:ind w:left="6"/>
              <w:jc w:val="center"/>
              <w:rPr>
                <w:sz w:val="24"/>
              </w:rPr>
            </w:pPr>
            <w:r>
              <w:rPr>
                <w:sz w:val="24"/>
              </w:rPr>
              <w:t>1</w:t>
            </w:r>
          </w:p>
        </w:tc>
        <w:tc>
          <w:tcPr>
            <w:tcW w:w="3287" w:type="dxa"/>
            <w:gridSpan w:val="2"/>
          </w:tcPr>
          <w:p>
            <w:pPr>
              <w:pStyle w:val="19"/>
              <w:rPr>
                <w:rFonts w:ascii="Times New Roman"/>
                <w:sz w:val="24"/>
              </w:rPr>
            </w:pPr>
          </w:p>
        </w:tc>
        <w:tc>
          <w:tcPr>
            <w:tcW w:w="3071" w:type="dxa"/>
          </w:tcPr>
          <w:p>
            <w:pPr>
              <w:pStyle w:val="19"/>
              <w:rPr>
                <w:rFonts w:ascii="Times New Roman"/>
                <w:sz w:val="24"/>
              </w:rPr>
            </w:pPr>
          </w:p>
        </w:tc>
        <w:tc>
          <w:tcPr>
            <w:tcW w:w="1329"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1113" w:type="dxa"/>
          </w:tcPr>
          <w:p>
            <w:pPr>
              <w:pStyle w:val="19"/>
              <w:spacing w:before="16"/>
              <w:ind w:left="6"/>
              <w:jc w:val="center"/>
              <w:rPr>
                <w:sz w:val="24"/>
              </w:rPr>
            </w:pPr>
            <w:r>
              <w:rPr>
                <w:sz w:val="24"/>
              </w:rPr>
              <w:t>2</w:t>
            </w:r>
          </w:p>
        </w:tc>
        <w:tc>
          <w:tcPr>
            <w:tcW w:w="3287" w:type="dxa"/>
            <w:gridSpan w:val="2"/>
          </w:tcPr>
          <w:p>
            <w:pPr>
              <w:pStyle w:val="19"/>
              <w:rPr>
                <w:rFonts w:ascii="Times New Roman"/>
                <w:sz w:val="24"/>
              </w:rPr>
            </w:pPr>
          </w:p>
        </w:tc>
        <w:tc>
          <w:tcPr>
            <w:tcW w:w="3071" w:type="dxa"/>
          </w:tcPr>
          <w:p>
            <w:pPr>
              <w:pStyle w:val="19"/>
              <w:rPr>
                <w:rFonts w:ascii="Times New Roman"/>
                <w:sz w:val="24"/>
              </w:rPr>
            </w:pPr>
          </w:p>
        </w:tc>
        <w:tc>
          <w:tcPr>
            <w:tcW w:w="1329"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5" w:hRule="atLeast"/>
        </w:trPr>
        <w:tc>
          <w:tcPr>
            <w:tcW w:w="1113" w:type="dxa"/>
          </w:tcPr>
          <w:p>
            <w:pPr>
              <w:pStyle w:val="19"/>
              <w:spacing w:before="16"/>
              <w:ind w:left="6"/>
              <w:jc w:val="center"/>
              <w:rPr>
                <w:sz w:val="24"/>
              </w:rPr>
            </w:pPr>
            <w:r>
              <w:rPr>
                <w:sz w:val="24"/>
              </w:rPr>
              <w:t>3</w:t>
            </w:r>
          </w:p>
        </w:tc>
        <w:tc>
          <w:tcPr>
            <w:tcW w:w="3287" w:type="dxa"/>
            <w:gridSpan w:val="2"/>
          </w:tcPr>
          <w:p>
            <w:pPr>
              <w:pStyle w:val="19"/>
              <w:rPr>
                <w:rFonts w:ascii="Times New Roman"/>
                <w:sz w:val="24"/>
              </w:rPr>
            </w:pPr>
          </w:p>
        </w:tc>
        <w:tc>
          <w:tcPr>
            <w:tcW w:w="3071" w:type="dxa"/>
          </w:tcPr>
          <w:p>
            <w:pPr>
              <w:pStyle w:val="19"/>
              <w:rPr>
                <w:rFonts w:ascii="Times New Roman"/>
                <w:sz w:val="24"/>
              </w:rPr>
            </w:pPr>
          </w:p>
        </w:tc>
        <w:tc>
          <w:tcPr>
            <w:tcW w:w="1329"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6" w:hRule="atLeast"/>
        </w:trPr>
        <w:tc>
          <w:tcPr>
            <w:tcW w:w="4400" w:type="dxa"/>
            <w:gridSpan w:val="3"/>
          </w:tcPr>
          <w:p>
            <w:pPr>
              <w:pStyle w:val="19"/>
              <w:spacing w:before="2"/>
              <w:rPr>
                <w:sz w:val="20"/>
              </w:rPr>
            </w:pPr>
          </w:p>
          <w:p>
            <w:pPr>
              <w:pStyle w:val="19"/>
              <w:ind w:left="1698" w:right="1691"/>
              <w:jc w:val="center"/>
              <w:rPr>
                <w:sz w:val="24"/>
              </w:rPr>
            </w:pPr>
            <w:r>
              <w:rPr>
                <w:sz w:val="24"/>
              </w:rPr>
              <w:t>其他费用</w:t>
            </w:r>
          </w:p>
        </w:tc>
        <w:tc>
          <w:tcPr>
            <w:tcW w:w="4400" w:type="dxa"/>
            <w:gridSpan w:val="2"/>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6" w:hRule="atLeast"/>
        </w:trPr>
        <w:tc>
          <w:tcPr>
            <w:tcW w:w="4400" w:type="dxa"/>
            <w:gridSpan w:val="3"/>
          </w:tcPr>
          <w:p>
            <w:pPr>
              <w:pStyle w:val="19"/>
              <w:spacing w:before="3"/>
              <w:rPr>
                <w:sz w:val="20"/>
              </w:rPr>
            </w:pPr>
          </w:p>
          <w:p>
            <w:pPr>
              <w:pStyle w:val="19"/>
              <w:ind w:left="1698" w:right="1691"/>
              <w:jc w:val="center"/>
              <w:rPr>
                <w:sz w:val="24"/>
              </w:rPr>
            </w:pPr>
            <w:r>
              <w:rPr>
                <w:sz w:val="24"/>
              </w:rPr>
              <w:t>其他费用</w:t>
            </w:r>
          </w:p>
        </w:tc>
        <w:tc>
          <w:tcPr>
            <w:tcW w:w="4400" w:type="dxa"/>
            <w:gridSpan w:val="2"/>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5" w:hRule="atLeast"/>
        </w:trPr>
        <w:tc>
          <w:tcPr>
            <w:tcW w:w="2200" w:type="dxa"/>
            <w:gridSpan w:val="2"/>
          </w:tcPr>
          <w:p>
            <w:pPr>
              <w:pStyle w:val="19"/>
              <w:spacing w:before="8"/>
              <w:rPr>
                <w:sz w:val="19"/>
              </w:rPr>
            </w:pPr>
          </w:p>
          <w:p>
            <w:pPr>
              <w:pStyle w:val="19"/>
              <w:ind w:left="379"/>
              <w:rPr>
                <w:sz w:val="24"/>
              </w:rPr>
            </w:pPr>
            <w:r>
              <w:rPr>
                <w:sz w:val="24"/>
              </w:rPr>
              <w:t>投标报价总计</w:t>
            </w:r>
          </w:p>
        </w:tc>
        <w:tc>
          <w:tcPr>
            <w:tcW w:w="6600" w:type="dxa"/>
            <w:gridSpan w:val="3"/>
          </w:tcPr>
          <w:p>
            <w:pPr>
              <w:pStyle w:val="19"/>
              <w:spacing w:before="96"/>
              <w:ind w:left="15"/>
              <w:rPr>
                <w:sz w:val="24"/>
              </w:rPr>
            </w:pPr>
            <w:r>
              <w:rPr>
                <w:sz w:val="24"/>
              </w:rPr>
              <w:t>小写：¥</w:t>
            </w:r>
          </w:p>
          <w:p>
            <w:pPr>
              <w:pStyle w:val="19"/>
              <w:spacing w:before="4"/>
              <w:ind w:left="15"/>
              <w:rPr>
                <w:sz w:val="24"/>
              </w:rPr>
            </w:pPr>
            <w:r>
              <w:rPr>
                <w:sz w:val="24"/>
              </w:rPr>
              <w:t>大写：人民币</w:t>
            </w:r>
          </w:p>
        </w:tc>
      </w:tr>
    </w:tbl>
    <w:p>
      <w:pPr>
        <w:pStyle w:val="5"/>
        <w:spacing w:line="364" w:lineRule="auto"/>
        <w:ind w:left="1020" w:right="1178" w:firstLine="240"/>
        <w:jc w:val="both"/>
      </w:pPr>
      <w:r>
        <w:rPr>
          <w:spacing w:val="-10"/>
        </w:rPr>
        <w:t>注：投标人应根据货物清单分项进行填报，表中表格行数可自行添加。招标文</w:t>
      </w:r>
      <w:r>
        <w:t>件中未列出的相关辅助材料和在实施过程中涉及到的其它一切费用应在报价时</w:t>
      </w:r>
      <w:r>
        <w:rPr>
          <w:spacing w:val="-10"/>
        </w:rPr>
        <w:t>一并考虑，项目实施过程中不再单独结算。</w:t>
      </w:r>
      <w:r>
        <w:rPr>
          <w:spacing w:val="-2"/>
          <w:u w:val="single"/>
        </w:rPr>
        <w:t>表中投标报价总计应与对应报价一览</w:t>
      </w:r>
      <w:r>
        <w:rPr>
          <w:spacing w:val="-220"/>
          <w:u w:val="single"/>
        </w:rPr>
        <w:t>表</w:t>
      </w:r>
      <w:r>
        <w:rPr>
          <w:u w:val="single"/>
        </w:rPr>
        <w:t>中投标总价一致。</w:t>
      </w:r>
    </w:p>
    <w:p>
      <w:pPr>
        <w:pStyle w:val="5"/>
        <w:rPr>
          <w:sz w:val="20"/>
        </w:rPr>
      </w:pPr>
    </w:p>
    <w:p>
      <w:pPr>
        <w:pStyle w:val="5"/>
        <w:spacing w:before="210"/>
        <w:ind w:left="1020"/>
      </w:pPr>
      <w:r>
        <w:t>单位公章：法定代表人或授权代表（签字或盖章</w:t>
      </w:r>
      <w:r>
        <w:rPr>
          <w:spacing w:val="-120"/>
        </w:rPr>
        <w:t>）</w:t>
      </w:r>
      <w:r>
        <w:t>：</w:t>
      </w:r>
    </w:p>
    <w:p>
      <w:pPr>
        <w:sectPr>
          <w:pgSz w:w="11910" w:h="16840"/>
          <w:pgMar w:top="1380" w:right="619" w:bottom="1180" w:left="780" w:header="852" w:footer="993" w:gutter="0"/>
          <w:cols w:space="720" w:num="1"/>
        </w:sectPr>
      </w:pPr>
    </w:p>
    <w:p>
      <w:pPr>
        <w:pStyle w:val="5"/>
        <w:rPr>
          <w:sz w:val="20"/>
        </w:rPr>
      </w:pPr>
    </w:p>
    <w:p>
      <w:pPr>
        <w:spacing w:before="209"/>
        <w:ind w:left="1020"/>
        <w:rPr>
          <w:sz w:val="28"/>
        </w:rPr>
      </w:pPr>
      <w:bookmarkStart w:id="147" w:name="_bookmark21"/>
      <w:bookmarkEnd w:id="147"/>
      <w:r>
        <w:rPr>
          <w:sz w:val="30"/>
        </w:rPr>
        <w:t xml:space="preserve">附件七 </w:t>
      </w:r>
      <w:r>
        <w:rPr>
          <w:sz w:val="28"/>
        </w:rPr>
        <w:t>测评辅助设备明细表</w:t>
      </w:r>
    </w:p>
    <w:p>
      <w:pPr>
        <w:pStyle w:val="5"/>
        <w:rPr>
          <w:sz w:val="20"/>
        </w:rPr>
      </w:pPr>
    </w:p>
    <w:p>
      <w:pPr>
        <w:pStyle w:val="5"/>
        <w:rPr>
          <w:sz w:val="20"/>
        </w:rPr>
      </w:pPr>
    </w:p>
    <w:p>
      <w:pPr>
        <w:pStyle w:val="5"/>
        <w:spacing w:before="3"/>
        <w:rPr>
          <w:sz w:val="28"/>
        </w:rPr>
      </w:pPr>
    </w:p>
    <w:tbl>
      <w:tblPr>
        <w:tblStyle w:val="13"/>
        <w:tblW w:w="8823" w:type="dxa"/>
        <w:tblInd w:w="9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8"/>
        <w:gridCol w:w="1160"/>
        <w:gridCol w:w="1440"/>
        <w:gridCol w:w="1720"/>
        <w:gridCol w:w="1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2628" w:type="dxa"/>
          </w:tcPr>
          <w:p>
            <w:pPr>
              <w:pStyle w:val="19"/>
              <w:spacing w:before="59"/>
              <w:ind w:left="832"/>
              <w:rPr>
                <w:sz w:val="24"/>
              </w:rPr>
            </w:pPr>
            <w:r>
              <w:rPr>
                <w:sz w:val="24"/>
              </w:rPr>
              <w:t>设备名称</w:t>
            </w:r>
          </w:p>
        </w:tc>
        <w:tc>
          <w:tcPr>
            <w:tcW w:w="1160" w:type="dxa"/>
          </w:tcPr>
          <w:p>
            <w:pPr>
              <w:pStyle w:val="19"/>
              <w:spacing w:before="59"/>
              <w:ind w:left="340"/>
              <w:rPr>
                <w:sz w:val="24"/>
              </w:rPr>
            </w:pPr>
            <w:r>
              <w:rPr>
                <w:sz w:val="24"/>
              </w:rPr>
              <w:t>品牌</w:t>
            </w:r>
          </w:p>
        </w:tc>
        <w:tc>
          <w:tcPr>
            <w:tcW w:w="1440" w:type="dxa"/>
          </w:tcPr>
          <w:p>
            <w:pPr>
              <w:pStyle w:val="19"/>
              <w:spacing w:before="59"/>
              <w:ind w:left="478"/>
              <w:rPr>
                <w:sz w:val="24"/>
              </w:rPr>
            </w:pPr>
            <w:r>
              <w:rPr>
                <w:sz w:val="24"/>
              </w:rPr>
              <w:t>产地</w:t>
            </w:r>
          </w:p>
        </w:tc>
        <w:tc>
          <w:tcPr>
            <w:tcW w:w="1720" w:type="dxa"/>
          </w:tcPr>
          <w:p>
            <w:pPr>
              <w:pStyle w:val="19"/>
              <w:spacing w:before="59"/>
              <w:ind w:left="380"/>
              <w:rPr>
                <w:sz w:val="24"/>
              </w:rPr>
            </w:pPr>
            <w:r>
              <w:rPr>
                <w:sz w:val="24"/>
              </w:rPr>
              <w:t>生产厂家</w:t>
            </w:r>
          </w:p>
        </w:tc>
        <w:tc>
          <w:tcPr>
            <w:tcW w:w="1875" w:type="dxa"/>
          </w:tcPr>
          <w:p>
            <w:pPr>
              <w:pStyle w:val="19"/>
              <w:spacing w:before="59"/>
              <w:ind w:left="675" w:right="669"/>
              <w:jc w:val="center"/>
              <w:rPr>
                <w:sz w:val="24"/>
              </w:rPr>
            </w:pPr>
            <w:r>
              <w:rPr>
                <w:sz w:val="24"/>
              </w:rPr>
              <w:t>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2628" w:type="dxa"/>
          </w:tcPr>
          <w:p>
            <w:pPr>
              <w:pStyle w:val="19"/>
              <w:rPr>
                <w:rFonts w:ascii="Times New Roman"/>
                <w:sz w:val="24"/>
              </w:rPr>
            </w:pPr>
          </w:p>
        </w:tc>
        <w:tc>
          <w:tcPr>
            <w:tcW w:w="1160" w:type="dxa"/>
          </w:tcPr>
          <w:p>
            <w:pPr>
              <w:pStyle w:val="19"/>
              <w:rPr>
                <w:rFonts w:ascii="Times New Roman"/>
                <w:sz w:val="24"/>
              </w:rPr>
            </w:pPr>
          </w:p>
        </w:tc>
        <w:tc>
          <w:tcPr>
            <w:tcW w:w="1440" w:type="dxa"/>
          </w:tcPr>
          <w:p>
            <w:pPr>
              <w:pStyle w:val="19"/>
              <w:rPr>
                <w:rFonts w:ascii="Times New Roman"/>
                <w:sz w:val="24"/>
              </w:rPr>
            </w:pPr>
          </w:p>
        </w:tc>
        <w:tc>
          <w:tcPr>
            <w:tcW w:w="1720" w:type="dxa"/>
          </w:tcPr>
          <w:p>
            <w:pPr>
              <w:pStyle w:val="19"/>
              <w:rPr>
                <w:rFonts w:ascii="Times New Roman"/>
                <w:sz w:val="24"/>
              </w:rPr>
            </w:pPr>
          </w:p>
        </w:tc>
        <w:tc>
          <w:tcPr>
            <w:tcW w:w="1875"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2628" w:type="dxa"/>
          </w:tcPr>
          <w:p>
            <w:pPr>
              <w:pStyle w:val="19"/>
              <w:rPr>
                <w:rFonts w:ascii="Times New Roman"/>
                <w:sz w:val="24"/>
              </w:rPr>
            </w:pPr>
          </w:p>
        </w:tc>
        <w:tc>
          <w:tcPr>
            <w:tcW w:w="1160" w:type="dxa"/>
          </w:tcPr>
          <w:p>
            <w:pPr>
              <w:pStyle w:val="19"/>
              <w:rPr>
                <w:rFonts w:ascii="Times New Roman"/>
                <w:sz w:val="24"/>
              </w:rPr>
            </w:pPr>
          </w:p>
        </w:tc>
        <w:tc>
          <w:tcPr>
            <w:tcW w:w="1440" w:type="dxa"/>
          </w:tcPr>
          <w:p>
            <w:pPr>
              <w:pStyle w:val="19"/>
              <w:rPr>
                <w:rFonts w:ascii="Times New Roman"/>
                <w:sz w:val="24"/>
              </w:rPr>
            </w:pPr>
          </w:p>
        </w:tc>
        <w:tc>
          <w:tcPr>
            <w:tcW w:w="1720" w:type="dxa"/>
          </w:tcPr>
          <w:p>
            <w:pPr>
              <w:pStyle w:val="19"/>
              <w:rPr>
                <w:rFonts w:ascii="Times New Roman"/>
                <w:sz w:val="24"/>
              </w:rPr>
            </w:pPr>
          </w:p>
        </w:tc>
        <w:tc>
          <w:tcPr>
            <w:tcW w:w="1875"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2628" w:type="dxa"/>
          </w:tcPr>
          <w:p>
            <w:pPr>
              <w:pStyle w:val="19"/>
              <w:rPr>
                <w:rFonts w:ascii="Times New Roman"/>
                <w:sz w:val="24"/>
              </w:rPr>
            </w:pPr>
          </w:p>
        </w:tc>
        <w:tc>
          <w:tcPr>
            <w:tcW w:w="1160" w:type="dxa"/>
          </w:tcPr>
          <w:p>
            <w:pPr>
              <w:pStyle w:val="19"/>
              <w:rPr>
                <w:rFonts w:ascii="Times New Roman"/>
                <w:sz w:val="24"/>
              </w:rPr>
            </w:pPr>
          </w:p>
        </w:tc>
        <w:tc>
          <w:tcPr>
            <w:tcW w:w="1440" w:type="dxa"/>
          </w:tcPr>
          <w:p>
            <w:pPr>
              <w:pStyle w:val="19"/>
              <w:rPr>
                <w:rFonts w:ascii="Times New Roman"/>
                <w:sz w:val="24"/>
              </w:rPr>
            </w:pPr>
          </w:p>
        </w:tc>
        <w:tc>
          <w:tcPr>
            <w:tcW w:w="1720" w:type="dxa"/>
          </w:tcPr>
          <w:p>
            <w:pPr>
              <w:pStyle w:val="19"/>
              <w:rPr>
                <w:rFonts w:ascii="Times New Roman"/>
                <w:sz w:val="24"/>
              </w:rPr>
            </w:pPr>
          </w:p>
        </w:tc>
        <w:tc>
          <w:tcPr>
            <w:tcW w:w="1875"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2628" w:type="dxa"/>
          </w:tcPr>
          <w:p>
            <w:pPr>
              <w:pStyle w:val="19"/>
              <w:rPr>
                <w:rFonts w:ascii="Times New Roman"/>
                <w:sz w:val="24"/>
              </w:rPr>
            </w:pPr>
          </w:p>
        </w:tc>
        <w:tc>
          <w:tcPr>
            <w:tcW w:w="1160" w:type="dxa"/>
          </w:tcPr>
          <w:p>
            <w:pPr>
              <w:pStyle w:val="19"/>
              <w:rPr>
                <w:rFonts w:ascii="Times New Roman"/>
                <w:sz w:val="24"/>
              </w:rPr>
            </w:pPr>
          </w:p>
        </w:tc>
        <w:tc>
          <w:tcPr>
            <w:tcW w:w="1440" w:type="dxa"/>
          </w:tcPr>
          <w:p>
            <w:pPr>
              <w:pStyle w:val="19"/>
              <w:rPr>
                <w:rFonts w:ascii="Times New Roman"/>
                <w:sz w:val="24"/>
              </w:rPr>
            </w:pPr>
          </w:p>
        </w:tc>
        <w:tc>
          <w:tcPr>
            <w:tcW w:w="1720" w:type="dxa"/>
          </w:tcPr>
          <w:p>
            <w:pPr>
              <w:pStyle w:val="19"/>
              <w:rPr>
                <w:rFonts w:ascii="Times New Roman"/>
                <w:sz w:val="24"/>
              </w:rPr>
            </w:pPr>
          </w:p>
        </w:tc>
        <w:tc>
          <w:tcPr>
            <w:tcW w:w="1875"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trPr>
        <w:tc>
          <w:tcPr>
            <w:tcW w:w="2628" w:type="dxa"/>
          </w:tcPr>
          <w:p>
            <w:pPr>
              <w:pStyle w:val="19"/>
              <w:rPr>
                <w:rFonts w:ascii="Times New Roman"/>
                <w:sz w:val="24"/>
              </w:rPr>
            </w:pPr>
          </w:p>
        </w:tc>
        <w:tc>
          <w:tcPr>
            <w:tcW w:w="1160" w:type="dxa"/>
          </w:tcPr>
          <w:p>
            <w:pPr>
              <w:pStyle w:val="19"/>
              <w:rPr>
                <w:rFonts w:ascii="Times New Roman"/>
                <w:sz w:val="24"/>
              </w:rPr>
            </w:pPr>
          </w:p>
        </w:tc>
        <w:tc>
          <w:tcPr>
            <w:tcW w:w="1440" w:type="dxa"/>
          </w:tcPr>
          <w:p>
            <w:pPr>
              <w:pStyle w:val="19"/>
              <w:rPr>
                <w:rFonts w:ascii="Times New Roman"/>
                <w:sz w:val="24"/>
              </w:rPr>
            </w:pPr>
          </w:p>
        </w:tc>
        <w:tc>
          <w:tcPr>
            <w:tcW w:w="1720" w:type="dxa"/>
          </w:tcPr>
          <w:p>
            <w:pPr>
              <w:pStyle w:val="19"/>
              <w:rPr>
                <w:rFonts w:ascii="Times New Roman"/>
                <w:sz w:val="24"/>
              </w:rPr>
            </w:pPr>
          </w:p>
        </w:tc>
        <w:tc>
          <w:tcPr>
            <w:tcW w:w="1875"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2628" w:type="dxa"/>
          </w:tcPr>
          <w:p>
            <w:pPr>
              <w:pStyle w:val="19"/>
              <w:rPr>
                <w:rFonts w:ascii="Times New Roman"/>
                <w:sz w:val="24"/>
              </w:rPr>
            </w:pPr>
          </w:p>
        </w:tc>
        <w:tc>
          <w:tcPr>
            <w:tcW w:w="1160" w:type="dxa"/>
          </w:tcPr>
          <w:p>
            <w:pPr>
              <w:pStyle w:val="19"/>
              <w:rPr>
                <w:rFonts w:ascii="Times New Roman"/>
                <w:sz w:val="24"/>
              </w:rPr>
            </w:pPr>
          </w:p>
        </w:tc>
        <w:tc>
          <w:tcPr>
            <w:tcW w:w="1440" w:type="dxa"/>
          </w:tcPr>
          <w:p>
            <w:pPr>
              <w:pStyle w:val="19"/>
              <w:rPr>
                <w:rFonts w:ascii="Times New Roman"/>
                <w:sz w:val="24"/>
              </w:rPr>
            </w:pPr>
          </w:p>
        </w:tc>
        <w:tc>
          <w:tcPr>
            <w:tcW w:w="1720" w:type="dxa"/>
          </w:tcPr>
          <w:p>
            <w:pPr>
              <w:pStyle w:val="19"/>
              <w:rPr>
                <w:rFonts w:ascii="Times New Roman"/>
                <w:sz w:val="24"/>
              </w:rPr>
            </w:pPr>
          </w:p>
        </w:tc>
        <w:tc>
          <w:tcPr>
            <w:tcW w:w="1875"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2628" w:type="dxa"/>
          </w:tcPr>
          <w:p>
            <w:pPr>
              <w:pStyle w:val="19"/>
              <w:rPr>
                <w:rFonts w:ascii="Times New Roman"/>
                <w:sz w:val="24"/>
              </w:rPr>
            </w:pPr>
          </w:p>
        </w:tc>
        <w:tc>
          <w:tcPr>
            <w:tcW w:w="1160" w:type="dxa"/>
          </w:tcPr>
          <w:p>
            <w:pPr>
              <w:pStyle w:val="19"/>
              <w:rPr>
                <w:rFonts w:ascii="Times New Roman"/>
                <w:sz w:val="24"/>
              </w:rPr>
            </w:pPr>
          </w:p>
        </w:tc>
        <w:tc>
          <w:tcPr>
            <w:tcW w:w="1440" w:type="dxa"/>
          </w:tcPr>
          <w:p>
            <w:pPr>
              <w:pStyle w:val="19"/>
              <w:rPr>
                <w:rFonts w:ascii="Times New Roman"/>
                <w:sz w:val="24"/>
              </w:rPr>
            </w:pPr>
          </w:p>
        </w:tc>
        <w:tc>
          <w:tcPr>
            <w:tcW w:w="1720" w:type="dxa"/>
          </w:tcPr>
          <w:p>
            <w:pPr>
              <w:pStyle w:val="19"/>
              <w:rPr>
                <w:rFonts w:ascii="Times New Roman"/>
                <w:sz w:val="24"/>
              </w:rPr>
            </w:pPr>
          </w:p>
        </w:tc>
        <w:tc>
          <w:tcPr>
            <w:tcW w:w="1875" w:type="dxa"/>
          </w:tcPr>
          <w:p>
            <w:pPr>
              <w:pStyle w:val="19"/>
              <w:rPr>
                <w:rFonts w:ascii="Times New Roman"/>
                <w:sz w:val="24"/>
              </w:rPr>
            </w:pPr>
          </w:p>
        </w:tc>
      </w:tr>
      <w:tr>
        <w:tblPrEx>
          <w:tblLayout w:type="fixed"/>
          <w:tblCellMar>
            <w:top w:w="0" w:type="dxa"/>
            <w:left w:w="0" w:type="dxa"/>
            <w:bottom w:w="0" w:type="dxa"/>
            <w:right w:w="0" w:type="dxa"/>
          </w:tblCellMar>
        </w:tblPrEx>
        <w:trPr>
          <w:trHeight w:val="585" w:hRule="atLeast"/>
        </w:trPr>
        <w:tc>
          <w:tcPr>
            <w:tcW w:w="2628" w:type="dxa"/>
          </w:tcPr>
          <w:p>
            <w:pPr>
              <w:pStyle w:val="19"/>
              <w:rPr>
                <w:rFonts w:ascii="Times New Roman"/>
                <w:sz w:val="24"/>
              </w:rPr>
            </w:pPr>
          </w:p>
        </w:tc>
        <w:tc>
          <w:tcPr>
            <w:tcW w:w="1160" w:type="dxa"/>
          </w:tcPr>
          <w:p>
            <w:pPr>
              <w:pStyle w:val="19"/>
              <w:rPr>
                <w:rFonts w:ascii="Times New Roman"/>
                <w:sz w:val="24"/>
              </w:rPr>
            </w:pPr>
          </w:p>
        </w:tc>
        <w:tc>
          <w:tcPr>
            <w:tcW w:w="1440" w:type="dxa"/>
          </w:tcPr>
          <w:p>
            <w:pPr>
              <w:pStyle w:val="19"/>
              <w:rPr>
                <w:rFonts w:ascii="Times New Roman"/>
                <w:sz w:val="24"/>
              </w:rPr>
            </w:pPr>
          </w:p>
        </w:tc>
        <w:tc>
          <w:tcPr>
            <w:tcW w:w="1720" w:type="dxa"/>
          </w:tcPr>
          <w:p>
            <w:pPr>
              <w:pStyle w:val="19"/>
              <w:rPr>
                <w:rFonts w:ascii="Times New Roman"/>
                <w:sz w:val="24"/>
              </w:rPr>
            </w:pPr>
          </w:p>
        </w:tc>
        <w:tc>
          <w:tcPr>
            <w:tcW w:w="1875"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2628" w:type="dxa"/>
          </w:tcPr>
          <w:p>
            <w:pPr>
              <w:pStyle w:val="19"/>
              <w:rPr>
                <w:rFonts w:ascii="Times New Roman"/>
                <w:sz w:val="24"/>
              </w:rPr>
            </w:pPr>
          </w:p>
        </w:tc>
        <w:tc>
          <w:tcPr>
            <w:tcW w:w="1160" w:type="dxa"/>
          </w:tcPr>
          <w:p>
            <w:pPr>
              <w:pStyle w:val="19"/>
              <w:rPr>
                <w:rFonts w:ascii="Times New Roman"/>
                <w:sz w:val="24"/>
              </w:rPr>
            </w:pPr>
          </w:p>
        </w:tc>
        <w:tc>
          <w:tcPr>
            <w:tcW w:w="1440" w:type="dxa"/>
          </w:tcPr>
          <w:p>
            <w:pPr>
              <w:pStyle w:val="19"/>
              <w:rPr>
                <w:rFonts w:ascii="Times New Roman"/>
                <w:sz w:val="24"/>
              </w:rPr>
            </w:pPr>
          </w:p>
        </w:tc>
        <w:tc>
          <w:tcPr>
            <w:tcW w:w="1720" w:type="dxa"/>
          </w:tcPr>
          <w:p>
            <w:pPr>
              <w:pStyle w:val="19"/>
              <w:rPr>
                <w:rFonts w:ascii="Times New Roman"/>
                <w:sz w:val="24"/>
              </w:rPr>
            </w:pPr>
          </w:p>
        </w:tc>
        <w:tc>
          <w:tcPr>
            <w:tcW w:w="1875"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2628" w:type="dxa"/>
          </w:tcPr>
          <w:p>
            <w:pPr>
              <w:pStyle w:val="19"/>
              <w:rPr>
                <w:rFonts w:ascii="Times New Roman"/>
                <w:sz w:val="24"/>
              </w:rPr>
            </w:pPr>
          </w:p>
        </w:tc>
        <w:tc>
          <w:tcPr>
            <w:tcW w:w="1160" w:type="dxa"/>
          </w:tcPr>
          <w:p>
            <w:pPr>
              <w:pStyle w:val="19"/>
              <w:rPr>
                <w:rFonts w:ascii="Times New Roman"/>
                <w:sz w:val="24"/>
              </w:rPr>
            </w:pPr>
          </w:p>
        </w:tc>
        <w:tc>
          <w:tcPr>
            <w:tcW w:w="1440" w:type="dxa"/>
          </w:tcPr>
          <w:p>
            <w:pPr>
              <w:pStyle w:val="19"/>
              <w:rPr>
                <w:rFonts w:ascii="Times New Roman"/>
                <w:sz w:val="24"/>
              </w:rPr>
            </w:pPr>
          </w:p>
        </w:tc>
        <w:tc>
          <w:tcPr>
            <w:tcW w:w="1720" w:type="dxa"/>
          </w:tcPr>
          <w:p>
            <w:pPr>
              <w:pStyle w:val="19"/>
              <w:rPr>
                <w:rFonts w:ascii="Times New Roman"/>
                <w:sz w:val="24"/>
              </w:rPr>
            </w:pPr>
          </w:p>
        </w:tc>
        <w:tc>
          <w:tcPr>
            <w:tcW w:w="1875"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trPr>
        <w:tc>
          <w:tcPr>
            <w:tcW w:w="2628" w:type="dxa"/>
          </w:tcPr>
          <w:p>
            <w:pPr>
              <w:pStyle w:val="19"/>
              <w:rPr>
                <w:rFonts w:ascii="Times New Roman"/>
                <w:sz w:val="24"/>
              </w:rPr>
            </w:pPr>
          </w:p>
        </w:tc>
        <w:tc>
          <w:tcPr>
            <w:tcW w:w="1160" w:type="dxa"/>
          </w:tcPr>
          <w:p>
            <w:pPr>
              <w:pStyle w:val="19"/>
              <w:rPr>
                <w:rFonts w:ascii="Times New Roman"/>
                <w:sz w:val="24"/>
              </w:rPr>
            </w:pPr>
          </w:p>
        </w:tc>
        <w:tc>
          <w:tcPr>
            <w:tcW w:w="1440" w:type="dxa"/>
          </w:tcPr>
          <w:p>
            <w:pPr>
              <w:pStyle w:val="19"/>
              <w:rPr>
                <w:rFonts w:ascii="Times New Roman"/>
                <w:sz w:val="24"/>
              </w:rPr>
            </w:pPr>
          </w:p>
        </w:tc>
        <w:tc>
          <w:tcPr>
            <w:tcW w:w="1720" w:type="dxa"/>
          </w:tcPr>
          <w:p>
            <w:pPr>
              <w:pStyle w:val="19"/>
              <w:rPr>
                <w:rFonts w:ascii="Times New Roman"/>
                <w:sz w:val="24"/>
              </w:rPr>
            </w:pPr>
          </w:p>
        </w:tc>
        <w:tc>
          <w:tcPr>
            <w:tcW w:w="1875"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2628" w:type="dxa"/>
          </w:tcPr>
          <w:p>
            <w:pPr>
              <w:pStyle w:val="19"/>
              <w:rPr>
                <w:rFonts w:ascii="Times New Roman"/>
                <w:sz w:val="24"/>
              </w:rPr>
            </w:pPr>
          </w:p>
        </w:tc>
        <w:tc>
          <w:tcPr>
            <w:tcW w:w="1160" w:type="dxa"/>
          </w:tcPr>
          <w:p>
            <w:pPr>
              <w:pStyle w:val="19"/>
              <w:rPr>
                <w:rFonts w:ascii="Times New Roman"/>
                <w:sz w:val="24"/>
              </w:rPr>
            </w:pPr>
          </w:p>
        </w:tc>
        <w:tc>
          <w:tcPr>
            <w:tcW w:w="1440" w:type="dxa"/>
          </w:tcPr>
          <w:p>
            <w:pPr>
              <w:pStyle w:val="19"/>
              <w:rPr>
                <w:rFonts w:ascii="Times New Roman"/>
                <w:sz w:val="24"/>
              </w:rPr>
            </w:pPr>
          </w:p>
        </w:tc>
        <w:tc>
          <w:tcPr>
            <w:tcW w:w="1720" w:type="dxa"/>
          </w:tcPr>
          <w:p>
            <w:pPr>
              <w:pStyle w:val="19"/>
              <w:rPr>
                <w:rFonts w:ascii="Times New Roman"/>
                <w:sz w:val="24"/>
              </w:rPr>
            </w:pPr>
          </w:p>
        </w:tc>
        <w:tc>
          <w:tcPr>
            <w:tcW w:w="1875"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2628" w:type="dxa"/>
          </w:tcPr>
          <w:p>
            <w:pPr>
              <w:pStyle w:val="19"/>
              <w:rPr>
                <w:rFonts w:ascii="Times New Roman"/>
                <w:sz w:val="24"/>
              </w:rPr>
            </w:pPr>
          </w:p>
        </w:tc>
        <w:tc>
          <w:tcPr>
            <w:tcW w:w="1160" w:type="dxa"/>
          </w:tcPr>
          <w:p>
            <w:pPr>
              <w:pStyle w:val="19"/>
              <w:rPr>
                <w:rFonts w:ascii="Times New Roman"/>
                <w:sz w:val="24"/>
              </w:rPr>
            </w:pPr>
          </w:p>
        </w:tc>
        <w:tc>
          <w:tcPr>
            <w:tcW w:w="1440" w:type="dxa"/>
          </w:tcPr>
          <w:p>
            <w:pPr>
              <w:pStyle w:val="19"/>
              <w:rPr>
                <w:rFonts w:ascii="Times New Roman"/>
                <w:sz w:val="24"/>
              </w:rPr>
            </w:pPr>
          </w:p>
        </w:tc>
        <w:tc>
          <w:tcPr>
            <w:tcW w:w="1720" w:type="dxa"/>
          </w:tcPr>
          <w:p>
            <w:pPr>
              <w:pStyle w:val="19"/>
              <w:rPr>
                <w:rFonts w:ascii="Times New Roman"/>
                <w:sz w:val="24"/>
              </w:rPr>
            </w:pPr>
          </w:p>
        </w:tc>
        <w:tc>
          <w:tcPr>
            <w:tcW w:w="1875" w:type="dxa"/>
          </w:tcPr>
          <w:p>
            <w:pPr>
              <w:pStyle w:val="19"/>
              <w:rPr>
                <w:rFonts w:ascii="Times New Roman"/>
                <w:sz w:val="24"/>
              </w:rPr>
            </w:pPr>
          </w:p>
        </w:tc>
      </w:tr>
    </w:tbl>
    <w:p>
      <w:pPr>
        <w:pStyle w:val="5"/>
        <w:ind w:left="1512"/>
      </w:pPr>
      <w:r>
        <w:t>注：投标人认为其他应当列出的主要设备请在表中空白处填列。</w:t>
      </w:r>
    </w:p>
    <w:p>
      <w:pPr>
        <w:pStyle w:val="5"/>
      </w:pPr>
    </w:p>
    <w:p>
      <w:pPr>
        <w:pStyle w:val="5"/>
      </w:pPr>
    </w:p>
    <w:p>
      <w:pPr>
        <w:pStyle w:val="5"/>
      </w:pPr>
    </w:p>
    <w:p>
      <w:pPr>
        <w:pStyle w:val="5"/>
        <w:spacing w:before="172"/>
        <w:ind w:left="1020"/>
      </w:pPr>
      <w:r>
        <w:t>单位公章：法定代表人或授权代表（签字或盖章</w:t>
      </w:r>
      <w:r>
        <w:rPr>
          <w:spacing w:val="-120"/>
        </w:rPr>
        <w:t>）</w:t>
      </w:r>
      <w:r>
        <w:t>：</w:t>
      </w:r>
    </w:p>
    <w:p>
      <w:pPr>
        <w:sectPr>
          <w:pgSz w:w="11910" w:h="16840"/>
          <w:pgMar w:top="1380" w:right="619" w:bottom="1180" w:left="780" w:header="852" w:footer="993" w:gutter="0"/>
          <w:cols w:space="720" w:num="1"/>
        </w:sectPr>
      </w:pPr>
    </w:p>
    <w:p>
      <w:pPr>
        <w:spacing w:before="58"/>
        <w:ind w:left="1020"/>
        <w:rPr>
          <w:sz w:val="28"/>
        </w:rPr>
      </w:pPr>
      <w:bookmarkStart w:id="148" w:name="_bookmark22"/>
      <w:bookmarkEnd w:id="148"/>
      <w:r>
        <w:rPr>
          <w:sz w:val="30"/>
        </w:rPr>
        <w:t xml:space="preserve">附件八 </w:t>
      </w:r>
      <w:r>
        <w:rPr>
          <w:sz w:val="28"/>
        </w:rPr>
        <w:t>技术服务人员一览表</w:t>
      </w:r>
    </w:p>
    <w:p>
      <w:pPr>
        <w:pStyle w:val="5"/>
        <w:rPr>
          <w:sz w:val="20"/>
        </w:rPr>
      </w:pPr>
    </w:p>
    <w:p>
      <w:pPr>
        <w:pStyle w:val="5"/>
        <w:rPr>
          <w:sz w:val="20"/>
        </w:rPr>
      </w:pPr>
    </w:p>
    <w:p>
      <w:pPr>
        <w:pStyle w:val="5"/>
        <w:rPr>
          <w:sz w:val="20"/>
        </w:rPr>
      </w:pPr>
    </w:p>
    <w:p>
      <w:pPr>
        <w:pStyle w:val="5"/>
        <w:rPr>
          <w:sz w:val="20"/>
        </w:rPr>
      </w:pPr>
    </w:p>
    <w:p>
      <w:pPr>
        <w:pStyle w:val="5"/>
        <w:spacing w:before="12"/>
        <w:rPr>
          <w:sz w:val="19"/>
        </w:rPr>
      </w:pPr>
    </w:p>
    <w:tbl>
      <w:tblPr>
        <w:tblStyle w:val="13"/>
        <w:tblW w:w="8441" w:type="dxa"/>
        <w:tblInd w:w="9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1440"/>
        <w:gridCol w:w="956"/>
        <w:gridCol w:w="1150"/>
        <w:gridCol w:w="1516"/>
        <w:gridCol w:w="2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1" w:hRule="atLeast"/>
        </w:trPr>
        <w:tc>
          <w:tcPr>
            <w:tcW w:w="1188" w:type="dxa"/>
          </w:tcPr>
          <w:p>
            <w:pPr>
              <w:pStyle w:val="19"/>
              <w:spacing w:before="9"/>
              <w:rPr>
                <w:sz w:val="32"/>
              </w:rPr>
            </w:pPr>
          </w:p>
          <w:p>
            <w:pPr>
              <w:pStyle w:val="19"/>
              <w:spacing w:before="1"/>
              <w:ind w:left="354"/>
              <w:rPr>
                <w:sz w:val="24"/>
              </w:rPr>
            </w:pPr>
            <w:r>
              <w:rPr>
                <w:sz w:val="24"/>
              </w:rPr>
              <w:t>姓名</w:t>
            </w:r>
          </w:p>
        </w:tc>
        <w:tc>
          <w:tcPr>
            <w:tcW w:w="1440" w:type="dxa"/>
          </w:tcPr>
          <w:p>
            <w:pPr>
              <w:pStyle w:val="19"/>
              <w:spacing w:before="184" w:line="362" w:lineRule="auto"/>
              <w:ind w:left="239" w:right="228" w:firstLine="120"/>
              <w:rPr>
                <w:sz w:val="24"/>
              </w:rPr>
            </w:pPr>
            <w:r>
              <w:rPr>
                <w:sz w:val="24"/>
              </w:rPr>
              <w:t>本项目拟任职务</w:t>
            </w:r>
          </w:p>
        </w:tc>
        <w:tc>
          <w:tcPr>
            <w:tcW w:w="956" w:type="dxa"/>
          </w:tcPr>
          <w:p>
            <w:pPr>
              <w:pStyle w:val="19"/>
              <w:spacing w:before="184" w:line="362" w:lineRule="auto"/>
              <w:ind w:left="237" w:right="226"/>
              <w:rPr>
                <w:sz w:val="24"/>
              </w:rPr>
            </w:pPr>
            <w:r>
              <w:rPr>
                <w:sz w:val="24"/>
              </w:rPr>
              <w:t>技术职称</w:t>
            </w:r>
          </w:p>
        </w:tc>
        <w:tc>
          <w:tcPr>
            <w:tcW w:w="1150" w:type="dxa"/>
          </w:tcPr>
          <w:p>
            <w:pPr>
              <w:pStyle w:val="19"/>
              <w:spacing w:before="9"/>
              <w:rPr>
                <w:sz w:val="32"/>
              </w:rPr>
            </w:pPr>
          </w:p>
          <w:p>
            <w:pPr>
              <w:pStyle w:val="19"/>
              <w:spacing w:before="1"/>
              <w:ind w:left="334"/>
              <w:rPr>
                <w:sz w:val="24"/>
              </w:rPr>
            </w:pPr>
            <w:r>
              <w:rPr>
                <w:sz w:val="24"/>
              </w:rPr>
              <w:t>学历</w:t>
            </w:r>
          </w:p>
        </w:tc>
        <w:tc>
          <w:tcPr>
            <w:tcW w:w="1516" w:type="dxa"/>
          </w:tcPr>
          <w:p>
            <w:pPr>
              <w:pStyle w:val="19"/>
              <w:spacing w:before="9"/>
              <w:rPr>
                <w:sz w:val="32"/>
              </w:rPr>
            </w:pPr>
          </w:p>
          <w:p>
            <w:pPr>
              <w:pStyle w:val="19"/>
              <w:spacing w:before="1"/>
              <w:ind w:left="276"/>
              <w:rPr>
                <w:sz w:val="24"/>
              </w:rPr>
            </w:pPr>
            <w:r>
              <w:rPr>
                <w:sz w:val="24"/>
              </w:rPr>
              <w:t>身份证号</w:t>
            </w:r>
          </w:p>
        </w:tc>
        <w:tc>
          <w:tcPr>
            <w:tcW w:w="2191" w:type="dxa"/>
          </w:tcPr>
          <w:p>
            <w:pPr>
              <w:pStyle w:val="19"/>
              <w:spacing w:before="184" w:line="362" w:lineRule="auto"/>
              <w:ind w:left="373" w:right="365" w:firstLine="120"/>
              <w:rPr>
                <w:sz w:val="24"/>
              </w:rPr>
            </w:pPr>
            <w:r>
              <w:rPr>
                <w:sz w:val="24"/>
              </w:rPr>
              <w:t>主要资历及担任过的职务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8" w:hRule="atLeast"/>
        </w:trPr>
        <w:tc>
          <w:tcPr>
            <w:tcW w:w="1188" w:type="dxa"/>
          </w:tcPr>
          <w:p>
            <w:pPr>
              <w:pStyle w:val="19"/>
              <w:rPr>
                <w:rFonts w:ascii="Times New Roman"/>
                <w:sz w:val="24"/>
              </w:rPr>
            </w:pPr>
          </w:p>
        </w:tc>
        <w:tc>
          <w:tcPr>
            <w:tcW w:w="1440" w:type="dxa"/>
          </w:tcPr>
          <w:p>
            <w:pPr>
              <w:pStyle w:val="19"/>
              <w:rPr>
                <w:rFonts w:ascii="Times New Roman"/>
                <w:sz w:val="24"/>
              </w:rPr>
            </w:pPr>
          </w:p>
        </w:tc>
        <w:tc>
          <w:tcPr>
            <w:tcW w:w="956" w:type="dxa"/>
          </w:tcPr>
          <w:p>
            <w:pPr>
              <w:pStyle w:val="19"/>
              <w:rPr>
                <w:rFonts w:ascii="Times New Roman"/>
                <w:sz w:val="24"/>
              </w:rPr>
            </w:pPr>
          </w:p>
        </w:tc>
        <w:tc>
          <w:tcPr>
            <w:tcW w:w="1150" w:type="dxa"/>
          </w:tcPr>
          <w:p>
            <w:pPr>
              <w:pStyle w:val="19"/>
              <w:rPr>
                <w:rFonts w:ascii="Times New Roman"/>
                <w:sz w:val="24"/>
              </w:rPr>
            </w:pPr>
          </w:p>
        </w:tc>
        <w:tc>
          <w:tcPr>
            <w:tcW w:w="1516" w:type="dxa"/>
          </w:tcPr>
          <w:p>
            <w:pPr>
              <w:pStyle w:val="19"/>
              <w:rPr>
                <w:rFonts w:ascii="Times New Roman"/>
                <w:sz w:val="24"/>
              </w:rPr>
            </w:pPr>
          </w:p>
        </w:tc>
        <w:tc>
          <w:tcPr>
            <w:tcW w:w="219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9" w:hRule="atLeast"/>
        </w:trPr>
        <w:tc>
          <w:tcPr>
            <w:tcW w:w="1188" w:type="dxa"/>
          </w:tcPr>
          <w:p>
            <w:pPr>
              <w:pStyle w:val="19"/>
              <w:rPr>
                <w:rFonts w:ascii="Times New Roman"/>
                <w:sz w:val="24"/>
              </w:rPr>
            </w:pPr>
          </w:p>
        </w:tc>
        <w:tc>
          <w:tcPr>
            <w:tcW w:w="1440" w:type="dxa"/>
          </w:tcPr>
          <w:p>
            <w:pPr>
              <w:pStyle w:val="19"/>
              <w:rPr>
                <w:rFonts w:ascii="Times New Roman"/>
                <w:sz w:val="24"/>
              </w:rPr>
            </w:pPr>
          </w:p>
        </w:tc>
        <w:tc>
          <w:tcPr>
            <w:tcW w:w="956" w:type="dxa"/>
          </w:tcPr>
          <w:p>
            <w:pPr>
              <w:pStyle w:val="19"/>
              <w:rPr>
                <w:rFonts w:ascii="Times New Roman"/>
                <w:sz w:val="24"/>
              </w:rPr>
            </w:pPr>
          </w:p>
        </w:tc>
        <w:tc>
          <w:tcPr>
            <w:tcW w:w="1150" w:type="dxa"/>
          </w:tcPr>
          <w:p>
            <w:pPr>
              <w:pStyle w:val="19"/>
              <w:rPr>
                <w:rFonts w:ascii="Times New Roman"/>
                <w:sz w:val="24"/>
              </w:rPr>
            </w:pPr>
          </w:p>
        </w:tc>
        <w:tc>
          <w:tcPr>
            <w:tcW w:w="1516" w:type="dxa"/>
          </w:tcPr>
          <w:p>
            <w:pPr>
              <w:pStyle w:val="19"/>
              <w:rPr>
                <w:rFonts w:ascii="Times New Roman"/>
                <w:sz w:val="24"/>
              </w:rPr>
            </w:pPr>
          </w:p>
        </w:tc>
        <w:tc>
          <w:tcPr>
            <w:tcW w:w="219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8" w:hRule="atLeast"/>
        </w:trPr>
        <w:tc>
          <w:tcPr>
            <w:tcW w:w="1188" w:type="dxa"/>
          </w:tcPr>
          <w:p>
            <w:pPr>
              <w:pStyle w:val="19"/>
              <w:rPr>
                <w:rFonts w:ascii="Times New Roman"/>
                <w:sz w:val="24"/>
              </w:rPr>
            </w:pPr>
          </w:p>
        </w:tc>
        <w:tc>
          <w:tcPr>
            <w:tcW w:w="1440" w:type="dxa"/>
          </w:tcPr>
          <w:p>
            <w:pPr>
              <w:pStyle w:val="19"/>
              <w:rPr>
                <w:rFonts w:ascii="Times New Roman"/>
                <w:sz w:val="24"/>
              </w:rPr>
            </w:pPr>
          </w:p>
        </w:tc>
        <w:tc>
          <w:tcPr>
            <w:tcW w:w="956" w:type="dxa"/>
          </w:tcPr>
          <w:p>
            <w:pPr>
              <w:pStyle w:val="19"/>
              <w:rPr>
                <w:rFonts w:ascii="Times New Roman"/>
                <w:sz w:val="24"/>
              </w:rPr>
            </w:pPr>
          </w:p>
        </w:tc>
        <w:tc>
          <w:tcPr>
            <w:tcW w:w="1150" w:type="dxa"/>
          </w:tcPr>
          <w:p>
            <w:pPr>
              <w:pStyle w:val="19"/>
              <w:rPr>
                <w:rFonts w:ascii="Times New Roman"/>
                <w:sz w:val="24"/>
              </w:rPr>
            </w:pPr>
          </w:p>
        </w:tc>
        <w:tc>
          <w:tcPr>
            <w:tcW w:w="1516" w:type="dxa"/>
          </w:tcPr>
          <w:p>
            <w:pPr>
              <w:pStyle w:val="19"/>
              <w:rPr>
                <w:rFonts w:ascii="Times New Roman"/>
                <w:sz w:val="24"/>
              </w:rPr>
            </w:pPr>
          </w:p>
        </w:tc>
        <w:tc>
          <w:tcPr>
            <w:tcW w:w="219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9" w:hRule="atLeast"/>
        </w:trPr>
        <w:tc>
          <w:tcPr>
            <w:tcW w:w="1188" w:type="dxa"/>
          </w:tcPr>
          <w:p>
            <w:pPr>
              <w:pStyle w:val="19"/>
              <w:rPr>
                <w:rFonts w:ascii="Times New Roman"/>
                <w:sz w:val="24"/>
              </w:rPr>
            </w:pPr>
          </w:p>
        </w:tc>
        <w:tc>
          <w:tcPr>
            <w:tcW w:w="1440" w:type="dxa"/>
          </w:tcPr>
          <w:p>
            <w:pPr>
              <w:pStyle w:val="19"/>
              <w:rPr>
                <w:rFonts w:ascii="Times New Roman"/>
                <w:sz w:val="24"/>
              </w:rPr>
            </w:pPr>
          </w:p>
        </w:tc>
        <w:tc>
          <w:tcPr>
            <w:tcW w:w="956" w:type="dxa"/>
          </w:tcPr>
          <w:p>
            <w:pPr>
              <w:pStyle w:val="19"/>
              <w:rPr>
                <w:rFonts w:ascii="Times New Roman"/>
                <w:sz w:val="24"/>
              </w:rPr>
            </w:pPr>
          </w:p>
        </w:tc>
        <w:tc>
          <w:tcPr>
            <w:tcW w:w="1150" w:type="dxa"/>
          </w:tcPr>
          <w:p>
            <w:pPr>
              <w:pStyle w:val="19"/>
              <w:rPr>
                <w:rFonts w:ascii="Times New Roman"/>
                <w:sz w:val="24"/>
              </w:rPr>
            </w:pPr>
          </w:p>
        </w:tc>
        <w:tc>
          <w:tcPr>
            <w:tcW w:w="1516" w:type="dxa"/>
          </w:tcPr>
          <w:p>
            <w:pPr>
              <w:pStyle w:val="19"/>
              <w:rPr>
                <w:rFonts w:ascii="Times New Roman"/>
                <w:sz w:val="24"/>
              </w:rPr>
            </w:pPr>
          </w:p>
        </w:tc>
        <w:tc>
          <w:tcPr>
            <w:tcW w:w="219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8" w:hRule="atLeast"/>
        </w:trPr>
        <w:tc>
          <w:tcPr>
            <w:tcW w:w="1188" w:type="dxa"/>
          </w:tcPr>
          <w:p>
            <w:pPr>
              <w:pStyle w:val="19"/>
              <w:rPr>
                <w:rFonts w:ascii="Times New Roman"/>
                <w:sz w:val="24"/>
              </w:rPr>
            </w:pPr>
          </w:p>
        </w:tc>
        <w:tc>
          <w:tcPr>
            <w:tcW w:w="1440" w:type="dxa"/>
          </w:tcPr>
          <w:p>
            <w:pPr>
              <w:pStyle w:val="19"/>
              <w:rPr>
                <w:rFonts w:ascii="Times New Roman"/>
                <w:sz w:val="24"/>
              </w:rPr>
            </w:pPr>
          </w:p>
        </w:tc>
        <w:tc>
          <w:tcPr>
            <w:tcW w:w="956" w:type="dxa"/>
          </w:tcPr>
          <w:p>
            <w:pPr>
              <w:pStyle w:val="19"/>
              <w:rPr>
                <w:rFonts w:ascii="Times New Roman"/>
                <w:sz w:val="24"/>
              </w:rPr>
            </w:pPr>
          </w:p>
        </w:tc>
        <w:tc>
          <w:tcPr>
            <w:tcW w:w="1150" w:type="dxa"/>
          </w:tcPr>
          <w:p>
            <w:pPr>
              <w:pStyle w:val="19"/>
              <w:rPr>
                <w:rFonts w:ascii="Times New Roman"/>
                <w:sz w:val="24"/>
              </w:rPr>
            </w:pPr>
          </w:p>
        </w:tc>
        <w:tc>
          <w:tcPr>
            <w:tcW w:w="1516" w:type="dxa"/>
          </w:tcPr>
          <w:p>
            <w:pPr>
              <w:pStyle w:val="19"/>
              <w:rPr>
                <w:rFonts w:ascii="Times New Roman"/>
                <w:sz w:val="24"/>
              </w:rPr>
            </w:pPr>
          </w:p>
        </w:tc>
        <w:tc>
          <w:tcPr>
            <w:tcW w:w="219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8" w:hRule="atLeast"/>
        </w:trPr>
        <w:tc>
          <w:tcPr>
            <w:tcW w:w="1188" w:type="dxa"/>
          </w:tcPr>
          <w:p>
            <w:pPr>
              <w:pStyle w:val="19"/>
              <w:rPr>
                <w:rFonts w:ascii="Times New Roman"/>
                <w:sz w:val="24"/>
              </w:rPr>
            </w:pPr>
          </w:p>
        </w:tc>
        <w:tc>
          <w:tcPr>
            <w:tcW w:w="1440" w:type="dxa"/>
          </w:tcPr>
          <w:p>
            <w:pPr>
              <w:pStyle w:val="19"/>
              <w:rPr>
                <w:rFonts w:ascii="Times New Roman"/>
                <w:sz w:val="24"/>
              </w:rPr>
            </w:pPr>
          </w:p>
        </w:tc>
        <w:tc>
          <w:tcPr>
            <w:tcW w:w="956" w:type="dxa"/>
          </w:tcPr>
          <w:p>
            <w:pPr>
              <w:pStyle w:val="19"/>
              <w:rPr>
                <w:rFonts w:ascii="Times New Roman"/>
                <w:sz w:val="24"/>
              </w:rPr>
            </w:pPr>
          </w:p>
        </w:tc>
        <w:tc>
          <w:tcPr>
            <w:tcW w:w="1150" w:type="dxa"/>
          </w:tcPr>
          <w:p>
            <w:pPr>
              <w:pStyle w:val="19"/>
              <w:rPr>
                <w:rFonts w:ascii="Times New Roman"/>
                <w:sz w:val="24"/>
              </w:rPr>
            </w:pPr>
          </w:p>
        </w:tc>
        <w:tc>
          <w:tcPr>
            <w:tcW w:w="1516" w:type="dxa"/>
          </w:tcPr>
          <w:p>
            <w:pPr>
              <w:pStyle w:val="19"/>
              <w:rPr>
                <w:rFonts w:ascii="Times New Roman"/>
                <w:sz w:val="24"/>
              </w:rPr>
            </w:pPr>
          </w:p>
        </w:tc>
        <w:tc>
          <w:tcPr>
            <w:tcW w:w="219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8" w:hRule="atLeast"/>
        </w:trPr>
        <w:tc>
          <w:tcPr>
            <w:tcW w:w="1188" w:type="dxa"/>
          </w:tcPr>
          <w:p>
            <w:pPr>
              <w:pStyle w:val="19"/>
              <w:rPr>
                <w:rFonts w:ascii="Times New Roman"/>
                <w:sz w:val="24"/>
              </w:rPr>
            </w:pPr>
          </w:p>
        </w:tc>
        <w:tc>
          <w:tcPr>
            <w:tcW w:w="1440" w:type="dxa"/>
          </w:tcPr>
          <w:p>
            <w:pPr>
              <w:pStyle w:val="19"/>
              <w:rPr>
                <w:rFonts w:ascii="Times New Roman"/>
                <w:sz w:val="24"/>
              </w:rPr>
            </w:pPr>
          </w:p>
        </w:tc>
        <w:tc>
          <w:tcPr>
            <w:tcW w:w="956" w:type="dxa"/>
          </w:tcPr>
          <w:p>
            <w:pPr>
              <w:pStyle w:val="19"/>
              <w:rPr>
                <w:rFonts w:ascii="Times New Roman"/>
                <w:sz w:val="24"/>
              </w:rPr>
            </w:pPr>
          </w:p>
        </w:tc>
        <w:tc>
          <w:tcPr>
            <w:tcW w:w="1150" w:type="dxa"/>
          </w:tcPr>
          <w:p>
            <w:pPr>
              <w:pStyle w:val="19"/>
              <w:rPr>
                <w:rFonts w:ascii="Times New Roman"/>
                <w:sz w:val="24"/>
              </w:rPr>
            </w:pPr>
          </w:p>
        </w:tc>
        <w:tc>
          <w:tcPr>
            <w:tcW w:w="1516" w:type="dxa"/>
          </w:tcPr>
          <w:p>
            <w:pPr>
              <w:pStyle w:val="19"/>
              <w:rPr>
                <w:rFonts w:ascii="Times New Roman"/>
                <w:sz w:val="24"/>
              </w:rPr>
            </w:pPr>
          </w:p>
        </w:tc>
        <w:tc>
          <w:tcPr>
            <w:tcW w:w="219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9" w:hRule="atLeast"/>
        </w:trPr>
        <w:tc>
          <w:tcPr>
            <w:tcW w:w="1188" w:type="dxa"/>
          </w:tcPr>
          <w:p>
            <w:pPr>
              <w:pStyle w:val="19"/>
              <w:rPr>
                <w:rFonts w:ascii="Times New Roman"/>
                <w:sz w:val="24"/>
              </w:rPr>
            </w:pPr>
          </w:p>
        </w:tc>
        <w:tc>
          <w:tcPr>
            <w:tcW w:w="1440" w:type="dxa"/>
          </w:tcPr>
          <w:p>
            <w:pPr>
              <w:pStyle w:val="19"/>
              <w:rPr>
                <w:rFonts w:ascii="Times New Roman"/>
                <w:sz w:val="24"/>
              </w:rPr>
            </w:pPr>
          </w:p>
        </w:tc>
        <w:tc>
          <w:tcPr>
            <w:tcW w:w="956" w:type="dxa"/>
          </w:tcPr>
          <w:p>
            <w:pPr>
              <w:pStyle w:val="19"/>
              <w:rPr>
                <w:rFonts w:ascii="Times New Roman"/>
                <w:sz w:val="24"/>
              </w:rPr>
            </w:pPr>
          </w:p>
        </w:tc>
        <w:tc>
          <w:tcPr>
            <w:tcW w:w="1150" w:type="dxa"/>
          </w:tcPr>
          <w:p>
            <w:pPr>
              <w:pStyle w:val="19"/>
              <w:rPr>
                <w:rFonts w:ascii="Times New Roman"/>
                <w:sz w:val="24"/>
              </w:rPr>
            </w:pPr>
          </w:p>
        </w:tc>
        <w:tc>
          <w:tcPr>
            <w:tcW w:w="1516" w:type="dxa"/>
          </w:tcPr>
          <w:p>
            <w:pPr>
              <w:pStyle w:val="19"/>
              <w:rPr>
                <w:rFonts w:ascii="Times New Roman"/>
                <w:sz w:val="24"/>
              </w:rPr>
            </w:pPr>
          </w:p>
        </w:tc>
        <w:tc>
          <w:tcPr>
            <w:tcW w:w="219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8" w:hRule="atLeast"/>
        </w:trPr>
        <w:tc>
          <w:tcPr>
            <w:tcW w:w="1188" w:type="dxa"/>
          </w:tcPr>
          <w:p>
            <w:pPr>
              <w:pStyle w:val="19"/>
              <w:rPr>
                <w:rFonts w:ascii="Times New Roman"/>
                <w:sz w:val="24"/>
              </w:rPr>
            </w:pPr>
          </w:p>
        </w:tc>
        <w:tc>
          <w:tcPr>
            <w:tcW w:w="1440" w:type="dxa"/>
          </w:tcPr>
          <w:p>
            <w:pPr>
              <w:pStyle w:val="19"/>
              <w:rPr>
                <w:rFonts w:ascii="Times New Roman"/>
                <w:sz w:val="24"/>
              </w:rPr>
            </w:pPr>
          </w:p>
        </w:tc>
        <w:tc>
          <w:tcPr>
            <w:tcW w:w="956" w:type="dxa"/>
          </w:tcPr>
          <w:p>
            <w:pPr>
              <w:pStyle w:val="19"/>
              <w:rPr>
                <w:rFonts w:ascii="Times New Roman"/>
                <w:sz w:val="24"/>
              </w:rPr>
            </w:pPr>
          </w:p>
        </w:tc>
        <w:tc>
          <w:tcPr>
            <w:tcW w:w="1150" w:type="dxa"/>
          </w:tcPr>
          <w:p>
            <w:pPr>
              <w:pStyle w:val="19"/>
              <w:rPr>
                <w:rFonts w:ascii="Times New Roman"/>
                <w:sz w:val="24"/>
              </w:rPr>
            </w:pPr>
          </w:p>
        </w:tc>
        <w:tc>
          <w:tcPr>
            <w:tcW w:w="1516" w:type="dxa"/>
          </w:tcPr>
          <w:p>
            <w:pPr>
              <w:pStyle w:val="19"/>
              <w:rPr>
                <w:rFonts w:ascii="Times New Roman"/>
                <w:sz w:val="24"/>
              </w:rPr>
            </w:pPr>
          </w:p>
        </w:tc>
        <w:tc>
          <w:tcPr>
            <w:tcW w:w="219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9" w:hRule="atLeast"/>
        </w:trPr>
        <w:tc>
          <w:tcPr>
            <w:tcW w:w="1188" w:type="dxa"/>
          </w:tcPr>
          <w:p>
            <w:pPr>
              <w:pStyle w:val="19"/>
              <w:rPr>
                <w:rFonts w:ascii="Times New Roman"/>
                <w:sz w:val="24"/>
              </w:rPr>
            </w:pPr>
          </w:p>
        </w:tc>
        <w:tc>
          <w:tcPr>
            <w:tcW w:w="1440" w:type="dxa"/>
          </w:tcPr>
          <w:p>
            <w:pPr>
              <w:pStyle w:val="19"/>
              <w:rPr>
                <w:rFonts w:ascii="Times New Roman"/>
                <w:sz w:val="24"/>
              </w:rPr>
            </w:pPr>
          </w:p>
        </w:tc>
        <w:tc>
          <w:tcPr>
            <w:tcW w:w="956" w:type="dxa"/>
          </w:tcPr>
          <w:p>
            <w:pPr>
              <w:pStyle w:val="19"/>
              <w:rPr>
                <w:rFonts w:ascii="Times New Roman"/>
                <w:sz w:val="24"/>
              </w:rPr>
            </w:pPr>
          </w:p>
        </w:tc>
        <w:tc>
          <w:tcPr>
            <w:tcW w:w="1150" w:type="dxa"/>
          </w:tcPr>
          <w:p>
            <w:pPr>
              <w:pStyle w:val="19"/>
              <w:rPr>
                <w:rFonts w:ascii="Times New Roman"/>
                <w:sz w:val="24"/>
              </w:rPr>
            </w:pPr>
          </w:p>
        </w:tc>
        <w:tc>
          <w:tcPr>
            <w:tcW w:w="1516" w:type="dxa"/>
          </w:tcPr>
          <w:p>
            <w:pPr>
              <w:pStyle w:val="19"/>
              <w:rPr>
                <w:rFonts w:ascii="Times New Roman"/>
                <w:sz w:val="24"/>
              </w:rPr>
            </w:pPr>
          </w:p>
        </w:tc>
        <w:tc>
          <w:tcPr>
            <w:tcW w:w="219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9" w:hRule="atLeast"/>
        </w:trPr>
        <w:tc>
          <w:tcPr>
            <w:tcW w:w="1188" w:type="dxa"/>
          </w:tcPr>
          <w:p>
            <w:pPr>
              <w:pStyle w:val="19"/>
              <w:rPr>
                <w:rFonts w:ascii="Times New Roman"/>
                <w:sz w:val="24"/>
              </w:rPr>
            </w:pPr>
          </w:p>
        </w:tc>
        <w:tc>
          <w:tcPr>
            <w:tcW w:w="1440" w:type="dxa"/>
          </w:tcPr>
          <w:p>
            <w:pPr>
              <w:pStyle w:val="19"/>
              <w:rPr>
                <w:rFonts w:ascii="Times New Roman"/>
                <w:sz w:val="24"/>
              </w:rPr>
            </w:pPr>
          </w:p>
        </w:tc>
        <w:tc>
          <w:tcPr>
            <w:tcW w:w="956" w:type="dxa"/>
          </w:tcPr>
          <w:p>
            <w:pPr>
              <w:pStyle w:val="19"/>
              <w:rPr>
                <w:rFonts w:ascii="Times New Roman"/>
                <w:sz w:val="24"/>
              </w:rPr>
            </w:pPr>
          </w:p>
        </w:tc>
        <w:tc>
          <w:tcPr>
            <w:tcW w:w="1150" w:type="dxa"/>
          </w:tcPr>
          <w:p>
            <w:pPr>
              <w:pStyle w:val="19"/>
              <w:rPr>
                <w:rFonts w:ascii="Times New Roman"/>
                <w:sz w:val="24"/>
              </w:rPr>
            </w:pPr>
          </w:p>
        </w:tc>
        <w:tc>
          <w:tcPr>
            <w:tcW w:w="1516" w:type="dxa"/>
          </w:tcPr>
          <w:p>
            <w:pPr>
              <w:pStyle w:val="19"/>
              <w:rPr>
                <w:rFonts w:ascii="Times New Roman"/>
                <w:sz w:val="24"/>
              </w:rPr>
            </w:pPr>
          </w:p>
        </w:tc>
        <w:tc>
          <w:tcPr>
            <w:tcW w:w="2191" w:type="dxa"/>
          </w:tcPr>
          <w:p>
            <w:pPr>
              <w:pStyle w:val="19"/>
              <w:rPr>
                <w:rFonts w:ascii="Times New Roman"/>
                <w:sz w:val="24"/>
              </w:rPr>
            </w:pPr>
          </w:p>
        </w:tc>
      </w:tr>
    </w:tbl>
    <w:p>
      <w:pPr>
        <w:pStyle w:val="5"/>
        <w:spacing w:before="4"/>
        <w:ind w:left="1020"/>
      </w:pPr>
      <w:r>
        <w:t>注：1、如投标人中标，技术服务人员必须按本表承诺人员实施，不得擅自更换；</w:t>
      </w:r>
    </w:p>
    <w:p>
      <w:pPr>
        <w:pStyle w:val="5"/>
      </w:pPr>
    </w:p>
    <w:p>
      <w:pPr>
        <w:pStyle w:val="5"/>
        <w:spacing w:before="8"/>
      </w:pPr>
    </w:p>
    <w:p>
      <w:pPr>
        <w:pStyle w:val="5"/>
        <w:ind w:left="1020"/>
      </w:pPr>
      <w:r>
        <w:t>单位公章：法定代表人或授权代表（签字或盖章</w:t>
      </w:r>
      <w:r>
        <w:rPr>
          <w:spacing w:val="-120"/>
        </w:rPr>
        <w:t>）</w:t>
      </w:r>
      <w:r>
        <w:t>：</w:t>
      </w:r>
    </w:p>
    <w:p>
      <w:pPr>
        <w:sectPr>
          <w:pgSz w:w="11910" w:h="16840"/>
          <w:pgMar w:top="1380" w:right="619" w:bottom="1180" w:left="780" w:header="852" w:footer="993" w:gutter="0"/>
          <w:cols w:space="720" w:num="1"/>
        </w:sectPr>
      </w:pPr>
    </w:p>
    <w:p>
      <w:pPr>
        <w:pStyle w:val="5"/>
        <w:rPr>
          <w:sz w:val="20"/>
        </w:rPr>
      </w:pPr>
    </w:p>
    <w:p>
      <w:pPr>
        <w:pStyle w:val="5"/>
        <w:spacing w:before="1"/>
        <w:rPr>
          <w:sz w:val="16"/>
        </w:rPr>
      </w:pPr>
    </w:p>
    <w:p>
      <w:pPr>
        <w:pStyle w:val="17"/>
        <w:spacing w:before="62"/>
      </w:pPr>
      <w:bookmarkStart w:id="149" w:name="_bookmark23"/>
      <w:bookmarkEnd w:id="149"/>
      <w:r>
        <w:t>附件九 技术规格偏离表</w:t>
      </w:r>
    </w:p>
    <w:p>
      <w:pPr>
        <w:pStyle w:val="5"/>
        <w:rPr>
          <w:sz w:val="20"/>
        </w:rPr>
      </w:pPr>
    </w:p>
    <w:p>
      <w:pPr>
        <w:pStyle w:val="5"/>
        <w:spacing w:before="9"/>
        <w:rPr>
          <w:sz w:val="27"/>
        </w:rPr>
      </w:pPr>
    </w:p>
    <w:tbl>
      <w:tblPr>
        <w:tblStyle w:val="13"/>
        <w:tblW w:w="7807" w:type="dxa"/>
        <w:tblInd w:w="12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1278"/>
        <w:gridCol w:w="1653"/>
        <w:gridCol w:w="1559"/>
        <w:gridCol w:w="1134"/>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2" w:hRule="atLeast"/>
        </w:trPr>
        <w:tc>
          <w:tcPr>
            <w:tcW w:w="920" w:type="dxa"/>
          </w:tcPr>
          <w:p>
            <w:pPr>
              <w:pStyle w:val="19"/>
              <w:spacing w:before="6"/>
              <w:rPr>
                <w:sz w:val="18"/>
              </w:rPr>
            </w:pPr>
          </w:p>
          <w:p>
            <w:pPr>
              <w:pStyle w:val="19"/>
              <w:ind w:left="228" w:right="221"/>
              <w:jc w:val="center"/>
              <w:rPr>
                <w:sz w:val="21"/>
              </w:rPr>
            </w:pPr>
            <w:r>
              <w:rPr>
                <w:sz w:val="21"/>
              </w:rPr>
              <w:t>序号</w:t>
            </w:r>
          </w:p>
        </w:tc>
        <w:tc>
          <w:tcPr>
            <w:tcW w:w="1278" w:type="dxa"/>
          </w:tcPr>
          <w:p>
            <w:pPr>
              <w:pStyle w:val="19"/>
              <w:spacing w:before="6"/>
              <w:rPr>
                <w:sz w:val="18"/>
              </w:rPr>
            </w:pPr>
          </w:p>
          <w:p>
            <w:pPr>
              <w:pStyle w:val="19"/>
              <w:ind w:left="217"/>
              <w:rPr>
                <w:sz w:val="21"/>
              </w:rPr>
            </w:pPr>
            <w:r>
              <w:rPr>
                <w:sz w:val="21"/>
              </w:rPr>
              <w:t>项目名称</w:t>
            </w:r>
          </w:p>
        </w:tc>
        <w:tc>
          <w:tcPr>
            <w:tcW w:w="1653" w:type="dxa"/>
          </w:tcPr>
          <w:p>
            <w:pPr>
              <w:pStyle w:val="19"/>
              <w:spacing w:before="6"/>
              <w:rPr>
                <w:sz w:val="18"/>
              </w:rPr>
            </w:pPr>
          </w:p>
          <w:p>
            <w:pPr>
              <w:pStyle w:val="19"/>
              <w:ind w:left="195"/>
              <w:rPr>
                <w:sz w:val="21"/>
              </w:rPr>
            </w:pPr>
            <w:r>
              <w:rPr>
                <w:sz w:val="21"/>
              </w:rPr>
              <w:t>招标技术参数</w:t>
            </w:r>
          </w:p>
        </w:tc>
        <w:tc>
          <w:tcPr>
            <w:tcW w:w="1559" w:type="dxa"/>
          </w:tcPr>
          <w:p>
            <w:pPr>
              <w:pStyle w:val="19"/>
              <w:spacing w:before="6"/>
              <w:rPr>
                <w:sz w:val="18"/>
              </w:rPr>
            </w:pPr>
          </w:p>
          <w:p>
            <w:pPr>
              <w:pStyle w:val="19"/>
              <w:ind w:left="147"/>
              <w:rPr>
                <w:sz w:val="21"/>
              </w:rPr>
            </w:pPr>
            <w:r>
              <w:rPr>
                <w:sz w:val="21"/>
              </w:rPr>
              <w:t>投标技术参数</w:t>
            </w:r>
          </w:p>
        </w:tc>
        <w:tc>
          <w:tcPr>
            <w:tcW w:w="1134" w:type="dxa"/>
          </w:tcPr>
          <w:p>
            <w:pPr>
              <w:pStyle w:val="19"/>
              <w:spacing w:before="6"/>
              <w:rPr>
                <w:sz w:val="18"/>
              </w:rPr>
            </w:pPr>
          </w:p>
          <w:p>
            <w:pPr>
              <w:pStyle w:val="19"/>
              <w:ind w:left="146"/>
              <w:rPr>
                <w:sz w:val="21"/>
              </w:rPr>
            </w:pPr>
            <w:r>
              <w:rPr>
                <w:sz w:val="21"/>
              </w:rPr>
              <w:t>偏离情况</w:t>
            </w:r>
          </w:p>
        </w:tc>
        <w:tc>
          <w:tcPr>
            <w:tcW w:w="1263" w:type="dxa"/>
          </w:tcPr>
          <w:p>
            <w:pPr>
              <w:pStyle w:val="19"/>
              <w:spacing w:before="6"/>
              <w:rPr>
                <w:sz w:val="18"/>
              </w:rPr>
            </w:pPr>
          </w:p>
          <w:p>
            <w:pPr>
              <w:pStyle w:val="19"/>
              <w:ind w:left="421"/>
              <w:rPr>
                <w:sz w:val="21"/>
              </w:rPr>
            </w:pPr>
            <w:r>
              <w:rPr>
                <w:sz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0" w:hRule="atLeast"/>
        </w:trPr>
        <w:tc>
          <w:tcPr>
            <w:tcW w:w="920" w:type="dxa"/>
          </w:tcPr>
          <w:p>
            <w:pPr>
              <w:pStyle w:val="19"/>
              <w:rPr>
                <w:rFonts w:ascii="Times New Roman"/>
                <w:sz w:val="24"/>
              </w:rPr>
            </w:pPr>
          </w:p>
        </w:tc>
        <w:tc>
          <w:tcPr>
            <w:tcW w:w="1278" w:type="dxa"/>
          </w:tcPr>
          <w:p>
            <w:pPr>
              <w:pStyle w:val="19"/>
              <w:rPr>
                <w:rFonts w:ascii="Times New Roman"/>
                <w:sz w:val="24"/>
              </w:rPr>
            </w:pPr>
          </w:p>
        </w:tc>
        <w:tc>
          <w:tcPr>
            <w:tcW w:w="1653" w:type="dxa"/>
          </w:tcPr>
          <w:p>
            <w:pPr>
              <w:pStyle w:val="19"/>
              <w:rPr>
                <w:rFonts w:ascii="Times New Roman"/>
                <w:sz w:val="24"/>
              </w:rPr>
            </w:pPr>
          </w:p>
        </w:tc>
        <w:tc>
          <w:tcPr>
            <w:tcW w:w="1559" w:type="dxa"/>
          </w:tcPr>
          <w:p>
            <w:pPr>
              <w:pStyle w:val="19"/>
              <w:rPr>
                <w:rFonts w:ascii="Times New Roman"/>
                <w:sz w:val="24"/>
              </w:rPr>
            </w:pPr>
          </w:p>
        </w:tc>
        <w:tc>
          <w:tcPr>
            <w:tcW w:w="1134" w:type="dxa"/>
          </w:tcPr>
          <w:p>
            <w:pPr>
              <w:pStyle w:val="19"/>
              <w:rPr>
                <w:rFonts w:ascii="Times New Roman"/>
                <w:sz w:val="24"/>
              </w:rPr>
            </w:pPr>
          </w:p>
        </w:tc>
        <w:tc>
          <w:tcPr>
            <w:tcW w:w="1263"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4" w:hRule="atLeast"/>
        </w:trPr>
        <w:tc>
          <w:tcPr>
            <w:tcW w:w="920" w:type="dxa"/>
          </w:tcPr>
          <w:p>
            <w:pPr>
              <w:pStyle w:val="19"/>
              <w:rPr>
                <w:rFonts w:ascii="Times New Roman"/>
                <w:sz w:val="24"/>
              </w:rPr>
            </w:pPr>
          </w:p>
        </w:tc>
        <w:tc>
          <w:tcPr>
            <w:tcW w:w="1278" w:type="dxa"/>
          </w:tcPr>
          <w:p>
            <w:pPr>
              <w:pStyle w:val="19"/>
              <w:rPr>
                <w:rFonts w:ascii="Times New Roman"/>
                <w:sz w:val="24"/>
              </w:rPr>
            </w:pPr>
          </w:p>
        </w:tc>
        <w:tc>
          <w:tcPr>
            <w:tcW w:w="1653" w:type="dxa"/>
          </w:tcPr>
          <w:p>
            <w:pPr>
              <w:pStyle w:val="19"/>
              <w:rPr>
                <w:rFonts w:ascii="Times New Roman"/>
                <w:sz w:val="24"/>
              </w:rPr>
            </w:pPr>
          </w:p>
        </w:tc>
        <w:tc>
          <w:tcPr>
            <w:tcW w:w="1559" w:type="dxa"/>
          </w:tcPr>
          <w:p>
            <w:pPr>
              <w:pStyle w:val="19"/>
              <w:rPr>
                <w:rFonts w:ascii="Times New Roman"/>
                <w:sz w:val="24"/>
              </w:rPr>
            </w:pPr>
          </w:p>
        </w:tc>
        <w:tc>
          <w:tcPr>
            <w:tcW w:w="1134" w:type="dxa"/>
          </w:tcPr>
          <w:p>
            <w:pPr>
              <w:pStyle w:val="19"/>
              <w:rPr>
                <w:rFonts w:ascii="Times New Roman"/>
                <w:sz w:val="24"/>
              </w:rPr>
            </w:pPr>
          </w:p>
        </w:tc>
        <w:tc>
          <w:tcPr>
            <w:tcW w:w="1263"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1" w:hRule="atLeast"/>
        </w:trPr>
        <w:tc>
          <w:tcPr>
            <w:tcW w:w="920" w:type="dxa"/>
          </w:tcPr>
          <w:p>
            <w:pPr>
              <w:pStyle w:val="19"/>
              <w:rPr>
                <w:rFonts w:ascii="Times New Roman"/>
                <w:sz w:val="24"/>
              </w:rPr>
            </w:pPr>
          </w:p>
        </w:tc>
        <w:tc>
          <w:tcPr>
            <w:tcW w:w="1278" w:type="dxa"/>
          </w:tcPr>
          <w:p>
            <w:pPr>
              <w:pStyle w:val="19"/>
              <w:rPr>
                <w:rFonts w:ascii="Times New Roman"/>
                <w:sz w:val="24"/>
              </w:rPr>
            </w:pPr>
          </w:p>
        </w:tc>
        <w:tc>
          <w:tcPr>
            <w:tcW w:w="1653" w:type="dxa"/>
          </w:tcPr>
          <w:p>
            <w:pPr>
              <w:pStyle w:val="19"/>
              <w:rPr>
                <w:rFonts w:ascii="Times New Roman"/>
                <w:sz w:val="24"/>
              </w:rPr>
            </w:pPr>
          </w:p>
        </w:tc>
        <w:tc>
          <w:tcPr>
            <w:tcW w:w="1559" w:type="dxa"/>
          </w:tcPr>
          <w:p>
            <w:pPr>
              <w:pStyle w:val="19"/>
              <w:rPr>
                <w:rFonts w:ascii="Times New Roman"/>
                <w:sz w:val="24"/>
              </w:rPr>
            </w:pPr>
          </w:p>
        </w:tc>
        <w:tc>
          <w:tcPr>
            <w:tcW w:w="1134" w:type="dxa"/>
          </w:tcPr>
          <w:p>
            <w:pPr>
              <w:pStyle w:val="19"/>
              <w:rPr>
                <w:rFonts w:ascii="Times New Roman"/>
                <w:sz w:val="24"/>
              </w:rPr>
            </w:pPr>
          </w:p>
        </w:tc>
        <w:tc>
          <w:tcPr>
            <w:tcW w:w="1263"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920" w:type="dxa"/>
          </w:tcPr>
          <w:p>
            <w:pPr>
              <w:pStyle w:val="19"/>
              <w:spacing w:before="106"/>
              <w:ind w:left="228" w:right="221"/>
              <w:jc w:val="center"/>
              <w:rPr>
                <w:sz w:val="21"/>
              </w:rPr>
            </w:pPr>
            <w:r>
              <w:rPr>
                <w:sz w:val="21"/>
              </w:rPr>
              <w:t>……</w:t>
            </w:r>
          </w:p>
        </w:tc>
        <w:tc>
          <w:tcPr>
            <w:tcW w:w="1278" w:type="dxa"/>
          </w:tcPr>
          <w:p>
            <w:pPr>
              <w:pStyle w:val="19"/>
              <w:rPr>
                <w:rFonts w:ascii="Times New Roman"/>
                <w:sz w:val="24"/>
              </w:rPr>
            </w:pPr>
          </w:p>
        </w:tc>
        <w:tc>
          <w:tcPr>
            <w:tcW w:w="1653" w:type="dxa"/>
          </w:tcPr>
          <w:p>
            <w:pPr>
              <w:pStyle w:val="19"/>
              <w:rPr>
                <w:rFonts w:ascii="Times New Roman"/>
                <w:sz w:val="24"/>
              </w:rPr>
            </w:pPr>
          </w:p>
        </w:tc>
        <w:tc>
          <w:tcPr>
            <w:tcW w:w="1559" w:type="dxa"/>
          </w:tcPr>
          <w:p>
            <w:pPr>
              <w:pStyle w:val="19"/>
              <w:rPr>
                <w:rFonts w:ascii="Times New Roman"/>
                <w:sz w:val="24"/>
              </w:rPr>
            </w:pPr>
          </w:p>
        </w:tc>
        <w:tc>
          <w:tcPr>
            <w:tcW w:w="1134" w:type="dxa"/>
          </w:tcPr>
          <w:p>
            <w:pPr>
              <w:pStyle w:val="19"/>
              <w:rPr>
                <w:rFonts w:ascii="Times New Roman"/>
                <w:sz w:val="24"/>
              </w:rPr>
            </w:pPr>
          </w:p>
        </w:tc>
        <w:tc>
          <w:tcPr>
            <w:tcW w:w="1263"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5" w:hRule="atLeast"/>
        </w:trPr>
        <w:tc>
          <w:tcPr>
            <w:tcW w:w="920" w:type="dxa"/>
          </w:tcPr>
          <w:p>
            <w:pPr>
              <w:pStyle w:val="19"/>
              <w:rPr>
                <w:rFonts w:ascii="Times New Roman"/>
                <w:sz w:val="24"/>
              </w:rPr>
            </w:pPr>
          </w:p>
        </w:tc>
        <w:tc>
          <w:tcPr>
            <w:tcW w:w="1278" w:type="dxa"/>
          </w:tcPr>
          <w:p>
            <w:pPr>
              <w:pStyle w:val="19"/>
              <w:rPr>
                <w:rFonts w:ascii="Times New Roman"/>
                <w:sz w:val="24"/>
              </w:rPr>
            </w:pPr>
          </w:p>
        </w:tc>
        <w:tc>
          <w:tcPr>
            <w:tcW w:w="1653" w:type="dxa"/>
          </w:tcPr>
          <w:p>
            <w:pPr>
              <w:pStyle w:val="19"/>
              <w:rPr>
                <w:rFonts w:ascii="Times New Roman"/>
                <w:sz w:val="24"/>
              </w:rPr>
            </w:pPr>
          </w:p>
        </w:tc>
        <w:tc>
          <w:tcPr>
            <w:tcW w:w="1559" w:type="dxa"/>
          </w:tcPr>
          <w:p>
            <w:pPr>
              <w:pStyle w:val="19"/>
              <w:rPr>
                <w:rFonts w:ascii="Times New Roman"/>
                <w:sz w:val="24"/>
              </w:rPr>
            </w:pPr>
          </w:p>
        </w:tc>
        <w:tc>
          <w:tcPr>
            <w:tcW w:w="1134" w:type="dxa"/>
          </w:tcPr>
          <w:p>
            <w:pPr>
              <w:pStyle w:val="19"/>
              <w:rPr>
                <w:rFonts w:ascii="Times New Roman"/>
                <w:sz w:val="24"/>
              </w:rPr>
            </w:pPr>
          </w:p>
        </w:tc>
        <w:tc>
          <w:tcPr>
            <w:tcW w:w="1263" w:type="dxa"/>
          </w:tcPr>
          <w:p>
            <w:pPr>
              <w:pStyle w:val="19"/>
              <w:rPr>
                <w:rFonts w:ascii="Times New Roman"/>
                <w:sz w:val="24"/>
              </w:rPr>
            </w:pPr>
          </w:p>
        </w:tc>
      </w:tr>
    </w:tbl>
    <w:p>
      <w:pPr>
        <w:pStyle w:val="5"/>
        <w:spacing w:before="1" w:line="364" w:lineRule="auto"/>
        <w:ind w:left="1020" w:right="1178" w:firstLine="480"/>
        <w:jc w:val="both"/>
      </w:pPr>
      <w:r>
        <w:rPr>
          <w:spacing w:val="-9"/>
        </w:rPr>
        <w:t>注：凡投标文件中技术条款</w:t>
      </w:r>
      <w:r>
        <w:t>（包括技术要求以及其它所有技术内容</w:t>
      </w:r>
      <w:r>
        <w:rPr>
          <w:spacing w:val="-34"/>
        </w:rPr>
        <w:t>）</w:t>
      </w:r>
      <w:r>
        <w:rPr>
          <w:spacing w:val="-5"/>
        </w:rPr>
        <w:t>与招标</w:t>
      </w:r>
      <w:r>
        <w:rPr>
          <w:spacing w:val="-7"/>
        </w:rPr>
        <w:t>文件有偏差的，均应在此表中列出</w:t>
      </w:r>
      <w:r>
        <w:t>（</w:t>
      </w:r>
      <w:r>
        <w:rPr>
          <w:spacing w:val="-3"/>
        </w:rPr>
        <w:t>内容较多的可以标注见投标文件第几页，偏</w:t>
      </w:r>
      <w:r>
        <w:t>差包括正偏差和负偏差</w:t>
      </w:r>
      <w:r>
        <w:rPr>
          <w:spacing w:val="-120"/>
        </w:rPr>
        <w:t>）</w:t>
      </w:r>
      <w:r>
        <w:t>，未在此表中列出的视同完全满足招标文件要求。</w:t>
      </w:r>
    </w:p>
    <w:p>
      <w:pPr>
        <w:pStyle w:val="5"/>
      </w:pPr>
    </w:p>
    <w:p>
      <w:pPr>
        <w:pStyle w:val="5"/>
        <w:spacing w:before="7"/>
      </w:pPr>
    </w:p>
    <w:p>
      <w:pPr>
        <w:pStyle w:val="17"/>
      </w:pPr>
      <w:r>
        <w:rPr>
          <w:spacing w:val="-3"/>
        </w:rPr>
        <w:t>单位公章：法定代表人或授权代表</w:t>
      </w:r>
      <w:r>
        <w:rPr>
          <w:spacing w:val="-1"/>
        </w:rPr>
        <w:t>（</w:t>
      </w:r>
      <w:r>
        <w:rPr>
          <w:spacing w:val="-3"/>
        </w:rPr>
        <w:t>签字或盖章</w:t>
      </w:r>
      <w:r>
        <w:rPr>
          <w:spacing w:val="-142"/>
        </w:rPr>
        <w:t>）</w:t>
      </w:r>
      <w:r>
        <w:t>：</w:t>
      </w:r>
    </w:p>
    <w:p>
      <w:pPr>
        <w:sectPr>
          <w:pgSz w:w="11910" w:h="16840"/>
          <w:pgMar w:top="1380" w:right="619" w:bottom="1180" w:left="780" w:header="852" w:footer="993" w:gutter="0"/>
          <w:cols w:space="720" w:num="1"/>
        </w:sectPr>
      </w:pPr>
    </w:p>
    <w:p>
      <w:pPr>
        <w:pStyle w:val="5"/>
        <w:rPr>
          <w:sz w:val="20"/>
        </w:rPr>
      </w:pPr>
    </w:p>
    <w:p>
      <w:pPr>
        <w:spacing w:before="228"/>
        <w:ind w:left="1020"/>
        <w:rPr>
          <w:sz w:val="28"/>
        </w:rPr>
      </w:pPr>
      <w:bookmarkStart w:id="150" w:name="_bookmark24"/>
      <w:bookmarkEnd w:id="150"/>
      <w:r>
        <w:rPr>
          <w:sz w:val="30"/>
        </w:rPr>
        <w:t xml:space="preserve">附件十 </w:t>
      </w:r>
      <w:r>
        <w:rPr>
          <w:sz w:val="28"/>
        </w:rPr>
        <w:t>商务条款偏离表</w:t>
      </w:r>
    </w:p>
    <w:p>
      <w:pPr>
        <w:pStyle w:val="5"/>
        <w:rPr>
          <w:sz w:val="20"/>
        </w:rPr>
      </w:pPr>
    </w:p>
    <w:p>
      <w:pPr>
        <w:pStyle w:val="5"/>
        <w:rPr>
          <w:sz w:val="20"/>
        </w:rPr>
      </w:pPr>
    </w:p>
    <w:p>
      <w:pPr>
        <w:pStyle w:val="5"/>
        <w:spacing w:before="11"/>
        <w:rPr>
          <w:sz w:val="17"/>
        </w:rPr>
      </w:pPr>
    </w:p>
    <w:tbl>
      <w:tblPr>
        <w:tblStyle w:val="13"/>
        <w:tblW w:w="7807" w:type="dxa"/>
        <w:tblInd w:w="12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1278"/>
        <w:gridCol w:w="1653"/>
        <w:gridCol w:w="1559"/>
        <w:gridCol w:w="1134"/>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2" w:hRule="atLeast"/>
        </w:trPr>
        <w:tc>
          <w:tcPr>
            <w:tcW w:w="920" w:type="dxa"/>
          </w:tcPr>
          <w:p>
            <w:pPr>
              <w:pStyle w:val="19"/>
              <w:spacing w:before="5"/>
              <w:rPr>
                <w:sz w:val="18"/>
              </w:rPr>
            </w:pPr>
          </w:p>
          <w:p>
            <w:pPr>
              <w:pStyle w:val="19"/>
              <w:ind w:left="228" w:right="221"/>
              <w:jc w:val="center"/>
              <w:rPr>
                <w:sz w:val="21"/>
              </w:rPr>
            </w:pPr>
            <w:r>
              <w:rPr>
                <w:sz w:val="21"/>
              </w:rPr>
              <w:t>序号</w:t>
            </w:r>
          </w:p>
        </w:tc>
        <w:tc>
          <w:tcPr>
            <w:tcW w:w="1278" w:type="dxa"/>
          </w:tcPr>
          <w:p>
            <w:pPr>
              <w:pStyle w:val="19"/>
              <w:spacing w:before="5"/>
              <w:rPr>
                <w:sz w:val="18"/>
              </w:rPr>
            </w:pPr>
          </w:p>
          <w:p>
            <w:pPr>
              <w:pStyle w:val="19"/>
              <w:ind w:left="217"/>
              <w:rPr>
                <w:sz w:val="21"/>
              </w:rPr>
            </w:pPr>
            <w:r>
              <w:rPr>
                <w:sz w:val="21"/>
              </w:rPr>
              <w:t>项目名称</w:t>
            </w:r>
          </w:p>
        </w:tc>
        <w:tc>
          <w:tcPr>
            <w:tcW w:w="1653" w:type="dxa"/>
          </w:tcPr>
          <w:p>
            <w:pPr>
              <w:pStyle w:val="19"/>
              <w:spacing w:before="5"/>
              <w:rPr>
                <w:sz w:val="18"/>
              </w:rPr>
            </w:pPr>
          </w:p>
          <w:p>
            <w:pPr>
              <w:pStyle w:val="19"/>
              <w:ind w:left="195"/>
              <w:rPr>
                <w:sz w:val="21"/>
              </w:rPr>
            </w:pPr>
            <w:r>
              <w:rPr>
                <w:sz w:val="21"/>
              </w:rPr>
              <w:t>招标商务参数</w:t>
            </w:r>
          </w:p>
        </w:tc>
        <w:tc>
          <w:tcPr>
            <w:tcW w:w="1559" w:type="dxa"/>
          </w:tcPr>
          <w:p>
            <w:pPr>
              <w:pStyle w:val="19"/>
              <w:spacing w:before="5"/>
              <w:rPr>
                <w:sz w:val="18"/>
              </w:rPr>
            </w:pPr>
          </w:p>
          <w:p>
            <w:pPr>
              <w:pStyle w:val="19"/>
              <w:ind w:left="147"/>
              <w:rPr>
                <w:sz w:val="21"/>
              </w:rPr>
            </w:pPr>
            <w:r>
              <w:rPr>
                <w:sz w:val="21"/>
              </w:rPr>
              <w:t>投标商务参数</w:t>
            </w:r>
          </w:p>
        </w:tc>
        <w:tc>
          <w:tcPr>
            <w:tcW w:w="1134" w:type="dxa"/>
          </w:tcPr>
          <w:p>
            <w:pPr>
              <w:pStyle w:val="19"/>
              <w:spacing w:before="5"/>
              <w:rPr>
                <w:sz w:val="18"/>
              </w:rPr>
            </w:pPr>
          </w:p>
          <w:p>
            <w:pPr>
              <w:pStyle w:val="19"/>
              <w:ind w:left="146"/>
              <w:rPr>
                <w:sz w:val="21"/>
              </w:rPr>
            </w:pPr>
            <w:r>
              <w:rPr>
                <w:sz w:val="21"/>
              </w:rPr>
              <w:t>偏离情况</w:t>
            </w:r>
          </w:p>
        </w:tc>
        <w:tc>
          <w:tcPr>
            <w:tcW w:w="1263" w:type="dxa"/>
          </w:tcPr>
          <w:p>
            <w:pPr>
              <w:pStyle w:val="19"/>
              <w:spacing w:before="5"/>
              <w:rPr>
                <w:sz w:val="18"/>
              </w:rPr>
            </w:pPr>
          </w:p>
          <w:p>
            <w:pPr>
              <w:pStyle w:val="19"/>
              <w:ind w:left="421"/>
              <w:rPr>
                <w:sz w:val="21"/>
              </w:rPr>
            </w:pPr>
            <w:r>
              <w:rPr>
                <w:sz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0" w:hRule="atLeast"/>
        </w:trPr>
        <w:tc>
          <w:tcPr>
            <w:tcW w:w="920" w:type="dxa"/>
          </w:tcPr>
          <w:p>
            <w:pPr>
              <w:pStyle w:val="19"/>
              <w:rPr>
                <w:rFonts w:ascii="Times New Roman"/>
                <w:sz w:val="24"/>
              </w:rPr>
            </w:pPr>
          </w:p>
        </w:tc>
        <w:tc>
          <w:tcPr>
            <w:tcW w:w="1278" w:type="dxa"/>
          </w:tcPr>
          <w:p>
            <w:pPr>
              <w:pStyle w:val="19"/>
              <w:rPr>
                <w:rFonts w:ascii="Times New Roman"/>
                <w:sz w:val="24"/>
              </w:rPr>
            </w:pPr>
          </w:p>
        </w:tc>
        <w:tc>
          <w:tcPr>
            <w:tcW w:w="1653" w:type="dxa"/>
          </w:tcPr>
          <w:p>
            <w:pPr>
              <w:pStyle w:val="19"/>
              <w:rPr>
                <w:rFonts w:ascii="Times New Roman"/>
                <w:sz w:val="24"/>
              </w:rPr>
            </w:pPr>
          </w:p>
        </w:tc>
        <w:tc>
          <w:tcPr>
            <w:tcW w:w="1559" w:type="dxa"/>
          </w:tcPr>
          <w:p>
            <w:pPr>
              <w:pStyle w:val="19"/>
              <w:rPr>
                <w:rFonts w:ascii="Times New Roman"/>
                <w:sz w:val="24"/>
              </w:rPr>
            </w:pPr>
          </w:p>
        </w:tc>
        <w:tc>
          <w:tcPr>
            <w:tcW w:w="1134" w:type="dxa"/>
          </w:tcPr>
          <w:p>
            <w:pPr>
              <w:pStyle w:val="19"/>
              <w:rPr>
                <w:rFonts w:ascii="Times New Roman"/>
                <w:sz w:val="24"/>
              </w:rPr>
            </w:pPr>
          </w:p>
        </w:tc>
        <w:tc>
          <w:tcPr>
            <w:tcW w:w="1263"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4" w:hRule="atLeast"/>
        </w:trPr>
        <w:tc>
          <w:tcPr>
            <w:tcW w:w="920" w:type="dxa"/>
          </w:tcPr>
          <w:p>
            <w:pPr>
              <w:pStyle w:val="19"/>
              <w:rPr>
                <w:rFonts w:ascii="Times New Roman"/>
                <w:sz w:val="24"/>
              </w:rPr>
            </w:pPr>
          </w:p>
        </w:tc>
        <w:tc>
          <w:tcPr>
            <w:tcW w:w="1278" w:type="dxa"/>
          </w:tcPr>
          <w:p>
            <w:pPr>
              <w:pStyle w:val="19"/>
              <w:rPr>
                <w:rFonts w:ascii="Times New Roman"/>
                <w:sz w:val="24"/>
              </w:rPr>
            </w:pPr>
          </w:p>
        </w:tc>
        <w:tc>
          <w:tcPr>
            <w:tcW w:w="1653" w:type="dxa"/>
          </w:tcPr>
          <w:p>
            <w:pPr>
              <w:pStyle w:val="19"/>
              <w:rPr>
                <w:rFonts w:ascii="Times New Roman"/>
                <w:sz w:val="24"/>
              </w:rPr>
            </w:pPr>
          </w:p>
        </w:tc>
        <w:tc>
          <w:tcPr>
            <w:tcW w:w="1559" w:type="dxa"/>
          </w:tcPr>
          <w:p>
            <w:pPr>
              <w:pStyle w:val="19"/>
              <w:rPr>
                <w:rFonts w:ascii="Times New Roman"/>
                <w:sz w:val="24"/>
              </w:rPr>
            </w:pPr>
          </w:p>
        </w:tc>
        <w:tc>
          <w:tcPr>
            <w:tcW w:w="1134" w:type="dxa"/>
          </w:tcPr>
          <w:p>
            <w:pPr>
              <w:pStyle w:val="19"/>
              <w:rPr>
                <w:rFonts w:ascii="Times New Roman"/>
                <w:sz w:val="24"/>
              </w:rPr>
            </w:pPr>
          </w:p>
        </w:tc>
        <w:tc>
          <w:tcPr>
            <w:tcW w:w="1263"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trPr>
        <w:tc>
          <w:tcPr>
            <w:tcW w:w="920" w:type="dxa"/>
          </w:tcPr>
          <w:p>
            <w:pPr>
              <w:pStyle w:val="19"/>
              <w:rPr>
                <w:rFonts w:ascii="Times New Roman"/>
                <w:sz w:val="24"/>
              </w:rPr>
            </w:pPr>
          </w:p>
        </w:tc>
        <w:tc>
          <w:tcPr>
            <w:tcW w:w="1278" w:type="dxa"/>
          </w:tcPr>
          <w:p>
            <w:pPr>
              <w:pStyle w:val="19"/>
              <w:rPr>
                <w:rFonts w:ascii="Times New Roman"/>
                <w:sz w:val="24"/>
              </w:rPr>
            </w:pPr>
          </w:p>
        </w:tc>
        <w:tc>
          <w:tcPr>
            <w:tcW w:w="1653" w:type="dxa"/>
          </w:tcPr>
          <w:p>
            <w:pPr>
              <w:pStyle w:val="19"/>
              <w:rPr>
                <w:rFonts w:ascii="Times New Roman"/>
                <w:sz w:val="24"/>
              </w:rPr>
            </w:pPr>
          </w:p>
        </w:tc>
        <w:tc>
          <w:tcPr>
            <w:tcW w:w="1559" w:type="dxa"/>
          </w:tcPr>
          <w:p>
            <w:pPr>
              <w:pStyle w:val="19"/>
              <w:rPr>
                <w:rFonts w:ascii="Times New Roman"/>
                <w:sz w:val="24"/>
              </w:rPr>
            </w:pPr>
          </w:p>
        </w:tc>
        <w:tc>
          <w:tcPr>
            <w:tcW w:w="1134" w:type="dxa"/>
          </w:tcPr>
          <w:p>
            <w:pPr>
              <w:pStyle w:val="19"/>
              <w:rPr>
                <w:rFonts w:ascii="Times New Roman"/>
                <w:sz w:val="24"/>
              </w:rPr>
            </w:pPr>
          </w:p>
        </w:tc>
        <w:tc>
          <w:tcPr>
            <w:tcW w:w="1263"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920" w:type="dxa"/>
          </w:tcPr>
          <w:p>
            <w:pPr>
              <w:pStyle w:val="19"/>
              <w:spacing w:before="108"/>
              <w:ind w:left="228" w:right="221"/>
              <w:jc w:val="center"/>
              <w:rPr>
                <w:sz w:val="21"/>
              </w:rPr>
            </w:pPr>
            <w:r>
              <w:rPr>
                <w:sz w:val="21"/>
              </w:rPr>
              <w:t>……</w:t>
            </w:r>
          </w:p>
        </w:tc>
        <w:tc>
          <w:tcPr>
            <w:tcW w:w="1278" w:type="dxa"/>
          </w:tcPr>
          <w:p>
            <w:pPr>
              <w:pStyle w:val="19"/>
              <w:rPr>
                <w:rFonts w:ascii="Times New Roman"/>
                <w:sz w:val="24"/>
              </w:rPr>
            </w:pPr>
          </w:p>
        </w:tc>
        <w:tc>
          <w:tcPr>
            <w:tcW w:w="1653" w:type="dxa"/>
          </w:tcPr>
          <w:p>
            <w:pPr>
              <w:pStyle w:val="19"/>
              <w:rPr>
                <w:rFonts w:ascii="Times New Roman"/>
                <w:sz w:val="24"/>
              </w:rPr>
            </w:pPr>
          </w:p>
        </w:tc>
        <w:tc>
          <w:tcPr>
            <w:tcW w:w="1559" w:type="dxa"/>
          </w:tcPr>
          <w:p>
            <w:pPr>
              <w:pStyle w:val="19"/>
              <w:rPr>
                <w:rFonts w:ascii="Times New Roman"/>
                <w:sz w:val="24"/>
              </w:rPr>
            </w:pPr>
          </w:p>
        </w:tc>
        <w:tc>
          <w:tcPr>
            <w:tcW w:w="1134" w:type="dxa"/>
          </w:tcPr>
          <w:p>
            <w:pPr>
              <w:pStyle w:val="19"/>
              <w:rPr>
                <w:rFonts w:ascii="Times New Roman"/>
                <w:sz w:val="24"/>
              </w:rPr>
            </w:pPr>
          </w:p>
        </w:tc>
        <w:tc>
          <w:tcPr>
            <w:tcW w:w="1263"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trPr>
        <w:tc>
          <w:tcPr>
            <w:tcW w:w="920" w:type="dxa"/>
          </w:tcPr>
          <w:p>
            <w:pPr>
              <w:pStyle w:val="19"/>
              <w:rPr>
                <w:rFonts w:ascii="Times New Roman"/>
                <w:sz w:val="24"/>
              </w:rPr>
            </w:pPr>
          </w:p>
        </w:tc>
        <w:tc>
          <w:tcPr>
            <w:tcW w:w="1278" w:type="dxa"/>
          </w:tcPr>
          <w:p>
            <w:pPr>
              <w:pStyle w:val="19"/>
              <w:rPr>
                <w:rFonts w:ascii="Times New Roman"/>
                <w:sz w:val="24"/>
              </w:rPr>
            </w:pPr>
          </w:p>
        </w:tc>
        <w:tc>
          <w:tcPr>
            <w:tcW w:w="1653" w:type="dxa"/>
          </w:tcPr>
          <w:p>
            <w:pPr>
              <w:pStyle w:val="19"/>
              <w:rPr>
                <w:rFonts w:ascii="Times New Roman"/>
                <w:sz w:val="24"/>
              </w:rPr>
            </w:pPr>
          </w:p>
        </w:tc>
        <w:tc>
          <w:tcPr>
            <w:tcW w:w="1559" w:type="dxa"/>
          </w:tcPr>
          <w:p>
            <w:pPr>
              <w:pStyle w:val="19"/>
              <w:rPr>
                <w:rFonts w:ascii="Times New Roman"/>
                <w:sz w:val="24"/>
              </w:rPr>
            </w:pPr>
          </w:p>
        </w:tc>
        <w:tc>
          <w:tcPr>
            <w:tcW w:w="1134" w:type="dxa"/>
          </w:tcPr>
          <w:p>
            <w:pPr>
              <w:pStyle w:val="19"/>
              <w:rPr>
                <w:rFonts w:ascii="Times New Roman"/>
                <w:sz w:val="24"/>
              </w:rPr>
            </w:pPr>
          </w:p>
        </w:tc>
        <w:tc>
          <w:tcPr>
            <w:tcW w:w="1263" w:type="dxa"/>
          </w:tcPr>
          <w:p>
            <w:pPr>
              <w:pStyle w:val="19"/>
              <w:rPr>
                <w:rFonts w:ascii="Times New Roman"/>
                <w:sz w:val="24"/>
              </w:rPr>
            </w:pPr>
          </w:p>
        </w:tc>
      </w:tr>
    </w:tbl>
    <w:p>
      <w:pPr>
        <w:pStyle w:val="5"/>
        <w:spacing w:before="3" w:line="364" w:lineRule="auto"/>
        <w:ind w:left="1020" w:right="1178" w:firstLine="480"/>
        <w:jc w:val="both"/>
      </w:pPr>
      <w:r>
        <w:rPr>
          <w:spacing w:val="-7"/>
        </w:rPr>
        <w:t>注：凡投标文件中商务条款</w:t>
      </w:r>
      <w:r>
        <w:rPr>
          <w:spacing w:val="-3"/>
        </w:rPr>
        <w:t>（</w:t>
      </w:r>
      <w:r>
        <w:rPr>
          <w:spacing w:val="-8"/>
        </w:rPr>
        <w:t>包括交货期、付款、合同条款以及其它所有商</w:t>
      </w:r>
      <w:r>
        <w:t>务内容</w:t>
      </w:r>
      <w:r>
        <w:rPr>
          <w:spacing w:val="-32"/>
        </w:rPr>
        <w:t>）</w:t>
      </w:r>
      <w:r>
        <w:rPr>
          <w:spacing w:val="-6"/>
        </w:rPr>
        <w:t>与招标文件有偏差的，均应在此表中列出</w:t>
      </w:r>
      <w:r>
        <w:t>（</w:t>
      </w:r>
      <w:r>
        <w:rPr>
          <w:spacing w:val="-2"/>
        </w:rPr>
        <w:t>内容较多的可以标注见投标</w:t>
      </w:r>
      <w:r>
        <w:t>文件第几页，偏差包括正偏差和负偏差</w:t>
      </w:r>
      <w:r>
        <w:rPr>
          <w:spacing w:val="-120"/>
        </w:rPr>
        <w:t>）</w:t>
      </w:r>
      <w:r>
        <w:rPr>
          <w:spacing w:val="-1"/>
        </w:rPr>
        <w:t>，未在此表中列出的视同完全满足招标</w:t>
      </w:r>
      <w:r>
        <w:t>文件要求。</w:t>
      </w:r>
    </w:p>
    <w:p>
      <w:pPr>
        <w:pStyle w:val="5"/>
      </w:pPr>
    </w:p>
    <w:p>
      <w:pPr>
        <w:pStyle w:val="5"/>
        <w:spacing w:before="5"/>
      </w:pPr>
    </w:p>
    <w:p>
      <w:pPr>
        <w:pStyle w:val="17"/>
      </w:pPr>
      <w:r>
        <w:rPr>
          <w:spacing w:val="-3"/>
        </w:rPr>
        <w:t>单位公章：法定代表人或授权代表</w:t>
      </w:r>
      <w:r>
        <w:rPr>
          <w:spacing w:val="-1"/>
        </w:rPr>
        <w:t>（</w:t>
      </w:r>
      <w:r>
        <w:rPr>
          <w:spacing w:val="-3"/>
        </w:rPr>
        <w:t>签字或盖章</w:t>
      </w:r>
      <w:r>
        <w:rPr>
          <w:spacing w:val="-142"/>
        </w:rPr>
        <w:t>）</w:t>
      </w:r>
      <w:r>
        <w:t>：</w:t>
      </w:r>
    </w:p>
    <w:sectPr>
      <w:pgSz w:w="11910" w:h="16840"/>
      <w:pgMar w:top="1380" w:right="619" w:bottom="1180" w:left="780" w:header="852"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w:drawing>
        <wp:anchor distT="0" distB="0" distL="0" distR="0" simplePos="0" relativeHeight="248015872" behindDoc="1" locked="0" layoutInCell="1" allowOverlap="1">
          <wp:simplePos x="0" y="0"/>
          <wp:positionH relativeFrom="page">
            <wp:posOffset>941705</wp:posOffset>
          </wp:positionH>
          <wp:positionV relativeFrom="page">
            <wp:posOffset>9940925</wp:posOffset>
          </wp:positionV>
          <wp:extent cx="6125210" cy="133985"/>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1" cstate="print"/>
                  <a:stretch>
                    <a:fillRect/>
                  </a:stretch>
                </pic:blipFill>
                <pic:spPr>
                  <a:xfrm>
                    <a:off x="0" y="0"/>
                    <a:ext cx="6124956" cy="134112"/>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14"/>
      </w:rPr>
    </w:pPr>
    <w:r>
      <w:rPr>
        <w:lang w:val="en-US" w:bidi="ar-SA"/>
      </w:rPr>
      <w:drawing>
        <wp:anchor distT="0" distB="0" distL="0" distR="0" simplePos="0" relativeHeight="248017920" behindDoc="1" locked="0" layoutInCell="1" allowOverlap="1">
          <wp:simplePos x="0" y="0"/>
          <wp:positionH relativeFrom="page">
            <wp:posOffset>941705</wp:posOffset>
          </wp:positionH>
          <wp:positionV relativeFrom="page">
            <wp:posOffset>9940925</wp:posOffset>
          </wp:positionV>
          <wp:extent cx="6125210" cy="133985"/>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pic:cNvPicPr>
                    <a:picLocks noChangeAspect="1"/>
                  </pic:cNvPicPr>
                </pic:nvPicPr>
                <pic:blipFill>
                  <a:blip r:embed="rId1" cstate="print"/>
                  <a:stretch>
                    <a:fillRect/>
                  </a:stretch>
                </pic:blipFill>
                <pic:spPr>
                  <a:xfrm>
                    <a:off x="0" y="0"/>
                    <a:ext cx="6124956" cy="134112"/>
                  </a:xfrm>
                  <a:prstGeom prst="rect">
                    <a:avLst/>
                  </a:prstGeom>
                </pic:spPr>
              </pic:pic>
            </a:graphicData>
          </a:graphic>
        </wp:anchor>
      </w:drawing>
    </w:r>
    <w:r>
      <w:pict>
        <v:shape id="_x0000_s2071" o:spid="_x0000_s2071" o:spt="202" type="#_x0000_t202" style="position:absolute;left:0pt;margin-left:283.05pt;margin-top:781.35pt;height:12pt;width:16.9pt;mso-position-horizontal-relative:page;mso-position-vertical-relative:page;z-index:-255297536;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sz w:val="18"/>
                  </w:rPr>
                  <w:t>6</w:t>
                </w:r>
                <w:r>
                  <w:fldChar w:fldCharType="end"/>
                </w:r>
                <w:r>
                  <w:rPr>
                    <w:rFonts w:ascii="Times New Roman"/>
                    <w:sz w:val="1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w:drawing>
        <wp:anchor distT="0" distB="0" distL="0" distR="0" simplePos="0" relativeHeight="248023040" behindDoc="1" locked="0" layoutInCell="1" allowOverlap="1">
          <wp:simplePos x="0" y="0"/>
          <wp:positionH relativeFrom="page">
            <wp:posOffset>941705</wp:posOffset>
          </wp:positionH>
          <wp:positionV relativeFrom="page">
            <wp:posOffset>9940925</wp:posOffset>
          </wp:positionV>
          <wp:extent cx="6125210" cy="133985"/>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pic:cNvPicPr>
                    <a:picLocks noChangeAspect="1"/>
                  </pic:cNvPicPr>
                </pic:nvPicPr>
                <pic:blipFill>
                  <a:blip r:embed="rId1" cstate="print"/>
                  <a:stretch>
                    <a:fillRect/>
                  </a:stretch>
                </pic:blipFill>
                <pic:spPr>
                  <a:xfrm>
                    <a:off x="0" y="0"/>
                    <a:ext cx="6124956" cy="134112"/>
                  </a:xfrm>
                  <a:prstGeom prst="rect">
                    <a:avLst/>
                  </a:prstGeom>
                </pic:spPr>
              </pic:pic>
            </a:graphicData>
          </a:graphic>
        </wp:anchor>
      </w:drawing>
    </w:r>
    <w:r>
      <w:pict>
        <v:shape id="_x0000_s2063" o:spid="_x0000_s2063" o:spt="202" type="#_x0000_t202" style="position:absolute;left:0pt;margin-left:280.75pt;margin-top:781.35pt;height:12pt;width:21.45pt;mso-position-horizontal-relative:page;mso-position-vertical-relative:page;z-index:-255292416;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sz w:val="18"/>
                  </w:rPr>
                  <w:t>26</w:t>
                </w:r>
                <w:r>
                  <w:fldChar w:fldCharType="end"/>
                </w:r>
                <w:r>
                  <w:rPr>
                    <w:rFonts w:ascii="Times New Roman"/>
                    <w:sz w:val="1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w:drawing>
        <wp:anchor distT="0" distB="0" distL="0" distR="0" simplePos="0" relativeHeight="248030208" behindDoc="1" locked="0" layoutInCell="1" allowOverlap="1">
          <wp:simplePos x="0" y="0"/>
          <wp:positionH relativeFrom="page">
            <wp:posOffset>914400</wp:posOffset>
          </wp:positionH>
          <wp:positionV relativeFrom="page">
            <wp:posOffset>9928225</wp:posOffset>
          </wp:positionV>
          <wp:extent cx="6125210" cy="133985"/>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jpeg"/>
                  <pic:cNvPicPr>
                    <a:picLocks noChangeAspect="1"/>
                  </pic:cNvPicPr>
                </pic:nvPicPr>
                <pic:blipFill>
                  <a:blip r:embed="rId1" cstate="print"/>
                  <a:stretch>
                    <a:fillRect/>
                  </a:stretch>
                </pic:blipFill>
                <pic:spPr>
                  <a:xfrm>
                    <a:off x="0" y="0"/>
                    <a:ext cx="6124956" cy="134112"/>
                  </a:xfrm>
                  <a:prstGeom prst="rect">
                    <a:avLst/>
                  </a:prstGeom>
                </pic:spPr>
              </pic:pic>
            </a:graphicData>
          </a:graphic>
        </wp:anchor>
      </w:drawing>
    </w:r>
    <w:r>
      <w:pict>
        <v:shape id="_x0000_s2054" o:spid="_x0000_s2054" o:spt="202" type="#_x0000_t202" style="position:absolute;left:0pt;margin-left:280.75pt;margin-top:781.35pt;height:12pt;width:21.45pt;mso-position-horizontal-relative:page;mso-position-vertical-relative:page;z-index:-255285248;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sz w:val="18"/>
                  </w:rPr>
                  <w:t>32</w:t>
                </w:r>
                <w:r>
                  <w:fldChar w:fldCharType="end"/>
                </w:r>
                <w:r>
                  <w:rPr>
                    <w:rFonts w:ascii="Times New Roman"/>
                    <w:sz w:val="1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w:drawing>
        <wp:anchor distT="0" distB="0" distL="0" distR="0" simplePos="0" relativeHeight="248033280" behindDoc="1" locked="0" layoutInCell="1" allowOverlap="1">
          <wp:simplePos x="0" y="0"/>
          <wp:positionH relativeFrom="page">
            <wp:posOffset>685800</wp:posOffset>
          </wp:positionH>
          <wp:positionV relativeFrom="page">
            <wp:posOffset>9928860</wp:posOffset>
          </wp:positionV>
          <wp:extent cx="6125210" cy="133985"/>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jpeg"/>
                  <pic:cNvPicPr>
                    <a:picLocks noChangeAspect="1"/>
                  </pic:cNvPicPr>
                </pic:nvPicPr>
                <pic:blipFill>
                  <a:blip r:embed="rId1" cstate="print"/>
                  <a:stretch>
                    <a:fillRect/>
                  </a:stretch>
                </pic:blipFill>
                <pic:spPr>
                  <a:xfrm>
                    <a:off x="0" y="0"/>
                    <a:ext cx="6124956" cy="134112"/>
                  </a:xfrm>
                  <a:prstGeom prst="rect">
                    <a:avLst/>
                  </a:prstGeom>
                </pic:spPr>
              </pic:pic>
            </a:graphicData>
          </a:graphic>
        </wp:anchor>
      </w:drawing>
    </w:r>
    <w:r>
      <w:pict>
        <v:shape id="_x0000_s2050" o:spid="_x0000_s2050" o:spt="202" type="#_x0000_t202" style="position:absolute;left:0pt;margin-left:286.9pt;margin-top:781.25pt;height:12pt;width:21.45pt;mso-position-horizontal-relative:page;mso-position-vertical-relative:page;z-index:-255282176;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sz w:val="18"/>
                  </w:rPr>
                  <w:t>41</w:t>
                </w:r>
                <w:r>
                  <w:fldChar w:fldCharType="end"/>
                </w:r>
                <w:r>
                  <w:rPr>
                    <w:rFonts w:ascii="Times New Roman"/>
                    <w:sz w:val="1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w:drawing>
        <wp:anchor distT="0" distB="0" distL="0" distR="0" simplePos="0" relativeHeight="248035328" behindDoc="1" locked="0" layoutInCell="1" allowOverlap="1">
          <wp:simplePos x="0" y="0"/>
          <wp:positionH relativeFrom="page">
            <wp:posOffset>685800</wp:posOffset>
          </wp:positionH>
          <wp:positionV relativeFrom="page">
            <wp:posOffset>9936480</wp:posOffset>
          </wp:positionV>
          <wp:extent cx="6125210" cy="133985"/>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jpeg"/>
                  <pic:cNvPicPr>
                    <a:picLocks noChangeAspect="1"/>
                  </pic:cNvPicPr>
                </pic:nvPicPr>
                <pic:blipFill>
                  <a:blip r:embed="rId1" cstate="print"/>
                  <a:stretch>
                    <a:fillRect/>
                  </a:stretch>
                </pic:blipFill>
                <pic:spPr>
                  <a:xfrm>
                    <a:off x="0" y="0"/>
                    <a:ext cx="6124956" cy="134112"/>
                  </a:xfrm>
                  <a:prstGeom prst="rect">
                    <a:avLst/>
                  </a:prstGeom>
                </pic:spPr>
              </pic:pic>
            </a:graphicData>
          </a:graphic>
        </wp:anchor>
      </w:drawing>
    </w:r>
    <w:r>
      <w:pict>
        <v:shape id="_x0000_s2049" o:spid="_x0000_s2049" o:spt="202" type="#_x0000_t202" style="position:absolute;left:0pt;margin-left:286.9pt;margin-top:781.25pt;height:12pt;width:21.45pt;mso-position-horizontal-relative:page;mso-position-vertical-relative:page;z-index:-255280128;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sz w:val="18"/>
                  </w:rPr>
                  <w:t>47</w:t>
                </w:r>
                <w:r>
                  <w:fldChar w:fldCharType="end"/>
                </w:r>
                <w:r>
                  <w:rPr>
                    <w:rFonts w:ascii="Times New Roman"/>
                    <w:sz w:val="1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line id="_x0000_s2055" o:spid="_x0000_s2055" o:spt="20" style="position:absolute;left:0pt;margin-left:65.2pt;margin-top:72pt;height:0pt;width:470.6pt;mso-position-horizontal-relative:page;mso-position-vertical-relative:page;z-index:-255287296;mso-width-relative:page;mso-height-relative:page;" coordsize="21600,21600">
          <v:path arrowok="t"/>
          <v:fill focussize="0,0"/>
          <v:stroke weight="0.72pt"/>
          <v:imagedata o:title=""/>
          <o:lock v:ext="edit"/>
        </v:lin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48BD"/>
    <w:multiLevelType w:val="multilevel"/>
    <w:tmpl w:val="0DCE48BD"/>
    <w:lvl w:ilvl="0" w:tentative="0">
      <w:start w:val="1"/>
      <w:numFmt w:val="decimal"/>
      <w:lvlText w:val="（%1）"/>
      <w:lvlJc w:val="left"/>
      <w:pPr>
        <w:ind w:left="1604"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490" w:hanging="601"/>
      </w:pPr>
      <w:rPr>
        <w:rFonts w:hint="default"/>
        <w:lang w:val="zh-CN" w:eastAsia="zh-CN" w:bidi="zh-CN"/>
      </w:rPr>
    </w:lvl>
    <w:lvl w:ilvl="2" w:tentative="0">
      <w:start w:val="0"/>
      <w:numFmt w:val="bullet"/>
      <w:lvlText w:val="•"/>
      <w:lvlJc w:val="left"/>
      <w:pPr>
        <w:ind w:left="3381" w:hanging="601"/>
      </w:pPr>
      <w:rPr>
        <w:rFonts w:hint="default"/>
        <w:lang w:val="zh-CN" w:eastAsia="zh-CN" w:bidi="zh-CN"/>
      </w:rPr>
    </w:lvl>
    <w:lvl w:ilvl="3" w:tentative="0">
      <w:start w:val="0"/>
      <w:numFmt w:val="bullet"/>
      <w:lvlText w:val="•"/>
      <w:lvlJc w:val="left"/>
      <w:pPr>
        <w:ind w:left="4272"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53" w:hanging="601"/>
      </w:pPr>
      <w:rPr>
        <w:rFonts w:hint="default"/>
        <w:lang w:val="zh-CN" w:eastAsia="zh-CN" w:bidi="zh-CN"/>
      </w:rPr>
    </w:lvl>
    <w:lvl w:ilvl="6" w:tentative="0">
      <w:start w:val="0"/>
      <w:numFmt w:val="bullet"/>
      <w:lvlText w:val="•"/>
      <w:lvlJc w:val="left"/>
      <w:pPr>
        <w:ind w:left="6944" w:hanging="601"/>
      </w:pPr>
      <w:rPr>
        <w:rFonts w:hint="default"/>
        <w:lang w:val="zh-CN" w:eastAsia="zh-CN" w:bidi="zh-CN"/>
      </w:rPr>
    </w:lvl>
    <w:lvl w:ilvl="7" w:tentative="0">
      <w:start w:val="0"/>
      <w:numFmt w:val="bullet"/>
      <w:lvlText w:val="•"/>
      <w:lvlJc w:val="left"/>
      <w:pPr>
        <w:ind w:left="7834" w:hanging="601"/>
      </w:pPr>
      <w:rPr>
        <w:rFonts w:hint="default"/>
        <w:lang w:val="zh-CN" w:eastAsia="zh-CN" w:bidi="zh-CN"/>
      </w:rPr>
    </w:lvl>
    <w:lvl w:ilvl="8" w:tentative="0">
      <w:start w:val="0"/>
      <w:numFmt w:val="bullet"/>
      <w:lvlText w:val="•"/>
      <w:lvlJc w:val="left"/>
      <w:pPr>
        <w:ind w:left="8725" w:hanging="601"/>
      </w:pPr>
      <w:rPr>
        <w:rFonts w:hint="default"/>
        <w:lang w:val="zh-CN" w:eastAsia="zh-CN" w:bidi="zh-CN"/>
      </w:rPr>
    </w:lvl>
  </w:abstractNum>
  <w:abstractNum w:abstractNumId="1">
    <w:nsid w:val="0EB613E9"/>
    <w:multiLevelType w:val="multilevel"/>
    <w:tmpl w:val="0EB613E9"/>
    <w:lvl w:ilvl="0" w:tentative="0">
      <w:start w:val="1"/>
      <w:numFmt w:val="decimal"/>
      <w:lvlText w:val="%1."/>
      <w:lvlJc w:val="left"/>
      <w:pPr>
        <w:ind w:left="425" w:hanging="425"/>
      </w:pPr>
      <w:rPr>
        <w:rFonts w:hint="eastAsia"/>
      </w:rPr>
    </w:lvl>
    <w:lvl w:ilvl="1" w:tentative="0">
      <w:start w:val="1"/>
      <w:numFmt w:val="decimal"/>
      <w:lvlText w:val="%1.%2."/>
      <w:lvlJc w:val="left"/>
      <w:pPr>
        <w:ind w:left="709"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21404FA6"/>
    <w:multiLevelType w:val="multilevel"/>
    <w:tmpl w:val="21404FA6"/>
    <w:lvl w:ilvl="0" w:tentative="0">
      <w:start w:val="1"/>
      <w:numFmt w:val="decimal"/>
      <w:lvlText w:val="%1."/>
      <w:lvlJc w:val="left"/>
      <w:pPr>
        <w:ind w:left="1651" w:hanging="212"/>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544" w:hanging="212"/>
      </w:pPr>
      <w:rPr>
        <w:rFonts w:hint="default"/>
        <w:lang w:val="zh-CN" w:eastAsia="zh-CN" w:bidi="zh-CN"/>
      </w:rPr>
    </w:lvl>
    <w:lvl w:ilvl="2" w:tentative="0">
      <w:start w:val="0"/>
      <w:numFmt w:val="bullet"/>
      <w:lvlText w:val="•"/>
      <w:lvlJc w:val="left"/>
      <w:pPr>
        <w:ind w:left="3429" w:hanging="212"/>
      </w:pPr>
      <w:rPr>
        <w:rFonts w:hint="default"/>
        <w:lang w:val="zh-CN" w:eastAsia="zh-CN" w:bidi="zh-CN"/>
      </w:rPr>
    </w:lvl>
    <w:lvl w:ilvl="3" w:tentative="0">
      <w:start w:val="0"/>
      <w:numFmt w:val="bullet"/>
      <w:lvlText w:val="•"/>
      <w:lvlJc w:val="left"/>
      <w:pPr>
        <w:ind w:left="4314" w:hanging="212"/>
      </w:pPr>
      <w:rPr>
        <w:rFonts w:hint="default"/>
        <w:lang w:val="zh-CN" w:eastAsia="zh-CN" w:bidi="zh-CN"/>
      </w:rPr>
    </w:lvl>
    <w:lvl w:ilvl="4" w:tentative="0">
      <w:start w:val="0"/>
      <w:numFmt w:val="bullet"/>
      <w:lvlText w:val="•"/>
      <w:lvlJc w:val="left"/>
      <w:pPr>
        <w:ind w:left="5198" w:hanging="212"/>
      </w:pPr>
      <w:rPr>
        <w:rFonts w:hint="default"/>
        <w:lang w:val="zh-CN" w:eastAsia="zh-CN" w:bidi="zh-CN"/>
      </w:rPr>
    </w:lvl>
    <w:lvl w:ilvl="5" w:tentative="0">
      <w:start w:val="0"/>
      <w:numFmt w:val="bullet"/>
      <w:lvlText w:val="•"/>
      <w:lvlJc w:val="left"/>
      <w:pPr>
        <w:ind w:left="6083" w:hanging="212"/>
      </w:pPr>
      <w:rPr>
        <w:rFonts w:hint="default"/>
        <w:lang w:val="zh-CN" w:eastAsia="zh-CN" w:bidi="zh-CN"/>
      </w:rPr>
    </w:lvl>
    <w:lvl w:ilvl="6" w:tentative="0">
      <w:start w:val="0"/>
      <w:numFmt w:val="bullet"/>
      <w:lvlText w:val="•"/>
      <w:lvlJc w:val="left"/>
      <w:pPr>
        <w:ind w:left="6968" w:hanging="212"/>
      </w:pPr>
      <w:rPr>
        <w:rFonts w:hint="default"/>
        <w:lang w:val="zh-CN" w:eastAsia="zh-CN" w:bidi="zh-CN"/>
      </w:rPr>
    </w:lvl>
    <w:lvl w:ilvl="7" w:tentative="0">
      <w:start w:val="0"/>
      <w:numFmt w:val="bullet"/>
      <w:lvlText w:val="•"/>
      <w:lvlJc w:val="left"/>
      <w:pPr>
        <w:ind w:left="7852" w:hanging="212"/>
      </w:pPr>
      <w:rPr>
        <w:rFonts w:hint="default"/>
        <w:lang w:val="zh-CN" w:eastAsia="zh-CN" w:bidi="zh-CN"/>
      </w:rPr>
    </w:lvl>
    <w:lvl w:ilvl="8" w:tentative="0">
      <w:start w:val="0"/>
      <w:numFmt w:val="bullet"/>
      <w:lvlText w:val="•"/>
      <w:lvlJc w:val="left"/>
      <w:pPr>
        <w:ind w:left="8737" w:hanging="212"/>
      </w:pPr>
      <w:rPr>
        <w:rFonts w:hint="default"/>
        <w:lang w:val="zh-CN" w:eastAsia="zh-CN" w:bidi="zh-CN"/>
      </w:rPr>
    </w:lvl>
  </w:abstractNum>
  <w:abstractNum w:abstractNumId="3">
    <w:nsid w:val="38607BBC"/>
    <w:multiLevelType w:val="multilevel"/>
    <w:tmpl w:val="38607BB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A7852AE"/>
    <w:multiLevelType w:val="multilevel"/>
    <w:tmpl w:val="3A7852AE"/>
    <w:lvl w:ilvl="0" w:tentative="0">
      <w:start w:val="1"/>
      <w:numFmt w:val="decimal"/>
      <w:lvlText w:val="（%1）"/>
      <w:lvlJc w:val="left"/>
      <w:pPr>
        <w:ind w:left="160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490" w:hanging="601"/>
      </w:pPr>
      <w:rPr>
        <w:rFonts w:hint="default"/>
        <w:lang w:val="zh-CN" w:eastAsia="zh-CN" w:bidi="zh-CN"/>
      </w:rPr>
    </w:lvl>
    <w:lvl w:ilvl="2" w:tentative="0">
      <w:start w:val="0"/>
      <w:numFmt w:val="bullet"/>
      <w:lvlText w:val="•"/>
      <w:lvlJc w:val="left"/>
      <w:pPr>
        <w:ind w:left="3381" w:hanging="601"/>
      </w:pPr>
      <w:rPr>
        <w:rFonts w:hint="default"/>
        <w:lang w:val="zh-CN" w:eastAsia="zh-CN" w:bidi="zh-CN"/>
      </w:rPr>
    </w:lvl>
    <w:lvl w:ilvl="3" w:tentative="0">
      <w:start w:val="0"/>
      <w:numFmt w:val="bullet"/>
      <w:lvlText w:val="•"/>
      <w:lvlJc w:val="left"/>
      <w:pPr>
        <w:ind w:left="4272"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53" w:hanging="601"/>
      </w:pPr>
      <w:rPr>
        <w:rFonts w:hint="default"/>
        <w:lang w:val="zh-CN" w:eastAsia="zh-CN" w:bidi="zh-CN"/>
      </w:rPr>
    </w:lvl>
    <w:lvl w:ilvl="6" w:tentative="0">
      <w:start w:val="0"/>
      <w:numFmt w:val="bullet"/>
      <w:lvlText w:val="•"/>
      <w:lvlJc w:val="left"/>
      <w:pPr>
        <w:ind w:left="6944" w:hanging="601"/>
      </w:pPr>
      <w:rPr>
        <w:rFonts w:hint="default"/>
        <w:lang w:val="zh-CN" w:eastAsia="zh-CN" w:bidi="zh-CN"/>
      </w:rPr>
    </w:lvl>
    <w:lvl w:ilvl="7" w:tentative="0">
      <w:start w:val="0"/>
      <w:numFmt w:val="bullet"/>
      <w:lvlText w:val="•"/>
      <w:lvlJc w:val="left"/>
      <w:pPr>
        <w:ind w:left="7834" w:hanging="601"/>
      </w:pPr>
      <w:rPr>
        <w:rFonts w:hint="default"/>
        <w:lang w:val="zh-CN" w:eastAsia="zh-CN" w:bidi="zh-CN"/>
      </w:rPr>
    </w:lvl>
    <w:lvl w:ilvl="8" w:tentative="0">
      <w:start w:val="0"/>
      <w:numFmt w:val="bullet"/>
      <w:lvlText w:val="•"/>
      <w:lvlJc w:val="left"/>
      <w:pPr>
        <w:ind w:left="8725" w:hanging="601"/>
      </w:pPr>
      <w:rPr>
        <w:rFonts w:hint="default"/>
        <w:lang w:val="zh-CN" w:eastAsia="zh-CN" w:bidi="zh-CN"/>
      </w:rPr>
    </w:lvl>
  </w:abstractNum>
  <w:abstractNum w:abstractNumId="5">
    <w:nsid w:val="4D6260D1"/>
    <w:multiLevelType w:val="multilevel"/>
    <w:tmpl w:val="4D6260D1"/>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4DAA3989"/>
    <w:multiLevelType w:val="multilevel"/>
    <w:tmpl w:val="4DAA3989"/>
    <w:lvl w:ilvl="0" w:tentative="0">
      <w:start w:val="1"/>
      <w:numFmt w:val="bullet"/>
      <w:lvlText w:val=""/>
      <w:lvlJc w:val="left"/>
      <w:pPr>
        <w:ind w:left="2406" w:hanging="420"/>
      </w:pPr>
      <w:rPr>
        <w:rFonts w:hint="default" w:ascii="Wingdings" w:hAnsi="Wingdings"/>
      </w:rPr>
    </w:lvl>
    <w:lvl w:ilvl="1" w:tentative="0">
      <w:start w:val="1"/>
      <w:numFmt w:val="bullet"/>
      <w:lvlText w:val=""/>
      <w:lvlJc w:val="left"/>
      <w:pPr>
        <w:ind w:left="2826" w:hanging="420"/>
      </w:pPr>
      <w:rPr>
        <w:rFonts w:hint="default" w:ascii="Wingdings" w:hAnsi="Wingdings"/>
      </w:rPr>
    </w:lvl>
    <w:lvl w:ilvl="2" w:tentative="0">
      <w:start w:val="1"/>
      <w:numFmt w:val="bullet"/>
      <w:lvlText w:val=""/>
      <w:lvlJc w:val="left"/>
      <w:pPr>
        <w:ind w:left="3246" w:hanging="420"/>
      </w:pPr>
      <w:rPr>
        <w:rFonts w:hint="default" w:ascii="Wingdings" w:hAnsi="Wingdings"/>
      </w:rPr>
    </w:lvl>
    <w:lvl w:ilvl="3" w:tentative="0">
      <w:start w:val="1"/>
      <w:numFmt w:val="bullet"/>
      <w:lvlText w:val=""/>
      <w:lvlJc w:val="left"/>
      <w:pPr>
        <w:ind w:left="3666" w:hanging="420"/>
      </w:pPr>
      <w:rPr>
        <w:rFonts w:hint="default" w:ascii="Wingdings" w:hAnsi="Wingdings"/>
      </w:rPr>
    </w:lvl>
    <w:lvl w:ilvl="4" w:tentative="0">
      <w:start w:val="1"/>
      <w:numFmt w:val="bullet"/>
      <w:lvlText w:val=""/>
      <w:lvlJc w:val="left"/>
      <w:pPr>
        <w:ind w:left="4086" w:hanging="420"/>
      </w:pPr>
      <w:rPr>
        <w:rFonts w:hint="default" w:ascii="Wingdings" w:hAnsi="Wingdings"/>
      </w:rPr>
    </w:lvl>
    <w:lvl w:ilvl="5" w:tentative="0">
      <w:start w:val="1"/>
      <w:numFmt w:val="bullet"/>
      <w:lvlText w:val=""/>
      <w:lvlJc w:val="left"/>
      <w:pPr>
        <w:ind w:left="4506" w:hanging="420"/>
      </w:pPr>
      <w:rPr>
        <w:rFonts w:hint="default" w:ascii="Wingdings" w:hAnsi="Wingdings"/>
      </w:rPr>
    </w:lvl>
    <w:lvl w:ilvl="6" w:tentative="0">
      <w:start w:val="1"/>
      <w:numFmt w:val="bullet"/>
      <w:lvlText w:val=""/>
      <w:lvlJc w:val="left"/>
      <w:pPr>
        <w:ind w:left="4926" w:hanging="420"/>
      </w:pPr>
      <w:rPr>
        <w:rFonts w:hint="default" w:ascii="Wingdings" w:hAnsi="Wingdings"/>
      </w:rPr>
    </w:lvl>
    <w:lvl w:ilvl="7" w:tentative="0">
      <w:start w:val="1"/>
      <w:numFmt w:val="bullet"/>
      <w:lvlText w:val=""/>
      <w:lvlJc w:val="left"/>
      <w:pPr>
        <w:ind w:left="5346" w:hanging="420"/>
      </w:pPr>
      <w:rPr>
        <w:rFonts w:hint="default" w:ascii="Wingdings" w:hAnsi="Wingdings"/>
      </w:rPr>
    </w:lvl>
    <w:lvl w:ilvl="8" w:tentative="0">
      <w:start w:val="1"/>
      <w:numFmt w:val="bullet"/>
      <w:lvlText w:val=""/>
      <w:lvlJc w:val="left"/>
      <w:pPr>
        <w:ind w:left="5766" w:hanging="420"/>
      </w:pPr>
      <w:rPr>
        <w:rFonts w:hint="default" w:ascii="Wingdings" w:hAnsi="Wingdings"/>
      </w:rPr>
    </w:lvl>
  </w:abstractNum>
  <w:abstractNum w:abstractNumId="7">
    <w:nsid w:val="56037DA6"/>
    <w:multiLevelType w:val="multilevel"/>
    <w:tmpl w:val="56037DA6"/>
    <w:lvl w:ilvl="0" w:tentative="0">
      <w:start w:val="1"/>
      <w:numFmt w:val="decimal"/>
      <w:lvlText w:val="（%1）"/>
      <w:lvlJc w:val="left"/>
      <w:pPr>
        <w:ind w:left="1604"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490" w:hanging="601"/>
      </w:pPr>
      <w:rPr>
        <w:rFonts w:hint="default"/>
        <w:lang w:val="zh-CN" w:eastAsia="zh-CN" w:bidi="zh-CN"/>
      </w:rPr>
    </w:lvl>
    <w:lvl w:ilvl="2" w:tentative="0">
      <w:start w:val="0"/>
      <w:numFmt w:val="bullet"/>
      <w:lvlText w:val="•"/>
      <w:lvlJc w:val="left"/>
      <w:pPr>
        <w:ind w:left="3381" w:hanging="601"/>
      </w:pPr>
      <w:rPr>
        <w:rFonts w:hint="default"/>
        <w:lang w:val="zh-CN" w:eastAsia="zh-CN" w:bidi="zh-CN"/>
      </w:rPr>
    </w:lvl>
    <w:lvl w:ilvl="3" w:tentative="0">
      <w:start w:val="0"/>
      <w:numFmt w:val="bullet"/>
      <w:lvlText w:val="•"/>
      <w:lvlJc w:val="left"/>
      <w:pPr>
        <w:ind w:left="4272"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53" w:hanging="601"/>
      </w:pPr>
      <w:rPr>
        <w:rFonts w:hint="default"/>
        <w:lang w:val="zh-CN" w:eastAsia="zh-CN" w:bidi="zh-CN"/>
      </w:rPr>
    </w:lvl>
    <w:lvl w:ilvl="6" w:tentative="0">
      <w:start w:val="0"/>
      <w:numFmt w:val="bullet"/>
      <w:lvlText w:val="•"/>
      <w:lvlJc w:val="left"/>
      <w:pPr>
        <w:ind w:left="6944" w:hanging="601"/>
      </w:pPr>
      <w:rPr>
        <w:rFonts w:hint="default"/>
        <w:lang w:val="zh-CN" w:eastAsia="zh-CN" w:bidi="zh-CN"/>
      </w:rPr>
    </w:lvl>
    <w:lvl w:ilvl="7" w:tentative="0">
      <w:start w:val="0"/>
      <w:numFmt w:val="bullet"/>
      <w:lvlText w:val="•"/>
      <w:lvlJc w:val="left"/>
      <w:pPr>
        <w:ind w:left="7834" w:hanging="601"/>
      </w:pPr>
      <w:rPr>
        <w:rFonts w:hint="default"/>
        <w:lang w:val="zh-CN" w:eastAsia="zh-CN" w:bidi="zh-CN"/>
      </w:rPr>
    </w:lvl>
    <w:lvl w:ilvl="8" w:tentative="0">
      <w:start w:val="0"/>
      <w:numFmt w:val="bullet"/>
      <w:lvlText w:val="•"/>
      <w:lvlJc w:val="left"/>
      <w:pPr>
        <w:ind w:left="8725" w:hanging="601"/>
      </w:pPr>
      <w:rPr>
        <w:rFonts w:hint="default"/>
        <w:lang w:val="zh-CN" w:eastAsia="zh-CN" w:bidi="zh-CN"/>
      </w:rPr>
    </w:lvl>
  </w:abstractNum>
  <w:abstractNum w:abstractNumId="8">
    <w:nsid w:val="590F4E02"/>
    <w:multiLevelType w:val="multilevel"/>
    <w:tmpl w:val="590F4E02"/>
    <w:lvl w:ilvl="0" w:tentative="0">
      <w:start w:val="2"/>
      <w:numFmt w:val="decimal"/>
      <w:lvlText w:val="%1."/>
      <w:lvlJc w:val="left"/>
      <w:pPr>
        <w:ind w:left="884" w:hanging="361"/>
      </w:pPr>
      <w:rPr>
        <w:rFonts w:hint="default" w:ascii="宋体" w:hAnsi="宋体" w:eastAsia="宋体" w:cs="宋体"/>
        <w:spacing w:val="-75"/>
        <w:w w:val="100"/>
        <w:sz w:val="22"/>
        <w:szCs w:val="22"/>
        <w:lang w:val="zh-CN" w:eastAsia="zh-CN" w:bidi="zh-CN"/>
      </w:rPr>
    </w:lvl>
    <w:lvl w:ilvl="1" w:tentative="0">
      <w:start w:val="1"/>
      <w:numFmt w:val="decimal"/>
      <w:lvlText w:val="（%2）"/>
      <w:lvlJc w:val="left"/>
      <w:pPr>
        <w:ind w:left="1664" w:hanging="601"/>
      </w:pPr>
      <w:rPr>
        <w:rFonts w:hint="default" w:ascii="宋体" w:hAnsi="宋体" w:eastAsia="宋体" w:cs="宋体"/>
        <w:spacing w:val="0"/>
        <w:w w:val="100"/>
        <w:sz w:val="22"/>
        <w:szCs w:val="22"/>
        <w:lang w:val="zh-CN" w:eastAsia="zh-CN" w:bidi="zh-CN"/>
      </w:rPr>
    </w:lvl>
    <w:lvl w:ilvl="2" w:tentative="0">
      <w:start w:val="0"/>
      <w:numFmt w:val="bullet"/>
      <w:lvlText w:val="•"/>
      <w:lvlJc w:val="left"/>
      <w:pPr>
        <w:ind w:left="2643" w:hanging="601"/>
      </w:pPr>
      <w:rPr>
        <w:rFonts w:hint="default"/>
        <w:lang w:val="zh-CN" w:eastAsia="zh-CN" w:bidi="zh-CN"/>
      </w:rPr>
    </w:lvl>
    <w:lvl w:ilvl="3" w:tentative="0">
      <w:start w:val="0"/>
      <w:numFmt w:val="bullet"/>
      <w:lvlText w:val="•"/>
      <w:lvlJc w:val="left"/>
      <w:pPr>
        <w:ind w:left="3626" w:hanging="601"/>
      </w:pPr>
      <w:rPr>
        <w:rFonts w:hint="default"/>
        <w:lang w:val="zh-CN" w:eastAsia="zh-CN" w:bidi="zh-CN"/>
      </w:rPr>
    </w:lvl>
    <w:lvl w:ilvl="4" w:tentative="0">
      <w:start w:val="0"/>
      <w:numFmt w:val="bullet"/>
      <w:lvlText w:val="•"/>
      <w:lvlJc w:val="left"/>
      <w:pPr>
        <w:ind w:left="4609" w:hanging="601"/>
      </w:pPr>
      <w:rPr>
        <w:rFonts w:hint="default"/>
        <w:lang w:val="zh-CN" w:eastAsia="zh-CN" w:bidi="zh-CN"/>
      </w:rPr>
    </w:lvl>
    <w:lvl w:ilvl="5" w:tentative="0">
      <w:start w:val="0"/>
      <w:numFmt w:val="bullet"/>
      <w:lvlText w:val="•"/>
      <w:lvlJc w:val="left"/>
      <w:pPr>
        <w:ind w:left="5592" w:hanging="601"/>
      </w:pPr>
      <w:rPr>
        <w:rFonts w:hint="default"/>
        <w:lang w:val="zh-CN" w:eastAsia="zh-CN" w:bidi="zh-CN"/>
      </w:rPr>
    </w:lvl>
    <w:lvl w:ilvl="6" w:tentative="0">
      <w:start w:val="0"/>
      <w:numFmt w:val="bullet"/>
      <w:lvlText w:val="•"/>
      <w:lvlJc w:val="left"/>
      <w:pPr>
        <w:ind w:left="6575" w:hanging="601"/>
      </w:pPr>
      <w:rPr>
        <w:rFonts w:hint="default"/>
        <w:lang w:val="zh-CN" w:eastAsia="zh-CN" w:bidi="zh-CN"/>
      </w:rPr>
    </w:lvl>
    <w:lvl w:ilvl="7" w:tentative="0">
      <w:start w:val="0"/>
      <w:numFmt w:val="bullet"/>
      <w:lvlText w:val="•"/>
      <w:lvlJc w:val="left"/>
      <w:pPr>
        <w:ind w:left="7558" w:hanging="601"/>
      </w:pPr>
      <w:rPr>
        <w:rFonts w:hint="default"/>
        <w:lang w:val="zh-CN" w:eastAsia="zh-CN" w:bidi="zh-CN"/>
      </w:rPr>
    </w:lvl>
    <w:lvl w:ilvl="8" w:tentative="0">
      <w:start w:val="0"/>
      <w:numFmt w:val="bullet"/>
      <w:lvlText w:val="•"/>
      <w:lvlJc w:val="left"/>
      <w:pPr>
        <w:ind w:left="8541" w:hanging="601"/>
      </w:pPr>
      <w:rPr>
        <w:rFonts w:hint="default"/>
        <w:lang w:val="zh-CN" w:eastAsia="zh-CN" w:bidi="zh-CN"/>
      </w:rPr>
    </w:lvl>
  </w:abstractNum>
  <w:abstractNum w:abstractNumId="9">
    <w:nsid w:val="5B052756"/>
    <w:multiLevelType w:val="multilevel"/>
    <w:tmpl w:val="5B052756"/>
    <w:lvl w:ilvl="0" w:tentative="0">
      <w:start w:val="1"/>
      <w:numFmt w:val="decimal"/>
      <w:lvlText w:val="%1."/>
      <w:lvlJc w:val="left"/>
      <w:pPr>
        <w:ind w:left="349"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205" w:hanging="241"/>
      </w:pPr>
      <w:rPr>
        <w:rFonts w:hint="default"/>
        <w:lang w:val="zh-CN" w:eastAsia="zh-CN" w:bidi="zh-CN"/>
      </w:rPr>
    </w:lvl>
    <w:lvl w:ilvl="2" w:tentative="0">
      <w:start w:val="0"/>
      <w:numFmt w:val="bullet"/>
      <w:lvlText w:val="•"/>
      <w:lvlJc w:val="left"/>
      <w:pPr>
        <w:ind w:left="2070" w:hanging="241"/>
      </w:pPr>
      <w:rPr>
        <w:rFonts w:hint="default"/>
        <w:lang w:val="zh-CN" w:eastAsia="zh-CN" w:bidi="zh-CN"/>
      </w:rPr>
    </w:lvl>
    <w:lvl w:ilvl="3" w:tentative="0">
      <w:start w:val="0"/>
      <w:numFmt w:val="bullet"/>
      <w:lvlText w:val="•"/>
      <w:lvlJc w:val="left"/>
      <w:pPr>
        <w:ind w:left="2935" w:hanging="241"/>
      </w:pPr>
      <w:rPr>
        <w:rFonts w:hint="default"/>
        <w:lang w:val="zh-CN" w:eastAsia="zh-CN" w:bidi="zh-CN"/>
      </w:rPr>
    </w:lvl>
    <w:lvl w:ilvl="4" w:tentative="0">
      <w:start w:val="0"/>
      <w:numFmt w:val="bullet"/>
      <w:lvlText w:val="•"/>
      <w:lvlJc w:val="left"/>
      <w:pPr>
        <w:ind w:left="3800" w:hanging="241"/>
      </w:pPr>
      <w:rPr>
        <w:rFonts w:hint="default"/>
        <w:lang w:val="zh-CN" w:eastAsia="zh-CN" w:bidi="zh-CN"/>
      </w:rPr>
    </w:lvl>
    <w:lvl w:ilvl="5" w:tentative="0">
      <w:start w:val="0"/>
      <w:numFmt w:val="bullet"/>
      <w:lvlText w:val="•"/>
      <w:lvlJc w:val="left"/>
      <w:pPr>
        <w:ind w:left="4665" w:hanging="241"/>
      </w:pPr>
      <w:rPr>
        <w:rFonts w:hint="default"/>
        <w:lang w:val="zh-CN" w:eastAsia="zh-CN" w:bidi="zh-CN"/>
      </w:rPr>
    </w:lvl>
    <w:lvl w:ilvl="6" w:tentative="0">
      <w:start w:val="0"/>
      <w:numFmt w:val="bullet"/>
      <w:lvlText w:val="•"/>
      <w:lvlJc w:val="left"/>
      <w:pPr>
        <w:ind w:left="5530" w:hanging="241"/>
      </w:pPr>
      <w:rPr>
        <w:rFonts w:hint="default"/>
        <w:lang w:val="zh-CN" w:eastAsia="zh-CN" w:bidi="zh-CN"/>
      </w:rPr>
    </w:lvl>
    <w:lvl w:ilvl="7" w:tentative="0">
      <w:start w:val="0"/>
      <w:numFmt w:val="bullet"/>
      <w:lvlText w:val="•"/>
      <w:lvlJc w:val="left"/>
      <w:pPr>
        <w:ind w:left="6395" w:hanging="241"/>
      </w:pPr>
      <w:rPr>
        <w:rFonts w:hint="default"/>
        <w:lang w:val="zh-CN" w:eastAsia="zh-CN" w:bidi="zh-CN"/>
      </w:rPr>
    </w:lvl>
    <w:lvl w:ilvl="8" w:tentative="0">
      <w:start w:val="0"/>
      <w:numFmt w:val="bullet"/>
      <w:lvlText w:val="•"/>
      <w:lvlJc w:val="left"/>
      <w:pPr>
        <w:ind w:left="7260" w:hanging="241"/>
      </w:pPr>
      <w:rPr>
        <w:rFonts w:hint="default"/>
        <w:lang w:val="zh-CN" w:eastAsia="zh-CN" w:bidi="zh-CN"/>
      </w:rPr>
    </w:lvl>
  </w:abstractNum>
  <w:abstractNum w:abstractNumId="10">
    <w:nsid w:val="64932C05"/>
    <w:multiLevelType w:val="multilevel"/>
    <w:tmpl w:val="64932C05"/>
    <w:lvl w:ilvl="0" w:tentative="0">
      <w:start w:val="1"/>
      <w:numFmt w:val="decimal"/>
      <w:lvlText w:val="（%1）"/>
      <w:lvlJc w:val="left"/>
      <w:pPr>
        <w:ind w:left="1604" w:hanging="601"/>
      </w:pPr>
      <w:rPr>
        <w:rFonts w:hint="default" w:ascii="宋体" w:hAnsi="宋体" w:eastAsia="宋体" w:cs="宋体"/>
        <w:w w:val="100"/>
        <w:sz w:val="22"/>
        <w:szCs w:val="22"/>
        <w:lang w:val="zh-CN" w:eastAsia="zh-CN" w:bidi="zh-CN"/>
      </w:rPr>
    </w:lvl>
    <w:lvl w:ilvl="1" w:tentative="0">
      <w:start w:val="1"/>
      <w:numFmt w:val="lowerLetter"/>
      <w:lvlText w:val="（%2）"/>
      <w:lvlJc w:val="left"/>
      <w:pPr>
        <w:ind w:left="1839" w:hanging="601"/>
      </w:pPr>
      <w:rPr>
        <w:rFonts w:hint="default" w:ascii="宋体" w:hAnsi="宋体" w:eastAsia="宋体" w:cs="宋体"/>
        <w:w w:val="100"/>
        <w:sz w:val="22"/>
        <w:szCs w:val="22"/>
        <w:lang w:val="zh-CN" w:eastAsia="zh-CN" w:bidi="zh-CN"/>
      </w:rPr>
    </w:lvl>
    <w:lvl w:ilvl="2" w:tentative="0">
      <w:start w:val="0"/>
      <w:numFmt w:val="bullet"/>
      <w:lvlText w:val="•"/>
      <w:lvlJc w:val="left"/>
      <w:pPr>
        <w:ind w:left="2803" w:hanging="601"/>
      </w:pPr>
      <w:rPr>
        <w:rFonts w:hint="default"/>
        <w:lang w:val="zh-CN" w:eastAsia="zh-CN" w:bidi="zh-CN"/>
      </w:rPr>
    </w:lvl>
    <w:lvl w:ilvl="3" w:tentative="0">
      <w:start w:val="0"/>
      <w:numFmt w:val="bullet"/>
      <w:lvlText w:val="•"/>
      <w:lvlJc w:val="left"/>
      <w:pPr>
        <w:ind w:left="3766" w:hanging="601"/>
      </w:pPr>
      <w:rPr>
        <w:rFonts w:hint="default"/>
        <w:lang w:val="zh-CN" w:eastAsia="zh-CN" w:bidi="zh-CN"/>
      </w:rPr>
    </w:lvl>
    <w:lvl w:ilvl="4" w:tentative="0">
      <w:start w:val="0"/>
      <w:numFmt w:val="bullet"/>
      <w:lvlText w:val="•"/>
      <w:lvlJc w:val="left"/>
      <w:pPr>
        <w:ind w:left="4729" w:hanging="601"/>
      </w:pPr>
      <w:rPr>
        <w:rFonts w:hint="default"/>
        <w:lang w:val="zh-CN" w:eastAsia="zh-CN" w:bidi="zh-CN"/>
      </w:rPr>
    </w:lvl>
    <w:lvl w:ilvl="5" w:tentative="0">
      <w:start w:val="0"/>
      <w:numFmt w:val="bullet"/>
      <w:lvlText w:val="•"/>
      <w:lvlJc w:val="left"/>
      <w:pPr>
        <w:ind w:left="5692" w:hanging="601"/>
      </w:pPr>
      <w:rPr>
        <w:rFonts w:hint="default"/>
        <w:lang w:val="zh-CN" w:eastAsia="zh-CN" w:bidi="zh-CN"/>
      </w:rPr>
    </w:lvl>
    <w:lvl w:ilvl="6" w:tentative="0">
      <w:start w:val="0"/>
      <w:numFmt w:val="bullet"/>
      <w:lvlText w:val="•"/>
      <w:lvlJc w:val="left"/>
      <w:pPr>
        <w:ind w:left="6655" w:hanging="601"/>
      </w:pPr>
      <w:rPr>
        <w:rFonts w:hint="default"/>
        <w:lang w:val="zh-CN" w:eastAsia="zh-CN" w:bidi="zh-CN"/>
      </w:rPr>
    </w:lvl>
    <w:lvl w:ilvl="7" w:tentative="0">
      <w:start w:val="0"/>
      <w:numFmt w:val="bullet"/>
      <w:lvlText w:val="•"/>
      <w:lvlJc w:val="left"/>
      <w:pPr>
        <w:ind w:left="7618" w:hanging="601"/>
      </w:pPr>
      <w:rPr>
        <w:rFonts w:hint="default"/>
        <w:lang w:val="zh-CN" w:eastAsia="zh-CN" w:bidi="zh-CN"/>
      </w:rPr>
    </w:lvl>
    <w:lvl w:ilvl="8" w:tentative="0">
      <w:start w:val="0"/>
      <w:numFmt w:val="bullet"/>
      <w:lvlText w:val="•"/>
      <w:lvlJc w:val="left"/>
      <w:pPr>
        <w:ind w:left="8581" w:hanging="601"/>
      </w:pPr>
      <w:rPr>
        <w:rFonts w:hint="default"/>
        <w:lang w:val="zh-CN" w:eastAsia="zh-CN" w:bidi="zh-CN"/>
      </w:rPr>
    </w:lvl>
  </w:abstractNum>
  <w:abstractNum w:abstractNumId="11">
    <w:nsid w:val="6AFA43C7"/>
    <w:multiLevelType w:val="multilevel"/>
    <w:tmpl w:val="6AFA43C7"/>
    <w:lvl w:ilvl="0" w:tentative="0">
      <w:start w:val="1"/>
      <w:numFmt w:val="lowerLetter"/>
      <w:lvlText w:val="（%1）"/>
      <w:lvlJc w:val="left"/>
      <w:pPr>
        <w:ind w:left="183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706" w:hanging="601"/>
      </w:pPr>
      <w:rPr>
        <w:rFonts w:hint="default"/>
        <w:lang w:val="zh-CN" w:eastAsia="zh-CN" w:bidi="zh-CN"/>
      </w:rPr>
    </w:lvl>
    <w:lvl w:ilvl="2" w:tentative="0">
      <w:start w:val="0"/>
      <w:numFmt w:val="bullet"/>
      <w:lvlText w:val="•"/>
      <w:lvlJc w:val="left"/>
      <w:pPr>
        <w:ind w:left="3573" w:hanging="601"/>
      </w:pPr>
      <w:rPr>
        <w:rFonts w:hint="default"/>
        <w:lang w:val="zh-CN" w:eastAsia="zh-CN" w:bidi="zh-CN"/>
      </w:rPr>
    </w:lvl>
    <w:lvl w:ilvl="3" w:tentative="0">
      <w:start w:val="0"/>
      <w:numFmt w:val="bullet"/>
      <w:lvlText w:val="•"/>
      <w:lvlJc w:val="left"/>
      <w:pPr>
        <w:ind w:left="4440" w:hanging="601"/>
      </w:pPr>
      <w:rPr>
        <w:rFonts w:hint="default"/>
        <w:lang w:val="zh-CN" w:eastAsia="zh-CN" w:bidi="zh-CN"/>
      </w:rPr>
    </w:lvl>
    <w:lvl w:ilvl="4" w:tentative="0">
      <w:start w:val="0"/>
      <w:numFmt w:val="bullet"/>
      <w:lvlText w:val="•"/>
      <w:lvlJc w:val="left"/>
      <w:pPr>
        <w:ind w:left="5306" w:hanging="601"/>
      </w:pPr>
      <w:rPr>
        <w:rFonts w:hint="default"/>
        <w:lang w:val="zh-CN" w:eastAsia="zh-CN" w:bidi="zh-CN"/>
      </w:rPr>
    </w:lvl>
    <w:lvl w:ilvl="5" w:tentative="0">
      <w:start w:val="0"/>
      <w:numFmt w:val="bullet"/>
      <w:lvlText w:val="•"/>
      <w:lvlJc w:val="left"/>
      <w:pPr>
        <w:ind w:left="6173" w:hanging="601"/>
      </w:pPr>
      <w:rPr>
        <w:rFonts w:hint="default"/>
        <w:lang w:val="zh-CN" w:eastAsia="zh-CN" w:bidi="zh-CN"/>
      </w:rPr>
    </w:lvl>
    <w:lvl w:ilvl="6" w:tentative="0">
      <w:start w:val="0"/>
      <w:numFmt w:val="bullet"/>
      <w:lvlText w:val="•"/>
      <w:lvlJc w:val="left"/>
      <w:pPr>
        <w:ind w:left="7040" w:hanging="601"/>
      </w:pPr>
      <w:rPr>
        <w:rFonts w:hint="default"/>
        <w:lang w:val="zh-CN" w:eastAsia="zh-CN" w:bidi="zh-CN"/>
      </w:rPr>
    </w:lvl>
    <w:lvl w:ilvl="7" w:tentative="0">
      <w:start w:val="0"/>
      <w:numFmt w:val="bullet"/>
      <w:lvlText w:val="•"/>
      <w:lvlJc w:val="left"/>
      <w:pPr>
        <w:ind w:left="7906" w:hanging="601"/>
      </w:pPr>
      <w:rPr>
        <w:rFonts w:hint="default"/>
        <w:lang w:val="zh-CN" w:eastAsia="zh-CN" w:bidi="zh-CN"/>
      </w:rPr>
    </w:lvl>
    <w:lvl w:ilvl="8" w:tentative="0">
      <w:start w:val="0"/>
      <w:numFmt w:val="bullet"/>
      <w:lvlText w:val="•"/>
      <w:lvlJc w:val="left"/>
      <w:pPr>
        <w:ind w:left="8773" w:hanging="601"/>
      </w:pPr>
      <w:rPr>
        <w:rFonts w:hint="default"/>
        <w:lang w:val="zh-CN" w:eastAsia="zh-CN" w:bidi="zh-CN"/>
      </w:rPr>
    </w:lvl>
  </w:abstractNum>
  <w:abstractNum w:abstractNumId="12">
    <w:nsid w:val="6C8617A0"/>
    <w:multiLevelType w:val="multilevel"/>
    <w:tmpl w:val="6C8617A0"/>
    <w:lvl w:ilvl="0" w:tentative="0">
      <w:start w:val="1"/>
      <w:numFmt w:val="decimal"/>
      <w:lvlText w:val="（%1）"/>
      <w:lvlJc w:val="left"/>
      <w:pPr>
        <w:ind w:left="160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490" w:hanging="601"/>
      </w:pPr>
      <w:rPr>
        <w:rFonts w:hint="default"/>
        <w:lang w:val="zh-CN" w:eastAsia="zh-CN" w:bidi="zh-CN"/>
      </w:rPr>
    </w:lvl>
    <w:lvl w:ilvl="2" w:tentative="0">
      <w:start w:val="0"/>
      <w:numFmt w:val="bullet"/>
      <w:lvlText w:val="•"/>
      <w:lvlJc w:val="left"/>
      <w:pPr>
        <w:ind w:left="3381" w:hanging="601"/>
      </w:pPr>
      <w:rPr>
        <w:rFonts w:hint="default"/>
        <w:lang w:val="zh-CN" w:eastAsia="zh-CN" w:bidi="zh-CN"/>
      </w:rPr>
    </w:lvl>
    <w:lvl w:ilvl="3" w:tentative="0">
      <w:start w:val="0"/>
      <w:numFmt w:val="bullet"/>
      <w:lvlText w:val="•"/>
      <w:lvlJc w:val="left"/>
      <w:pPr>
        <w:ind w:left="4272"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53" w:hanging="601"/>
      </w:pPr>
      <w:rPr>
        <w:rFonts w:hint="default"/>
        <w:lang w:val="zh-CN" w:eastAsia="zh-CN" w:bidi="zh-CN"/>
      </w:rPr>
    </w:lvl>
    <w:lvl w:ilvl="6" w:tentative="0">
      <w:start w:val="0"/>
      <w:numFmt w:val="bullet"/>
      <w:lvlText w:val="•"/>
      <w:lvlJc w:val="left"/>
      <w:pPr>
        <w:ind w:left="6944" w:hanging="601"/>
      </w:pPr>
      <w:rPr>
        <w:rFonts w:hint="default"/>
        <w:lang w:val="zh-CN" w:eastAsia="zh-CN" w:bidi="zh-CN"/>
      </w:rPr>
    </w:lvl>
    <w:lvl w:ilvl="7" w:tentative="0">
      <w:start w:val="0"/>
      <w:numFmt w:val="bullet"/>
      <w:lvlText w:val="•"/>
      <w:lvlJc w:val="left"/>
      <w:pPr>
        <w:ind w:left="7834" w:hanging="601"/>
      </w:pPr>
      <w:rPr>
        <w:rFonts w:hint="default"/>
        <w:lang w:val="zh-CN" w:eastAsia="zh-CN" w:bidi="zh-CN"/>
      </w:rPr>
    </w:lvl>
    <w:lvl w:ilvl="8" w:tentative="0">
      <w:start w:val="0"/>
      <w:numFmt w:val="bullet"/>
      <w:lvlText w:val="•"/>
      <w:lvlJc w:val="left"/>
      <w:pPr>
        <w:ind w:left="8725" w:hanging="601"/>
      </w:pPr>
      <w:rPr>
        <w:rFonts w:hint="default"/>
        <w:lang w:val="zh-CN" w:eastAsia="zh-CN" w:bidi="zh-CN"/>
      </w:rPr>
    </w:lvl>
  </w:abstractNum>
  <w:abstractNum w:abstractNumId="13">
    <w:nsid w:val="6FF25F40"/>
    <w:multiLevelType w:val="multilevel"/>
    <w:tmpl w:val="6FF25F40"/>
    <w:lvl w:ilvl="0" w:tentative="0">
      <w:start w:val="2"/>
      <w:numFmt w:val="decimal"/>
      <w:lvlText w:val="%1."/>
      <w:lvlJc w:val="left"/>
      <w:pPr>
        <w:ind w:left="1483" w:hanging="480"/>
      </w:pPr>
      <w:rPr>
        <w:rFonts w:hint="default" w:ascii="宋体" w:hAnsi="宋体" w:eastAsia="宋体" w:cs="宋体"/>
        <w:w w:val="100"/>
        <w:sz w:val="24"/>
        <w:szCs w:val="24"/>
        <w:lang w:val="zh-CN" w:eastAsia="zh-CN" w:bidi="zh-CN"/>
      </w:rPr>
    </w:lvl>
    <w:lvl w:ilvl="1" w:tentative="0">
      <w:start w:val="1"/>
      <w:numFmt w:val="decimal"/>
      <w:lvlText w:val="%1.%2"/>
      <w:lvlJc w:val="left"/>
      <w:pPr>
        <w:ind w:left="523" w:hanging="361"/>
      </w:pPr>
      <w:rPr>
        <w:rFonts w:hint="default" w:ascii="宋体" w:hAnsi="宋体" w:eastAsia="宋体" w:cs="宋体"/>
        <w:spacing w:val="-17"/>
        <w:w w:val="100"/>
        <w:sz w:val="22"/>
        <w:szCs w:val="22"/>
        <w:lang w:val="zh-CN" w:eastAsia="zh-CN" w:bidi="zh-CN"/>
      </w:rPr>
    </w:lvl>
    <w:lvl w:ilvl="2" w:tentative="0">
      <w:start w:val="0"/>
      <w:numFmt w:val="bullet"/>
      <w:lvlText w:val="•"/>
      <w:lvlJc w:val="left"/>
      <w:pPr>
        <w:ind w:left="1480" w:hanging="361"/>
      </w:pPr>
      <w:rPr>
        <w:rFonts w:hint="default"/>
        <w:lang w:val="zh-CN" w:eastAsia="zh-CN" w:bidi="zh-CN"/>
      </w:rPr>
    </w:lvl>
    <w:lvl w:ilvl="3" w:tentative="0">
      <w:start w:val="0"/>
      <w:numFmt w:val="bullet"/>
      <w:lvlText w:val="•"/>
      <w:lvlJc w:val="left"/>
      <w:pPr>
        <w:ind w:left="2608" w:hanging="361"/>
      </w:pPr>
      <w:rPr>
        <w:rFonts w:hint="default"/>
        <w:lang w:val="zh-CN" w:eastAsia="zh-CN" w:bidi="zh-CN"/>
      </w:rPr>
    </w:lvl>
    <w:lvl w:ilvl="4" w:tentative="0">
      <w:start w:val="0"/>
      <w:numFmt w:val="bullet"/>
      <w:lvlText w:val="•"/>
      <w:lvlJc w:val="left"/>
      <w:pPr>
        <w:ind w:left="3736" w:hanging="361"/>
      </w:pPr>
      <w:rPr>
        <w:rFonts w:hint="default"/>
        <w:lang w:val="zh-CN" w:eastAsia="zh-CN" w:bidi="zh-CN"/>
      </w:rPr>
    </w:lvl>
    <w:lvl w:ilvl="5" w:tentative="0">
      <w:start w:val="0"/>
      <w:numFmt w:val="bullet"/>
      <w:lvlText w:val="•"/>
      <w:lvlJc w:val="left"/>
      <w:pPr>
        <w:ind w:left="4865" w:hanging="361"/>
      </w:pPr>
      <w:rPr>
        <w:rFonts w:hint="default"/>
        <w:lang w:val="zh-CN" w:eastAsia="zh-CN" w:bidi="zh-CN"/>
      </w:rPr>
    </w:lvl>
    <w:lvl w:ilvl="6" w:tentative="0">
      <w:start w:val="0"/>
      <w:numFmt w:val="bullet"/>
      <w:lvlText w:val="•"/>
      <w:lvlJc w:val="left"/>
      <w:pPr>
        <w:ind w:left="5993" w:hanging="361"/>
      </w:pPr>
      <w:rPr>
        <w:rFonts w:hint="default"/>
        <w:lang w:val="zh-CN" w:eastAsia="zh-CN" w:bidi="zh-CN"/>
      </w:rPr>
    </w:lvl>
    <w:lvl w:ilvl="7" w:tentative="0">
      <w:start w:val="0"/>
      <w:numFmt w:val="bullet"/>
      <w:lvlText w:val="•"/>
      <w:lvlJc w:val="left"/>
      <w:pPr>
        <w:ind w:left="7121" w:hanging="361"/>
      </w:pPr>
      <w:rPr>
        <w:rFonts w:hint="default"/>
        <w:lang w:val="zh-CN" w:eastAsia="zh-CN" w:bidi="zh-CN"/>
      </w:rPr>
    </w:lvl>
    <w:lvl w:ilvl="8" w:tentative="0">
      <w:start w:val="0"/>
      <w:numFmt w:val="bullet"/>
      <w:lvlText w:val="•"/>
      <w:lvlJc w:val="left"/>
      <w:pPr>
        <w:ind w:left="8250" w:hanging="361"/>
      </w:pPr>
      <w:rPr>
        <w:rFonts w:hint="default"/>
        <w:lang w:val="zh-CN" w:eastAsia="zh-CN" w:bidi="zh-CN"/>
      </w:rPr>
    </w:lvl>
  </w:abstractNum>
  <w:abstractNum w:abstractNumId="14">
    <w:nsid w:val="77F95534"/>
    <w:multiLevelType w:val="multilevel"/>
    <w:tmpl w:val="77F95534"/>
    <w:lvl w:ilvl="0" w:tentative="0">
      <w:start w:val="1"/>
      <w:numFmt w:val="decimal"/>
      <w:lvlText w:val="%1"/>
      <w:lvlJc w:val="left"/>
      <w:pPr>
        <w:ind w:left="1423" w:hanging="420"/>
      </w:pPr>
      <w:rPr>
        <w:rFonts w:hint="default"/>
        <w:lang w:val="zh-CN" w:eastAsia="zh-CN" w:bidi="zh-CN"/>
      </w:rPr>
    </w:lvl>
    <w:lvl w:ilvl="1" w:tentative="0">
      <w:start w:val="1"/>
      <w:numFmt w:val="decimal"/>
      <w:lvlText w:val="%1.%2"/>
      <w:lvlJc w:val="left"/>
      <w:pPr>
        <w:ind w:left="1423"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3237" w:hanging="420"/>
      </w:pPr>
      <w:rPr>
        <w:rFonts w:hint="default"/>
        <w:lang w:val="zh-CN" w:eastAsia="zh-CN" w:bidi="zh-CN"/>
      </w:rPr>
    </w:lvl>
    <w:lvl w:ilvl="3" w:tentative="0">
      <w:start w:val="0"/>
      <w:numFmt w:val="bullet"/>
      <w:lvlText w:val="•"/>
      <w:lvlJc w:val="left"/>
      <w:pPr>
        <w:ind w:left="4146" w:hanging="420"/>
      </w:pPr>
      <w:rPr>
        <w:rFonts w:hint="default"/>
        <w:lang w:val="zh-CN" w:eastAsia="zh-CN" w:bidi="zh-CN"/>
      </w:rPr>
    </w:lvl>
    <w:lvl w:ilvl="4" w:tentative="0">
      <w:start w:val="0"/>
      <w:numFmt w:val="bullet"/>
      <w:lvlText w:val="•"/>
      <w:lvlJc w:val="left"/>
      <w:pPr>
        <w:ind w:left="5054" w:hanging="420"/>
      </w:pPr>
      <w:rPr>
        <w:rFonts w:hint="default"/>
        <w:lang w:val="zh-CN" w:eastAsia="zh-CN" w:bidi="zh-CN"/>
      </w:rPr>
    </w:lvl>
    <w:lvl w:ilvl="5" w:tentative="0">
      <w:start w:val="0"/>
      <w:numFmt w:val="bullet"/>
      <w:lvlText w:val="•"/>
      <w:lvlJc w:val="left"/>
      <w:pPr>
        <w:ind w:left="5963" w:hanging="420"/>
      </w:pPr>
      <w:rPr>
        <w:rFonts w:hint="default"/>
        <w:lang w:val="zh-CN" w:eastAsia="zh-CN" w:bidi="zh-CN"/>
      </w:rPr>
    </w:lvl>
    <w:lvl w:ilvl="6" w:tentative="0">
      <w:start w:val="0"/>
      <w:numFmt w:val="bullet"/>
      <w:lvlText w:val="•"/>
      <w:lvlJc w:val="left"/>
      <w:pPr>
        <w:ind w:left="6872" w:hanging="420"/>
      </w:pPr>
      <w:rPr>
        <w:rFonts w:hint="default"/>
        <w:lang w:val="zh-CN" w:eastAsia="zh-CN" w:bidi="zh-CN"/>
      </w:rPr>
    </w:lvl>
    <w:lvl w:ilvl="7" w:tentative="0">
      <w:start w:val="0"/>
      <w:numFmt w:val="bullet"/>
      <w:lvlText w:val="•"/>
      <w:lvlJc w:val="left"/>
      <w:pPr>
        <w:ind w:left="7780" w:hanging="420"/>
      </w:pPr>
      <w:rPr>
        <w:rFonts w:hint="default"/>
        <w:lang w:val="zh-CN" w:eastAsia="zh-CN" w:bidi="zh-CN"/>
      </w:rPr>
    </w:lvl>
    <w:lvl w:ilvl="8" w:tentative="0">
      <w:start w:val="0"/>
      <w:numFmt w:val="bullet"/>
      <w:lvlText w:val="•"/>
      <w:lvlJc w:val="left"/>
      <w:pPr>
        <w:ind w:left="8689" w:hanging="420"/>
      </w:pPr>
      <w:rPr>
        <w:rFonts w:hint="default"/>
        <w:lang w:val="zh-CN" w:eastAsia="zh-CN" w:bidi="zh-CN"/>
      </w:rPr>
    </w:lvl>
  </w:abstractNum>
  <w:num w:numId="1">
    <w:abstractNumId w:val="9"/>
  </w:num>
  <w:num w:numId="2">
    <w:abstractNumId w:val="8"/>
  </w:num>
  <w:num w:numId="3">
    <w:abstractNumId w:val="7"/>
  </w:num>
  <w:num w:numId="4">
    <w:abstractNumId w:val="0"/>
  </w:num>
  <w:num w:numId="5">
    <w:abstractNumId w:val="10"/>
  </w:num>
  <w:num w:numId="6">
    <w:abstractNumId w:val="11"/>
  </w:num>
  <w:num w:numId="7">
    <w:abstractNumId w:val="14"/>
  </w:num>
  <w:num w:numId="8">
    <w:abstractNumId w:val="13"/>
  </w:num>
  <w:num w:numId="9">
    <w:abstractNumId w:val="4"/>
  </w:num>
  <w:num w:numId="10">
    <w:abstractNumId w:val="12"/>
  </w:num>
  <w:num w:numId="11">
    <w:abstractNumId w:val="5"/>
  </w:num>
  <w:num w:numId="12">
    <w:abstractNumId w:val="6"/>
  </w:num>
  <w:num w:numId="13">
    <w:abstractNumId w:val="3"/>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3C6433"/>
    <w:rsid w:val="00001FC6"/>
    <w:rsid w:val="00003585"/>
    <w:rsid w:val="00005357"/>
    <w:rsid w:val="00023CDE"/>
    <w:rsid w:val="000240FC"/>
    <w:rsid w:val="00043CC4"/>
    <w:rsid w:val="00073AD8"/>
    <w:rsid w:val="00081234"/>
    <w:rsid w:val="00084B30"/>
    <w:rsid w:val="00085913"/>
    <w:rsid w:val="00096772"/>
    <w:rsid w:val="000A1812"/>
    <w:rsid w:val="000C26BB"/>
    <w:rsid w:val="000D4B3C"/>
    <w:rsid w:val="000D7E4C"/>
    <w:rsid w:val="000F289F"/>
    <w:rsid w:val="000F4E4A"/>
    <w:rsid w:val="001115C8"/>
    <w:rsid w:val="00111DFC"/>
    <w:rsid w:val="00112D22"/>
    <w:rsid w:val="0012120D"/>
    <w:rsid w:val="00125FDA"/>
    <w:rsid w:val="001377A0"/>
    <w:rsid w:val="0015325F"/>
    <w:rsid w:val="00153C14"/>
    <w:rsid w:val="001700F3"/>
    <w:rsid w:val="001705DE"/>
    <w:rsid w:val="00183FD8"/>
    <w:rsid w:val="001860F1"/>
    <w:rsid w:val="00193F9C"/>
    <w:rsid w:val="001D4E3E"/>
    <w:rsid w:val="001E5E7B"/>
    <w:rsid w:val="001F2DEA"/>
    <w:rsid w:val="00205F33"/>
    <w:rsid w:val="00235FEF"/>
    <w:rsid w:val="00246EA9"/>
    <w:rsid w:val="00253A99"/>
    <w:rsid w:val="00273F88"/>
    <w:rsid w:val="00282266"/>
    <w:rsid w:val="00292715"/>
    <w:rsid w:val="002C61E1"/>
    <w:rsid w:val="002C730E"/>
    <w:rsid w:val="002D1EAE"/>
    <w:rsid w:val="002D5C1A"/>
    <w:rsid w:val="002F3F11"/>
    <w:rsid w:val="002F4223"/>
    <w:rsid w:val="00301D25"/>
    <w:rsid w:val="003022E7"/>
    <w:rsid w:val="00322AA7"/>
    <w:rsid w:val="00337048"/>
    <w:rsid w:val="0037123A"/>
    <w:rsid w:val="00376D5B"/>
    <w:rsid w:val="003A5AC9"/>
    <w:rsid w:val="003C6433"/>
    <w:rsid w:val="003D5928"/>
    <w:rsid w:val="00402D63"/>
    <w:rsid w:val="00415739"/>
    <w:rsid w:val="004219EB"/>
    <w:rsid w:val="00422C64"/>
    <w:rsid w:val="00452765"/>
    <w:rsid w:val="00453175"/>
    <w:rsid w:val="00461EAC"/>
    <w:rsid w:val="00472D26"/>
    <w:rsid w:val="00476D04"/>
    <w:rsid w:val="00491F4F"/>
    <w:rsid w:val="004D0BEB"/>
    <w:rsid w:val="004D4276"/>
    <w:rsid w:val="004F05E7"/>
    <w:rsid w:val="004F05EC"/>
    <w:rsid w:val="004F4468"/>
    <w:rsid w:val="005058F9"/>
    <w:rsid w:val="00514E20"/>
    <w:rsid w:val="00515EB9"/>
    <w:rsid w:val="00520344"/>
    <w:rsid w:val="0054287A"/>
    <w:rsid w:val="00570D8A"/>
    <w:rsid w:val="00584391"/>
    <w:rsid w:val="005861A5"/>
    <w:rsid w:val="00587FEE"/>
    <w:rsid w:val="0059285B"/>
    <w:rsid w:val="005B5943"/>
    <w:rsid w:val="005C11F3"/>
    <w:rsid w:val="005C129F"/>
    <w:rsid w:val="005C39CC"/>
    <w:rsid w:val="005D1867"/>
    <w:rsid w:val="005E30A5"/>
    <w:rsid w:val="005F47D5"/>
    <w:rsid w:val="00624975"/>
    <w:rsid w:val="006356A7"/>
    <w:rsid w:val="006375F5"/>
    <w:rsid w:val="00662A25"/>
    <w:rsid w:val="00692CFD"/>
    <w:rsid w:val="0069777E"/>
    <w:rsid w:val="006A6883"/>
    <w:rsid w:val="006B7B6B"/>
    <w:rsid w:val="006C5088"/>
    <w:rsid w:val="006E22D2"/>
    <w:rsid w:val="006E7A5A"/>
    <w:rsid w:val="00706BA4"/>
    <w:rsid w:val="0071133E"/>
    <w:rsid w:val="0074452C"/>
    <w:rsid w:val="00761BA3"/>
    <w:rsid w:val="00773BF7"/>
    <w:rsid w:val="00774FF3"/>
    <w:rsid w:val="007A0043"/>
    <w:rsid w:val="007A1829"/>
    <w:rsid w:val="007C1993"/>
    <w:rsid w:val="007E55DF"/>
    <w:rsid w:val="007F11FF"/>
    <w:rsid w:val="007F4E7D"/>
    <w:rsid w:val="00820B0F"/>
    <w:rsid w:val="00830388"/>
    <w:rsid w:val="00865E00"/>
    <w:rsid w:val="0086639A"/>
    <w:rsid w:val="00880390"/>
    <w:rsid w:val="00882075"/>
    <w:rsid w:val="008821BA"/>
    <w:rsid w:val="008A59C3"/>
    <w:rsid w:val="008A6B29"/>
    <w:rsid w:val="008D40D6"/>
    <w:rsid w:val="008D428D"/>
    <w:rsid w:val="008F1239"/>
    <w:rsid w:val="008F7DE4"/>
    <w:rsid w:val="009013BC"/>
    <w:rsid w:val="0090493E"/>
    <w:rsid w:val="009330E4"/>
    <w:rsid w:val="0094567A"/>
    <w:rsid w:val="00955717"/>
    <w:rsid w:val="009612B7"/>
    <w:rsid w:val="00962589"/>
    <w:rsid w:val="00962F93"/>
    <w:rsid w:val="00966064"/>
    <w:rsid w:val="00980E14"/>
    <w:rsid w:val="00996256"/>
    <w:rsid w:val="0099766D"/>
    <w:rsid w:val="009F346A"/>
    <w:rsid w:val="00A13402"/>
    <w:rsid w:val="00A47B4E"/>
    <w:rsid w:val="00A54249"/>
    <w:rsid w:val="00A6104B"/>
    <w:rsid w:val="00A616F2"/>
    <w:rsid w:val="00A94B8A"/>
    <w:rsid w:val="00AA0B29"/>
    <w:rsid w:val="00AD16A9"/>
    <w:rsid w:val="00AF04C7"/>
    <w:rsid w:val="00AF5E41"/>
    <w:rsid w:val="00AF7945"/>
    <w:rsid w:val="00B07FCE"/>
    <w:rsid w:val="00B12154"/>
    <w:rsid w:val="00B12B73"/>
    <w:rsid w:val="00B34204"/>
    <w:rsid w:val="00B45996"/>
    <w:rsid w:val="00B52C45"/>
    <w:rsid w:val="00B75846"/>
    <w:rsid w:val="00B85DD2"/>
    <w:rsid w:val="00B94277"/>
    <w:rsid w:val="00BB2370"/>
    <w:rsid w:val="00BB4BE8"/>
    <w:rsid w:val="00BF3DEB"/>
    <w:rsid w:val="00BF545D"/>
    <w:rsid w:val="00C116F9"/>
    <w:rsid w:val="00C1381A"/>
    <w:rsid w:val="00C16420"/>
    <w:rsid w:val="00C34627"/>
    <w:rsid w:val="00C42296"/>
    <w:rsid w:val="00C43477"/>
    <w:rsid w:val="00C45815"/>
    <w:rsid w:val="00C67A15"/>
    <w:rsid w:val="00C733CE"/>
    <w:rsid w:val="00C8582A"/>
    <w:rsid w:val="00CD2E49"/>
    <w:rsid w:val="00CD60C9"/>
    <w:rsid w:val="00CE4283"/>
    <w:rsid w:val="00CF73B5"/>
    <w:rsid w:val="00D03410"/>
    <w:rsid w:val="00D20548"/>
    <w:rsid w:val="00D46F40"/>
    <w:rsid w:val="00D473DA"/>
    <w:rsid w:val="00D501AF"/>
    <w:rsid w:val="00D56EF9"/>
    <w:rsid w:val="00D65C65"/>
    <w:rsid w:val="00D66D95"/>
    <w:rsid w:val="00D74DD6"/>
    <w:rsid w:val="00D818AB"/>
    <w:rsid w:val="00D91AC3"/>
    <w:rsid w:val="00DA5EB7"/>
    <w:rsid w:val="00DA68FA"/>
    <w:rsid w:val="00DA69B6"/>
    <w:rsid w:val="00DC0406"/>
    <w:rsid w:val="00DE1672"/>
    <w:rsid w:val="00DF0CF6"/>
    <w:rsid w:val="00DF6597"/>
    <w:rsid w:val="00DF6A32"/>
    <w:rsid w:val="00E15308"/>
    <w:rsid w:val="00E32054"/>
    <w:rsid w:val="00E428C1"/>
    <w:rsid w:val="00E47DDB"/>
    <w:rsid w:val="00E8094F"/>
    <w:rsid w:val="00E847C4"/>
    <w:rsid w:val="00EA4E5F"/>
    <w:rsid w:val="00EF3EC0"/>
    <w:rsid w:val="00F01E65"/>
    <w:rsid w:val="00F03B19"/>
    <w:rsid w:val="00F04AC1"/>
    <w:rsid w:val="00F22335"/>
    <w:rsid w:val="00F37B1C"/>
    <w:rsid w:val="00F4623D"/>
    <w:rsid w:val="00F77C3A"/>
    <w:rsid w:val="00F77F5C"/>
    <w:rsid w:val="00F90461"/>
    <w:rsid w:val="00F9273B"/>
    <w:rsid w:val="00FB28E1"/>
    <w:rsid w:val="00FD57FA"/>
    <w:rsid w:val="13730A6C"/>
    <w:rsid w:val="2CB148FE"/>
    <w:rsid w:val="33C33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link w:val="29"/>
    <w:unhideWhenUsed/>
    <w:qFormat/>
    <w:uiPriority w:val="9"/>
    <w:pPr>
      <w:keepNext/>
      <w:keepLines/>
      <w:autoSpaceDE/>
      <w:autoSpaceDN/>
      <w:spacing w:before="120" w:after="120"/>
      <w:jc w:val="both"/>
      <w:outlineLvl w:val="1"/>
    </w:pPr>
    <w:rPr>
      <w:rFonts w:ascii="微软雅黑" w:hAnsi="微软雅黑" w:eastAsia="微软雅黑" w:cs="微软雅黑"/>
      <w:b/>
      <w:bCs/>
      <w:kern w:val="2"/>
      <w:sz w:val="32"/>
      <w:szCs w:val="32"/>
      <w:lang w:val="en-US"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link w:val="30"/>
    <w:qFormat/>
    <w:uiPriority w:val="99"/>
    <w:pPr>
      <w:adjustRightInd w:val="0"/>
      <w:spacing w:after="120"/>
      <w:ind w:left="567" w:firstLine="420" w:firstLineChars="200"/>
    </w:pPr>
    <w:rPr>
      <w:rFonts w:ascii="Times New Roman" w:hAnsi="Times New Roman" w:cs="Times New Roman"/>
      <w:sz w:val="21"/>
      <w:szCs w:val="20"/>
      <w:lang w:val="en-US" w:bidi="ar-SA"/>
    </w:rPr>
  </w:style>
  <w:style w:type="paragraph" w:styleId="4">
    <w:name w:val="annotation text"/>
    <w:basedOn w:val="1"/>
    <w:link w:val="27"/>
    <w:qFormat/>
    <w:uiPriority w:val="0"/>
    <w:pPr>
      <w:autoSpaceDE/>
      <w:autoSpaceDN/>
    </w:pPr>
    <w:rPr>
      <w:rFonts w:asciiTheme="minorHAnsi" w:hAnsiTheme="minorHAnsi" w:eastAsiaTheme="minorEastAsia" w:cstheme="minorBidi"/>
      <w:kern w:val="2"/>
      <w:sz w:val="21"/>
      <w:szCs w:val="20"/>
      <w:lang w:val="en-US" w:bidi="ar-SA"/>
    </w:rPr>
  </w:style>
  <w:style w:type="paragraph" w:styleId="5">
    <w:name w:val="Body Text"/>
    <w:basedOn w:val="1"/>
    <w:qFormat/>
    <w:uiPriority w:val="1"/>
    <w:rPr>
      <w:sz w:val="24"/>
      <w:szCs w:val="24"/>
    </w:rPr>
  </w:style>
  <w:style w:type="paragraph" w:styleId="6">
    <w:name w:val="Plain Text"/>
    <w:basedOn w:val="1"/>
    <w:link w:val="24"/>
    <w:qFormat/>
    <w:uiPriority w:val="0"/>
    <w:pPr>
      <w:autoSpaceDE/>
      <w:autoSpaceDN/>
      <w:spacing w:after="200" w:line="276" w:lineRule="auto"/>
      <w:jc w:val="both"/>
    </w:pPr>
    <w:rPr>
      <w:rFonts w:hAnsi="Courier New" w:cs="Times New Roman"/>
      <w:kern w:val="2"/>
      <w:sz w:val="21"/>
      <w:szCs w:val="20"/>
      <w:lang w:bidi="ar-SA"/>
    </w:rPr>
  </w:style>
  <w:style w:type="paragraph" w:styleId="7">
    <w:name w:val="Balloon Text"/>
    <w:basedOn w:val="1"/>
    <w:link w:val="20"/>
    <w:semiHidden/>
    <w:unhideWhenUsed/>
    <w:qFormat/>
    <w:uiPriority w:val="99"/>
    <w:rPr>
      <w:sz w:val="18"/>
      <w:szCs w:val="18"/>
    </w:rPr>
  </w:style>
  <w:style w:type="paragraph" w:styleId="8">
    <w:name w:val="footer"/>
    <w:basedOn w:val="1"/>
    <w:link w:val="22"/>
    <w:semiHidden/>
    <w:unhideWhenUsed/>
    <w:qFormat/>
    <w:uiPriority w:val="99"/>
    <w:pPr>
      <w:tabs>
        <w:tab w:val="center" w:pos="4153"/>
        <w:tab w:val="right" w:pos="8306"/>
      </w:tabs>
      <w:snapToGrid w:val="0"/>
    </w:pPr>
    <w:rPr>
      <w:sz w:val="18"/>
      <w:szCs w:val="18"/>
    </w:rPr>
  </w:style>
  <w:style w:type="paragraph" w:styleId="9">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link w:val="28"/>
    <w:qFormat/>
    <w:uiPriority w:val="0"/>
    <w:pPr>
      <w:autoSpaceDE/>
      <w:autoSpaceDN/>
      <w:jc w:val="center"/>
    </w:pPr>
    <w:rPr>
      <w:rFonts w:ascii="Calibri" w:hAnsi="Calibri" w:cs="Times New Roman"/>
      <w:b/>
      <w:bCs/>
      <w:kern w:val="2"/>
      <w:sz w:val="36"/>
      <w:szCs w:val="20"/>
      <w:lang w:val="en-US" w:bidi="ar-SA"/>
    </w:rPr>
  </w:style>
  <w:style w:type="table" w:customStyle="1" w:styleId="13">
    <w:name w:val="Table Normal"/>
    <w:semiHidden/>
    <w:unhideWhenUsed/>
    <w:qFormat/>
    <w:uiPriority w:val="2"/>
    <w:tblPr>
      <w:tblLayout w:type="fixed"/>
      <w:tblCellMar>
        <w:top w:w="0" w:type="dxa"/>
        <w:left w:w="0" w:type="dxa"/>
        <w:bottom w:w="0" w:type="dxa"/>
        <w:right w:w="0" w:type="dxa"/>
      </w:tblCellMar>
    </w:tblPr>
  </w:style>
  <w:style w:type="paragraph" w:customStyle="1" w:styleId="14">
    <w:name w:val="目录 11"/>
    <w:basedOn w:val="1"/>
    <w:qFormat/>
    <w:uiPriority w:val="1"/>
    <w:pPr>
      <w:spacing w:before="61"/>
      <w:ind w:right="568"/>
      <w:jc w:val="right"/>
    </w:pPr>
    <w:rPr>
      <w:sz w:val="20"/>
      <w:szCs w:val="20"/>
    </w:rPr>
  </w:style>
  <w:style w:type="paragraph" w:customStyle="1" w:styleId="15">
    <w:name w:val="标题 11"/>
    <w:basedOn w:val="1"/>
    <w:qFormat/>
    <w:uiPriority w:val="1"/>
    <w:pPr>
      <w:ind w:left="1860" w:right="1069"/>
      <w:jc w:val="center"/>
      <w:outlineLvl w:val="1"/>
    </w:pPr>
    <w:rPr>
      <w:sz w:val="32"/>
      <w:szCs w:val="32"/>
    </w:rPr>
  </w:style>
  <w:style w:type="paragraph" w:customStyle="1" w:styleId="16">
    <w:name w:val="标题 21"/>
    <w:basedOn w:val="1"/>
    <w:qFormat/>
    <w:uiPriority w:val="1"/>
    <w:pPr>
      <w:spacing w:before="1"/>
      <w:ind w:left="1728" w:right="1746"/>
      <w:jc w:val="center"/>
      <w:outlineLvl w:val="2"/>
    </w:pPr>
    <w:rPr>
      <w:sz w:val="30"/>
      <w:szCs w:val="30"/>
    </w:rPr>
  </w:style>
  <w:style w:type="paragraph" w:customStyle="1" w:styleId="17">
    <w:name w:val="标题 31"/>
    <w:basedOn w:val="1"/>
    <w:qFormat/>
    <w:uiPriority w:val="1"/>
    <w:pPr>
      <w:ind w:left="1020"/>
      <w:outlineLvl w:val="3"/>
    </w:pPr>
    <w:rPr>
      <w:sz w:val="28"/>
      <w:szCs w:val="28"/>
    </w:rPr>
  </w:style>
  <w:style w:type="paragraph" w:styleId="18">
    <w:name w:val="List Paragraph"/>
    <w:basedOn w:val="1"/>
    <w:link w:val="25"/>
    <w:qFormat/>
    <w:uiPriority w:val="34"/>
    <w:pPr>
      <w:spacing w:before="158"/>
      <w:ind w:left="523" w:firstLine="480"/>
    </w:pPr>
  </w:style>
  <w:style w:type="paragraph" w:customStyle="1" w:styleId="19">
    <w:name w:val="Table Paragraph"/>
    <w:basedOn w:val="1"/>
    <w:qFormat/>
    <w:uiPriority w:val="1"/>
  </w:style>
  <w:style w:type="character" w:customStyle="1" w:styleId="20">
    <w:name w:val="批注框文本 Char"/>
    <w:basedOn w:val="12"/>
    <w:link w:val="7"/>
    <w:semiHidden/>
    <w:qFormat/>
    <w:uiPriority w:val="99"/>
    <w:rPr>
      <w:rFonts w:ascii="宋体" w:hAnsi="宋体" w:eastAsia="宋体" w:cs="宋体"/>
      <w:sz w:val="18"/>
      <w:szCs w:val="18"/>
      <w:lang w:val="zh-CN" w:eastAsia="zh-CN" w:bidi="zh-CN"/>
    </w:rPr>
  </w:style>
  <w:style w:type="character" w:customStyle="1" w:styleId="21">
    <w:name w:val="页眉 Char"/>
    <w:basedOn w:val="12"/>
    <w:link w:val="9"/>
    <w:semiHidden/>
    <w:qFormat/>
    <w:uiPriority w:val="99"/>
    <w:rPr>
      <w:rFonts w:ascii="宋体" w:hAnsi="宋体" w:eastAsia="宋体" w:cs="宋体"/>
      <w:sz w:val="18"/>
      <w:szCs w:val="18"/>
      <w:lang w:val="zh-CN" w:eastAsia="zh-CN" w:bidi="zh-CN"/>
    </w:rPr>
  </w:style>
  <w:style w:type="character" w:customStyle="1" w:styleId="22">
    <w:name w:val="页脚 Char"/>
    <w:basedOn w:val="12"/>
    <w:link w:val="8"/>
    <w:semiHidden/>
    <w:qFormat/>
    <w:uiPriority w:val="99"/>
    <w:rPr>
      <w:rFonts w:ascii="宋体" w:hAnsi="宋体" w:eastAsia="宋体" w:cs="宋体"/>
      <w:sz w:val="18"/>
      <w:szCs w:val="18"/>
      <w:lang w:val="zh-CN" w:eastAsia="zh-CN" w:bidi="zh-CN"/>
    </w:rPr>
  </w:style>
  <w:style w:type="character" w:customStyle="1" w:styleId="23">
    <w:name w:val="纯文本 Char"/>
    <w:basedOn w:val="12"/>
    <w:qFormat/>
    <w:uiPriority w:val="0"/>
    <w:rPr>
      <w:rFonts w:ascii="宋体" w:hAnsi="Courier New" w:eastAsia="宋体" w:cs="Courier New"/>
      <w:sz w:val="21"/>
      <w:szCs w:val="21"/>
      <w:lang w:val="zh-CN" w:eastAsia="zh-CN" w:bidi="zh-CN"/>
    </w:rPr>
  </w:style>
  <w:style w:type="character" w:customStyle="1" w:styleId="24">
    <w:name w:val="纯文本 Char1"/>
    <w:link w:val="6"/>
    <w:qFormat/>
    <w:uiPriority w:val="0"/>
    <w:rPr>
      <w:rFonts w:ascii="宋体" w:hAnsi="Courier New" w:eastAsia="宋体" w:cs="Times New Roman"/>
      <w:kern w:val="2"/>
      <w:sz w:val="21"/>
      <w:szCs w:val="20"/>
      <w:lang w:val="zh-CN" w:eastAsia="zh-CN"/>
    </w:rPr>
  </w:style>
  <w:style w:type="character" w:customStyle="1" w:styleId="25">
    <w:name w:val="列出段落 Char"/>
    <w:link w:val="18"/>
    <w:qFormat/>
    <w:uiPriority w:val="34"/>
    <w:rPr>
      <w:rFonts w:ascii="宋体" w:hAnsi="宋体" w:eastAsia="宋体" w:cs="宋体"/>
      <w:sz w:val="22"/>
      <w:szCs w:val="22"/>
      <w:lang w:val="zh-CN" w:bidi="zh-CN"/>
    </w:rPr>
  </w:style>
  <w:style w:type="character" w:customStyle="1" w:styleId="26">
    <w:name w:val="批注文字 Char"/>
    <w:link w:val="4"/>
    <w:qFormat/>
    <w:uiPriority w:val="0"/>
    <w:rPr>
      <w:kern w:val="2"/>
      <w:sz w:val="21"/>
    </w:rPr>
  </w:style>
  <w:style w:type="character" w:customStyle="1" w:styleId="27">
    <w:name w:val="批注文字 Char1"/>
    <w:basedOn w:val="12"/>
    <w:link w:val="4"/>
    <w:semiHidden/>
    <w:qFormat/>
    <w:uiPriority w:val="99"/>
    <w:rPr>
      <w:rFonts w:ascii="宋体" w:hAnsi="宋体" w:eastAsia="宋体" w:cs="宋体"/>
      <w:sz w:val="22"/>
      <w:szCs w:val="22"/>
      <w:lang w:val="zh-CN" w:bidi="zh-CN"/>
    </w:rPr>
  </w:style>
  <w:style w:type="character" w:customStyle="1" w:styleId="28">
    <w:name w:val="标题 Char"/>
    <w:basedOn w:val="12"/>
    <w:link w:val="10"/>
    <w:qFormat/>
    <w:uiPriority w:val="0"/>
    <w:rPr>
      <w:rFonts w:ascii="Calibri" w:hAnsi="Calibri" w:eastAsia="宋体" w:cs="Times New Roman"/>
      <w:b/>
      <w:bCs/>
      <w:kern w:val="2"/>
      <w:sz w:val="36"/>
    </w:rPr>
  </w:style>
  <w:style w:type="character" w:customStyle="1" w:styleId="29">
    <w:name w:val="标题 2 Char"/>
    <w:basedOn w:val="12"/>
    <w:link w:val="2"/>
    <w:qFormat/>
    <w:uiPriority w:val="9"/>
    <w:rPr>
      <w:rFonts w:ascii="微软雅黑" w:hAnsi="微软雅黑" w:eastAsia="微软雅黑" w:cs="微软雅黑"/>
      <w:b/>
      <w:bCs/>
      <w:kern w:val="2"/>
      <w:sz w:val="32"/>
      <w:szCs w:val="32"/>
    </w:rPr>
  </w:style>
  <w:style w:type="character" w:customStyle="1" w:styleId="30">
    <w:name w:val="正文缩进 Char"/>
    <w:basedOn w:val="12"/>
    <w:link w:val="3"/>
    <w:qFormat/>
    <w:locked/>
    <w:uiPriority w:val="99"/>
    <w:rPr>
      <w:rFonts w:ascii="Times New Roman" w:hAnsi="Times New Roman" w:eastAsia="宋体" w:cs="Times New Roman"/>
      <w:sz w:val="21"/>
    </w:rPr>
  </w:style>
  <w:style w:type="paragraph" w:customStyle="1" w:styleId="31">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customStyle="1" w:styleId="32">
    <w:name w:val="列表段落1"/>
    <w:basedOn w:val="1"/>
    <w:qFormat/>
    <w:uiPriority w:val="0"/>
    <w:pPr>
      <w:autoSpaceDE/>
      <w:autoSpaceDN/>
      <w:ind w:firstLine="420" w:firstLineChars="200"/>
      <w:jc w:val="both"/>
    </w:pPr>
    <w:rPr>
      <w:rFonts w:ascii="Calibri" w:hAnsi="Calibri" w:cs="Times New Roman"/>
      <w:kern w:val="2"/>
      <w:sz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71"/>
    <customShpInfo spid="_x0000_s2063"/>
    <customShpInfo spid="_x0000_s2055"/>
    <customShpInfo spid="_x0000_s2054"/>
    <customShpInfo spid="_x0000_s2050"/>
    <customShpInfo spid="_x0000_s2049"/>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4411</Words>
  <Characters>25146</Characters>
  <Lines>209</Lines>
  <Paragraphs>58</Paragraphs>
  <TotalTime>254</TotalTime>
  <ScaleCrop>false</ScaleCrop>
  <LinksUpToDate>false</LinksUpToDate>
  <CharactersWithSpaces>29499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2020-04-22T08:30:00Z</dcterms:created>
  <dc:creator>笨宝宝</dc:creator>
  <cp:lastModifiedBy>why</cp:lastModifiedBy>
  <cp:lastPrinted>2020-05-14T02:04:00Z</cp:lastPrinted>
  <dcterms:modified xsi:type="dcterms:W3CDTF">2022-04-08T07:02:34Z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WPS 文字</vt:lpwstr>
  </property>
  <property fmtid="{D5CDD505-2E9C-101B-9397-08002B2CF9AE}" pid="4" name="LastSaved">
    <vt:filetime>2020-04-22T00:00:00Z</vt:filetime>
  </property>
  <property fmtid="{D5CDD505-2E9C-101B-9397-08002B2CF9AE}" pid="5" name="KSOProductBuildVer">
    <vt:lpwstr>2052-11.8.2.8411</vt:lpwstr>
  </property>
</Properties>
</file>