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7"/>
        <w:rPr>
          <w:rFonts w:hint="eastAsia" w:ascii="仿宋" w:hAnsi="仿宋" w:eastAsia="仿宋" w:cs="仿宋"/>
          <w:b/>
          <w:color w:val="auto"/>
          <w:sz w:val="24"/>
          <w:szCs w:val="24"/>
          <w:highlight w:val="none"/>
        </w:rPr>
      </w:pPr>
    </w:p>
    <w:p>
      <w:pPr>
        <w:rPr>
          <w:rFonts w:hint="eastAsia"/>
          <w:color w:val="auto"/>
          <w:highlight w:val="none"/>
        </w:rPr>
      </w:pPr>
    </w:p>
    <w:p>
      <w:pPr>
        <w:pStyle w:val="6"/>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t>音乐教学实践实训平台—</w:t>
      </w: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t>实验室舞台器材采购项目</w:t>
      </w:r>
    </w:p>
    <w:p>
      <w:pPr>
        <w:widowControl w:val="0"/>
        <w:tabs>
          <w:tab w:val="left" w:pos="1960"/>
          <w:tab w:val="left" w:pos="3480"/>
          <w:tab w:val="left" w:pos="4980"/>
        </w:tabs>
        <w:wordWrap/>
        <w:adjustRightInd/>
        <w:snapToGrid/>
        <w:spacing w:beforeAutospacing="0" w:afterAutospacing="0" w:line="520" w:lineRule="exact"/>
        <w:ind w:left="0" w:leftChars="0" w:right="0"/>
        <w:jc w:val="center"/>
        <w:textAlignment w:val="auto"/>
        <w:rPr>
          <w:rFonts w:hint="eastAsia" w:ascii="仿宋" w:hAnsi="仿宋" w:eastAsia="仿宋" w:cs="仿宋"/>
          <w:b/>
          <w:bCs w:val="0"/>
          <w:color w:val="auto"/>
          <w:sz w:val="44"/>
          <w:szCs w:val="44"/>
          <w:highlight w:val="none"/>
          <w:lang w:eastAsia="zh-CN"/>
        </w:rPr>
      </w:pPr>
      <w:r>
        <w:rPr>
          <w:rFonts w:hint="eastAsia" w:ascii="仿宋" w:hAnsi="仿宋" w:eastAsia="仿宋" w:cs="仿宋"/>
          <w:b/>
          <w:bCs w:val="0"/>
          <w:color w:val="auto"/>
          <w:sz w:val="44"/>
          <w:szCs w:val="44"/>
          <w:highlight w:val="none"/>
          <w:lang w:eastAsia="zh-CN"/>
        </w:rPr>
        <w:br w:type="textWrapping"/>
      </w:r>
      <w:r>
        <w:rPr>
          <w:rFonts w:hint="eastAsia" w:ascii="仿宋" w:hAnsi="仿宋" w:eastAsia="仿宋" w:cs="仿宋"/>
          <w:b/>
          <w:bCs w:val="0"/>
          <w:color w:val="auto"/>
          <w:sz w:val="44"/>
          <w:szCs w:val="44"/>
          <w:highlight w:val="none"/>
          <w:lang w:eastAsia="zh-CN"/>
        </w:rPr>
        <w:t>采购文件</w:t>
      </w:r>
    </w:p>
    <w:p>
      <w:pPr>
        <w:wordWrap/>
        <w:spacing w:beforeAutospacing="0" w:afterAutospacing="0" w:line="400" w:lineRule="exact"/>
        <w:ind w:left="0" w:leftChars="0" w:right="0"/>
        <w:jc w:val="center"/>
        <w:rPr>
          <w:rFonts w:hint="eastAsia" w:ascii="仿宋" w:hAnsi="仿宋" w:eastAsia="仿宋" w:cs="仿宋"/>
          <w:b/>
          <w:color w:val="auto"/>
          <w:sz w:val="32"/>
          <w:szCs w:val="32"/>
          <w:highlight w:val="none"/>
        </w:rPr>
      </w:pPr>
    </w:p>
    <w:p>
      <w:pPr>
        <w:wordWrap/>
        <w:spacing w:beforeAutospacing="0" w:afterAutospacing="0" w:line="400" w:lineRule="exact"/>
        <w:ind w:left="0" w:leftChars="0" w:right="0"/>
        <w:jc w:val="center"/>
        <w:rPr>
          <w:rFonts w:hint="default" w:ascii="仿宋" w:hAnsi="仿宋" w:eastAsia="仿宋" w:cs="仿宋"/>
          <w:color w:val="auto"/>
          <w:sz w:val="32"/>
          <w:szCs w:val="32"/>
          <w:highlight w:val="none"/>
          <w:lang w:val="en-US" w:eastAsia="zh-CN"/>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YSXY2022-10</w:t>
      </w:r>
    </w:p>
    <w:p>
      <w:pPr>
        <w:wordWrap/>
        <w:spacing w:beforeAutospacing="0" w:afterAutospacing="0" w:line="400" w:lineRule="exact"/>
        <w:ind w:left="0" w:leftChars="0" w:right="0"/>
        <w:rPr>
          <w:rFonts w:hint="eastAsia" w:ascii="仿宋" w:hAnsi="仿宋" w:eastAsia="仿宋" w:cs="仿宋"/>
          <w:b/>
          <w:color w:val="auto"/>
          <w:sz w:val="32"/>
          <w:szCs w:val="32"/>
          <w:highlight w:val="none"/>
        </w:rPr>
      </w:pPr>
    </w:p>
    <w:p>
      <w:pPr>
        <w:pStyle w:val="6"/>
        <w:wordWrap/>
        <w:spacing w:before="0" w:beforeAutospacing="0" w:after="0" w:afterAutospacing="0" w:line="400" w:lineRule="exact"/>
        <w:ind w:left="0" w:leftChars="0" w:right="0"/>
        <w:rPr>
          <w:rFonts w:hint="eastAsia" w:ascii="仿宋" w:hAnsi="仿宋" w:eastAsia="仿宋" w:cs="仿宋"/>
          <w:color w:val="auto"/>
          <w:sz w:val="32"/>
          <w:szCs w:val="32"/>
          <w:highlight w:val="none"/>
        </w:rPr>
      </w:pPr>
    </w:p>
    <w:p>
      <w:pPr>
        <w:wordWrap/>
        <w:spacing w:beforeAutospacing="0" w:afterAutospacing="0" w:line="400" w:lineRule="exact"/>
        <w:ind w:left="0" w:leftChars="0" w:right="0"/>
        <w:rPr>
          <w:rFonts w:hint="eastAsia" w:ascii="仿宋" w:hAnsi="仿宋" w:eastAsia="仿宋" w:cs="仿宋"/>
          <w:color w:val="auto"/>
          <w:sz w:val="32"/>
          <w:szCs w:val="32"/>
          <w:highlight w:val="none"/>
        </w:rPr>
      </w:pPr>
    </w:p>
    <w:p>
      <w:pPr>
        <w:pStyle w:val="12"/>
        <w:wordWrap/>
        <w:spacing w:beforeAutospacing="0" w:afterAutospacing="0" w:line="400" w:lineRule="exact"/>
        <w:ind w:left="0" w:leftChars="0" w:right="0"/>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pStyle w:val="19"/>
        <w:rPr>
          <w:rFonts w:hint="eastAsia" w:ascii="仿宋" w:hAnsi="仿宋" w:eastAsia="仿宋" w:cs="仿宋"/>
          <w:color w:val="auto"/>
          <w:sz w:val="32"/>
          <w:szCs w:val="32"/>
          <w:highlight w:val="none"/>
        </w:rPr>
      </w:pPr>
    </w:p>
    <w:p>
      <w:pPr>
        <w:wordWrap/>
        <w:spacing w:beforeAutospacing="0" w:afterAutospacing="0" w:line="400" w:lineRule="exact"/>
        <w:ind w:left="0" w:leftChars="0" w:right="0" w:firstLine="1915" w:firstLineChars="596"/>
        <w:rPr>
          <w:rFonts w:hint="eastAsia" w:ascii="仿宋" w:hAnsi="仿宋" w:eastAsia="仿宋" w:cs="仿宋"/>
          <w:b/>
          <w:color w:val="auto"/>
          <w:sz w:val="32"/>
          <w:szCs w:val="32"/>
          <w:highlight w:val="none"/>
        </w:rPr>
      </w:pP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采购人名称：</w:t>
      </w:r>
      <w:r>
        <w:rPr>
          <w:rFonts w:hint="eastAsia" w:ascii="仿宋" w:hAnsi="仿宋" w:eastAsia="仿宋" w:cs="仿宋"/>
          <w:b/>
          <w:color w:val="auto"/>
          <w:sz w:val="32"/>
          <w:szCs w:val="32"/>
          <w:highlight w:val="none"/>
          <w:lang w:eastAsia="zh-CN"/>
        </w:rPr>
        <w:t>新疆艺术学院</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联系人：</w:t>
      </w:r>
      <w:r>
        <w:rPr>
          <w:rFonts w:hint="eastAsia" w:ascii="仿宋" w:hAnsi="仿宋" w:eastAsia="仿宋" w:cs="仿宋"/>
          <w:b/>
          <w:color w:val="auto"/>
          <w:sz w:val="32"/>
          <w:szCs w:val="32"/>
          <w:highlight w:val="none"/>
          <w:lang w:val="en-US" w:eastAsia="zh-CN"/>
        </w:rPr>
        <w:t xml:space="preserve">古丽夏提老师  </w:t>
      </w:r>
      <w:r>
        <w:rPr>
          <w:rFonts w:hint="eastAsia" w:ascii="仿宋" w:hAnsi="仿宋" w:eastAsia="仿宋" w:cs="仿宋"/>
          <w:b/>
          <w:color w:val="auto"/>
          <w:sz w:val="32"/>
          <w:szCs w:val="32"/>
          <w:highlight w:val="none"/>
        </w:rPr>
        <w:t> </w:t>
      </w:r>
    </w:p>
    <w:p>
      <w:pPr>
        <w:wordWrap/>
        <w:spacing w:beforeAutospacing="0" w:afterAutospacing="0" w:line="400" w:lineRule="exact"/>
        <w:ind w:right="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2"/>
          <w:szCs w:val="32"/>
          <w:highlight w:val="none"/>
          <w:lang w:val="en-US" w:eastAsia="zh-CN"/>
        </w:rPr>
        <w:t xml:space="preserve">15699321812 </w:t>
      </w: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lang w:eastAsia="zh-CN"/>
        </w:rPr>
        <w:t>地址：乌鲁木齐市头屯河区金桥路699号新疆艺术学院金桥校区</w:t>
      </w:r>
    </w:p>
    <w:p>
      <w:pPr>
        <w:pStyle w:val="36"/>
        <w:rPr>
          <w:rFonts w:hint="eastAsia"/>
          <w:color w:val="auto"/>
          <w:highlight w:val="none"/>
          <w:lang w:eastAsia="zh-CN"/>
        </w:rPr>
      </w:pPr>
    </w:p>
    <w:p>
      <w:pPr>
        <w:wordWrap/>
        <w:spacing w:beforeAutospacing="0" w:afterAutospacing="0" w:line="400" w:lineRule="exact"/>
        <w:ind w:right="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新疆星耀天都项目管理有限责任公司</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联系人：李苗</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联系电话：15022921857</w:t>
      </w:r>
    </w:p>
    <w:p>
      <w:pPr>
        <w:wordWrap/>
        <w:spacing w:beforeAutospacing="0" w:afterAutospacing="0" w:line="400" w:lineRule="exact"/>
        <w:ind w:right="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地址：乌鲁木齐水磨沟区红光山路万科大都会8号楼1202</w:t>
      </w:r>
    </w:p>
    <w:p>
      <w:pPr>
        <w:wordWrap/>
        <w:spacing w:beforeAutospacing="0" w:afterAutospacing="0" w:line="400" w:lineRule="exact"/>
        <w:ind w:left="0" w:leftChars="0" w:right="0" w:firstLine="1928" w:firstLineChars="6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pPr>
        <w:wordWrap/>
        <w:spacing w:beforeAutospacing="0" w:afterAutospacing="0" w:line="400" w:lineRule="exact"/>
        <w:ind w:left="0" w:leftChars="0" w:right="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"_Toc462223629"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 xml:space="preserve">第一章 </w:t>
      </w:r>
      <w:r>
        <w:rPr>
          <w:rStyle w:val="45"/>
          <w:rFonts w:hint="eastAsia" w:ascii="仿宋" w:hAnsi="仿宋" w:eastAsia="仿宋" w:cs="仿宋"/>
          <w:color w:val="auto"/>
          <w:sz w:val="24"/>
          <w:szCs w:val="24"/>
          <w:highlight w:val="none"/>
          <w:lang w:eastAsia="zh-CN"/>
        </w:rPr>
        <w:t>招标</w:t>
      </w:r>
      <w:r>
        <w:rPr>
          <w:rStyle w:val="45"/>
          <w:rFonts w:hint="eastAsia" w:ascii="仿宋" w:hAnsi="仿宋" w:eastAsia="仿宋" w:cs="仿宋"/>
          <w:color w:val="auto"/>
          <w:sz w:val="24"/>
          <w:szCs w:val="24"/>
          <w:highlight w:val="none"/>
        </w:rPr>
        <w:t>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"_Toc462223630"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第二章 供应商须知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"_Toc462223639"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第三章 项目需求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"_Toc462223647"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第四章 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32</w:t>
      </w:r>
    </w:p>
    <w:p>
      <w:pPr>
        <w:pStyle w:val="29"/>
        <w:tabs>
          <w:tab w:val="right" w:leader="dot" w:pos="9683"/>
        </w:tabs>
        <w:wordWrap/>
        <w:spacing w:beforeAutospacing="0" w:afterAutospacing="0" w:line="400" w:lineRule="exact"/>
        <w:ind w:left="0" w:leftChars="0" w:right="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"_Toc462223650" </w:instrText>
      </w:r>
      <w:r>
        <w:rPr>
          <w:rFonts w:hint="eastAsia" w:ascii="仿宋" w:hAnsi="仿宋" w:eastAsia="仿宋" w:cs="仿宋"/>
          <w:color w:val="auto"/>
          <w:sz w:val="24"/>
          <w:szCs w:val="24"/>
          <w:highlight w:val="none"/>
        </w:rPr>
        <w:fldChar w:fldCharType="separate"/>
      </w:r>
      <w:r>
        <w:rPr>
          <w:rStyle w:val="45"/>
          <w:rFonts w:hint="eastAsia" w:ascii="仿宋" w:hAnsi="仿宋" w:eastAsia="仿宋" w:cs="仿宋"/>
          <w:color w:val="auto"/>
          <w:sz w:val="24"/>
          <w:szCs w:val="24"/>
          <w:highlight w:val="none"/>
        </w:rPr>
        <w:t xml:space="preserve">第五章 </w:t>
      </w:r>
      <w:r>
        <w:rPr>
          <w:rStyle w:val="45"/>
          <w:rFonts w:hint="eastAsia" w:ascii="仿宋" w:hAnsi="仿宋" w:eastAsia="仿宋" w:cs="仿宋"/>
          <w:color w:val="auto"/>
          <w:sz w:val="24"/>
          <w:szCs w:val="24"/>
          <w:highlight w:val="none"/>
          <w:lang w:eastAsia="zh-CN"/>
        </w:rPr>
        <w:t>投标</w:t>
      </w:r>
      <w:r>
        <w:rPr>
          <w:rStyle w:val="45"/>
          <w:rFonts w:hint="eastAsia" w:ascii="仿宋" w:hAnsi="仿宋" w:eastAsia="仿宋" w:cs="仿宋"/>
          <w:color w:val="auto"/>
          <w:sz w:val="24"/>
          <w:szCs w:val="24"/>
          <w:highlight w:val="none"/>
        </w:rPr>
        <w:t>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pPr>
        <w:pStyle w:val="29"/>
        <w:tabs>
          <w:tab w:val="right" w:leader="dot" w:pos="8541"/>
        </w:tabs>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end"/>
      </w:r>
    </w:p>
    <w:p>
      <w:pPr>
        <w:pStyle w:val="29"/>
        <w:tabs>
          <w:tab w:val="right" w:leader="dot" w:pos="9683"/>
        </w:tabs>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end"/>
      </w:r>
    </w:p>
    <w:p>
      <w:pPr>
        <w:widowControl/>
        <w:wordWrap/>
        <w:spacing w:beforeAutospacing="0" w:afterAutospacing="0" w:line="400" w:lineRule="exact"/>
        <w:ind w:left="0" w:leftChars="0" w:right="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bookmarkStart w:id="0" w:name="_Toc349637917"/>
      <w:bookmarkStart w:id="1" w:name="_Toc462223629"/>
      <w:bookmarkStart w:id="2" w:name="_Toc298240402"/>
      <w:bookmarkStart w:id="3" w:name="_Toc349573118"/>
      <w:r>
        <w:rPr>
          <w:rFonts w:hint="eastAsia" w:ascii="仿宋" w:hAnsi="仿宋" w:eastAsia="仿宋" w:cs="仿宋"/>
          <w:b/>
          <w:color w:val="auto"/>
          <w:sz w:val="24"/>
          <w:szCs w:val="24"/>
          <w:highlight w:val="none"/>
        </w:rPr>
        <w:t>第一章</w:t>
      </w:r>
      <w:bookmarkEnd w:id="0"/>
      <w:bookmarkEnd w:id="1"/>
      <w:bookmarkEnd w:id="2"/>
      <w:bookmarkEnd w:id="3"/>
      <w:bookmarkStart w:id="4" w:name="_Toc462223630"/>
      <w:bookmarkStart w:id="5" w:name="_Toc349573119"/>
      <w:bookmarkStart w:id="6" w:name="_Toc349637918"/>
      <w:bookmarkStart w:id="7" w:name="_Toc267301280"/>
      <w:bookmarkStart w:id="8" w:name="_Toc298240403"/>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lang w:eastAsia="zh-CN"/>
        </w:rPr>
        <w:t>招标公告</w:t>
      </w:r>
    </w:p>
    <w:p>
      <w:pPr>
        <w:widowControl/>
        <w:numPr>
          <w:ilvl w:val="0"/>
          <w:numId w:val="0"/>
        </w:numPr>
        <w:wordWrap/>
        <w:spacing w:beforeAutospacing="0" w:line="500" w:lineRule="exact"/>
        <w:ind w:right="0"/>
        <w:jc w:val="center"/>
        <w:textAlignment w:val="auto"/>
        <w:outlineLvl w:val="0"/>
        <w:rPr>
          <w:rFonts w:hint="default" w:ascii="仿宋" w:hAnsi="仿宋" w:eastAsia="仿宋" w:cs="仿宋"/>
          <w:b/>
          <w:color w:val="auto"/>
          <w:sz w:val="24"/>
          <w:szCs w:val="24"/>
          <w:highlight w:val="none"/>
          <w:lang w:val="en-US" w:eastAsia="zh-CN"/>
        </w:rPr>
      </w:pPr>
    </w:p>
    <w:p>
      <w:pPr>
        <w:pBdr>
          <w:top w:val="single" w:color="auto" w:sz="4" w:space="1"/>
          <w:left w:val="single" w:color="auto" w:sz="4" w:space="4"/>
          <w:bottom w:val="single" w:color="auto" w:sz="4" w:space="1"/>
          <w:right w:val="single" w:color="auto" w:sz="4" w:space="4"/>
        </w:pBdr>
        <w:wordWrap/>
        <w:spacing w:line="50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wordWrap/>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音乐教学实践实训平台—实验室舞台器材采购项目</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的潜在投标人应在乌鲁木齐水磨沟区红光山路万科大都会8号楼1202</w:t>
      </w:r>
      <w:r>
        <w:rPr>
          <w:rFonts w:hint="eastAsia" w:ascii="仿宋" w:hAnsi="仿宋" w:eastAsia="仿宋" w:cs="仿宋"/>
          <w:color w:val="auto"/>
          <w:sz w:val="24"/>
          <w:szCs w:val="24"/>
          <w:highlight w:val="none"/>
          <w:lang w:eastAsia="zh-CN"/>
        </w:rPr>
        <w:t>室</w:t>
      </w:r>
      <w:r>
        <w:rPr>
          <w:rFonts w:hint="eastAsia" w:ascii="仿宋" w:hAnsi="仿宋" w:eastAsia="仿宋" w:cs="仿宋"/>
          <w:color w:val="auto"/>
          <w:sz w:val="24"/>
          <w:szCs w:val="24"/>
          <w:highlight w:val="none"/>
        </w:rPr>
        <w:t>获取招标文件，并于</w:t>
      </w:r>
      <w:bookmarkStart w:id="63" w:name="_GoBack"/>
      <w:bookmarkEnd w:id="63"/>
      <w:r>
        <w:rPr>
          <w:rFonts w:hint="eastAsia" w:ascii="仿宋" w:hAnsi="仿宋" w:eastAsia="仿宋" w:cs="仿宋"/>
          <w:color w:val="auto"/>
          <w:sz w:val="24"/>
          <w:szCs w:val="24"/>
          <w:highlight w:val="none"/>
          <w:lang w:eastAsia="zh-CN"/>
        </w:rPr>
        <w:t>2022年5月6日11点00分</w:t>
      </w:r>
      <w:r>
        <w:rPr>
          <w:rFonts w:hint="eastAsia" w:ascii="仿宋" w:hAnsi="仿宋" w:eastAsia="仿宋" w:cs="仿宋"/>
          <w:color w:val="auto"/>
          <w:sz w:val="24"/>
          <w:szCs w:val="24"/>
          <w:highlight w:val="none"/>
        </w:rPr>
        <w:t>（北</w:t>
      </w:r>
      <w:r>
        <w:rPr>
          <w:rFonts w:hint="eastAsia" w:ascii="仿宋" w:hAnsi="仿宋" w:eastAsia="仿宋" w:cs="仿宋"/>
          <w:color w:val="auto"/>
          <w:sz w:val="24"/>
          <w:szCs w:val="24"/>
          <w:highlight w:val="none"/>
          <w:u w:val="none"/>
        </w:rPr>
        <w:t>京时间）前递交投标文件。</w:t>
      </w:r>
    </w:p>
    <w:p>
      <w:pPr>
        <w:pStyle w:val="34"/>
        <w:numPr>
          <w:ilvl w:val="0"/>
          <w:numId w:val="0"/>
        </w:numPr>
        <w:wordWrap/>
        <w:spacing w:before="0" w:beforeAutospacing="0" w:after="0" w:afterAutospacing="0" w:line="400" w:lineRule="exact"/>
        <w:ind w:left="210" w:leftChars="0" w:right="0"/>
        <w:rPr>
          <w:rFonts w:hint="eastAsia" w:ascii="仿宋" w:hAnsi="仿宋" w:eastAsia="仿宋" w:cs="仿宋"/>
          <w:b/>
          <w:bCs/>
          <w:color w:val="auto"/>
          <w:sz w:val="24"/>
          <w:szCs w:val="24"/>
          <w:highlight w:val="none"/>
        </w:rPr>
      </w:pPr>
      <w:bookmarkStart w:id="9" w:name="_Toc86229022"/>
      <w:bookmarkStart w:id="10" w:name="_Toc35393621"/>
      <w:bookmarkStart w:id="11" w:name="_Toc28359079"/>
      <w:bookmarkStart w:id="12" w:name="_Toc35393790"/>
      <w:bookmarkStart w:id="13" w:name="_Toc28359002"/>
      <w:bookmarkStart w:id="14" w:name="_Hlk24379207"/>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项目基本情况</w:t>
      </w:r>
      <w:bookmarkEnd w:id="9"/>
      <w:bookmarkEnd w:id="10"/>
      <w:bookmarkEnd w:id="11"/>
      <w:bookmarkEnd w:id="12"/>
      <w:bookmarkEnd w:id="13"/>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采购项目名称：音乐教学实践实训平台—实验室舞台器材采购项目</w:t>
      </w:r>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采购项目编号：YSXY2022-10</w:t>
      </w:r>
    </w:p>
    <w:p>
      <w:pPr>
        <w:pStyle w:val="34"/>
        <w:wordWrap/>
        <w:spacing w:before="0" w:beforeAutospacing="0" w:after="0" w:afterAutospacing="0" w:line="400" w:lineRule="exact"/>
        <w:ind w:left="728" w:leftChars="228" w:right="0" w:hanging="249" w:hangingChars="104"/>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采购方式：公开招标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采购组织类型：分散采购-委托中介机构 </w:t>
      </w:r>
    </w:p>
    <w:bookmarkEnd w:id="14"/>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预算金额：780760.00元</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最高限价：780760.00元</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lang w:val="en-US" w:eastAsia="zh-CN"/>
        </w:rPr>
      </w:pPr>
    </w:p>
    <w:tbl>
      <w:tblPr>
        <w:tblStyle w:val="38"/>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299"/>
        <w:gridCol w:w="9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标项序号</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标项名称</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数量</w:t>
            </w:r>
          </w:p>
        </w:tc>
        <w:tc>
          <w:tcPr>
            <w:tcW w:w="129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预算金额(元)</w:t>
            </w:r>
          </w:p>
        </w:tc>
        <w:tc>
          <w:tcPr>
            <w:tcW w:w="912"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单位</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89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p>
        </w:tc>
        <w:tc>
          <w:tcPr>
            <w:tcW w:w="2536"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音乐教学实践实训平台—实验室舞台器材采购项目</w:t>
            </w:r>
          </w:p>
        </w:tc>
        <w:tc>
          <w:tcPr>
            <w:tcW w:w="1064"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rPr>
              <w:t>不限</w:t>
            </w:r>
          </w:p>
        </w:tc>
        <w:tc>
          <w:tcPr>
            <w:tcW w:w="1299" w:type="dxa"/>
            <w:tcMar>
              <w:top w:w="75" w:type="dxa"/>
              <w:left w:w="150" w:type="dxa"/>
              <w:bottom w:w="75" w:type="dxa"/>
              <w:right w:w="150"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780760</w:t>
            </w:r>
          </w:p>
        </w:tc>
        <w:tc>
          <w:tcPr>
            <w:tcW w:w="912"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w:t>
            </w:r>
          </w:p>
        </w:tc>
        <w:tc>
          <w:tcPr>
            <w:tcW w:w="2409" w:type="dxa"/>
            <w:tcMar>
              <w:top w:w="75" w:type="dxa"/>
              <w:left w:w="150" w:type="dxa"/>
              <w:bottom w:w="75" w:type="dxa"/>
              <w:right w:w="150" w:type="dxa"/>
            </w:tcMar>
            <w:vAlign w:val="center"/>
          </w:tcPr>
          <w:p>
            <w:pPr>
              <w:widowControl/>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详见采购文件</w:t>
            </w:r>
          </w:p>
        </w:tc>
      </w:tr>
    </w:tbl>
    <w:p>
      <w:pPr>
        <w:pStyle w:val="34"/>
        <w:numPr>
          <w:ilvl w:val="0"/>
          <w:numId w:val="0"/>
        </w:numPr>
        <w:wordWrap/>
        <w:spacing w:before="0" w:beforeAutospacing="0" w:after="0" w:afterAutospacing="0" w:line="400" w:lineRule="exact"/>
        <w:ind w:left="21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供应商资格要求： </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1.满足《中华人民共和国政府采购法》第二十二条规定；</w:t>
      </w:r>
    </w:p>
    <w:p>
      <w:pPr>
        <w:pStyle w:val="34"/>
        <w:widowControl/>
        <w:wordWrap/>
        <w:spacing w:before="0" w:beforeAutospacing="0" w:after="0" w:afterAutospacing="0" w:line="400" w:lineRule="exact"/>
        <w:ind w:left="479" w:leftChars="228" w:right="0" w:firstLine="0" w:firstLine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1）具有独立承担民事责任的能力，有效的营业执照；</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2）具有履行合同所必须的设备、人员、专业等方面相应的技术能力；</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3） 在“信用中国”网站被列入失信被执行人、重大税收违法案件当事人名单，在中国裁判文书网有行贿犯罪记录的（尚在处罚期内的），在中国政府采购网被列入政府采购严重违法失信行为记录名单的（尚在处罚期内的）</w:t>
      </w:r>
      <w:r>
        <w:rPr>
          <w:rFonts w:hint="eastAsia" w:ascii="仿宋" w:hAnsi="仿宋" w:eastAsia="仿宋" w:cs="仿宋"/>
          <w:color w:val="auto"/>
          <w:kern w:val="2"/>
          <w:sz w:val="24"/>
          <w:szCs w:val="24"/>
          <w:highlight w:val="none"/>
          <w:lang w:eastAsia="zh-CN"/>
        </w:rPr>
        <w:t>，将</w:t>
      </w:r>
      <w:r>
        <w:rPr>
          <w:rFonts w:hint="eastAsia" w:ascii="仿宋" w:hAnsi="仿宋" w:eastAsia="仿宋" w:cs="仿宋"/>
          <w:color w:val="auto"/>
          <w:kern w:val="2"/>
          <w:sz w:val="24"/>
          <w:szCs w:val="24"/>
          <w:highlight w:val="none"/>
        </w:rPr>
        <w:t>拒绝本次政府采购活动,须提供网站查询结果截图。</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）参加招投标活动前三年内，在经营活动中没重大违法记录（受行政主管部门处罚的不能参加投标，提供声明书）。</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、本项目不接受联合体投标。</w:t>
      </w:r>
    </w:p>
    <w:p>
      <w:pPr>
        <w:pStyle w:val="34"/>
        <w:numPr>
          <w:ilvl w:val="0"/>
          <w:numId w:val="0"/>
        </w:numPr>
        <w:wordWrap/>
        <w:spacing w:before="0" w:beforeAutospacing="0" w:after="0" w:afterAutospacing="0" w:line="400" w:lineRule="exact"/>
        <w:ind w:right="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lang w:val="en-US" w:eastAsia="zh-CN"/>
        </w:rPr>
        <w:t>获取招标文件</w:t>
      </w:r>
    </w:p>
    <w:p>
      <w:pPr>
        <w:pStyle w:val="34"/>
        <w:wordWrap/>
        <w:spacing w:before="0" w:beforeAutospacing="0" w:after="0" w:afterAutospacing="0" w:line="400" w:lineRule="exact"/>
        <w:ind w:left="0" w:leftChars="0" w:right="0" w:firstLine="480" w:firstLineChars="200"/>
        <w:rPr>
          <w:rFonts w:hint="eastAsia" w:ascii="仿宋" w:hAnsi="仿宋" w:eastAsia="仿宋" w:cs="仿宋"/>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仿宋" w:hAnsi="仿宋" w:eastAsia="仿宋" w:cs="仿宋"/>
          <w:b w:val="0"/>
          <w:bCs w:val="0"/>
          <w:color w:val="auto"/>
          <w:sz w:val="24"/>
          <w:szCs w:val="24"/>
          <w:highlight w:val="none"/>
        </w:rPr>
        <w:t>获取</w:t>
      </w: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文件时</w:t>
      </w:r>
      <w:r>
        <w:rPr>
          <w:rStyle w:val="41"/>
          <w:rFonts w:hint="eastAsia" w:ascii="仿宋" w:hAnsi="仿宋" w:eastAsia="仿宋" w:cs="仿宋"/>
          <w:b w:val="0"/>
          <w:bCs w:val="0"/>
          <w:color w:val="auto"/>
          <w:sz w:val="24"/>
          <w:szCs w:val="24"/>
          <w:highlight w:val="none"/>
          <w:lang w:val="en-US" w:eastAsia="zh-CN"/>
        </w:rPr>
        <w:t>间：2022年4月14日至2022年4月21日，每天上午10:30至13:30，下午15:30至19:00（北京时间，法定节假日除外）</w:t>
      </w:r>
    </w:p>
    <w:p>
      <w:pPr>
        <w:pStyle w:val="34"/>
        <w:wordWrap/>
        <w:spacing w:before="0" w:beforeAutospacing="0" w:after="0" w:afterAutospacing="0" w:line="400" w:lineRule="exact"/>
        <w:ind w:left="0" w:leftChars="0" w:right="0"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2、获取</w:t>
      </w: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文件地址：</w:t>
      </w:r>
      <w:r>
        <w:rPr>
          <w:rStyle w:val="41"/>
          <w:rFonts w:hint="eastAsia" w:ascii="仿宋" w:hAnsi="仿宋" w:eastAsia="仿宋" w:cs="仿宋"/>
          <w:b w:val="0"/>
          <w:bCs w:val="0"/>
          <w:color w:val="auto"/>
          <w:sz w:val="24"/>
          <w:szCs w:val="24"/>
          <w:highlight w:val="none"/>
        </w:rPr>
        <w:t>乌鲁木齐水磨沟区红光山路万科大都会8号楼1202。</w:t>
      </w:r>
    </w:p>
    <w:p>
      <w:pPr>
        <w:pStyle w:val="34"/>
        <w:wordWrap/>
        <w:spacing w:before="0" w:beforeAutospacing="0" w:after="0" w:afterAutospacing="0" w:line="400" w:lineRule="exact"/>
        <w:ind w:left="0" w:leftChars="0" w:right="0" w:firstLine="470" w:firstLineChars="196"/>
        <w:rPr>
          <w:rStyle w:val="41"/>
          <w:rFonts w:hint="eastAsia" w:ascii="仿宋" w:hAnsi="仿宋" w:eastAsia="仿宋" w:cs="仿宋"/>
          <w:b w:val="0"/>
          <w:bCs w:val="0"/>
          <w:color w:val="auto"/>
          <w:sz w:val="24"/>
          <w:szCs w:val="24"/>
          <w:highlight w:val="none"/>
        </w:rPr>
      </w:pPr>
      <w:r>
        <w:rPr>
          <w:rStyle w:val="41"/>
          <w:rFonts w:hint="eastAsia" w:ascii="仿宋" w:hAnsi="仿宋" w:eastAsia="仿宋" w:cs="仿宋"/>
          <w:b w:val="0"/>
          <w:bCs w:val="0"/>
          <w:color w:val="auto"/>
          <w:sz w:val="24"/>
          <w:szCs w:val="24"/>
          <w:highlight w:val="none"/>
        </w:rPr>
        <w:t>3、获取</w:t>
      </w:r>
      <w:r>
        <w:rPr>
          <w:rStyle w:val="41"/>
          <w:rFonts w:hint="eastAsia" w:ascii="仿宋" w:hAnsi="仿宋" w:eastAsia="仿宋" w:cs="仿宋"/>
          <w:b w:val="0"/>
          <w:bCs w:val="0"/>
          <w:color w:val="auto"/>
          <w:sz w:val="24"/>
          <w:szCs w:val="24"/>
          <w:highlight w:val="none"/>
          <w:lang w:eastAsia="zh-CN"/>
        </w:rPr>
        <w:t>采购</w:t>
      </w:r>
      <w:r>
        <w:rPr>
          <w:rStyle w:val="41"/>
          <w:rFonts w:hint="eastAsia" w:ascii="仿宋" w:hAnsi="仿宋" w:eastAsia="仿宋" w:cs="仿宋"/>
          <w:b w:val="0"/>
          <w:bCs w:val="0"/>
          <w:color w:val="auto"/>
          <w:sz w:val="24"/>
          <w:szCs w:val="24"/>
          <w:highlight w:val="none"/>
        </w:rPr>
        <w:t>文件方式：现场获取</w:t>
      </w:r>
    </w:p>
    <w:p>
      <w:pPr>
        <w:pStyle w:val="34"/>
        <w:tabs>
          <w:tab w:val="center" w:pos="4536"/>
        </w:tabs>
        <w:wordWrap/>
        <w:spacing w:before="0" w:beforeAutospacing="0" w:after="0" w:afterAutospacing="0" w:line="400" w:lineRule="exact"/>
        <w:ind w:left="0" w:leftChars="0" w:right="0" w:firstLine="470" w:firstLineChars="196"/>
        <w:rPr>
          <w:rStyle w:val="41"/>
          <w:rFonts w:hint="eastAsia" w:ascii="仿宋" w:hAnsi="仿宋" w:eastAsia="仿宋" w:cs="仿宋"/>
          <w:b w:val="0"/>
          <w:bCs w:val="0"/>
          <w:color w:val="auto"/>
          <w:sz w:val="24"/>
          <w:szCs w:val="24"/>
          <w:highlight w:val="none"/>
          <w:lang w:eastAsia="zh-CN"/>
        </w:rPr>
      </w:pPr>
      <w:r>
        <w:rPr>
          <w:rStyle w:val="41"/>
          <w:rFonts w:hint="eastAsia" w:ascii="仿宋" w:hAnsi="仿宋" w:eastAsia="仿宋" w:cs="仿宋"/>
          <w:b w:val="0"/>
          <w:bCs w:val="0"/>
          <w:color w:val="auto"/>
          <w:sz w:val="24"/>
          <w:szCs w:val="24"/>
          <w:highlight w:val="none"/>
        </w:rPr>
        <w:t>4、</w:t>
      </w:r>
      <w:r>
        <w:rPr>
          <w:rStyle w:val="41"/>
          <w:rFonts w:hint="eastAsia" w:ascii="仿宋" w:hAnsi="仿宋" w:eastAsia="仿宋" w:cs="仿宋"/>
          <w:b w:val="0"/>
          <w:bCs w:val="0"/>
          <w:color w:val="auto"/>
          <w:sz w:val="24"/>
          <w:szCs w:val="24"/>
          <w:highlight w:val="none"/>
          <w:lang w:eastAsia="zh-CN"/>
        </w:rPr>
        <w:t>采购标</w:t>
      </w:r>
      <w:r>
        <w:rPr>
          <w:rStyle w:val="41"/>
          <w:rFonts w:hint="eastAsia" w:ascii="仿宋" w:hAnsi="仿宋" w:eastAsia="仿宋" w:cs="仿宋"/>
          <w:b w:val="0"/>
          <w:bCs w:val="0"/>
          <w:color w:val="auto"/>
          <w:sz w:val="24"/>
          <w:szCs w:val="24"/>
          <w:highlight w:val="none"/>
        </w:rPr>
        <w:t>文件售价（元）：300</w:t>
      </w:r>
      <w:r>
        <w:rPr>
          <w:rStyle w:val="41"/>
          <w:rFonts w:hint="eastAsia" w:ascii="仿宋" w:hAnsi="仿宋" w:eastAsia="仿宋" w:cs="仿宋"/>
          <w:b w:val="0"/>
          <w:bCs w:val="0"/>
          <w:color w:val="auto"/>
          <w:sz w:val="24"/>
          <w:szCs w:val="24"/>
          <w:highlight w:val="none"/>
          <w:lang w:eastAsia="zh-CN"/>
        </w:rPr>
        <w:tab/>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四、提交投标文件截止时间、开标时间和地点</w:t>
      </w:r>
    </w:p>
    <w:p>
      <w:pPr>
        <w:widowControl w:val="0"/>
        <w:wordWrap/>
        <w:spacing w:line="400" w:lineRule="exact"/>
        <w:ind w:firstLine="480" w:firstLineChars="200"/>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1.提交投标文件截止时间、开标时间：2022年5月6日11点00分（北京时间）</w:t>
      </w:r>
    </w:p>
    <w:p>
      <w:pPr>
        <w:widowControl w:val="0"/>
        <w:wordWrap/>
        <w:spacing w:line="400" w:lineRule="exact"/>
        <w:ind w:firstLine="480" w:firstLineChars="200"/>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2.地点：乌鲁木齐水磨沟区红光山路万科大都会8号楼1202室</w:t>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五、公告期限</w:t>
      </w:r>
    </w:p>
    <w:p>
      <w:pPr>
        <w:pStyle w:val="5"/>
        <w:widowControl w:val="0"/>
        <w:wordWrap/>
        <w:spacing w:before="0" w:after="0" w:line="400" w:lineRule="exact"/>
        <w:ind w:firstLine="480"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招标公告及招标文件公告期限为自本公告发布之日起5个工作日。</w:t>
      </w:r>
    </w:p>
    <w:p>
      <w:pPr>
        <w:pStyle w:val="5"/>
        <w:widowControl w:val="0"/>
        <w:wordWrap/>
        <w:spacing w:before="0" w:after="0" w:line="400" w:lineRule="exact"/>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六、其他补充事宜</w:t>
      </w:r>
    </w:p>
    <w:p>
      <w:pPr>
        <w:pStyle w:val="5"/>
        <w:widowControl w:val="0"/>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w:t>
      </w:r>
      <w:r>
        <w:rPr>
          <w:rFonts w:hint="eastAsia" w:ascii="仿宋" w:hAnsi="仿宋" w:eastAsia="仿宋" w:cs="仿宋"/>
          <w:b w:val="0"/>
          <w:bCs w:val="0"/>
          <w:color w:val="auto"/>
          <w:kern w:val="0"/>
          <w:sz w:val="24"/>
          <w:szCs w:val="24"/>
          <w:highlight w:val="none"/>
          <w:lang w:val="en-US" w:eastAsia="zh-CN" w:bidi="ar-SA"/>
        </w:rPr>
        <w:t>投标供应商购买标书时应提交的资料：</w:t>
      </w:r>
    </w:p>
    <w:p>
      <w:pPr>
        <w:pStyle w:val="5"/>
        <w:widowControl w:val="0"/>
        <w:numPr>
          <w:ilvl w:val="0"/>
          <w:numId w:val="1"/>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满足招标要求的“三证合一的营业执照；</w:t>
      </w:r>
    </w:p>
    <w:p>
      <w:pPr>
        <w:pStyle w:val="5"/>
        <w:widowControl w:val="0"/>
        <w:numPr>
          <w:ilvl w:val="0"/>
          <w:numId w:val="1"/>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授权委托书原件及被授权人身份证原件（或者法定代表人身份证明书及法定代表人身份证）；</w:t>
      </w:r>
    </w:p>
    <w:p>
      <w:pPr>
        <w:pStyle w:val="5"/>
        <w:widowControl w:val="0"/>
        <w:numPr>
          <w:ilvl w:val="0"/>
          <w:numId w:val="1"/>
        </w:numPr>
        <w:wordWrap/>
        <w:spacing w:before="0" w:after="0" w:line="400" w:lineRule="exact"/>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所有报名的投标供应商需提供上述资格要求中的资料原件及加盖企业鲜章的复印件三套交由招标代理公司存档，资料不全者不予受理。</w:t>
      </w:r>
    </w:p>
    <w:p>
      <w:pPr>
        <w:pStyle w:val="34"/>
        <w:wordWrap/>
        <w:spacing w:before="0" w:beforeAutospacing="0" w:after="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七</w:t>
      </w:r>
      <w:r>
        <w:rPr>
          <w:rFonts w:hint="eastAsia" w:ascii="仿宋" w:hAnsi="仿宋" w:eastAsia="仿宋" w:cs="仿宋"/>
          <w:b/>
          <w:bCs/>
          <w:color w:val="auto"/>
          <w:sz w:val="24"/>
          <w:szCs w:val="24"/>
          <w:highlight w:val="none"/>
        </w:rPr>
        <w:t>、联系方式</w:t>
      </w:r>
    </w:p>
    <w:p>
      <w:pPr>
        <w:widowControl/>
        <w:shd w:val="clear" w:color="auto" w:fill="FFFFFF"/>
        <w:wordWrap/>
        <w:spacing w:beforeAutospacing="0" w:afterAutospacing="0" w:line="400" w:lineRule="exact"/>
        <w:ind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1、采购人名称：</w:t>
      </w:r>
      <w:r>
        <w:rPr>
          <w:rFonts w:hint="eastAsia" w:ascii="仿宋" w:hAnsi="仿宋" w:eastAsia="仿宋" w:cs="仿宋"/>
          <w:color w:val="auto"/>
          <w:sz w:val="24"/>
          <w:szCs w:val="24"/>
          <w:highlight w:val="none"/>
          <w:lang w:eastAsia="zh-CN"/>
        </w:rPr>
        <w:t>新疆艺术学院</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古丽夏提老师  </w:t>
      </w:r>
      <w:r>
        <w:rPr>
          <w:rFonts w:hint="eastAsia" w:ascii="仿宋" w:hAnsi="仿宋" w:eastAsia="仿宋" w:cs="仿宋"/>
          <w:color w:val="auto"/>
          <w:sz w:val="24"/>
          <w:szCs w:val="24"/>
          <w:highlight w:val="none"/>
        </w:rPr>
        <w:t> </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 xml:space="preserve">15699321812 </w:t>
      </w:r>
    </w:p>
    <w:p>
      <w:pPr>
        <w:widowControl/>
        <w:shd w:val="clear" w:color="auto" w:fill="FFFFFF"/>
        <w:wordWrap/>
        <w:spacing w:beforeAutospacing="0" w:afterAutospacing="0" w:line="400" w:lineRule="exact"/>
        <w:ind w:left="0" w:leftChars="0" w:right="0" w:firstLine="592" w:firstLineChars="247"/>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sz w:val="24"/>
          <w:szCs w:val="24"/>
          <w:highlight w:val="none"/>
          <w:lang w:eastAsia="zh-CN"/>
        </w:rPr>
        <w:t>地址：乌鲁木齐市头屯河区金桥路699号新疆艺术学院金桥校区</w:t>
      </w:r>
    </w:p>
    <w:p>
      <w:pPr>
        <w:widowControl/>
        <w:shd w:val="clear" w:color="auto" w:fill="FFFFFF"/>
        <w:wordWrap/>
        <w:spacing w:beforeAutospacing="0" w:afterAutospacing="0" w:line="400" w:lineRule="exact"/>
        <w:ind w:right="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2、采购代理机构名称：</w:t>
      </w:r>
      <w:r>
        <w:rPr>
          <w:rFonts w:hint="eastAsia" w:ascii="仿宋" w:hAnsi="仿宋" w:eastAsia="仿宋" w:cs="仿宋"/>
          <w:color w:val="auto"/>
          <w:sz w:val="24"/>
          <w:szCs w:val="24"/>
          <w:highlight w:val="none"/>
          <w:lang w:eastAsia="zh-CN"/>
        </w:rPr>
        <w:t>新疆星耀天都项目管理有限责任公司</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联系人：李苗</w:t>
      </w:r>
    </w:p>
    <w:p>
      <w:pPr>
        <w:pStyle w:val="34"/>
        <w:wordWrap/>
        <w:spacing w:before="0" w:beforeAutospacing="0" w:after="0" w:afterAutospacing="0" w:line="40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联系电话：15022921857</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地址：乌鲁木齐水磨沟区红光山路万科大都会8号楼1202</w:t>
      </w:r>
    </w:p>
    <w:p>
      <w:pPr>
        <w:widowControl/>
        <w:shd w:val="clear" w:color="auto" w:fill="FFFFFF"/>
        <w:wordWrap/>
        <w:spacing w:beforeAutospacing="0" w:afterAutospacing="0" w:line="400" w:lineRule="exact"/>
        <w:ind w:left="0" w:leftChars="0" w:right="0" w:firstLine="352" w:firstLineChars="147"/>
        <w:jc w:val="left"/>
        <w:rPr>
          <w:rFonts w:hint="eastAsia" w:ascii="仿宋" w:hAnsi="仿宋" w:eastAsia="仿宋" w:cs="仿宋"/>
          <w:color w:val="auto"/>
          <w:kern w:val="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13"/>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wordWrap/>
        <w:spacing w:beforeAutospacing="0" w:afterAutospacing="0" w:line="400" w:lineRule="exact"/>
        <w:ind w:left="0" w:leftChars="0" w:right="0"/>
        <w:jc w:val="center"/>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第二章  供应商须知</w:t>
      </w:r>
      <w:bookmarkEnd w:id="4"/>
      <w:bookmarkEnd w:id="5"/>
      <w:bookmarkEnd w:id="6"/>
      <w:bookmarkEnd w:id="7"/>
      <w:bookmarkEnd w:id="8"/>
      <w:bookmarkStart w:id="15" w:name="_Toc349637919"/>
      <w:bookmarkStart w:id="16" w:name="_Toc349573120"/>
      <w:bookmarkStart w:id="17" w:name="_Toc298240404"/>
      <w:bookmarkStart w:id="18" w:name="_Toc267301281"/>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bookmarkStart w:id="19" w:name="_Toc462223631"/>
      <w:r>
        <w:rPr>
          <w:rFonts w:hint="eastAsia" w:ascii="仿宋" w:hAnsi="仿宋" w:eastAsia="仿宋" w:cs="仿宋"/>
          <w:b/>
          <w:color w:val="auto"/>
          <w:sz w:val="24"/>
          <w:szCs w:val="24"/>
          <w:highlight w:val="none"/>
        </w:rPr>
        <w:t>供应商须知前附表</w:t>
      </w:r>
      <w:bookmarkEnd w:id="15"/>
      <w:bookmarkEnd w:id="16"/>
      <w:bookmarkEnd w:id="17"/>
      <w:bookmarkEnd w:id="18"/>
      <w:bookmarkEnd w:id="19"/>
    </w:p>
    <w:tbl>
      <w:tblPr>
        <w:tblStyle w:val="38"/>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395"/>
        <w:gridCol w:w="1108"/>
        <w:gridCol w:w="59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序列号</w:t>
            </w:r>
          </w:p>
        </w:tc>
        <w:tc>
          <w:tcPr>
            <w:tcW w:w="2503" w:type="dxa"/>
            <w:gridSpan w:val="2"/>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5903" w:type="dxa"/>
            <w:vAlign w:val="center"/>
          </w:tcPr>
          <w:p>
            <w:pPr>
              <w:adjustRightInd w:val="0"/>
              <w:snapToGrid w:val="0"/>
              <w:spacing w:before="120" w:beforeLines="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5903" w:type="dxa"/>
            <w:vAlign w:val="center"/>
          </w:tcPr>
          <w:p>
            <w:pPr>
              <w:widowControl/>
              <w:wordWrap w:val="0"/>
              <w:spacing w:line="240" w:lineRule="auto"/>
              <w:ind w:left="0" w:lef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eastAsia="zh-CN"/>
              </w:rPr>
              <w:t>音乐教学实践实训平台—实验室舞台器材采购项目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采购人</w:t>
            </w:r>
          </w:p>
        </w:tc>
        <w:tc>
          <w:tcPr>
            <w:tcW w:w="5903" w:type="dxa"/>
            <w:vAlign w:val="center"/>
          </w:tcPr>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lang w:eastAsia="zh-CN"/>
              </w:rPr>
              <w:t>新疆艺术学院</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 xml:space="preserve">古丽夏提老师  </w:t>
            </w:r>
            <w:r>
              <w:rPr>
                <w:rFonts w:hint="eastAsia" w:ascii="仿宋" w:hAnsi="仿宋" w:eastAsia="仿宋" w:cs="仿宋"/>
                <w:color w:val="auto"/>
                <w:sz w:val="24"/>
                <w:szCs w:val="24"/>
                <w:highlight w:val="none"/>
              </w:rPr>
              <w:t> </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val="en-US" w:eastAsia="zh-CN"/>
              </w:rPr>
              <w:t xml:space="preserve">15699321812 </w:t>
            </w:r>
          </w:p>
          <w:p>
            <w:pPr>
              <w:pStyle w:val="34"/>
              <w:shd w:val="clear" w:color="auto" w:fill="FFFFFF"/>
              <w:wordWrap/>
              <w:spacing w:before="0" w:beforeAutospacing="0" w:after="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地址：乌鲁木齐市头屯河区金桥路699号新疆艺术学院金桥校区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采购代理机构</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名称：新疆星耀天都项目管理有限责任公司</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乌鲁木齐水磨沟区红光山路万科大都会8号楼1202室</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lang w:val="en-US" w:eastAsia="zh-CN"/>
              </w:rPr>
              <w:t>李苗</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资金来源及落实情况</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w:t>
            </w:r>
            <w:r>
              <w:rPr>
                <w:rFonts w:hint="eastAsia" w:ascii="仿宋" w:hAnsi="仿宋" w:eastAsia="仿宋" w:cs="仿宋"/>
                <w:color w:val="auto"/>
                <w:sz w:val="24"/>
                <w:szCs w:val="24"/>
                <w:highlight w:val="none"/>
                <w:lang w:val="en-US" w:eastAsia="zh-CN"/>
              </w:rPr>
              <w:t>中财</w:t>
            </w:r>
            <w:r>
              <w:rPr>
                <w:rFonts w:hint="eastAsia" w:ascii="仿宋" w:hAnsi="仿宋" w:eastAsia="仿宋" w:cs="仿宋"/>
                <w:color w:val="auto"/>
                <w:sz w:val="24"/>
                <w:szCs w:val="24"/>
                <w:highlight w:val="none"/>
                <w:lang w:eastAsia="zh-CN"/>
              </w:rPr>
              <w:t>资金</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项目预算（最高限价）</w:t>
            </w:r>
          </w:p>
        </w:tc>
        <w:tc>
          <w:tcPr>
            <w:tcW w:w="5903" w:type="dxa"/>
            <w:vAlign w:val="center"/>
          </w:tcPr>
          <w:p>
            <w:pPr>
              <w:adjustRightInd w:val="0"/>
              <w:snapToGrid w:val="0"/>
              <w:spacing w:before="120" w:beforeLines="50" w:line="276"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金额（小写）：</w:t>
            </w:r>
            <w:r>
              <w:rPr>
                <w:rFonts w:hint="eastAsia" w:ascii="仿宋" w:hAnsi="仿宋" w:eastAsia="仿宋" w:cs="仿宋"/>
                <w:color w:val="auto"/>
                <w:kern w:val="0"/>
                <w:sz w:val="24"/>
                <w:szCs w:val="24"/>
                <w:highlight w:val="none"/>
                <w:lang w:val="en-US" w:eastAsia="zh-CN"/>
              </w:rPr>
              <w:t>780760元</w:t>
            </w:r>
            <w:r>
              <w:rPr>
                <w:rFonts w:hint="eastAsia" w:ascii="仿宋" w:hAnsi="仿宋" w:eastAsia="仿宋" w:cs="仿宋"/>
                <w:color w:val="auto"/>
                <w:kern w:val="0"/>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供应商资格条件</w:t>
            </w:r>
          </w:p>
        </w:tc>
        <w:tc>
          <w:tcPr>
            <w:tcW w:w="5903" w:type="dxa"/>
            <w:vAlign w:val="center"/>
          </w:tcPr>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1.满足《中华人民共和国政府采购法》第二十二条规定；</w:t>
            </w:r>
          </w:p>
          <w:p>
            <w:pPr>
              <w:pStyle w:val="34"/>
              <w:widowControl/>
              <w:wordWrap/>
              <w:spacing w:before="0" w:beforeAutospacing="0" w:after="0" w:afterAutospacing="0" w:line="400" w:lineRule="exact"/>
              <w:ind w:left="479" w:leftChars="228" w:right="0" w:firstLine="0" w:firstLineChars="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1）具有独立承担民事责任的能力，有效的营业执照；</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2）具有履行合同所必须的设备、人员、专业等方面相应的技术能力；</w:t>
            </w:r>
            <w:r>
              <w:rPr>
                <w:rFonts w:hint="eastAsia" w:ascii="仿宋" w:hAnsi="仿宋" w:eastAsia="仿宋" w:cs="仿宋"/>
                <w:color w:val="auto"/>
                <w:kern w:val="2"/>
                <w:sz w:val="24"/>
                <w:szCs w:val="24"/>
                <w:highlight w:val="none"/>
              </w:rPr>
              <w:br w:type="textWrapping"/>
            </w:r>
            <w:r>
              <w:rPr>
                <w:rFonts w:hint="eastAsia" w:ascii="仿宋" w:hAnsi="仿宋" w:eastAsia="仿宋" w:cs="仿宋"/>
                <w:color w:val="auto"/>
                <w:kern w:val="2"/>
                <w:sz w:val="24"/>
                <w:szCs w:val="24"/>
                <w:highlight w:val="none"/>
              </w:rPr>
              <w:t>3） 在“信用中国”网站被列入失信被执行人、重大税收违法案件当事人名单，在中国裁判文书网有行贿犯罪记录的（尚在处罚期内的），在中国政府采购网被列入政府采购严重违法失信行为记录名单的（尚在处罚期内的）</w:t>
            </w:r>
            <w:r>
              <w:rPr>
                <w:rFonts w:hint="eastAsia" w:ascii="仿宋" w:hAnsi="仿宋" w:eastAsia="仿宋" w:cs="仿宋"/>
                <w:color w:val="auto"/>
                <w:kern w:val="2"/>
                <w:sz w:val="24"/>
                <w:szCs w:val="24"/>
                <w:highlight w:val="none"/>
                <w:lang w:eastAsia="zh-CN"/>
              </w:rPr>
              <w:t>，将</w:t>
            </w:r>
            <w:r>
              <w:rPr>
                <w:rFonts w:hint="eastAsia" w:ascii="仿宋" w:hAnsi="仿宋" w:eastAsia="仿宋" w:cs="仿宋"/>
                <w:color w:val="auto"/>
                <w:kern w:val="2"/>
                <w:sz w:val="24"/>
                <w:szCs w:val="24"/>
                <w:highlight w:val="none"/>
              </w:rPr>
              <w:t>拒绝本次政府采购活动,须提供网站查询结果截图。</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4</w:t>
            </w:r>
            <w:r>
              <w:rPr>
                <w:rFonts w:hint="eastAsia" w:ascii="仿宋" w:hAnsi="仿宋" w:eastAsia="仿宋" w:cs="仿宋"/>
                <w:color w:val="auto"/>
                <w:kern w:val="2"/>
                <w:sz w:val="24"/>
                <w:szCs w:val="24"/>
                <w:highlight w:val="none"/>
              </w:rPr>
              <w:t>）参加招投标活动前三年内，在经营活动中没重大违法记录（受行政主管部门处罚的不能参加投标，提供声明书）。</w:t>
            </w:r>
          </w:p>
          <w:p>
            <w:pPr>
              <w:pStyle w:val="34"/>
              <w:widowControl/>
              <w:wordWrap/>
              <w:spacing w:before="0" w:beforeAutospacing="0" w:after="0" w:afterAutospacing="0" w:line="400" w:lineRule="exact"/>
              <w:ind w:left="0" w:leftChars="0" w:right="0" w:firstLine="480" w:firstLineChars="20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5</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widowControl/>
              <w:wordWrap/>
              <w:spacing w:before="0" w:beforeAutospacing="0" w:after="0" w:afterAutospacing="0" w:line="400" w:lineRule="exact"/>
              <w:ind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联合体投标    </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√不接受 </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备选方案</w:t>
            </w:r>
          </w:p>
        </w:tc>
        <w:tc>
          <w:tcPr>
            <w:tcW w:w="5903" w:type="dxa"/>
            <w:vAlign w:val="center"/>
          </w:tcPr>
          <w:p>
            <w:pPr>
              <w:widowControl w:val="0"/>
              <w:wordWrap/>
              <w:spacing w:line="440" w:lineRule="exact"/>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不接受</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响应文件递交截止时间</w:t>
            </w:r>
          </w:p>
        </w:tc>
        <w:tc>
          <w:tcPr>
            <w:tcW w:w="5903" w:type="dxa"/>
            <w:vAlign w:val="center"/>
          </w:tcPr>
          <w:p>
            <w:pPr>
              <w:ind w:left="0" w:leftChars="0" w:firstLine="0" w:firstLineChars="0"/>
              <w:rPr>
                <w:rFonts w:hint="eastAsia" w:ascii="仿宋" w:hAnsi="仿宋" w:eastAsia="仿宋" w:cs="仿宋"/>
                <w:bCs/>
                <w:color w:val="auto"/>
                <w:sz w:val="24"/>
                <w:szCs w:val="24"/>
                <w:highlight w:val="none"/>
              </w:rPr>
            </w:pPr>
            <w:r>
              <w:rPr>
                <w:rStyle w:val="41"/>
                <w:rFonts w:hint="eastAsia" w:ascii="仿宋" w:hAnsi="仿宋" w:eastAsia="仿宋" w:cs="仿宋"/>
                <w:b w:val="0"/>
                <w:bCs w:val="0"/>
                <w:color w:val="auto"/>
                <w:kern w:val="0"/>
                <w:sz w:val="24"/>
                <w:szCs w:val="24"/>
                <w:highlight w:val="none"/>
                <w:lang w:val="en-US" w:eastAsia="zh-CN" w:bidi="ar-SA"/>
              </w:rPr>
              <w:t>2022年5月6日11点00分（北京时间）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时间、地点</w:t>
            </w:r>
          </w:p>
        </w:tc>
        <w:tc>
          <w:tcPr>
            <w:tcW w:w="5903" w:type="dxa"/>
            <w:vAlign w:val="center"/>
          </w:tcPr>
          <w:p>
            <w:pPr>
              <w:widowControl w:val="0"/>
              <w:wordWrap/>
              <w:spacing w:line="440" w:lineRule="exact"/>
              <w:ind w:left="0" w:leftChars="0" w:firstLine="0" w:firstLineChars="0"/>
              <w:jc w:val="left"/>
              <w:rPr>
                <w:rStyle w:val="41"/>
                <w:rFonts w:hint="eastAsia" w:ascii="仿宋" w:hAnsi="仿宋" w:eastAsia="仿宋" w:cs="仿宋"/>
                <w:b w:val="0"/>
                <w:bCs w:val="0"/>
                <w:color w:val="auto"/>
                <w:kern w:val="0"/>
                <w:sz w:val="24"/>
                <w:szCs w:val="24"/>
                <w:highlight w:val="none"/>
                <w:lang w:val="en-US" w:eastAsia="zh-CN" w:bidi="ar-SA"/>
              </w:rPr>
            </w:pPr>
            <w:r>
              <w:rPr>
                <w:rStyle w:val="41"/>
                <w:rFonts w:hint="eastAsia" w:ascii="仿宋" w:hAnsi="仿宋" w:eastAsia="仿宋" w:cs="仿宋"/>
                <w:b w:val="0"/>
                <w:bCs w:val="0"/>
                <w:color w:val="auto"/>
                <w:kern w:val="0"/>
                <w:sz w:val="24"/>
                <w:szCs w:val="24"/>
                <w:highlight w:val="none"/>
                <w:lang w:val="en-US" w:eastAsia="zh-CN" w:bidi="ar-SA"/>
              </w:rPr>
              <w:t>2022年5月6日11点00分（北京时间）</w:t>
            </w:r>
          </w:p>
          <w:p>
            <w:pPr>
              <w:widowControl w:val="0"/>
              <w:wordWrap/>
              <w:spacing w:line="440" w:lineRule="exact"/>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 xml:space="preserve">投标地点：乌鲁木齐水磨沟区红光山路万科大都会8号楼1202室  </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p>
        </w:tc>
        <w:tc>
          <w:tcPr>
            <w:tcW w:w="2503" w:type="dxa"/>
            <w:gridSpan w:val="2"/>
            <w:vAlign w:val="center"/>
          </w:tcPr>
          <w:p>
            <w:pPr>
              <w:adjustRightInd w:val="0"/>
              <w:snapToGrid w:val="0"/>
              <w:spacing w:before="120" w:beforeLines="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小组的组建及评审专家的确定方式</w:t>
            </w:r>
          </w:p>
        </w:tc>
        <w:tc>
          <w:tcPr>
            <w:tcW w:w="5903" w:type="dxa"/>
            <w:vAlign w:val="center"/>
          </w:tcPr>
          <w:p>
            <w:pPr>
              <w:adjustRightInd w:val="0"/>
              <w:snapToGrid w:val="0"/>
              <w:spacing w:before="120" w:beforeLines="5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招标采购单位依法组建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小组共</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rPr>
              <w:t>人组成，其中采购人代表</w:t>
            </w:r>
            <w:r>
              <w:rPr>
                <w:rFonts w:hint="eastAsia" w:ascii="仿宋" w:hAnsi="仿宋" w:eastAsia="仿宋" w:cs="仿宋"/>
                <w:color w:val="auto"/>
                <w:sz w:val="24"/>
                <w:szCs w:val="24"/>
                <w:highlight w:val="none"/>
                <w:lang w:eastAsia="zh-CN"/>
              </w:rPr>
              <w:t>不得超过投标小组的三分之一</w:t>
            </w:r>
            <w:r>
              <w:rPr>
                <w:rFonts w:hint="eastAsia" w:ascii="仿宋" w:hAnsi="仿宋" w:eastAsia="仿宋" w:cs="仿宋"/>
                <w:color w:val="auto"/>
                <w:sz w:val="24"/>
                <w:szCs w:val="24"/>
                <w:highlight w:val="none"/>
              </w:rPr>
              <w:t>。</w:t>
            </w:r>
          </w:p>
          <w:p>
            <w:pPr>
              <w:adjustRightInd w:val="0"/>
              <w:snapToGrid w:val="0"/>
              <w:spacing w:before="120" w:beforeLines="5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小组确定方式：从采购专家库中随机抽取</w:t>
            </w:r>
            <w:r>
              <w:rPr>
                <w:rFonts w:hint="eastAsia" w:ascii="仿宋" w:hAnsi="仿宋" w:eastAsia="仿宋" w:cs="仿宋"/>
                <w:bCs/>
                <w:color w:val="auto"/>
                <w:sz w:val="24"/>
                <w:szCs w:val="24"/>
                <w:highlight w:val="none"/>
              </w:rPr>
              <w:t>确定。</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w:t>
            </w:r>
          </w:p>
        </w:tc>
        <w:tc>
          <w:tcPr>
            <w:tcW w:w="2503" w:type="dxa"/>
            <w:gridSpan w:val="2"/>
            <w:vMerge w:val="restart"/>
            <w:vAlign w:val="center"/>
          </w:tcPr>
          <w:p>
            <w:pPr>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eastAsia="zh-CN"/>
              </w:rPr>
              <w:t>投标保证金</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2503" w:type="dxa"/>
            <w:gridSpan w:val="2"/>
            <w:vMerge w:val="continue"/>
            <w:vAlign w:val="center"/>
          </w:tcPr>
          <w:p>
            <w:pPr>
              <w:rPr>
                <w:rFonts w:hint="eastAsia" w:ascii="仿宋" w:hAnsi="仿宋" w:eastAsia="仿宋" w:cs="仿宋"/>
                <w:bCs/>
                <w:color w:val="auto"/>
                <w:sz w:val="24"/>
                <w:szCs w:val="24"/>
                <w:highlight w:val="none"/>
              </w:rPr>
            </w:pP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保证金：</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金额（小写）：</w:t>
            </w:r>
            <w:r>
              <w:rPr>
                <w:rFonts w:hint="eastAsia" w:ascii="仿宋" w:hAnsi="仿宋" w:eastAsia="仿宋" w:cs="仿宋"/>
                <w:bCs/>
                <w:color w:val="auto"/>
                <w:sz w:val="24"/>
                <w:szCs w:val="24"/>
                <w:highlight w:val="none"/>
                <w:lang w:val="en-US" w:eastAsia="zh-CN"/>
              </w:rPr>
              <w:t>15000.00</w:t>
            </w:r>
            <w:r>
              <w:rPr>
                <w:rFonts w:hint="eastAsia" w:ascii="仿宋" w:hAnsi="仿宋" w:eastAsia="仿宋" w:cs="仿宋"/>
                <w:bCs/>
                <w:color w:val="auto"/>
                <w:sz w:val="24"/>
                <w:szCs w:val="24"/>
                <w:highlight w:val="none"/>
              </w:rPr>
              <w:t xml:space="preserve">元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金额（大写）：</w:t>
            </w:r>
            <w:r>
              <w:rPr>
                <w:rFonts w:hint="eastAsia" w:ascii="仿宋" w:hAnsi="仿宋" w:eastAsia="仿宋" w:cs="仿宋"/>
                <w:bCs/>
                <w:color w:val="auto"/>
                <w:sz w:val="24"/>
                <w:szCs w:val="24"/>
                <w:highlight w:val="none"/>
                <w:lang w:val="en-US" w:eastAsia="zh-CN"/>
              </w:rPr>
              <w:t>壹万伍仟元整</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备注项目</w:t>
            </w:r>
            <w:r>
              <w:rPr>
                <w:rFonts w:hint="eastAsia" w:ascii="仿宋" w:hAnsi="仿宋" w:eastAsia="仿宋" w:cs="仿宋"/>
                <w:bCs/>
                <w:color w:val="auto"/>
                <w:sz w:val="24"/>
                <w:szCs w:val="24"/>
                <w:highlight w:val="none"/>
                <w:lang w:eastAsia="zh-CN"/>
              </w:rPr>
              <w:t>编号、项目</w:t>
            </w:r>
            <w:r>
              <w:rPr>
                <w:rFonts w:hint="eastAsia" w:ascii="仿宋" w:hAnsi="仿宋" w:eastAsia="仿宋" w:cs="仿宋"/>
                <w:bCs/>
                <w:color w:val="auto"/>
                <w:sz w:val="24"/>
                <w:szCs w:val="24"/>
                <w:highlight w:val="none"/>
              </w:rPr>
              <w:t xml:space="preserve">名称 </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2503" w:type="dxa"/>
            <w:gridSpan w:val="2"/>
            <w:vMerge w:val="continue"/>
            <w:vAlign w:val="center"/>
          </w:tcPr>
          <w:p>
            <w:pPr>
              <w:rPr>
                <w:rFonts w:hint="eastAsia" w:ascii="仿宋" w:hAnsi="仿宋" w:eastAsia="仿宋" w:cs="仿宋"/>
                <w:bCs/>
                <w:color w:val="auto"/>
                <w:sz w:val="24"/>
                <w:szCs w:val="24"/>
                <w:highlight w:val="none"/>
              </w:rPr>
            </w:pP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收款单位：</w:t>
            </w:r>
          </w:p>
          <w:p>
            <w:pP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开户名称：</w:t>
            </w:r>
            <w:r>
              <w:rPr>
                <w:rFonts w:hint="eastAsia" w:ascii="仿宋" w:hAnsi="仿宋" w:eastAsia="仿宋" w:cs="仿宋"/>
                <w:bCs/>
                <w:color w:val="auto"/>
                <w:sz w:val="24"/>
                <w:szCs w:val="24"/>
                <w:highlight w:val="none"/>
                <w:lang w:eastAsia="zh-CN"/>
              </w:rPr>
              <w:t>新疆星耀天都项目管理有限责任公司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开户行：招商银行乌鲁木齐新华北路支行</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号：991904723110215</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必须</w:t>
            </w:r>
            <w:r>
              <w:rPr>
                <w:rFonts w:hint="eastAsia" w:ascii="仿宋" w:hAnsi="仿宋" w:eastAsia="仿宋" w:cs="仿宋"/>
                <w:bCs/>
                <w:color w:val="auto"/>
                <w:sz w:val="24"/>
                <w:szCs w:val="24"/>
                <w:highlight w:val="none"/>
                <w:lang w:eastAsia="zh-CN"/>
              </w:rPr>
              <w:t>投标截止时间前</w:t>
            </w:r>
            <w:r>
              <w:rPr>
                <w:rFonts w:hint="eastAsia" w:ascii="仿宋" w:hAnsi="仿宋" w:eastAsia="仿宋" w:cs="仿宋"/>
                <w:bCs/>
                <w:color w:val="auto"/>
                <w:sz w:val="24"/>
                <w:szCs w:val="24"/>
                <w:highlight w:val="none"/>
              </w:rPr>
              <w:t>完成保证金缴纳工作。</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需自行评估因异地、跨行、公休日等因素造成的投标保证金到账延迟风险，并承担相应责任。</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(2)投标保证金的提交以保证金账户到账时间为准。</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评审办法</w:t>
            </w:r>
          </w:p>
        </w:tc>
        <w:tc>
          <w:tcPr>
            <w:tcW w:w="5903" w:type="dxa"/>
            <w:vAlign w:val="center"/>
          </w:tcPr>
          <w:p>
            <w:pPr>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综合评分法，即指</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满足</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文件全部实质性要求且按照评审因素的量化指标评审得分最高的</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为中标候选人的评标方法。每一</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有效期</w:t>
            </w:r>
          </w:p>
        </w:tc>
        <w:tc>
          <w:tcPr>
            <w:tcW w:w="5903" w:type="dxa"/>
            <w:vAlign w:val="center"/>
          </w:tcPr>
          <w:p>
            <w:pPr>
              <w:adjustRightInd w:val="0"/>
              <w:snapToGrid w:val="0"/>
              <w:spacing w:before="120" w:beforeLines="5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 xml:space="preserve">0 </w:t>
            </w:r>
            <w:r>
              <w:rPr>
                <w:rFonts w:hint="eastAsia" w:ascii="仿宋" w:hAnsi="仿宋" w:eastAsia="仿宋" w:cs="仿宋"/>
                <w:color w:val="auto"/>
                <w:sz w:val="24"/>
                <w:szCs w:val="24"/>
                <w:highlight w:val="none"/>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份数</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本次开标：线下投标、纸质版投标文件评审。投标人编制、提交的投标文件，须符合本项目采购文件要求的投标文件编制和提交要求。</w:t>
            </w:r>
          </w:p>
          <w:p>
            <w:pPr>
              <w:numPr>
                <w:ilvl w:val="0"/>
                <w:numId w:val="0"/>
              </w:numPr>
              <w:ind w:left="240" w:left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响应文件包括：</w:t>
            </w:r>
          </w:p>
          <w:p>
            <w:pPr>
              <w:numPr>
                <w:ilvl w:val="0"/>
                <w:numId w:val="2"/>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投标</w:t>
            </w:r>
            <w:r>
              <w:rPr>
                <w:rFonts w:hint="eastAsia" w:ascii="仿宋" w:hAnsi="仿宋" w:eastAsia="仿宋" w:cs="仿宋"/>
                <w:bCs/>
                <w:color w:val="auto"/>
                <w:kern w:val="0"/>
                <w:sz w:val="24"/>
                <w:szCs w:val="24"/>
                <w:highlight w:val="none"/>
              </w:rPr>
              <w:t>文件</w:t>
            </w:r>
            <w:r>
              <w:rPr>
                <w:rFonts w:hint="eastAsia" w:ascii="仿宋" w:hAnsi="仿宋" w:eastAsia="仿宋" w:cs="仿宋"/>
                <w:bCs/>
                <w:color w:val="auto"/>
                <w:kern w:val="0"/>
                <w:sz w:val="24"/>
                <w:szCs w:val="24"/>
                <w:highlight w:val="none"/>
                <w:lang w:val="en-US" w:eastAsia="zh-CN"/>
              </w:rPr>
              <w:t>伍</w:t>
            </w:r>
            <w:r>
              <w:rPr>
                <w:rFonts w:hint="eastAsia" w:ascii="仿宋" w:hAnsi="仿宋" w:eastAsia="仿宋" w:cs="仿宋"/>
                <w:bCs/>
                <w:color w:val="auto"/>
                <w:kern w:val="0"/>
                <w:sz w:val="24"/>
                <w:szCs w:val="24"/>
                <w:highlight w:val="none"/>
              </w:rPr>
              <w:t>份，其中正本壹份，副本</w:t>
            </w:r>
            <w:r>
              <w:rPr>
                <w:rFonts w:hint="eastAsia" w:ascii="仿宋" w:hAnsi="仿宋" w:eastAsia="仿宋" w:cs="仿宋"/>
                <w:bCs/>
                <w:color w:val="auto"/>
                <w:kern w:val="0"/>
                <w:sz w:val="24"/>
                <w:szCs w:val="24"/>
                <w:highlight w:val="none"/>
                <w:lang w:val="en-US" w:eastAsia="zh-CN"/>
              </w:rPr>
              <w:t>肆</w:t>
            </w:r>
            <w:r>
              <w:rPr>
                <w:rFonts w:hint="eastAsia" w:ascii="仿宋" w:hAnsi="仿宋" w:eastAsia="仿宋" w:cs="仿宋"/>
                <w:bCs/>
                <w:color w:val="auto"/>
                <w:kern w:val="0"/>
                <w:sz w:val="24"/>
                <w:szCs w:val="24"/>
                <w:highlight w:val="none"/>
              </w:rPr>
              <w:t>份；</w:t>
            </w:r>
          </w:p>
          <w:p>
            <w:pPr>
              <w:numPr>
                <w:ilvl w:val="0"/>
                <w:numId w:val="2"/>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开标一览表</w:t>
            </w:r>
            <w:r>
              <w:rPr>
                <w:rFonts w:hint="eastAsia" w:ascii="仿宋" w:hAnsi="仿宋" w:eastAsia="仿宋" w:cs="仿宋"/>
                <w:bCs/>
                <w:color w:val="auto"/>
                <w:kern w:val="0"/>
                <w:sz w:val="24"/>
                <w:szCs w:val="24"/>
                <w:highlight w:val="none"/>
              </w:rPr>
              <w:t>壹份</w:t>
            </w:r>
          </w:p>
          <w:p>
            <w:pPr>
              <w:numPr>
                <w:ilvl w:val="0"/>
                <w:numId w:val="2"/>
              </w:numPr>
              <w:ind w:left="140" w:leftChars="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电子版U盘壹份</w:t>
            </w:r>
            <w:r>
              <w:rPr>
                <w:rFonts w:hint="eastAsia" w:ascii="仿宋" w:hAnsi="仿宋" w:eastAsia="仿宋" w:cs="仿宋"/>
                <w:bCs/>
                <w:color w:val="auto"/>
                <w:kern w:val="0"/>
                <w:sz w:val="24"/>
                <w:szCs w:val="24"/>
                <w:highlight w:val="none"/>
                <w:lang w:eastAsia="zh-CN"/>
              </w:rPr>
              <w:t>，光盘</w:t>
            </w:r>
            <w:r>
              <w:rPr>
                <w:rFonts w:hint="eastAsia" w:ascii="仿宋" w:hAnsi="仿宋" w:eastAsia="仿宋" w:cs="仿宋"/>
                <w:bCs/>
                <w:color w:val="auto"/>
                <w:kern w:val="0"/>
                <w:sz w:val="24"/>
                <w:szCs w:val="24"/>
                <w:highlight w:val="none"/>
              </w:rPr>
              <w:t>壹</w:t>
            </w:r>
            <w:r>
              <w:rPr>
                <w:rFonts w:hint="eastAsia" w:ascii="仿宋" w:hAnsi="仿宋" w:eastAsia="仿宋" w:cs="仿宋"/>
                <w:bCs/>
                <w:color w:val="auto"/>
                <w:kern w:val="0"/>
                <w:sz w:val="24"/>
                <w:szCs w:val="24"/>
                <w:highlight w:val="none"/>
                <w:lang w:eastAsia="zh-CN"/>
              </w:rPr>
              <w:t>份（内容为加盖公章的响应文件扫描件）</w:t>
            </w:r>
            <w:r>
              <w:rPr>
                <w:rFonts w:hint="eastAsia" w:ascii="仿宋" w:hAnsi="仿宋" w:eastAsia="仿宋" w:cs="仿宋"/>
                <w:bCs/>
                <w:color w:val="auto"/>
                <w:kern w:val="0"/>
                <w:sz w:val="24"/>
                <w:szCs w:val="24"/>
                <w:highlight w:val="none"/>
              </w:rPr>
              <w:t>；</w:t>
            </w:r>
          </w:p>
          <w:p>
            <w:pPr>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以上内容做好</w:t>
            </w:r>
            <w:r>
              <w:rPr>
                <w:rFonts w:hint="eastAsia" w:ascii="仿宋" w:hAnsi="仿宋" w:eastAsia="仿宋" w:cs="仿宋"/>
                <w:bCs/>
                <w:color w:val="auto"/>
                <w:kern w:val="0"/>
                <w:sz w:val="24"/>
                <w:szCs w:val="24"/>
                <w:highlight w:val="none"/>
                <w:lang w:eastAsia="zh-CN"/>
              </w:rPr>
              <w:t>标识</w:t>
            </w:r>
            <w:r>
              <w:rPr>
                <w:rFonts w:hint="eastAsia" w:ascii="仿宋" w:hAnsi="仿宋" w:eastAsia="仿宋" w:cs="仿宋"/>
                <w:bCs/>
                <w:color w:val="auto"/>
                <w:kern w:val="0"/>
                <w:sz w:val="24"/>
                <w:szCs w:val="24"/>
                <w:highlight w:val="none"/>
              </w:rPr>
              <w:t>，密封提交；</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正副本分别密封；电子</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光盘单独密封。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17</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投标预备会</w:t>
            </w:r>
          </w:p>
        </w:tc>
        <w:tc>
          <w:tcPr>
            <w:tcW w:w="5903" w:type="dxa"/>
            <w:vAlign w:val="center"/>
          </w:tcPr>
          <w:p>
            <w:pPr>
              <w:autoSpaceDE w:val="0"/>
              <w:autoSpaceDN w:val="0"/>
              <w:adjustRightIn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□是</w:t>
            </w:r>
          </w:p>
          <w:p>
            <w:pPr>
              <w:autoSpaceDE w:val="0"/>
              <w:autoSpaceDN w:val="0"/>
              <w:adjustRightIn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踏勘现场</w:t>
            </w:r>
          </w:p>
        </w:tc>
        <w:tc>
          <w:tcPr>
            <w:tcW w:w="5903" w:type="dxa"/>
            <w:vAlign w:val="center"/>
          </w:tcPr>
          <w:p>
            <w:pPr>
              <w:autoSpaceDE w:val="0"/>
              <w:autoSpaceDN w:val="0"/>
              <w:adjustRightIn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代理服务费</w:t>
            </w:r>
          </w:p>
        </w:tc>
        <w:tc>
          <w:tcPr>
            <w:tcW w:w="5903" w:type="dxa"/>
            <w:vAlign w:val="center"/>
          </w:tcPr>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本项目招标代理服务费依据《招标代理服务收费管理暂行办法》（计价格[2002]1980号）文件收取。由中标</w:t>
            </w:r>
            <w:r>
              <w:rPr>
                <w:rFonts w:hint="eastAsia" w:ascii="仿宋" w:hAnsi="仿宋" w:eastAsia="仿宋" w:cs="仿宋"/>
                <w:bCs/>
                <w:color w:val="auto"/>
                <w:sz w:val="24"/>
                <w:szCs w:val="24"/>
                <w:highlight w:val="none"/>
                <w:lang w:eastAsia="zh-CN"/>
              </w:rPr>
              <w:t>（成交）</w:t>
            </w:r>
            <w:r>
              <w:rPr>
                <w:rFonts w:hint="eastAsia" w:ascii="仿宋" w:hAnsi="仿宋" w:eastAsia="仿宋" w:cs="仿宋"/>
                <w:bCs/>
                <w:color w:val="auto"/>
                <w:sz w:val="24"/>
                <w:szCs w:val="24"/>
                <w:highlight w:val="none"/>
              </w:rPr>
              <w:t>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tc>
        <w:tc>
          <w:tcPr>
            <w:tcW w:w="2503" w:type="dxa"/>
            <w:gridSpan w:val="2"/>
            <w:vAlign w:val="center"/>
          </w:tcPr>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中小微型企业</w:t>
            </w:r>
          </w:p>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有关政策</w:t>
            </w:r>
          </w:p>
        </w:tc>
        <w:tc>
          <w:tcPr>
            <w:tcW w:w="5903" w:type="dxa"/>
            <w:vAlign w:val="center"/>
          </w:tcPr>
          <w:p>
            <w:pPr>
              <w:rPr>
                <w:rStyle w:val="131"/>
                <w:rFonts w:hint="eastAsia" w:ascii="仿宋" w:hAnsi="仿宋" w:eastAsia="仿宋" w:cs="仿宋"/>
                <w:color w:val="auto"/>
                <w:sz w:val="24"/>
                <w:szCs w:val="24"/>
                <w:highlight w:val="none"/>
              </w:rPr>
            </w:pPr>
            <w:r>
              <w:rPr>
                <w:rStyle w:val="131"/>
                <w:rFonts w:hint="eastAsia" w:ascii="仿宋" w:hAnsi="仿宋" w:eastAsia="仿宋" w:cs="仿宋"/>
                <w:color w:val="auto"/>
                <w:sz w:val="24"/>
                <w:szCs w:val="24"/>
                <w:highlight w:val="none"/>
              </w:rPr>
              <w:t>(1)根据工信部等部委发布的《关于印发中小企业划型标准规定的通知》（工信部联企业[2011]300号）规定执行；</w:t>
            </w:r>
          </w:p>
          <w:p>
            <w:pPr>
              <w:rPr>
                <w:rFonts w:hint="eastAsia" w:ascii="仿宋" w:hAnsi="仿宋" w:eastAsia="仿宋" w:cs="仿宋"/>
                <w:color w:val="auto"/>
                <w:kern w:val="2"/>
                <w:sz w:val="24"/>
                <w:szCs w:val="24"/>
                <w:highlight w:val="none"/>
                <w:lang w:val="en-US" w:eastAsia="zh-CN" w:bidi="ar-SA"/>
              </w:rPr>
            </w:pPr>
            <w:r>
              <w:rPr>
                <w:rStyle w:val="131"/>
                <w:rFonts w:hint="eastAsia" w:ascii="仿宋" w:hAnsi="仿宋" w:eastAsia="仿宋" w:cs="仿宋"/>
                <w:color w:val="auto"/>
                <w:sz w:val="24"/>
                <w:szCs w:val="24"/>
                <w:highlight w:val="none"/>
              </w:rPr>
              <w:t>(2)价格扣除幅度：价格给予6 %的扣除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rPr>
              <w:t>履约保证金</w:t>
            </w:r>
          </w:p>
        </w:tc>
        <w:tc>
          <w:tcPr>
            <w:tcW w:w="5903" w:type="dxa"/>
            <w:vAlign w:val="center"/>
          </w:tcPr>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约保证金金额：合同金额的 </w:t>
            </w:r>
            <w:r>
              <w:rPr>
                <w:rFonts w:hint="eastAsia" w:ascii="仿宋" w:hAnsi="仿宋" w:eastAsia="仿宋" w:cs="仿宋"/>
                <w:color w:val="auto"/>
                <w:sz w:val="24"/>
                <w:szCs w:val="24"/>
                <w:highlight w:val="none"/>
                <w:lang w:val="en-US" w:eastAsia="zh-CN"/>
              </w:rPr>
              <w:t xml:space="preserve">10 </w:t>
            </w:r>
            <w:r>
              <w:rPr>
                <w:rFonts w:hint="eastAsia" w:ascii="仿宋" w:hAnsi="仿宋" w:eastAsia="仿宋" w:cs="仿宋"/>
                <w:color w:val="auto"/>
                <w:sz w:val="24"/>
                <w:szCs w:val="24"/>
                <w:highlight w:val="none"/>
              </w:rPr>
              <w:t>%</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缴纳</w:t>
            </w:r>
          </w:p>
          <w:p>
            <w:pPr>
              <w:widowControl w:val="0"/>
              <w:wordWrap/>
              <w:adjustRightInd/>
              <w:spacing w:before="0" w:beforeAutospacing="0" w:after="0" w:afterAutospacing="0" w:line="240" w:lineRule="atLeast"/>
              <w:ind w:left="0" w:leftChars="0" w:righ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履约保证金形式：银行转账形式（中标单位未按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文件规定缴纳履约保证金的，其投标保证金将不予退还）</w:t>
            </w:r>
          </w:p>
          <w:p>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lang w:val="en-US" w:eastAsia="zh-CN"/>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tabs>
                <w:tab w:val="left" w:pos="265"/>
              </w:tabs>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kern w:val="2"/>
                <w:sz w:val="24"/>
                <w:szCs w:val="24"/>
                <w:highlight w:val="yellow"/>
                <w:lang w:val="en-US" w:eastAsia="zh-CN" w:bidi="ar-SA"/>
              </w:rPr>
            </w:pPr>
            <w:r>
              <w:rPr>
                <w:rFonts w:hint="eastAsia" w:ascii="仿宋" w:hAnsi="仿宋" w:eastAsia="仿宋" w:cs="仿宋"/>
                <w:b/>
                <w:bCs/>
                <w:color w:val="auto"/>
                <w:sz w:val="24"/>
                <w:szCs w:val="24"/>
                <w:highlight w:val="yellow"/>
                <w:lang w:eastAsia="zh-CN"/>
              </w:rPr>
              <w:t>服务期要求</w:t>
            </w:r>
          </w:p>
        </w:tc>
        <w:tc>
          <w:tcPr>
            <w:tcW w:w="5903" w:type="dxa"/>
            <w:vAlign w:val="center"/>
          </w:tcPr>
          <w:p>
            <w:pPr>
              <w:widowControl w:val="0"/>
              <w:wordWrap/>
              <w:spacing w:line="400" w:lineRule="exact"/>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kern w:val="2"/>
                <w:sz w:val="24"/>
                <w:szCs w:val="24"/>
                <w:highlight w:val="yellow"/>
                <w:lang w:val="en-US" w:eastAsia="zh-CN" w:bidi="ar-SA"/>
              </w:rPr>
              <w:t>合同签订起15日内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质保期</w:t>
            </w:r>
          </w:p>
        </w:tc>
        <w:tc>
          <w:tcPr>
            <w:tcW w:w="5903" w:type="dxa"/>
            <w:vAlign w:val="center"/>
          </w:tcPr>
          <w:p>
            <w:pPr>
              <w:widowControl w:val="0"/>
              <w:wordWrap/>
              <w:spacing w:line="400" w:lineRule="exact"/>
              <w:rPr>
                <w:rFonts w:hint="default" w:ascii="仿宋" w:hAnsi="仿宋" w:eastAsia="仿宋" w:cs="仿宋"/>
                <w:color w:val="auto"/>
                <w:sz w:val="24"/>
                <w:szCs w:val="24"/>
                <w:highlight w:val="none"/>
                <w:lang w:val="en-US" w:eastAsia="zh-CN"/>
              </w:rPr>
            </w:pPr>
            <w:r>
              <w:rPr>
                <w:rFonts w:hint="eastAsia" w:ascii="宋体" w:hAnsi="宋体" w:cs="宋体"/>
                <w:color w:val="FF0000"/>
                <w:sz w:val="22"/>
                <w:highlight w:val="yellow"/>
              </w:rPr>
              <w:t>产品免费质保期</w:t>
            </w:r>
            <w:r>
              <w:rPr>
                <w:rFonts w:ascii="宋体" w:hAnsi="宋体" w:cs="宋体"/>
                <w:color w:val="FF0000"/>
                <w:sz w:val="22"/>
                <w:highlight w:val="yellow"/>
                <w:u w:val="single"/>
              </w:rPr>
              <w:t xml:space="preserve"> </w:t>
            </w:r>
            <w:r>
              <w:rPr>
                <w:rFonts w:hint="eastAsia" w:ascii="宋体" w:hAnsi="宋体" w:cs="宋体"/>
                <w:color w:val="FF0000"/>
                <w:sz w:val="22"/>
                <w:highlight w:val="yellow"/>
                <w:u w:val="single"/>
                <w:lang w:eastAsia="zh-CN"/>
              </w:rPr>
              <w:t>1</w:t>
            </w:r>
            <w:r>
              <w:rPr>
                <w:rFonts w:hint="eastAsia" w:ascii="宋体" w:hAnsi="宋体" w:cs="宋体"/>
                <w:color w:val="FF0000"/>
                <w:sz w:val="22"/>
                <w:highlight w:val="yellow"/>
                <w:u w:val="single"/>
              </w:rPr>
              <w:t>年</w:t>
            </w:r>
            <w:r>
              <w:rPr>
                <w:rFonts w:ascii="宋体" w:hAnsi="宋体" w:cs="宋体"/>
                <w:color w:val="FF0000"/>
                <w:sz w:val="22"/>
                <w:highlight w:val="yellow"/>
              </w:rPr>
              <w:t>。（免费</w:t>
            </w:r>
            <w:r>
              <w:rPr>
                <w:rFonts w:hint="eastAsia" w:ascii="宋体" w:hAnsi="宋体" w:cs="宋体"/>
                <w:color w:val="FF0000"/>
                <w:sz w:val="22"/>
                <w:highlight w:val="yellow"/>
              </w:rPr>
              <w:t>质保期</w:t>
            </w:r>
            <w:r>
              <w:rPr>
                <w:rFonts w:ascii="宋体" w:hAnsi="宋体" w:cs="宋体"/>
                <w:color w:val="FF0000"/>
                <w:sz w:val="22"/>
                <w:highlight w:val="yellow"/>
              </w:rPr>
              <w:t>自</w:t>
            </w:r>
            <w:r>
              <w:rPr>
                <w:rFonts w:hint="eastAsia" w:ascii="宋体" w:hAnsi="宋体" w:cs="宋体"/>
                <w:color w:val="FF0000"/>
                <w:sz w:val="22"/>
                <w:highlight w:val="yellow"/>
              </w:rPr>
              <w:t>通过甲方</w:t>
            </w:r>
            <w:r>
              <w:rPr>
                <w:rFonts w:ascii="宋体" w:hAnsi="宋体" w:cs="宋体"/>
                <w:color w:val="FF0000"/>
                <w:sz w:val="22"/>
                <w:highlight w:val="yellow"/>
              </w:rPr>
              <w:t>验收合格之日起计）</w:t>
            </w:r>
            <w:r>
              <w:rPr>
                <w:rFonts w:hint="eastAsia" w:ascii="宋体" w:hAnsi="宋体" w:cs="宋体"/>
                <w:color w:val="FF0000"/>
                <w:sz w:val="22"/>
                <w:highlight w:val="yellow"/>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25</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付款方式</w:t>
            </w:r>
          </w:p>
        </w:tc>
        <w:tc>
          <w:tcPr>
            <w:tcW w:w="5903" w:type="dxa"/>
            <w:vAlign w:val="center"/>
          </w:tcPr>
          <w:p>
            <w:pPr>
              <w:rPr>
                <w:rFonts w:hint="eastAsia" w:ascii="仿宋" w:hAnsi="仿宋" w:eastAsia="仿宋" w:cs="仿宋"/>
                <w:color w:val="auto"/>
                <w:sz w:val="24"/>
                <w:szCs w:val="24"/>
                <w:highlight w:val="none"/>
              </w:rPr>
            </w:pPr>
            <w:r>
              <w:rPr>
                <w:rFonts w:hint="eastAsia" w:ascii="宋体" w:hAnsi="宋体" w:cs="宋体"/>
                <w:bCs/>
                <w:color w:val="FF0000"/>
                <w:sz w:val="22"/>
                <w:highlight w:val="yellow"/>
              </w:rPr>
              <w:t>完成供货安装调试，经甲方验收合格后支付合同价款的</w:t>
            </w:r>
            <w:r>
              <w:rPr>
                <w:rFonts w:hint="eastAsia" w:ascii="宋体" w:hAnsi="宋体" w:cs="宋体"/>
                <w:bCs/>
                <w:color w:val="FF0000"/>
                <w:sz w:val="22"/>
                <w:highlight w:val="yellow"/>
                <w:lang w:val="en-US" w:eastAsia="zh-CN"/>
              </w:rPr>
              <w:t>95</w:t>
            </w:r>
            <w:r>
              <w:rPr>
                <w:rFonts w:hint="eastAsia" w:ascii="宋体" w:hAnsi="宋体" w:cs="宋体"/>
                <w:bCs/>
                <w:color w:val="FF0000"/>
                <w:sz w:val="22"/>
                <w:highlight w:val="yellow"/>
              </w:rPr>
              <w:t>%（以实际签订合同约定为准）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26</w:t>
            </w:r>
          </w:p>
        </w:tc>
        <w:tc>
          <w:tcPr>
            <w:tcW w:w="2503" w:type="dxa"/>
            <w:gridSpan w:val="2"/>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质量标准</w:t>
            </w:r>
          </w:p>
        </w:tc>
        <w:tc>
          <w:tcPr>
            <w:tcW w:w="5903" w:type="dxa"/>
            <w:vAlign w:val="center"/>
          </w:tcPr>
          <w:p>
            <w:pPr>
              <w:wordWrap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27</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资料</w:t>
            </w:r>
            <w:r>
              <w:rPr>
                <w:rFonts w:hint="eastAsia" w:ascii="仿宋" w:hAnsi="仿宋" w:eastAsia="仿宋" w:cs="仿宋"/>
                <w:b/>
                <w:bCs/>
                <w:color w:val="auto"/>
                <w:sz w:val="24"/>
                <w:szCs w:val="24"/>
                <w:highlight w:val="none"/>
                <w:lang w:val="en-US" w:eastAsia="zh-CN"/>
              </w:rPr>
              <w:t>备查</w:t>
            </w:r>
          </w:p>
        </w:tc>
        <w:tc>
          <w:tcPr>
            <w:tcW w:w="5903" w:type="dxa"/>
            <w:vAlign w:val="center"/>
          </w:tcPr>
          <w:p>
            <w:pPr>
              <w:widowControl/>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开标会现场需携带以下</w:t>
            </w:r>
            <w:r>
              <w:rPr>
                <w:rFonts w:hint="eastAsia" w:ascii="仿宋" w:hAnsi="仿宋" w:eastAsia="仿宋" w:cs="仿宋"/>
                <w:color w:val="auto"/>
                <w:sz w:val="24"/>
                <w:szCs w:val="24"/>
                <w:highlight w:val="none"/>
                <w:lang w:val="en-US" w:eastAsia="zh-CN"/>
              </w:rPr>
              <w:t>资料原件备查</w:t>
            </w:r>
            <w:r>
              <w:rPr>
                <w:rFonts w:hint="eastAsia" w:ascii="仿宋" w:hAnsi="仿宋" w:eastAsia="仿宋" w:cs="仿宋"/>
                <w:color w:val="auto"/>
                <w:sz w:val="24"/>
                <w:szCs w:val="24"/>
                <w:highlight w:val="none"/>
                <w:lang w:eastAsia="zh-CN"/>
              </w:rPr>
              <w:t>：</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（1）营业执照（三证合一）；</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（2）投标保证金交纳凭证（复印件加盖公章）；</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（3）投标方</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法人投标需携带法人授权委托书原件及被授权人身份证原件或法人身份证明书及身份证原件（加盖公章）</w:t>
            </w:r>
            <w:r>
              <w:rPr>
                <w:rFonts w:hint="eastAsia" w:ascii="仿宋" w:hAnsi="仿宋" w:eastAsia="仿宋" w:cs="仿宋"/>
                <w:color w:val="auto"/>
                <w:sz w:val="24"/>
                <w:szCs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28</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付款币种</w:t>
            </w:r>
          </w:p>
        </w:tc>
        <w:tc>
          <w:tcPr>
            <w:tcW w:w="5903" w:type="dxa"/>
            <w:vAlign w:val="center"/>
          </w:tcPr>
          <w:p>
            <w:pPr>
              <w:wordWrap/>
              <w:spacing w:before="0" w:beforeAutospacing="0" w:after="0" w:afterAutospacing="0" w:line="240" w:lineRule="auto"/>
              <w:ind w:left="0" w:leftChars="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pPr>
              <w:wordWrap/>
              <w:spacing w:before="0" w:beforeAutospacing="0" w:after="0" w:afterAutospacing="0" w:line="240" w:lineRule="auto"/>
              <w:ind w:left="0" w:leftChars="0" w:right="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本次</w:t>
            </w:r>
            <w:r>
              <w:rPr>
                <w:rFonts w:hint="eastAsia" w:ascii="仿宋" w:hAnsi="仿宋" w:eastAsia="仿宋" w:cs="仿宋"/>
                <w:color w:val="auto"/>
                <w:sz w:val="24"/>
                <w:szCs w:val="24"/>
                <w:highlight w:val="none"/>
                <w:lang w:val="zh-CN" w:eastAsia="zh-CN"/>
              </w:rPr>
              <w:t>采购</w:t>
            </w:r>
            <w:r>
              <w:rPr>
                <w:rFonts w:hint="eastAsia" w:ascii="仿宋" w:hAnsi="仿宋" w:eastAsia="仿宋" w:cs="仿宋"/>
                <w:color w:val="auto"/>
                <w:sz w:val="24"/>
                <w:szCs w:val="24"/>
                <w:highlight w:val="none"/>
                <w:lang w:val="zh-CN"/>
              </w:rPr>
              <w:t>所述的项目资金均以人民币支付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29</w:t>
            </w:r>
          </w:p>
        </w:tc>
        <w:tc>
          <w:tcPr>
            <w:tcW w:w="2503" w:type="dxa"/>
            <w:gridSpan w:val="2"/>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封套上应载明的信息</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供应商地址：</w:t>
            </w:r>
            <w:r>
              <w:rPr>
                <w:rFonts w:hint="eastAsia" w:ascii="仿宋" w:hAnsi="仿宋" w:eastAsia="仿宋" w:cs="仿宋"/>
                <w:bCs/>
                <w:color w:val="auto"/>
                <w:sz w:val="24"/>
                <w:szCs w:val="24"/>
                <w:highlight w:val="none"/>
                <w:u w:val="single"/>
              </w:rPr>
              <w:t xml:space="preserve">                               </w:t>
            </w:r>
          </w:p>
          <w:p>
            <w:pPr>
              <w:pStyle w:val="13"/>
              <w:ind w:firstLine="0" w:firstLineChars="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p>
          <w:p>
            <w:pPr>
              <w:pStyle w:val="13"/>
              <w:ind w:firstLine="0"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pPr>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sz w:val="24"/>
                <w:szCs w:val="24"/>
                <w:highlight w:val="none"/>
              </w:rPr>
              <w:t>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17" w:type="dxa"/>
            <w:vMerge w:val="restart"/>
            <w:vAlign w:val="center"/>
          </w:tcPr>
          <w:p>
            <w:pPr>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30</w:t>
            </w:r>
          </w:p>
        </w:tc>
        <w:tc>
          <w:tcPr>
            <w:tcW w:w="1395" w:type="dxa"/>
            <w:vMerge w:val="restart"/>
            <w:tcBorders>
              <w:righ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文件的组成部分</w:t>
            </w: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封面</w:t>
            </w:r>
          </w:p>
        </w:tc>
        <w:tc>
          <w:tcPr>
            <w:tcW w:w="5903" w:type="dxa"/>
            <w:vAlign w:val="center"/>
          </w:tcPr>
          <w:p>
            <w:pPr>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目录</w:t>
            </w:r>
          </w:p>
        </w:tc>
        <w:tc>
          <w:tcPr>
            <w:tcW w:w="5903" w:type="dxa"/>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响应文件的组成部分</w:t>
            </w:r>
          </w:p>
        </w:tc>
        <w:tc>
          <w:tcPr>
            <w:tcW w:w="5903" w:type="dxa"/>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审查资料</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投标函</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★法定代表人资格证明书及法定代表人授权委托书</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★开标一览表</w:t>
            </w:r>
          </w:p>
          <w:p>
            <w:pPr>
              <w:pStyle w:val="13"/>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报价明细表</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供应商的资格声明</w:t>
            </w:r>
          </w:p>
          <w:p>
            <w:pPr>
              <w:pStyle w:val="13"/>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★主要人员配备表</w:t>
            </w:r>
          </w:p>
          <w:p>
            <w:pPr>
              <w:pStyle w:val="13"/>
              <w:ind w:firstLine="0" w:firstLineChar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服务方案及保证措施、承诺及优惠条件、合理化建议等</w:t>
            </w:r>
            <w:r>
              <w:rPr>
                <w:rFonts w:hint="eastAsia" w:ascii="仿宋" w:hAnsi="仿宋" w:eastAsia="仿宋" w:cs="仿宋"/>
                <w:color w:val="auto"/>
                <w:sz w:val="24"/>
                <w:szCs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Merge w:val="continue"/>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p>
        </w:tc>
        <w:tc>
          <w:tcPr>
            <w:tcW w:w="1395" w:type="dxa"/>
            <w:vMerge w:val="continue"/>
            <w:tcBorders>
              <w:right w:val="single" w:color="auto" w:sz="4" w:space="0"/>
            </w:tcBorders>
            <w:vAlign w:val="center"/>
          </w:tcPr>
          <w:p>
            <w:pPr>
              <w:jc w:val="center"/>
              <w:rPr>
                <w:rFonts w:hint="eastAsia" w:ascii="仿宋" w:hAnsi="仿宋" w:eastAsia="仿宋" w:cs="仿宋"/>
                <w:bCs/>
                <w:color w:val="auto"/>
                <w:sz w:val="24"/>
                <w:szCs w:val="24"/>
                <w:highlight w:val="none"/>
              </w:rPr>
            </w:pPr>
          </w:p>
        </w:tc>
        <w:tc>
          <w:tcPr>
            <w:tcW w:w="1108" w:type="dxa"/>
            <w:tcBorders>
              <w:left w:val="single" w:color="auto" w:sz="4" w:space="0"/>
            </w:tcBorders>
            <w:vAlign w:val="center"/>
          </w:tcPr>
          <w:p>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其他资料</w:t>
            </w:r>
          </w:p>
        </w:tc>
        <w:tc>
          <w:tcPr>
            <w:tcW w:w="5903" w:type="dxa"/>
            <w:vAlign w:val="center"/>
          </w:tcPr>
          <w:p>
            <w:pPr>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117" w:type="dxa"/>
            <w:vAlign w:val="center"/>
          </w:tcPr>
          <w:p>
            <w:pPr>
              <w:pStyle w:val="13"/>
              <w:ind w:left="482" w:hanging="482" w:hangingChars="200"/>
              <w:contextualSpacing/>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注意</w:t>
            </w:r>
          </w:p>
          <w:p>
            <w:pPr>
              <w:pStyle w:val="13"/>
              <w:ind w:left="482" w:hanging="482" w:hangingChars="200"/>
              <w:contextualSpacing/>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事项</w:t>
            </w:r>
          </w:p>
        </w:tc>
        <w:tc>
          <w:tcPr>
            <w:tcW w:w="8406" w:type="dxa"/>
            <w:gridSpan w:val="3"/>
            <w:vAlign w:val="center"/>
          </w:tcPr>
          <w:p>
            <w:pPr>
              <w:pStyle w:val="13"/>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各供应商应在本项目采购公告发布之日起到响应文件递交截止时间期间，通过“信用中国”网站（</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"qq://txfile/"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www.creditchina.</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"qq://txfile/"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www.cc</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120" w:beforeLines="50"/>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其他要求</w:t>
            </w:r>
          </w:p>
        </w:tc>
        <w:tc>
          <w:tcPr>
            <w:tcW w:w="8406" w:type="dxa"/>
            <w:gridSpan w:val="3"/>
            <w:vAlign w:val="center"/>
          </w:tcPr>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1、签字盖章要求：</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(1)供应商资格证明材料、法定代表人身份证明或授权书应加盖公章；</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(2)其他证明供应商资格的文件或证明材料应为加盖单位公章，样式可参照“</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格式”编制；</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(3)本文件中明确要求盖章或签字的，须盖章或签字。</w:t>
            </w:r>
          </w:p>
          <w:p>
            <w:pPr>
              <w:pStyle w:val="1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提供的</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应当使用</w:t>
            </w:r>
            <w:r>
              <w:rPr>
                <w:rFonts w:hint="eastAsia" w:ascii="仿宋" w:hAnsi="仿宋" w:eastAsia="仿宋" w:cs="仿宋"/>
                <w:b/>
                <w:color w:val="auto"/>
                <w:sz w:val="24"/>
                <w:szCs w:val="24"/>
                <w:highlight w:val="none"/>
                <w:lang w:eastAsia="zh-CN"/>
              </w:rPr>
              <w:t>投标文件</w:t>
            </w:r>
            <w:r>
              <w:rPr>
                <w:rFonts w:hint="eastAsia" w:ascii="仿宋" w:hAnsi="仿宋" w:eastAsia="仿宋" w:cs="仿宋"/>
                <w:b/>
                <w:color w:val="auto"/>
                <w:sz w:val="24"/>
                <w:szCs w:val="24"/>
                <w:highlight w:val="none"/>
              </w:rPr>
              <w:t>所提供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格式（表格可按照同样格式扩展）。未提供格式的，需要时由</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用文字或者表格、图片等其它形式提供。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7" w:type="dxa"/>
            <w:vAlign w:val="center"/>
          </w:tcPr>
          <w:p>
            <w:pPr>
              <w:adjustRightInd w:val="0"/>
              <w:snapToGrid w:val="0"/>
              <w:spacing w:before="120" w:beforeLines="5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其他</w:t>
            </w:r>
          </w:p>
        </w:tc>
        <w:tc>
          <w:tcPr>
            <w:tcW w:w="8406" w:type="dxa"/>
            <w:gridSpan w:val="3"/>
            <w:vAlign w:val="center"/>
          </w:tcPr>
          <w:p>
            <w:pPr>
              <w:pStyle w:val="16"/>
              <w:rPr>
                <w:rFonts w:hint="eastAsia" w:ascii="仿宋" w:hAnsi="仿宋" w:eastAsia="仿宋" w:cs="仿宋"/>
                <w:b/>
                <w:color w:val="auto"/>
                <w:sz w:val="24"/>
                <w:szCs w:val="24"/>
                <w:highlight w:val="none"/>
              </w:rPr>
            </w:pPr>
          </w:p>
        </w:tc>
      </w:tr>
    </w:tbl>
    <w:p>
      <w:pPr>
        <w:pStyle w:val="36"/>
        <w:rPr>
          <w:rFonts w:hint="eastAsia" w:ascii="仿宋" w:hAnsi="仿宋" w:eastAsia="仿宋" w:cs="仿宋"/>
          <w:b/>
          <w:color w:val="auto"/>
          <w:sz w:val="24"/>
          <w:szCs w:val="24"/>
          <w:highlight w:val="none"/>
        </w:rPr>
      </w:pPr>
    </w:p>
    <w:p>
      <w:pPr>
        <w:pStyle w:val="37"/>
        <w:rPr>
          <w:rFonts w:hint="eastAsia" w:ascii="仿宋" w:hAnsi="仿宋" w:eastAsia="仿宋" w:cs="仿宋"/>
          <w:b/>
          <w:color w:val="auto"/>
          <w:sz w:val="24"/>
          <w:szCs w:val="24"/>
          <w:highlight w:val="none"/>
        </w:rPr>
      </w:pPr>
    </w:p>
    <w:p>
      <w:pPr>
        <w:rPr>
          <w:rFonts w:hint="eastAsia"/>
          <w:color w:val="auto"/>
          <w:highlight w:val="none"/>
        </w:rPr>
      </w:pP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20" w:name="_Toc267301282"/>
      <w:bookmarkStart w:id="21" w:name="_Toc349573121"/>
      <w:bookmarkStart w:id="22" w:name="_Toc298240405"/>
      <w:bookmarkStart w:id="23" w:name="_Toc462223632"/>
      <w:bookmarkStart w:id="24" w:name="_Toc349637920"/>
      <w:r>
        <w:rPr>
          <w:rFonts w:hint="eastAsia" w:ascii="仿宋" w:hAnsi="仿宋" w:eastAsia="仿宋" w:cs="仿宋"/>
          <w:color w:val="auto"/>
          <w:sz w:val="24"/>
          <w:szCs w:val="24"/>
          <w:highlight w:val="none"/>
        </w:rPr>
        <w:t>（一）说　明</w:t>
      </w:r>
      <w:bookmarkEnd w:id="20"/>
      <w:bookmarkEnd w:id="21"/>
      <w:bookmarkEnd w:id="22"/>
      <w:bookmarkEnd w:id="23"/>
      <w:bookmarkEnd w:id="24"/>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1、适用范围</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本</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文件仅适用于本次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邀请中所叙述项目的货物及服务采购。</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2、定义</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“招标代理机构”系指</w:t>
      </w:r>
      <w:r>
        <w:rPr>
          <w:rFonts w:hint="eastAsia" w:ascii="仿宋" w:hAnsi="仿宋" w:eastAsia="仿宋" w:cs="仿宋"/>
          <w:color w:val="auto"/>
          <w:sz w:val="24"/>
          <w:szCs w:val="24"/>
          <w:highlight w:val="none"/>
          <w:lang w:eastAsia="zh-CN"/>
        </w:rPr>
        <w:t>新疆星耀天都项目管理有限责任公司</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“需方”系指</w:t>
      </w:r>
      <w:r>
        <w:rPr>
          <w:rFonts w:hint="eastAsia" w:ascii="仿宋" w:hAnsi="仿宋" w:eastAsia="仿宋" w:cs="仿宋"/>
          <w:color w:val="auto"/>
          <w:sz w:val="24"/>
          <w:szCs w:val="24"/>
          <w:highlight w:val="none"/>
          <w:lang w:eastAsia="zh-CN"/>
        </w:rPr>
        <w:t>新疆艺术学院</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供应商”系指向招标代理机构提交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性文件的制造商或代理商；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“成交方”系指在本次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中成交，将被授予合同的供应商，即成为“成交方”。</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3、合格的供应商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有能力提供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文件中所要求的货物及服务、资格审查合格的制造商或代理商为合格的供应商；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供应商必须遵守有关的国内法律和规章条例。</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4、供应商资格</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 xml:space="preserve">4.1 </w:t>
      </w:r>
      <w:r>
        <w:rPr>
          <w:rFonts w:hint="eastAsia" w:ascii="仿宋" w:hAnsi="仿宋" w:eastAsia="仿宋" w:cs="仿宋"/>
          <w:color w:val="auto"/>
          <w:kern w:val="2"/>
          <w:sz w:val="24"/>
          <w:szCs w:val="24"/>
          <w:highlight w:val="none"/>
          <w:lang w:val="en-US" w:eastAsia="zh-CN"/>
        </w:rPr>
        <w:t>、落实政府采购政策需满足的资格要求：详见政府采购法。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4.</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供应商须符合《中华人民共和国政府采购法》第二十二条规定,并提供《中华人民共和国政府采购法实施条例》第十七条所要求的材料；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①供应商提供有效的统一社会信用代码的营业执照，供应商必须是中华人民共和国境内注册的，具有独立承担民事责任的能力；</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② 财务状况报告：供应商提供2020年度经第三方权威机构出具的完整的财务审计报告或自发布公告之日起基本开户银行出具的资信证明；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③ 依法缴纳税收：供应商提供自投标截止之日前半年内任意一个月依法缴纳税收的凭据，依法免税的供应商，应提供充足的证明材料；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⑤ 供应商具备履行合同所必需的设备和专业技术能力的证明材料；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4.3、供应商提供法人授权委托书及被授权人身份证明原件；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4.5、本项目不接受联合体投标；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rPr>
        <w:t>4.6、单位负责人为同一人或者存在直接控股、管理关系的不同投标人，不得同时参加本项目的竞争。</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费用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无论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过程中的作法和结果如何，供应商将自行承担所有与参加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有关的全部费用。</w:t>
      </w:r>
      <w:bookmarkStart w:id="25" w:name="_Toc298240406"/>
      <w:bookmarkStart w:id="26" w:name="_Toc267301283"/>
      <w:bookmarkStart w:id="27" w:name="_Toc349573122"/>
      <w:bookmarkStart w:id="28" w:name="_Toc349637921"/>
    </w:p>
    <w:p>
      <w:pPr>
        <w:pStyle w:val="4"/>
        <w:pageBreakBefore/>
        <w:widowControl/>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29" w:name="_Toc462223633"/>
      <w:r>
        <w:rPr>
          <w:rFonts w:hint="eastAsia" w:ascii="仿宋" w:hAnsi="仿宋" w:eastAsia="仿宋" w:cs="仿宋"/>
          <w:color w:val="auto"/>
          <w:sz w:val="24"/>
          <w:szCs w:val="24"/>
          <w:highlight w:val="none"/>
        </w:rPr>
        <w:t xml:space="preserve">（二）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bookmarkEnd w:id="25"/>
      <w:bookmarkEnd w:id="26"/>
      <w:bookmarkEnd w:id="27"/>
      <w:bookmarkEnd w:id="28"/>
      <w:bookmarkEnd w:id="2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文件构成</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文件包括：</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公告；</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供应商须知；</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项目需求；</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合同条款；</w:t>
      </w:r>
    </w:p>
    <w:p>
      <w:pPr>
        <w:wordWrap/>
        <w:spacing w:beforeAutospacing="0" w:afterAutospacing="0" w:line="400" w:lineRule="exact"/>
        <w:ind w:left="0" w:leftChars="0" w:right="0" w:firstLine="753" w:firstLineChars="31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6.1.5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6.2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文件以中文编写。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供应商应认真阅读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文件中所有的事项、格式、条款和规范等要求，从而对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文件作出实质性响应。如果没有按照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文件要求提交全部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文件或资料，没有对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文件作出实质性响应，其风险应由供应商自行承担。</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文件澄清</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供应商对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供应商对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文件有质疑，须在得到招标文件之日起至质疑截止时间止，以书面形式向招标机构提出质疑；招标机构在收到书面质疑后7个工作日内做出答复，并以书面形式通知质疑投标人。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8.1 投标人对招标文</w:t>
      </w:r>
      <w:r>
        <w:rPr>
          <w:rFonts w:hint="eastAsia" w:ascii="仿宋" w:hAnsi="仿宋" w:eastAsia="仿宋" w:cs="仿宋"/>
          <w:color w:val="auto"/>
          <w:sz w:val="24"/>
          <w:szCs w:val="24"/>
          <w:highlight w:val="none"/>
          <w:lang w:eastAsia="zh-CN"/>
        </w:rPr>
        <w:t>件有疑问的，可以向招标代理机构提出询问，招标代理机构将及时做出答复；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供应商在规定的时间内未对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文件提出澄清要求的，招标代理机构将视其为同意。</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在投标截止时间前，招标机构可视具体情况延长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截止时间，并将变更时间书面通知所有购买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文件的供应商。</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30" w:name="_Toc349637922"/>
      <w:bookmarkStart w:id="31" w:name="_Toc462223634"/>
      <w:bookmarkStart w:id="32" w:name="_Toc349573123"/>
      <w:bookmarkStart w:id="33" w:name="_Toc298240407"/>
      <w:bookmarkStart w:id="34" w:name="_Toc267301284"/>
      <w:r>
        <w:rPr>
          <w:rFonts w:hint="eastAsia" w:ascii="仿宋" w:hAnsi="仿宋" w:eastAsia="仿宋" w:cs="仿宋"/>
          <w:color w:val="auto"/>
          <w:sz w:val="24"/>
          <w:szCs w:val="24"/>
          <w:highlight w:val="none"/>
        </w:rPr>
        <w:t xml:space="preserve">（三）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性文件的编写</w:t>
      </w:r>
      <w:bookmarkEnd w:id="30"/>
      <w:bookmarkEnd w:id="31"/>
      <w:bookmarkEnd w:id="32"/>
      <w:bookmarkEnd w:id="33"/>
      <w:bookmarkEnd w:id="34"/>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供应商应仔细阅读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文件的所有内容，按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文件的要求提供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性文件，并保证所提供的全部资料的真实性，以使其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文件作出实质性响应，否则，其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可能被拒绝。</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语言</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性文件及供应商与招标代理机构就</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交换的文件和来往信件，应以中文书写（</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供应商提交的支持文件和印刷的文献可以使用别的语言，但其相应内容必须附有中文翻译文本，在解释</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文件时以翻译文本为主）。</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性文件的构成</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供应商编写的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性文件应包括下列内容：</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 应 函</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（2）法定代表人身份证明法定代表人授权委托书</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报价表（开标一览表）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（4）商务偏离表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类似业绩</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（7）技术偏离表</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技术部分</w:t>
      </w:r>
    </w:p>
    <w:p>
      <w:pPr>
        <w:wordWrap/>
        <w:spacing w:beforeAutospacing="0" w:afterAutospacing="0" w:line="400" w:lineRule="exact"/>
        <w:ind w:left="0" w:leftChars="0" w:right="0"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投标人认为有必要提交的其他相关证明材料</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供应商应将</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性文件装订成册，并填写文件资料清单。</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供应商应按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文件的范本格式中提供的文件格式填写。</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供应商应在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报价表上标明单价和总价。单价和总价要相符。小写和大写要相符。供应商应在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报价表中标明其提供的所有服务及其相关工作范围内所有费用的总价，不接受有任何选择性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算术性修正。算术性修正是指对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文件的报价明细进行校核，并对其算术上和运算上的差错给予修正。修正的原则如下：</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13.2.1 当以数字表示的金额与文字表示的金额有差异时，以文字表示的金额为准；</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 当单价与数量相乘不等于合价时，以单价计算为准。如果单价有明显的小数点位置差错，应以标出的合价为准，同时对单价予以修正；</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13.2.3 当各明细部分的价格累计不等于合价时，应以各明细的累计计数为准，修正合价。</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13.2.4 按以上原则对算术性差错修正，应取得供应商的同意，并确认修正后最终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报价。如果供应商拒绝确认，则其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文件将不予以评审并按废标处理，没收其投标担保。</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14、投标货币</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14.1人民币报价。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15、供应商的证明文件：</w:t>
      </w:r>
    </w:p>
    <w:p>
      <w:pPr>
        <w:wordWrap/>
        <w:spacing w:beforeAutospacing="0" w:afterAutospacing="0" w:line="400" w:lineRule="exact"/>
        <w:ind w:left="0" w:leftChars="0" w:right="0" w:firstLine="480" w:firstLineChars="200"/>
        <w:rPr>
          <w:rFonts w:hint="eastAsia" w:ascii="仿宋" w:hAnsi="仿宋" w:eastAsia="仿宋" w:cs="仿宋"/>
          <w:color w:val="auto"/>
          <w:spacing w:val="8"/>
          <w:sz w:val="24"/>
          <w:szCs w:val="24"/>
          <w:highlight w:val="none"/>
        </w:rPr>
      </w:pPr>
      <w:r>
        <w:rPr>
          <w:rFonts w:hint="eastAsia" w:ascii="仿宋" w:hAnsi="仿宋" w:eastAsia="仿宋" w:cs="仿宋"/>
          <w:color w:val="auto"/>
          <w:sz w:val="24"/>
          <w:szCs w:val="24"/>
          <w:highlight w:val="none"/>
        </w:rPr>
        <w:t>供应商必须提交证明其有资格进行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和有能力履行合同的文件（范本格式），作为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文件的一部分。（</w:t>
      </w:r>
      <w:r>
        <w:rPr>
          <w:rFonts w:hint="eastAsia" w:ascii="仿宋" w:hAnsi="仿宋" w:eastAsia="仿宋" w:cs="仿宋"/>
          <w:color w:val="auto"/>
          <w:spacing w:val="8"/>
          <w:sz w:val="24"/>
          <w:szCs w:val="24"/>
          <w:highlight w:val="none"/>
        </w:rPr>
        <w:t>如不满足以下条款将导致废标）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 xml:space="preserve">15.1 </w:t>
      </w:r>
      <w:r>
        <w:rPr>
          <w:rFonts w:hint="eastAsia" w:ascii="仿宋" w:hAnsi="仿宋" w:eastAsia="仿宋" w:cs="仿宋"/>
          <w:color w:val="auto"/>
          <w:kern w:val="2"/>
          <w:sz w:val="24"/>
          <w:szCs w:val="24"/>
          <w:highlight w:val="none"/>
          <w:lang w:val="en-US" w:eastAsia="zh-CN"/>
        </w:rPr>
        <w:t>、落实政府采购政策需满足的资格要求：详见政府采购法。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15.2、供应商须符合《中华人民共和国政府采购法》第二十二条规定,并提供《中华人民共和国政府采购法实施条例》第十七条所要求的材料；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①供应商提供有效的统一社会信用代码的营业执照，供应商必须是中华人民共和国境内注册的，具有独立承担民事责任的能力；</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② 财务状况报告：供应商提供2020年度经第三方权威机构出具的完整的财务审计报告或自发布公告之日起基本开户银行出具的资信证明；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③ 依法缴纳税收：供应商提供自投标截止之日前半年内任意一个月依法缴纳税收的凭据，依法免税的供应商，应提供充足的证明材料；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④ 供应商逐月缴纳社会保障资金的，提供自投标截止之日前半年内任意一个月缴纳社会保障资金的凭证；供应商逐年缴纳社会保障资金的，提供上年度缴纳社会保障资金的凭证；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⑤ 供应商具备履行合同所必需的设备和专业技术能力的证明材料；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⑥ 供应商提供参加政府采购活动前 3 年内在经营活动中没有重大违法记录的书面声明（截至开标日成立不满 3 年的供应商，可提供自成立以来无重大违法记录的书面声明）。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15.3、供应商提供法人授权委托书及被授权人身份证明原件；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15.5、本项目不接受联合体投标；</w:t>
      </w:r>
    </w:p>
    <w:p>
      <w:pPr>
        <w:pStyle w:val="34"/>
        <w:wordWrap/>
        <w:spacing w:before="0" w:beforeAutospacing="0" w:after="0" w:afterAutospacing="0" w:line="400" w:lineRule="exact"/>
        <w:ind w:left="0" w:leftChars="0" w:right="0" w:firstLine="468" w:firstLineChars="195"/>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15.6、单位负责人为同一人或者存在直接控股、管理关系的不同投标人，不得同时参加本项目的竞争。</w:t>
      </w:r>
    </w:p>
    <w:p>
      <w:pPr>
        <w:tabs>
          <w:tab w:val="left" w:pos="252"/>
          <w:tab w:val="left" w:pos="671"/>
        </w:tabs>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性文件中，所有供应商签字、法人代表签字、法人代表授权人签字和其它签字处须同时加盖有关有法律效力的印章方为有效；</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②所有资格证明文件必须满足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文件要求，否则将导致废标。</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16、参数符合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文件规定的技术要求</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16.1供应商提交的成果资料符合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文件规定的要求，作为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文件的一部分。</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17.1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之日起，投标有效期为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天。（如不满足将导致废标）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在特殊情况下，招标代理机构可与供应商商量延长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文件的有效期。</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性文件的书写要求。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性文件须打印。</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性文件应清楚工整，修改处应由</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供应商全权代表签章。</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18.3 </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性文件中要求由投标人法定代表人或被授权人签字的内容必须签字、盖章的内容必须盖章，否则视为无效投标。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18.4电报、电话、传真形式的投标概不接受。</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18.5</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文件的份数：正本1份，副本</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份，开标一览表1份，电子U盘1份。</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19、投标保证金</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19.1供应商按照供应商须知附表中要求缴纳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本次招标仅接受网银或电汇作为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保证金有效期应当与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有效期一致。</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保证金的退还时间：</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19.3.1中标供应商的投标保证金，将在合同签订后的5个工作日内予以退还；未中标供应商的投标保证金在中标通知书发出后5个工作日内予以退还。</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19.4未按规定提交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保证金的投标，将被视为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无效。</w:t>
      </w:r>
    </w:p>
    <w:p>
      <w:pPr>
        <w:pStyle w:val="23"/>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19.5下列任何情况发生时，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保证金将被没收：</w:t>
      </w:r>
    </w:p>
    <w:p>
      <w:pPr>
        <w:pStyle w:val="23"/>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19.5.1供应商在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文件规定的投标有效期内撤回其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pPr>
        <w:pStyle w:val="23"/>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19.5.2成交方在规定期限内未能：</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19.5.2.1按本须知第31条规定签订合同；</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19.5.2.2按须知第32条向买方提交履约保证金；</w:t>
      </w:r>
    </w:p>
    <w:p>
      <w:pPr>
        <w:pStyle w:val="23"/>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19.5.2.3按本须知第33条规定向招标代理机构交纳代理服务费。</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35" w:name="_Toc267301285"/>
      <w:bookmarkStart w:id="36" w:name="_Toc349573124"/>
      <w:bookmarkStart w:id="37" w:name="_Toc462223635"/>
      <w:bookmarkStart w:id="38" w:name="_Toc298240408"/>
      <w:bookmarkStart w:id="39" w:name="_Toc349637923"/>
      <w:r>
        <w:rPr>
          <w:rFonts w:hint="eastAsia" w:ascii="仿宋" w:hAnsi="仿宋" w:eastAsia="仿宋" w:cs="仿宋"/>
          <w:color w:val="auto"/>
          <w:sz w:val="24"/>
          <w:szCs w:val="24"/>
          <w:highlight w:val="none"/>
        </w:rPr>
        <w:t xml:space="preserve">（四）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文件的递交</w:t>
      </w:r>
      <w:bookmarkEnd w:id="35"/>
      <w:bookmarkEnd w:id="36"/>
      <w:bookmarkEnd w:id="37"/>
      <w:bookmarkEnd w:id="38"/>
      <w:bookmarkEnd w:id="3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性文件的密封与标记</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供应商应将</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性文件正、副本分别密封，在每个密封件的封面上标明：</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招标机构：</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注明“开标时才能启封”</w:t>
      </w:r>
    </w:p>
    <w:p>
      <w:pPr>
        <w:tabs>
          <w:tab w:val="left" w:pos="1080"/>
        </w:tabs>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单位名称：</w:t>
      </w:r>
    </w:p>
    <w:p>
      <w:pPr>
        <w:wordWrap/>
        <w:spacing w:beforeAutospacing="0" w:afterAutospacing="0" w:line="400" w:lineRule="exact"/>
        <w:ind w:left="120" w:leftChars="0" w:right="0" w:hanging="120" w:hangingChars="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20.2 为方便</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报价表单独密封，并在信封上标明“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报价表”字样。</w:t>
      </w:r>
    </w:p>
    <w:p>
      <w:pPr>
        <w:wordWrap/>
        <w:spacing w:beforeAutospacing="0" w:afterAutospacing="0" w:line="400" w:lineRule="exact"/>
        <w:ind w:left="120" w:leftChars="0" w:right="0" w:hanging="120" w:hanging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20.3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文件装订要求：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文件要求不得活页装订</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文件递交截止时间</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文件的递交截止时间为：。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文件以密封形式递交至：开标现场</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所有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文件都必须按招标代理机构在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邀请中规定的投标截止时间之前送到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文件规定的地点。</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出现第8.2款因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文件的修改推迟投标截止时间时，则按招标代理机构修改通知规定的时间递交。</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文件的修改和撤销</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供应商在提交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文件后可对其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文件进行修改或撤销，但招标代理机构须在投标截止时间之前收到该修改或撤销的书面通知，该通知须有经正式授权的供应商代表签字。</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供应商不得在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时间起至</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有效期期满前撤销</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文件。否则招标代理机构将没收其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40" w:name="_Toc349573125"/>
      <w:bookmarkStart w:id="41" w:name="_Toc298240409"/>
      <w:bookmarkStart w:id="42" w:name="_Toc462223636"/>
      <w:bookmarkStart w:id="43" w:name="_Toc267301286"/>
      <w:bookmarkStart w:id="44" w:name="_Toc349637924"/>
      <w:r>
        <w:rPr>
          <w:rFonts w:hint="eastAsia" w:ascii="仿宋" w:hAnsi="仿宋" w:eastAsia="仿宋" w:cs="仿宋"/>
          <w:color w:val="auto"/>
          <w:sz w:val="24"/>
          <w:szCs w:val="24"/>
          <w:highlight w:val="none"/>
        </w:rPr>
        <w:t xml:space="preserve">（五）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程序</w:t>
      </w:r>
      <w:bookmarkEnd w:id="40"/>
      <w:bookmarkEnd w:id="41"/>
      <w:bookmarkEnd w:id="42"/>
      <w:bookmarkEnd w:id="43"/>
      <w:bookmarkEnd w:id="44"/>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投标</w:t>
      </w:r>
    </w:p>
    <w:p>
      <w:pPr>
        <w:wordWrap/>
        <w:spacing w:beforeAutospacing="0" w:afterAutospacing="0" w:line="400" w:lineRule="exact"/>
        <w:ind w:left="239" w:leftChars="114"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时，有关行政监督部门或公证部门的工作人员将对供应商进行资格初审。</w:t>
      </w:r>
    </w:p>
    <w:p>
      <w:pPr>
        <w:wordWrap/>
        <w:spacing w:beforeAutospacing="0" w:afterAutospacing="0" w:line="400" w:lineRule="exact"/>
        <w:ind w:left="0" w:leftChars="0" w:right="0"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供应商应在密封的</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文件之外随身携带原件</w:t>
      </w:r>
      <w:r>
        <w:rPr>
          <w:rFonts w:hint="eastAsia" w:ascii="仿宋" w:hAnsi="仿宋" w:eastAsia="仿宋" w:cs="仿宋"/>
          <w:color w:val="auto"/>
          <w:sz w:val="24"/>
          <w:szCs w:val="24"/>
          <w:highlight w:val="none"/>
        </w:rPr>
        <w:t>：</w:t>
      </w:r>
    </w:p>
    <w:p>
      <w:pPr>
        <w:pStyle w:val="34"/>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① </w:t>
      </w:r>
      <w:r>
        <w:rPr>
          <w:rFonts w:hint="eastAsia" w:ascii="仿宋" w:hAnsi="仿宋" w:eastAsia="仿宋" w:cs="仿宋"/>
          <w:color w:val="auto"/>
          <w:sz w:val="24"/>
          <w:szCs w:val="24"/>
          <w:highlight w:val="none"/>
          <w:lang w:eastAsia="zh-CN"/>
        </w:rPr>
        <w:t>供应商提供有效的统一社会信用代码的营业执照（须有相应经营范围）副本，供应商必须是中华人民共和国境内注册的，具有独立承担民事责任的能力；</w:t>
      </w:r>
    </w:p>
    <w:p>
      <w:pPr>
        <w:pStyle w:val="34"/>
        <w:wordWrap/>
        <w:spacing w:before="0" w:beforeAutospacing="0" w:after="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供应商提供法人授权委托书及被授权人身份证明原件；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投标保证金缴纳凭证。</w:t>
      </w:r>
    </w:p>
    <w:p>
      <w:pPr>
        <w:wordWrap/>
        <w:spacing w:beforeAutospacing="0" w:afterAutospacing="0" w:line="400" w:lineRule="exact"/>
        <w:ind w:left="0" w:leftChars="0" w:right="0"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注：以上</w:t>
      </w:r>
      <w:r>
        <w:rPr>
          <w:rFonts w:hint="eastAsia" w:ascii="仿宋" w:hAnsi="仿宋" w:eastAsia="仿宋" w:cs="仿宋"/>
          <w:b/>
          <w:color w:val="auto"/>
          <w:sz w:val="24"/>
          <w:szCs w:val="24"/>
          <w:highlight w:val="none"/>
          <w:lang w:eastAsia="zh-CN"/>
        </w:rPr>
        <w:t>现场查验资料</w:t>
      </w:r>
      <w:r>
        <w:rPr>
          <w:rFonts w:hint="eastAsia" w:ascii="仿宋" w:hAnsi="仿宋" w:eastAsia="仿宋" w:cs="仿宋"/>
          <w:b/>
          <w:color w:val="auto"/>
          <w:sz w:val="24"/>
          <w:szCs w:val="24"/>
          <w:highlight w:val="none"/>
        </w:rPr>
        <w:t>均为原件单独提交审核、复印件装订在投标文件中，不合格或缺少一项将被认为资格审查不合格，将取消其竞标资格。</w:t>
      </w:r>
    </w:p>
    <w:p>
      <w:pPr>
        <w:wordWrap/>
        <w:spacing w:beforeAutospacing="0" w:afterAutospacing="0" w:line="400" w:lineRule="exact"/>
        <w:ind w:left="0" w:leftChars="0"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以备</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前做初步的审查，确认其是否已具备提交</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文件的资格。但该初步审查并不妨碍</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小组对供应商进行的进一步资格详细审查。</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 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邀请规定的时间地点进行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，将邀请供应商的法定代表人或其授权委托人准时参加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会。</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23.3宣布</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文件开启顺序。</w:t>
      </w:r>
    </w:p>
    <w:p>
      <w:pPr>
        <w:wordWrap/>
        <w:spacing w:beforeAutospacing="0" w:afterAutospacing="0" w:line="400" w:lineRule="exact"/>
        <w:ind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23.4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时检查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文件密封情况。</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23.5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原则在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会议上宣布。</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23.6 对采购方的纪律要求</w:t>
      </w:r>
    </w:p>
    <w:p>
      <w:pPr>
        <w:wordWrap/>
        <w:spacing w:beforeAutospacing="0" w:afterAutospacing="0" w:line="400" w:lineRule="exact"/>
        <w:ind w:left="0" w:leftChars="0" w:right="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采购方不得泄露</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活动中应当保密的情况和资料，不得与供应商串通损害国家利益、社会公共利益或者他人合法权益。</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23.7对供应商的纪律要求</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供应商不得互相串通</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或者与采购人串通</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，不得向采购人或者</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小组成员行贿谋取成交，不得以他人名义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或者以其他方式弄虚作假骗取成交；供应商不得以任何方式干扰、影响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工作。</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23.8 对与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活动有关的工作人员的纪律要求</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活动有关的工作人员不得收受他人的财物或者好处，不得向其他人透露对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文件的评审和比较、成交候选人的推荐情况及</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有关其他情况。在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活动中，与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活动有关的工作人员不得擅离职守，影响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程序正常进行。</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小组成员要求</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纪律</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小组应当依照有关法律法规的规定，按照</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文件确定的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标准和办法客观、公正的对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文件提出评审意见。</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文件设有规定的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标准和方法不得作为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依据。</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23.9.2</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小组成员不得私下接触供应商，不得收受供应商给予的财务或者其他好处，不得向采购方征询确定成交方意向。</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23.9.3不得接受任何单位或个人明示或暗示提出的倾向或排斥特定供应商的要求。</w:t>
      </w:r>
    </w:p>
    <w:p>
      <w:pPr>
        <w:wordWrap/>
        <w:spacing w:beforeAutospacing="0" w:afterAutospacing="0" w:line="400" w:lineRule="exact"/>
        <w:ind w:left="0" w:leftChars="0" w:right="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23.9.4不得有其他不客观，不公正履行职务的行为。</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的依据为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24.2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小组审查</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文件是否完整，是否有计算错误，要求的保证金是否提供，文件是否恰当地签署。</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初步评审（符合性审查）</w:t>
      </w:r>
    </w:p>
    <w:tbl>
      <w:tblPr>
        <w:tblStyle w:val="38"/>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78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w:t>
            </w:r>
          </w:p>
        </w:tc>
        <w:tc>
          <w:tcPr>
            <w:tcW w:w="4961" w:type="dxa"/>
            <w:gridSpan w:val="2"/>
            <w:tcBorders>
              <w:bottom w:val="single" w:color="auto" w:sz="4" w:space="0"/>
            </w:tcBorders>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  审  内  容</w:t>
            </w:r>
          </w:p>
        </w:tc>
        <w:tc>
          <w:tcPr>
            <w:tcW w:w="732"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投标人1</w:t>
            </w:r>
          </w:p>
        </w:tc>
        <w:tc>
          <w:tcPr>
            <w:tcW w:w="720"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投标人2</w:t>
            </w:r>
          </w:p>
        </w:tc>
        <w:tc>
          <w:tcPr>
            <w:tcW w:w="789"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投标人3</w:t>
            </w:r>
          </w:p>
        </w:tc>
        <w:tc>
          <w:tcPr>
            <w:tcW w:w="735" w:type="dxa"/>
            <w:tcBorders>
              <w:bottom w:val="single" w:color="auto" w:sz="4" w:space="0"/>
            </w:tcBorders>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初</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步</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符</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性</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审</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查</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表</w:t>
            </w:r>
          </w:p>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投标文件是否按采购文件要求签字盖章；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投标报价是否高于本项目的最高限价；</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投标文件的服务期是否超过采购文件规定期限；</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投标保证金的缴纳主体是否与投标人一致、提供投标担保或者所提供的投标担保不符合采购文件要求；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投标货物的应标参数</w:t>
            </w:r>
            <w:r>
              <w:rPr>
                <w:rFonts w:hint="eastAsia" w:ascii="仿宋" w:hAnsi="仿宋" w:eastAsia="仿宋" w:cs="仿宋"/>
                <w:color w:val="auto"/>
                <w:sz w:val="24"/>
                <w:szCs w:val="24"/>
                <w:highlight w:val="none"/>
                <w:lang w:eastAsia="zh-CN"/>
              </w:rPr>
              <w:t>是否满足采购文件技术要求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投标文件是否按采购文件规定格式完整提供、且按采购文件要求签字或盖章；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企业信誉（信用查询）是否满足采购文件的要求；</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法定代表人身份证明书及法定代表人授权委托书是否按采购文件规定格式完整提供、并按采购文件要求签字盖章。</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投标文件需求没有采购人不可接收的重大偏离</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投标文件是否附有采购人不能接受的条件</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投标文件封面右上角是否注明“正本”或“副本”字样；</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621" w:type="dxa"/>
            <w:vAlign w:val="center"/>
          </w:tcPr>
          <w:p>
            <w:pPr>
              <w:wordWrap/>
              <w:spacing w:beforeAutospacing="0" w:afterAutospacing="0" w:line="400" w:lineRule="exact"/>
              <w:ind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w:t>
            </w:r>
          </w:p>
        </w:tc>
        <w:tc>
          <w:tcPr>
            <w:tcW w:w="434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是否满足采购文件实质性要求的其他情形</w:t>
            </w:r>
          </w:p>
        </w:tc>
        <w:tc>
          <w:tcPr>
            <w:tcW w:w="732"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20"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89"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c>
          <w:tcPr>
            <w:tcW w:w="735" w:type="dxa"/>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评标委员会成员签名：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在对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文件进行详细评估之前，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小组将依据供应商提供的资格证明文件审查供应商的财务、技术和生产能力。如果确定供应商无资格履行合同，其投标将被拒绝。</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24.4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小组将确定每一</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文件是否对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文件的要求作出了实质性的响应，而没有重大偏离。实质性响应的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文件是指符合</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文件的所有条款、条件和规定且没有重大偏离或保留。重大偏离或保留系指影响到</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 xml:space="preserve">文件规定的供货范围、质量和性能，或限制了买方的权利和供应商的义务的规定，而纠正这些偏离将影响到其他提交实质性响应投标的供应商的公平竞争地位。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文件的澄清</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25.1为有助于对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文件进行审查、评估和比较，</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小组将对供应商进行</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，请供应商澄清其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内容，供应商有责任按照招标代理机构通知的时间、地点指派专人进行答疑和澄清。</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时供应商代表应作书面记录。并对重要内容作出书面答复。</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 要澄清的答复应是书面的，但不得对</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内容进行实质性修改。澄清文件须由供应商法人代表或法人授权代表签字和/或加盖公章并作为</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文件的组成部分。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25.3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结束后，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小组要求所有参加</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的供应商在规定的时间内进行最后报价。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26、确定成交供应商的办法</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26.1</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小组按照</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文件要求对</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文件中的供应商资格、供应商资格证明文件、重要技术指标以及技术和商务上要求的其它重要内容进行审核。</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26.2</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小组和供应商</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过程中作出的书面承诺是否符合</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文件中对质量、技术和服务的要求。</w:t>
      </w:r>
    </w:p>
    <w:p>
      <w:pPr>
        <w:pStyle w:val="12"/>
        <w:wordWrap/>
        <w:spacing w:beforeAutospacing="0" w:afterAutospacing="0" w:line="40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26.3</w:t>
      </w:r>
      <w:r>
        <w:rPr>
          <w:rFonts w:hint="eastAsia" w:ascii="仿宋" w:hAnsi="仿宋" w:eastAsia="仿宋" w:cs="仿宋"/>
          <w:color w:val="auto"/>
          <w:sz w:val="24"/>
          <w:szCs w:val="24"/>
          <w:highlight w:val="none"/>
          <w:shd w:val="clear" w:color="auto" w:fill="FFFFFF"/>
        </w:rPr>
        <w:t>经</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确定最终采购需求和提交最后报价的供应商后，由</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小组采用综合评分法对提交最后报价的供应商的响应文件和最后报价进行综合评分。</w:t>
      </w:r>
      <w:r>
        <w:rPr>
          <w:rFonts w:hint="eastAsia" w:ascii="仿宋" w:hAnsi="仿宋" w:eastAsia="仿宋" w:cs="仿宋"/>
          <w:color w:val="auto"/>
          <w:sz w:val="24"/>
          <w:szCs w:val="24"/>
          <w:highlight w:val="none"/>
          <w:shd w:val="clear" w:color="auto" w:fill="FFFFFF"/>
        </w:rPr>
        <w:br w:type="textWrapping"/>
      </w:r>
      <w:r>
        <w:rPr>
          <w:rFonts w:hint="eastAsia" w:ascii="仿宋" w:hAnsi="仿宋" w:eastAsia="仿宋" w:cs="仿宋"/>
          <w:color w:val="auto"/>
          <w:sz w:val="24"/>
          <w:szCs w:val="24"/>
          <w:highlight w:val="none"/>
          <w:shd w:val="clear" w:color="auto" w:fill="FFFFFF"/>
          <w:lang w:val="en-US" w:eastAsia="zh-CN"/>
        </w:rPr>
        <w:t xml:space="preserve">    </w:t>
      </w:r>
      <w:r>
        <w:rPr>
          <w:rFonts w:hint="eastAsia" w:ascii="仿宋" w:hAnsi="仿宋" w:eastAsia="仿宋" w:cs="仿宋"/>
          <w:bCs/>
          <w:color w:val="auto"/>
          <w:sz w:val="24"/>
          <w:szCs w:val="24"/>
          <w:highlight w:val="none"/>
        </w:rPr>
        <w:t>对响应文件的评估和比较分为两步进行，</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小组会按照</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分，商务技术因素占</w:t>
      </w:r>
      <w:r>
        <w:rPr>
          <w:rFonts w:hint="eastAsia" w:ascii="仿宋" w:hAnsi="仿宋" w:eastAsia="仿宋" w:cs="仿宋"/>
          <w:bCs/>
          <w:color w:val="auto"/>
          <w:sz w:val="24"/>
          <w:szCs w:val="24"/>
          <w:highlight w:val="none"/>
          <w:lang w:val="en-US" w:eastAsia="zh-CN"/>
        </w:rPr>
        <w:t>70</w:t>
      </w:r>
      <w:r>
        <w:rPr>
          <w:rFonts w:hint="eastAsia" w:ascii="仿宋" w:hAnsi="仿宋" w:eastAsia="仿宋" w:cs="仿宋"/>
          <w:bCs/>
          <w:color w:val="auto"/>
          <w:sz w:val="24"/>
          <w:szCs w:val="24"/>
          <w:highlight w:val="none"/>
        </w:rPr>
        <w:t>分。将每位投标商的价格得分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商务得分、技术得分相加即为该投标商的总得分。详细评分标准如下：</w:t>
      </w:r>
      <w:r>
        <w:rPr>
          <w:rFonts w:hint="eastAsia" w:ascii="仿宋" w:hAnsi="仿宋" w:eastAsia="仿宋" w:cs="仿宋"/>
          <w:bCs/>
          <w:color w:val="auto"/>
          <w:sz w:val="24"/>
          <w:szCs w:val="24"/>
          <w:highlight w:val="none"/>
        </w:rPr>
        <w:br w:type="textWrapping"/>
      </w:r>
    </w:p>
    <w:tbl>
      <w:tblPr>
        <w:tblStyle w:val="3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14"/>
        <w:gridCol w:w="638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ind w:left="0" w:leftChars="0" w:firstLine="0" w:firstLineChars="0"/>
              <w:jc w:val="center"/>
              <w:rPr>
                <w:rFonts w:hint="eastAsia" w:ascii="仿宋" w:hAnsi="仿宋" w:eastAsia="仿宋" w:cs="仿宋"/>
                <w:b/>
                <w:bCs/>
              </w:rPr>
            </w:pPr>
            <w:r>
              <w:rPr>
                <w:rFonts w:hint="eastAsia" w:ascii="仿宋" w:hAnsi="仿宋" w:eastAsia="仿宋" w:cs="仿宋"/>
                <w:b/>
                <w:bCs/>
              </w:rPr>
              <w:t>项目</w:t>
            </w:r>
          </w:p>
        </w:tc>
        <w:tc>
          <w:tcPr>
            <w:tcW w:w="7102" w:type="dxa"/>
            <w:gridSpan w:val="2"/>
            <w:vAlign w:val="center"/>
          </w:tcPr>
          <w:p>
            <w:pPr>
              <w:ind w:left="0" w:leftChars="0" w:firstLine="0" w:firstLineChars="0"/>
              <w:jc w:val="center"/>
              <w:rPr>
                <w:rFonts w:hint="eastAsia" w:ascii="仿宋" w:hAnsi="仿宋" w:eastAsia="仿宋" w:cs="仿宋"/>
                <w:b/>
                <w:bCs/>
              </w:rPr>
            </w:pPr>
            <w:r>
              <w:rPr>
                <w:rFonts w:hint="eastAsia" w:ascii="仿宋" w:hAnsi="仿宋" w:eastAsia="仿宋" w:cs="仿宋"/>
                <w:b/>
                <w:bCs/>
              </w:rPr>
              <w:t>评标内容</w:t>
            </w:r>
          </w:p>
        </w:tc>
        <w:tc>
          <w:tcPr>
            <w:tcW w:w="750" w:type="dxa"/>
            <w:vAlign w:val="center"/>
          </w:tcPr>
          <w:p>
            <w:pPr>
              <w:ind w:left="0" w:leftChars="0" w:firstLine="0" w:firstLineChars="0"/>
              <w:jc w:val="center"/>
              <w:rPr>
                <w:rFonts w:hint="eastAsia" w:ascii="仿宋" w:hAnsi="仿宋" w:eastAsia="仿宋" w:cs="仿宋"/>
                <w:b/>
                <w:bCs/>
              </w:rPr>
            </w:pPr>
            <w:r>
              <w:rPr>
                <w:rFonts w:hint="eastAsia" w:ascii="仿宋" w:hAnsi="仿宋" w:eastAsia="仿宋" w:cs="仿宋"/>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9" w:type="dxa"/>
            <w:gridSpan w:val="4"/>
            <w:vAlign w:val="center"/>
          </w:tcPr>
          <w:p>
            <w:pPr>
              <w:spacing w:line="240" w:lineRule="auto"/>
              <w:ind w:left="0" w:leftChars="0" w:firstLine="0" w:firstLineChars="0"/>
              <w:rPr>
                <w:rFonts w:hint="eastAsia"/>
                <w:b/>
                <w:bCs/>
              </w:rPr>
            </w:pPr>
            <w:r>
              <w:rPr>
                <w:rFonts w:hint="eastAsia" w:ascii="仿宋" w:hAnsi="仿宋" w:eastAsia="仿宋" w:cs="仿宋"/>
                <w:b/>
                <w:bCs/>
              </w:rPr>
              <w:t>A：评标价格评分30分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价格</w:t>
            </w:r>
          </w:p>
        </w:tc>
        <w:tc>
          <w:tcPr>
            <w:tcW w:w="7102" w:type="dxa"/>
            <w:gridSpan w:val="2"/>
            <w:vAlign w:val="top"/>
          </w:tcPr>
          <w:p>
            <w:pPr>
              <w:spacing w:line="240" w:lineRule="auto"/>
              <w:rPr>
                <w:rFonts w:hint="eastAsia" w:ascii="仿宋" w:hAnsi="仿宋" w:eastAsia="仿宋" w:cs="仿宋"/>
              </w:rPr>
            </w:pPr>
            <w:r>
              <w:rPr>
                <w:rFonts w:hint="eastAsia" w:ascii="仿宋" w:hAnsi="仿宋" w:eastAsia="仿宋" w:cs="仿宋"/>
              </w:rPr>
              <w:t xml:space="preserve">投标报价得分=（评标基准价／修正后投标报价）×30%×100 </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备注：</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1.投标价格评分采用低价优先法计算；</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2.评标基准价：满足招标文件要求且经修正，依据政府采购政策进行价格扣除后的最低报价为评标基准价；</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3.修正后投标报价：评标委员会以开标一览表中投标报价为基础，对其进行修正，依据政府采购政策进行价格扣除后，作为投标报价计算的依据。</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9" w:type="dxa"/>
            <w:gridSpan w:val="4"/>
            <w:vAlign w:val="center"/>
          </w:tcPr>
          <w:p>
            <w:pPr>
              <w:spacing w:line="240" w:lineRule="auto"/>
              <w:ind w:left="0" w:leftChars="0" w:firstLine="0" w:firstLineChars="0"/>
              <w:rPr>
                <w:rFonts w:hint="eastAsia" w:ascii="仿宋" w:hAnsi="仿宋" w:eastAsia="仿宋" w:cs="仿宋"/>
                <w:b/>
                <w:bCs/>
              </w:rPr>
            </w:pPr>
            <w:r>
              <w:rPr>
                <w:rFonts w:hint="eastAsia" w:ascii="仿宋" w:hAnsi="仿宋" w:eastAsia="仿宋" w:cs="仿宋"/>
                <w:b/>
                <w:bCs/>
              </w:rPr>
              <w:t>B：评标商务评分</w:t>
            </w:r>
            <w:r>
              <w:rPr>
                <w:rFonts w:hint="eastAsia" w:ascii="仿宋" w:hAnsi="仿宋" w:eastAsia="仿宋" w:cs="仿宋"/>
                <w:b/>
                <w:bCs/>
                <w:lang w:val="en-US" w:eastAsia="zh-CN"/>
              </w:rPr>
              <w:t>5</w:t>
            </w:r>
            <w:r>
              <w:rPr>
                <w:rFonts w:hint="eastAsia" w:ascii="仿宋" w:hAnsi="仿宋" w:eastAsia="仿宋" w:cs="仿宋"/>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exact"/>
        </w:trPr>
        <w:tc>
          <w:tcPr>
            <w:tcW w:w="667" w:type="dxa"/>
            <w:vMerge w:val="restart"/>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商务</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部分</w:t>
            </w:r>
          </w:p>
        </w:tc>
        <w:tc>
          <w:tcPr>
            <w:tcW w:w="714"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企业资质</w:t>
            </w:r>
          </w:p>
        </w:tc>
        <w:tc>
          <w:tcPr>
            <w:tcW w:w="6388"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（1）具有AAA级信用等级证书，满足该条件得</w:t>
            </w:r>
            <w:r>
              <w:rPr>
                <w:rFonts w:hint="eastAsia" w:ascii="仿宋" w:hAnsi="仿宋" w:eastAsia="仿宋" w:cs="仿宋"/>
                <w:lang w:val="en-US" w:eastAsia="zh-CN"/>
              </w:rPr>
              <w:t>1</w:t>
            </w:r>
            <w:r>
              <w:rPr>
                <w:rFonts w:hint="eastAsia" w:ascii="仿宋" w:hAnsi="仿宋" w:eastAsia="仿宋" w:cs="仿宋"/>
              </w:rPr>
              <w:t>分，否则不得分；</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（2）具有ISO9001质量管理体系认证证书，满足该条件得</w:t>
            </w:r>
            <w:r>
              <w:rPr>
                <w:rFonts w:hint="eastAsia" w:ascii="仿宋" w:hAnsi="仿宋" w:eastAsia="仿宋" w:cs="仿宋"/>
                <w:lang w:val="en-US" w:eastAsia="zh-CN"/>
              </w:rPr>
              <w:t>1</w:t>
            </w:r>
            <w:r>
              <w:rPr>
                <w:rFonts w:hint="eastAsia" w:ascii="仿宋" w:hAnsi="仿宋" w:eastAsia="仿宋" w:cs="仿宋"/>
              </w:rPr>
              <w:t>分，否则不得分。</w:t>
            </w:r>
          </w:p>
        </w:tc>
        <w:tc>
          <w:tcPr>
            <w:tcW w:w="750"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企业业绩</w:t>
            </w:r>
          </w:p>
        </w:tc>
        <w:tc>
          <w:tcPr>
            <w:tcW w:w="6388"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截止201</w:t>
            </w:r>
            <w:r>
              <w:rPr>
                <w:rFonts w:hint="eastAsia" w:ascii="仿宋" w:hAnsi="仿宋" w:eastAsia="仿宋" w:cs="仿宋"/>
                <w:lang w:val="en-US" w:eastAsia="zh-CN"/>
              </w:rPr>
              <w:t>9</w:t>
            </w:r>
            <w:r>
              <w:rPr>
                <w:rFonts w:hint="eastAsia" w:ascii="仿宋" w:hAnsi="仿宋" w:eastAsia="仿宋" w:cs="仿宋"/>
              </w:rPr>
              <w:t>年</w:t>
            </w:r>
            <w:r>
              <w:rPr>
                <w:rFonts w:hint="eastAsia" w:ascii="仿宋" w:hAnsi="仿宋" w:eastAsia="仿宋" w:cs="仿宋"/>
                <w:lang w:val="en-US" w:eastAsia="zh-CN"/>
              </w:rPr>
              <w:t>1</w:t>
            </w:r>
            <w:r>
              <w:rPr>
                <w:rFonts w:hint="eastAsia" w:ascii="仿宋" w:hAnsi="仿宋" w:eastAsia="仿宋" w:cs="仿宋"/>
              </w:rPr>
              <w:t>月1日之后（以合同签订日期为准），与项目内容相当且已完成的案列（业绩必须以所投产品企业与最终用户直接签订的合同为准），每提供一份有效业绩证明材料得1分，不提供不得分，本项最高得</w:t>
            </w:r>
            <w:r>
              <w:rPr>
                <w:rFonts w:hint="eastAsia" w:ascii="仿宋" w:hAnsi="仿宋" w:eastAsia="仿宋" w:cs="仿宋"/>
                <w:lang w:val="en-US" w:eastAsia="zh-CN"/>
              </w:rPr>
              <w:t>3</w:t>
            </w:r>
            <w:r>
              <w:rPr>
                <w:rFonts w:hint="eastAsia" w:ascii="仿宋" w:hAnsi="仿宋" w:eastAsia="仿宋" w:cs="仿宋"/>
              </w:rPr>
              <w:t>分。</w:t>
            </w:r>
          </w:p>
        </w:tc>
        <w:tc>
          <w:tcPr>
            <w:tcW w:w="750"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9" w:type="dxa"/>
            <w:gridSpan w:val="4"/>
            <w:vAlign w:val="center"/>
          </w:tcPr>
          <w:p>
            <w:pPr>
              <w:spacing w:line="240" w:lineRule="auto"/>
              <w:ind w:left="0" w:leftChars="0" w:firstLine="0" w:firstLineChars="0"/>
              <w:rPr>
                <w:rFonts w:hint="eastAsia" w:ascii="仿宋" w:hAnsi="仿宋" w:eastAsia="仿宋" w:cs="仿宋"/>
                <w:b/>
                <w:bCs/>
              </w:rPr>
            </w:pPr>
            <w:r>
              <w:rPr>
                <w:rFonts w:hint="eastAsia" w:ascii="仿宋" w:hAnsi="仿宋" w:eastAsia="仿宋" w:cs="仿宋"/>
                <w:b/>
                <w:bCs/>
              </w:rPr>
              <w:t>C：评标技术评分6</w:t>
            </w:r>
            <w:r>
              <w:rPr>
                <w:rFonts w:hint="eastAsia" w:ascii="仿宋" w:hAnsi="仿宋" w:eastAsia="仿宋" w:cs="仿宋"/>
                <w:b/>
                <w:bCs/>
                <w:lang w:val="en-US" w:eastAsia="zh-CN"/>
              </w:rPr>
              <w:t>5</w:t>
            </w:r>
            <w:r>
              <w:rPr>
                <w:rFonts w:hint="eastAsia" w:ascii="仿宋" w:hAnsi="仿宋" w:eastAsia="仿宋" w:cs="仿宋"/>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Merge w:val="restart"/>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技术</w:t>
            </w:r>
          </w:p>
          <w:p>
            <w:pPr>
              <w:spacing w:line="240" w:lineRule="auto"/>
              <w:ind w:left="0" w:leftChars="0" w:firstLine="0" w:firstLineChars="0"/>
              <w:rPr>
                <w:rFonts w:hint="eastAsia" w:ascii="仿宋" w:hAnsi="仿宋" w:eastAsia="仿宋" w:cs="仿宋"/>
              </w:rPr>
            </w:pPr>
            <w:r>
              <w:rPr>
                <w:rFonts w:hint="eastAsia" w:ascii="仿宋" w:hAnsi="仿宋" w:eastAsia="仿宋" w:cs="仿宋"/>
              </w:rPr>
              <w:t>部分</w:t>
            </w:r>
          </w:p>
        </w:tc>
        <w:tc>
          <w:tcPr>
            <w:tcW w:w="714"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核心技术指标</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rPr>
              <w:t>有效投标人所投产品的技术规格、参数指标、相关证明文件，结合投标人产品材料的提供情况进行评比；</w:t>
            </w:r>
          </w:p>
          <w:p>
            <w:pPr>
              <w:spacing w:line="240" w:lineRule="auto"/>
              <w:ind w:left="0" w:leftChars="0" w:firstLine="420" w:firstLineChars="200"/>
              <w:rPr>
                <w:rFonts w:hint="eastAsia" w:ascii="仿宋" w:hAnsi="仿宋" w:eastAsia="仿宋" w:cs="仿宋"/>
              </w:rPr>
            </w:pPr>
            <w:r>
              <w:rPr>
                <w:rFonts w:hint="eastAsia" w:ascii="仿宋" w:hAnsi="仿宋" w:eastAsia="仿宋" w:cs="仿宋"/>
              </w:rPr>
              <w:t>全部满足参数要求得</w:t>
            </w:r>
            <w:r>
              <w:rPr>
                <w:rFonts w:hint="eastAsia" w:ascii="仿宋" w:hAnsi="仿宋" w:eastAsia="仿宋" w:cs="仿宋"/>
                <w:lang w:val="en-US" w:eastAsia="zh-CN"/>
              </w:rPr>
              <w:t>16</w:t>
            </w:r>
            <w:r>
              <w:rPr>
                <w:rFonts w:hint="eastAsia" w:ascii="仿宋" w:hAnsi="仿宋" w:eastAsia="仿宋" w:cs="仿宋"/>
              </w:rPr>
              <w:t>分；每负偏离</w:t>
            </w:r>
            <w:r>
              <w:rPr>
                <w:rFonts w:hint="eastAsia" w:ascii="仿宋" w:hAnsi="仿宋" w:eastAsia="仿宋" w:cs="仿宋"/>
                <w:lang w:val="en-US" w:eastAsia="zh-CN"/>
              </w:rPr>
              <w:t>参数</w:t>
            </w:r>
            <w:r>
              <w:rPr>
                <w:rFonts w:hint="eastAsia" w:ascii="仿宋" w:hAnsi="仿宋" w:eastAsia="仿宋" w:cs="仿宋"/>
              </w:rPr>
              <w:t>条款的，每个扣4分，扣完为止；</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16</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rPr>
                <w:rFonts w:hint="eastAsia" w:ascii="仿宋" w:hAnsi="仿宋" w:eastAsia="仿宋" w:cs="仿宋"/>
              </w:rPr>
            </w:pPr>
            <w:r>
              <w:rPr>
                <w:rFonts w:hint="eastAsia" w:ascii="仿宋" w:hAnsi="仿宋" w:eastAsia="仿宋" w:cs="仿宋"/>
              </w:rPr>
              <w:t>技术指标</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rPr>
              <w:t>投标产品参数满足招标文件要求的得基本分1</w:t>
            </w:r>
            <w:r>
              <w:rPr>
                <w:rFonts w:hint="eastAsia" w:ascii="仿宋" w:hAnsi="仿宋" w:eastAsia="仿宋" w:cs="仿宋"/>
                <w:lang w:val="en-US" w:eastAsia="zh-CN"/>
              </w:rPr>
              <w:t>0</w:t>
            </w:r>
            <w:r>
              <w:rPr>
                <w:rFonts w:hint="eastAsia" w:ascii="仿宋" w:hAnsi="仿宋" w:eastAsia="仿宋" w:cs="仿宋"/>
              </w:rPr>
              <w:t>分，优于基本参数技术指标或功能的每有一项加2分，最多加1</w:t>
            </w:r>
            <w:r>
              <w:rPr>
                <w:rFonts w:hint="eastAsia" w:ascii="仿宋" w:hAnsi="仿宋" w:eastAsia="仿宋" w:cs="仿宋"/>
                <w:lang w:val="en-US" w:eastAsia="zh-CN"/>
              </w:rPr>
              <w:t>0</w:t>
            </w:r>
            <w:r>
              <w:rPr>
                <w:rFonts w:hint="eastAsia" w:ascii="仿宋" w:hAnsi="仿宋" w:eastAsia="仿宋" w:cs="仿宋"/>
              </w:rPr>
              <w:t>分。</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实施方案</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rPr>
              <w:t>实施方案完整，各系统建设功能全面、准确，理解用户需求，对系统现状、系统安全、应用环境、体系结构需求、功能需求、性能要求、实施要求合理得</w:t>
            </w:r>
            <w:r>
              <w:rPr>
                <w:rFonts w:hint="eastAsia" w:ascii="仿宋" w:hAnsi="仿宋" w:eastAsia="仿宋" w:cs="仿宋"/>
                <w:lang w:val="en-US" w:eastAsia="zh-CN"/>
              </w:rPr>
              <w:t>5-8</w:t>
            </w:r>
            <w:r>
              <w:rPr>
                <w:rFonts w:hint="eastAsia" w:ascii="仿宋" w:hAnsi="仿宋" w:eastAsia="仿宋" w:cs="仿宋"/>
              </w:rPr>
              <w:t>分，一般得1-</w:t>
            </w:r>
            <w:r>
              <w:rPr>
                <w:rFonts w:hint="eastAsia" w:ascii="仿宋" w:hAnsi="仿宋" w:eastAsia="仿宋" w:cs="仿宋"/>
                <w:lang w:val="en-US" w:eastAsia="zh-CN"/>
              </w:rPr>
              <w:t>4</w:t>
            </w:r>
            <w:r>
              <w:rPr>
                <w:rFonts w:hint="eastAsia" w:ascii="仿宋" w:hAnsi="仿宋" w:eastAsia="仿宋" w:cs="仿宋"/>
              </w:rPr>
              <w:t>分，差不得分。</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供货及安装方案</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rPr>
              <w:t>货物的供货、安装、调试计划，质量保证措施清晰完整，能够保证供应货物质量的计</w:t>
            </w:r>
            <w:r>
              <w:rPr>
                <w:rFonts w:hint="eastAsia" w:ascii="仿宋" w:hAnsi="仿宋" w:eastAsia="仿宋" w:cs="仿宋"/>
                <w:lang w:val="en-US" w:eastAsia="zh-CN"/>
              </w:rPr>
              <w:t>8</w:t>
            </w:r>
            <w:r>
              <w:rPr>
                <w:rFonts w:hint="eastAsia" w:ascii="仿宋" w:hAnsi="仿宋" w:eastAsia="仿宋" w:cs="仿宋"/>
              </w:rPr>
              <w:t>分。有缺漏项，欠合理的，根据重要程度每处扣</w:t>
            </w:r>
            <w:r>
              <w:rPr>
                <w:rFonts w:hint="eastAsia" w:ascii="仿宋" w:hAnsi="仿宋" w:eastAsia="仿宋" w:cs="仿宋"/>
                <w:lang w:val="en-US" w:eastAsia="zh-CN"/>
              </w:rPr>
              <w:t>1-2</w:t>
            </w:r>
            <w:r>
              <w:rPr>
                <w:rFonts w:hint="eastAsia" w:ascii="仿宋" w:hAnsi="仿宋" w:eastAsia="仿宋" w:cs="仿宋"/>
              </w:rPr>
              <w:t>分，扣完为止。</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服务保障</w:t>
            </w:r>
          </w:p>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及承诺</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rPr>
              <w:t>服务设计方案可行性强，分工明确、表达完整，能最大限度保证成果质量得</w:t>
            </w:r>
            <w:r>
              <w:rPr>
                <w:rFonts w:hint="eastAsia" w:ascii="仿宋" w:hAnsi="仿宋" w:eastAsia="仿宋" w:cs="仿宋"/>
                <w:lang w:val="en-US" w:eastAsia="zh-CN"/>
              </w:rPr>
              <w:t>6-8</w:t>
            </w:r>
            <w:r>
              <w:rPr>
                <w:rFonts w:hint="eastAsia" w:ascii="仿宋" w:hAnsi="仿宋" w:eastAsia="仿宋" w:cs="仿宋"/>
              </w:rPr>
              <w:t>分；服务设计方案有一定可行性，分工较为明确、表达完整，能基本保证成果质量得得</w:t>
            </w:r>
            <w:r>
              <w:rPr>
                <w:rFonts w:hint="eastAsia" w:ascii="仿宋" w:hAnsi="仿宋" w:eastAsia="仿宋" w:cs="仿宋"/>
                <w:lang w:val="en-US" w:eastAsia="zh-CN"/>
              </w:rPr>
              <w:t>3-5</w:t>
            </w:r>
            <w:r>
              <w:rPr>
                <w:rFonts w:hint="eastAsia" w:ascii="仿宋" w:hAnsi="仿宋" w:eastAsia="仿宋" w:cs="仿宋"/>
              </w:rPr>
              <w:t>分；服务设计方案差的得</w:t>
            </w:r>
            <w:r>
              <w:rPr>
                <w:rFonts w:hint="eastAsia" w:ascii="仿宋" w:hAnsi="仿宋" w:eastAsia="仿宋" w:cs="仿宋"/>
                <w:lang w:val="en-US" w:eastAsia="zh-CN"/>
              </w:rPr>
              <w:t>0-2</w:t>
            </w:r>
            <w:r>
              <w:rPr>
                <w:rFonts w:hint="eastAsia" w:ascii="仿宋" w:hAnsi="仿宋" w:eastAsia="仿宋" w:cs="仿宋"/>
              </w:rPr>
              <w:t>分。</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67" w:type="dxa"/>
            <w:vMerge w:val="continue"/>
            <w:vAlign w:val="center"/>
          </w:tcPr>
          <w:p>
            <w:pPr>
              <w:spacing w:line="240" w:lineRule="auto"/>
              <w:ind w:left="0" w:leftChars="0" w:firstLine="0" w:firstLineChars="0"/>
              <w:rPr>
                <w:rFonts w:hint="eastAsia" w:ascii="仿宋" w:hAnsi="仿宋" w:eastAsia="仿宋" w:cs="仿宋"/>
              </w:rPr>
            </w:pPr>
          </w:p>
        </w:tc>
        <w:tc>
          <w:tcPr>
            <w:tcW w:w="714"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rPr>
              <w:t>售后服务</w:t>
            </w:r>
          </w:p>
        </w:tc>
        <w:tc>
          <w:tcPr>
            <w:tcW w:w="6388" w:type="dxa"/>
            <w:vAlign w:val="center"/>
          </w:tcPr>
          <w:p>
            <w:pPr>
              <w:spacing w:line="240" w:lineRule="auto"/>
              <w:ind w:left="0" w:leftChars="0" w:firstLine="420" w:firstLineChars="200"/>
              <w:rPr>
                <w:rFonts w:hint="eastAsia" w:ascii="仿宋" w:hAnsi="仿宋" w:eastAsia="仿宋" w:cs="仿宋"/>
              </w:rPr>
            </w:pPr>
            <w:r>
              <w:rPr>
                <w:rFonts w:hint="eastAsia" w:ascii="仿宋" w:hAnsi="仿宋" w:eastAsia="仿宋" w:cs="仿宋"/>
                <w:lang w:eastAsia="zh-CN"/>
              </w:rPr>
              <w:t>根据</w:t>
            </w:r>
            <w:r>
              <w:rPr>
                <w:rFonts w:hint="eastAsia" w:ascii="仿宋" w:hAnsi="仿宋" w:eastAsia="仿宋" w:cs="仿宋"/>
              </w:rPr>
              <w:t>在疆内机构分布情况、人员数量，并在本省内设有分支机构或固定的办公场所可提供技术服务支持且服务人员超过10人，且售后服务体系健全、售后服务方案完善，维修服务响应时间、修复时间、应急处理等售后计划措施完整、内容齐全；综合对比各项指标要求，售后服务优得</w:t>
            </w:r>
            <w:r>
              <w:rPr>
                <w:rFonts w:hint="eastAsia" w:ascii="仿宋" w:hAnsi="仿宋" w:eastAsia="仿宋" w:cs="仿宋"/>
                <w:lang w:val="en-US" w:eastAsia="zh-CN"/>
              </w:rPr>
              <w:t>3-5</w:t>
            </w:r>
            <w:r>
              <w:rPr>
                <w:rFonts w:hint="eastAsia" w:ascii="仿宋" w:hAnsi="仿宋" w:eastAsia="仿宋" w:cs="仿宋"/>
              </w:rPr>
              <w:t>分，中等1-2分，差不得分。</w:t>
            </w:r>
          </w:p>
        </w:tc>
        <w:tc>
          <w:tcPr>
            <w:tcW w:w="750" w:type="dxa"/>
            <w:vAlign w:val="center"/>
          </w:tcPr>
          <w:p>
            <w:pPr>
              <w:spacing w:line="240" w:lineRule="auto"/>
              <w:ind w:left="0" w:leftChars="0" w:firstLine="0" w:firstLineChars="0"/>
              <w:jc w:val="center"/>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分</w:t>
            </w:r>
          </w:p>
        </w:tc>
      </w:tr>
    </w:tbl>
    <w:p>
      <w:pPr>
        <w:pStyle w:val="12"/>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bCs/>
          <w:color w:val="auto"/>
          <w:sz w:val="24"/>
          <w:szCs w:val="24"/>
          <w:highlight w:val="none"/>
        </w:rPr>
        <w:t>26.4</w:t>
      </w:r>
      <w:r>
        <w:rPr>
          <w:rFonts w:hint="eastAsia" w:ascii="仿宋" w:hAnsi="仿宋" w:eastAsia="仿宋" w:cs="仿宋"/>
          <w:color w:val="auto"/>
          <w:sz w:val="24"/>
          <w:szCs w:val="24"/>
          <w:highlight w:val="none"/>
          <w:shd w:val="clear" w:color="auto" w:fill="FFFFFF"/>
          <w:lang w:eastAsia="zh-CN"/>
        </w:rPr>
        <w:t>投标</w:t>
      </w:r>
      <w:r>
        <w:rPr>
          <w:rFonts w:hint="eastAsia" w:ascii="仿宋" w:hAnsi="仿宋" w:eastAsia="仿宋" w:cs="仿宋"/>
          <w:color w:val="auto"/>
          <w:sz w:val="24"/>
          <w:szCs w:val="24"/>
          <w:highlight w:val="none"/>
          <w:shd w:val="clear" w:color="auto" w:fill="FFFFFF"/>
        </w:rPr>
        <w:t>小组应当根据综合评分情况，按照评审得分由高到低顺序推荐3名以上成交候选供应商。评审得分相同的，按照最后报价由低到高的顺序推荐。评审得分且最后报价相同的，按照设计指标优劣顺序推荐。</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26.5采购人根据</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小组推荐的成交候选供应商名单，根据相关法律法规的规定确定最终成交商。如果排名第一的成交候选供应商的实际情况与其</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资料不相符，将取消其成交资格，由排名第二的成交候选供应商递补，以此类推。</w:t>
      </w:r>
    </w:p>
    <w:p>
      <w:pPr>
        <w:wordWrap/>
        <w:spacing w:beforeAutospacing="0" w:afterAutospacing="0" w:line="400" w:lineRule="exact"/>
        <w:ind w:left="0" w:leftChars="0" w:right="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过程的保密性</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27.1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后，直到授予合同为止，凡是属于审查、澄清、评价和比较的有关资料以及授予成交方的建议等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小组成员或参与</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的有关工作人员均不得向供应商或其他无关的人员透露，违者给予警告、取消担任</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小组成员的资格，不得再参加任何项目的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27.2 供应商在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过程中，所进行的力图影响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结果的，不符合《政府采购法》及本次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中有关规定的活动，将被取消其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资格。</w:t>
      </w:r>
    </w:p>
    <w:p>
      <w:pPr>
        <w:pStyle w:val="4"/>
        <w:wordWrap/>
        <w:spacing w:before="0" w:beforeAutospacing="0" w:after="0" w:afterAutospacing="0" w:line="400" w:lineRule="exact"/>
        <w:ind w:left="0" w:leftChars="0" w:right="0"/>
        <w:jc w:val="center"/>
        <w:rPr>
          <w:rFonts w:hint="eastAsia" w:ascii="仿宋" w:hAnsi="仿宋" w:eastAsia="仿宋" w:cs="仿宋"/>
          <w:color w:val="auto"/>
          <w:sz w:val="24"/>
          <w:szCs w:val="24"/>
          <w:highlight w:val="none"/>
        </w:rPr>
      </w:pPr>
      <w:bookmarkStart w:id="45" w:name="_Toc462223637"/>
      <w:bookmarkStart w:id="46" w:name="_Toc349573126"/>
      <w:bookmarkStart w:id="47" w:name="_Toc298240410"/>
      <w:bookmarkStart w:id="48" w:name="_Toc349637925"/>
      <w:bookmarkStart w:id="49" w:name="_Toc267301287"/>
      <w:r>
        <w:rPr>
          <w:rFonts w:hint="eastAsia" w:ascii="仿宋" w:hAnsi="仿宋" w:eastAsia="仿宋" w:cs="仿宋"/>
          <w:color w:val="auto"/>
          <w:sz w:val="24"/>
          <w:szCs w:val="24"/>
          <w:highlight w:val="none"/>
        </w:rPr>
        <w:t>（六）  授予合同</w:t>
      </w:r>
      <w:bookmarkEnd w:id="45"/>
      <w:bookmarkEnd w:id="46"/>
      <w:bookmarkEnd w:id="47"/>
      <w:bookmarkEnd w:id="48"/>
      <w:bookmarkEnd w:id="49"/>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28、合同授予标准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28.1</w:t>
      </w:r>
      <w:r>
        <w:rPr>
          <w:rFonts w:hint="eastAsia" w:ascii="仿宋" w:hAnsi="仿宋" w:eastAsia="仿宋" w:cs="仿宋"/>
          <w:bCs/>
          <w:color w:val="auto"/>
          <w:sz w:val="24"/>
          <w:szCs w:val="24"/>
          <w:highlight w:val="none"/>
        </w:rPr>
        <w:t>合同将授予被确定为实质上响应</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文件要求，符合采购需求、质量和服务相等且报价最低的供应商</w:t>
      </w: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28.2 最低报价不一定是被授予合同的保证。</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28.3 如果确定该供应商无法圆满履行合同，招标代理机构将对下一个可能中标的供应商资格作出类似的审查。</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29、接受和拒绝任何或所有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的权力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29.1为维护国家利益，买方在授予合同之前仍有选择或拒绝任何全部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的权力，并对所采取的行为不作任何解释。</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30、成交通知书</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 成交公告期满后，招标代理机构将以书面形式发出《成交通知书》，但发出时间不超过</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有效期，《成交通知书》一经发出即发生法律效力。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 《成交通知书》将作为签订合同的依据。</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 招标代理机构将在成交方按规定签订合同并提交履约保证金（如适用）后退还其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31、签订合同</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供应商收到《成交通知书》后，按《成交通知书》中规定的时间地点与买方签订合同。买方和成交方不得再订立背离合同实质性内容的其他协议。</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31.2如成交方拒签合同，则按违约处理。招标代理机构没收其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文件、成交方的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文件及其澄清文件等，均为签订经济合同的依据。</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32、履约保证金（如适用）</w:t>
      </w:r>
    </w:p>
    <w:p>
      <w:pPr>
        <w:wordWrap/>
        <w:spacing w:beforeAutospacing="0" w:afterAutospacing="0" w:line="400" w:lineRule="exact"/>
        <w:ind w:left="340" w:leftChars="0" w:right="0" w:hanging="340" w:hangingChars="1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32.1成交方应按合同规定的方式、时间和金额向买方提交履约保证金。</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33、招标代理服务费</w:t>
      </w:r>
    </w:p>
    <w:p>
      <w:pPr>
        <w:pStyle w:val="23"/>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33.1成交方须向招标代理机构按如下标准和期限交纳招标代理代理服务费：</w:t>
      </w:r>
    </w:p>
    <w:p>
      <w:pPr>
        <w:pStyle w:val="23"/>
        <w:wordWrap/>
        <w:adjustRightIn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33.1.1</w:t>
      </w:r>
      <w:r>
        <w:rPr>
          <w:rFonts w:hint="eastAsia" w:ascii="仿宋" w:hAnsi="仿宋" w:eastAsia="仿宋" w:cs="仿宋"/>
          <w:color w:val="auto"/>
          <w:sz w:val="24"/>
          <w:szCs w:val="24"/>
          <w:highlight w:val="none"/>
        </w:rPr>
        <w:t>成交方须向</w:t>
      </w:r>
      <w:r>
        <w:rPr>
          <w:rFonts w:hint="eastAsia" w:ascii="仿宋" w:hAnsi="仿宋" w:eastAsia="仿宋" w:cs="仿宋"/>
          <w:color w:val="auto"/>
          <w:sz w:val="24"/>
          <w:szCs w:val="24"/>
          <w:highlight w:val="none"/>
          <w:lang w:eastAsia="zh-CN"/>
        </w:rPr>
        <w:t>新疆星耀天都项目管理有限责任公司新疆分公司</w:t>
      </w:r>
      <w:r>
        <w:rPr>
          <w:rFonts w:hint="eastAsia" w:ascii="仿宋" w:hAnsi="仿宋" w:eastAsia="仿宋" w:cs="仿宋"/>
          <w:color w:val="auto"/>
          <w:sz w:val="24"/>
          <w:szCs w:val="24"/>
          <w:highlight w:val="none"/>
        </w:rPr>
        <w:t>支付招标代理服务费。</w:t>
      </w:r>
    </w:p>
    <w:p>
      <w:pPr>
        <w:pStyle w:val="23"/>
        <w:wordWrap/>
        <w:adjustRightInd w:val="0"/>
        <w:spacing w:beforeAutospacing="0" w:afterAutospacing="0" w:line="400" w:lineRule="exact"/>
        <w:ind w:left="0" w:leftChars="0" w:right="0" w:firstLine="720" w:firstLine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33.1.2 在合同签订后一周内，成交方须按规定的标准以网银或电汇的方式一次性向招标代理机构缴纳</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代理服务费。</w:t>
      </w:r>
      <w:bookmarkStart w:id="50" w:name="_Toc267301288"/>
    </w:p>
    <w:p>
      <w:pPr>
        <w:pStyle w:val="4"/>
        <w:wordWrap/>
        <w:spacing w:before="0" w:beforeAutospacing="0" w:after="0" w:afterAutospacing="0" w:line="400" w:lineRule="exact"/>
        <w:ind w:left="0" w:leftChars="0" w:right="0"/>
        <w:jc w:val="center"/>
        <w:rPr>
          <w:rFonts w:hint="eastAsia" w:ascii="仿宋" w:hAnsi="仿宋" w:eastAsia="仿宋" w:cs="仿宋"/>
          <w:bCs/>
          <w:color w:val="auto"/>
          <w:sz w:val="24"/>
          <w:szCs w:val="24"/>
          <w:highlight w:val="none"/>
        </w:rPr>
      </w:pPr>
      <w:bookmarkStart w:id="51" w:name="_Toc462223638"/>
      <w:r>
        <w:rPr>
          <w:rFonts w:hint="eastAsia" w:ascii="仿宋" w:hAnsi="仿宋" w:eastAsia="仿宋" w:cs="仿宋"/>
          <w:color w:val="auto"/>
          <w:sz w:val="24"/>
          <w:szCs w:val="24"/>
          <w:highlight w:val="none"/>
        </w:rPr>
        <w:t xml:space="preserve">（七）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失败条件</w:t>
      </w:r>
      <w:bookmarkEnd w:id="51"/>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34、出现影响采购公正的违法、违规行为的；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35、因重大变故，采购任务取消的；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文件截止时间后，实际参与的供应商不足法定家数的；</w:t>
      </w:r>
    </w:p>
    <w:p>
      <w:pPr>
        <w:pStyle w:val="23"/>
        <w:tabs>
          <w:tab w:val="left" w:pos="720"/>
          <w:tab w:val="left" w:pos="900"/>
          <w:tab w:val="left" w:pos="1260"/>
        </w:tabs>
        <w:wordWrap/>
        <w:adjustRightInd w:val="0"/>
        <w:spacing w:beforeAutospacing="0" w:afterAutospacing="0" w:line="400" w:lineRule="exact"/>
        <w:ind w:left="720" w:leftChars="0" w:right="0" w:hanging="720" w:hangingChars="3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37、最终报价均超过采购预算的；</w:t>
      </w: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38、对</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文件作出实质性响应的供应商不足法定家数的；</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7"/>
        <w:rPr>
          <w:rFonts w:hint="eastAsia"/>
        </w:rPr>
        <w:sectPr>
          <w:headerReference r:id="rId4" w:type="first"/>
          <w:footerReference r:id="rId7" w:type="first"/>
          <w:headerReference r:id="rId3" w:type="default"/>
          <w:footerReference r:id="rId5" w:type="default"/>
          <w:footerReference r:id="rId6" w:type="even"/>
          <w:pgSz w:w="11907" w:h="16840"/>
          <w:pgMar w:top="1077" w:right="1417" w:bottom="1417" w:left="1417" w:header="680" w:footer="799" w:gutter="0"/>
          <w:pgNumType w:fmt="decimal" w:start="1"/>
          <w:cols w:space="720" w:num="1"/>
          <w:titlePg/>
          <w:docGrid w:type="lines" w:linePitch="409" w:charSpace="0"/>
        </w:sectPr>
      </w:pPr>
    </w:p>
    <w:bookmarkEnd w:id="50"/>
    <w:p>
      <w:pPr>
        <w:widowControl/>
        <w:numPr>
          <w:ilvl w:val="0"/>
          <w:numId w:val="3"/>
        </w:numPr>
        <w:wordWrap/>
        <w:spacing w:beforeAutospacing="0" w:afterAutospacing="0" w:line="400" w:lineRule="exact"/>
        <w:ind w:left="0" w:leftChars="0" w:right="0"/>
        <w:jc w:val="center"/>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项目需求</w:t>
      </w:r>
    </w:p>
    <w:p>
      <w:pPr>
        <w:pStyle w:val="37"/>
        <w:rPr>
          <w:rFonts w:hint="eastAsia"/>
        </w:rPr>
      </w:pPr>
    </w:p>
    <w:tbl>
      <w:tblPr>
        <w:tblStyle w:val="38"/>
        <w:tblW w:w="132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90"/>
        <w:gridCol w:w="7549"/>
        <w:gridCol w:w="492"/>
        <w:gridCol w:w="767"/>
        <w:gridCol w:w="51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设备名称／支出项目</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设备型号规格／环改费支出用途</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音乐教学实践实训平台—</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实验室舞台器材采购项目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lef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单人演奏静音椅</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带靠背，大方实用，颜色与整体装饰相一致，静音椅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活动舞台</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[1]平台可以轻易地重组形状变成多种高度舞台、斜坡过道、毕业舞台、演讲平台等                                                             [2]航空铝框架平台及单独可互换支脚使其能很容易达到所需的任何一种形式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[3]易于操作部分使用轻重的航空级铝框架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[4]黑色酚覆盖层台面，防滑、耐磨、静音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[5]轻重量台板是3/4″（19mm）厚的夹板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[6]标准台板尺寸：4′*8′（1.2m*2.4m）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[7]舞台称重载荷不低于：750K</w:t>
            </w:r>
            <w:r>
              <w:rPr>
                <w:rFonts w:hint="eastAsia" w:ascii="宋体" w:hAnsi="宋体" w:cs="宋体"/>
                <w:i w:val="0"/>
                <w:iCs w:val="0"/>
                <w:color w:val="000000"/>
                <w:kern w:val="0"/>
                <w:sz w:val="20"/>
                <w:szCs w:val="20"/>
                <w:u w:val="none"/>
                <w:lang w:val="en-US" w:eastAsia="zh-CN" w:bidi="ar"/>
              </w:rPr>
              <w:t>S</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[8]舞台称重载荷需符合或超过北美IBC及英国BS6399通用建筑标准设计规范。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①固定高度站脚：20厘米、40厘米、60厘米、80厘米。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②平台面板锁扣及平台站脚锁扣</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指挥谱台</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[1]谱板规格：不小于74cm（宽）×47cm（高）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[2]谱板材质：需采用厚度不小于2mm的高强度金属材料。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[3]谱板板唇：需采用双层设计，上层可放置指挥总谱，下层可放置铅笔，谱板后方需有存放指挥总谱的隔板。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[4]谱架立柱：需采用钢质材料，确保谱架的稳固性。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[5]谱架高度：需可调节，无锁式高度升降设计，高度升降范围不小于64cm-124cm。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[6]谱架涂装：需采用耐磨、耐久性高的防腐涂装。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[7]底座：防晃动且始终保持牢固。</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指挥站台</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[1]指挥站台有上下双层，上下站台通过安全锁库牢固的互锁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[2]下站台尺寸不得小于：1090mm（宽）×970mm（深）×150mm（高）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[3]上站台尺寸不得小于：810mm（宽）×970mm（深）×150mm（高）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[4]上站台附带护栏，护栏可拆卸，护栏高度不低于920mm。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[5]站台台板：台板厚度不小于19mm，台板表面需覆盖灰色加厚高强度耐磨的100%聚合纤维地毯，并用钢质边框包边固定，静音、防滑、美观耐用。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[6]站台框架：需采用钢质材料，确保站台的稳固性。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[7]钢架涂装：需采用耐磨,耐久性高的防腐涂装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[8]上下站台侧边需要有内置滚轮，方便移动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[9]指挥站台重量：不大于59k</w:t>
            </w:r>
            <w:r>
              <w:rPr>
                <w:rFonts w:hint="eastAsia" w:ascii="宋体" w:hAnsi="宋体" w:cs="宋体"/>
                <w:i w:val="0"/>
                <w:iCs w:val="0"/>
                <w:color w:val="000000"/>
                <w:kern w:val="0"/>
                <w:sz w:val="20"/>
                <w:szCs w:val="20"/>
                <w:u w:val="none"/>
                <w:lang w:val="en-US" w:eastAsia="zh-CN" w:bidi="ar"/>
              </w:rPr>
              <w:t>S</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合唱站台</w:t>
            </w:r>
          </w:p>
        </w:tc>
        <w:tc>
          <w:tcPr>
            <w:tcW w:w="7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[1]黑色框架的四阶合唱台阶，带有安全横杆的一体后护栏。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[2]翻转机械机构，使移动及存放更为方便。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[3]每层台板可拆装和随意的组合，组合后可形成翼形、直线形、弧形。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[4]四层组合台阶配有两组脚轮，可以方便阶梯设置时的移动以及折叠后的移动。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[5]合唱台阶的细节处理细腻，灰色地毯边缘由成形结构保护防止跌绊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[6]组合台阶全钢架结构,钢架采用镀锌方管。高强度,高耐久性。钢架涂装为烤漆工艺,耐磨,耐久性高。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[7]台阶表面材质：灰色地毯饰面，厚度不小于180mm。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[8]台阶长度：不小于120cm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[9]台阶宽度：不小于45cm</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排练厅，室内乐厅幕布</w:t>
            </w:r>
          </w:p>
        </w:tc>
        <w:tc>
          <w:tcPr>
            <w:tcW w:w="7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阻燃级材料2.8平方1200克以上，具有良好的吸音和垂掉感，配合电动系统，3米5高，所有舞台配件，人工调试安装</w:t>
            </w:r>
          </w:p>
        </w:tc>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bl>
    <w:p>
      <w:pPr>
        <w:rPr>
          <w:rFonts w:hint="eastAsia"/>
        </w:rPr>
        <w:sectPr>
          <w:pgSz w:w="16840" w:h="11907" w:orient="landscape"/>
          <w:pgMar w:top="1361" w:right="1440" w:bottom="1247" w:left="1440" w:header="1077" w:footer="799" w:gutter="0"/>
          <w:pgNumType w:fmt="decimal"/>
          <w:cols w:space="720" w:num="1"/>
          <w:titlePg/>
          <w:docGrid w:type="lines" w:linePitch="409" w:charSpace="0"/>
        </w:sectPr>
      </w:pPr>
    </w:p>
    <w:p>
      <w:pPr>
        <w:pStyle w:val="37"/>
        <w:ind w:left="0" w:leftChars="0" w:firstLine="0" w:firstLineChars="0"/>
        <w:rPr>
          <w:rFonts w:hint="eastAsia"/>
        </w:rPr>
        <w:sectPr>
          <w:pgSz w:w="11907" w:h="16840"/>
          <w:pgMar w:top="1440" w:right="1247" w:bottom="1440" w:left="1361" w:header="1077" w:footer="799" w:gutter="0"/>
          <w:pgNumType w:fmt="decimal"/>
          <w:cols w:space="720" w:num="1"/>
          <w:titlePg/>
          <w:docGrid w:type="lines" w:linePitch="409" w:charSpace="0"/>
        </w:sectPr>
      </w:pPr>
    </w:p>
    <w:p>
      <w:pPr>
        <w:pageBreakBefore/>
        <w:widowControl/>
        <w:wordWrap/>
        <w:adjustRightInd/>
        <w:snapToGrid/>
        <w:spacing w:beforeAutospacing="0" w:afterAutospacing="0" w:line="400" w:lineRule="exact"/>
        <w:ind w:left="0" w:leftChars="0" w:right="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第四章  合同条款（仅供参考）</w:t>
      </w:r>
    </w:p>
    <w:p>
      <w:pPr>
        <w:spacing w:line="360" w:lineRule="auto"/>
        <w:jc w:val="center"/>
        <w:rPr>
          <w:rFonts w:ascii="宋体" w:hAnsi="宋体" w:cs="宋体"/>
          <w:b/>
          <w:bCs/>
          <w:sz w:val="44"/>
          <w:szCs w:val="44"/>
        </w:rPr>
      </w:pPr>
      <w:bookmarkStart w:id="52" w:name="_Toc462223649"/>
      <w:bookmarkStart w:id="53" w:name="_Toc381724074"/>
      <w:bookmarkStart w:id="54" w:name="_Toc455412770"/>
      <w:r>
        <w:rPr>
          <w:rFonts w:hint="eastAsia" w:ascii="宋体" w:hAnsi="宋体" w:cs="宋体"/>
          <w:b/>
          <w:bCs/>
          <w:sz w:val="44"/>
          <w:szCs w:val="44"/>
        </w:rPr>
        <w:t>新疆艺术学院(设备类招标采购）供货合同</w:t>
      </w:r>
    </w:p>
    <w:p>
      <w:pPr>
        <w:spacing w:line="360" w:lineRule="auto"/>
        <w:rPr>
          <w:rFonts w:hint="eastAsia" w:ascii="宋体" w:hAnsi="宋体" w:cs="宋体"/>
          <w:b/>
          <w:bCs/>
          <w:sz w:val="24"/>
          <w:szCs w:val="28"/>
        </w:rPr>
      </w:pPr>
      <w:r>
        <w:rPr>
          <w:rFonts w:hint="eastAsia" w:ascii="宋体" w:hAnsi="宋体" w:cs="宋体"/>
          <w:sz w:val="24"/>
          <w:szCs w:val="28"/>
        </w:rPr>
        <w:t>甲   方：</w:t>
      </w:r>
      <w:r>
        <w:rPr>
          <w:rFonts w:hint="eastAsia" w:ascii="宋体" w:hAnsi="宋体" w:cs="宋体"/>
          <w:b/>
          <w:bCs/>
          <w:sz w:val="24"/>
          <w:szCs w:val="28"/>
        </w:rPr>
        <w:t>新疆艺术学院</w:t>
      </w:r>
    </w:p>
    <w:p>
      <w:pPr>
        <w:spacing w:line="360" w:lineRule="auto"/>
        <w:rPr>
          <w:rFonts w:hint="eastAsia" w:ascii="宋体" w:hAnsi="宋体" w:cs="宋体"/>
          <w:sz w:val="24"/>
          <w:szCs w:val="28"/>
        </w:rPr>
      </w:pPr>
      <w:r>
        <w:rPr>
          <w:rFonts w:hint="eastAsia" w:ascii="宋体" w:hAnsi="宋体" w:cs="宋体"/>
          <w:sz w:val="24"/>
          <w:szCs w:val="28"/>
        </w:rPr>
        <w:t xml:space="preserve">乙   方：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按照20  年  月   日组织的招标文件编号为</w:t>
      </w:r>
      <w:r>
        <w:rPr>
          <w:rFonts w:hint="eastAsia" w:ascii="宋体" w:hAnsi="宋体" w:cs="宋体"/>
          <w:bCs/>
          <w:sz w:val="24"/>
          <w:szCs w:val="28"/>
          <w:u w:val="single"/>
        </w:rPr>
        <w:t xml:space="preserve">             </w:t>
      </w:r>
      <w:r>
        <w:rPr>
          <w:rFonts w:hint="eastAsia" w:ascii="宋体" w:hAnsi="宋体" w:cs="宋体"/>
          <w:sz w:val="24"/>
          <w:szCs w:val="28"/>
        </w:rPr>
        <w:t>的</w:t>
      </w:r>
      <w:r>
        <w:rPr>
          <w:rFonts w:hint="eastAsia" w:ascii="宋体" w:hAnsi="宋体" w:cs="宋体"/>
          <w:bCs/>
          <w:sz w:val="24"/>
          <w:szCs w:val="28"/>
          <w:u w:val="single"/>
        </w:rPr>
        <w:t xml:space="preserve">               </w:t>
      </w:r>
      <w:r>
        <w:rPr>
          <w:rFonts w:hint="eastAsia" w:ascii="宋体" w:hAnsi="宋体" w:cs="宋体"/>
          <w:sz w:val="24"/>
          <w:szCs w:val="28"/>
        </w:rPr>
        <w:t>项目，经评定，乙方</w:t>
      </w:r>
      <w:r>
        <w:rPr>
          <w:rFonts w:hint="eastAsia" w:ascii="宋体" w:hAnsi="宋体" w:cs="宋体"/>
          <w:sz w:val="24"/>
          <w:szCs w:val="28"/>
          <w:u w:val="single"/>
        </w:rPr>
        <w:t xml:space="preserve">                     </w:t>
      </w:r>
      <w:r>
        <w:rPr>
          <w:rFonts w:hint="eastAsia" w:ascii="宋体" w:hAnsi="宋体" w:cs="宋体"/>
          <w:sz w:val="24"/>
          <w:szCs w:val="28"/>
        </w:rPr>
        <w:t>为</w:t>
      </w:r>
      <w:r>
        <w:rPr>
          <w:rFonts w:hint="eastAsia" w:ascii="宋体" w:hAnsi="宋体" w:cs="宋体"/>
          <w:sz w:val="24"/>
          <w:szCs w:val="28"/>
          <w:u w:val="single"/>
        </w:rPr>
        <w:t>第   包</w:t>
      </w:r>
      <w:r>
        <w:rPr>
          <w:rFonts w:hint="eastAsia" w:ascii="宋体" w:hAnsi="宋体" w:cs="宋体"/>
          <w:sz w:val="24"/>
          <w:szCs w:val="28"/>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4"/>
        </w:numPr>
        <w:spacing w:line="360" w:lineRule="auto"/>
        <w:ind w:firstLine="482" w:firstLineChars="200"/>
        <w:rPr>
          <w:rFonts w:hint="eastAsia" w:ascii="宋体" w:hAnsi="宋体" w:cs="宋体"/>
          <w:b/>
          <w:sz w:val="24"/>
          <w:szCs w:val="28"/>
        </w:rPr>
      </w:pPr>
      <w:r>
        <w:rPr>
          <w:rFonts w:hint="eastAsia" w:ascii="宋体" w:hAnsi="宋体" w:cs="宋体"/>
          <w:b/>
          <w:sz w:val="24"/>
          <w:szCs w:val="28"/>
        </w:rPr>
        <w:t>设备名称、型号、数量及价格</w:t>
      </w:r>
    </w:p>
    <w:tbl>
      <w:tblPr>
        <w:tblStyle w:val="38"/>
        <w:tblW w:w="5000" w:type="pct"/>
        <w:tblInd w:w="0" w:type="dxa"/>
        <w:tblLayout w:type="autofit"/>
        <w:tblCellMar>
          <w:top w:w="0" w:type="dxa"/>
          <w:left w:w="108" w:type="dxa"/>
          <w:bottom w:w="0" w:type="dxa"/>
          <w:right w:w="108" w:type="dxa"/>
        </w:tblCellMar>
      </w:tblPr>
      <w:tblGrid>
        <w:gridCol w:w="1149"/>
        <w:gridCol w:w="1648"/>
        <w:gridCol w:w="2099"/>
        <w:gridCol w:w="1540"/>
        <w:gridCol w:w="839"/>
        <w:gridCol w:w="1119"/>
        <w:gridCol w:w="1121"/>
      </w:tblGrid>
      <w:tr>
        <w:tblPrEx>
          <w:tblCellMar>
            <w:top w:w="0" w:type="dxa"/>
            <w:left w:w="108" w:type="dxa"/>
            <w:bottom w:w="0" w:type="dxa"/>
            <w:right w:w="108" w:type="dxa"/>
          </w:tblCellMar>
        </w:tblPrEx>
        <w:trPr>
          <w:trHeight w:val="751" w:hRule="exact"/>
        </w:trPr>
        <w:tc>
          <w:tcPr>
            <w:tcW w:w="60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序号</w:t>
            </w:r>
          </w:p>
        </w:tc>
        <w:tc>
          <w:tcPr>
            <w:tcW w:w="866"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 xml:space="preserve"> </w:t>
            </w:r>
          </w:p>
        </w:tc>
        <w:tc>
          <w:tcPr>
            <w:tcW w:w="1103"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809"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441"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588"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c>
          <w:tcPr>
            <w:tcW w:w="588" w:type="pct"/>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sz w:val="24"/>
                <w:szCs w:val="28"/>
              </w:rPr>
            </w:pPr>
          </w:p>
        </w:tc>
      </w:tr>
      <w:tr>
        <w:tblPrEx>
          <w:tblCellMar>
            <w:top w:w="0" w:type="dxa"/>
            <w:left w:w="108" w:type="dxa"/>
            <w:bottom w:w="0" w:type="dxa"/>
            <w:right w:w="108" w:type="dxa"/>
          </w:tblCellMar>
        </w:tblPrEx>
        <w:trPr>
          <w:trHeight w:val="665" w:hRule="exact"/>
        </w:trPr>
        <w:tc>
          <w:tcPr>
            <w:tcW w:w="604" w:type="pct"/>
            <w:tcBorders>
              <w:top w:val="nil"/>
              <w:left w:val="single" w:color="auto" w:sz="4" w:space="0"/>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r>
              <w:rPr>
                <w:rFonts w:hint="eastAsia" w:ascii="宋体" w:hAnsi="宋体" w:cs="宋体"/>
                <w:kern w:val="0"/>
                <w:sz w:val="24"/>
                <w:szCs w:val="28"/>
              </w:rPr>
              <w:t>1</w:t>
            </w:r>
          </w:p>
        </w:tc>
        <w:tc>
          <w:tcPr>
            <w:tcW w:w="866"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r>
              <w:rPr>
                <w:rFonts w:hint="eastAsia" w:ascii="宋体" w:hAnsi="宋体" w:cs="宋体"/>
                <w:kern w:val="0"/>
                <w:sz w:val="24"/>
                <w:szCs w:val="28"/>
              </w:rPr>
              <w:t xml:space="preserve"> </w:t>
            </w:r>
          </w:p>
        </w:tc>
        <w:tc>
          <w:tcPr>
            <w:tcW w:w="1103"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809"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441"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588"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c>
          <w:tcPr>
            <w:tcW w:w="588" w:type="pct"/>
            <w:tcBorders>
              <w:top w:val="nil"/>
              <w:left w:val="nil"/>
              <w:bottom w:val="single" w:color="auto" w:sz="4" w:space="0"/>
              <w:right w:val="single" w:color="auto" w:sz="4" w:space="0"/>
            </w:tcBorders>
            <w:noWrap w:val="0"/>
            <w:vAlign w:val="center"/>
          </w:tcPr>
          <w:p>
            <w:pPr>
              <w:widowControl/>
              <w:adjustRightInd w:val="0"/>
              <w:snapToGrid w:val="0"/>
              <w:spacing w:line="360" w:lineRule="auto"/>
              <w:ind w:left="-105" w:leftChars="-50" w:right="-105" w:rightChars="-50"/>
              <w:jc w:val="center"/>
              <w:rPr>
                <w:rFonts w:hint="eastAsia" w:ascii="宋体" w:hAnsi="宋体" w:cs="宋体"/>
                <w:kern w:val="0"/>
                <w:sz w:val="24"/>
                <w:szCs w:val="28"/>
              </w:rPr>
            </w:pPr>
          </w:p>
        </w:tc>
      </w:tr>
      <w:tr>
        <w:tblPrEx>
          <w:tblCellMar>
            <w:top w:w="0" w:type="dxa"/>
            <w:left w:w="108" w:type="dxa"/>
            <w:bottom w:w="0" w:type="dxa"/>
            <w:right w:w="108" w:type="dxa"/>
          </w:tblCellMar>
        </w:tblPrEx>
        <w:trPr>
          <w:trHeight w:val="1300" w:hRule="exac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sz w:val="24"/>
                <w:szCs w:val="28"/>
              </w:rPr>
            </w:pPr>
            <w:r>
              <w:rPr>
                <w:rFonts w:hint="eastAsia" w:ascii="宋体" w:hAnsi="宋体" w:cs="宋体"/>
                <w:sz w:val="24"/>
                <w:szCs w:val="28"/>
              </w:rPr>
              <w:t>总计：大写人民币</w:t>
            </w:r>
            <w:r>
              <w:rPr>
                <w:rFonts w:hint="eastAsia" w:ascii="宋体" w:hAnsi="宋体" w:cs="宋体"/>
                <w:kern w:val="0"/>
                <w:sz w:val="24"/>
                <w:szCs w:val="28"/>
                <w:u w:val="single"/>
              </w:rPr>
              <w:t xml:space="preserve">       元整</w:t>
            </w:r>
            <w:r>
              <w:rPr>
                <w:rFonts w:hint="eastAsia" w:ascii="宋体" w:hAnsi="宋体" w:cs="宋体"/>
                <w:sz w:val="24"/>
                <w:szCs w:val="28"/>
              </w:rPr>
              <w:t>，小写</w:t>
            </w:r>
            <w:r>
              <w:rPr>
                <w:rFonts w:ascii="宋体" w:hAnsi="宋体" w:cs="Calibri"/>
                <w:sz w:val="24"/>
                <w:szCs w:val="28"/>
                <w:u w:val="single"/>
              </w:rPr>
              <w:t>¥</w:t>
            </w:r>
            <w:r>
              <w:rPr>
                <w:rFonts w:hint="eastAsia" w:ascii="宋体" w:hAnsi="宋体" w:cs="宋体"/>
                <w:kern w:val="0"/>
                <w:sz w:val="24"/>
                <w:szCs w:val="28"/>
                <w:u w:val="single"/>
              </w:rPr>
              <w:t xml:space="preserve">     </w:t>
            </w:r>
            <w:r>
              <w:rPr>
                <w:rFonts w:hint="eastAsia" w:ascii="宋体" w:hAnsi="宋体" w:cs="宋体"/>
                <w:kern w:val="0"/>
                <w:sz w:val="24"/>
                <w:szCs w:val="28"/>
              </w:rPr>
              <w:t>元</w:t>
            </w:r>
            <w:r>
              <w:rPr>
                <w:rFonts w:hint="eastAsia" w:ascii="宋体" w:hAnsi="宋体" w:cs="宋体"/>
                <w:sz w:val="24"/>
                <w:szCs w:val="28"/>
              </w:rPr>
              <w:t>（包括但不限于运输费、保险费及所配套的土建、吊装就位，培训、安装、调试等所有相关费用）</w:t>
            </w:r>
          </w:p>
        </w:tc>
      </w:tr>
    </w:tbl>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二、报价币种、合同总价</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1、本合同总金额为</w:t>
      </w:r>
      <w:r>
        <w:rPr>
          <w:rFonts w:ascii="宋体" w:hAnsi="宋体" w:cs="Calibri"/>
          <w:sz w:val="24"/>
          <w:szCs w:val="28"/>
          <w:u w:val="single"/>
        </w:rPr>
        <w:t>¥</w:t>
      </w:r>
      <w:r>
        <w:rPr>
          <w:rFonts w:hint="eastAsia" w:ascii="宋体" w:hAnsi="宋体" w:cs="宋体"/>
          <w:sz w:val="24"/>
          <w:szCs w:val="28"/>
          <w:u w:val="single"/>
        </w:rPr>
        <w:t xml:space="preserve">    </w:t>
      </w:r>
      <w:r>
        <w:rPr>
          <w:rFonts w:hint="eastAsia" w:ascii="宋体" w:hAnsi="宋体" w:cs="宋体"/>
          <w:sz w:val="24"/>
          <w:szCs w:val="28"/>
        </w:rPr>
        <w:t>元，大写人民币</w:t>
      </w:r>
      <w:r>
        <w:rPr>
          <w:rFonts w:hint="eastAsia" w:ascii="宋体" w:hAnsi="宋体" w:cs="宋体"/>
          <w:kern w:val="0"/>
          <w:sz w:val="24"/>
          <w:szCs w:val="28"/>
          <w:u w:val="single"/>
        </w:rPr>
        <w:t xml:space="preserve">       </w:t>
      </w:r>
      <w:r>
        <w:rPr>
          <w:rFonts w:hint="eastAsia" w:ascii="宋体" w:hAnsi="宋体" w:cs="宋体"/>
          <w:kern w:val="0"/>
          <w:sz w:val="24"/>
          <w:szCs w:val="28"/>
        </w:rPr>
        <w:t>元整</w:t>
      </w:r>
      <w:r>
        <w:rPr>
          <w:rFonts w:hint="eastAsia" w:ascii="宋体" w:hAnsi="宋体" w:cs="宋体"/>
          <w:sz w:val="24"/>
          <w:szCs w:val="28"/>
        </w:rPr>
        <w:t>，含税及运费、安装、调试等所有相关费用。</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三、付款方式</w:t>
      </w:r>
    </w:p>
    <w:p>
      <w:pPr>
        <w:spacing w:line="360" w:lineRule="auto"/>
        <w:ind w:firstLine="480" w:firstLineChars="200"/>
        <w:rPr>
          <w:rFonts w:hint="eastAsia" w:ascii="宋体" w:hAnsi="宋体" w:cs="宋体"/>
          <w:b/>
          <w:kern w:val="0"/>
          <w:sz w:val="24"/>
          <w:szCs w:val="28"/>
        </w:rPr>
      </w:pPr>
      <w:r>
        <w:rPr>
          <w:rFonts w:hint="eastAsia" w:ascii="宋体" w:hAnsi="宋体" w:cs="宋体"/>
          <w:sz w:val="24"/>
          <w:szCs w:val="28"/>
        </w:rPr>
        <w:t>1、</w:t>
      </w:r>
      <w:r>
        <w:rPr>
          <w:rFonts w:hint="eastAsia" w:ascii="宋体" w:hAnsi="宋体" w:cs="宋体"/>
          <w:kern w:val="0"/>
          <w:sz w:val="24"/>
          <w:szCs w:val="28"/>
        </w:rPr>
        <w:t>乙方在合同约定的时间内将所供设备运至甲方指定地点，甲方收到设备，乙方在5日内对设备进行安装调试，并经甲方书面验收合格后，甲方支付至合同总金额</w:t>
      </w:r>
      <w:r>
        <w:rPr>
          <w:rFonts w:hint="eastAsia" w:ascii="宋体" w:hAnsi="宋体" w:cs="宋体"/>
          <w:kern w:val="0"/>
          <w:sz w:val="24"/>
          <w:szCs w:val="28"/>
          <w:lang w:val="en-US" w:eastAsia="zh-CN"/>
        </w:rPr>
        <w:t>95</w:t>
      </w:r>
      <w:r>
        <w:rPr>
          <w:rFonts w:hint="eastAsia" w:ascii="宋体" w:hAnsi="宋体" w:cs="宋体"/>
          <w:kern w:val="0"/>
          <w:sz w:val="24"/>
          <w:szCs w:val="28"/>
        </w:rPr>
        <w:t>%的货款</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kern w:val="0"/>
          <w:sz w:val="24"/>
          <w:szCs w:val="28"/>
        </w:rPr>
        <w:t>质保期满壹年经甲方再次验收，无质量问题后，甲方</w:t>
      </w:r>
      <w:r>
        <w:rPr>
          <w:rFonts w:hint="eastAsia" w:ascii="宋体" w:hAnsi="宋体" w:cs="宋体"/>
          <w:kern w:val="0"/>
          <w:sz w:val="24"/>
          <w:szCs w:val="28"/>
          <w:lang w:val="en-US" w:eastAsia="zh-CN"/>
        </w:rPr>
        <w:t>支付剩余5%质量保证金</w:t>
      </w:r>
      <w:r>
        <w:rPr>
          <w:rFonts w:hint="eastAsia" w:ascii="宋体" w:hAnsi="宋体" w:cs="宋体"/>
          <w:kern w:val="0"/>
          <w:sz w:val="24"/>
          <w:szCs w:val="28"/>
        </w:rPr>
        <w:t>支付给乙方</w:t>
      </w:r>
      <w:r>
        <w:rPr>
          <w:rFonts w:hint="eastAsia" w:ascii="宋体" w:hAnsi="宋体" w:cs="宋体"/>
          <w:kern w:val="0"/>
          <w:sz w:val="24"/>
          <w:szCs w:val="28"/>
          <w:lang w:eastAsia="zh-CN"/>
        </w:rPr>
        <w:t>，</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kern w:val="0"/>
          <w:sz w:val="24"/>
          <w:szCs w:val="28"/>
        </w:rPr>
        <w:t>。</w:t>
      </w:r>
      <w:r>
        <w:rPr>
          <w:rFonts w:hint="eastAsia" w:ascii="宋体" w:hAnsi="宋体" w:cs="宋体"/>
          <w:b/>
          <w:kern w:val="0"/>
          <w:sz w:val="24"/>
          <w:szCs w:val="28"/>
        </w:rPr>
        <w:t>质保期自甲方书面验收合格之日起计算。</w:t>
      </w:r>
    </w:p>
    <w:p>
      <w:pPr>
        <w:spacing w:line="360" w:lineRule="auto"/>
        <w:ind w:firstLine="482" w:firstLineChars="200"/>
        <w:rPr>
          <w:rFonts w:hint="eastAsia" w:ascii="宋体" w:hAnsi="宋体" w:cs="宋体"/>
          <w:b/>
          <w:kern w:val="0"/>
          <w:sz w:val="24"/>
          <w:szCs w:val="28"/>
        </w:rPr>
      </w:pPr>
      <w:r>
        <w:rPr>
          <w:rFonts w:hint="eastAsia" w:ascii="宋体" w:hAnsi="宋体" w:cs="宋体"/>
          <w:b/>
          <w:kern w:val="0"/>
          <w:sz w:val="24"/>
          <w:szCs w:val="28"/>
        </w:rPr>
        <w:t>乙方账户信息如下：</w:t>
      </w:r>
    </w:p>
    <w:p>
      <w:pPr>
        <w:spacing w:line="360" w:lineRule="auto"/>
        <w:ind w:firstLine="482" w:firstLineChars="200"/>
        <w:rPr>
          <w:rFonts w:hint="eastAsia" w:ascii="宋体" w:hAnsi="宋体" w:cs="宋体"/>
          <w:b/>
          <w:kern w:val="0"/>
          <w:sz w:val="24"/>
          <w:szCs w:val="28"/>
          <w:u w:val="single"/>
        </w:rPr>
      </w:pPr>
      <w:r>
        <w:rPr>
          <w:rFonts w:hint="eastAsia" w:ascii="宋体" w:hAnsi="宋体" w:cs="宋体"/>
          <w:b/>
          <w:kern w:val="0"/>
          <w:sz w:val="24"/>
          <w:szCs w:val="28"/>
        </w:rPr>
        <w:t>开户名称：</w:t>
      </w:r>
      <w:r>
        <w:rPr>
          <w:rFonts w:hint="eastAsia" w:ascii="宋体" w:hAnsi="宋体" w:cs="宋体"/>
          <w:b/>
          <w:kern w:val="0"/>
          <w:sz w:val="24"/>
          <w:szCs w:val="28"/>
          <w:u w:val="single"/>
        </w:rPr>
        <w:t xml:space="preserve">                              </w:t>
      </w:r>
    </w:p>
    <w:p>
      <w:pPr>
        <w:spacing w:line="360" w:lineRule="auto"/>
        <w:ind w:firstLine="482" w:firstLineChars="200"/>
        <w:rPr>
          <w:rFonts w:ascii="宋体" w:hAnsi="宋体" w:cs="宋体"/>
          <w:b/>
          <w:kern w:val="0"/>
          <w:sz w:val="24"/>
          <w:szCs w:val="28"/>
          <w:u w:val="single"/>
        </w:rPr>
      </w:pPr>
      <w:r>
        <w:rPr>
          <w:rFonts w:hint="eastAsia" w:ascii="宋体" w:hAnsi="宋体" w:cs="宋体"/>
          <w:b/>
          <w:kern w:val="0"/>
          <w:sz w:val="24"/>
          <w:szCs w:val="28"/>
        </w:rPr>
        <w:t>账    号：</w:t>
      </w:r>
      <w:r>
        <w:rPr>
          <w:rFonts w:hint="eastAsia" w:ascii="宋体" w:hAnsi="宋体" w:cs="宋体"/>
          <w:b/>
          <w:kern w:val="0"/>
          <w:sz w:val="24"/>
          <w:szCs w:val="28"/>
          <w:u w:val="single"/>
        </w:rPr>
        <w:t xml:space="preserve">                             </w:t>
      </w:r>
    </w:p>
    <w:p>
      <w:pPr>
        <w:spacing w:line="360" w:lineRule="auto"/>
        <w:ind w:firstLine="482" w:firstLineChars="200"/>
        <w:rPr>
          <w:rFonts w:hint="eastAsia" w:ascii="宋体" w:hAnsi="宋体" w:cs="宋体"/>
          <w:b/>
          <w:kern w:val="0"/>
          <w:sz w:val="24"/>
          <w:szCs w:val="28"/>
          <w:u w:val="single"/>
        </w:rPr>
      </w:pPr>
      <w:r>
        <w:rPr>
          <w:rFonts w:hint="eastAsia" w:ascii="宋体" w:hAnsi="宋体" w:cs="宋体"/>
          <w:b/>
          <w:kern w:val="0"/>
          <w:sz w:val="24"/>
          <w:szCs w:val="28"/>
        </w:rPr>
        <w:t>开 户 行：</w:t>
      </w:r>
      <w:r>
        <w:rPr>
          <w:rFonts w:hint="eastAsia" w:ascii="宋体" w:hAnsi="宋体" w:cs="宋体"/>
          <w:b/>
          <w:kern w:val="0"/>
          <w:sz w:val="24"/>
          <w:szCs w:val="28"/>
          <w:u w:val="single"/>
        </w:rPr>
        <w:t xml:space="preserve">                              </w:t>
      </w:r>
    </w:p>
    <w:p>
      <w:pPr>
        <w:spacing w:line="360" w:lineRule="auto"/>
        <w:ind w:firstLine="480" w:firstLineChars="200"/>
        <w:rPr>
          <w:rFonts w:hint="eastAsia" w:ascii="宋体" w:hAnsi="宋体" w:cs="宋体"/>
          <w:b/>
          <w:kern w:val="0"/>
          <w:sz w:val="24"/>
          <w:szCs w:val="28"/>
        </w:rPr>
      </w:pPr>
      <w:r>
        <w:rPr>
          <w:rFonts w:hint="eastAsia" w:ascii="宋体" w:hAnsi="宋体" w:cs="宋体"/>
          <w:sz w:val="24"/>
          <w:szCs w:val="28"/>
        </w:rPr>
        <w:t>2. 本合同约定价款为含税价，乙方应在甲方付款前提供符合甲方财务做账需求的等额增值税专用发票，否则甲方有权拒付款项且不承担违约责任。</w:t>
      </w:r>
    </w:p>
    <w:p>
      <w:pPr>
        <w:spacing w:line="360" w:lineRule="auto"/>
        <w:ind w:firstLine="482" w:firstLineChars="200"/>
        <w:rPr>
          <w:rFonts w:hint="eastAsia" w:ascii="宋体" w:hAnsi="宋体" w:cs="宋体"/>
          <w:b/>
          <w:sz w:val="24"/>
          <w:szCs w:val="28"/>
          <w:highlight w:val="yellow"/>
        </w:rPr>
      </w:pPr>
      <w:r>
        <w:rPr>
          <w:rFonts w:hint="eastAsia" w:ascii="宋体" w:hAnsi="宋体" w:cs="宋体"/>
          <w:b/>
          <w:sz w:val="24"/>
          <w:szCs w:val="28"/>
          <w:highlight w:val="yellow"/>
        </w:rPr>
        <w:t>四、交货地点、时间</w:t>
      </w:r>
    </w:p>
    <w:p>
      <w:pPr>
        <w:pStyle w:val="56"/>
        <w:spacing w:line="360" w:lineRule="auto"/>
        <w:ind w:firstLine="470" w:firstLineChars="196"/>
        <w:outlineLvl w:val="0"/>
        <w:rPr>
          <w:rFonts w:hint="eastAsia" w:ascii="宋体" w:hAnsi="宋体" w:cs="宋体"/>
          <w:color w:val="auto"/>
          <w:szCs w:val="28"/>
          <w:highlight w:val="yellow"/>
        </w:rPr>
      </w:pPr>
      <w:r>
        <w:rPr>
          <w:rFonts w:hint="eastAsia" w:ascii="宋体" w:hAnsi="宋体" w:cs="宋体"/>
          <w:color w:val="auto"/>
          <w:szCs w:val="28"/>
          <w:highlight w:val="yellow"/>
        </w:rPr>
        <w:t xml:space="preserve">甲方指定的地点：（学院/部门名称：新疆艺术学院金桥校区音乐学院    ）；具体以甲方通知时指定交货地点为准。 </w:t>
      </w:r>
    </w:p>
    <w:p>
      <w:pPr>
        <w:spacing w:line="360" w:lineRule="auto"/>
        <w:ind w:firstLine="480" w:firstLineChars="200"/>
        <w:rPr>
          <w:rFonts w:hint="eastAsia" w:ascii="宋体" w:hAnsi="宋体" w:cs="宋体"/>
          <w:sz w:val="24"/>
          <w:szCs w:val="28"/>
          <w:highlight w:val="yellow"/>
        </w:rPr>
      </w:pPr>
      <w:r>
        <w:rPr>
          <w:rFonts w:hint="eastAsia" w:ascii="宋体" w:hAnsi="宋体" w:cs="宋体"/>
          <w:sz w:val="24"/>
          <w:szCs w:val="28"/>
          <w:highlight w:val="yellow"/>
        </w:rPr>
        <w:t>交货时间：自合同签订之日</w:t>
      </w:r>
      <w:r>
        <w:rPr>
          <w:rFonts w:hint="eastAsia" w:ascii="宋体" w:hAnsi="宋体" w:cs="宋体"/>
          <w:sz w:val="24"/>
          <w:szCs w:val="28"/>
          <w:highlight w:val="yellow"/>
          <w:lang w:val="en-US" w:eastAsia="zh-CN"/>
        </w:rPr>
        <w:t>30</w:t>
      </w:r>
      <w:r>
        <w:rPr>
          <w:rFonts w:hint="eastAsia" w:ascii="宋体" w:hAnsi="宋体" w:cs="宋体"/>
          <w:sz w:val="24"/>
          <w:szCs w:val="28"/>
          <w:highlight w:val="yellow"/>
        </w:rPr>
        <w:t>天内到货 ，完成安装调试并进行验收。</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五、产品质量保证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1、乙方保证提供的</w:t>
      </w:r>
      <w:r>
        <w:rPr>
          <w:rFonts w:hint="eastAsia" w:ascii="宋体" w:hAnsi="宋体" w:cs="宋体"/>
          <w:sz w:val="24"/>
          <w:szCs w:val="28"/>
          <w:u w:val="thick"/>
        </w:rPr>
        <w:t>合同内全部产品</w:t>
      </w:r>
      <w:r>
        <w:rPr>
          <w:rFonts w:hint="eastAsia" w:ascii="宋体" w:hAnsi="宋体" w:cs="宋体"/>
          <w:sz w:val="24"/>
          <w:szCs w:val="28"/>
        </w:rPr>
        <w:t>为全新的产品。</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2、乙方所提供的</w:t>
      </w:r>
      <w:r>
        <w:rPr>
          <w:rFonts w:hint="eastAsia" w:ascii="宋体" w:hAnsi="宋体" w:cs="宋体"/>
          <w:sz w:val="24"/>
          <w:szCs w:val="28"/>
          <w:u w:val="thick"/>
        </w:rPr>
        <w:t>合同内全部产品</w:t>
      </w:r>
      <w:r>
        <w:rPr>
          <w:rFonts w:hint="eastAsia" w:ascii="宋体" w:hAnsi="宋体" w:cs="宋体"/>
          <w:sz w:val="24"/>
          <w:szCs w:val="28"/>
        </w:rPr>
        <w:t>的型号、数量、规格及技术、质量标准、售后服务必须满足招标文件要求。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3、乙方保证提供的合同内全部产品设备按国家标准要求制作，质量完全满足用户的要求并能满足甲方的使用需求。</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六、质量保证期</w:t>
      </w:r>
    </w:p>
    <w:p>
      <w:p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1、合同内设备质保期至少为</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年，具体质保期以相关产品生产厂家提供的质保期为准。生产厂家提供的质保期少于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年为准；生产厂家提供的质保期长于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七、技术资料</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乙方需向甲方提供下述资料：</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所供设备的型号、规格、数量及生产厂家的产品检验证书、出厂检验报告、使用说明书等。</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八、包装及验收</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1、所提供设备必须进行包装，免收包装费，包装物不回收。</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2、因包装原因造成合同标的物在运输过程中丢失的、损坏的，乙方承担全部责任。</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4、验收期限：甲方需在乙方交货、安装调试完毕后</w:t>
      </w:r>
      <w:r>
        <w:rPr>
          <w:rFonts w:hint="eastAsia" w:ascii="宋体" w:hAnsi="宋体" w:cs="宋体"/>
          <w:sz w:val="24"/>
          <w:szCs w:val="28"/>
          <w:u w:val="single"/>
        </w:rPr>
        <w:t xml:space="preserve">    </w:t>
      </w:r>
      <w:r>
        <w:rPr>
          <w:rFonts w:hint="eastAsia" w:ascii="宋体" w:hAnsi="宋体" w:cs="宋体"/>
          <w:sz w:val="24"/>
          <w:szCs w:val="28"/>
        </w:rPr>
        <w:t>日内完成验收，如遇特殊情况，双方应另行协商确定验收时间。</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5、设备风险自通过甲方书面验收并交付甲方之后转移。</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九、甲、乙双方的权利及义务</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1、若甲方对订购的设备有任何更改，包括设备的型号、品种、规格、数量、颜色、交货期等事宜，应书面通知乙方，交货期从变更之日起顺延。若乙方接到通知后不予更改，由此造成的甲方损失，由乙方承担。</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2、若乙方在交货时，由于甲方的原因或要求，不能及时将设备送达指定地点和验收时，则乙方可按甲方要求延期交货，甲方向乙方出具书面确认书。</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3、若甲方在验收后的质量保证期内，发现设备内有部分出现质量问题，应及时通知乙方，若需要更换时，乙方应在接到通知后10天内给予更换。</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4、乙方须按合同要求提供质量合格的设备，如期交付至甲方指定的交货地点。合同标的物需安装调试的，乙方提供免费的安装调试。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5、乙方对售予甲方的设备提供的质量保证期的质量保证范围，不包括意外事件、不可抗力原因及甲方的违规使用。</w:t>
      </w:r>
    </w:p>
    <w:p>
      <w:pPr>
        <w:spacing w:line="360" w:lineRule="auto"/>
        <w:ind w:firstLine="482" w:firstLineChars="200"/>
        <w:rPr>
          <w:rFonts w:hint="eastAsia" w:ascii="宋体" w:hAnsi="宋体" w:cs="宋体"/>
          <w:b/>
          <w:sz w:val="24"/>
          <w:szCs w:val="28"/>
        </w:rPr>
      </w:pPr>
      <w:r>
        <w:rPr>
          <w:rFonts w:hint="eastAsia" w:ascii="宋体" w:hAnsi="宋体" w:cs="宋体"/>
          <w:b/>
          <w:sz w:val="24"/>
          <w:szCs w:val="28"/>
        </w:rPr>
        <w:t>十、合同变更、违约及其它</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2、乙方必须在本合同规定的时间内按时交货，否则由乙方负责承担全部责任。乙方逾期交货的，按日承担合同总额千分之五的违约金；逾期交货超过【 15 】天的，甲方有权单方解除合同，乙方除退还货款外还应当另行承担合同总额【 20】%的违约金。</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56"/>
        <w:spacing w:line="360" w:lineRule="auto"/>
        <w:ind w:firstLine="480" w:firstLineChars="200"/>
        <w:rPr>
          <w:rFonts w:hint="eastAsia" w:ascii="宋体" w:hAnsi="宋体" w:cs="宋体"/>
          <w:color w:val="auto"/>
          <w:szCs w:val="28"/>
        </w:rPr>
      </w:pPr>
      <w:r>
        <w:rPr>
          <w:rFonts w:hint="eastAsia" w:ascii="宋体" w:hAnsi="宋体" w:cs="宋体"/>
          <w:color w:val="auto"/>
          <w:szCs w:val="28"/>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宋体" w:hAnsi="宋体" w:cs="宋体"/>
          <w:color w:val="auto"/>
          <w:szCs w:val="28"/>
        </w:rPr>
        <w:t>，</w:t>
      </w:r>
      <w:r>
        <w:rPr>
          <w:rFonts w:ascii="宋体" w:hAnsi="宋体" w:cs="宋体"/>
          <w:color w:val="auto"/>
        </w:rPr>
        <w:t>违约金数额不得超过应付未付金额的10%</w:t>
      </w:r>
      <w:r>
        <w:rPr>
          <w:rFonts w:hint="eastAsia" w:ascii="宋体" w:hAnsi="宋体" w:cs="宋体"/>
          <w:color w:val="auto"/>
          <w:szCs w:val="28"/>
        </w:rPr>
        <w:t>。</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5、合同文本不得涂改，如需修改应在合同附件中注明。经甲、乙双方协商达成一致修改意见，需经甲、乙双方代表共同签署此附件，方能生效。</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w:t>
      </w:r>
      <w:r>
        <w:rPr>
          <w:rFonts w:hint="eastAsia" w:ascii="宋体" w:hAnsi="宋体" w:cs="宋体"/>
          <w:sz w:val="24"/>
        </w:rPr>
        <w:t>招标文件、投标文件、询价文件、报价文件及谈判会议上的答疑记录等均作为合同的附件，是本合同不可分割的组成部分，均与本合同具有同等法律效力，本合同未述及和不详之处，以附件为准。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7、合同经甲、乙双方法定代表人或授权代理人签字（盖章）并加盖单位公章后立即生效。</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8、甲、乙双方发生争议时，应先协商解决，经协商不能达成协议时，任何一方均可向</w:t>
      </w:r>
      <w:r>
        <w:rPr>
          <w:rFonts w:hint="eastAsia" w:ascii="宋体" w:hAnsi="宋体" w:cs="宋体"/>
          <w:sz w:val="24"/>
          <w:szCs w:val="28"/>
          <w:u w:val="single"/>
        </w:rPr>
        <w:t>甲方所在地</w:t>
      </w:r>
      <w:r>
        <w:rPr>
          <w:rFonts w:hint="eastAsia" w:ascii="宋体" w:hAnsi="宋体" w:cs="宋体"/>
          <w:sz w:val="24"/>
          <w:szCs w:val="28"/>
        </w:rPr>
        <w:t>人民法院提起诉讼。</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9、合同一式陆份，甲方执叁份，乙方执叁份。</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10、乙方向甲方提供专业的售后服务工程师并提供专人长期驻扎甲方（发生的所有相关费用均由乙方自行承担），保证第一时间解决问题。</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11、一方违约，还应赔偿守约方因此遭受的其他损失，包括为主张权益所支付的律师费、交通费、公证费、鉴定费、评估费等全部费用。</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12、乙方违约的，甲方有权将相应违约金从应给乙方支付的货款中直接予以扣除。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13、本合同尾部载明的双方地址、电话等信息，系双方有效联系方式，如发生变更，应提前书面通知另一方，否则依该联系方式送达相关文书的，视为送达成功。</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15、未经另外一方的事先书面同意，任何一方均不得向第三方或其关联企业转让本协议项下的权利义务。</w:t>
      </w:r>
    </w:p>
    <w:p>
      <w:pPr>
        <w:rPr>
          <w:rFonts w:hint="eastAsia" w:ascii="宋体" w:hAnsi="宋体"/>
        </w:rPr>
      </w:pPr>
    </w:p>
    <w:tbl>
      <w:tblPr>
        <w:tblStyle w:val="38"/>
        <w:tblW w:w="5000" w:type="pct"/>
        <w:jc w:val="center"/>
        <w:tblLayout w:type="autofit"/>
        <w:tblCellMar>
          <w:top w:w="0" w:type="dxa"/>
          <w:left w:w="108" w:type="dxa"/>
          <w:bottom w:w="0" w:type="dxa"/>
          <w:right w:w="108" w:type="dxa"/>
        </w:tblCellMar>
      </w:tblPr>
      <w:tblGrid>
        <w:gridCol w:w="1372"/>
        <w:gridCol w:w="2839"/>
        <w:gridCol w:w="1519"/>
        <w:gridCol w:w="3785"/>
      </w:tblGrid>
      <w:tr>
        <w:tblPrEx>
          <w:tblCellMar>
            <w:top w:w="0" w:type="dxa"/>
            <w:left w:w="108" w:type="dxa"/>
            <w:bottom w:w="0" w:type="dxa"/>
            <w:right w:w="108" w:type="dxa"/>
          </w:tblCellMar>
        </w:tblPrEx>
        <w:trPr>
          <w:trHeight w:val="590" w:hRule="atLeast"/>
          <w:jc w:val="center"/>
        </w:trPr>
        <w:tc>
          <w:tcPr>
            <w:tcW w:w="721" w:type="pct"/>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甲方：</w:t>
            </w:r>
          </w:p>
        </w:tc>
        <w:tc>
          <w:tcPr>
            <w:tcW w:w="1492" w:type="pct"/>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c>
          <w:tcPr>
            <w:tcW w:w="798" w:type="pct"/>
            <w:noWrap w:val="0"/>
            <w:vAlign w:val="center"/>
          </w:tcPr>
          <w:p>
            <w:pPr>
              <w:pStyle w:val="56"/>
              <w:spacing w:line="360" w:lineRule="auto"/>
              <w:jc w:val="distribute"/>
              <w:rPr>
                <w:rFonts w:hint="eastAsia" w:ascii="宋体" w:hAnsi="宋体" w:cs="宋体"/>
                <w:color w:val="auto"/>
                <w:szCs w:val="28"/>
              </w:rPr>
            </w:pPr>
            <w:r>
              <w:rPr>
                <w:rFonts w:hint="eastAsia" w:ascii="宋体" w:hAnsi="宋体" w:cs="宋体"/>
                <w:color w:val="auto"/>
                <w:szCs w:val="28"/>
              </w:rPr>
              <w:t>乙方:</w:t>
            </w:r>
          </w:p>
        </w:tc>
        <w:tc>
          <w:tcPr>
            <w:tcW w:w="1989" w:type="pct"/>
            <w:noWrap w:val="0"/>
            <w:vAlign w:val="center"/>
          </w:tcPr>
          <w:p>
            <w:pPr>
              <w:pStyle w:val="56"/>
              <w:spacing w:line="360" w:lineRule="auto"/>
              <w:rPr>
                <w:rFonts w:hint="eastAsia" w:ascii="宋体" w:hAnsi="宋体" w:cs="宋体"/>
                <w:color w:val="auto"/>
                <w:szCs w:val="28"/>
              </w:rPr>
            </w:pPr>
          </w:p>
        </w:tc>
      </w:tr>
      <w:tr>
        <w:tblPrEx>
          <w:tblCellMar>
            <w:top w:w="0" w:type="dxa"/>
            <w:left w:w="108" w:type="dxa"/>
            <w:bottom w:w="0" w:type="dxa"/>
            <w:right w:w="108" w:type="dxa"/>
          </w:tblCellMar>
        </w:tblPrEx>
        <w:trPr>
          <w:jc w:val="center"/>
        </w:trPr>
        <w:tc>
          <w:tcPr>
            <w:tcW w:w="721" w:type="pct"/>
            <w:noWrap w:val="0"/>
            <w:vAlign w:val="center"/>
          </w:tcPr>
          <w:p>
            <w:pPr>
              <w:pStyle w:val="56"/>
              <w:spacing w:line="360" w:lineRule="auto"/>
              <w:jc w:val="distribute"/>
              <w:rPr>
                <w:rFonts w:hint="eastAsia" w:ascii="宋体" w:hAnsi="宋体" w:cs="宋体"/>
                <w:color w:val="auto"/>
                <w:szCs w:val="28"/>
              </w:rPr>
            </w:pPr>
            <w:r>
              <w:rPr>
                <w:rFonts w:hint="eastAsia" w:ascii="宋体" w:hAnsi="宋体" w:cs="宋体"/>
                <w:color w:val="auto"/>
                <w:szCs w:val="28"/>
              </w:rPr>
              <w:t>单位名称：</w:t>
            </w:r>
          </w:p>
        </w:tc>
        <w:tc>
          <w:tcPr>
            <w:tcW w:w="1492" w:type="pct"/>
            <w:noWrap w:val="0"/>
            <w:vAlign w:val="center"/>
          </w:tcPr>
          <w:p>
            <w:pPr>
              <w:pStyle w:val="56"/>
              <w:spacing w:line="360" w:lineRule="auto"/>
              <w:ind w:right="-260" w:rightChars="-124"/>
              <w:rPr>
                <w:rFonts w:hint="eastAsia" w:ascii="宋体" w:hAnsi="宋体" w:cs="宋体"/>
                <w:color w:val="auto"/>
                <w:szCs w:val="28"/>
              </w:rPr>
            </w:pPr>
            <w:r>
              <w:rPr>
                <w:rFonts w:hint="eastAsia" w:ascii="宋体" w:hAnsi="宋体" w:cs="宋体"/>
                <w:color w:val="auto"/>
                <w:szCs w:val="28"/>
              </w:rPr>
              <w:t>新疆艺术学院</w:t>
            </w:r>
          </w:p>
        </w:tc>
        <w:tc>
          <w:tcPr>
            <w:tcW w:w="798" w:type="pct"/>
            <w:noWrap w:val="0"/>
            <w:vAlign w:val="center"/>
          </w:tcPr>
          <w:p>
            <w:pPr>
              <w:pStyle w:val="56"/>
              <w:spacing w:line="360" w:lineRule="auto"/>
              <w:jc w:val="distribute"/>
              <w:rPr>
                <w:rFonts w:hint="eastAsia" w:ascii="宋体" w:hAnsi="宋体" w:cs="宋体"/>
                <w:color w:val="auto"/>
                <w:szCs w:val="28"/>
              </w:rPr>
            </w:pPr>
            <w:r>
              <w:rPr>
                <w:rFonts w:hint="eastAsia" w:ascii="宋体" w:hAnsi="宋体" w:cs="宋体"/>
                <w:color w:val="auto"/>
                <w:szCs w:val="28"/>
              </w:rPr>
              <w:t xml:space="preserve">单位名称: </w:t>
            </w:r>
          </w:p>
        </w:tc>
        <w:tc>
          <w:tcPr>
            <w:tcW w:w="1989" w:type="pct"/>
            <w:noWrap w:val="0"/>
            <w:vAlign w:val="center"/>
          </w:tcPr>
          <w:p>
            <w:pPr>
              <w:pStyle w:val="56"/>
              <w:spacing w:line="360" w:lineRule="auto"/>
              <w:ind w:right="-260" w:rightChars="-124"/>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56"/>
              <w:spacing w:line="360" w:lineRule="auto"/>
              <w:jc w:val="distribute"/>
              <w:rPr>
                <w:rFonts w:hint="eastAsia" w:ascii="宋体" w:hAnsi="宋体" w:cs="宋体"/>
                <w:color w:val="auto"/>
                <w:szCs w:val="28"/>
              </w:rPr>
            </w:pPr>
            <w:r>
              <w:rPr>
                <w:rFonts w:hint="eastAsia" w:ascii="宋体" w:hAnsi="宋体" w:cs="宋体"/>
                <w:color w:val="auto"/>
                <w:szCs w:val="28"/>
              </w:rPr>
              <w:t>公章：</w:t>
            </w:r>
          </w:p>
        </w:tc>
        <w:tc>
          <w:tcPr>
            <w:tcW w:w="1492" w:type="pct"/>
            <w:noWrap w:val="0"/>
            <w:vAlign w:val="center"/>
          </w:tcPr>
          <w:p>
            <w:pPr>
              <w:pStyle w:val="56"/>
              <w:spacing w:line="360" w:lineRule="auto"/>
              <w:rPr>
                <w:rFonts w:hint="eastAsia" w:ascii="宋体" w:hAnsi="宋体" w:cs="宋体"/>
                <w:color w:val="auto"/>
                <w:szCs w:val="28"/>
              </w:rPr>
            </w:pPr>
          </w:p>
        </w:tc>
        <w:tc>
          <w:tcPr>
            <w:tcW w:w="798" w:type="pct"/>
            <w:noWrap w:val="0"/>
            <w:vAlign w:val="center"/>
          </w:tcPr>
          <w:p>
            <w:pPr>
              <w:pStyle w:val="56"/>
              <w:spacing w:line="360" w:lineRule="auto"/>
              <w:jc w:val="distribute"/>
              <w:rPr>
                <w:rFonts w:hint="eastAsia" w:ascii="宋体" w:hAnsi="宋体" w:cs="宋体"/>
                <w:color w:val="auto"/>
                <w:szCs w:val="28"/>
              </w:rPr>
            </w:pPr>
            <w:r>
              <w:rPr>
                <w:rFonts w:hint="eastAsia" w:ascii="宋体" w:hAnsi="宋体" w:cs="宋体"/>
                <w:color w:val="auto"/>
                <w:szCs w:val="28"/>
              </w:rPr>
              <w:t>公章:</w:t>
            </w:r>
          </w:p>
        </w:tc>
        <w:tc>
          <w:tcPr>
            <w:tcW w:w="1989" w:type="pct"/>
            <w:noWrap w:val="0"/>
            <w:vAlign w:val="center"/>
          </w:tcPr>
          <w:p>
            <w:pPr>
              <w:pStyle w:val="56"/>
              <w:spacing w:line="360" w:lineRule="auto"/>
              <w:rPr>
                <w:rFonts w:hint="eastAsia" w:ascii="宋体" w:hAnsi="宋体" w:cs="宋体"/>
                <w:color w:val="auto"/>
                <w:szCs w:val="28"/>
              </w:rPr>
            </w:pPr>
          </w:p>
        </w:tc>
      </w:tr>
      <w:tr>
        <w:tblPrEx>
          <w:tblCellMar>
            <w:top w:w="0" w:type="dxa"/>
            <w:left w:w="108" w:type="dxa"/>
            <w:bottom w:w="0" w:type="dxa"/>
            <w:right w:w="108" w:type="dxa"/>
          </w:tblCellMar>
        </w:tblPrEx>
        <w:trPr>
          <w:jc w:val="center"/>
        </w:trPr>
        <w:tc>
          <w:tcPr>
            <w:tcW w:w="2213" w:type="pct"/>
            <w:gridSpan w:val="2"/>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法定代表人或授权代理人签字：</w:t>
            </w:r>
          </w:p>
        </w:tc>
        <w:tc>
          <w:tcPr>
            <w:tcW w:w="2787" w:type="pct"/>
            <w:gridSpan w:val="2"/>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法定代表人或授权代理人签字：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电话：</w:t>
            </w:r>
          </w:p>
        </w:tc>
        <w:tc>
          <w:tcPr>
            <w:tcW w:w="1492" w:type="pct"/>
            <w:noWrap w:val="0"/>
            <w:vAlign w:val="center"/>
          </w:tcPr>
          <w:p>
            <w:pPr>
              <w:pStyle w:val="134"/>
              <w:spacing w:line="360" w:lineRule="auto"/>
              <w:rPr>
                <w:rFonts w:hint="eastAsia" w:ascii="宋体" w:hAnsi="宋体" w:eastAsia="宋体" w:cs="宋体"/>
                <w:color w:val="auto"/>
                <w:szCs w:val="28"/>
              </w:rPr>
            </w:pPr>
          </w:p>
        </w:tc>
        <w:tc>
          <w:tcPr>
            <w:tcW w:w="798"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电话:</w:t>
            </w:r>
          </w:p>
        </w:tc>
        <w:tc>
          <w:tcPr>
            <w:tcW w:w="1989" w:type="pct"/>
            <w:noWrap w:val="0"/>
            <w:vAlign w:val="top"/>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传真：</w:t>
            </w:r>
          </w:p>
        </w:tc>
        <w:tc>
          <w:tcPr>
            <w:tcW w:w="1492" w:type="pct"/>
            <w:noWrap w:val="0"/>
            <w:vAlign w:val="center"/>
          </w:tcPr>
          <w:p>
            <w:pPr>
              <w:pStyle w:val="134"/>
              <w:spacing w:line="360" w:lineRule="auto"/>
              <w:rPr>
                <w:rFonts w:hint="eastAsia" w:ascii="宋体" w:hAnsi="宋体" w:eastAsia="宋体" w:cs="宋体"/>
                <w:color w:val="auto"/>
                <w:szCs w:val="28"/>
              </w:rPr>
            </w:pPr>
          </w:p>
        </w:tc>
        <w:tc>
          <w:tcPr>
            <w:tcW w:w="798"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传真:</w:t>
            </w:r>
          </w:p>
        </w:tc>
        <w:tc>
          <w:tcPr>
            <w:tcW w:w="1989" w:type="pct"/>
            <w:noWrap w:val="0"/>
            <w:vAlign w:val="top"/>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联系人：</w:t>
            </w:r>
          </w:p>
        </w:tc>
        <w:tc>
          <w:tcPr>
            <w:tcW w:w="1492" w:type="pct"/>
            <w:noWrap w:val="0"/>
            <w:vAlign w:val="center"/>
          </w:tcPr>
          <w:p>
            <w:pPr>
              <w:pStyle w:val="134"/>
              <w:spacing w:line="360" w:lineRule="auto"/>
              <w:rPr>
                <w:rFonts w:hint="eastAsia" w:ascii="宋体" w:hAnsi="宋体" w:eastAsia="宋体" w:cs="宋体"/>
                <w:color w:val="auto"/>
                <w:szCs w:val="28"/>
              </w:rPr>
            </w:pPr>
            <w:r>
              <w:rPr>
                <w:rFonts w:hint="eastAsia" w:ascii="宋体" w:hAnsi="宋体" w:eastAsia="宋体" w:cs="宋体"/>
                <w:color w:val="auto"/>
                <w:szCs w:val="28"/>
              </w:rPr>
              <w:t xml:space="preserve">  </w:t>
            </w:r>
          </w:p>
        </w:tc>
        <w:tc>
          <w:tcPr>
            <w:tcW w:w="798"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联系人: </w:t>
            </w:r>
          </w:p>
        </w:tc>
        <w:tc>
          <w:tcPr>
            <w:tcW w:w="1989" w:type="pct"/>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rPr>
                <w:rFonts w:hint="eastAsia" w:ascii="宋体" w:hAnsi="宋体" w:eastAsia="宋体" w:cs="宋体"/>
                <w:color w:val="auto"/>
                <w:szCs w:val="28"/>
              </w:rPr>
            </w:pPr>
            <w:r>
              <w:rPr>
                <w:rFonts w:hint="eastAsia" w:ascii="宋体" w:hAnsi="宋体" w:eastAsia="宋体" w:cs="宋体"/>
                <w:color w:val="auto"/>
                <w:szCs w:val="28"/>
              </w:rPr>
              <w:t xml:space="preserve">通讯地址:    </w:t>
            </w:r>
          </w:p>
        </w:tc>
        <w:tc>
          <w:tcPr>
            <w:tcW w:w="1492" w:type="pct"/>
            <w:noWrap w:val="0"/>
            <w:vAlign w:val="center"/>
          </w:tcPr>
          <w:p>
            <w:pPr>
              <w:pStyle w:val="56"/>
              <w:spacing w:line="360" w:lineRule="auto"/>
              <w:rPr>
                <w:rFonts w:hint="eastAsia" w:ascii="宋体" w:hAnsi="宋体" w:cs="宋体"/>
                <w:color w:val="auto"/>
                <w:szCs w:val="28"/>
              </w:rPr>
            </w:pPr>
          </w:p>
        </w:tc>
        <w:tc>
          <w:tcPr>
            <w:tcW w:w="798" w:type="pct"/>
            <w:noWrap w:val="0"/>
            <w:vAlign w:val="center"/>
          </w:tcPr>
          <w:p>
            <w:pPr>
              <w:pStyle w:val="134"/>
              <w:spacing w:line="360" w:lineRule="auto"/>
              <w:rPr>
                <w:rFonts w:hint="eastAsia" w:ascii="宋体" w:hAnsi="宋体" w:eastAsia="宋体" w:cs="宋体"/>
                <w:color w:val="auto"/>
                <w:szCs w:val="28"/>
              </w:rPr>
            </w:pPr>
            <w:r>
              <w:rPr>
                <w:rFonts w:hint="eastAsia" w:ascii="宋体" w:hAnsi="宋体" w:eastAsia="宋体" w:cs="宋体"/>
                <w:color w:val="auto"/>
                <w:szCs w:val="28"/>
              </w:rPr>
              <w:t>通讯地址:</w:t>
            </w:r>
          </w:p>
        </w:tc>
        <w:tc>
          <w:tcPr>
            <w:tcW w:w="1989" w:type="pct"/>
            <w:noWrap w:val="0"/>
            <w:vAlign w:val="top"/>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开户银行:                  </w:t>
            </w:r>
          </w:p>
        </w:tc>
        <w:tc>
          <w:tcPr>
            <w:tcW w:w="1492" w:type="pct"/>
            <w:noWrap w:val="0"/>
            <w:vAlign w:val="center"/>
          </w:tcPr>
          <w:p>
            <w:pPr>
              <w:pStyle w:val="56"/>
              <w:spacing w:line="360" w:lineRule="auto"/>
              <w:rPr>
                <w:rFonts w:hint="eastAsia" w:ascii="宋体" w:hAnsi="宋体" w:cs="宋体"/>
                <w:color w:val="auto"/>
                <w:szCs w:val="28"/>
              </w:rPr>
            </w:pPr>
          </w:p>
        </w:tc>
        <w:tc>
          <w:tcPr>
            <w:tcW w:w="798" w:type="pct"/>
            <w:noWrap w:val="0"/>
            <w:vAlign w:val="center"/>
          </w:tcPr>
          <w:p>
            <w:pPr>
              <w:pStyle w:val="134"/>
              <w:spacing w:line="360" w:lineRule="auto"/>
              <w:rPr>
                <w:rFonts w:hint="eastAsia" w:ascii="宋体" w:hAnsi="宋体" w:eastAsia="宋体" w:cs="宋体"/>
                <w:color w:val="auto"/>
                <w:szCs w:val="28"/>
              </w:rPr>
            </w:pPr>
            <w:r>
              <w:rPr>
                <w:rFonts w:hint="eastAsia" w:ascii="宋体" w:hAnsi="宋体" w:eastAsia="宋体" w:cs="宋体"/>
                <w:color w:val="auto"/>
                <w:szCs w:val="28"/>
              </w:rPr>
              <w:t>开户银行:</w:t>
            </w:r>
          </w:p>
        </w:tc>
        <w:tc>
          <w:tcPr>
            <w:tcW w:w="1989" w:type="pct"/>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noWrap w:val="0"/>
            <w:vAlign w:val="center"/>
          </w:tcPr>
          <w:p>
            <w:pPr>
              <w:pStyle w:val="134"/>
              <w:spacing w:line="360" w:lineRule="auto"/>
              <w:jc w:val="distribute"/>
              <w:rPr>
                <w:rFonts w:hint="eastAsia" w:ascii="宋体" w:hAnsi="宋体" w:eastAsia="宋体" w:cs="宋体"/>
                <w:color w:val="auto"/>
                <w:szCs w:val="28"/>
              </w:rPr>
            </w:pPr>
            <w:r>
              <w:rPr>
                <w:rFonts w:hint="eastAsia" w:ascii="宋体" w:hAnsi="宋体" w:eastAsia="宋体" w:cs="宋体"/>
                <w:color w:val="auto"/>
                <w:szCs w:val="28"/>
              </w:rPr>
              <w:t xml:space="preserve">帐  号：            </w:t>
            </w:r>
          </w:p>
        </w:tc>
        <w:tc>
          <w:tcPr>
            <w:tcW w:w="1492" w:type="pct"/>
            <w:noWrap w:val="0"/>
            <w:vAlign w:val="center"/>
          </w:tcPr>
          <w:p>
            <w:pPr>
              <w:pStyle w:val="56"/>
              <w:spacing w:line="360" w:lineRule="auto"/>
              <w:rPr>
                <w:rFonts w:hint="eastAsia" w:ascii="宋体" w:hAnsi="宋体" w:cs="宋体"/>
                <w:color w:val="auto"/>
                <w:szCs w:val="28"/>
              </w:rPr>
            </w:pPr>
          </w:p>
        </w:tc>
        <w:tc>
          <w:tcPr>
            <w:tcW w:w="798" w:type="pct"/>
            <w:noWrap w:val="0"/>
            <w:vAlign w:val="center"/>
          </w:tcPr>
          <w:p>
            <w:pPr>
              <w:pStyle w:val="134"/>
              <w:spacing w:line="360" w:lineRule="auto"/>
              <w:rPr>
                <w:rFonts w:hint="eastAsia" w:ascii="宋体" w:hAnsi="宋体" w:eastAsia="宋体" w:cs="宋体"/>
                <w:color w:val="auto"/>
                <w:szCs w:val="28"/>
              </w:rPr>
            </w:pPr>
            <w:r>
              <w:rPr>
                <w:rFonts w:hint="eastAsia" w:ascii="宋体" w:hAnsi="宋体" w:eastAsia="宋体" w:cs="宋体"/>
                <w:color w:val="auto"/>
                <w:szCs w:val="28"/>
              </w:rPr>
              <w:t>帐    号：</w:t>
            </w:r>
          </w:p>
        </w:tc>
        <w:tc>
          <w:tcPr>
            <w:tcW w:w="1989" w:type="pct"/>
            <w:noWrap w:val="0"/>
            <w:vAlign w:val="center"/>
          </w:tcPr>
          <w:p>
            <w:pPr>
              <w:pStyle w:val="56"/>
              <w:spacing w:line="360" w:lineRule="auto"/>
              <w:rPr>
                <w:rFonts w:hint="eastAsia" w:ascii="宋体" w:hAnsi="宋体" w:cs="宋体"/>
                <w:color w:val="auto"/>
                <w:szCs w:val="28"/>
              </w:rPr>
            </w:pPr>
            <w:r>
              <w:rPr>
                <w:rFonts w:hint="eastAsia" w:ascii="宋体" w:hAnsi="宋体" w:cs="宋体"/>
                <w:color w:val="auto"/>
                <w:szCs w:val="28"/>
              </w:rPr>
              <w:t xml:space="preserve">     </w:t>
            </w:r>
          </w:p>
        </w:tc>
      </w:tr>
    </w:tbl>
    <w:p>
      <w:pPr>
        <w:spacing w:line="360" w:lineRule="auto"/>
        <w:ind w:right="-105" w:firstLine="4320" w:firstLineChars="1800"/>
        <w:rPr>
          <w:rFonts w:hint="eastAsia" w:ascii="宋体" w:hAnsi="宋体" w:cs="宋体"/>
          <w:sz w:val="24"/>
          <w:szCs w:val="28"/>
        </w:rPr>
      </w:pPr>
      <w:bookmarkStart w:id="55" w:name="OLE_LINK1"/>
      <w:r>
        <w:rPr>
          <w:rFonts w:hint="eastAsia" w:ascii="宋体" w:hAnsi="宋体" w:cs="宋体"/>
          <w:sz w:val="24"/>
          <w:szCs w:val="28"/>
        </w:rPr>
        <w:t>二〇      年    月    日</w:t>
      </w:r>
    </w:p>
    <w:p>
      <w:pPr>
        <w:pStyle w:val="2"/>
        <w:ind w:left="0"/>
        <w:rPr>
          <w:rFonts w:hint="eastAsia" w:ascii="宋体" w:hAnsi="宋体"/>
        </w:rPr>
      </w:pPr>
    </w:p>
    <w:bookmarkEnd w:id="55"/>
    <w:p>
      <w:pPr>
        <w:spacing w:line="360" w:lineRule="auto"/>
        <w:ind w:left="-105" w:right="-105" w:firstLine="482" w:firstLineChars="150"/>
        <w:jc w:val="center"/>
        <w:rPr>
          <w:rFonts w:ascii="宋体" w:hAnsi="宋体"/>
          <w:b/>
          <w:sz w:val="32"/>
          <w:szCs w:val="32"/>
        </w:rPr>
      </w:pPr>
      <w:r>
        <w:rPr>
          <w:rFonts w:hint="eastAsia" w:ascii="宋体" w:hAnsi="宋体"/>
          <w:b/>
          <w:sz w:val="32"/>
          <w:szCs w:val="32"/>
        </w:rPr>
        <w:t>以上为合同模板，具体以甲方提供模板为准。</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bookmarkEnd w:id="52"/>
    <w:bookmarkEnd w:id="53"/>
    <w:bookmarkEnd w:id="54"/>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文件格式</w:t>
      </w:r>
    </w:p>
    <w:p>
      <w:pP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开标</w:t>
      </w:r>
      <w:r>
        <w:rPr>
          <w:rFonts w:hint="eastAsia" w:ascii="宋体" w:hAnsi="宋体" w:eastAsia="宋体" w:cs="宋体"/>
          <w:b/>
          <w:bCs/>
          <w:color w:val="auto"/>
          <w:sz w:val="24"/>
          <w:szCs w:val="24"/>
          <w:highlight w:val="none"/>
        </w:rPr>
        <w:t>一览表</w:t>
      </w:r>
    </w:p>
    <w:p>
      <w:pPr>
        <w:wordWrap/>
        <w:spacing w:beforeAutospacing="0" w:line="500" w:lineRule="exact"/>
        <w:ind w:left="0" w:leftChars="0" w:right="0"/>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 xml:space="preserve">       </w:t>
      </w: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交付</w:t>
            </w:r>
            <w:r>
              <w:rPr>
                <w:rFonts w:hint="eastAsia" w:ascii="仿宋" w:hAnsi="仿宋" w:eastAsia="仿宋" w:cs="仿宋"/>
                <w:color w:val="auto"/>
                <w:sz w:val="24"/>
                <w:szCs w:val="24"/>
                <w:highlight w:val="none"/>
              </w:rPr>
              <w:t>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bl>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wordWrap/>
        <w:spacing w:before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wordWrap/>
        <w:spacing w:beforeAutospacing="0" w:line="500" w:lineRule="exact"/>
        <w:ind w:left="0" w:leftChars="0" w:right="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、本表须按采购文件要求，单独封装、标识后提交。</w:t>
      </w:r>
    </w:p>
    <w:p>
      <w:pPr>
        <w:wordWrap/>
        <w:spacing w:beforeAutospacing="0" w:line="500" w:lineRule="exact"/>
        <w:ind w:left="0" w:leftChars="0" w:right="0"/>
        <w:outlineLvl w:val="9"/>
        <w:rPr>
          <w:rFonts w:hint="eastAsia" w:ascii="仿宋" w:hAnsi="仿宋" w:eastAsia="仿宋" w:cs="仿宋"/>
          <w:b/>
          <w:bCs/>
          <w:color w:val="auto"/>
          <w:sz w:val="24"/>
          <w:szCs w:val="24"/>
          <w:highlight w:val="none"/>
        </w:rPr>
        <w:sectPr>
          <w:pgSz w:w="11907" w:h="16840"/>
          <w:pgMar w:top="1440" w:right="1247" w:bottom="1440" w:left="1361" w:header="1077" w:footer="799" w:gutter="0"/>
          <w:pgNumType w:fmt="decimal"/>
          <w:cols w:space="720" w:num="1"/>
          <w:titlePg/>
          <w:docGrid w:type="lines" w:linePitch="409" w:charSpace="0"/>
        </w:sectPr>
      </w:pPr>
    </w:p>
    <w:p>
      <w:pPr>
        <w:pStyle w:val="37"/>
        <w:rPr>
          <w:rFonts w:hint="eastAsia"/>
          <w:color w:val="auto"/>
          <w:highlight w:val="none"/>
        </w:rPr>
      </w:pPr>
    </w:p>
    <w:p>
      <w:pPr>
        <w:rPr>
          <w:rFonts w:hint="eastAsia"/>
          <w:color w:val="auto"/>
          <w:highlight w:val="none"/>
        </w:rPr>
      </w:pPr>
    </w:p>
    <w:p>
      <w:pPr>
        <w:wordWrap/>
        <w:autoSpaceDE w:val="0"/>
        <w:autoSpaceDN w:val="0"/>
        <w:adjustRightInd w:val="0"/>
        <w:spacing w:beforeAutospacing="0" w:afterAutospacing="0" w:line="400" w:lineRule="exact"/>
        <w:ind w:left="0" w:leftChars="0" w:right="0"/>
        <w:jc w:val="right"/>
        <w:rPr>
          <w:rFonts w:hint="eastAsia" w:ascii="仿宋" w:hAnsi="仿宋" w:eastAsia="仿宋" w:cs="仿宋"/>
          <w:b/>
          <w:color w:val="auto"/>
          <w:spacing w:val="-6"/>
          <w:kern w:val="0"/>
          <w:sz w:val="24"/>
          <w:szCs w:val="24"/>
          <w:highlight w:val="none"/>
          <w:bdr w:val="single" w:color="auto" w:sz="4" w:space="0"/>
        </w:rPr>
      </w:pP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pacing w:val="-6"/>
          <w:kern w:val="0"/>
          <w:sz w:val="24"/>
          <w:szCs w:val="24"/>
          <w:highlight w:val="none"/>
          <w:bdr w:val="single" w:color="auto" w:sz="4" w:space="0"/>
        </w:rPr>
        <w:t>正本(或副本)</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9"/>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p>
    <w:p>
      <w:pPr>
        <w:pStyle w:val="19"/>
        <w:rPr>
          <w:rFonts w:hint="eastAsia"/>
          <w:color w:val="auto"/>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3"/>
        <w:wordWrap/>
        <w:spacing w:beforeAutospacing="0" w:afterAutospacing="0" w:line="400" w:lineRule="exact"/>
        <w:ind w:left="0" w:leftChars="0" w:right="0" w:firstLine="48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（项目编号）</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 xml:space="preserve">                     </w:t>
      </w:r>
    </w:p>
    <w:p>
      <w:pPr>
        <w:pStyle w:val="13"/>
        <w:wordWrap/>
        <w:spacing w:beforeAutospacing="0" w:afterAutospacing="0" w:line="400" w:lineRule="exact"/>
        <w:ind w:left="0" w:leftChars="0" w:right="0" w:firstLine="1440" w:firstLine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目   录</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 响 应 函（附件1）</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二、法定代表人身份证明（附件2）</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三、法定代表人授权委托书（附件3）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报价表（开标一览表）（附件4）</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五、商务偏离表（附件5）</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六、资格证明文件</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类似业绩</w:t>
      </w:r>
      <w:r>
        <w:rPr>
          <w:rFonts w:hint="eastAsia" w:ascii="仿宋" w:hAnsi="仿宋" w:eastAsia="仿宋" w:cs="仿宋"/>
          <w:color w:val="auto"/>
          <w:sz w:val="24"/>
          <w:szCs w:val="24"/>
          <w:highlight w:val="none"/>
        </w:rPr>
        <w:t>（附件6）</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、技术偏离表（附件7）</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rPr>
        <w:t>、技术部分</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十、中小微企业证明文件等（如有）（附件11）</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、投标人认为有必要提交的其他相关证明材料</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sectPr>
          <w:headerReference r:id="rId8"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投标函</w:t>
      </w: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56" w:firstLineChars="200"/>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根据贵方</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w:t>
      </w:r>
      <w:r>
        <w:rPr>
          <w:rFonts w:hint="eastAsia" w:ascii="仿宋" w:hAnsi="仿宋" w:eastAsia="仿宋" w:cs="仿宋"/>
          <w:color w:val="auto"/>
          <w:sz w:val="24"/>
          <w:szCs w:val="24"/>
          <w:highlight w:val="none"/>
        </w:rPr>
        <w:t>的</w:t>
      </w:r>
      <w:r>
        <w:rPr>
          <w:rFonts w:hint="eastAsia" w:ascii="仿宋" w:hAnsi="仿宋" w:eastAsia="仿宋" w:cs="仿宋"/>
          <w:color w:val="auto"/>
          <w:spacing w:val="-6"/>
          <w:sz w:val="24"/>
          <w:szCs w:val="24"/>
          <w:highlight w:val="none"/>
        </w:rPr>
        <w:t>招标采购</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)，正式授权的下述签字人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（姓名和职务）代表供应商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 xml:space="preserve">供应商名称），提交下述文件正本一份，副本二份， 开标一览表一份，电子U盘一份。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函</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报价表</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文件要求供应商提交的全部文件</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据此函，签字人兹宣布同意如下条款：</w:t>
      </w:r>
    </w:p>
    <w:p>
      <w:pPr>
        <w:numPr>
          <w:ilvl w:val="0"/>
          <w:numId w:val="5"/>
        </w:num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价格表中规定的应提供和交付的货物及服务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总价为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（大写）。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 我们将按</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文件的规定履行合同责任和义务。</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 我们已详细审查全部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文件，包括修改意见（如有则附）以及全部参考资料和有关附件。我们完全理解并同意放弃对这方面有不明及误解而要求招标方解释和承担责任的权利。</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 在供应商须知规定的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有效期内遵循本</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性文件，并在</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须知规定的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有效期期满之前具有约束力。</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⑸ 如果在规定的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有效期内撤回投标，我们的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保证金可被贵方没收。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⑹ 同意提供贵方可能要求的与本投标有关的任何证据或资料。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⑺ 我们同意提供按照招标单位可能出示的与其投标有关的一切数据或资料。</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⑻ 我们理解贵方不一定要接受最低报价的投标或收到的任何投标。</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⑼ 与本投标有关的一切正式往来通讯请寄至：</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附件2：</w:t>
      </w:r>
      <w:bookmarkStart w:id="56" w:name="_Toc139965362"/>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bookmarkStart w:id="57" w:name="_Toc327439494"/>
      <w:r>
        <w:rPr>
          <w:rFonts w:hint="eastAsia" w:ascii="仿宋" w:hAnsi="仿宋" w:eastAsia="仿宋" w:cs="仿宋"/>
          <w:b/>
          <w:color w:val="auto"/>
          <w:sz w:val="24"/>
          <w:szCs w:val="24"/>
          <w:highlight w:val="none"/>
        </w:rPr>
        <w:t>二、法定代表人身份证明</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供应商名称）的法定代表人。</w:t>
      </w:r>
    </w:p>
    <w:p>
      <w:pPr>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复印件反面</w:t>
            </w:r>
          </w:p>
        </w:tc>
      </w:tr>
    </w:tbl>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附件3：</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三、法定代表人授权委托书</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本授权书声明：我单位的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（法人代表姓名、职务）代表本单位授权</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（被授权人的姓名、职务）为本单位的合法代理人，就</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项目的投标及合同的执行、完成，以本单位的名义处理一切与之有关的事务。</w:t>
      </w: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538"/>
        <w:jc w:val="left"/>
        <w:rPr>
          <w:rFonts w:hint="eastAsia" w:ascii="仿宋" w:hAnsi="仿宋" w:eastAsia="仿宋" w:cs="仿宋"/>
          <w:color w:val="auto"/>
          <w:sz w:val="24"/>
          <w:szCs w:val="24"/>
          <w:highlight w:val="none"/>
        </w:rPr>
      </w:pP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firstLine="43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授权代表人（签字或盖章）：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wordWrap/>
        <w:spacing w:beforeAutospacing="0" w:afterAutospacing="0" w:line="400" w:lineRule="exact"/>
        <w:ind w:left="0" w:leftChars="0" w:right="0"/>
        <w:jc w:val="right"/>
        <w:rPr>
          <w:rFonts w:hint="eastAsia" w:ascii="仿宋" w:hAnsi="仿宋" w:eastAsia="仿宋" w:cs="仿宋"/>
          <w:color w:val="auto"/>
          <w:sz w:val="24"/>
          <w:szCs w:val="24"/>
          <w:highlight w:val="none"/>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c>
          <w:tcPr>
            <w:tcW w:w="4610" w:type="dxa"/>
            <w:vAlign w:val="center"/>
          </w:tcPr>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被授权人身份证</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复印件（正、反面）</w:t>
            </w:r>
          </w:p>
        </w:tc>
      </w:tr>
    </w:tbl>
    <w:p>
      <w:pPr>
        <w:wordWrap/>
        <w:spacing w:beforeAutospacing="0" w:afterAutospacing="0" w:line="400" w:lineRule="exact"/>
        <w:ind w:left="0" w:leftChars="0" w:right="0"/>
        <w:outlineLvl w:val="9"/>
        <w:rPr>
          <w:rFonts w:hint="eastAsia" w:ascii="仿宋" w:hAnsi="仿宋" w:eastAsia="仿宋" w:cs="仿宋"/>
          <w:color w:val="auto"/>
          <w:spacing w:val="1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36"/>
        <w:rPr>
          <w:rFonts w:hint="eastAsia"/>
          <w:color w:val="auto"/>
          <w:highlight w:val="none"/>
        </w:rPr>
        <w:sectPr>
          <w:pgSz w:w="11906" w:h="16838"/>
          <w:pgMar w:top="1304" w:right="1247" w:bottom="1418" w:left="1247" w:header="851" w:footer="992" w:gutter="0"/>
          <w:pgNumType w:fmt="decimal"/>
          <w:cols w:space="720" w:num="1"/>
          <w:docGrid w:linePitch="312" w:charSpace="0"/>
        </w:sectPr>
      </w:pPr>
    </w:p>
    <w:bookmarkEnd w:id="56"/>
    <w:bookmarkEnd w:id="57"/>
    <w:p>
      <w:pPr>
        <w:wordWrap/>
        <w:spacing w:beforeAutospacing="0" w:afterAutospacing="0" w:line="400" w:lineRule="exact"/>
        <w:ind w:left="0" w:leftChars="0" w:right="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附件4：</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报价表（开标一览表）</w:t>
      </w:r>
    </w:p>
    <w:p>
      <w:pPr>
        <w:tabs>
          <w:tab w:val="left" w:pos="9360"/>
        </w:tabs>
        <w:wordWrap/>
        <w:spacing w:beforeAutospacing="0" w:afterAutospacing="0" w:line="400" w:lineRule="exact"/>
        <w:ind w:left="479" w:leftChars="228" w:right="0" w:firstLine="120" w:firstLineChars="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币种：</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rPr>
        <w:t xml:space="preserve"> </w:t>
      </w:r>
    </w:p>
    <w:p>
      <w:pPr>
        <w:pStyle w:val="36"/>
        <w:rPr>
          <w:rFonts w:hint="eastAsia"/>
          <w:color w:val="auto"/>
          <w:highlight w:val="none"/>
        </w:rPr>
      </w:pP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wordWrap/>
              <w:spacing w:before="0" w:beforeAutospacing="0" w:after="0" w:afterAutospacing="0" w:line="50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wordWrap/>
              <w:spacing w:before="0" w:beforeAutospacing="0" w:after="0" w:afterAutospacing="0" w:line="500" w:lineRule="exact"/>
              <w:ind w:left="0" w:leftChars="0" w:right="0"/>
              <w:outlineLvl w:val="9"/>
              <w:rPr>
                <w:rFonts w:hint="eastAsia" w:ascii="仿宋" w:hAnsi="仿宋" w:eastAsia="仿宋" w:cs="仿宋"/>
                <w:color w:val="auto"/>
                <w:sz w:val="24"/>
                <w:szCs w:val="24"/>
                <w:highlight w:val="none"/>
              </w:rPr>
            </w:pPr>
          </w:p>
        </w:tc>
      </w:tr>
    </w:tbl>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附件5：</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五、商务偏离表</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tbl>
      <w:tblPr>
        <w:tblStyle w:val="38"/>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偏离情况</w:t>
            </w: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983"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8" w:type="dxa"/>
            <w:tcMar>
              <w:top w:w="15" w:type="dxa"/>
              <w:left w:w="15" w:type="dxa"/>
              <w:bottom w:w="0"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2345" w:type="dxa"/>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1274" w:type="dxa"/>
            <w:tcBorders>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c>
          <w:tcPr>
            <w:tcW w:w="900" w:type="dxa"/>
            <w:tcBorders>
              <w:lef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bCs/>
                <w:color w:val="auto"/>
                <w:sz w:val="24"/>
                <w:szCs w:val="24"/>
                <w:highlight w:val="none"/>
              </w:rPr>
            </w:pPr>
          </w:p>
        </w:tc>
      </w:tr>
    </w:tbl>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注：除本商务偏离表中所列的偏离内容外，其他所有商务条款均应完全响应“</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文件”中的要求。</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bookmarkStart w:id="58" w:name="_Toc327439493"/>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firstLine="5880" w:firstLineChars="2450"/>
        <w:rPr>
          <w:rFonts w:hint="eastAsia" w:ascii="仿宋" w:hAnsi="仿宋" w:eastAsia="仿宋" w:cs="仿宋"/>
          <w:bCs/>
          <w:color w:val="auto"/>
          <w:sz w:val="24"/>
          <w:szCs w:val="24"/>
          <w:highlight w:val="none"/>
          <w:u w:val="single"/>
        </w:rPr>
      </w:pPr>
    </w:p>
    <w:p>
      <w:pPr>
        <w:wordWrap/>
        <w:snapToGrid w:val="0"/>
        <w:spacing w:beforeAutospacing="0" w:afterAutospacing="0" w:line="400" w:lineRule="exact"/>
        <w:ind w:left="0" w:leftChars="0" w:right="0"/>
        <w:rPr>
          <w:rFonts w:hint="eastAsia" w:ascii="仿宋" w:hAnsi="仿宋" w:eastAsia="仿宋" w:cs="仿宋"/>
          <w:bCs/>
          <w:color w:val="auto"/>
          <w:sz w:val="24"/>
          <w:szCs w:val="24"/>
          <w:highlight w:val="none"/>
          <w:u w:val="singl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六、资格证明文件</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① </w:t>
      </w:r>
      <w:r>
        <w:rPr>
          <w:rFonts w:hint="eastAsia" w:ascii="仿宋" w:hAnsi="仿宋" w:eastAsia="仿宋" w:cs="仿宋"/>
          <w:color w:val="auto"/>
          <w:sz w:val="24"/>
          <w:szCs w:val="24"/>
          <w:highlight w:val="none"/>
          <w:lang w:eastAsia="zh-CN"/>
        </w:rPr>
        <w:t>供应商提供有效的统一社会信用代码的营业执照（须有相应经营范围）副本，供应商必须是中华人民共和国境内注册的，具有独立承担民事责任的能力；</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 财务状况报告：供应商提供2020年度经第三方权威机构出具的完整的财务审计报告或自发布公告之日起基本开户银行出具的资信证明；</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 依法缴纳税收：供应商提供自投标截止之日前半年内任意一个月依法缴纳税收的凭据，依法免税的供应商，应提供充足的证明材料；</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 供应商逐月缴纳社会保障资金的，提供自投标截止之日前半年内任意一个月缴纳社会保障资金的凭证；供应商逐年缴纳社会保障资金的，提供上年度缴纳社会保障资金的凭证；</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 供应商具备履行合同所必需的设备和专业技术能力的证明材料；</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 供应商提供参加政府采购活动前 3 年内在经营活动中没有重大违法记录的书面声明（截至开标日成立不满 3 年的供应商，可提供自成立以来无重大违法记录的书面声明）。（附件</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⑦供应商提供在“信用中国”（www.creditchina.</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ov.cn）网站上未被列入失信被执行人、重大税收违法案件当事人名单、政府采购严重违法失信名单和中国政府采购网（www.cc</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ov.cn）网站上未被列入政府采购严重违法失信行为记录名单的网页打印件（网页打印件须自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公告发布之日起至投标截止时间从上述网站中打印）。被列入以上条款尚在处罚期内的将拒绝其参本次采购活动；</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⑧供应商反商业贿赂承诺书</w:t>
      </w: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p>
    <w:p>
      <w:pPr>
        <w:pStyle w:val="19"/>
        <w:wordWrap/>
        <w:spacing w:beforeAutospacing="0" w:afterAutospacing="0" w:line="400" w:lineRule="exact"/>
        <w:ind w:left="0" w:leftChars="0" w:right="0"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⑨投标保证金提交证明</w:t>
      </w: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sectPr>
          <w:headerReference r:id="rId9" w:type="default"/>
          <w:pgSz w:w="11906" w:h="16838"/>
          <w:pgMar w:top="1304" w:right="1247" w:bottom="1418" w:left="1247" w:header="851" w:footer="992" w:gutter="0"/>
          <w:pgNumType w:fmt="decimal"/>
          <w:cols w:space="720" w:num="1"/>
          <w:docGrid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附件6：</w:t>
      </w:r>
    </w:p>
    <w:p>
      <w:pPr>
        <w:wordWrap/>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类似业绩</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bl>
      <w:tblPr>
        <w:tblStyle w:val="38"/>
        <w:tblW w:w="92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2445"/>
        <w:gridCol w:w="1704"/>
        <w:gridCol w:w="1543"/>
        <w:gridCol w:w="144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543"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365" w:type="dxa"/>
            <w:tcBorders>
              <w:top w:val="single" w:color="auto" w:sz="4" w:space="0"/>
              <w:left w:val="single" w:color="auto" w:sz="4" w:space="0"/>
              <w:bottom w:val="single" w:color="auto" w:sz="4" w:space="0"/>
              <w:right w:val="single" w:color="auto" w:sz="4" w:space="0"/>
            </w:tcBorders>
            <w:vAlign w:val="top"/>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bl>
    <w:p>
      <w:pPr>
        <w:wordWrap/>
        <w:spacing w:beforeAutospacing="0" w:afterAutospacing="0" w:line="400" w:lineRule="exact"/>
        <w:ind w:left="0" w:leftChars="0" w:right="0"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注：后附相关证明材料</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p>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附件7：</w:t>
      </w:r>
    </w:p>
    <w:p>
      <w:pPr>
        <w:wordWrap/>
        <w:snapToGrid w:val="0"/>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、技术偏离表</w:t>
      </w:r>
    </w:p>
    <w:tbl>
      <w:tblPr>
        <w:tblStyle w:val="38"/>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72"/>
        <w:gridCol w:w="2383"/>
        <w:gridCol w:w="2302"/>
        <w:gridCol w:w="2495"/>
        <w:gridCol w:w="1203"/>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序</w:t>
            </w:r>
            <w:r>
              <w:rPr>
                <w:rFonts w:hint="eastAsia" w:ascii="仿宋" w:hAnsi="仿宋" w:eastAsia="仿宋" w:cs="仿宋"/>
                <w:color w:val="auto"/>
                <w:sz w:val="24"/>
                <w:szCs w:val="24"/>
                <w:highlight w:val="none"/>
              </w:rPr>
              <w:t>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3"/>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文件技术要求</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3"/>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供应商的技术响</w:t>
            </w:r>
          </w:p>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wordWrap/>
              <w:spacing w:beforeAutospacing="0" w:afterAutospacing="0" w:line="400" w:lineRule="exact"/>
              <w:ind w:left="0" w:leftChars="0" w:right="0"/>
              <w:rPr>
                <w:rFonts w:hint="eastAsia" w:ascii="仿宋" w:hAnsi="仿宋" w:eastAsia="仿宋" w:cs="仿宋"/>
                <w:color w:val="auto"/>
                <w:sz w:val="24"/>
                <w:szCs w:val="24"/>
                <w:highlight w:val="none"/>
              </w:rPr>
            </w:pPr>
          </w:p>
        </w:tc>
      </w:tr>
    </w:tbl>
    <w:p>
      <w:pPr>
        <w:wordWrap/>
        <w:snapToGrid w:val="0"/>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注：无论正偏离或负偏离,供应商均需在“技术偏离表”一栏中列明响应的详细内容，否则视同供应商响应情况为“响应”。</w:t>
      </w:r>
    </w:p>
    <w:p>
      <w:pPr>
        <w:pStyle w:val="23"/>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pStyle w:val="30"/>
        <w:wordWrap/>
        <w:spacing w:beforeAutospacing="0" w:afterAutospacing="0" w:line="400" w:lineRule="exact"/>
        <w:ind w:left="480" w:leftChars="0" w:right="0" w:hanging="480"/>
        <w:rPr>
          <w:rFonts w:hint="eastAsia" w:ascii="仿宋" w:hAnsi="仿宋" w:eastAsia="仿宋" w:cs="仿宋"/>
          <w:b w:val="0"/>
          <w:color w:val="auto"/>
          <w:sz w:val="24"/>
          <w:szCs w:val="24"/>
          <w:highlight w:val="none"/>
        </w:rPr>
      </w:pPr>
    </w:p>
    <w:p>
      <w:pPr>
        <w:pStyle w:val="30"/>
        <w:wordWrap/>
        <w:spacing w:beforeAutospacing="0" w:afterAutospacing="0" w:line="400" w:lineRule="exact"/>
        <w:ind w:left="480" w:leftChars="0" w:right="0" w:hanging="480"/>
        <w:rPr>
          <w:rFonts w:hint="eastAsia" w:ascii="仿宋" w:hAnsi="仿宋" w:eastAsia="仿宋" w:cs="仿宋"/>
          <w:b w:val="0"/>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p>
    <w:bookmarkEnd w:id="58"/>
    <w:p>
      <w:pPr>
        <w:pStyle w:val="5"/>
        <w:wordWrap/>
        <w:spacing w:beforeAutospacing="0" w:afterAutospacing="0" w:line="400" w:lineRule="exact"/>
        <w:ind w:left="0" w:leftChars="0" w:right="0"/>
        <w:rPr>
          <w:rFonts w:hint="eastAsia" w:ascii="仿宋" w:hAnsi="仿宋" w:eastAsia="仿宋" w:cs="仿宋"/>
          <w:color w:val="auto"/>
          <w:sz w:val="24"/>
          <w:szCs w:val="24"/>
          <w:highlight w:val="none"/>
        </w:rPr>
        <w:sectPr>
          <w:pgSz w:w="11906" w:h="16838"/>
          <w:pgMar w:top="1304" w:right="1247" w:bottom="1418" w:left="1247" w:header="851" w:footer="992" w:gutter="0"/>
          <w:pgNumType w:fmt="decimal"/>
          <w:cols w:space="720" w:num="1"/>
          <w:docGrid w:linePitch="312" w:charSpace="0"/>
        </w:sectPr>
      </w:pPr>
      <w:bookmarkStart w:id="59" w:name="_Toc258923314"/>
      <w:bookmarkStart w:id="60" w:name="_Toc400536597"/>
    </w:p>
    <w:bookmarkEnd w:id="59"/>
    <w:bookmarkEnd w:id="60"/>
    <w:p>
      <w:pPr>
        <w:wordWrap/>
        <w:snapToGrid w:val="0"/>
        <w:spacing w:beforeAutospacing="0" w:afterAutospacing="0" w:line="400" w:lineRule="exact"/>
        <w:ind w:left="0" w:leftChars="0" w:right="0"/>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九</w:t>
      </w:r>
      <w:r>
        <w:rPr>
          <w:rFonts w:hint="eastAsia" w:ascii="仿宋" w:hAnsi="仿宋" w:eastAsia="仿宋" w:cs="仿宋"/>
          <w:b/>
          <w:color w:val="auto"/>
          <w:sz w:val="24"/>
          <w:szCs w:val="24"/>
          <w:highlight w:val="none"/>
        </w:rPr>
        <w:t>、技术部分</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技术部分包含但不限于以下内容：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)产品质量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)项目及售后团队人员要求</w:t>
      </w:r>
    </w:p>
    <w:p>
      <w:pPr>
        <w:wordWrap/>
        <w:spacing w:beforeAutospacing="0" w:afterAutospacing="0" w:line="40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设备供应计划及质量管理措施</w:t>
      </w: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需求分析</w:t>
      </w:r>
      <w:r>
        <w:rPr>
          <w:rFonts w:hint="eastAsia" w:ascii="仿宋" w:hAnsi="仿宋" w:eastAsia="仿宋" w:cs="仿宋"/>
          <w:color w:val="auto"/>
          <w:sz w:val="24"/>
          <w:szCs w:val="24"/>
          <w:highlight w:val="none"/>
        </w:rPr>
        <w:t>及</w:t>
      </w:r>
      <w:r>
        <w:rPr>
          <w:rFonts w:hint="eastAsia" w:ascii="仿宋" w:hAnsi="仿宋" w:eastAsia="仿宋" w:cs="仿宋"/>
          <w:color w:val="auto"/>
          <w:sz w:val="24"/>
          <w:szCs w:val="24"/>
          <w:highlight w:val="none"/>
          <w:lang w:eastAsia="zh-CN"/>
        </w:rPr>
        <w:t>实施方案</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)技术培训、售后服务的内容和措施</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)优惠条件:投标人承诺给予招标人的各种优惠条件，包括售后服务、备品备件、专用耗材等方面的优惠（附件</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)投标人需要说明的其他文件和说明(格式略)。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sectPr>
          <w:pgSz w:w="11906" w:h="16838"/>
          <w:pgMar w:top="1304" w:right="1247" w:bottom="1417" w:left="1247" w:header="851" w:footer="992" w:gutter="0"/>
          <w:pgNumType w:fmt="decimal"/>
          <w:cols w:space="720" w:num="1"/>
          <w:docGrid w:type="lines" w:linePitch="312" w:charSpace="0"/>
        </w:sect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bookmarkStart w:id="61" w:name="_Toc258923315"/>
      <w:bookmarkStart w:id="62" w:name="_Toc400536598"/>
      <w:r>
        <w:rPr>
          <w:rFonts w:hint="eastAsia" w:ascii="仿宋" w:hAnsi="仿宋" w:eastAsia="仿宋" w:cs="仿宋"/>
          <w:b/>
          <w:color w:val="auto"/>
          <w:sz w:val="24"/>
          <w:szCs w:val="24"/>
          <w:highlight w:val="none"/>
        </w:rPr>
        <w:t>优惠条件承诺书</w:t>
      </w:r>
      <w:bookmarkEnd w:id="61"/>
      <w:bookmarkEnd w:id="62"/>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经仔细阅读你们的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文件，对所投标项目向贵单位特作如下优惠条件承诺：</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p>
      <w:pPr>
        <w:wordWrap/>
        <w:spacing w:beforeAutospacing="0" w:afterAutospacing="0" w:line="400" w:lineRule="exact"/>
        <w:ind w:left="0" w:leftChars="0" w:right="0" w:firstLine="360" w:firstLineChars="15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p>
      <w:pPr>
        <w:wordWrap/>
        <w:spacing w:beforeAutospacing="0" w:afterAutospacing="0" w:line="40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wordWrap/>
        <w:spacing w:beforeAutospacing="0" w:afterAutospacing="0" w:line="400" w:lineRule="exact"/>
        <w:ind w:left="0" w:leftChars="0" w:right="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pPr>
        <w:wordWrap/>
        <w:spacing w:beforeAutospacing="0" w:afterAutospacing="0" w:line="400" w:lineRule="exact"/>
        <w:ind w:left="0" w:leftChars="0" w:right="0"/>
        <w:textAlignment w:val="baseline"/>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法定代表人或授权代表人（签字）：</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无重大违法记录声明</w:t>
      </w:r>
    </w:p>
    <w:p>
      <w:pPr>
        <w:wordWrap/>
        <w:spacing w:beforeAutospacing="0" w:afterAutospacing="0" w:line="400" w:lineRule="exact"/>
        <w:ind w:left="0" w:leftChars="0" w:right="0"/>
        <w:jc w:val="center"/>
        <w:rPr>
          <w:rFonts w:hint="eastAsia" w:ascii="仿宋" w:hAnsi="仿宋" w:eastAsia="仿宋" w:cs="仿宋"/>
          <w:b/>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新疆星耀天都项目管理有限责任公司</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我单位参加政府采购活动前三年内，在经营活动中没有重大违法记录。</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若采购单位在本项目采购过程中发现我单位近三年内在经营活动中有重大违法记录，我单位将无条件地退出本项目的招标，并承担因此引起的一切后果。</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特此声明!</w:t>
      </w:r>
    </w:p>
    <w:p>
      <w:pPr>
        <w:wordWrap/>
        <w:spacing w:beforeAutospacing="0" w:afterAutospacing="0" w:line="400" w:lineRule="exact"/>
        <w:ind w:left="0" w:leftChars="0" w:right="0" w:firstLine="48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bCs/>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p>
    <w:p>
      <w:pPr>
        <w:wordWrap/>
        <w:spacing w:beforeAutospacing="0" w:afterAutospacing="0" w:line="400" w:lineRule="exact"/>
        <w:ind w:left="0" w:leftChars="0" w:right="0"/>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ordWrap/>
        <w:spacing w:beforeAutospacing="0" w:afterAutospacing="0" w:line="400" w:lineRule="exact"/>
        <w:ind w:left="0" w:leftChars="0" w:right="0"/>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附件1</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 xml:space="preserve"> </w:t>
      </w:r>
    </w:p>
    <w:p>
      <w:pPr>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十、</w:t>
      </w:r>
      <w:r>
        <w:rPr>
          <w:rFonts w:hint="eastAsia" w:ascii="仿宋" w:hAnsi="仿宋" w:eastAsia="仿宋" w:cs="仿宋"/>
          <w:b/>
          <w:color w:val="auto"/>
          <w:sz w:val="24"/>
          <w:szCs w:val="24"/>
          <w:highlight w:val="none"/>
        </w:rPr>
        <w:t>供应商反商业贿赂承诺书</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432"/>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我公司承诺在</w:t>
      </w:r>
      <w:r>
        <w:rPr>
          <w:rFonts w:hint="eastAsia" w:ascii="仿宋" w:hAnsi="仿宋" w:eastAsia="仿宋" w:cs="仿宋"/>
          <w:color w:val="auto"/>
          <w:kern w:val="0"/>
          <w:sz w:val="24"/>
          <w:szCs w:val="24"/>
          <w:highlight w:val="none"/>
          <w:u w:val="single"/>
        </w:rPr>
        <w:t>（项目编号、项目名称）</w:t>
      </w:r>
      <w:r>
        <w:rPr>
          <w:rFonts w:hint="eastAsia" w:ascii="仿宋" w:hAnsi="仿宋" w:eastAsia="仿宋" w:cs="仿宋"/>
          <w:color w:val="auto"/>
          <w:kern w:val="0"/>
          <w:sz w:val="24"/>
          <w:szCs w:val="24"/>
          <w:highlight w:val="none"/>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pPr>
        <w:wordWrap/>
        <w:autoSpaceDE w:val="0"/>
        <w:autoSpaceDN w:val="0"/>
        <w:adjustRightInd w:val="0"/>
        <w:spacing w:beforeAutospacing="0" w:afterAutospacing="0" w:line="400" w:lineRule="exact"/>
        <w:ind w:left="0" w:leftChars="0" w:right="0" w:firstLine="897"/>
        <w:jc w:val="left"/>
        <w:rPr>
          <w:rFonts w:hint="eastAsia" w:ascii="仿宋" w:hAnsi="仿宋" w:eastAsia="仿宋" w:cs="仿宋"/>
          <w:b/>
          <w:bCs/>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 xml:space="preserve">项目经办人： </w:t>
      </w:r>
      <w:r>
        <w:rPr>
          <w:rFonts w:hint="eastAsia" w:ascii="仿宋" w:hAnsi="仿宋" w:eastAsia="仿宋" w:cs="仿宋"/>
          <w:color w:val="auto"/>
          <w:kern w:val="0"/>
          <w:sz w:val="24"/>
          <w:szCs w:val="24"/>
          <w:highlight w:val="none"/>
          <w:u w:val="single"/>
          <w:lang w:val="en-US" w:eastAsia="zh-CN"/>
        </w:rPr>
        <w:t xml:space="preserve">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我公司承诺在参加本次投标前三年内，无以下行为：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重大违法行为；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商业贿赂行为；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政府采购法《第七十七条》，列入不良行为记录名单的各种行为； </w:t>
      </w: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p>
    <w:p>
      <w:pPr>
        <w:wordWrap/>
        <w:autoSpaceDE w:val="0"/>
        <w:autoSpaceDN w:val="0"/>
        <w:adjustRightInd w:val="0"/>
        <w:spacing w:beforeAutospacing="0" w:afterAutospacing="0" w:line="400" w:lineRule="exact"/>
        <w:ind w:left="0" w:leftChars="0" w:right="0"/>
        <w:jc w:val="lef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 xml:space="preserve">如有上述行为，我公司及项目参与人员自愿放弃本次项目的投标、报价资格，若为预中标、成交人，也自愿放弃中标、成交资格 </w:t>
      </w:r>
    </w:p>
    <w:p>
      <w:pPr>
        <w:wordWrap/>
        <w:autoSpaceDE w:val="0"/>
        <w:autoSpaceDN w:val="0"/>
        <w:adjustRightInd w:val="0"/>
        <w:spacing w:beforeAutospacing="0" w:afterAutospacing="0" w:line="400" w:lineRule="exact"/>
        <w:ind w:left="0" w:leftChars="0" w:right="0" w:firstLine="480"/>
        <w:jc w:val="left"/>
        <w:rPr>
          <w:rFonts w:hint="eastAsia" w:ascii="仿宋" w:hAnsi="仿宋" w:eastAsia="仿宋" w:cs="仿宋"/>
          <w:b/>
          <w:bCs/>
          <w:color w:val="auto"/>
          <w:kern w:val="0"/>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wordWrap/>
        <w:spacing w:beforeAutospacing="0" w:afterAutospacing="0" w:line="400" w:lineRule="exact"/>
        <w:ind w:left="0" w:leftChars="0" w:right="0"/>
        <w:rPr>
          <w:rFonts w:hint="eastAsia" w:ascii="仿宋" w:hAnsi="仿宋" w:eastAsia="仿宋" w:cs="仿宋"/>
          <w:color w:val="auto"/>
          <w:sz w:val="24"/>
          <w:szCs w:val="24"/>
          <w:highlight w:val="none"/>
        </w:rPr>
      </w:pPr>
    </w:p>
    <w:p>
      <w:pPr>
        <w:pStyle w:val="33"/>
        <w:wordWrap/>
        <w:spacing w:beforeAutospacing="0" w:afterAutospacing="0" w:line="400" w:lineRule="exact"/>
        <w:ind w:left="0" w:leftChars="0" w:right="0"/>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wordWrap/>
        <w:spacing w:beforeAutospacing="0" w:afterAutospacing="0" w:line="40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附件1</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中小微企业证明文件等（如有）</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12-1中小微企业证明文件</w:t>
      </w:r>
    </w:p>
    <w:p>
      <w:pPr>
        <w:wordWrap/>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tabs>
          <w:tab w:val="left" w:pos="6300"/>
        </w:tabs>
        <w:wordWrap/>
        <w:snapToGri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附表1：</w:t>
      </w:r>
    </w:p>
    <w:p>
      <w:pPr>
        <w:widowControl/>
        <w:wordWrap/>
        <w:spacing w:beforeAutospacing="0" w:afterAutospacing="0" w:line="40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小微企业声明函</w:t>
      </w:r>
    </w:p>
    <w:p>
      <w:pPr>
        <w:tabs>
          <w:tab w:val="left" w:pos="6300"/>
        </w:tabs>
        <w:wordWrap/>
        <w:snapToGrid w:val="0"/>
        <w:spacing w:beforeAutospacing="0" w:afterAutospacing="0" w:line="4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本公司郑重声明，根据《政府采购促进中小企业发展暂行办法》（财库〔2011〕181号）的规定。本公司为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（请填写：小型、微型）企业。即，本公司同时满足以下条件：</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行业（行业类别）的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（请填写：小型、微型）企业。</w:t>
      </w:r>
    </w:p>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2.本公司参加</w:t>
      </w:r>
      <w:r>
        <w:rPr>
          <w:rFonts w:hint="eastAsia" w:ascii="仿宋" w:hAnsi="仿宋" w:eastAsia="仿宋" w:cs="仿宋"/>
          <w:color w:val="auto"/>
          <w:kern w:val="0"/>
          <w:sz w:val="24"/>
          <w:szCs w:val="24"/>
          <w:highlight w:val="none"/>
        </w:rPr>
        <w:t>本项目提供本企业制造的货物、承担的工程或者服务，或者提供其它小微企业制造的货物。本项目采购的货物、工程或者服务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（请填写：“全部由我公司提供”、“部分由我公司提供”、或“全部不是我公司提供”）。</w:t>
      </w:r>
      <w:r>
        <w:rPr>
          <w:rFonts w:hint="eastAsia" w:ascii="仿宋" w:hAnsi="仿宋" w:eastAsia="仿宋" w:cs="仿宋"/>
          <w:color w:val="auto"/>
          <w:sz w:val="24"/>
          <w:szCs w:val="24"/>
          <w:highlight w:val="none"/>
        </w:rPr>
        <w:t>本条所称货物不包括使用大中型企业注册商标的货物。</w:t>
      </w:r>
    </w:p>
    <w:p>
      <w:pPr>
        <w:tabs>
          <w:tab w:val="left" w:pos="6300"/>
        </w:tabs>
        <w:wordWrap/>
        <w:snapToGrid w:val="0"/>
        <w:spacing w:beforeAutospacing="0" w:afterAutospacing="0" w:line="400" w:lineRule="exact"/>
        <w:ind w:left="0" w:leftChars="0" w:right="0"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企业基本情况表</w:t>
      </w:r>
    </w:p>
    <w:tbl>
      <w:tblPr>
        <w:tblStyle w:val="3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wordWrap/>
              <w:snapToGrid w:val="0"/>
              <w:spacing w:beforeAutospacing="0" w:afterAutospacing="0" w:line="400" w:lineRule="exact"/>
              <w:ind w:left="0" w:leftChars="0" w:right="0"/>
              <w:jc w:val="center"/>
              <w:rPr>
                <w:rFonts w:hint="eastAsia" w:ascii="仿宋" w:hAnsi="仿宋" w:eastAsia="仿宋" w:cs="仿宋"/>
                <w:color w:val="auto"/>
                <w:sz w:val="24"/>
                <w:szCs w:val="24"/>
                <w:highlight w:val="none"/>
              </w:rPr>
            </w:pPr>
          </w:p>
        </w:tc>
      </w:tr>
    </w:tbl>
    <w:p>
      <w:pPr>
        <w:tabs>
          <w:tab w:val="left" w:pos="6300"/>
        </w:tabs>
        <w:wordWrap/>
        <w:snapToGrid w:val="0"/>
        <w:spacing w:beforeAutospacing="0" w:afterAutospacing="0" w:line="400" w:lineRule="exac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供应商名称（公章）：</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法定代表人或授权代表人（签字）：</w:t>
      </w:r>
      <w:r>
        <w:rPr>
          <w:rFonts w:hint="eastAsia" w:ascii="仿宋" w:hAnsi="仿宋" w:eastAsia="仿宋" w:cs="仿宋"/>
          <w:color w:val="auto"/>
          <w:sz w:val="24"/>
          <w:szCs w:val="24"/>
          <w:highlight w:val="none"/>
          <w:u w:val="single"/>
        </w:rPr>
        <w:t xml:space="preserve">                      </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说明：</w:t>
      </w:r>
    </w:p>
    <w:p>
      <w:pPr>
        <w:wordWrap/>
        <w:spacing w:beforeAutospacing="0" w:afterAutospacing="0" w:line="400" w:lineRule="exact"/>
        <w:ind w:left="0" w:leftChars="0" w:right="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2.填写《企业基本情况表》时，应注意以下事项：①除建筑业、房地产开发经营、租赁和商务服务业等三个行业外，其余行业无需填写资产总额项；②农、林、牧、渔业无需填写从业人员和资产总额项。</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4.出具此声明函的供应商须提供国家企业信用信息公示系统（ http://www.</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sxt.</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ov.cn/index.html）或小微企业名录网（ http://xwqy.</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sxt.</w:t>
      </w:r>
      <w:r>
        <w:rPr>
          <w:rFonts w:hint="eastAsia" w:ascii="仿宋" w:hAnsi="仿宋" w:eastAsia="仿宋" w:cs="仿宋"/>
          <w:color w:val="auto"/>
          <w:sz w:val="24"/>
          <w:szCs w:val="24"/>
          <w:highlight w:val="none"/>
          <w:lang w:eastAsia="zh-CN"/>
        </w:rPr>
        <w:t>S</w:t>
      </w:r>
      <w:r>
        <w:rPr>
          <w:rFonts w:hint="eastAsia" w:ascii="仿宋" w:hAnsi="仿宋" w:eastAsia="仿宋" w:cs="仿宋"/>
          <w:color w:val="auto"/>
          <w:sz w:val="24"/>
          <w:szCs w:val="24"/>
          <w:highlight w:val="none"/>
        </w:rPr>
        <w:t>ov.cn）的网络截图，如未附明确的小微企业名录网络截图的，将不按小型、微型企业处理。如已附网络截图但有虚假的，</w:t>
      </w:r>
      <w:r>
        <w:rPr>
          <w:rFonts w:hint="eastAsia" w:ascii="仿宋" w:hAnsi="仿宋" w:eastAsia="仿宋" w:cs="仿宋"/>
          <w:color w:val="auto"/>
          <w:kern w:val="0"/>
          <w:sz w:val="24"/>
          <w:szCs w:val="24"/>
          <w:highlight w:val="none"/>
        </w:rPr>
        <w:t>按提供虚假资料进行处理。</w:t>
      </w:r>
    </w:p>
    <w:p>
      <w:pPr>
        <w:tabs>
          <w:tab w:val="left" w:pos="6300"/>
        </w:tabs>
        <w:wordWrap/>
        <w:snapToGrid w:val="0"/>
        <w:spacing w:beforeAutospacing="0" w:afterAutospacing="0" w:line="400" w:lineRule="exact"/>
        <w:ind w:left="0" w:leftChars="0" w:right="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5.其他证明材料（上一年度或近期的审计报告，须能反映出资产总额、应纳税所得额等指标）。</w:t>
      </w:r>
    </w:p>
    <w:p>
      <w:pPr>
        <w:wordWrap/>
        <w:adjustRightInd w:val="0"/>
        <w:snapToGrid w:val="0"/>
        <w:spacing w:beforeAutospacing="0" w:afterAutospacing="0" w:line="400" w:lineRule="exact"/>
        <w:ind w:left="0" w:leftChars="0" w:right="0"/>
        <w:rPr>
          <w:rFonts w:hint="eastAsia" w:eastAsia="宋体"/>
          <w:color w:val="auto"/>
          <w:highlight w:val="none"/>
          <w:lang w:eastAsia="zh-CN"/>
        </w:rPr>
        <w:sectPr>
          <w:pgSz w:w="11906" w:h="16838"/>
          <w:pgMar w:top="1304" w:right="1247" w:bottom="1417" w:left="1247" w:header="851" w:footer="992" w:gutter="0"/>
          <w:pgNumType w:fmt="decimal"/>
          <w:cols w:space="720" w:num="1"/>
          <w:docGrid w:type="lines" w:linePitch="312" w:charSpace="0"/>
        </w:sectPr>
      </w:pPr>
      <w:r>
        <w:rPr>
          <w:rFonts w:hint="eastAsia" w:ascii="仿宋" w:hAnsi="仿宋" w:eastAsia="仿宋" w:cs="仿宋"/>
          <w:color w:val="auto"/>
          <w:sz w:val="24"/>
          <w:szCs w:val="24"/>
          <w:highlight w:val="none"/>
        </w:rPr>
        <w:t>6.未按上述要求填写并提供证明材料的，评审时不予以考虑。</w:t>
      </w:r>
    </w:p>
    <w:p>
      <w:pPr>
        <w:pStyle w:val="23"/>
        <w:wordWrap/>
        <w:spacing w:beforeAutospacing="0" w:afterAutospacing="0" w:line="400" w:lineRule="exact"/>
        <w:ind w:right="0"/>
        <w:rPr>
          <w:rFonts w:hint="eastAsia" w:ascii="仿宋" w:hAnsi="仿宋" w:eastAsia="仿宋" w:cs="仿宋"/>
          <w:b/>
          <w:color w:val="auto"/>
          <w:sz w:val="24"/>
          <w:szCs w:val="24"/>
          <w:highlight w:val="none"/>
        </w:rPr>
      </w:pPr>
    </w:p>
    <w:sectPr>
      <w:pgSz w:w="16838" w:h="11906" w:orient="landscape"/>
      <w:pgMar w:top="1247" w:right="1304" w:bottom="124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Xxm/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yXxm/EAQAAjwMAAA4AAAAAAAAAAQAgAAAAHwEAAGRycy9lMm9Eb2MueG1s&#10;UEsFBgAAAAAGAAYAWQEAAFU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2"/>
      </w:rPr>
    </w:pPr>
    <w:r>
      <w:fldChar w:fldCharType="begin"/>
    </w:r>
    <w:r>
      <w:rPr>
        <w:rStyle w:val="42"/>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jc w:val="both"/>
      <w:rPr>
        <w:rFonts w:hint="eastAsia" w:ascii="宋体" w:hAnsi="宋体" w:eastAsia="宋体" w:cs="宋体"/>
        <w:sz w:val="24"/>
        <w:szCs w:val="24"/>
        <w:lang w:eastAsia="zh-CN"/>
      </w:rPr>
    </w:pPr>
    <w:r>
      <w:rPr>
        <w:rFonts w:hint="eastAsia"/>
      </w:rPr>
      <w:t xml:space="preserve">                                  </w:t>
    </w:r>
    <w:r>
      <w:rPr>
        <w:rFonts w:hint="eastAsia"/>
        <w:sz w:val="22"/>
        <w:szCs w:val="22"/>
        <w:lang w:eastAsia="zh-CN"/>
      </w:rPr>
      <w:t>新疆星耀天都项目管理有限责任公司</w:t>
    </w:r>
    <w:r>
      <w:rPr>
        <w:rFonts w:hint="eastAsia"/>
        <w:sz w:val="22"/>
        <w:szCs w:val="22"/>
      </w:rPr>
      <w:t xml:space="preserve"> </w:t>
    </w:r>
    <w:r>
      <w:rPr>
        <w:rFonts w:hint="eastAsia"/>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auto" w:sz="12" w:space="1"/>
      </w:pBdr>
      <w:jc w:val="center"/>
      <w:rPr>
        <w:rFonts w:hint="eastAsia" w:eastAsia="宋体"/>
        <w:lang w:eastAsia="zh-CN"/>
      </w:rPr>
    </w:pPr>
    <w:r>
      <w:rPr>
        <w:rFonts w:hint="eastAsia"/>
        <w:sz w:val="21"/>
        <w:szCs w:val="21"/>
        <w:lang w:eastAsia="zh-CN"/>
      </w:rPr>
      <w:t>新疆星耀天都项目管理有限责任公司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pPr>
    <w:r>
      <w:rPr>
        <w:rFonts w:hint="eastAsia"/>
        <w:sz w:val="22"/>
        <w:szCs w:val="22"/>
        <w:lang w:eastAsia="zh-CN"/>
      </w:rPr>
      <w:t xml:space="preserve">新疆星耀天都项目管理有限责任公司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A1649"/>
    <w:multiLevelType w:val="singleLevel"/>
    <w:tmpl w:val="AA4A1649"/>
    <w:lvl w:ilvl="0" w:tentative="0">
      <w:start w:val="1"/>
      <w:numFmt w:val="decimal"/>
      <w:suff w:val="nothing"/>
      <w:lvlText w:val="（%1）"/>
      <w:lvlJc w:val="left"/>
    </w:lvl>
  </w:abstractNum>
  <w:abstractNum w:abstractNumId="1">
    <w:nsid w:val="F21307D4"/>
    <w:multiLevelType w:val="singleLevel"/>
    <w:tmpl w:val="F21307D4"/>
    <w:lvl w:ilvl="0" w:tentative="0">
      <w:start w:val="1"/>
      <w:numFmt w:val="decimal"/>
      <w:suff w:val="nothing"/>
      <w:lvlText w:val="%1、"/>
      <w:lvlJc w:val="left"/>
      <w:pPr>
        <w:ind w:left="140"/>
      </w:pPr>
    </w:lvl>
  </w:abstractNum>
  <w:abstractNum w:abstractNumId="2">
    <w:nsid w:val="0000000B"/>
    <w:multiLevelType w:val="multilevel"/>
    <w:tmpl w:val="0000000B"/>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3">
    <w:nsid w:val="12CF4F13"/>
    <w:multiLevelType w:val="singleLevel"/>
    <w:tmpl w:val="12CF4F13"/>
    <w:lvl w:ilvl="0" w:tentative="0">
      <w:start w:val="3"/>
      <w:numFmt w:val="chineseCounting"/>
      <w:suff w:val="space"/>
      <w:lvlText w:val="第%1章"/>
      <w:lvlJc w:val="left"/>
      <w:rPr>
        <w:rFonts w:hint="eastAsia"/>
      </w:rPr>
    </w:lvl>
  </w:abstractNum>
  <w:abstractNum w:abstractNumId="4">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40B"/>
    <w:rsid w:val="000803B9"/>
    <w:rsid w:val="0010740B"/>
    <w:rsid w:val="00107556"/>
    <w:rsid w:val="00115D85"/>
    <w:rsid w:val="001E5D32"/>
    <w:rsid w:val="00285158"/>
    <w:rsid w:val="00386A79"/>
    <w:rsid w:val="00394B2D"/>
    <w:rsid w:val="004569CB"/>
    <w:rsid w:val="00507446"/>
    <w:rsid w:val="00587F3C"/>
    <w:rsid w:val="005A0D51"/>
    <w:rsid w:val="0067479A"/>
    <w:rsid w:val="006942A6"/>
    <w:rsid w:val="006F34D9"/>
    <w:rsid w:val="007A4A0E"/>
    <w:rsid w:val="007B665F"/>
    <w:rsid w:val="0086449A"/>
    <w:rsid w:val="008C6C96"/>
    <w:rsid w:val="009C1207"/>
    <w:rsid w:val="00A37DE8"/>
    <w:rsid w:val="00A4090B"/>
    <w:rsid w:val="00A67013"/>
    <w:rsid w:val="00A841B5"/>
    <w:rsid w:val="00A92772"/>
    <w:rsid w:val="00AB2218"/>
    <w:rsid w:val="00B2314D"/>
    <w:rsid w:val="00B413EA"/>
    <w:rsid w:val="00C603FA"/>
    <w:rsid w:val="00CF572F"/>
    <w:rsid w:val="00D17727"/>
    <w:rsid w:val="00E04D5D"/>
    <w:rsid w:val="00E259D7"/>
    <w:rsid w:val="00E30544"/>
    <w:rsid w:val="00E93FAB"/>
    <w:rsid w:val="00EC795C"/>
    <w:rsid w:val="00F0096B"/>
    <w:rsid w:val="00F22A61"/>
    <w:rsid w:val="00F43C45"/>
    <w:rsid w:val="00F6344F"/>
    <w:rsid w:val="00F64A8A"/>
    <w:rsid w:val="00F64D95"/>
    <w:rsid w:val="01540852"/>
    <w:rsid w:val="0307187B"/>
    <w:rsid w:val="03782B4D"/>
    <w:rsid w:val="0481129B"/>
    <w:rsid w:val="04C43110"/>
    <w:rsid w:val="0507235C"/>
    <w:rsid w:val="054F07D9"/>
    <w:rsid w:val="05B96E85"/>
    <w:rsid w:val="05ED58B4"/>
    <w:rsid w:val="061463D3"/>
    <w:rsid w:val="083C2724"/>
    <w:rsid w:val="096977A7"/>
    <w:rsid w:val="097E79A1"/>
    <w:rsid w:val="09AA0CC1"/>
    <w:rsid w:val="09E412E0"/>
    <w:rsid w:val="0A5813A7"/>
    <w:rsid w:val="0AA11E2C"/>
    <w:rsid w:val="0AF67B2D"/>
    <w:rsid w:val="0AF80CAA"/>
    <w:rsid w:val="0B1C0A08"/>
    <w:rsid w:val="0BF90AE4"/>
    <w:rsid w:val="0CD12600"/>
    <w:rsid w:val="0CDD0064"/>
    <w:rsid w:val="0D223219"/>
    <w:rsid w:val="0D99308F"/>
    <w:rsid w:val="0DB8037C"/>
    <w:rsid w:val="0DEB1BBD"/>
    <w:rsid w:val="0ECD1AB4"/>
    <w:rsid w:val="0F382290"/>
    <w:rsid w:val="0FD03957"/>
    <w:rsid w:val="0FE4089C"/>
    <w:rsid w:val="10364010"/>
    <w:rsid w:val="10D93C93"/>
    <w:rsid w:val="115C5A72"/>
    <w:rsid w:val="1188256A"/>
    <w:rsid w:val="11994C65"/>
    <w:rsid w:val="120522C8"/>
    <w:rsid w:val="12481FCC"/>
    <w:rsid w:val="12AD766B"/>
    <w:rsid w:val="12C66037"/>
    <w:rsid w:val="1410707E"/>
    <w:rsid w:val="15095B9A"/>
    <w:rsid w:val="15367EF7"/>
    <w:rsid w:val="17D84C98"/>
    <w:rsid w:val="18345F44"/>
    <w:rsid w:val="1912647A"/>
    <w:rsid w:val="19237869"/>
    <w:rsid w:val="1AC92A69"/>
    <w:rsid w:val="1ACA3B0B"/>
    <w:rsid w:val="1B383CEE"/>
    <w:rsid w:val="1C306585"/>
    <w:rsid w:val="1D296C19"/>
    <w:rsid w:val="1E4A2472"/>
    <w:rsid w:val="1E637F72"/>
    <w:rsid w:val="1EC33ECA"/>
    <w:rsid w:val="1EF7781D"/>
    <w:rsid w:val="1F9D3B08"/>
    <w:rsid w:val="20DD0C14"/>
    <w:rsid w:val="2368771E"/>
    <w:rsid w:val="25667607"/>
    <w:rsid w:val="25A521AF"/>
    <w:rsid w:val="267A2947"/>
    <w:rsid w:val="268D6FA0"/>
    <w:rsid w:val="2776673B"/>
    <w:rsid w:val="27924ABA"/>
    <w:rsid w:val="288914B1"/>
    <w:rsid w:val="28BD4CDE"/>
    <w:rsid w:val="2A1711BC"/>
    <w:rsid w:val="2B320DF2"/>
    <w:rsid w:val="2BAA609E"/>
    <w:rsid w:val="2D346567"/>
    <w:rsid w:val="2D9A2207"/>
    <w:rsid w:val="2E0E30F7"/>
    <w:rsid w:val="2E3D5918"/>
    <w:rsid w:val="2FDB3646"/>
    <w:rsid w:val="31AA0271"/>
    <w:rsid w:val="328A7B87"/>
    <w:rsid w:val="33076A80"/>
    <w:rsid w:val="330D1186"/>
    <w:rsid w:val="354B4A67"/>
    <w:rsid w:val="36865185"/>
    <w:rsid w:val="376C7344"/>
    <w:rsid w:val="38054762"/>
    <w:rsid w:val="385E0D11"/>
    <w:rsid w:val="38680FA1"/>
    <w:rsid w:val="39AC2C5A"/>
    <w:rsid w:val="3A577D39"/>
    <w:rsid w:val="3A6C5593"/>
    <w:rsid w:val="3A77523F"/>
    <w:rsid w:val="3AB361F8"/>
    <w:rsid w:val="3ADB3E00"/>
    <w:rsid w:val="3B986CBB"/>
    <w:rsid w:val="3CE0063C"/>
    <w:rsid w:val="3D740E64"/>
    <w:rsid w:val="3FBA0885"/>
    <w:rsid w:val="3FDC6F95"/>
    <w:rsid w:val="403E1F5F"/>
    <w:rsid w:val="40B82A44"/>
    <w:rsid w:val="40CA494F"/>
    <w:rsid w:val="41837C0C"/>
    <w:rsid w:val="41E22DC7"/>
    <w:rsid w:val="41FA7DE9"/>
    <w:rsid w:val="420A5691"/>
    <w:rsid w:val="43482915"/>
    <w:rsid w:val="43CA6E72"/>
    <w:rsid w:val="44B40DFC"/>
    <w:rsid w:val="44EC2651"/>
    <w:rsid w:val="45154265"/>
    <w:rsid w:val="45620E8D"/>
    <w:rsid w:val="46032F36"/>
    <w:rsid w:val="46360220"/>
    <w:rsid w:val="465E7CB8"/>
    <w:rsid w:val="46DD2912"/>
    <w:rsid w:val="478B4A59"/>
    <w:rsid w:val="47A3169B"/>
    <w:rsid w:val="47FD0C82"/>
    <w:rsid w:val="48022AA8"/>
    <w:rsid w:val="483D3A2C"/>
    <w:rsid w:val="494F7F54"/>
    <w:rsid w:val="49651784"/>
    <w:rsid w:val="49951CE4"/>
    <w:rsid w:val="49E72937"/>
    <w:rsid w:val="4A280DAA"/>
    <w:rsid w:val="4AB573FC"/>
    <w:rsid w:val="4B450FC6"/>
    <w:rsid w:val="4BDE6AB3"/>
    <w:rsid w:val="4BE17AFB"/>
    <w:rsid w:val="4C63431C"/>
    <w:rsid w:val="4D706D4F"/>
    <w:rsid w:val="4DFA6940"/>
    <w:rsid w:val="4F3C45A3"/>
    <w:rsid w:val="50130FBD"/>
    <w:rsid w:val="50DE02E1"/>
    <w:rsid w:val="50E5707E"/>
    <w:rsid w:val="517D5E7F"/>
    <w:rsid w:val="51AC1F40"/>
    <w:rsid w:val="51E00991"/>
    <w:rsid w:val="5263221D"/>
    <w:rsid w:val="527E4CE8"/>
    <w:rsid w:val="53850DE6"/>
    <w:rsid w:val="53BA4E1E"/>
    <w:rsid w:val="54673759"/>
    <w:rsid w:val="546E406F"/>
    <w:rsid w:val="54B9335E"/>
    <w:rsid w:val="57547DC2"/>
    <w:rsid w:val="576C0DA0"/>
    <w:rsid w:val="58006BC0"/>
    <w:rsid w:val="585E0F1A"/>
    <w:rsid w:val="58E40770"/>
    <w:rsid w:val="5956150A"/>
    <w:rsid w:val="5A490FF5"/>
    <w:rsid w:val="5A88335D"/>
    <w:rsid w:val="5B6B5022"/>
    <w:rsid w:val="5BE52E11"/>
    <w:rsid w:val="5C2E04A2"/>
    <w:rsid w:val="5C314037"/>
    <w:rsid w:val="5D2C42B6"/>
    <w:rsid w:val="5DA24E17"/>
    <w:rsid w:val="5F0B0627"/>
    <w:rsid w:val="5F7D3905"/>
    <w:rsid w:val="61641B17"/>
    <w:rsid w:val="61905AF4"/>
    <w:rsid w:val="62400EAD"/>
    <w:rsid w:val="62D022B3"/>
    <w:rsid w:val="64206061"/>
    <w:rsid w:val="647014C5"/>
    <w:rsid w:val="64C35501"/>
    <w:rsid w:val="64ED1AE5"/>
    <w:rsid w:val="66357871"/>
    <w:rsid w:val="664368CA"/>
    <w:rsid w:val="66F41BC6"/>
    <w:rsid w:val="682855FA"/>
    <w:rsid w:val="687B3C27"/>
    <w:rsid w:val="687D3777"/>
    <w:rsid w:val="690232D2"/>
    <w:rsid w:val="6A3E7B36"/>
    <w:rsid w:val="6AB37D1A"/>
    <w:rsid w:val="6B9A086E"/>
    <w:rsid w:val="6BC1359C"/>
    <w:rsid w:val="6BF846D1"/>
    <w:rsid w:val="6C192F45"/>
    <w:rsid w:val="6D201C56"/>
    <w:rsid w:val="6D9608C0"/>
    <w:rsid w:val="6E2B11CE"/>
    <w:rsid w:val="6E916532"/>
    <w:rsid w:val="6EC26886"/>
    <w:rsid w:val="6ED04B50"/>
    <w:rsid w:val="6F2B6D0F"/>
    <w:rsid w:val="701029C9"/>
    <w:rsid w:val="721372E8"/>
    <w:rsid w:val="732D61CF"/>
    <w:rsid w:val="73C3376E"/>
    <w:rsid w:val="741B2C62"/>
    <w:rsid w:val="74204E87"/>
    <w:rsid w:val="74FF3956"/>
    <w:rsid w:val="757C3BD5"/>
    <w:rsid w:val="765E2E38"/>
    <w:rsid w:val="76E65A48"/>
    <w:rsid w:val="78BD0159"/>
    <w:rsid w:val="78EE0B2B"/>
    <w:rsid w:val="79FD2D9D"/>
    <w:rsid w:val="7A4D46B7"/>
    <w:rsid w:val="7B186783"/>
    <w:rsid w:val="7B7E0A21"/>
    <w:rsid w:val="7BD019F5"/>
    <w:rsid w:val="7C1761F8"/>
    <w:rsid w:val="7CD10C1B"/>
    <w:rsid w:val="7DAC056D"/>
    <w:rsid w:val="7E146715"/>
    <w:rsid w:val="7E80598D"/>
    <w:rsid w:val="7EAE3FE5"/>
    <w:rsid w:val="7F135CCD"/>
    <w:rsid w:val="7F3B6C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4"/>
    <w:qFormat/>
    <w:uiPriority w:val="0"/>
    <w:pPr>
      <w:keepNext/>
      <w:tabs>
        <w:tab w:val="left" w:pos="360"/>
      </w:tabs>
      <w:ind w:left="360" w:hanging="360"/>
      <w:outlineLvl w:val="0"/>
    </w:pPr>
    <w:rPr>
      <w:b/>
    </w:rPr>
  </w:style>
  <w:style w:type="paragraph" w:styleId="4">
    <w:name w:val="heading 2"/>
    <w:basedOn w:val="1"/>
    <w:next w:val="1"/>
    <w:link w:val="85"/>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86"/>
    <w:qFormat/>
    <w:uiPriority w:val="0"/>
    <w:pPr>
      <w:outlineLvl w:val="2"/>
    </w:pPr>
    <w:rPr>
      <w:bCs/>
      <w:szCs w:val="32"/>
    </w:rPr>
  </w:style>
  <w:style w:type="paragraph" w:styleId="6">
    <w:name w:val="heading 4"/>
    <w:basedOn w:val="1"/>
    <w:next w:val="1"/>
    <w:link w:val="8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89"/>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0"/>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91"/>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92"/>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115"/>
    <w:qFormat/>
    <w:uiPriority w:val="99"/>
    <w:pPr>
      <w:ind w:firstLine="420" w:firstLineChars="200"/>
    </w:pPr>
    <w:rPr>
      <w:rFonts w:ascii="Calibri" w:hAnsi="Calibri" w:eastAsia="宋体" w:cs="黑体"/>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124"/>
    <w:qFormat/>
    <w:uiPriority w:val="0"/>
    <w:pPr>
      <w:shd w:val="clear" w:color="auto" w:fill="000080"/>
    </w:pPr>
    <w:rPr>
      <w:rFonts w:ascii="Calibri" w:hAnsi="Calibri" w:eastAsia="宋体" w:cs="黑体"/>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129"/>
    <w:unhideWhenUsed/>
    <w:qFormat/>
    <w:uiPriority w:val="99"/>
    <w:pPr>
      <w:jc w:val="left"/>
    </w:pPr>
  </w:style>
  <w:style w:type="paragraph" w:styleId="18">
    <w:name w:val="Salutation"/>
    <w:basedOn w:val="1"/>
    <w:next w:val="1"/>
    <w:link w:val="94"/>
    <w:qFormat/>
    <w:uiPriority w:val="0"/>
    <w:rPr>
      <w:rFonts w:ascii="宋体"/>
      <w:b/>
      <w:sz w:val="28"/>
    </w:rPr>
  </w:style>
  <w:style w:type="paragraph" w:styleId="19">
    <w:name w:val="Body Text"/>
    <w:basedOn w:val="1"/>
    <w:next w:val="1"/>
    <w:link w:val="125"/>
    <w:qFormat/>
    <w:uiPriority w:val="0"/>
    <w:rPr>
      <w:rFonts w:ascii="Arial" w:hAnsi="Arial" w:eastAsia="宋体" w:cs="Arial"/>
      <w:sz w:val="24"/>
      <w:szCs w:val="22"/>
    </w:rPr>
  </w:style>
  <w:style w:type="paragraph" w:styleId="20">
    <w:name w:val="Body Text Indent"/>
    <w:basedOn w:val="1"/>
    <w:next w:val="21"/>
    <w:link w:val="96"/>
    <w:qFormat/>
    <w:uiPriority w:val="0"/>
    <w:pPr>
      <w:ind w:firstLine="480"/>
    </w:pPr>
    <w:rPr>
      <w:rFonts w:ascii="宋体" w:hAnsi="宋体"/>
      <w:sz w:val="24"/>
    </w:rPr>
  </w:style>
  <w:style w:type="paragraph" w:styleId="21">
    <w:name w:val="envelope return"/>
    <w:basedOn w:val="1"/>
    <w:qFormat/>
    <w:uiPriority w:val="0"/>
    <w:pPr>
      <w:topLinePunct/>
      <w:snapToGrid w:val="0"/>
      <w:spacing w:line="240" w:lineRule="auto"/>
      <w:ind w:firstLine="0" w:firstLineChars="0"/>
    </w:pPr>
    <w:rPr>
      <w:rFonts w:ascii="Arial" w:hAnsi="Arial" w:cs="Arial"/>
      <w:sz w:val="21"/>
    </w:rPr>
  </w:style>
  <w:style w:type="paragraph" w:styleId="22">
    <w:name w:val="toc 3"/>
    <w:basedOn w:val="1"/>
    <w:next w:val="1"/>
    <w:qFormat/>
    <w:uiPriority w:val="39"/>
    <w:pPr>
      <w:ind w:left="840" w:leftChars="400"/>
    </w:pPr>
  </w:style>
  <w:style w:type="paragraph" w:styleId="23">
    <w:name w:val="Plain Text"/>
    <w:basedOn w:val="1"/>
    <w:link w:val="126"/>
    <w:qFormat/>
    <w:uiPriority w:val="0"/>
    <w:rPr>
      <w:rFonts w:ascii="宋体" w:hAnsi="Courier New" w:cs="黑体"/>
      <w:szCs w:val="22"/>
    </w:rPr>
  </w:style>
  <w:style w:type="paragraph" w:styleId="24">
    <w:name w:val="Date"/>
    <w:basedOn w:val="1"/>
    <w:next w:val="1"/>
    <w:link w:val="98"/>
    <w:qFormat/>
    <w:uiPriority w:val="0"/>
    <w:pPr>
      <w:ind w:left="100"/>
    </w:pPr>
    <w:rPr>
      <w:sz w:val="24"/>
    </w:rPr>
  </w:style>
  <w:style w:type="paragraph" w:styleId="25">
    <w:name w:val="Body Text Indent 2"/>
    <w:basedOn w:val="1"/>
    <w:link w:val="123"/>
    <w:qFormat/>
    <w:uiPriority w:val="0"/>
    <w:pPr>
      <w:ind w:firstLine="435"/>
    </w:pPr>
    <w:rPr>
      <w:rFonts w:ascii="宋体" w:hAnsi="宋体" w:eastAsia="宋体" w:cs="黑体"/>
      <w:sz w:val="24"/>
      <w:szCs w:val="22"/>
    </w:rPr>
  </w:style>
  <w:style w:type="paragraph" w:styleId="26">
    <w:name w:val="Balloon Text"/>
    <w:basedOn w:val="1"/>
    <w:link w:val="100"/>
    <w:semiHidden/>
    <w:qFormat/>
    <w:uiPriority w:val="0"/>
    <w:rPr>
      <w:sz w:val="18"/>
      <w:szCs w:val="18"/>
    </w:rPr>
  </w:style>
  <w:style w:type="paragraph" w:styleId="27">
    <w:name w:val="footer"/>
    <w:basedOn w:val="1"/>
    <w:link w:val="101"/>
    <w:unhideWhenUsed/>
    <w:qFormat/>
    <w:uiPriority w:val="99"/>
    <w:pPr>
      <w:tabs>
        <w:tab w:val="center" w:pos="4153"/>
        <w:tab w:val="right" w:pos="8306"/>
      </w:tabs>
      <w:snapToGrid w:val="0"/>
      <w:jc w:val="left"/>
    </w:pPr>
    <w:rPr>
      <w:sz w:val="18"/>
      <w:szCs w:val="18"/>
    </w:rPr>
  </w:style>
  <w:style w:type="paragraph" w:styleId="28">
    <w:name w:val="header"/>
    <w:basedOn w:val="1"/>
    <w:link w:val="10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103"/>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104"/>
    <w:qFormat/>
    <w:uiPriority w:val="0"/>
    <w:pPr>
      <w:spacing w:line="360" w:lineRule="auto"/>
    </w:pPr>
    <w:rPr>
      <w:b/>
      <w:sz w:val="28"/>
      <w:szCs w:val="21"/>
    </w:rPr>
  </w:style>
  <w:style w:type="paragraph" w:styleId="33">
    <w:name w:val="HTML Preformatted"/>
    <w:basedOn w:val="1"/>
    <w:qFormat/>
    <w:uiPriority w:val="0"/>
    <w:rPr>
      <w:rFonts w:ascii="Courier New" w:hAnsi="Courier New"/>
      <w:sz w:val="20"/>
    </w:rPr>
  </w:style>
  <w:style w:type="paragraph" w:styleId="34">
    <w:name w:val="Normal (Web)"/>
    <w:basedOn w:val="1"/>
    <w:link w:val="128"/>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annotation subject"/>
    <w:basedOn w:val="17"/>
    <w:next w:val="17"/>
    <w:link w:val="130"/>
    <w:unhideWhenUsed/>
    <w:qFormat/>
    <w:uiPriority w:val="99"/>
    <w:rPr>
      <w:b/>
      <w:bCs/>
    </w:rPr>
  </w:style>
  <w:style w:type="paragraph" w:styleId="36">
    <w:name w:val="Body Text First Indent"/>
    <w:basedOn w:val="19"/>
    <w:next w:val="37"/>
    <w:link w:val="127"/>
    <w:qFormat/>
    <w:uiPriority w:val="0"/>
    <w:pPr>
      <w:spacing w:after="120"/>
      <w:ind w:firstLine="420" w:firstLineChars="100"/>
    </w:pPr>
  </w:style>
  <w:style w:type="paragraph" w:styleId="37">
    <w:name w:val="Body Text First Indent 2"/>
    <w:basedOn w:val="20"/>
    <w:next w:val="1"/>
    <w:unhideWhenUsed/>
    <w:qFormat/>
    <w:uiPriority w:val="99"/>
    <w:pPr>
      <w:ind w:firstLine="420"/>
    </w:pPr>
    <w:rPr>
      <w:rFonts w:ascii="Arial" w:hAnsi="Arial" w:eastAsia="仿宋_GB2312"/>
      <w:sz w:val="28"/>
    </w:rPr>
  </w:style>
  <w:style w:type="table" w:styleId="39">
    <w:name w:val="Table Grid"/>
    <w:basedOn w:val="3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basedOn w:val="40"/>
    <w:qFormat/>
    <w:uiPriority w:val="99"/>
    <w:rPr>
      <w:color w:val="0000FF"/>
      <w:u w:val="single"/>
    </w:rPr>
  </w:style>
  <w:style w:type="character" w:styleId="46">
    <w:name w:val="annotation reference"/>
    <w:basedOn w:val="40"/>
    <w:unhideWhenUsed/>
    <w:qFormat/>
    <w:uiPriority w:val="99"/>
    <w:rPr>
      <w:sz w:val="21"/>
      <w:szCs w:val="21"/>
    </w:rPr>
  </w:style>
  <w:style w:type="paragraph" w:customStyle="1" w:styleId="47">
    <w:name w:val="所标正文"/>
    <w:basedOn w:val="1"/>
    <w:link w:val="108"/>
    <w:qFormat/>
    <w:uiPriority w:val="0"/>
    <w:pPr>
      <w:spacing w:line="360" w:lineRule="auto"/>
      <w:ind w:firstLine="200" w:firstLineChars="200"/>
    </w:pPr>
    <w:rPr>
      <w:rFonts w:ascii="仿宋_GB2312" w:hAnsi="Calibri" w:eastAsia="仿宋_GB2312" w:cs="黑体"/>
      <w:sz w:val="30"/>
      <w:szCs w:val="28"/>
    </w:rPr>
  </w:style>
  <w:style w:type="paragraph" w:customStyle="1" w:styleId="48">
    <w:name w:val="正文文字"/>
    <w:basedOn w:val="1"/>
    <w:link w:val="109"/>
    <w:qFormat/>
    <w:uiPriority w:val="0"/>
    <w:pPr>
      <w:widowControl/>
      <w:spacing w:line="2375" w:lineRule="atLeast"/>
      <w:ind w:firstLine="419"/>
      <w:textAlignment w:val="baseline"/>
    </w:pPr>
    <w:rPr>
      <w:rFonts w:ascii="宋体" w:hAnsi="Calibri" w:cs="黑体"/>
      <w:color w:val="000000"/>
      <w:sz w:val="28"/>
      <w:szCs w:val="22"/>
      <w:u w:val="none" w:color="000000"/>
    </w:rPr>
  </w:style>
  <w:style w:type="paragraph" w:customStyle="1" w:styleId="49">
    <w:name w:val="样式 正文缩进 + 首行缩进:  2 字符"/>
    <w:basedOn w:val="13"/>
    <w:link w:val="116"/>
    <w:qFormat/>
    <w:uiPriority w:val="0"/>
    <w:pPr>
      <w:spacing w:line="360" w:lineRule="auto"/>
      <w:ind w:firstLine="200"/>
    </w:pPr>
    <w:rPr>
      <w:sz w:val="24"/>
      <w:szCs w:val="22"/>
    </w:rPr>
  </w:style>
  <w:style w:type="paragraph" w:customStyle="1" w:styleId="50">
    <w:name w:val="标准段落正文"/>
    <w:basedOn w:val="1"/>
    <w:link w:val="117"/>
    <w:qFormat/>
    <w:uiPriority w:val="0"/>
    <w:pPr>
      <w:spacing w:line="360" w:lineRule="auto"/>
      <w:ind w:firstLine="482"/>
    </w:pPr>
    <w:rPr>
      <w:rFonts w:ascii="Calibri" w:hAnsi="Calibri" w:eastAsia="宋体" w:cs="宋体"/>
      <w:sz w:val="24"/>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53">
    <w:name w:val="Char"/>
    <w:basedOn w:val="1"/>
    <w:semiHidden/>
    <w:qFormat/>
    <w:uiPriority w:val="0"/>
    <w:rPr>
      <w:rFonts w:ascii="Tahoma" w:hAnsi="Tahoma" w:cs="仿宋_GB2312"/>
      <w:sz w:val="24"/>
      <w:szCs w:val="28"/>
    </w:rPr>
  </w:style>
  <w:style w:type="paragraph" w:customStyle="1" w:styleId="54">
    <w:name w:val="正文缩进1"/>
    <w:basedOn w:val="1"/>
    <w:qFormat/>
    <w:uiPriority w:val="0"/>
    <w:pPr>
      <w:ind w:firstLine="420" w:firstLineChars="200"/>
    </w:pPr>
    <w:rPr>
      <w:rFonts w:ascii="Calibri" w:hAnsi="Calibri"/>
    </w:rPr>
  </w:style>
  <w:style w:type="paragraph" w:customStyle="1" w:styleId="55">
    <w:name w:val="条目3"/>
    <w:basedOn w:val="23"/>
    <w:qFormat/>
    <w:uiPriority w:val="0"/>
  </w:style>
  <w:style w:type="paragraph" w:customStyle="1" w:styleId="5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8">
    <w:name w:val="列出段落11"/>
    <w:basedOn w:val="1"/>
    <w:qFormat/>
    <w:uiPriority w:val="0"/>
    <w:pPr>
      <w:ind w:firstLine="420" w:firstLineChars="200"/>
    </w:pPr>
  </w:style>
  <w:style w:type="paragraph" w:customStyle="1" w:styleId="59">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0">
    <w:name w:val="首页大标题"/>
    <w:basedOn w:val="47"/>
    <w:qFormat/>
    <w:uiPriority w:val="0"/>
    <w:pPr>
      <w:ind w:firstLine="0" w:firstLineChars="0"/>
      <w:jc w:val="center"/>
    </w:pPr>
    <w:rPr>
      <w:rFonts w:ascii="黑体" w:eastAsia="黑体"/>
      <w:b/>
      <w:sz w:val="52"/>
    </w:rPr>
  </w:style>
  <w:style w:type="paragraph" w:customStyle="1" w:styleId="6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p0"/>
    <w:basedOn w:val="1"/>
    <w:qFormat/>
    <w:uiPriority w:val="0"/>
    <w:pPr>
      <w:widowControl/>
    </w:pPr>
    <w:rPr>
      <w:kern w:val="0"/>
      <w:szCs w:val="21"/>
    </w:rPr>
  </w:style>
  <w:style w:type="paragraph" w:customStyle="1" w:styleId="63">
    <w:name w:val="条目2"/>
    <w:basedOn w:val="23"/>
    <w:qFormat/>
    <w:uiPriority w:val="0"/>
    <w:pPr>
      <w:tabs>
        <w:tab w:val="left" w:pos="420"/>
      </w:tabs>
      <w:spacing w:line="360" w:lineRule="auto"/>
      <w:ind w:left="420" w:hanging="420"/>
    </w:pPr>
    <w:rPr>
      <w:color w:val="000000"/>
      <w:sz w:val="30"/>
    </w:rPr>
  </w:style>
  <w:style w:type="paragraph" w:customStyle="1" w:styleId="64">
    <w:name w:val="1 Char Char Char Char"/>
    <w:basedOn w:val="1"/>
    <w:qFormat/>
    <w:uiPriority w:val="0"/>
    <w:rPr>
      <w:rFonts w:ascii="Tahoma" w:hAnsi="Tahoma"/>
      <w:sz w:val="24"/>
    </w:rPr>
  </w:style>
  <w:style w:type="paragraph" w:customStyle="1" w:styleId="65">
    <w:name w:val="List Paragraph"/>
    <w:basedOn w:val="1"/>
    <w:qFormat/>
    <w:uiPriority w:val="34"/>
    <w:pPr>
      <w:ind w:firstLine="420" w:firstLineChars="200"/>
    </w:pPr>
    <w:rPr>
      <w:rFonts w:ascii="Calibri" w:hAnsi="Calibri" w:eastAsia="宋体" w:cs="黑体"/>
      <w:szCs w:val="22"/>
    </w:rPr>
  </w:style>
  <w:style w:type="paragraph" w:customStyle="1" w:styleId="66">
    <w:name w:val="宋体小四"/>
    <w:basedOn w:val="1"/>
    <w:qFormat/>
    <w:uiPriority w:val="0"/>
    <w:pPr>
      <w:spacing w:line="360" w:lineRule="auto"/>
      <w:ind w:firstLine="480" w:firstLineChars="200"/>
    </w:pPr>
    <w:rPr>
      <w:rFonts w:ascii="Arial" w:hAnsi="Arial"/>
      <w:sz w:val="24"/>
    </w:rPr>
  </w:style>
  <w:style w:type="paragraph" w:customStyle="1" w:styleId="67">
    <w:name w:val="列出段落2"/>
    <w:basedOn w:val="1"/>
    <w:qFormat/>
    <w:uiPriority w:val="34"/>
    <w:pPr>
      <w:ind w:firstLine="420" w:firstLineChars="200"/>
    </w:pPr>
    <w:rPr>
      <w:rFonts w:ascii="Calibri" w:hAnsi="Calibri" w:cs="黑体"/>
      <w:szCs w:val="24"/>
    </w:rPr>
  </w:style>
  <w:style w:type="paragraph" w:customStyle="1" w:styleId="68">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69">
    <w:name w:val="样式1"/>
    <w:basedOn w:val="5"/>
    <w:qFormat/>
    <w:uiPriority w:val="0"/>
    <w:rPr>
      <w:rFonts w:ascii="宋体" w:hAnsi="宋体"/>
      <w:szCs w:val="21"/>
    </w:rPr>
  </w:style>
  <w:style w:type="paragraph" w:customStyle="1" w:styleId="70">
    <w:name w:val="验收文档-首页主标题"/>
    <w:basedOn w:val="1"/>
    <w:qFormat/>
    <w:uiPriority w:val="0"/>
    <w:pPr>
      <w:jc w:val="center"/>
    </w:pPr>
    <w:rPr>
      <w:rFonts w:ascii="黑体" w:eastAsia="黑体"/>
      <w:sz w:val="52"/>
      <w:szCs w:val="52"/>
    </w:rPr>
  </w:style>
  <w:style w:type="paragraph" w:customStyle="1" w:styleId="71">
    <w:name w:val="TOC 标题1"/>
    <w:basedOn w:val="3"/>
    <w:next w:val="1"/>
    <w:unhideWhenUsed/>
    <w:qFormat/>
    <w:uiPriority w:val="39"/>
    <w:pPr>
      <w:widowControl/>
      <w:spacing w:before="240" w:line="259" w:lineRule="auto"/>
      <w:ind w:left="0" w:firstLine="0"/>
      <w:jc w:val="left"/>
      <w:outlineLvl w:val="9"/>
    </w:pPr>
    <w:rPr>
      <w:rFonts w:ascii="Cambria" w:hAnsi="Cambria" w:eastAsia="宋体" w:cs="黑体"/>
      <w:color w:val="365F90"/>
      <w:kern w:val="0"/>
      <w:sz w:val="32"/>
      <w:szCs w:val="32"/>
    </w:rPr>
  </w:style>
  <w:style w:type="paragraph" w:customStyle="1" w:styleId="7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3">
    <w:name w:val="表头"/>
    <w:basedOn w:val="1"/>
    <w:qFormat/>
    <w:uiPriority w:val="0"/>
    <w:pPr>
      <w:widowControl/>
      <w:spacing w:line="276" w:lineRule="auto"/>
      <w:jc w:val="center"/>
    </w:pPr>
    <w:rPr>
      <w:rFonts w:ascii="宋体" w:hAnsi="宋体"/>
      <w:b/>
    </w:rPr>
  </w:style>
  <w:style w:type="paragraph" w:customStyle="1" w:styleId="74">
    <w:name w:val="表格内容"/>
    <w:basedOn w:val="1"/>
    <w:qFormat/>
    <w:uiPriority w:val="0"/>
    <w:pPr>
      <w:widowControl/>
      <w:spacing w:line="276" w:lineRule="auto"/>
      <w:jc w:val="left"/>
    </w:pPr>
    <w:rPr>
      <w:rFonts w:ascii="宋体" w:hAnsi="宋体"/>
      <w:kern w:val="0"/>
    </w:rPr>
  </w:style>
  <w:style w:type="paragraph" w:customStyle="1" w:styleId="75">
    <w:name w:val="表格内容左对齐"/>
    <w:basedOn w:val="1"/>
    <w:qFormat/>
    <w:uiPriority w:val="2"/>
    <w:pPr>
      <w:widowControl/>
      <w:jc w:val="left"/>
    </w:pPr>
    <w:rPr>
      <w:rFonts w:ascii="Calibri" w:hAnsi="Calibri"/>
      <w:kern w:val="0"/>
    </w:rPr>
  </w:style>
  <w:style w:type="paragraph" w:customStyle="1" w:styleId="76">
    <w:name w:val="List Paragraph1"/>
    <w:basedOn w:val="1"/>
    <w:semiHidden/>
    <w:qFormat/>
    <w:uiPriority w:val="0"/>
    <w:pPr>
      <w:ind w:firstLine="420" w:firstLineChars="200"/>
    </w:pPr>
    <w:rPr>
      <w:rFonts w:ascii="Calibri" w:hAnsi="Calibri"/>
      <w:szCs w:val="24"/>
    </w:rPr>
  </w:style>
  <w:style w:type="paragraph" w:customStyle="1" w:styleId="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szCs w:val="20"/>
    </w:rPr>
  </w:style>
  <w:style w:type="paragraph" w:customStyle="1" w:styleId="78">
    <w:name w:val="正文1"/>
    <w:qFormat/>
    <w:uiPriority w:val="99"/>
    <w:rPr>
      <w:rFonts w:ascii="Times New Roman" w:hAnsi="Times New Roman" w:eastAsia="Times New Roman" w:cs="Times New Roman"/>
      <w:sz w:val="24"/>
      <w:szCs w:val="24"/>
      <w:lang w:val="en-US" w:eastAsia="zh-CN" w:bidi="ar-SA"/>
    </w:rPr>
  </w:style>
  <w:style w:type="paragraph" w:customStyle="1" w:styleId="7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0">
    <w:name w:val="!正文ctrl+q"/>
    <w:basedOn w:val="1"/>
    <w:qFormat/>
    <w:uiPriority w:val="0"/>
    <w:pPr>
      <w:widowControl w:val="0"/>
      <w:ind w:firstLine="200"/>
    </w:pPr>
    <w:rPr>
      <w:rFonts w:ascii="Times New Roman" w:hAnsi="Times New Roman" w:eastAsia="仿宋_GB2312"/>
      <w:kern w:val="0"/>
      <w:sz w:val="28"/>
      <w:szCs w:val="24"/>
    </w:rPr>
  </w:style>
  <w:style w:type="paragraph" w:customStyle="1" w:styleId="81">
    <w:name w:val="0正文"/>
    <w:basedOn w:val="1"/>
    <w:link w:val="132"/>
    <w:qFormat/>
    <w:uiPriority w:val="0"/>
    <w:pPr>
      <w:widowControl w:val="0"/>
    </w:pPr>
    <w:rPr>
      <w:rFonts w:ascii="Calibri" w:hAnsi="Calibri" w:cs="黑体"/>
      <w:kern w:val="2"/>
      <w:szCs w:val="22"/>
    </w:rPr>
  </w:style>
  <w:style w:type="paragraph" w:customStyle="1" w:styleId="82">
    <w:name w:val="样式 首行缩进:  0.74 厘米"/>
    <w:basedOn w:val="1"/>
    <w:qFormat/>
    <w:uiPriority w:val="0"/>
    <w:pPr>
      <w:ind w:firstLine="420"/>
    </w:pPr>
    <w:rPr>
      <w:rFonts w:ascii="Arial" w:hAnsi="Arial" w:eastAsia="仿宋_GB2312" w:cs="Arial"/>
      <w:bCs/>
      <w:sz w:val="28"/>
      <w:szCs w:val="28"/>
    </w:rPr>
  </w:style>
  <w:style w:type="paragraph" w:customStyle="1" w:styleId="83">
    <w:name w:val="标准文本"/>
    <w:basedOn w:val="1"/>
    <w:qFormat/>
    <w:uiPriority w:val="0"/>
    <w:pPr>
      <w:spacing w:line="360" w:lineRule="auto"/>
      <w:ind w:firstLine="480" w:firstLineChars="200"/>
    </w:pPr>
    <w:rPr>
      <w:rFonts w:ascii="Times New Roman" w:hAnsi="Times New Roman" w:eastAsia="宋体" w:cs="宋体"/>
      <w:sz w:val="24"/>
      <w:szCs w:val="20"/>
    </w:rPr>
  </w:style>
  <w:style w:type="character" w:customStyle="1" w:styleId="84">
    <w:name w:val="标题 1 字符"/>
    <w:basedOn w:val="40"/>
    <w:link w:val="3"/>
    <w:qFormat/>
    <w:uiPriority w:val="0"/>
    <w:rPr>
      <w:rFonts w:ascii="Times New Roman" w:hAnsi="Times New Roman" w:eastAsia="宋体" w:cs="Times New Roman"/>
      <w:b/>
      <w:szCs w:val="20"/>
    </w:rPr>
  </w:style>
  <w:style w:type="character" w:customStyle="1" w:styleId="85">
    <w:name w:val="标题 2 字符"/>
    <w:basedOn w:val="40"/>
    <w:link w:val="4"/>
    <w:qFormat/>
    <w:uiPriority w:val="0"/>
    <w:rPr>
      <w:rFonts w:ascii="Arial" w:hAnsi="Arial" w:eastAsia="黑体" w:cs="Times New Roman"/>
      <w:b/>
      <w:sz w:val="32"/>
      <w:szCs w:val="20"/>
    </w:rPr>
  </w:style>
  <w:style w:type="character" w:customStyle="1" w:styleId="86">
    <w:name w:val="标题 3 字符"/>
    <w:basedOn w:val="40"/>
    <w:link w:val="5"/>
    <w:qFormat/>
    <w:uiPriority w:val="0"/>
    <w:rPr>
      <w:rFonts w:ascii="Times New Roman" w:hAnsi="Times New Roman" w:eastAsia="宋体" w:cs="Times New Roman"/>
      <w:b/>
      <w:bCs/>
      <w:sz w:val="32"/>
      <w:szCs w:val="32"/>
    </w:rPr>
  </w:style>
  <w:style w:type="character" w:customStyle="1" w:styleId="87">
    <w:name w:val="标题 4 字符"/>
    <w:basedOn w:val="40"/>
    <w:link w:val="6"/>
    <w:qFormat/>
    <w:uiPriority w:val="0"/>
    <w:rPr>
      <w:rFonts w:ascii="Arial" w:hAnsi="Arial" w:eastAsia="黑体" w:cs="Times New Roman"/>
      <w:b/>
      <w:bCs/>
      <w:sz w:val="28"/>
      <w:szCs w:val="28"/>
    </w:rPr>
  </w:style>
  <w:style w:type="character" w:customStyle="1" w:styleId="88">
    <w:name w:val="标题 5 字符"/>
    <w:basedOn w:val="40"/>
    <w:link w:val="7"/>
    <w:qFormat/>
    <w:uiPriority w:val="0"/>
    <w:rPr>
      <w:rFonts w:ascii="Times New Roman" w:hAnsi="Times New Roman" w:eastAsia="宋体" w:cs="Times New Roman"/>
      <w:b/>
      <w:sz w:val="28"/>
      <w:szCs w:val="20"/>
    </w:rPr>
  </w:style>
  <w:style w:type="character" w:customStyle="1" w:styleId="89">
    <w:name w:val="标题 6 字符"/>
    <w:basedOn w:val="40"/>
    <w:link w:val="8"/>
    <w:qFormat/>
    <w:uiPriority w:val="0"/>
    <w:rPr>
      <w:rFonts w:ascii="Arial" w:hAnsi="Arial" w:eastAsia="黑体" w:cs="Times New Roman"/>
      <w:b/>
      <w:sz w:val="24"/>
      <w:szCs w:val="20"/>
    </w:rPr>
  </w:style>
  <w:style w:type="character" w:customStyle="1" w:styleId="90">
    <w:name w:val="标题 7 字符"/>
    <w:basedOn w:val="40"/>
    <w:link w:val="9"/>
    <w:qFormat/>
    <w:uiPriority w:val="0"/>
    <w:rPr>
      <w:rFonts w:ascii="Times New Roman" w:hAnsi="Times New Roman" w:eastAsia="宋体" w:cs="Times New Roman"/>
      <w:b/>
      <w:sz w:val="24"/>
      <w:szCs w:val="20"/>
    </w:rPr>
  </w:style>
  <w:style w:type="character" w:customStyle="1" w:styleId="91">
    <w:name w:val="标题 8 字符"/>
    <w:basedOn w:val="40"/>
    <w:link w:val="10"/>
    <w:qFormat/>
    <w:uiPriority w:val="0"/>
    <w:rPr>
      <w:rFonts w:ascii="Arial" w:hAnsi="Arial" w:eastAsia="黑体" w:cs="Times New Roman"/>
      <w:sz w:val="24"/>
      <w:szCs w:val="20"/>
    </w:rPr>
  </w:style>
  <w:style w:type="character" w:customStyle="1" w:styleId="92">
    <w:name w:val="标题 9 字符"/>
    <w:basedOn w:val="40"/>
    <w:link w:val="11"/>
    <w:qFormat/>
    <w:uiPriority w:val="0"/>
    <w:rPr>
      <w:rFonts w:ascii="Arial" w:hAnsi="Arial" w:eastAsia="黑体" w:cs="Times New Roman"/>
      <w:szCs w:val="20"/>
    </w:rPr>
  </w:style>
  <w:style w:type="character" w:customStyle="1" w:styleId="93">
    <w:name w:val="文档结构图 Char"/>
    <w:basedOn w:val="40"/>
    <w:qFormat/>
    <w:uiPriority w:val="0"/>
    <w:rPr>
      <w:rFonts w:ascii="宋体" w:hAnsi="Times New Roman" w:eastAsia="宋体" w:cs="Times New Roman"/>
      <w:sz w:val="18"/>
      <w:szCs w:val="18"/>
    </w:rPr>
  </w:style>
  <w:style w:type="character" w:customStyle="1" w:styleId="94">
    <w:name w:val="称呼 字符"/>
    <w:basedOn w:val="40"/>
    <w:link w:val="18"/>
    <w:qFormat/>
    <w:uiPriority w:val="0"/>
    <w:rPr>
      <w:rFonts w:ascii="宋体" w:hAnsi="Times New Roman" w:eastAsia="宋体" w:cs="Times New Roman"/>
      <w:b/>
      <w:sz w:val="28"/>
      <w:szCs w:val="20"/>
    </w:rPr>
  </w:style>
  <w:style w:type="character" w:customStyle="1" w:styleId="95">
    <w:name w:val="正文文本 Char"/>
    <w:basedOn w:val="40"/>
    <w:qFormat/>
    <w:uiPriority w:val="0"/>
    <w:rPr>
      <w:rFonts w:ascii="Times New Roman" w:hAnsi="Times New Roman" w:eastAsia="宋体" w:cs="Times New Roman"/>
      <w:szCs w:val="20"/>
    </w:rPr>
  </w:style>
  <w:style w:type="character" w:customStyle="1" w:styleId="96">
    <w:name w:val="正文文本缩进 字符"/>
    <w:basedOn w:val="40"/>
    <w:link w:val="20"/>
    <w:qFormat/>
    <w:uiPriority w:val="0"/>
    <w:rPr>
      <w:rFonts w:ascii="宋体" w:hAnsi="宋体" w:eastAsia="宋体" w:cs="Times New Roman"/>
      <w:sz w:val="24"/>
      <w:szCs w:val="20"/>
    </w:rPr>
  </w:style>
  <w:style w:type="character" w:customStyle="1" w:styleId="97">
    <w:name w:val="纯文本 Char"/>
    <w:basedOn w:val="40"/>
    <w:qFormat/>
    <w:uiPriority w:val="0"/>
    <w:rPr>
      <w:rFonts w:ascii="宋体" w:hAnsi="Courier New" w:eastAsia="宋体" w:cs="Courier New"/>
      <w:szCs w:val="21"/>
    </w:rPr>
  </w:style>
  <w:style w:type="character" w:customStyle="1" w:styleId="98">
    <w:name w:val="日期 字符"/>
    <w:basedOn w:val="40"/>
    <w:link w:val="24"/>
    <w:qFormat/>
    <w:uiPriority w:val="0"/>
    <w:rPr>
      <w:rFonts w:ascii="Times New Roman" w:hAnsi="Times New Roman" w:eastAsia="宋体" w:cs="Times New Roman"/>
      <w:sz w:val="24"/>
      <w:szCs w:val="20"/>
    </w:rPr>
  </w:style>
  <w:style w:type="character" w:customStyle="1" w:styleId="99">
    <w:name w:val="正文文本缩进 2 Char"/>
    <w:basedOn w:val="40"/>
    <w:qFormat/>
    <w:uiPriority w:val="0"/>
    <w:rPr>
      <w:rFonts w:ascii="Times New Roman" w:hAnsi="Times New Roman" w:eastAsia="宋体" w:cs="Times New Roman"/>
      <w:szCs w:val="20"/>
    </w:rPr>
  </w:style>
  <w:style w:type="character" w:customStyle="1" w:styleId="100">
    <w:name w:val="批注框文本 字符"/>
    <w:basedOn w:val="40"/>
    <w:link w:val="26"/>
    <w:semiHidden/>
    <w:qFormat/>
    <w:uiPriority w:val="0"/>
    <w:rPr>
      <w:rFonts w:ascii="Times New Roman" w:hAnsi="Times New Roman" w:eastAsia="宋体" w:cs="Times New Roman"/>
      <w:sz w:val="18"/>
      <w:szCs w:val="18"/>
    </w:rPr>
  </w:style>
  <w:style w:type="character" w:customStyle="1" w:styleId="101">
    <w:name w:val="页脚 字符"/>
    <w:basedOn w:val="40"/>
    <w:link w:val="27"/>
    <w:qFormat/>
    <w:uiPriority w:val="99"/>
    <w:rPr>
      <w:rFonts w:ascii="Times New Roman" w:hAnsi="Times New Roman" w:eastAsia="宋体" w:cs="Times New Roman"/>
      <w:sz w:val="18"/>
      <w:szCs w:val="18"/>
    </w:rPr>
  </w:style>
  <w:style w:type="character" w:customStyle="1" w:styleId="102">
    <w:name w:val="页眉 字符"/>
    <w:basedOn w:val="40"/>
    <w:link w:val="28"/>
    <w:qFormat/>
    <w:uiPriority w:val="99"/>
    <w:rPr>
      <w:rFonts w:ascii="Times New Roman" w:hAnsi="Times New Roman" w:eastAsia="宋体" w:cs="Times New Roman"/>
      <w:sz w:val="18"/>
      <w:szCs w:val="18"/>
    </w:rPr>
  </w:style>
  <w:style w:type="character" w:customStyle="1" w:styleId="103">
    <w:name w:val="正文文本缩进 3 字符"/>
    <w:basedOn w:val="40"/>
    <w:link w:val="30"/>
    <w:qFormat/>
    <w:uiPriority w:val="0"/>
    <w:rPr>
      <w:rFonts w:ascii="Arial" w:hAnsi="Arial" w:eastAsia="宋体" w:cs="Arial"/>
      <w:b/>
      <w:bCs/>
      <w:sz w:val="24"/>
      <w:szCs w:val="20"/>
    </w:rPr>
  </w:style>
  <w:style w:type="character" w:customStyle="1" w:styleId="104">
    <w:name w:val="正文文本 2 字符"/>
    <w:basedOn w:val="40"/>
    <w:link w:val="32"/>
    <w:qFormat/>
    <w:uiPriority w:val="0"/>
    <w:rPr>
      <w:rFonts w:ascii="Times New Roman" w:hAnsi="Times New Roman" w:eastAsia="宋体" w:cs="Times New Roman"/>
      <w:b/>
      <w:sz w:val="28"/>
      <w:szCs w:val="21"/>
    </w:rPr>
  </w:style>
  <w:style w:type="character" w:customStyle="1" w:styleId="105">
    <w:name w:val="正文首行缩进 Char"/>
    <w:basedOn w:val="95"/>
    <w:qFormat/>
    <w:uiPriority w:val="0"/>
    <w:rPr>
      <w:rFonts w:ascii="Times New Roman" w:hAnsi="Times New Roman" w:eastAsia="宋体" w:cs="Times New Roman"/>
      <w:szCs w:val="20"/>
    </w:rPr>
  </w:style>
  <w:style w:type="character" w:customStyle="1" w:styleId="106">
    <w:name w:val="p21"/>
    <w:qFormat/>
    <w:uiPriority w:val="0"/>
    <w:rPr>
      <w:rFonts w:hint="default" w:ascii="Arial" w:hAnsi="Arial" w:cs="Arial"/>
      <w:color w:val="333333"/>
      <w:sz w:val="18"/>
      <w:szCs w:val="18"/>
      <w:u w:val="none"/>
    </w:rPr>
  </w:style>
  <w:style w:type="character" w:customStyle="1" w:styleId="107">
    <w:name w:val="font21"/>
    <w:basedOn w:val="40"/>
    <w:qFormat/>
    <w:uiPriority w:val="0"/>
    <w:rPr>
      <w:rFonts w:hint="eastAsia" w:ascii="宋体" w:hAnsi="宋体" w:eastAsia="宋体" w:cs="宋体"/>
      <w:color w:val="000000"/>
      <w:sz w:val="22"/>
      <w:szCs w:val="22"/>
      <w:u w:val="none"/>
    </w:rPr>
  </w:style>
  <w:style w:type="character" w:customStyle="1" w:styleId="108">
    <w:name w:val="所标正文 Char Char"/>
    <w:link w:val="47"/>
    <w:qFormat/>
    <w:uiPriority w:val="0"/>
    <w:rPr>
      <w:rFonts w:ascii="仿宋_GB2312" w:hAnsi="Calibri" w:eastAsia="仿宋_GB2312"/>
      <w:sz w:val="30"/>
      <w:szCs w:val="28"/>
    </w:rPr>
  </w:style>
  <w:style w:type="character" w:customStyle="1" w:styleId="109">
    <w:name w:val="正文文字 Char1"/>
    <w:link w:val="48"/>
    <w:qFormat/>
    <w:uiPriority w:val="0"/>
    <w:rPr>
      <w:rFonts w:ascii="宋体" w:eastAsia="宋体"/>
      <w:color w:val="000000"/>
      <w:sz w:val="28"/>
      <w:u w:val="none" w:color="000000"/>
    </w:rPr>
  </w:style>
  <w:style w:type="character" w:customStyle="1" w:styleId="110">
    <w:name w:val="marklong"/>
    <w:basedOn w:val="40"/>
    <w:qFormat/>
    <w:uiPriority w:val="0"/>
  </w:style>
  <w:style w:type="character" w:customStyle="1" w:styleId="111">
    <w:name w:val="unnamed1"/>
    <w:basedOn w:val="40"/>
    <w:qFormat/>
    <w:uiPriority w:val="0"/>
  </w:style>
  <w:style w:type="character" w:customStyle="1" w:styleId="112">
    <w:name w:val="css21"/>
    <w:qFormat/>
    <w:uiPriority w:val="0"/>
    <w:rPr>
      <w:sz w:val="18"/>
      <w:szCs w:val="18"/>
    </w:rPr>
  </w:style>
  <w:style w:type="character" w:customStyle="1" w:styleId="113">
    <w:name w:val="font01"/>
    <w:basedOn w:val="40"/>
    <w:qFormat/>
    <w:uiPriority w:val="0"/>
    <w:rPr>
      <w:rFonts w:hint="eastAsia" w:ascii="宋体" w:hAnsi="宋体" w:eastAsia="宋体" w:cs="宋体"/>
      <w:color w:val="000000"/>
      <w:sz w:val="22"/>
      <w:szCs w:val="22"/>
      <w:u w:val="none"/>
    </w:rPr>
  </w:style>
  <w:style w:type="character" w:customStyle="1" w:styleId="114">
    <w:name w:val="纯文本 Char Char Char Char Char Char"/>
    <w:qFormat/>
    <w:locked/>
    <w:uiPriority w:val="0"/>
    <w:rPr>
      <w:rFonts w:ascii="宋体" w:hAnsi="Courier New" w:eastAsia="宋体"/>
      <w:kern w:val="2"/>
      <w:sz w:val="21"/>
      <w:lang w:val="en-US" w:eastAsia="zh-CN" w:bidi="ar-SA"/>
    </w:rPr>
  </w:style>
  <w:style w:type="character" w:customStyle="1" w:styleId="115">
    <w:name w:val="正文缩进 字符"/>
    <w:link w:val="13"/>
    <w:qFormat/>
    <w:uiPriority w:val="99"/>
    <w:rPr>
      <w:szCs w:val="24"/>
    </w:rPr>
  </w:style>
  <w:style w:type="character" w:customStyle="1" w:styleId="116">
    <w:name w:val="样式 正文缩进 + 首行缩进:  2 字符 Char"/>
    <w:link w:val="49"/>
    <w:qFormat/>
    <w:uiPriority w:val="0"/>
    <w:rPr>
      <w:sz w:val="24"/>
    </w:rPr>
  </w:style>
  <w:style w:type="character" w:customStyle="1" w:styleId="117">
    <w:name w:val="标准段落正文 Char"/>
    <w:link w:val="50"/>
    <w:qFormat/>
    <w:uiPriority w:val="0"/>
    <w:rPr>
      <w:rFonts w:cs="宋体"/>
      <w:sz w:val="24"/>
    </w:rPr>
  </w:style>
  <w:style w:type="character" w:customStyle="1" w:styleId="118">
    <w:name w:val="正文文字 Char"/>
    <w:qFormat/>
    <w:uiPriority w:val="0"/>
    <w:rPr>
      <w:rFonts w:ascii="Arial" w:hAnsi="Arial" w:eastAsia="宋体" w:cs="Arial"/>
      <w:kern w:val="2"/>
      <w:sz w:val="24"/>
      <w:lang w:val="en-US" w:eastAsia="zh-CN" w:bidi="ar-SA"/>
    </w:rPr>
  </w:style>
  <w:style w:type="character" w:customStyle="1" w:styleId="119">
    <w:name w:val="书籍标题1"/>
    <w:qFormat/>
    <w:uiPriority w:val="0"/>
    <w:rPr>
      <w:b/>
      <w:bCs/>
      <w:smallCaps/>
      <w:spacing w:val="5"/>
    </w:rPr>
  </w:style>
  <w:style w:type="character" w:customStyle="1" w:styleId="120">
    <w:name w:val="con"/>
    <w:qFormat/>
    <w:uiPriority w:val="0"/>
  </w:style>
  <w:style w:type="character" w:customStyle="1" w:styleId="121">
    <w:name w:val="明显参考1"/>
    <w:qFormat/>
    <w:uiPriority w:val="0"/>
    <w:rPr>
      <w:b/>
      <w:bCs/>
      <w:smallCaps/>
      <w:color w:val="C0504D"/>
      <w:spacing w:val="5"/>
      <w:u w:val="single"/>
    </w:rPr>
  </w:style>
  <w:style w:type="character" w:customStyle="1" w:styleId="122">
    <w:name w:val="grame"/>
    <w:basedOn w:val="40"/>
    <w:qFormat/>
    <w:uiPriority w:val="0"/>
  </w:style>
  <w:style w:type="character" w:customStyle="1" w:styleId="123">
    <w:name w:val="正文文本缩进 2 字符"/>
    <w:basedOn w:val="40"/>
    <w:link w:val="25"/>
    <w:qFormat/>
    <w:uiPriority w:val="0"/>
    <w:rPr>
      <w:rFonts w:ascii="宋体" w:hAnsi="宋体"/>
      <w:sz w:val="24"/>
    </w:rPr>
  </w:style>
  <w:style w:type="character" w:customStyle="1" w:styleId="124">
    <w:name w:val="文档结构图 字符"/>
    <w:basedOn w:val="40"/>
    <w:link w:val="15"/>
    <w:qFormat/>
    <w:uiPriority w:val="0"/>
    <w:rPr>
      <w:shd w:val="clear" w:color="auto" w:fill="000080"/>
    </w:rPr>
  </w:style>
  <w:style w:type="character" w:customStyle="1" w:styleId="125">
    <w:name w:val="正文文本 字符"/>
    <w:basedOn w:val="40"/>
    <w:link w:val="19"/>
    <w:qFormat/>
    <w:uiPriority w:val="0"/>
    <w:rPr>
      <w:rFonts w:ascii="Arial" w:hAnsi="Arial" w:cs="Arial"/>
      <w:sz w:val="24"/>
    </w:rPr>
  </w:style>
  <w:style w:type="character" w:customStyle="1" w:styleId="126">
    <w:name w:val="纯文本 字符"/>
    <w:basedOn w:val="40"/>
    <w:link w:val="23"/>
    <w:qFormat/>
    <w:uiPriority w:val="0"/>
    <w:rPr>
      <w:rFonts w:ascii="宋体" w:hAnsi="Courier New" w:eastAsia="宋体"/>
    </w:rPr>
  </w:style>
  <w:style w:type="character" w:customStyle="1" w:styleId="127">
    <w:name w:val="正文文本首行缩进 字符"/>
    <w:basedOn w:val="125"/>
    <w:link w:val="36"/>
    <w:qFormat/>
    <w:uiPriority w:val="0"/>
    <w:rPr>
      <w:rFonts w:ascii="Arial" w:hAnsi="Arial" w:cs="Arial"/>
      <w:sz w:val="24"/>
    </w:rPr>
  </w:style>
  <w:style w:type="character" w:customStyle="1" w:styleId="128">
    <w:name w:val="普通(网站) 字符"/>
    <w:link w:val="34"/>
    <w:qFormat/>
    <w:uiPriority w:val="99"/>
    <w:rPr>
      <w:rFonts w:ascii="Arial Unicode MS" w:hAnsi="Arial Unicode MS" w:eastAsia="Arial Unicode MS" w:cs="Arial Unicode MS"/>
      <w:kern w:val="0"/>
      <w:sz w:val="24"/>
      <w:szCs w:val="24"/>
    </w:rPr>
  </w:style>
  <w:style w:type="character" w:customStyle="1" w:styleId="129">
    <w:name w:val="批注文字 字符"/>
    <w:basedOn w:val="40"/>
    <w:link w:val="17"/>
    <w:qFormat/>
    <w:uiPriority w:val="99"/>
    <w:rPr>
      <w:kern w:val="2"/>
      <w:sz w:val="21"/>
    </w:rPr>
  </w:style>
  <w:style w:type="character" w:customStyle="1" w:styleId="130">
    <w:name w:val="批注主题 字符"/>
    <w:basedOn w:val="129"/>
    <w:link w:val="35"/>
    <w:semiHidden/>
    <w:qFormat/>
    <w:uiPriority w:val="99"/>
    <w:rPr>
      <w:b/>
      <w:bCs/>
      <w:kern w:val="2"/>
      <w:sz w:val="21"/>
    </w:rPr>
  </w:style>
  <w:style w:type="character" w:customStyle="1" w:styleId="131">
    <w:name w:val="bookmark-item"/>
    <w:basedOn w:val="40"/>
    <w:qFormat/>
    <w:uiPriority w:val="0"/>
  </w:style>
  <w:style w:type="character" w:customStyle="1" w:styleId="132">
    <w:name w:val="0正文 Char"/>
    <w:link w:val="81"/>
    <w:qFormat/>
    <w:uiPriority w:val="0"/>
    <w:rPr>
      <w:rFonts w:ascii="Calibri" w:hAnsi="Calibri" w:cs="黑体"/>
      <w:kern w:val="2"/>
      <w:szCs w:val="22"/>
    </w:rPr>
  </w:style>
  <w:style w:type="table" w:customStyle="1" w:styleId="133">
    <w:name w:val="Grid Table 5 Dark Accent 3"/>
    <w:basedOn w:val="3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paragraph" w:customStyle="1" w:styleId="1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20848</Words>
  <Characters>22042</Characters>
  <Lines>211</Lines>
  <Paragraphs>59</Paragraphs>
  <TotalTime>26</TotalTime>
  <ScaleCrop>false</ScaleCrop>
  <LinksUpToDate>false</LinksUpToDate>
  <CharactersWithSpaces>25295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WPS_1596254397</cp:lastModifiedBy>
  <cp:lastPrinted>2021-07-13T03:13:00Z</cp:lastPrinted>
  <dcterms:modified xsi:type="dcterms:W3CDTF">2022-04-13T04:23:06Z</dcterms:modified>
  <dc:title>教育教学平台建设项目—新疆艺术学院思政课教学资源项目_x000B_采购文件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134BB1327294411284E80FF119819075</vt:lpwstr>
  </property>
</Properties>
</file>