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left"/>
        <w:rPr>
          <w:rFonts w:hint="eastAsia" w:cs="宋体" w:asciiTheme="minorEastAsia" w:hAnsiTheme="minorEastAsia" w:eastAsiaTheme="minorEastAsia"/>
          <w:sz w:val="32"/>
          <w:szCs w:val="32"/>
          <w:u w:val="single"/>
          <w:lang w:val="en-US" w:eastAsia="zh-CN"/>
        </w:rPr>
      </w:pPr>
      <w:bookmarkStart w:id="0" w:name="_Toc406670710"/>
      <w:bookmarkStart w:id="1" w:name="_Toc406671674"/>
      <w:bookmarkStart w:id="2" w:name="_Toc406672380"/>
      <w:bookmarkStart w:id="3" w:name="_Toc406671082"/>
      <w:r>
        <w:rPr>
          <w:rFonts w:ascii="Times New Roman"/>
          <w:sz w:val="20"/>
        </w:rPr>
        <w:drawing>
          <wp:inline distT="0" distB="0" distL="0" distR="0">
            <wp:extent cx="1364615" cy="612775"/>
            <wp:effectExtent l="0" t="0" r="6985" b="1587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 cstate="print"/>
                    <a:stretch>
                      <a:fillRect/>
                    </a:stretch>
                  </pic:blipFill>
                  <pic:spPr>
                    <a:xfrm>
                      <a:off x="0" y="0"/>
                      <a:ext cx="1364615" cy="612775"/>
                    </a:xfrm>
                    <a:prstGeom prst="rect">
                      <a:avLst/>
                    </a:prstGeom>
                  </pic:spPr>
                </pic:pic>
              </a:graphicData>
            </a:graphic>
          </wp:inline>
        </w:drawing>
      </w:r>
    </w:p>
    <w:p>
      <w:pPr>
        <w:spacing w:after="120" w:line="360" w:lineRule="auto"/>
        <w:jc w:val="center"/>
        <w:rPr>
          <w:rFonts w:hint="eastAsia" w:cs="宋体" w:asciiTheme="minorEastAsia" w:hAnsiTheme="minorEastAsia" w:eastAsiaTheme="minorEastAsia"/>
          <w:sz w:val="40"/>
          <w:szCs w:val="40"/>
          <w:u w:val="single"/>
          <w:lang w:val="en-US" w:eastAsia="zh-CN"/>
        </w:rPr>
      </w:pPr>
    </w:p>
    <w:p>
      <w:pPr>
        <w:spacing w:after="120" w:line="360" w:lineRule="auto"/>
        <w:jc w:val="center"/>
        <w:rPr>
          <w:rFonts w:hint="eastAsia" w:cs="宋体" w:asciiTheme="minorEastAsia" w:hAnsiTheme="minorEastAsia" w:eastAsiaTheme="minorEastAsia"/>
          <w:bCs/>
          <w:sz w:val="40"/>
          <w:szCs w:val="40"/>
        </w:rPr>
      </w:pPr>
      <w:r>
        <w:rPr>
          <w:rFonts w:hint="eastAsia" w:cs="宋体" w:asciiTheme="minorEastAsia" w:hAnsiTheme="minorEastAsia" w:eastAsiaTheme="minorEastAsia"/>
          <w:bCs/>
          <w:sz w:val="40"/>
          <w:szCs w:val="40"/>
          <w:lang w:val="en-US" w:eastAsia="zh-CN"/>
        </w:rPr>
        <w:t>自治区妇幼保健院（自治区第八人民医院）中药饮片、中药配方颗粒采购项目（标项一）</w:t>
      </w:r>
    </w:p>
    <w:p>
      <w:pPr>
        <w:spacing w:after="120" w:line="360" w:lineRule="auto"/>
        <w:jc w:val="center"/>
        <w:rPr>
          <w:rFonts w:cs="宋体" w:asciiTheme="minorEastAsia" w:hAnsiTheme="minorEastAsia" w:eastAsiaTheme="minorEastAsia"/>
          <w:bCs/>
          <w:sz w:val="40"/>
          <w:szCs w:val="40"/>
        </w:rPr>
      </w:pPr>
      <w:r>
        <w:rPr>
          <w:rFonts w:hint="eastAsia" w:cs="宋体" w:asciiTheme="minorEastAsia" w:hAnsiTheme="minorEastAsia" w:eastAsiaTheme="minorEastAsia"/>
          <w:bCs/>
          <w:sz w:val="40"/>
          <w:szCs w:val="40"/>
        </w:rPr>
        <w:t>（项目编号：</w:t>
      </w:r>
      <w:r>
        <w:rPr>
          <w:rFonts w:hint="eastAsia" w:cs="宋体" w:asciiTheme="minorEastAsia" w:hAnsiTheme="minorEastAsia" w:eastAsiaTheme="minorEastAsia"/>
          <w:bCs/>
          <w:sz w:val="40"/>
          <w:szCs w:val="40"/>
          <w:lang w:val="en-US" w:eastAsia="zh-CN"/>
        </w:rPr>
        <w:t>2022</w:t>
      </w:r>
      <w:r>
        <w:rPr>
          <w:rFonts w:cs="宋体" w:asciiTheme="minorEastAsia" w:hAnsiTheme="minorEastAsia" w:eastAsiaTheme="minorEastAsia"/>
          <w:bCs/>
          <w:sz w:val="40"/>
          <w:szCs w:val="40"/>
        </w:rPr>
        <w:t>-</w:t>
      </w:r>
      <w:r>
        <w:rPr>
          <w:rFonts w:hint="eastAsia" w:cs="宋体" w:asciiTheme="minorEastAsia" w:hAnsiTheme="minorEastAsia" w:eastAsiaTheme="minorEastAsia"/>
          <w:bCs/>
          <w:sz w:val="40"/>
          <w:szCs w:val="40"/>
          <w:lang w:val="en-US" w:eastAsia="zh-CN"/>
        </w:rPr>
        <w:t>ZFCG-0004-01</w:t>
      </w:r>
      <w:r>
        <w:rPr>
          <w:rFonts w:hint="eastAsia" w:cs="宋体" w:asciiTheme="minorEastAsia" w:hAnsiTheme="minorEastAsia" w:eastAsiaTheme="minorEastAsia"/>
          <w:bCs/>
          <w:sz w:val="40"/>
          <w:szCs w:val="40"/>
        </w:rPr>
        <w:t>）</w:t>
      </w:r>
    </w:p>
    <w:p>
      <w:pPr>
        <w:spacing w:after="120" w:line="360" w:lineRule="auto"/>
        <w:jc w:val="center"/>
        <w:rPr>
          <w:rFonts w:cs="宋体" w:asciiTheme="minorEastAsia" w:hAnsiTheme="minorEastAsia" w:eastAsiaTheme="minorEastAsia"/>
          <w:sz w:val="32"/>
          <w:szCs w:val="32"/>
        </w:rPr>
      </w:pPr>
    </w:p>
    <w:p>
      <w:pPr>
        <w:spacing w:line="360" w:lineRule="auto"/>
        <w:jc w:val="center"/>
        <w:rPr>
          <w:rFonts w:cs="宋体" w:asciiTheme="minorEastAsia" w:hAnsiTheme="minorEastAsia" w:eastAsiaTheme="minorEastAsia"/>
          <w:b/>
          <w:szCs w:val="21"/>
          <w:u w:val="single"/>
        </w:rPr>
      </w:pPr>
    </w:p>
    <w:p>
      <w:pPr>
        <w:spacing w:after="120" w:line="360" w:lineRule="auto"/>
        <w:jc w:val="center"/>
        <w:rPr>
          <w:rFonts w:cs="宋体" w:asciiTheme="minorEastAsia" w:hAnsiTheme="minorEastAsia" w:eastAsiaTheme="minorEastAsia"/>
          <w:b/>
          <w:bCs/>
          <w:sz w:val="72"/>
          <w:szCs w:val="72"/>
        </w:rPr>
      </w:pPr>
      <w:r>
        <w:rPr>
          <w:rFonts w:hint="eastAsia" w:cs="宋体" w:asciiTheme="minorEastAsia" w:hAnsiTheme="minorEastAsia" w:eastAsiaTheme="minorEastAsia"/>
          <w:b/>
          <w:bCs/>
          <w:sz w:val="72"/>
          <w:szCs w:val="72"/>
          <w:lang w:eastAsia="zh-CN"/>
        </w:rPr>
        <w:t>招标</w:t>
      </w:r>
      <w:r>
        <w:rPr>
          <w:rFonts w:hint="eastAsia" w:cs="宋体" w:asciiTheme="minorEastAsia" w:hAnsiTheme="minorEastAsia" w:eastAsiaTheme="minorEastAsia"/>
          <w:b/>
          <w:bCs/>
          <w:sz w:val="72"/>
          <w:szCs w:val="72"/>
        </w:rPr>
        <w:t>文件</w:t>
      </w:r>
    </w:p>
    <w:p>
      <w:pPr>
        <w:spacing w:after="120" w:line="360" w:lineRule="auto"/>
        <w:jc w:val="center"/>
        <w:rPr>
          <w:rFonts w:cs="宋体" w:asciiTheme="minorEastAsia" w:hAnsiTheme="minorEastAsia" w:eastAsiaTheme="minorEastAsia"/>
          <w:b/>
          <w:sz w:val="32"/>
          <w:szCs w:val="32"/>
        </w:rPr>
      </w:pPr>
    </w:p>
    <w:p>
      <w:pPr>
        <w:pStyle w:val="8"/>
      </w:pPr>
    </w:p>
    <w:p>
      <w:pPr>
        <w:spacing w:line="360" w:lineRule="auto"/>
        <w:jc w:val="center"/>
        <w:rPr>
          <w:rFonts w:hint="default" w:asciiTheme="minorEastAsia" w:hAnsiTheme="minorEastAsia" w:eastAsiaTheme="minorEastAsia"/>
          <w:sz w:val="28"/>
          <w:szCs w:val="28"/>
          <w:u w:val="none"/>
          <w:lang w:val="en-US" w:eastAsia="zh-CN"/>
        </w:rPr>
      </w:pPr>
      <w:r>
        <w:rPr>
          <w:rFonts w:asciiTheme="minorEastAsia" w:hAnsiTheme="minorEastAsia" w:eastAsiaTheme="minorEastAsia"/>
          <w:sz w:val="28"/>
          <w:szCs w:val="28"/>
          <w:u w:val="none"/>
        </w:rPr>
        <w:t>采购人：</w:t>
      </w:r>
      <w:r>
        <w:rPr>
          <w:rFonts w:hint="eastAsia" w:asciiTheme="minorEastAsia" w:hAnsiTheme="minorEastAsia" w:eastAsiaTheme="minorEastAsia"/>
          <w:sz w:val="28"/>
          <w:szCs w:val="28"/>
          <w:u w:val="none"/>
        </w:rPr>
        <w:t>新疆维吾尔自治区妇幼保健院（自治区第八人民医院）</w:t>
      </w:r>
    </w:p>
    <w:p>
      <w:pPr>
        <w:spacing w:line="360" w:lineRule="auto"/>
        <w:jc w:val="center"/>
        <w:rPr>
          <w:rFonts w:asciiTheme="minorEastAsia" w:hAnsiTheme="minorEastAsia" w:eastAsiaTheme="minorEastAsia"/>
          <w:sz w:val="28"/>
          <w:szCs w:val="28"/>
          <w:u w:val="none"/>
        </w:rPr>
      </w:pPr>
      <w:r>
        <w:rPr>
          <w:rFonts w:asciiTheme="minorEastAsia" w:hAnsiTheme="minorEastAsia" w:eastAsiaTheme="minorEastAsia"/>
          <w:sz w:val="28"/>
          <w:szCs w:val="28"/>
          <w:u w:val="none"/>
        </w:rPr>
        <w:t xml:space="preserve">采购代理机构： </w:t>
      </w:r>
      <w:r>
        <w:rPr>
          <w:rFonts w:hint="eastAsia" w:asciiTheme="minorEastAsia" w:hAnsiTheme="minorEastAsia" w:eastAsiaTheme="minorEastAsia"/>
          <w:sz w:val="28"/>
          <w:szCs w:val="28"/>
          <w:u w:val="none"/>
          <w:lang w:eastAsia="zh-CN"/>
        </w:rPr>
        <w:t>新疆正禾招投标</w:t>
      </w:r>
      <w:r>
        <w:rPr>
          <w:rFonts w:hint="eastAsia" w:asciiTheme="minorEastAsia" w:hAnsiTheme="minorEastAsia" w:eastAsiaTheme="minorEastAsia"/>
          <w:sz w:val="28"/>
          <w:szCs w:val="28"/>
          <w:u w:val="none"/>
        </w:rPr>
        <w:t>有限公司</w:t>
      </w:r>
    </w:p>
    <w:p>
      <w:pPr>
        <w:spacing w:after="120" w:line="360" w:lineRule="auto"/>
        <w:jc w:val="center"/>
        <w:rPr>
          <w:rFonts w:hint="eastAsia" w:cs="宋体" w:asciiTheme="minorEastAsia" w:hAnsiTheme="minorEastAsia" w:eastAsiaTheme="minorEastAsia"/>
          <w:sz w:val="24"/>
          <w:szCs w:val="24"/>
          <w:u w:val="none"/>
          <w:lang w:val="en-US" w:eastAsia="zh-CN"/>
        </w:rPr>
        <w:sectPr>
          <w:footerReference r:id="rId5" w:type="default"/>
          <w:pgSz w:w="11906" w:h="16838"/>
          <w:pgMar w:top="1440" w:right="1701" w:bottom="1440" w:left="1701" w:header="851" w:footer="992" w:gutter="0"/>
          <w:pgNumType w:fmt="decimal"/>
          <w:cols w:space="720" w:num="1"/>
          <w:docGrid w:type="linesAndChars" w:linePitch="380" w:charSpace="0"/>
        </w:sectPr>
      </w:pPr>
      <w:r>
        <w:rPr>
          <w:rFonts w:cs="宋体" w:asciiTheme="minorEastAsia" w:hAnsiTheme="minorEastAsia" w:eastAsiaTheme="minorEastAsia"/>
          <w:sz w:val="24"/>
          <w:szCs w:val="24"/>
          <w:u w:val="none"/>
        </w:rPr>
        <w:t xml:space="preserve"> </w:t>
      </w:r>
      <w:r>
        <w:rPr>
          <w:rFonts w:hint="eastAsia" w:cs="宋体" w:asciiTheme="minorEastAsia" w:hAnsiTheme="minorEastAsia" w:eastAsiaTheme="minorEastAsia"/>
          <w:sz w:val="24"/>
          <w:szCs w:val="24"/>
          <w:u w:val="none"/>
          <w:lang w:eastAsia="zh-CN"/>
        </w:rPr>
        <w:t>二零二二年</w:t>
      </w:r>
      <w:r>
        <w:rPr>
          <w:rFonts w:hint="eastAsia" w:cs="宋体" w:asciiTheme="minorEastAsia" w:hAnsiTheme="minorEastAsia" w:eastAsiaTheme="minorEastAsia"/>
          <w:sz w:val="24"/>
          <w:szCs w:val="24"/>
          <w:u w:val="none"/>
          <w:lang w:val="en-US" w:eastAsia="zh-CN"/>
        </w:rPr>
        <w:t>4</w:t>
      </w:r>
      <w:r>
        <w:rPr>
          <w:rFonts w:hint="eastAsia" w:cs="宋体" w:asciiTheme="minorEastAsia" w:hAnsiTheme="minorEastAsia" w:eastAsiaTheme="minorEastAsia"/>
          <w:sz w:val="24"/>
          <w:szCs w:val="24"/>
          <w:u w:val="none"/>
          <w:lang w:eastAsia="zh-CN"/>
        </w:rPr>
        <w:t>月</w:t>
      </w:r>
    </w:p>
    <w:sdt>
      <w:sdtPr>
        <w:rPr>
          <w:rFonts w:ascii="宋体" w:hAnsi="宋体" w:eastAsia="宋体" w:cs="Times New Roman"/>
          <w:kern w:val="2"/>
          <w:sz w:val="21"/>
          <w:szCs w:val="24"/>
          <w:lang w:val="en-US" w:eastAsia="zh-CN" w:bidi="ar-SA"/>
        </w:rPr>
        <w:id w:val="147465966"/>
        <w15:color w:val="DBDBDB"/>
        <w:docPartObj>
          <w:docPartGallery w:val="Table of Contents"/>
          <w:docPartUnique/>
        </w:docPartObj>
      </w:sdtPr>
      <w:sdtEndPr>
        <w:rPr>
          <w:rFonts w:hint="eastAsia" w:ascii="Calibri" w:hAnsi="Calibri" w:eastAsia="宋体" w:cs="Times New Roman"/>
          <w:b/>
          <w:kern w:val="2"/>
          <w:sz w:val="21"/>
          <w:szCs w:val="22"/>
          <w:lang w:val="en-US" w:eastAsia="zh-CN" w:bidi="ar-SA"/>
        </w:rPr>
      </w:sdtEndPr>
      <w:sdtContent>
        <w:p>
          <w:pPr>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录</w:t>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_Toc20097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第一部分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公开招标公告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_Toc20097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_Toc23034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第二部分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_Toc23034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ind w:left="220" w:leftChars="0" w:hanging="220" w:hangingChars="92"/>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_Toc311 </w:instrText>
          </w:r>
          <w:r>
            <w:rPr>
              <w:rFonts w:hint="eastAsia" w:ascii="宋体" w:hAnsi="宋体" w:eastAsia="宋体" w:cs="宋体"/>
              <w:sz w:val="24"/>
              <w:szCs w:val="24"/>
            </w:rPr>
            <w:fldChar w:fldCharType="separate"/>
          </w:r>
          <w:r>
            <w:rPr>
              <w:rFonts w:hint="eastAsia" w:ascii="宋体" w:hAnsi="宋体" w:eastAsia="宋体" w:cs="宋体"/>
              <w:sz w:val="24"/>
              <w:szCs w:val="24"/>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ind w:left="220" w:leftChars="0" w:hanging="220" w:hangingChars="92"/>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_Toc22133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投标人</w:t>
          </w:r>
          <w:r>
            <w:rPr>
              <w:rFonts w:hint="eastAsia" w:ascii="宋体" w:hAnsi="宋体" w:eastAsia="宋体" w:cs="宋体"/>
              <w:sz w:val="24"/>
              <w:szCs w:val="24"/>
            </w:rPr>
            <w:t>须知正文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_Toc22133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_Toc15886 </w:instrText>
          </w:r>
          <w:r>
            <w:rPr>
              <w:rFonts w:hint="eastAsia" w:ascii="宋体" w:hAnsi="宋体" w:eastAsia="宋体" w:cs="宋体"/>
              <w:sz w:val="24"/>
              <w:szCs w:val="24"/>
            </w:rPr>
            <w:fldChar w:fldCharType="separate"/>
          </w:r>
          <w:r>
            <w:rPr>
              <w:rFonts w:hint="eastAsia" w:ascii="宋体" w:hAnsi="宋体" w:eastAsia="宋体" w:cs="宋体"/>
              <w:sz w:val="24"/>
              <w:szCs w:val="24"/>
            </w:rPr>
            <w:t>一、总则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_Toc15886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_Toc14522 </w:instrText>
          </w:r>
          <w:r>
            <w:rPr>
              <w:rFonts w:hint="eastAsia" w:ascii="宋体" w:hAnsi="宋体" w:eastAsia="宋体" w:cs="宋体"/>
              <w:sz w:val="24"/>
              <w:szCs w:val="24"/>
            </w:rPr>
            <w:fldChar w:fldCharType="separate"/>
          </w:r>
          <w:r>
            <w:rPr>
              <w:rFonts w:hint="eastAsia" w:ascii="宋体" w:hAnsi="宋体" w:eastAsia="宋体" w:cs="宋体"/>
              <w:sz w:val="24"/>
              <w:szCs w:val="24"/>
            </w:rPr>
            <w:t>二、招标文件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_Toc14522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_Toc15872 </w:instrText>
          </w:r>
          <w:r>
            <w:rPr>
              <w:rFonts w:hint="eastAsia" w:ascii="宋体" w:hAnsi="宋体" w:eastAsia="宋体" w:cs="宋体"/>
              <w:sz w:val="24"/>
              <w:szCs w:val="24"/>
            </w:rPr>
            <w:fldChar w:fldCharType="separate"/>
          </w:r>
          <w:r>
            <w:rPr>
              <w:rFonts w:hint="eastAsia" w:ascii="宋体" w:hAnsi="宋体" w:eastAsia="宋体" w:cs="宋体"/>
              <w:sz w:val="24"/>
              <w:szCs w:val="24"/>
            </w:rPr>
            <w:t>三、投标文件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_Toc15872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_Toc28985 </w:instrText>
          </w:r>
          <w:r>
            <w:rPr>
              <w:rFonts w:hint="eastAsia" w:ascii="宋体" w:hAnsi="宋体" w:eastAsia="宋体" w:cs="宋体"/>
              <w:sz w:val="24"/>
              <w:szCs w:val="24"/>
            </w:rPr>
            <w:fldChar w:fldCharType="separate"/>
          </w:r>
          <w:r>
            <w:rPr>
              <w:rFonts w:hint="eastAsia" w:ascii="宋体" w:hAnsi="宋体" w:eastAsia="宋体" w:cs="宋体"/>
              <w:sz w:val="24"/>
              <w:szCs w:val="24"/>
            </w:rPr>
            <w:t>四、投标保证金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_Toc28985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_Toc26010 </w:instrText>
          </w:r>
          <w:r>
            <w:rPr>
              <w:rFonts w:hint="eastAsia" w:ascii="宋体" w:hAnsi="宋体" w:eastAsia="宋体" w:cs="宋体"/>
              <w:sz w:val="24"/>
              <w:szCs w:val="24"/>
            </w:rPr>
            <w:fldChar w:fldCharType="separate"/>
          </w:r>
          <w:r>
            <w:rPr>
              <w:rFonts w:hint="eastAsia" w:ascii="宋体" w:hAnsi="宋体" w:eastAsia="宋体" w:cs="宋体"/>
              <w:sz w:val="24"/>
              <w:szCs w:val="24"/>
            </w:rPr>
            <w:t>五、投标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_Toc26010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_Toc6340 </w:instrText>
          </w:r>
          <w:r>
            <w:rPr>
              <w:rFonts w:hint="eastAsia" w:ascii="宋体" w:hAnsi="宋体" w:eastAsia="宋体" w:cs="宋体"/>
              <w:sz w:val="24"/>
              <w:szCs w:val="24"/>
            </w:rPr>
            <w:fldChar w:fldCharType="separate"/>
          </w:r>
          <w:r>
            <w:rPr>
              <w:rFonts w:hint="eastAsia" w:ascii="宋体" w:hAnsi="宋体" w:eastAsia="宋体" w:cs="宋体"/>
              <w:sz w:val="24"/>
              <w:szCs w:val="24"/>
            </w:rPr>
            <w:t>六、开标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_Toc6340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_Toc24338 </w:instrText>
          </w:r>
          <w:r>
            <w:rPr>
              <w:rFonts w:hint="eastAsia" w:ascii="宋体" w:hAnsi="宋体" w:eastAsia="宋体" w:cs="宋体"/>
              <w:sz w:val="24"/>
              <w:szCs w:val="24"/>
            </w:rPr>
            <w:fldChar w:fldCharType="separate"/>
          </w:r>
          <w:r>
            <w:rPr>
              <w:rFonts w:hint="eastAsia" w:ascii="宋体" w:hAnsi="宋体" w:eastAsia="宋体" w:cs="宋体"/>
              <w:sz w:val="24"/>
              <w:szCs w:val="24"/>
            </w:rPr>
            <w:t>七、评标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_Toc24338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_Toc31416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八</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_Toc31416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_Toc29254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sz w:val="24"/>
              <w:szCs w:val="24"/>
            </w:rPr>
            <w:t>、</w:t>
          </w:r>
          <w:r>
            <w:rPr>
              <w:rFonts w:hint="eastAsia" w:ascii="宋体" w:hAnsi="宋体" w:eastAsia="宋体" w:cs="宋体"/>
              <w:sz w:val="24"/>
              <w:szCs w:val="24"/>
              <w:lang w:eastAsia="zh-CN"/>
            </w:rPr>
            <w:t>合同签订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_Toc29254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_Toc10633 </w:instrText>
          </w:r>
          <w:r>
            <w:rPr>
              <w:rFonts w:hint="eastAsia" w:ascii="宋体" w:hAnsi="宋体" w:eastAsia="宋体" w:cs="宋体"/>
              <w:sz w:val="24"/>
              <w:szCs w:val="24"/>
            </w:rPr>
            <w:fldChar w:fldCharType="separate"/>
          </w:r>
          <w:r>
            <w:rPr>
              <w:rFonts w:hint="eastAsia" w:ascii="宋体" w:hAnsi="宋体" w:eastAsia="宋体" w:cs="宋体"/>
              <w:sz w:val="24"/>
              <w:szCs w:val="24"/>
            </w:rPr>
            <w:t>十、处罚、询问和质疑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_Toc10633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_Toc29094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、保密和披露</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_Toc29094 \h </w:instrText>
          </w:r>
          <w:r>
            <w:rPr>
              <w:rFonts w:hint="eastAsia" w:ascii="宋体" w:hAnsi="宋体" w:eastAsia="宋体" w:cs="宋体"/>
              <w:sz w:val="24"/>
              <w:szCs w:val="24"/>
            </w:rPr>
            <w:fldChar w:fldCharType="separate"/>
          </w:r>
          <w:r>
            <w:rPr>
              <w:rFonts w:hint="eastAsia" w:ascii="宋体" w:hAnsi="宋体" w:eastAsia="宋体" w:cs="宋体"/>
              <w:sz w:val="24"/>
              <w:szCs w:val="24"/>
            </w:rPr>
            <w:t>30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_Toc14479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eastAsia="zh-CN"/>
            </w:rPr>
            <w:t>十二</w:t>
          </w:r>
          <w:r>
            <w:rPr>
              <w:rFonts w:hint="eastAsia" w:ascii="宋体" w:hAnsi="宋体" w:eastAsia="宋体" w:cs="宋体"/>
              <w:sz w:val="24"/>
              <w:szCs w:val="24"/>
              <w:highlight w:val="none"/>
            </w:rPr>
            <w:t>、代理服务费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_Toc14479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_Toc2885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 xml:space="preserve">十三、 </w:t>
          </w:r>
          <w:r>
            <w:rPr>
              <w:rFonts w:hint="eastAsia" w:ascii="宋体" w:hAnsi="宋体" w:eastAsia="宋体" w:cs="宋体"/>
              <w:sz w:val="24"/>
              <w:szCs w:val="24"/>
              <w:highlight w:val="none"/>
              <w:lang w:eastAsia="zh-CN"/>
            </w:rPr>
            <w:t>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_Toc2885 \h </w:instrText>
          </w:r>
          <w:r>
            <w:rPr>
              <w:rFonts w:hint="eastAsia" w:ascii="宋体" w:hAnsi="宋体" w:eastAsia="宋体" w:cs="宋体"/>
              <w:sz w:val="24"/>
              <w:szCs w:val="24"/>
            </w:rPr>
            <w:fldChar w:fldCharType="separate"/>
          </w:r>
          <w:r>
            <w:rPr>
              <w:rFonts w:hint="eastAsia" w:ascii="宋体" w:hAnsi="宋体" w:eastAsia="宋体" w:cs="宋体"/>
              <w:sz w:val="24"/>
              <w:szCs w:val="24"/>
            </w:rPr>
            <w:t>32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_Toc19775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第三部分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_Toc19775 \h </w:instrText>
          </w:r>
          <w:r>
            <w:rPr>
              <w:rFonts w:hint="eastAsia" w:ascii="宋体" w:hAnsi="宋体" w:eastAsia="宋体" w:cs="宋体"/>
              <w:sz w:val="24"/>
              <w:szCs w:val="24"/>
            </w:rPr>
            <w:fldChar w:fldCharType="separate"/>
          </w:r>
          <w:r>
            <w:rPr>
              <w:rFonts w:hint="eastAsia" w:ascii="宋体" w:hAnsi="宋体" w:eastAsia="宋体" w:cs="宋体"/>
              <w:sz w:val="24"/>
              <w:szCs w:val="24"/>
            </w:rPr>
            <w:t>33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第四部分 评标办法及评分标准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_Toc25798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_Toc14137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_Toc14137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_Toc14760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_Toc14760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1"/>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_Toc11127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三、无效标条款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_Toc11127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_Toc30568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第五部分 政府采购合同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_Toc30568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keepNext w:val="0"/>
            <w:keepLines w:val="0"/>
            <w:pageBreakBefore w:val="0"/>
            <w:tabs>
              <w:tab w:val="right" w:leader="dot" w:pos="8307"/>
              <w:tab w:val="clear" w:pos="9061"/>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_Toc18795 </w:instrText>
          </w:r>
          <w:r>
            <w:rPr>
              <w:rFonts w:hint="eastAsia" w:ascii="宋体" w:hAnsi="宋体" w:eastAsia="宋体" w:cs="宋体"/>
              <w:sz w:val="24"/>
              <w:szCs w:val="24"/>
            </w:rPr>
            <w:fldChar w:fldCharType="separate"/>
          </w:r>
          <w:r>
            <w:rPr>
              <w:rFonts w:hint="eastAsia" w:ascii="宋体" w:hAnsi="宋体" w:eastAsia="宋体" w:cs="宋体"/>
              <w:bCs w:val="0"/>
              <w:sz w:val="24"/>
              <w:szCs w:val="24"/>
            </w:rPr>
            <w:t>第六部分 投标文件</w:t>
          </w:r>
          <w:r>
            <w:rPr>
              <w:rFonts w:hint="eastAsia" w:ascii="宋体" w:hAnsi="宋体" w:eastAsia="宋体" w:cs="宋体"/>
              <w:bCs w:val="0"/>
              <w:sz w:val="24"/>
              <w:szCs w:val="24"/>
              <w:lang w:eastAsia="zh-CN"/>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_Toc18795 \h </w:instrText>
          </w:r>
          <w:r>
            <w:rPr>
              <w:rFonts w:hint="eastAsia" w:ascii="宋体" w:hAnsi="宋体" w:eastAsia="宋体" w:cs="宋体"/>
              <w:sz w:val="24"/>
              <w:szCs w:val="24"/>
            </w:rPr>
            <w:fldChar w:fldCharType="separate"/>
          </w:r>
          <w:r>
            <w:rPr>
              <w:rFonts w:hint="eastAsia" w:ascii="宋体" w:hAnsi="宋体" w:eastAsia="宋体" w:cs="宋体"/>
              <w:sz w:val="24"/>
              <w:szCs w:val="24"/>
            </w:rPr>
            <w:t>64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8"/>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ascii="宋体" w:hAnsi="宋体" w:eastAsia="宋体" w:cs="宋体"/>
              <w:sz w:val="24"/>
              <w:szCs w:val="24"/>
            </w:rPr>
            <w:fldChar w:fldCharType="end"/>
          </w:r>
        </w:p>
      </w:sdtContent>
    </w:sdt>
    <w:p>
      <w:pPr>
        <w:rPr>
          <w:rFonts w:hint="eastAsia"/>
          <w:lang w:eastAsia="zh-CN"/>
        </w:rPr>
      </w:pPr>
      <w:bookmarkStart w:id="4" w:name="_Toc20097"/>
      <w:bookmarkStart w:id="5" w:name="_Toc41839714"/>
      <w:r>
        <w:rPr>
          <w:rFonts w:hint="eastAsia"/>
          <w:lang w:eastAsia="zh-CN"/>
        </w:rPr>
        <w:br w:type="page"/>
      </w:r>
    </w:p>
    <w:p>
      <w:pPr>
        <w:pStyle w:val="3"/>
        <w:bidi w:val="0"/>
      </w:pPr>
      <w:r>
        <w:rPr>
          <w:rFonts w:hint="eastAsia"/>
          <w:lang w:eastAsia="zh-CN"/>
        </w:rPr>
        <w:t>第一部分</w:t>
      </w:r>
      <w:r>
        <w:rPr>
          <w:rFonts w:hint="eastAsia"/>
          <w:lang w:val="en-US" w:eastAsia="zh-CN"/>
        </w:rPr>
        <w:t xml:space="preserve"> </w:t>
      </w:r>
      <w:r>
        <w:rPr>
          <w:rFonts w:hint="eastAsia"/>
        </w:rPr>
        <w:t>公开招标公告</w:t>
      </w:r>
      <w:bookmarkEnd w:id="4"/>
      <w:bookmarkEnd w:id="5"/>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b/>
          <w:bCs/>
          <w:sz w:val="24"/>
          <w:szCs w:val="24"/>
        </w:rPr>
      </w:pPr>
      <w:bookmarkStart w:id="6" w:name="_Toc28359087"/>
      <w:bookmarkStart w:id="7" w:name="_Toc28359010"/>
      <w:r>
        <w:rPr>
          <w:rFonts w:hint="eastAsia" w:ascii="宋体" w:hAnsi="宋体" w:eastAsia="宋体" w:cs="宋体"/>
          <w:b/>
          <w:bCs/>
          <w:i w:val="0"/>
          <w:iCs w:val="0"/>
          <w:caps w:val="0"/>
          <w:color w:val="000000"/>
          <w:spacing w:val="0"/>
          <w:sz w:val="24"/>
          <w:szCs w:val="24"/>
        </w:rPr>
        <w:t>项目概况</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自治区妇幼保健院（自治区第八人民医院）中药饮片、中药配方颗粒采购项目招标项目的潜在投标人应在新疆乌鲁木齐高新技术产业开发区（新市区）鲤鱼山北路199号集电港A座511室获取招标文件，并于2022年05月09日 11:00（北京时间）前递交投标文件。</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一、项目基本情况</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项目编号：2022-ZFCG-0004-01</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项目名称：自治区妇幼保健院（自治区第八人民医院）中药饮片、中药配方颗粒采购项目</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采购方式：公开招标</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预算金额（元）：3200000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最高限价（元）：1000000,2200000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采购需求：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标项一</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标项名称:中药饮片</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数量:不限</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预算金额（元）:1000000</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简要规格描述或项目基本概况介绍、用途：中药饮片，详见招标文件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备注：</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标项二</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标项名称:中药颗粒</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数量:不限</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预算金额（元）:2200000</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简要规格描述或项目基本概况介绍、用途：中药颗粒，详见招标文件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   备注：</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合同履约期限：标项 1、2，一年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本项目（否）接受联合体投标。</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二、申请人的资格要求：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1.满足《中华人民共和国政府采购法》第二十二条规定；</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2.落实政府采购政策需满足的资格要求：无</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本项目的特定资格要求：标项1：①投标人在“信用中国”（www.creditchina.gov.cn）未被列入重大税收违法案件当事人名单、“中国执行信息公开网”（http://zxgk.court.gov.cn/）未被列入失信被执行人、“中国政府采购网”（www.ccgp.gov.cn）网站上未被列入政府采购严重违法失信行为记录名单；②生产企业具备《药品生产许可证》，经营企业具备《药品经营许可证》（含中药饮片）；</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2：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②生产企业具备《药品生产许可证》，经营企业具备《药品经营许可证》；</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三、获取招标文件</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时间：2022年04月15日至2022年04月22日，每天上午10:00至13:30，下午15:00至19:00（北京时间，法定节假日除外）</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地点：新疆乌鲁木齐高新技术产业开发区（新市区）鲤鱼山北路199号集电港A座511室</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方式：现场购买</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售价（元）：300</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四、提交投标文件截止时间、开标时间和地点</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提交投标文件截止时间：2022年05月09日 11:00（北京时间）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投标地点：新疆乌鲁木齐高新技术产业开发区（新市区）鲤鱼山北路199号集电港A座2020室</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开标时间：2022年05月09日 11:00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开标地点：新疆乌鲁木齐高新技术产业开发区（新市区）鲤鱼山北路199号集电港A座2020室</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五、公告期限</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自本公告发布之日起5个工作日。</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六、其他补充事宜</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无</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Style w:val="29"/>
          <w:rFonts w:hint="eastAsia" w:ascii="宋体" w:hAnsi="宋体" w:eastAsia="宋体" w:cs="宋体"/>
          <w:b/>
          <w:bCs w:val="0"/>
          <w:i w:val="0"/>
          <w:iCs w:val="0"/>
          <w:caps w:val="0"/>
          <w:color w:val="000000"/>
          <w:spacing w:val="0"/>
          <w:sz w:val="24"/>
          <w:szCs w:val="24"/>
        </w:rPr>
      </w:pPr>
      <w:r>
        <w:rPr>
          <w:rStyle w:val="29"/>
          <w:rFonts w:hint="eastAsia" w:ascii="宋体" w:hAnsi="宋体" w:eastAsia="宋体" w:cs="宋体"/>
          <w:b/>
          <w:bCs w:val="0"/>
          <w:i w:val="0"/>
          <w:iCs w:val="0"/>
          <w:caps w:val="0"/>
          <w:color w:val="000000"/>
          <w:spacing w:val="0"/>
          <w:sz w:val="24"/>
          <w:szCs w:val="24"/>
        </w:rPr>
        <w:t>七、对本次采购提出询问，请按以下方式联系</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1.采购人信息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w:t>
      </w:r>
      <w:r>
        <w:rPr>
          <w:rStyle w:val="34"/>
          <w:rFonts w:hint="eastAsia" w:ascii="宋体" w:hAnsi="宋体" w:eastAsia="宋体" w:cs="宋体"/>
          <w:i w:val="0"/>
          <w:iCs w:val="0"/>
          <w:caps w:val="0"/>
          <w:color w:val="000000"/>
          <w:spacing w:val="0"/>
          <w:sz w:val="24"/>
          <w:szCs w:val="24"/>
        </w:rPr>
        <w:t>新疆维吾尔自治区第八人民医院</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址：乌鲁木齐市友好北路789号</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联系方式：0991-7518213</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2.采购代理机构信息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名 称：新疆正禾招投标有限公司</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地 址：新疆乌鲁木齐高新技术产业开发区（新市区）鲤鱼山北路199号驰达-高新区（新市区）电子信息产业加速器1栋511室</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联系方式：0991-6660570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3.项目联系方式</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项目联系人：</w:t>
      </w:r>
      <w:r>
        <w:rPr>
          <w:rStyle w:val="34"/>
          <w:rFonts w:hint="eastAsia" w:ascii="宋体" w:hAnsi="宋体" w:eastAsia="宋体" w:cs="宋体"/>
          <w:i w:val="0"/>
          <w:iCs w:val="0"/>
          <w:caps w:val="0"/>
          <w:color w:val="000000"/>
          <w:spacing w:val="0"/>
          <w:sz w:val="24"/>
          <w:szCs w:val="24"/>
        </w:rPr>
        <w:t>许光辉</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 话：</w:t>
      </w:r>
      <w:r>
        <w:rPr>
          <w:rStyle w:val="34"/>
          <w:rFonts w:hint="eastAsia" w:ascii="宋体" w:hAnsi="宋体" w:eastAsia="宋体" w:cs="宋体"/>
          <w:i w:val="0"/>
          <w:iCs w:val="0"/>
          <w:caps w:val="0"/>
          <w:color w:val="000000"/>
          <w:spacing w:val="0"/>
          <w:sz w:val="24"/>
          <w:szCs w:val="24"/>
        </w:rPr>
        <w:t>0991-6660570</w:t>
      </w:r>
    </w:p>
    <w:p>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4"/>
          <w:szCs w:val="24"/>
        </w:rPr>
      </w:pPr>
    </w:p>
    <w:p>
      <w:pPr>
        <w:widowControl/>
        <w:spacing w:before="170" w:beforeAutospacing="0" w:after="170" w:afterAutospacing="0" w:line="200" w:lineRule="atLeas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bookmarkEnd w:id="6"/>
      <w:bookmarkEnd w:id="7"/>
    </w:p>
    <w:p>
      <w:pPr>
        <w:pStyle w:val="3"/>
        <w:bidi w:val="0"/>
        <w:rPr>
          <w:rFonts w:hint="eastAsia"/>
          <w:lang w:eastAsia="zh-CN"/>
        </w:rPr>
      </w:pPr>
      <w:bookmarkStart w:id="8" w:name="_Toc23034"/>
      <w:bookmarkStart w:id="9" w:name="_Toc481083794"/>
      <w:bookmarkStart w:id="10" w:name="_Toc479871106"/>
      <w:r>
        <w:rPr>
          <w:rFonts w:hint="eastAsia"/>
          <w:lang w:eastAsia="zh-CN"/>
        </w:rPr>
        <w:t>第二部分</w:t>
      </w:r>
      <w:r>
        <w:rPr>
          <w:rFonts w:hint="eastAsia"/>
          <w:lang w:val="en-US" w:eastAsia="zh-CN"/>
        </w:rPr>
        <w:t xml:space="preserve"> </w:t>
      </w:r>
      <w:r>
        <w:rPr>
          <w:rFonts w:hint="eastAsia"/>
          <w:lang w:eastAsia="zh-CN"/>
        </w:rPr>
        <w:t>投标人须知</w:t>
      </w:r>
      <w:bookmarkEnd w:id="8"/>
    </w:p>
    <w:p>
      <w:pPr>
        <w:pStyle w:val="3"/>
        <w:pageBreakBefore w:val="0"/>
        <w:widowControl w:val="0"/>
        <w:kinsoku/>
        <w:wordWrap/>
        <w:overflowPunct/>
        <w:topLinePunct w:val="0"/>
        <w:autoSpaceDE/>
        <w:autoSpaceDN/>
        <w:bidi w:val="0"/>
        <w:adjustRightInd/>
        <w:snapToGrid/>
        <w:spacing w:line="240" w:lineRule="auto"/>
        <w:textAlignment w:val="auto"/>
      </w:pPr>
      <w:bookmarkStart w:id="11" w:name="_Toc311"/>
      <w:r>
        <w:rPr>
          <w:rFonts w:hint="eastAsia"/>
        </w:rPr>
        <w:t>投标人须知前附表</w:t>
      </w:r>
      <w:bookmarkEnd w:id="11"/>
    </w:p>
    <w:bookmarkEnd w:id="9"/>
    <w:bookmarkEnd w:id="10"/>
    <w:tbl>
      <w:tblPr>
        <w:tblStyle w:val="26"/>
        <w:tblW w:w="9081" w:type="dxa"/>
        <w:jc w:val="center"/>
        <w:tblLayout w:type="fixed"/>
        <w:tblCellMar>
          <w:top w:w="0" w:type="dxa"/>
          <w:left w:w="0" w:type="dxa"/>
          <w:bottom w:w="0" w:type="dxa"/>
          <w:right w:w="0" w:type="dxa"/>
        </w:tblCellMar>
      </w:tblPr>
      <w:tblGrid>
        <w:gridCol w:w="572"/>
        <w:gridCol w:w="1761"/>
        <w:gridCol w:w="6748"/>
      </w:tblGrid>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序号</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内容</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说明与要求</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项目名称</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cs="宋体"/>
                <w:sz w:val="24"/>
                <w:szCs w:val="24"/>
                <w:lang w:val="en-US"/>
              </w:rPr>
              <w:t>自治区妇幼保健院（自治区第八人民医院）中药饮片、中药配方颗粒采购项目</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项目编号</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default" w:ascii="宋体" w:hAnsi="宋体" w:eastAsia="宋体" w:cs="宋体"/>
                <w:sz w:val="24"/>
                <w:szCs w:val="24"/>
                <w:lang w:val="en-US"/>
              </w:rPr>
            </w:pPr>
            <w:r>
              <w:rPr>
                <w:rStyle w:val="65"/>
                <w:rFonts w:hint="eastAsia" w:ascii="宋体" w:hAnsi="宋体" w:eastAsia="宋体" w:cs="宋体"/>
                <w:sz w:val="24"/>
                <w:szCs w:val="24"/>
              </w:rPr>
              <w:t>202</w:t>
            </w:r>
            <w:r>
              <w:rPr>
                <w:rStyle w:val="65"/>
                <w:rFonts w:hint="eastAsia" w:ascii="宋体" w:hAnsi="宋体" w:eastAsia="宋体" w:cs="宋体"/>
                <w:sz w:val="24"/>
                <w:szCs w:val="24"/>
                <w:lang w:val="en-US"/>
              </w:rPr>
              <w:t>2</w:t>
            </w:r>
            <w:r>
              <w:rPr>
                <w:rStyle w:val="65"/>
                <w:rFonts w:hint="eastAsia" w:ascii="宋体" w:hAnsi="宋体" w:eastAsia="宋体" w:cs="宋体"/>
                <w:sz w:val="24"/>
                <w:szCs w:val="24"/>
              </w:rPr>
              <w:t>-ZFCG-00</w:t>
            </w:r>
            <w:r>
              <w:rPr>
                <w:rStyle w:val="65"/>
                <w:rFonts w:hint="eastAsia" w:ascii="宋体" w:hAnsi="宋体" w:eastAsia="宋体" w:cs="宋体"/>
                <w:sz w:val="24"/>
                <w:szCs w:val="24"/>
                <w:lang w:val="en-US"/>
              </w:rPr>
              <w:t>0</w:t>
            </w:r>
            <w:r>
              <w:rPr>
                <w:rStyle w:val="65"/>
                <w:rFonts w:hint="eastAsia" w:ascii="宋体" w:hAnsi="宋体" w:cs="宋体"/>
                <w:sz w:val="24"/>
                <w:szCs w:val="24"/>
                <w:lang w:val="en-US"/>
              </w:rPr>
              <w:t>4-01</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联系方式</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1.采购人信息</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名 </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称：</w:t>
            </w:r>
            <w:r>
              <w:rPr>
                <w:rStyle w:val="65"/>
                <w:rFonts w:hint="eastAsia" w:ascii="宋体" w:hAnsi="宋体" w:cs="宋体"/>
                <w:sz w:val="24"/>
                <w:szCs w:val="24"/>
                <w:lang w:val="en-US"/>
              </w:rPr>
              <w:t>自治区妇幼保健院（自治区第八人民医院）</w:t>
            </w:r>
            <w:r>
              <w:rPr>
                <w:rStyle w:val="65"/>
                <w:rFonts w:hint="eastAsia" w:ascii="宋体" w:hAnsi="宋体" w:eastAsia="宋体" w:cs="宋体"/>
                <w:sz w:val="24"/>
                <w:szCs w:val="24"/>
              </w:rPr>
              <w:t>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地</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址：乌鲁木齐市友好北路789号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联系人：</w:t>
            </w:r>
            <w:r>
              <w:rPr>
                <w:rStyle w:val="65"/>
                <w:rFonts w:hint="eastAsia" w:ascii="宋体" w:hAnsi="宋体" w:cs="宋体"/>
                <w:sz w:val="24"/>
                <w:szCs w:val="24"/>
              </w:rPr>
              <w:t>冷哲</w:t>
            </w:r>
            <w:r>
              <w:rPr>
                <w:rStyle w:val="65"/>
                <w:rFonts w:hint="eastAsia" w:ascii="宋体" w:hAnsi="宋体" w:eastAsia="宋体" w:cs="宋体"/>
                <w:sz w:val="24"/>
                <w:szCs w:val="24"/>
              </w:rPr>
              <w:t>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联系方式：0991-7518213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2.采购代理机构信息</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名</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 xml:space="preserve">称：新疆正禾招投标有限公司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地</w:t>
            </w:r>
            <w:r>
              <w:rPr>
                <w:rStyle w:val="65"/>
                <w:rFonts w:hint="eastAsia" w:ascii="宋体" w:hAnsi="宋体" w:eastAsia="宋体" w:cs="宋体"/>
                <w:sz w:val="24"/>
                <w:szCs w:val="24"/>
                <w:lang w:val="en-US"/>
              </w:rPr>
              <w:t xml:space="preserve">  </w:t>
            </w:r>
            <w:r>
              <w:rPr>
                <w:rStyle w:val="65"/>
                <w:rFonts w:hint="eastAsia" w:ascii="宋体" w:hAnsi="宋体" w:eastAsia="宋体" w:cs="宋体"/>
                <w:sz w:val="24"/>
                <w:szCs w:val="24"/>
              </w:rPr>
              <w:t>址：新疆乌鲁木齐高新技术产业开发区（新市区）鲤鱼山北路199号集电港A座511室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联系人：杨慧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联系方式：0991-6660570</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电子邮箱：zh6660570@qq.com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是否接受联合体投标</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5"/>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 xml:space="preserve">不接受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接受，应满足下列要求：</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采购需求</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default" w:ascii="宋体" w:hAnsi="宋体" w:cs="宋体"/>
                <w:sz w:val="24"/>
                <w:szCs w:val="24"/>
                <w:highlight w:val="none"/>
                <w:lang w:val="en-US"/>
              </w:rPr>
            </w:pPr>
            <w:r>
              <w:rPr>
                <w:rStyle w:val="65"/>
                <w:rFonts w:hint="eastAsia" w:ascii="宋体" w:hAnsi="宋体" w:cs="宋体"/>
                <w:sz w:val="24"/>
                <w:szCs w:val="24"/>
                <w:highlight w:val="none"/>
                <w:lang w:val="en-US"/>
              </w:rPr>
              <w:t>标项一：中药饮片，100万元</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default" w:ascii="宋体" w:hAnsi="宋体" w:cs="宋体"/>
                <w:sz w:val="24"/>
                <w:szCs w:val="24"/>
                <w:highlight w:val="none"/>
                <w:lang w:val="en-US"/>
              </w:rPr>
            </w:pPr>
            <w:r>
              <w:rPr>
                <w:rStyle w:val="65"/>
                <w:rFonts w:hint="eastAsia" w:ascii="宋体" w:hAnsi="宋体" w:cs="宋体"/>
                <w:sz w:val="24"/>
                <w:szCs w:val="24"/>
                <w:highlight w:val="none"/>
                <w:lang w:val="en-US"/>
              </w:rPr>
              <w:t>标项二：中药颗粒，220万元</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6</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投标人资格要求</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1.满足《中华人民共和国政府采购法》第二十二条规定；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2.</w:t>
            </w:r>
            <w:r>
              <w:rPr>
                <w:rFonts w:hint="eastAsia" w:ascii="宋体" w:hAnsi="宋体" w:eastAsia="宋体" w:cs="宋体"/>
                <w:sz w:val="24"/>
                <w:szCs w:val="24"/>
              </w:rPr>
              <w:t xml:space="preserve"> </w:t>
            </w:r>
            <w:r>
              <w:rPr>
                <w:rStyle w:val="65"/>
                <w:rFonts w:hint="eastAsia" w:ascii="宋体" w:hAnsi="宋体" w:eastAsia="宋体" w:cs="宋体"/>
                <w:sz w:val="24"/>
                <w:szCs w:val="24"/>
              </w:rPr>
              <w:t>采购项目需要落实的政府采购政策：《政府采购促进中小企业发展管理办法》（财库﹝2020﹞46号）、《关于促进残疾人就业政府采购政策的通知》（财库〔2017〕141号）、《关于政府采购支持监狱企业发展有关问题的通知》（财库[2014]68号）；</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3.本项目的特定资格要求：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rPr>
              <w:t>标项1：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②生产企业具备《药品生产许可证》；经营企业具备《药品经营许可证》（含中药饮片）；</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lang w:val="en-US"/>
              </w:rPr>
              <w:t>7</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服务期限</w:t>
            </w:r>
          </w:p>
        </w:tc>
        <w:tc>
          <w:tcPr>
            <w:tcW w:w="6748" w:type="dxa"/>
            <w:tcBorders>
              <w:top w:val="single" w:color="auto" w:sz="4" w:space="0"/>
              <w:left w:val="nil"/>
              <w:bottom w:val="single" w:color="auto" w:sz="4" w:space="0"/>
              <w:right w:val="single" w:color="auto" w:sz="4" w:space="0"/>
            </w:tcBorders>
            <w:shd w:val="clear" w:color="auto" w:fill="auto"/>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cs="宋体"/>
                <w:sz w:val="24"/>
                <w:szCs w:val="24"/>
                <w:highlight w:val="none"/>
              </w:rPr>
              <w:t>一年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cs="宋体"/>
                <w:b w:val="0"/>
                <w:bCs/>
                <w:sz w:val="24"/>
                <w:szCs w:val="24"/>
                <w:lang w:val="en-US"/>
              </w:rPr>
              <w:t>8</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供货期限</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ind w:left="0" w:leftChars="0" w:firstLine="0" w:firstLineChars="0"/>
              <w:jc w:val="both"/>
              <w:textAlignment w:val="auto"/>
              <w:rPr>
                <w:rStyle w:val="65"/>
                <w:rFonts w:hint="eastAsia" w:ascii="宋体" w:hAnsi="宋体" w:eastAsia="宋体" w:cs="宋体"/>
                <w:sz w:val="24"/>
                <w:szCs w:val="24"/>
                <w:highlight w:val="none"/>
              </w:rPr>
            </w:pPr>
            <w:r>
              <w:rPr>
                <w:rStyle w:val="65"/>
                <w:rFonts w:hint="eastAsia" w:ascii="宋体" w:hAnsi="宋体" w:cs="宋体"/>
                <w:sz w:val="24"/>
                <w:szCs w:val="24"/>
                <w:highlight w:val="none"/>
                <w:lang w:val="en-US"/>
              </w:rPr>
              <w:t>按采购人要求</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cs="宋体"/>
                <w:b w:val="0"/>
                <w:bCs/>
                <w:sz w:val="24"/>
                <w:szCs w:val="24"/>
                <w:lang w:val="en-US"/>
              </w:rPr>
              <w:t>9</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到货地点</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采购人指定地点</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cs="宋体"/>
                <w:b w:val="0"/>
                <w:bCs/>
                <w:sz w:val="24"/>
                <w:szCs w:val="24"/>
                <w:lang w:val="en-US" w:eastAsia="zh-CN"/>
              </w:rPr>
              <w:t>9</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是否需要提交样品</w:t>
            </w:r>
          </w:p>
        </w:tc>
        <w:tc>
          <w:tcPr>
            <w:tcW w:w="6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ind w:left="360" w:hanging="360"/>
              <w:textAlignment w:val="auto"/>
              <w:rPr>
                <w:rFonts w:hint="eastAsia" w:ascii="宋体" w:hAnsi="宋体" w:eastAsia="宋体" w:cs="宋体"/>
                <w:sz w:val="24"/>
                <w:szCs w:val="24"/>
                <w:lang w:val="zh-CN"/>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lang w:val="zh-CN"/>
              </w:rPr>
              <w:t>不需要。</w:t>
            </w:r>
          </w:p>
          <w:p>
            <w:pPr>
              <w:keepNext w:val="0"/>
              <w:keepLines w:val="0"/>
              <w:pageBreakBefore w:val="0"/>
              <w:widowControl w:val="0"/>
              <w:kinsoku/>
              <w:wordWrap/>
              <w:overflowPunct/>
              <w:topLinePunct w:val="0"/>
              <w:autoSpaceDE w:val="0"/>
              <w:autoSpaceDN w:val="0"/>
              <w:bidi w:val="0"/>
              <w:adjustRightInd w:val="0"/>
              <w:snapToGrid/>
              <w:spacing w:before="0" w:beforeAutospacing="0" w:after="0" w:afterAutospacing="0" w:line="360" w:lineRule="auto"/>
              <w:ind w:left="360" w:leftChars="0" w:hanging="360" w:firstLineChars="0"/>
              <w:textAlignment w:val="auto"/>
              <w:rPr>
                <w:rFonts w:hint="eastAsia" w:ascii="宋体" w:hAnsi="宋体" w:eastAsia="宋体" w:cs="宋体"/>
                <w:sz w:val="24"/>
                <w:szCs w:val="24"/>
                <w:lang w:val="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eq \o\ac(</w:instrText>
            </w:r>
            <w:r>
              <w:rPr>
                <w:rFonts w:hint="eastAsia" w:ascii="宋体" w:hAnsi="宋体" w:eastAsia="宋体" w:cs="宋体"/>
                <w:position w:val="-4"/>
                <w:sz w:val="36"/>
                <w:szCs w:val="24"/>
              </w:rPr>
              <w:instrText xml:space="preserve">□</w:instrText>
            </w:r>
            <w:r>
              <w:rPr>
                <w:rFonts w:hint="eastAsia" w:ascii="宋体" w:hAnsi="宋体" w:eastAsia="宋体" w:cs="宋体"/>
                <w:position w:val="0"/>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lang w:val="zh-CN"/>
              </w:rPr>
              <w:t>需要，样品要求如下：</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zh-CN"/>
              </w:rPr>
              <w:t>标项一：</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提供产品清单内标有“☆”产品的样品。</w:t>
            </w:r>
            <w:r>
              <w:rPr>
                <w:rFonts w:hint="eastAsia" w:ascii="宋体" w:hAnsi="宋体" w:eastAsia="宋体" w:cs="宋体"/>
                <w:sz w:val="24"/>
                <w:szCs w:val="24"/>
                <w:lang w:val="en-US" w:eastAsia="zh-CN"/>
              </w:rPr>
              <w:t>（1.黄芪2.党参3.薏苡仁4.炒酸枣仁5.红花6.瓜蒌7.柏子仁 8.火单山桃仁9.大</w:t>
            </w:r>
            <w:r>
              <w:rPr>
                <w:rFonts w:hint="eastAsia" w:ascii="宋体" w:hAnsi="宋体" w:eastAsia="宋体" w:cs="宋体"/>
                <w:sz w:val="24"/>
                <w:szCs w:val="24"/>
                <w:highlight w:val="none"/>
                <w:lang w:val="en-US" w:eastAsia="zh-CN"/>
              </w:rPr>
              <w:t>枣 10.枸杞子11.净山楂12.炙甘草 13.山药14.麦冬15.醋五味子16.郁金17.天麻18.胖大海19.干姜20.肉桂）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2.每个样品需独立小包装，并标明序号及</w:t>
            </w:r>
            <w:bookmarkStart w:id="168" w:name="_GoBack"/>
            <w:bookmarkEnd w:id="168"/>
            <w:r>
              <w:rPr>
                <w:rFonts w:hint="eastAsia" w:ascii="宋体" w:hAnsi="宋体" w:eastAsia="宋体" w:cs="宋体"/>
                <w:sz w:val="24"/>
                <w:szCs w:val="24"/>
                <w:highlight w:val="none"/>
                <w:lang w:val="en-US" w:eastAsia="zh-CN"/>
              </w:rPr>
              <w:t>名称。提供普通饮片100克，贵细饮片20克。</w:t>
            </w:r>
          </w:p>
          <w:p>
            <w:pPr>
              <w:pStyle w:val="8"/>
              <w:keepNext w:val="0"/>
              <w:keepLines w:val="0"/>
              <w:pageBreakBefore w:val="0"/>
              <w:widowControl w:val="0"/>
              <w:kinsoku/>
              <w:wordWrap/>
              <w:overflowPunct/>
              <w:topLinePunct w:val="0"/>
              <w:bidi w:val="0"/>
              <w:snapToGrid/>
              <w:spacing w:beforeAutospacing="0" w:afterAutospacing="0"/>
              <w:textAlignment w:val="auto"/>
              <w:rPr>
                <w:rFonts w:hint="default" w:eastAsia="宋体"/>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.采购活动结束后，退还未中标人提供的样品</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留存中标人提供的样品，作为履约验收的参考。</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0</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踏勘现场</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否自行踏勘。</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统一组织。</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联系人：/    联系电话：/</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踏勘时间：/    踏勘地点：/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1</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投标前答疑会</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不组织</w:t>
            </w:r>
            <w:r>
              <w:rPr>
                <w:rStyle w:val="65"/>
                <w:rFonts w:hint="eastAsia" w:ascii="宋体" w:hAnsi="宋体" w:eastAsia="宋体" w:cs="宋体"/>
                <w:sz w:val="24"/>
                <w:szCs w:val="24"/>
              </w:rPr>
              <w:t>答疑会</w:t>
            </w:r>
            <w:r>
              <w:rPr>
                <w:rFonts w:hint="eastAsia" w:ascii="宋体" w:hAnsi="宋体" w:eastAsia="宋体" w:cs="宋体"/>
                <w:sz w:val="24"/>
                <w:szCs w:val="24"/>
              </w:rPr>
              <w:t xml:space="preserve"> </w:t>
            </w:r>
          </w:p>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rPr>
              <w:t>组织</w:t>
            </w:r>
            <w:r>
              <w:rPr>
                <w:rStyle w:val="65"/>
                <w:rFonts w:hint="eastAsia" w:ascii="宋体" w:hAnsi="宋体" w:eastAsia="宋体" w:cs="宋体"/>
                <w:sz w:val="24"/>
                <w:szCs w:val="24"/>
              </w:rPr>
              <w:t>答疑会</w:t>
            </w:r>
          </w:p>
          <w:p>
            <w:pPr>
              <w:pStyle w:val="71"/>
              <w:keepNext w:val="0"/>
              <w:keepLines w:val="0"/>
              <w:pageBreakBefore w:val="0"/>
              <w:kinsoku/>
              <w:wordWrap/>
              <w:overflowPunct/>
              <w:topLinePunct w:val="0"/>
              <w:bidi w:val="0"/>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组织</w:t>
            </w:r>
            <w:r>
              <w:rPr>
                <w:rStyle w:val="65"/>
                <w:rFonts w:hint="eastAsia" w:ascii="宋体" w:hAnsi="宋体" w:eastAsia="宋体" w:cs="宋体"/>
                <w:sz w:val="24"/>
                <w:szCs w:val="24"/>
              </w:rPr>
              <w:t>答疑</w:t>
            </w:r>
            <w:r>
              <w:rPr>
                <w:rFonts w:hint="eastAsia" w:ascii="宋体" w:hAnsi="宋体" w:eastAsia="宋体" w:cs="宋体"/>
                <w:sz w:val="24"/>
                <w:szCs w:val="24"/>
              </w:rPr>
              <w:t>时间：</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Fonts w:hint="eastAsia" w:ascii="宋体" w:hAnsi="宋体" w:eastAsia="宋体" w:cs="宋体"/>
                <w:sz w:val="24"/>
                <w:szCs w:val="24"/>
              </w:rPr>
              <w:t>组织</w:t>
            </w:r>
            <w:r>
              <w:rPr>
                <w:rStyle w:val="65"/>
                <w:rFonts w:hint="eastAsia" w:ascii="宋体" w:hAnsi="宋体" w:eastAsia="宋体" w:cs="宋体"/>
                <w:sz w:val="24"/>
                <w:szCs w:val="24"/>
              </w:rPr>
              <w:t>答疑</w:t>
            </w:r>
            <w:r>
              <w:rPr>
                <w:rFonts w:hint="eastAsia" w:ascii="宋体" w:hAnsi="宋体" w:eastAsia="宋体" w:cs="宋体"/>
                <w:sz w:val="24"/>
                <w:szCs w:val="24"/>
              </w:rPr>
              <w:t>地点：</w:t>
            </w:r>
            <w:r>
              <w:rPr>
                <w:rStyle w:val="65"/>
                <w:rFonts w:hint="eastAsia" w:ascii="宋体" w:hAnsi="宋体" w:eastAsia="宋体" w:cs="宋体"/>
                <w:sz w:val="24"/>
                <w:szCs w:val="24"/>
              </w:rPr>
              <w:t xml:space="preserve"> </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2</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投标有效期</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Fonts w:hint="eastAsia" w:ascii="宋体" w:hAnsi="宋体" w:eastAsia="宋体" w:cs="宋体"/>
                <w:sz w:val="24"/>
                <w:szCs w:val="24"/>
                <w:lang w:val="zh-CN"/>
              </w:rPr>
              <w:t>自投标截止之日起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9</w:t>
            </w:r>
            <w:r>
              <w:rPr>
                <w:rFonts w:hint="eastAsia" w:ascii="宋体" w:hAnsi="宋体" w:eastAsia="宋体" w:cs="宋体"/>
                <w:sz w:val="24"/>
                <w:szCs w:val="24"/>
                <w:u w:val="single"/>
              </w:rPr>
              <w:t>0</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zh-CN"/>
              </w:rPr>
              <w:t>日历天。</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3</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投标保证金</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lang w:val="en-US" w:eastAsia="zh-CN"/>
              </w:rPr>
            </w:pPr>
            <w:r>
              <w:rPr>
                <w:rStyle w:val="65"/>
                <w:rFonts w:hint="eastAsia" w:ascii="宋体" w:hAnsi="宋体" w:eastAsia="宋体" w:cs="宋体"/>
                <w:sz w:val="24"/>
                <w:szCs w:val="24"/>
                <w:lang w:val="en-US" w:eastAsia="zh-CN"/>
              </w:rPr>
              <w:t>1.投标</w:t>
            </w:r>
            <w:r>
              <w:rPr>
                <w:rStyle w:val="65"/>
                <w:rFonts w:hint="eastAsia" w:ascii="宋体" w:hAnsi="宋体" w:eastAsia="宋体" w:cs="宋体"/>
                <w:sz w:val="24"/>
                <w:szCs w:val="24"/>
              </w:rPr>
              <w:t>保证金的金额：</w:t>
            </w:r>
            <w:r>
              <w:rPr>
                <w:rStyle w:val="65"/>
                <w:rFonts w:hint="eastAsia" w:ascii="宋体" w:hAnsi="宋体" w:cs="宋体"/>
                <w:sz w:val="24"/>
                <w:szCs w:val="24"/>
                <w:lang w:val="en-US" w:eastAsia="zh-CN"/>
              </w:rPr>
              <w:t>20000</w:t>
            </w:r>
            <w:r>
              <w:rPr>
                <w:rStyle w:val="65"/>
                <w:rFonts w:hint="eastAsia" w:ascii="宋体" w:hAnsi="宋体" w:eastAsia="宋体" w:cs="宋体"/>
                <w:sz w:val="24"/>
                <w:szCs w:val="24"/>
              </w:rPr>
              <w:t xml:space="preserve">元 </w:t>
            </w:r>
            <w:r>
              <w:rPr>
                <w:rStyle w:val="65"/>
                <w:rFonts w:hint="eastAsia" w:ascii="宋体" w:hAnsi="宋体" w:eastAsia="宋体" w:cs="宋体"/>
                <w:sz w:val="24"/>
                <w:szCs w:val="24"/>
                <w:lang w:val="en-US" w:eastAsia="zh-CN"/>
              </w:rPr>
              <w:t>(大写：</w:t>
            </w:r>
            <w:r>
              <w:rPr>
                <w:rStyle w:val="65"/>
                <w:rFonts w:hint="eastAsia" w:ascii="宋体" w:hAnsi="宋体" w:cs="宋体"/>
                <w:sz w:val="24"/>
                <w:szCs w:val="24"/>
                <w:lang w:val="en-US" w:eastAsia="zh-CN"/>
              </w:rPr>
              <w:t>贰万元整</w:t>
            </w:r>
            <w:r>
              <w:rPr>
                <w:rStyle w:val="65"/>
                <w:rFonts w:hint="eastAsia" w:ascii="宋体" w:hAnsi="宋体" w:eastAsia="宋体" w:cs="宋体"/>
                <w:sz w:val="24"/>
                <w:szCs w:val="24"/>
                <w:lang w:val="en-US" w:eastAsia="zh-CN"/>
              </w:rPr>
              <w:t>）</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eastAsia="zh-CN"/>
              </w:rPr>
              <w:t>2.投标</w:t>
            </w:r>
            <w:r>
              <w:rPr>
                <w:rStyle w:val="65"/>
                <w:rFonts w:hint="eastAsia" w:ascii="宋体" w:hAnsi="宋体" w:eastAsia="宋体" w:cs="宋体"/>
                <w:sz w:val="24"/>
                <w:szCs w:val="24"/>
              </w:rPr>
              <w:t>保证金的形式：现金/银行汇票/银行支票/银行保函。</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如采用银行转账方式，供应商必须在投标截止时间之前从供应商账户中转出；银行汇票/银行支票/银行保函方式须递交原件（银行保函格式见应答文件格式）</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eastAsia="zh-CN"/>
              </w:rPr>
              <w:t>3.</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保证金有效期与</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有效期一致。</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eastAsia="zh-CN"/>
              </w:rPr>
              <w:t>4</w:t>
            </w:r>
            <w:r>
              <w:rPr>
                <w:rStyle w:val="65"/>
                <w:rFonts w:hint="eastAsia" w:ascii="宋体" w:hAnsi="宋体" w:eastAsia="宋体" w:cs="宋体"/>
                <w:sz w:val="24"/>
                <w:szCs w:val="24"/>
              </w:rPr>
              <w:t>.提交</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保证金的截止时间为：</w:t>
            </w:r>
            <w:r>
              <w:rPr>
                <w:rStyle w:val="65"/>
                <w:rFonts w:hint="eastAsia" w:ascii="宋体" w:hAnsi="宋体" w:eastAsia="宋体" w:cs="宋体"/>
                <w:sz w:val="24"/>
                <w:szCs w:val="24"/>
                <w:lang w:eastAsia="zh-CN"/>
              </w:rPr>
              <w:t>投标</w:t>
            </w:r>
            <w:r>
              <w:rPr>
                <w:rStyle w:val="65"/>
                <w:rFonts w:hint="eastAsia" w:ascii="宋体" w:hAnsi="宋体" w:eastAsia="宋体" w:cs="宋体"/>
                <w:sz w:val="24"/>
                <w:szCs w:val="24"/>
              </w:rPr>
              <w:t>文件递交截止时间。</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rPr>
            </w:pPr>
            <w:r>
              <w:rPr>
                <w:rStyle w:val="65"/>
                <w:rFonts w:hint="eastAsia" w:ascii="宋体" w:hAnsi="宋体" w:eastAsia="宋体" w:cs="宋体"/>
                <w:sz w:val="24"/>
                <w:szCs w:val="24"/>
              </w:rPr>
              <w:t>5.保证金提交账号信息如下：</w:t>
            </w:r>
            <w:r>
              <w:rPr>
                <w:rStyle w:val="65"/>
                <w:rFonts w:hint="eastAsia" w:ascii="宋体" w:hAnsi="宋体" w:eastAsia="宋体" w:cs="宋体"/>
                <w:sz w:val="24"/>
                <w:szCs w:val="24"/>
              </w:rPr>
              <w:cr/>
            </w:r>
            <w:r>
              <w:rPr>
                <w:rFonts w:hint="eastAsia" w:ascii="宋体" w:hAnsi="宋体" w:eastAsia="宋体" w:cs="宋体"/>
                <w:sz w:val="24"/>
                <w:szCs w:val="24"/>
              </w:rPr>
              <w:t>【</w:t>
            </w:r>
            <w:r>
              <w:rPr>
                <w:rFonts w:hint="eastAsia" w:ascii="宋体" w:hAnsi="宋体" w:eastAsia="宋体" w:cs="宋体"/>
                <w:sz w:val="24"/>
                <w:szCs w:val="24"/>
                <w:lang w:eastAsia="zh-CN"/>
              </w:rPr>
              <w:t>账户</w:t>
            </w:r>
            <w:r>
              <w:rPr>
                <w:rFonts w:hint="eastAsia" w:ascii="宋体" w:hAnsi="宋体" w:eastAsia="宋体" w:cs="宋体"/>
                <w:sz w:val="24"/>
                <w:szCs w:val="24"/>
              </w:rPr>
              <w:t>名称】：新疆正禾招投标有限公司</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行】</w:t>
            </w:r>
            <w:r>
              <w:rPr>
                <w:rFonts w:hint="eastAsia" w:ascii="宋体" w:hAnsi="宋体" w:eastAsia="宋体" w:cs="宋体"/>
                <w:sz w:val="24"/>
                <w:szCs w:val="24"/>
                <w:highlight w:val="none"/>
              </w:rPr>
              <w:t>：中国银行乌鲁木齐市鲤鱼山北路支行  </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【帐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号】：107682142279</w:t>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【行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号】：104881004153</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Style w:val="65"/>
                <w:rFonts w:hint="eastAsia" w:ascii="宋体" w:hAnsi="宋体" w:eastAsia="宋体" w:cs="宋体"/>
                <w:sz w:val="24"/>
                <w:szCs w:val="24"/>
                <w:highlight w:val="none"/>
              </w:rPr>
              <w:t>注：须在汇款单上备注“</w:t>
            </w:r>
            <w:r>
              <w:rPr>
                <w:rStyle w:val="65"/>
                <w:rFonts w:hint="eastAsia" w:ascii="宋体" w:hAnsi="宋体" w:eastAsia="宋体" w:cs="宋体"/>
                <w:sz w:val="24"/>
                <w:szCs w:val="24"/>
                <w:highlight w:val="none"/>
                <w:lang w:val="en-US" w:eastAsia="zh-CN"/>
              </w:rPr>
              <w:t>000</w:t>
            </w:r>
            <w:r>
              <w:rPr>
                <w:rStyle w:val="65"/>
                <w:rFonts w:hint="eastAsia" w:ascii="宋体" w:hAnsi="宋体" w:cs="宋体"/>
                <w:sz w:val="24"/>
                <w:szCs w:val="24"/>
                <w:highlight w:val="none"/>
                <w:lang w:val="en-US" w:eastAsia="zh-CN"/>
              </w:rPr>
              <w:t>4</w:t>
            </w:r>
            <w:r>
              <w:rPr>
                <w:rStyle w:val="65"/>
                <w:rFonts w:hint="eastAsia" w:ascii="宋体" w:hAnsi="宋体" w:eastAsia="宋体" w:cs="宋体"/>
                <w:sz w:val="24"/>
                <w:szCs w:val="24"/>
                <w:highlight w:val="none"/>
                <w:lang w:val="en-US" w:eastAsia="zh-CN"/>
              </w:rPr>
              <w:t>保证金</w:t>
            </w:r>
            <w:r>
              <w:rPr>
                <w:rStyle w:val="65"/>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rPr>
              <w:t>1</w:t>
            </w:r>
            <w:r>
              <w:rPr>
                <w:rStyle w:val="65"/>
                <w:rFonts w:hint="eastAsia" w:ascii="宋体" w:hAnsi="宋体" w:cs="宋体"/>
                <w:b w:val="0"/>
                <w:bCs/>
                <w:sz w:val="24"/>
                <w:szCs w:val="24"/>
                <w:lang w:val="en-US"/>
              </w:rPr>
              <w:t>4</w:t>
            </w:r>
          </w:p>
        </w:tc>
        <w:tc>
          <w:tcPr>
            <w:tcW w:w="176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Fonts w:hint="eastAsia" w:ascii="宋体" w:hAnsi="宋体" w:eastAsia="宋体" w:cs="宋体"/>
                <w:b w:val="0"/>
                <w:bCs/>
                <w:sz w:val="24"/>
                <w:szCs w:val="24"/>
                <w:lang w:eastAsia="zh-CN"/>
              </w:rPr>
              <w:t>招标文件答疑</w:t>
            </w:r>
          </w:p>
        </w:tc>
        <w:tc>
          <w:tcPr>
            <w:tcW w:w="6748"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各投标人在投标截止时间前10日对招标文件异议以书面形式递交至采购代理机构，采购人或采购代理机构做出澄清回复。</w:t>
            </w:r>
          </w:p>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宋体" w:hAnsi="宋体" w:eastAsia="宋体" w:cs="宋体"/>
                <w:b w:val="0"/>
                <w:bCs/>
                <w:color w:val="0000FF"/>
                <w:kern w:val="0"/>
                <w:sz w:val="24"/>
                <w:szCs w:val="24"/>
              </w:rPr>
            </w:pPr>
            <w:r>
              <w:rPr>
                <w:rFonts w:hint="eastAsia" w:ascii="宋体" w:hAnsi="宋体" w:eastAsia="宋体" w:cs="宋体"/>
                <w:b w:val="0"/>
                <w:bCs/>
                <w:kern w:val="0"/>
                <w:sz w:val="24"/>
                <w:szCs w:val="24"/>
              </w:rPr>
              <w:t>联系人：</w:t>
            </w:r>
            <w:r>
              <w:rPr>
                <w:rFonts w:hint="eastAsia" w:ascii="宋体" w:hAnsi="宋体" w:eastAsia="宋体" w:cs="宋体"/>
                <w:b w:val="0"/>
                <w:bCs/>
                <w:sz w:val="24"/>
                <w:szCs w:val="24"/>
                <w:u w:val="single"/>
                <w:lang w:eastAsia="zh-CN"/>
              </w:rPr>
              <w:t>杨慧</w:t>
            </w:r>
            <w:r>
              <w:rPr>
                <w:rFonts w:hint="eastAsia" w:ascii="宋体" w:hAnsi="宋体" w:eastAsia="宋体" w:cs="宋体"/>
                <w:b w:val="0"/>
                <w:bCs/>
                <w:sz w:val="24"/>
                <w:szCs w:val="24"/>
              </w:rPr>
              <w:t xml:space="preserve"> </w:t>
            </w:r>
            <w:r>
              <w:rPr>
                <w:rFonts w:hint="eastAsia" w:ascii="宋体" w:hAnsi="宋体" w:eastAsia="宋体" w:cs="宋体"/>
                <w:b w:val="0"/>
                <w:bCs/>
                <w:color w:val="0000FF"/>
                <w:kern w:val="0"/>
                <w:sz w:val="24"/>
                <w:szCs w:val="24"/>
              </w:rPr>
              <w:t xml:space="preserve">     </w:t>
            </w:r>
          </w:p>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联系电话：</w:t>
            </w:r>
            <w:r>
              <w:rPr>
                <w:rFonts w:hint="eastAsia" w:ascii="宋体" w:hAnsi="宋体" w:eastAsia="宋体" w:cs="宋体"/>
                <w:b w:val="0"/>
                <w:bCs/>
                <w:sz w:val="24"/>
                <w:szCs w:val="24"/>
                <w:u w:val="single"/>
                <w:lang w:val="en-US" w:eastAsia="zh-CN"/>
              </w:rPr>
              <w:t>18129442751</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 xml:space="preserve"> </w:t>
            </w:r>
          </w:p>
          <w:p>
            <w:pPr>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b w:val="0"/>
                <w:bCs/>
                <w:sz w:val="24"/>
                <w:szCs w:val="24"/>
              </w:rPr>
            </w:pPr>
            <w:r>
              <w:rPr>
                <w:rFonts w:hint="eastAsia" w:ascii="宋体" w:hAnsi="宋体" w:eastAsia="宋体" w:cs="宋体"/>
                <w:b w:val="0"/>
                <w:bCs/>
                <w:kern w:val="0"/>
                <w:sz w:val="24"/>
                <w:szCs w:val="24"/>
              </w:rPr>
              <w:t>提交方式：</w:t>
            </w:r>
            <w:r>
              <w:rPr>
                <w:rFonts w:hint="eastAsia" w:ascii="宋体" w:hAnsi="宋体" w:eastAsia="宋体" w:cs="宋体"/>
                <w:b w:val="0"/>
                <w:bCs/>
                <w:kern w:val="0"/>
                <w:sz w:val="24"/>
                <w:szCs w:val="24"/>
                <w:lang w:val="en-US" w:eastAsia="zh-CN"/>
              </w:rPr>
              <w:t>澄清、修改、更正文件发出后，投标人必须使用最新的更正文件制作投标文件</w:t>
            </w:r>
            <w:r>
              <w:rPr>
                <w:rFonts w:hint="eastAsia" w:ascii="宋体" w:hAnsi="宋体" w:eastAsia="宋体" w:cs="宋体"/>
                <w:b w:val="0"/>
                <w:bCs/>
                <w:sz w:val="24"/>
                <w:szCs w:val="24"/>
              </w:rPr>
              <w:t>。</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rPr>
              <w:t>1</w:t>
            </w:r>
            <w:r>
              <w:rPr>
                <w:rStyle w:val="65"/>
                <w:rFonts w:hint="eastAsia" w:ascii="宋体" w:hAnsi="宋体" w:cs="宋体"/>
                <w:b w:val="0"/>
                <w:bCs/>
                <w:sz w:val="24"/>
                <w:szCs w:val="24"/>
                <w:lang w:val="en-US"/>
              </w:rPr>
              <w:t>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投标文件份数</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highlight w:val="none"/>
              </w:rPr>
              <w:t>1.正本份数：一（1）份；副本份数：三（</w:t>
            </w:r>
            <w:r>
              <w:rPr>
                <w:rStyle w:val="65"/>
                <w:rFonts w:hint="eastAsia" w:ascii="宋体" w:hAnsi="宋体" w:eastAsia="宋体" w:cs="宋体"/>
                <w:sz w:val="24"/>
                <w:szCs w:val="24"/>
                <w:highlight w:val="none"/>
                <w:lang w:val="en-US"/>
              </w:rPr>
              <w:t>3</w:t>
            </w:r>
            <w:r>
              <w:rPr>
                <w:rStyle w:val="65"/>
                <w:rFonts w:hint="eastAsia" w:ascii="宋体" w:hAnsi="宋体" w:eastAsia="宋体" w:cs="宋体"/>
                <w:sz w:val="24"/>
                <w:szCs w:val="24"/>
                <w:highlight w:val="none"/>
              </w:rPr>
              <w:t>）份，开标一览表：一（1）份。</w:t>
            </w:r>
          </w:p>
          <w:p>
            <w:pPr>
              <w:pStyle w:val="7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highlight w:val="none"/>
              </w:rPr>
              <w:t>2.投标文件电子版（U盘）份数：一（1）份，</w:t>
            </w:r>
            <w:r>
              <w:rPr>
                <w:rFonts w:hint="eastAsia" w:ascii="宋体" w:hAnsi="宋体" w:eastAsia="宋体" w:cs="宋体"/>
                <w:sz w:val="24"/>
                <w:szCs w:val="24"/>
                <w:highlight w:val="none"/>
              </w:rPr>
              <w:t>电子版要求包含</w:t>
            </w:r>
            <w:r>
              <w:rPr>
                <w:rFonts w:hint="eastAsia" w:ascii="宋体" w:hAnsi="宋体" w:eastAsia="宋体" w:cs="宋体"/>
                <w:sz w:val="24"/>
                <w:szCs w:val="24"/>
                <w:highlight w:val="none"/>
                <w:lang w:eastAsia="zh-CN"/>
              </w:rPr>
              <w:t>投</w:t>
            </w:r>
            <w:r>
              <w:rPr>
                <w:rFonts w:hint="eastAsia" w:ascii="宋体" w:hAnsi="宋体" w:eastAsia="宋体" w:cs="宋体"/>
                <w:sz w:val="24"/>
                <w:szCs w:val="24"/>
                <w:highlight w:val="none"/>
              </w:rPr>
              <w:t>标文件全部内容，投标文件电子版与纸质版不一致时以纸质文件为准。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sz w:val="24"/>
                <w:szCs w:val="24"/>
                <w:highlight w:val="none"/>
              </w:rPr>
            </w:pPr>
            <w:r>
              <w:rPr>
                <w:rFonts w:hint="eastAsia" w:ascii="宋体" w:hAnsi="宋体" w:eastAsia="宋体" w:cs="宋体"/>
                <w:sz w:val="24"/>
                <w:szCs w:val="24"/>
                <w:highlight w:val="none"/>
              </w:rPr>
              <w:t>未递交电子版文件视为不响应招标文件；</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1</w:t>
            </w:r>
            <w:r>
              <w:rPr>
                <w:rStyle w:val="65"/>
                <w:rFonts w:hint="eastAsia" w:ascii="宋体" w:hAnsi="宋体" w:cs="宋体"/>
                <w:b w:val="0"/>
                <w:bCs/>
                <w:sz w:val="24"/>
                <w:szCs w:val="24"/>
                <w:lang w:val="en-US"/>
              </w:rPr>
              <w:t>6</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投标文件的签字和盖章</w:t>
            </w:r>
          </w:p>
        </w:tc>
        <w:tc>
          <w:tcPr>
            <w:tcW w:w="6748"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spacing w:before="0" w:beforeAutospacing="0" w:after="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highlight w:val="none"/>
              </w:rPr>
              <w:t>第六</w:t>
            </w:r>
            <w:r>
              <w:rPr>
                <w:rFonts w:hint="eastAsia" w:ascii="宋体" w:hAnsi="宋体" w:eastAsia="宋体" w:cs="宋体"/>
                <w:sz w:val="24"/>
                <w:szCs w:val="24"/>
                <w:highlight w:val="none"/>
                <w:lang w:eastAsia="zh-CN"/>
              </w:rPr>
              <w:t>部分</w:t>
            </w:r>
            <w:r>
              <w:rPr>
                <w:rFonts w:hint="eastAsia" w:ascii="宋体" w:hAnsi="宋体" w:eastAsia="宋体" w:cs="宋体"/>
                <w:sz w:val="24"/>
                <w:szCs w:val="24"/>
                <w:highlight w:val="none"/>
              </w:rPr>
              <w:t>“</w:t>
            </w:r>
            <w:r>
              <w:rPr>
                <w:rFonts w:hint="eastAsia" w:ascii="宋体" w:hAnsi="宋体" w:eastAsia="宋体" w:cs="宋体"/>
                <w:sz w:val="24"/>
                <w:szCs w:val="24"/>
                <w:lang w:eastAsia="zh-CN"/>
              </w:rPr>
              <w:t>投标</w:t>
            </w:r>
            <w:r>
              <w:rPr>
                <w:rFonts w:hint="eastAsia" w:ascii="宋体" w:hAnsi="宋体" w:eastAsia="宋体" w:cs="宋体"/>
                <w:sz w:val="24"/>
                <w:szCs w:val="24"/>
              </w:rPr>
              <w:t>文件格式”中有“供应商名称（盖章）”落款处均须填写</w:t>
            </w:r>
            <w:r>
              <w:rPr>
                <w:rFonts w:hint="eastAsia" w:ascii="宋体" w:hAnsi="宋体" w:eastAsia="宋体" w:cs="宋体"/>
                <w:sz w:val="24"/>
                <w:szCs w:val="24"/>
                <w:lang w:eastAsia="zh-CN"/>
              </w:rPr>
              <w:t>供应商</w:t>
            </w:r>
            <w:r>
              <w:rPr>
                <w:rFonts w:hint="eastAsia" w:ascii="宋体" w:hAnsi="宋体" w:eastAsia="宋体" w:cs="宋体"/>
                <w:sz w:val="24"/>
                <w:szCs w:val="24"/>
              </w:rPr>
              <w:t>单位全称并盖章；</w:t>
            </w:r>
          </w:p>
          <w:p>
            <w:pPr>
              <w:keepNext w:val="0"/>
              <w:keepLines w:val="0"/>
              <w:pageBreakBefore w:val="0"/>
              <w:kinsoku/>
              <w:wordWrap/>
              <w:overflowPunct/>
              <w:topLinePunct w:val="0"/>
              <w:autoSpaceDE w:val="0"/>
              <w:autoSpaceDN w:val="0"/>
              <w:bidi w:val="0"/>
              <w:spacing w:before="0" w:beforeAutospacing="0" w:after="0" w:afterAutospacing="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投标</w:t>
            </w:r>
            <w:r>
              <w:rPr>
                <w:rFonts w:hint="eastAsia" w:ascii="宋体" w:hAnsi="宋体" w:eastAsia="宋体" w:cs="宋体"/>
                <w:sz w:val="24"/>
                <w:szCs w:val="24"/>
              </w:rPr>
              <w:t>文件格式”中所有标注“盖章”处原则上均指单位公章，不能以“业务章”、“专用章”等代替；如有特殊情况需要替代，则须附公章及法定代表人对“业务章”、“专用章”等的授权；</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投标</w:t>
            </w:r>
            <w:r>
              <w:rPr>
                <w:rFonts w:hint="eastAsia" w:ascii="宋体" w:hAnsi="宋体" w:eastAsia="宋体" w:cs="宋体"/>
                <w:sz w:val="24"/>
                <w:szCs w:val="24"/>
              </w:rPr>
              <w:t>文件格式”中所有标注“签字或签章”处均指书写签字或签名章，不能以打印体或其他形式代替。</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17</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投标文件的装订、密封</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1</w:t>
            </w:r>
            <w:r>
              <w:rPr>
                <w:rStyle w:val="65"/>
                <w:rFonts w:hint="eastAsia" w:ascii="宋体" w:hAnsi="宋体" w:eastAsia="宋体" w:cs="宋体"/>
                <w:sz w:val="24"/>
                <w:szCs w:val="24"/>
                <w:lang w:val="en-US"/>
              </w:rPr>
              <w:t>.</w:t>
            </w:r>
            <w:r>
              <w:rPr>
                <w:rStyle w:val="65"/>
                <w:rFonts w:hint="eastAsia" w:ascii="宋体" w:hAnsi="宋体" w:eastAsia="宋体" w:cs="宋体"/>
                <w:sz w:val="24"/>
                <w:szCs w:val="24"/>
              </w:rPr>
              <w:t>正本、副本分册装订；建议采用双面打印，胶装；电子文件用U盘储存。</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lang w:val="en-US"/>
              </w:rPr>
              <w:t>2.</w:t>
            </w:r>
            <w:r>
              <w:rPr>
                <w:rStyle w:val="65"/>
                <w:rFonts w:hint="eastAsia" w:ascii="宋体" w:hAnsi="宋体" w:eastAsia="宋体" w:cs="宋体"/>
                <w:sz w:val="24"/>
                <w:szCs w:val="24"/>
              </w:rPr>
              <w:t>提交的文件至少包括三个密封件，分别是：投标文件密封件、开标一览表及电子版文件（包括投标文件电子版，投标文件电子版需标注投标人名称）；一个密封件确实无法密封的，可分开密封，但须按顺序编号，例如“1/3、2/3…”。</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lang w:val="en-US"/>
              </w:rPr>
            </w:pPr>
            <w:r>
              <w:rPr>
                <w:rStyle w:val="65"/>
                <w:rFonts w:hint="eastAsia" w:ascii="宋体" w:hAnsi="宋体" w:eastAsia="宋体" w:cs="宋体"/>
                <w:sz w:val="24"/>
                <w:szCs w:val="24"/>
                <w:lang w:val="en-US"/>
              </w:rPr>
              <w:t>3.</w:t>
            </w:r>
            <w:r>
              <w:rPr>
                <w:rStyle w:val="65"/>
                <w:rFonts w:hint="eastAsia" w:ascii="宋体" w:hAnsi="宋体" w:eastAsia="宋体" w:cs="宋体"/>
                <w:sz w:val="24"/>
                <w:szCs w:val="24"/>
              </w:rPr>
              <w:t>投标文件密封件、开标一览表及电子版文件均须在封套的所有封口标注密封，投标人的名称、地址和电话等内容需在封面体现并加盖公章。</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18</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投标文件的标识</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在投标文件的封套上应清楚地标记“投标文件”等字样，封套还应标明项目名称以及投标人名称、投标人地址等；在所有封签处标注“请勿在 年 月 日  时00分（北京时间）之前启封”字样（上述时间为提交投标文件的截止时间）。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highlight w:val="none"/>
                <w:lang w:val="en-US"/>
              </w:rPr>
            </w:pPr>
            <w:r>
              <w:rPr>
                <w:rStyle w:val="65"/>
                <w:rFonts w:hint="eastAsia" w:ascii="宋体" w:hAnsi="宋体" w:cs="宋体"/>
                <w:b w:val="0"/>
                <w:bCs/>
                <w:sz w:val="24"/>
                <w:szCs w:val="24"/>
                <w:highlight w:val="none"/>
                <w:lang w:val="en-US"/>
              </w:rPr>
              <w:t>19</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投标文件递交截止时间</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highlight w:val="none"/>
              </w:rPr>
              <w:t>202</w:t>
            </w:r>
            <w:r>
              <w:rPr>
                <w:rStyle w:val="65"/>
                <w:rFonts w:hint="eastAsia" w:ascii="宋体" w:hAnsi="宋体" w:cs="宋体"/>
                <w:sz w:val="24"/>
                <w:szCs w:val="24"/>
                <w:highlight w:val="none"/>
                <w:lang w:val="en-US"/>
              </w:rPr>
              <w:t>2</w:t>
            </w:r>
            <w:r>
              <w:rPr>
                <w:rStyle w:val="65"/>
                <w:rFonts w:hint="eastAsia" w:ascii="宋体" w:hAnsi="宋体" w:eastAsia="宋体" w:cs="宋体"/>
                <w:sz w:val="24"/>
                <w:szCs w:val="24"/>
                <w:highlight w:val="none"/>
              </w:rPr>
              <w:t>年</w:t>
            </w:r>
            <w:r>
              <w:rPr>
                <w:rStyle w:val="65"/>
                <w:rFonts w:hint="eastAsia" w:ascii="宋体" w:hAnsi="宋体" w:cs="宋体"/>
                <w:sz w:val="24"/>
                <w:szCs w:val="24"/>
                <w:highlight w:val="none"/>
                <w:lang w:val="en-US"/>
              </w:rPr>
              <w:t>05</w:t>
            </w:r>
            <w:r>
              <w:rPr>
                <w:rStyle w:val="65"/>
                <w:rFonts w:hint="eastAsia" w:ascii="宋体" w:hAnsi="宋体" w:eastAsia="宋体" w:cs="宋体"/>
                <w:sz w:val="24"/>
                <w:szCs w:val="24"/>
                <w:highlight w:val="none"/>
              </w:rPr>
              <w:t>月</w:t>
            </w:r>
            <w:r>
              <w:rPr>
                <w:rStyle w:val="65"/>
                <w:rFonts w:hint="eastAsia" w:ascii="宋体" w:hAnsi="宋体" w:eastAsia="宋体" w:cs="宋体"/>
                <w:sz w:val="24"/>
                <w:szCs w:val="24"/>
                <w:highlight w:val="none"/>
                <w:lang w:val="en-US"/>
              </w:rPr>
              <w:t>0</w:t>
            </w:r>
            <w:r>
              <w:rPr>
                <w:rStyle w:val="65"/>
                <w:rFonts w:hint="eastAsia" w:ascii="宋体" w:hAnsi="宋体" w:cs="宋体"/>
                <w:sz w:val="24"/>
                <w:szCs w:val="24"/>
                <w:highlight w:val="none"/>
                <w:lang w:val="en-US"/>
              </w:rPr>
              <w:t>9</w:t>
            </w:r>
            <w:r>
              <w:rPr>
                <w:rStyle w:val="65"/>
                <w:rFonts w:hint="eastAsia" w:ascii="宋体" w:hAnsi="宋体" w:eastAsia="宋体" w:cs="宋体"/>
                <w:sz w:val="24"/>
                <w:szCs w:val="24"/>
                <w:highlight w:val="none"/>
              </w:rPr>
              <w:t>日1</w:t>
            </w:r>
            <w:r>
              <w:rPr>
                <w:rStyle w:val="65"/>
                <w:rFonts w:hint="eastAsia" w:ascii="宋体" w:hAnsi="宋体" w:cs="宋体"/>
                <w:sz w:val="24"/>
                <w:szCs w:val="24"/>
                <w:highlight w:val="none"/>
                <w:lang w:val="en-US"/>
              </w:rPr>
              <w:t>1</w:t>
            </w:r>
            <w:r>
              <w:rPr>
                <w:rStyle w:val="65"/>
                <w:rFonts w:hint="eastAsia" w:ascii="宋体" w:hAnsi="宋体" w:eastAsia="宋体" w:cs="宋体"/>
                <w:sz w:val="24"/>
                <w:szCs w:val="24"/>
                <w:highlight w:val="none"/>
              </w:rPr>
              <w:t>点00分（北京时间）</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0</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rPr>
            </w:pPr>
            <w:r>
              <w:rPr>
                <w:rStyle w:val="65"/>
                <w:rFonts w:hint="eastAsia" w:ascii="宋体" w:hAnsi="宋体" w:eastAsia="宋体" w:cs="宋体"/>
                <w:b w:val="0"/>
                <w:bCs/>
                <w:sz w:val="24"/>
                <w:szCs w:val="24"/>
                <w:highlight w:val="none"/>
              </w:rPr>
              <w:t>投标文件提交地点</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highlight w:val="none"/>
              </w:rPr>
              <w:t>新疆乌鲁木齐高新技术产业开发区（新市区）鲤鱼山北路199号集电港A座2020室</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1</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是否退还投标文件</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否</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代理服务费</w:t>
            </w:r>
          </w:p>
        </w:tc>
        <w:tc>
          <w:tcPr>
            <w:tcW w:w="67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adjustRightInd w:val="0"/>
              <w:snapToGrid w:val="0"/>
              <w:spacing w:before="0" w:beforeAutospacing="0" w:after="0" w:afterAutospacing="0"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1、代理</w:t>
            </w:r>
            <w:r>
              <w:rPr>
                <w:rFonts w:hint="eastAsia" w:ascii="宋体" w:hAnsi="宋体" w:eastAsia="宋体" w:cs="宋体"/>
                <w:color w:val="auto"/>
                <w:sz w:val="24"/>
                <w:szCs w:val="24"/>
                <w:highlight w:val="none"/>
                <w:lang w:eastAsia="zh-CN"/>
              </w:rPr>
              <w:t>服务费</w:t>
            </w:r>
            <w:r>
              <w:rPr>
                <w:rFonts w:hint="eastAsia" w:ascii="宋体" w:hAnsi="宋体" w:eastAsia="宋体" w:cs="宋体"/>
                <w:color w:val="auto"/>
                <w:sz w:val="24"/>
                <w:szCs w:val="24"/>
                <w:highlight w:val="none"/>
              </w:rPr>
              <w:t>的计算方法：国家计委关于《招标代理服务收费管理暂行办法》（计价格[2002]1980号）和国家发改价格【2011】534号文件规定取费</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bidi w:val="0"/>
              <w:adjustRightInd w:val="0"/>
              <w:snapToGrid w:val="0"/>
              <w:spacing w:before="0" w:beforeAutospacing="0" w:after="0" w:afterAutospacing="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w:t>
            </w:r>
            <w:r>
              <w:rPr>
                <w:rFonts w:hint="eastAsia" w:ascii="宋体" w:hAnsi="宋体" w:eastAsia="宋体" w:cs="宋体"/>
                <w:color w:val="auto"/>
                <w:sz w:val="24"/>
                <w:szCs w:val="24"/>
                <w:highlight w:val="none"/>
                <w:u w:val="none"/>
              </w:rPr>
              <w:t>理报酬支付方式：由中标人支付。</w:t>
            </w:r>
          </w:p>
          <w:p>
            <w:pPr>
              <w:keepNext w:val="0"/>
              <w:keepLines w:val="0"/>
              <w:pageBreakBefore w:val="0"/>
              <w:kinsoku/>
              <w:wordWrap/>
              <w:overflowPunct/>
              <w:topLinePunct w:val="0"/>
              <w:bidi w:val="0"/>
              <w:adjustRightInd w:val="0"/>
              <w:snapToGrid w:val="0"/>
              <w:spacing w:before="0" w:beforeAutospacing="0" w:after="0" w:afterAutospacing="0" w:line="360" w:lineRule="auto"/>
              <w:jc w:val="left"/>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color w:val="auto"/>
                <w:sz w:val="24"/>
                <w:szCs w:val="24"/>
                <w:highlight w:val="none"/>
              </w:rPr>
              <w:t>3、代理报酬的支付时间：</w:t>
            </w:r>
            <w:r>
              <w:rPr>
                <w:rFonts w:hint="eastAsia" w:ascii="宋体" w:hAnsi="宋体" w:eastAsia="宋体" w:cs="宋体"/>
                <w:color w:val="auto"/>
                <w:sz w:val="24"/>
                <w:szCs w:val="24"/>
                <w:highlight w:val="none"/>
                <w:u w:val="none"/>
              </w:rPr>
              <w:t>由中标人领取中标通知书前支付。</w:t>
            </w:r>
            <w:r>
              <w:rPr>
                <w:rFonts w:hint="eastAsia" w:ascii="宋体" w:hAnsi="宋体" w:eastAsia="宋体" w:cs="宋体"/>
                <w:color w:val="auto"/>
                <w:kern w:val="0"/>
                <w:sz w:val="24"/>
                <w:szCs w:val="24"/>
                <w:highlight w:val="none"/>
                <w:u w:val="none"/>
              </w:rPr>
              <w:t xml:space="preserve"> </w:t>
            </w:r>
            <w:r>
              <w:rPr>
                <w:rFonts w:hint="eastAsia" w:ascii="宋体" w:hAnsi="宋体" w:eastAsia="宋体" w:cs="宋体"/>
                <w:color w:val="auto"/>
                <w:kern w:val="0"/>
                <w:sz w:val="24"/>
                <w:szCs w:val="24"/>
                <w:highlight w:val="none"/>
              </w:rPr>
              <w:t xml:space="preserve"> </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2</w:t>
            </w:r>
            <w:r>
              <w:rPr>
                <w:rStyle w:val="65"/>
                <w:rFonts w:hint="eastAsia" w:ascii="宋体" w:hAnsi="宋体" w:cs="宋体"/>
                <w:b w:val="0"/>
                <w:bCs/>
                <w:sz w:val="24"/>
                <w:szCs w:val="24"/>
                <w:lang w:val="en-US"/>
              </w:rPr>
              <w:t>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签署合同时间</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中标通知书发出后30日内，中标人与采购人签署《政府采购合同》</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4</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履约保证金</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lang w:eastAsia="zh-CN"/>
              </w:rPr>
            </w:pPr>
            <w:r>
              <w:rPr>
                <w:rStyle w:val="65"/>
                <w:rFonts w:hint="eastAsia" w:ascii="宋体" w:hAnsi="宋体" w:eastAsia="宋体" w:cs="宋体"/>
                <w:sz w:val="24"/>
                <w:szCs w:val="24"/>
              </w:rPr>
              <w:t>是否缴纳：</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sz w:val="24"/>
                <w:szCs w:val="24"/>
                <w:lang w:eastAsia="zh-CN"/>
              </w:rPr>
              <w:t>否</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交纳时间：合同中另行规定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交纳金额：合同中另</w:t>
            </w:r>
            <w:r>
              <w:rPr>
                <w:rStyle w:val="65"/>
                <w:rFonts w:hint="eastAsia" w:ascii="宋体" w:hAnsi="宋体" w:eastAsia="宋体" w:cs="宋体"/>
                <w:sz w:val="24"/>
                <w:szCs w:val="24"/>
                <w:highlight w:val="none"/>
              </w:rPr>
              <w:t>行规定（不超过合同金额10%）</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质保期内无质量问题后退还。</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5</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付款方式</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highlight w:val="none"/>
              </w:rPr>
              <w:t>具体依照双方签订的合同履行。</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6</w:t>
            </w:r>
          </w:p>
        </w:tc>
        <w:tc>
          <w:tcPr>
            <w:tcW w:w="176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Fonts w:hint="eastAsia" w:ascii="宋体" w:hAnsi="宋体" w:eastAsia="宋体" w:cs="宋体"/>
                <w:b w:val="0"/>
                <w:bCs/>
                <w:kern w:val="0"/>
                <w:sz w:val="24"/>
                <w:szCs w:val="24"/>
              </w:rPr>
              <w:t>评审方法</w:t>
            </w:r>
          </w:p>
        </w:tc>
        <w:tc>
          <w:tcPr>
            <w:tcW w:w="674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0"/>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 xml:space="preserve">资格后审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资格预审</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0"/>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 xml:space="preserve">综合评分法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Fonts w:hint="eastAsia" w:ascii="宋体" w:hAnsi="宋体" w:eastAsia="宋体" w:cs="宋体"/>
                <w:kern w:val="0"/>
                <w:sz w:val="24"/>
                <w:szCs w:val="24"/>
              </w:rPr>
              <w:t>最低评标价法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注：</w:t>
            </w:r>
            <w:r>
              <w:rPr>
                <w:rFonts w:hint="eastAsia" w:ascii="宋体" w:hAnsi="宋体" w:cs="宋体"/>
                <w:kern w:val="0"/>
                <w:sz w:val="24"/>
                <w:szCs w:val="24"/>
                <w:lang w:val="en-US" w:eastAsia="zh-CN"/>
              </w:rPr>
              <w:t>1</w:t>
            </w:r>
            <w:r>
              <w:rPr>
                <w:rFonts w:hint="eastAsia" w:ascii="宋体" w:hAnsi="宋体" w:eastAsia="宋体" w:cs="宋体"/>
                <w:kern w:val="0"/>
                <w:sz w:val="24"/>
                <w:szCs w:val="24"/>
              </w:rPr>
              <w:t>、综合评分法是指在最大限度地满足招标文件实质性要求前提下，按照招标文件中规定的评分细则评审后，商务得分和技术得分之和作为</w:t>
            </w:r>
            <w:r>
              <w:rPr>
                <w:rFonts w:hint="eastAsia" w:ascii="宋体" w:hAnsi="宋体" w:eastAsia="宋体" w:cs="宋体"/>
                <w:kern w:val="0"/>
                <w:sz w:val="24"/>
                <w:szCs w:val="24"/>
                <w:lang w:eastAsia="zh-CN"/>
              </w:rPr>
              <w:t>投标人</w:t>
            </w:r>
            <w:r>
              <w:rPr>
                <w:rFonts w:hint="eastAsia" w:ascii="宋体" w:hAnsi="宋体" w:eastAsia="宋体" w:cs="宋体"/>
                <w:kern w:val="0"/>
                <w:sz w:val="24"/>
                <w:szCs w:val="24"/>
              </w:rPr>
              <w:t>的综合得分。评标委员会按照综合得分高低进行排序，取前1—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名作为中标候选人推荐给</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。如果两个</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rPr>
              <w:t>的得分相同，</w:t>
            </w:r>
            <w:r>
              <w:rPr>
                <w:rFonts w:hint="eastAsia" w:ascii="宋体" w:hAnsi="宋体" w:eastAsia="宋体" w:cs="宋体"/>
                <w:kern w:val="0"/>
                <w:sz w:val="24"/>
                <w:szCs w:val="24"/>
                <w:lang w:eastAsia="zh-CN"/>
              </w:rPr>
              <w:t>投标价格低排在前；两个</w:t>
            </w:r>
            <w:r>
              <w:rPr>
                <w:rFonts w:hint="eastAsia" w:ascii="宋体" w:hAnsi="宋体" w:eastAsia="宋体" w:cs="宋体"/>
                <w:kern w:val="0"/>
                <w:sz w:val="24"/>
                <w:szCs w:val="24"/>
                <w:lang w:val="en-US" w:eastAsia="zh-CN"/>
              </w:rPr>
              <w:t>投标人</w:t>
            </w:r>
            <w:r>
              <w:rPr>
                <w:rFonts w:hint="eastAsia" w:ascii="宋体" w:hAnsi="宋体" w:eastAsia="宋体" w:cs="宋体"/>
                <w:kern w:val="0"/>
                <w:sz w:val="24"/>
                <w:szCs w:val="24"/>
                <w:lang w:eastAsia="zh-CN"/>
              </w:rPr>
              <w:t>得分、报价相同，由评标委员会推荐。</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Style w:val="65"/>
                <w:rFonts w:hint="eastAsia" w:ascii="宋体" w:hAnsi="宋体" w:eastAsia="宋体" w:cs="宋体"/>
                <w:b/>
                <w:sz w:val="24"/>
                <w:szCs w:val="24"/>
                <w:highlight w:val="yellow"/>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、最低评标价法，是指以价格为主要因素确定中标</w:t>
            </w:r>
            <w:r>
              <w:rPr>
                <w:rFonts w:hint="eastAsia" w:ascii="宋体" w:hAnsi="宋体" w:eastAsia="宋体" w:cs="宋体"/>
                <w:color w:val="000000"/>
                <w:sz w:val="24"/>
                <w:szCs w:val="24"/>
                <w:lang w:val="en-US" w:eastAsia="zh-CN"/>
              </w:rPr>
              <w:t>人</w:t>
            </w:r>
            <w:r>
              <w:rPr>
                <w:rFonts w:hint="eastAsia" w:ascii="宋体" w:hAnsi="宋体" w:eastAsia="宋体" w:cs="宋体"/>
                <w:color w:val="000000"/>
                <w:sz w:val="24"/>
                <w:szCs w:val="24"/>
              </w:rPr>
              <w:t>的评标方法，即在全部满足招标文件实质性要求前提下，依据统一的价格要素评定最低报价，以提出最低报价的</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作为中标候选</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或者中标</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的评标方法。投标报价相同的，按技术指标优劣顺序排列，技术指标较优的一方为中标人。</w:t>
            </w:r>
          </w:p>
        </w:tc>
      </w:tr>
      <w:tr>
        <w:tblPrEx>
          <w:tblCellMar>
            <w:top w:w="0" w:type="dxa"/>
            <w:left w:w="0" w:type="dxa"/>
            <w:bottom w:w="0" w:type="dxa"/>
            <w:right w:w="0" w:type="dxa"/>
          </w:tblCellMar>
        </w:tblPrEx>
        <w:trPr>
          <w:trHeight w:val="567"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2</w:t>
            </w:r>
            <w:r>
              <w:rPr>
                <w:rStyle w:val="65"/>
                <w:rFonts w:hint="eastAsia" w:ascii="宋体" w:hAnsi="宋体" w:cs="宋体"/>
                <w:b w:val="0"/>
                <w:bCs/>
                <w:sz w:val="24"/>
                <w:szCs w:val="24"/>
                <w:lang w:val="en-US"/>
              </w:rPr>
              <w:t>7</w:t>
            </w:r>
          </w:p>
        </w:tc>
        <w:tc>
          <w:tcPr>
            <w:tcW w:w="1761" w:type="dxa"/>
            <w:tcBorders>
              <w:top w:val="nil"/>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highlight w:val="none"/>
                <w:lang w:val="en-US"/>
              </w:rPr>
            </w:pPr>
            <w:r>
              <w:rPr>
                <w:rStyle w:val="65"/>
                <w:rFonts w:hint="eastAsia" w:ascii="宋体" w:hAnsi="宋体" w:eastAsia="宋体" w:cs="宋体"/>
                <w:b w:val="0"/>
                <w:bCs/>
                <w:sz w:val="24"/>
                <w:szCs w:val="24"/>
                <w:highlight w:val="none"/>
                <w:lang w:val="en-US"/>
              </w:rPr>
              <w:t>评标委员会的组成</w:t>
            </w:r>
          </w:p>
        </w:tc>
        <w:tc>
          <w:tcPr>
            <w:tcW w:w="6748" w:type="dxa"/>
            <w:tcBorders>
              <w:top w:val="nil"/>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left"/>
              <w:textAlignment w:val="auto"/>
              <w:rPr>
                <w:rFonts w:hint="eastAsia" w:ascii="宋体" w:hAnsi="宋体" w:eastAsia="宋体" w:cs="宋体"/>
                <w:bCs w:val="0"/>
                <w:spacing w:val="0"/>
                <w:kern w:val="0"/>
                <w:sz w:val="24"/>
                <w:szCs w:val="24"/>
                <w:highlight w:val="none"/>
                <w:lang w:val="en-US" w:eastAsia="zh-CN" w:bidi="ar-SA"/>
              </w:rPr>
            </w:pPr>
            <w:r>
              <w:rPr>
                <w:rFonts w:hint="eastAsia" w:ascii="宋体" w:hAnsi="宋体" w:eastAsia="宋体" w:cs="宋体"/>
                <w:bCs w:val="0"/>
                <w:spacing w:val="0"/>
                <w:kern w:val="0"/>
                <w:sz w:val="24"/>
                <w:szCs w:val="24"/>
                <w:highlight w:val="none"/>
                <w:lang w:val="en-US" w:eastAsia="zh-CN" w:bidi="ar-SA"/>
              </w:rPr>
              <w:t>评标委员会构成：</w:t>
            </w:r>
            <w:bookmarkStart w:id="12" w:name="EB72d16e85338144d4a2d954e860d91604"/>
            <w:bookmarkEnd w:id="12"/>
            <w:r>
              <w:rPr>
                <w:rFonts w:hint="eastAsia" w:ascii="宋体" w:hAnsi="宋体" w:eastAsia="宋体" w:cs="宋体"/>
                <w:bCs w:val="0"/>
                <w:spacing w:val="0"/>
                <w:kern w:val="0"/>
                <w:sz w:val="24"/>
                <w:szCs w:val="24"/>
                <w:highlight w:val="none"/>
                <w:lang w:val="en-US" w:eastAsia="zh-CN" w:bidi="ar-SA"/>
              </w:rPr>
              <w:t>5 人，其中采购人代表</w:t>
            </w:r>
            <w:bookmarkStart w:id="13" w:name="EB2a6ee956a7614937981c4694c7a0091e"/>
            <w:bookmarkEnd w:id="13"/>
            <w:r>
              <w:rPr>
                <w:rFonts w:hint="eastAsia" w:ascii="宋体" w:hAnsi="宋体" w:eastAsia="宋体" w:cs="宋体"/>
                <w:bCs w:val="0"/>
                <w:spacing w:val="0"/>
                <w:kern w:val="0"/>
                <w:sz w:val="24"/>
                <w:szCs w:val="24"/>
                <w:highlight w:val="none"/>
                <w:lang w:val="en-US" w:eastAsia="zh-CN" w:bidi="ar-SA"/>
              </w:rPr>
              <w:t xml:space="preserve">1人，其他评委4人。    </w:t>
            </w:r>
          </w:p>
          <w:p>
            <w:pPr>
              <w:pStyle w:val="71"/>
              <w:keepNext w:val="0"/>
              <w:keepLines w:val="0"/>
              <w:pageBreakBefore w:val="0"/>
              <w:kinsoku/>
              <w:wordWrap/>
              <w:overflowPunct/>
              <w:topLinePunct w:val="0"/>
              <w:bidi w:val="0"/>
              <w:spacing w:before="0" w:beforeAutospacing="0" w:after="0" w:afterAutospacing="0" w:line="360" w:lineRule="auto"/>
              <w:jc w:val="left"/>
              <w:textAlignment w:val="auto"/>
              <w:rPr>
                <w:rStyle w:val="65"/>
                <w:rFonts w:hint="eastAsia" w:ascii="宋体" w:hAnsi="宋体" w:eastAsia="宋体" w:cs="宋体"/>
                <w:b w:val="0"/>
                <w:bCs/>
                <w:sz w:val="24"/>
                <w:szCs w:val="24"/>
                <w:highlight w:val="none"/>
                <w:lang w:val="en-US"/>
              </w:rPr>
            </w:pPr>
            <w:r>
              <w:rPr>
                <w:rFonts w:hint="eastAsia" w:ascii="宋体" w:hAnsi="宋体" w:eastAsia="宋体" w:cs="宋体"/>
                <w:bCs w:val="0"/>
                <w:spacing w:val="0"/>
                <w:kern w:val="0"/>
                <w:sz w:val="24"/>
                <w:szCs w:val="24"/>
                <w:highlight w:val="none"/>
                <w:lang w:val="en-US" w:eastAsia="zh-CN" w:bidi="ar-SA"/>
              </w:rPr>
              <w:t>评委确定方式：</w:t>
            </w:r>
            <w:bookmarkStart w:id="14" w:name="EB6479c32eb2ce45839a2e1507d7cdac93"/>
            <w:bookmarkEnd w:id="14"/>
            <w:r>
              <w:rPr>
                <w:rFonts w:hint="eastAsia" w:ascii="宋体" w:hAnsi="宋体" w:eastAsia="宋体" w:cs="宋体"/>
                <w:bCs w:val="0"/>
                <w:spacing w:val="0"/>
                <w:kern w:val="0"/>
                <w:sz w:val="24"/>
                <w:szCs w:val="24"/>
                <w:highlight w:val="none"/>
                <w:lang w:val="en-US" w:eastAsia="zh-CN" w:bidi="ar-SA"/>
              </w:rPr>
              <w:t>从新疆政府采购网政采云平台专家库中随机抽取。</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28</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促进中小企业发展</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本项</w:t>
            </w:r>
            <w:r>
              <w:rPr>
                <w:rStyle w:val="65"/>
                <w:rFonts w:hint="eastAsia" w:ascii="宋体" w:hAnsi="宋体" w:eastAsia="宋体" w:cs="宋体"/>
                <w:sz w:val="24"/>
                <w:szCs w:val="24"/>
                <w:highlight w:val="none"/>
              </w:rPr>
              <w:t>目执行促</w:t>
            </w:r>
            <w:r>
              <w:rPr>
                <w:rStyle w:val="65"/>
                <w:rFonts w:hint="eastAsia" w:ascii="宋体" w:hAnsi="宋体" w:eastAsia="宋体" w:cs="宋体"/>
                <w:sz w:val="24"/>
                <w:szCs w:val="24"/>
              </w:rPr>
              <w:t>进中小企业发展政策，监狱企业、残疾人福利性单位视同小型、微型企业。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（1）中小企业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符合中小企业划分标准的个体工商户，在政府采购活动中视同中小企业。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投标文件中须同时出具《政府采购促进中小企业发展管理办法》【财库（2020）46号】规定的《中小企业声明函》，否则不得享受价格扣除。</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（2）残疾人福利性单位</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符合《关于促进残疾人就业政府采购政策的通知》（财库〔2017〕141号）规定的条件并提供提供《残疾人福利性单位声明函》的残疾人福利性单位视同小型、微型企业；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（3）监狱企业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根据《关于政府采购支持监狱企业发展有关问题的通知》（财库[2014]68号）的规定，供应商提供由省级以上监狱管理局、戒毒管理局（含新疆生产建设兵团）出具的属于监狱企业证明文件的，视同为小型和微型企业。</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上述（1），（2），（3）政策不重复计算。</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2.价格扣除：</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本项目对符合规定的小微企业（含小型企业）报价给予</w:t>
            </w:r>
            <w:r>
              <w:rPr>
                <w:rStyle w:val="65"/>
                <w:rFonts w:hint="eastAsia" w:ascii="宋体" w:hAnsi="宋体" w:eastAsia="宋体" w:cs="宋体"/>
                <w:sz w:val="24"/>
                <w:szCs w:val="24"/>
                <w:highlight w:val="yellow"/>
              </w:rPr>
              <w:t>6%</w:t>
            </w:r>
            <w:r>
              <w:rPr>
                <w:rStyle w:val="65"/>
                <w:rFonts w:hint="eastAsia" w:ascii="宋体" w:hAnsi="宋体" w:eastAsia="宋体" w:cs="宋体"/>
                <w:sz w:val="24"/>
                <w:szCs w:val="24"/>
              </w:rPr>
              <w:t>的扣除。</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Fonts w:hint="eastAsia" w:ascii="宋体" w:hAnsi="宋体" w:eastAsia="宋体" w:cs="宋体"/>
                <w:sz w:val="24"/>
                <w:szCs w:val="24"/>
              </w:rPr>
              <w:t>3. 依据2011年300号中小企业划分标准，本项目采购标的所</w:t>
            </w:r>
            <w:r>
              <w:rPr>
                <w:rStyle w:val="65"/>
                <w:rFonts w:hint="eastAsia" w:ascii="宋体" w:hAnsi="宋体" w:eastAsia="宋体" w:cs="宋体"/>
                <w:sz w:val="24"/>
                <w:szCs w:val="24"/>
              </w:rPr>
              <w:t>属行业为</w:t>
            </w:r>
            <w:r>
              <w:rPr>
                <w:rStyle w:val="65"/>
                <w:rFonts w:hint="eastAsia" w:ascii="宋体" w:hAnsi="宋体" w:cs="宋体"/>
                <w:sz w:val="24"/>
                <w:szCs w:val="24"/>
              </w:rPr>
              <w:t>：</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《中小企业声明函》中所列行业与采购文件所明确的行业不一致但不改变划型结果的不影响声明有效性。</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(注：未提供以上材料的，均不给予价格扣除）。</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default" w:ascii="宋体" w:hAnsi="宋体" w:eastAsia="宋体" w:cs="宋体"/>
                <w:b w:val="0"/>
                <w:bCs/>
                <w:sz w:val="24"/>
                <w:szCs w:val="24"/>
                <w:lang w:val="en-US"/>
              </w:rPr>
            </w:pPr>
            <w:r>
              <w:rPr>
                <w:rStyle w:val="65"/>
                <w:rFonts w:hint="eastAsia" w:ascii="宋体" w:hAnsi="宋体" w:cs="宋体"/>
                <w:b w:val="0"/>
                <w:bCs/>
                <w:sz w:val="24"/>
                <w:szCs w:val="24"/>
                <w:lang w:val="en-US"/>
              </w:rPr>
              <w:t>29</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环境标志产品</w:t>
            </w:r>
          </w:p>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节能产品</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highlight w:val="none"/>
              </w:rPr>
            </w:pPr>
            <w:r>
              <w:rPr>
                <w:rStyle w:val="65"/>
                <w:rFonts w:hint="eastAsia" w:ascii="宋体" w:hAnsi="宋体" w:eastAsia="宋体" w:cs="宋体"/>
                <w:sz w:val="24"/>
                <w:szCs w:val="24"/>
              </w:rPr>
              <w:t>本项目为</w:t>
            </w:r>
            <w:r>
              <w:rPr>
                <w:rStyle w:val="65"/>
                <w:rFonts w:hint="eastAsia" w:ascii="宋体" w:hAnsi="宋体" w:cs="宋体"/>
                <w:sz w:val="24"/>
                <w:szCs w:val="24"/>
              </w:rPr>
              <w:t>货物</w:t>
            </w:r>
            <w:r>
              <w:rPr>
                <w:rStyle w:val="65"/>
                <w:rFonts w:hint="eastAsia" w:ascii="宋体" w:hAnsi="宋体" w:eastAsia="宋体" w:cs="宋体"/>
                <w:sz w:val="24"/>
                <w:szCs w:val="24"/>
                <w:highlight w:val="none"/>
              </w:rPr>
              <w:t>项目，不涉及环境标志产品节能产品政策；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highlight w:val="none"/>
              </w:rPr>
              <w:t>优先采购环境标志产品政策，节能产品政</w:t>
            </w:r>
            <w:r>
              <w:rPr>
                <w:rStyle w:val="65"/>
                <w:rFonts w:hint="eastAsia" w:ascii="宋体" w:hAnsi="宋体" w:eastAsia="宋体" w:cs="宋体"/>
                <w:sz w:val="24"/>
                <w:szCs w:val="24"/>
              </w:rPr>
              <w:t>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 xml:space="preserve">适用  </w:t>
            </w:r>
            <w:r>
              <w:rPr>
                <w:rStyle w:val="65"/>
                <w:rFonts w:hint="eastAsia" w:ascii="宋体" w:hAnsi="宋体" w:eastAsia="宋体" w:cs="宋体"/>
                <w:sz w:val="24"/>
                <w:szCs w:val="24"/>
              </w:rPr>
              <w:fldChar w:fldCharType="begin"/>
            </w:r>
            <w:r>
              <w:rPr>
                <w:rStyle w:val="65"/>
                <w:rFonts w:hint="eastAsia" w:ascii="宋体" w:hAnsi="宋体" w:eastAsia="宋体" w:cs="宋体"/>
                <w:sz w:val="24"/>
                <w:szCs w:val="24"/>
              </w:rPr>
              <w:instrText xml:space="preserve"> eq \o\ac(</w:instrText>
            </w:r>
            <w:r>
              <w:rPr>
                <w:rStyle w:val="65"/>
                <w:rFonts w:hint="eastAsia" w:ascii="宋体" w:hAnsi="宋体" w:eastAsia="宋体" w:cs="宋体"/>
                <w:position w:val="-4"/>
                <w:sz w:val="36"/>
                <w:szCs w:val="24"/>
              </w:rPr>
              <w:instrText xml:space="preserve">□,</w:instrText>
            </w:r>
            <w:r>
              <w:rPr>
                <w:rStyle w:val="65"/>
                <w:rFonts w:hint="eastAsia" w:ascii="宋体" w:hAnsi="宋体" w:eastAsia="宋体" w:cs="宋体"/>
                <w:position w:val="0"/>
                <w:sz w:val="25"/>
                <w:szCs w:val="24"/>
              </w:rPr>
              <w:instrText xml:space="preserve">√</w:instrText>
            </w:r>
            <w:r>
              <w:rPr>
                <w:rStyle w:val="65"/>
                <w:rFonts w:hint="eastAsia" w:ascii="宋体" w:hAnsi="宋体" w:eastAsia="宋体" w:cs="宋体"/>
                <w:position w:val="0"/>
                <w:sz w:val="24"/>
                <w:szCs w:val="24"/>
              </w:rPr>
              <w:instrText xml:space="preserve">)</w:instrTex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 xml:space="preserve">不适用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提供中国政府采购网（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"http://www.ccgp.gov.cn/jnhb/jnhbqd/" </w:instrText>
            </w:r>
            <w:r>
              <w:rPr>
                <w:rFonts w:hint="eastAsia" w:ascii="宋体" w:hAnsi="宋体" w:eastAsia="宋体" w:cs="宋体"/>
                <w:sz w:val="24"/>
                <w:szCs w:val="24"/>
              </w:rPr>
              <w:fldChar w:fldCharType="separate"/>
            </w:r>
            <w:r>
              <w:rPr>
                <w:rStyle w:val="65"/>
                <w:rFonts w:hint="eastAsia" w:ascii="宋体" w:hAnsi="宋体" w:eastAsia="宋体" w:cs="宋体"/>
                <w:sz w:val="24"/>
                <w:szCs w:val="24"/>
              </w:rPr>
              <w:t>节能环保清单-中国政府采购网 (ccgp.gov.cn)</w: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）网页查询文件</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3</w:t>
            </w:r>
            <w:r>
              <w:rPr>
                <w:rStyle w:val="65"/>
                <w:rFonts w:hint="eastAsia" w:ascii="宋体" w:hAnsi="宋体" w:cs="宋体"/>
                <w:b w:val="0"/>
                <w:bCs/>
                <w:sz w:val="24"/>
                <w:szCs w:val="24"/>
                <w:lang w:val="en-US"/>
              </w:rPr>
              <w:t>1</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质疑</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根据《中华人民共和国政府采购法》第五十二条的规定，供应商认为采购文件、采购过程和中标、成交结果使自己的权益受到损害的，可以在知道或者应知其权益受到损害之日起七个工作日内，以书面形式向采购人、采购代理机构提出质疑。</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政府采购法第五十二条规定的供应商应知其权益受到损害之日，是指：</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（一）对可以质疑的采购文件提出质疑的，为收到采购文件之日或者采购文件公告期限届满之日；</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（二）对采购过程提出质疑的，为各采购程序环节结束之日；</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（三）对中标或者成交结果提出质疑的，为中标或者成交结果公告期限届满之日。</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质疑格式：（</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65"/>
                <w:rFonts w:hint="eastAsia" w:ascii="宋体" w:hAnsi="宋体" w:eastAsia="宋体" w:cs="宋体"/>
                <w:sz w:val="24"/>
                <w:szCs w:val="24"/>
              </w:rPr>
              <w:t>中国政府采购网 (ccgp.gov.cn)</w:t>
            </w:r>
            <w:r>
              <w:rPr>
                <w:rStyle w:val="65"/>
                <w:rFonts w:hint="eastAsia" w:ascii="宋体" w:hAnsi="宋体" w:eastAsia="宋体" w:cs="宋体"/>
                <w:sz w:val="24"/>
                <w:szCs w:val="24"/>
              </w:rPr>
              <w:fldChar w:fldCharType="end"/>
            </w:r>
            <w:r>
              <w:rPr>
                <w:rStyle w:val="65"/>
                <w:rFonts w:hint="eastAsia" w:ascii="宋体" w:hAnsi="宋体" w:eastAsia="宋体" w:cs="宋体"/>
                <w:sz w:val="24"/>
                <w:szCs w:val="24"/>
              </w:rPr>
              <w:t>）下载专区下载</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lang w:val="en-US"/>
              </w:rPr>
            </w:pPr>
            <w:r>
              <w:rPr>
                <w:rStyle w:val="65"/>
                <w:rFonts w:hint="eastAsia" w:ascii="宋体" w:hAnsi="宋体" w:eastAsia="宋体" w:cs="宋体"/>
                <w:sz w:val="24"/>
                <w:szCs w:val="24"/>
              </w:rPr>
              <w:t>联系人：杨慧</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联系电话：0991-6660570</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联系地址：新疆乌鲁木齐高新技术产业开发区（新市区）鲤鱼山北路199号集电港A座511室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质疑提交方式：纸质版，一式三份；</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3</w:t>
            </w:r>
            <w:r>
              <w:rPr>
                <w:rStyle w:val="65"/>
                <w:rFonts w:hint="eastAsia" w:ascii="宋体" w:hAnsi="宋体" w:cs="宋体"/>
                <w:b w:val="0"/>
                <w:bCs/>
                <w:sz w:val="24"/>
                <w:szCs w:val="24"/>
                <w:lang w:val="en-US"/>
              </w:rPr>
              <w:t>2</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Style w:val="65"/>
                <w:rFonts w:hint="eastAsia" w:ascii="宋体" w:hAnsi="宋体" w:eastAsia="宋体" w:cs="宋体"/>
                <w:b w:val="0"/>
                <w:bCs/>
                <w:sz w:val="24"/>
                <w:szCs w:val="24"/>
              </w:rPr>
              <w:t>其他</w:t>
            </w:r>
          </w:p>
        </w:tc>
        <w:tc>
          <w:tcPr>
            <w:tcW w:w="6748" w:type="dxa"/>
            <w:tcBorders>
              <w:top w:val="single" w:color="auto" w:sz="4" w:space="0"/>
              <w:left w:val="nil"/>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一、投标人报价低于最高限价60%的，须在投标文件中说明报价理由。</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 xml:space="preserve">二、投标人的报价明显低于其他通过符合性审查投标人的报价，有可能影响产品质量或者不能诚信履约的，应当按评标委员会的要求，在评标现场合理的时间内提供书面说明，必要时提交相关证明材料；投标人不能证明其报价合理性的，将被作为无效投标处理。 </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三、对可接受分支机构投标的项目，分支机构投标的，须提供分支机构的营业执照（执业许可证）扫描件及总公司（总所）出具给分支机构的授权书，授权书须加盖总公司（总所）公章。总公司（总所）可就本项目或此类项目在一定范围或时间内出具授权书。已由总公司（总所）授权的，总公司（总所）取得的相关资质证书对分支机构有效，法律法规或者行业另有规定的除外。</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四、供应商一旦依法被确认为中标人，其投标文件中的相关内容（主要中标标的的名称、规格型号、数量、单价、服务要求、小微企业等），将会随中标结果公告一并发布在采购信息发布网上，接受社会监督。</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五、采购代理机构不对供应商报名时提交的相关资料的真实性负责，如供应商发现相关资料被盗用或复制，应遵循法律途径解决，追究侵权者责任。</w:t>
            </w:r>
          </w:p>
          <w:p>
            <w:pPr>
              <w:pStyle w:val="71"/>
              <w:keepNext w:val="0"/>
              <w:keepLines w:val="0"/>
              <w:pageBreakBefore w:val="0"/>
              <w:kinsoku/>
              <w:wordWrap/>
              <w:overflowPunct/>
              <w:topLinePunct w:val="0"/>
              <w:bidi w:val="0"/>
              <w:spacing w:before="0" w:beforeAutospacing="0" w:after="0" w:afterAutospacing="0" w:line="360" w:lineRule="auto"/>
              <w:textAlignment w:val="auto"/>
              <w:rPr>
                <w:rStyle w:val="65"/>
                <w:rFonts w:hint="eastAsia" w:ascii="宋体" w:hAnsi="宋体" w:eastAsia="宋体" w:cs="宋体"/>
                <w:sz w:val="24"/>
                <w:szCs w:val="24"/>
              </w:rPr>
            </w:pPr>
            <w:r>
              <w:rPr>
                <w:rStyle w:val="65"/>
                <w:rFonts w:hint="eastAsia" w:ascii="宋体" w:hAnsi="宋体" w:eastAsia="宋体" w:cs="宋体"/>
                <w:sz w:val="24"/>
                <w:szCs w:val="24"/>
              </w:rPr>
              <w:t>（本提示内容非招标文件的组成部分，仅为善意提醒。如有不一致，以招标文件为准。）</w:t>
            </w:r>
          </w:p>
        </w:tc>
      </w:tr>
      <w:tr>
        <w:tblPrEx>
          <w:tblCellMar>
            <w:top w:w="0" w:type="dxa"/>
            <w:left w:w="0" w:type="dxa"/>
            <w:bottom w:w="0" w:type="dxa"/>
            <w:right w:w="0" w:type="dxa"/>
          </w:tblCellMar>
        </w:tblPrEx>
        <w:trPr>
          <w:trHeight w:val="567"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1"/>
              <w:keepNext w:val="0"/>
              <w:keepLines w:val="0"/>
              <w:pageBreakBefore w:val="0"/>
              <w:kinsoku/>
              <w:wordWrap/>
              <w:overflowPunct/>
              <w:topLinePunct w:val="0"/>
              <w:bidi w:val="0"/>
              <w:spacing w:before="0" w:beforeAutospacing="0" w:after="0" w:afterAutospacing="0" w:line="360" w:lineRule="auto"/>
              <w:jc w:val="center"/>
              <w:textAlignment w:val="auto"/>
              <w:rPr>
                <w:rStyle w:val="65"/>
                <w:rFonts w:hint="eastAsia" w:ascii="宋体" w:hAnsi="宋体" w:eastAsia="宋体" w:cs="宋体"/>
                <w:b w:val="0"/>
                <w:bCs/>
                <w:sz w:val="24"/>
                <w:szCs w:val="24"/>
                <w:lang w:val="en-US"/>
              </w:rPr>
            </w:pPr>
            <w:r>
              <w:rPr>
                <w:rStyle w:val="65"/>
                <w:rFonts w:hint="eastAsia" w:ascii="宋体" w:hAnsi="宋体" w:eastAsia="宋体" w:cs="宋体"/>
                <w:b w:val="0"/>
                <w:bCs/>
                <w:sz w:val="24"/>
                <w:szCs w:val="24"/>
                <w:lang w:val="en-US"/>
              </w:rPr>
              <w:t>3</w:t>
            </w:r>
            <w:r>
              <w:rPr>
                <w:rStyle w:val="65"/>
                <w:rFonts w:hint="eastAsia" w:ascii="宋体" w:hAnsi="宋体" w:cs="宋体"/>
                <w:b w:val="0"/>
                <w:bCs/>
                <w:sz w:val="24"/>
                <w:szCs w:val="24"/>
                <w:lang w:val="en-US"/>
              </w:rPr>
              <w:t>3</w:t>
            </w:r>
          </w:p>
        </w:tc>
        <w:tc>
          <w:tcPr>
            <w:tcW w:w="17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jc w:val="center"/>
              <w:textAlignment w:val="auto"/>
              <w:rPr>
                <w:rStyle w:val="65"/>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eastAsia="zh-CN"/>
              </w:rPr>
              <w:t>开标现场提供资料</w:t>
            </w:r>
          </w:p>
        </w:tc>
        <w:tc>
          <w:tcPr>
            <w:tcW w:w="674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1.供应商法定代表人身份证明及法定代表人授权委托书,原件加盖公章一份；</w:t>
            </w:r>
          </w:p>
          <w:p>
            <w:pPr>
              <w:keepNext w:val="0"/>
              <w:keepLines w:val="0"/>
              <w:pageBreakBefore w:val="0"/>
              <w:widowControl/>
              <w:suppressLineNumbers w:val="0"/>
              <w:shd w:val="clear" w:fill="FFFFFF"/>
              <w:kinsoku/>
              <w:wordWrap/>
              <w:overflowPunct/>
              <w:topLinePunct w:val="0"/>
              <w:bidi w:val="0"/>
              <w:spacing w:before="0" w:beforeAutospacing="0" w:after="0" w:afterAutospacing="0" w:line="360" w:lineRule="auto"/>
              <w:ind w:left="0" w:firstLine="0"/>
              <w:jc w:val="left"/>
              <w:textAlignment w:val="auto"/>
              <w:rPr>
                <w:rFonts w:hint="eastAsia" w:ascii="宋体" w:hAnsi="宋体" w:eastAsia="宋体" w:cs="宋体"/>
                <w:i w:val="0"/>
                <w:iCs w:val="0"/>
                <w:caps w:val="0"/>
                <w:color w:val="000000"/>
                <w:spacing w:val="0"/>
                <w:sz w:val="24"/>
                <w:szCs w:val="24"/>
                <w:lang w:val="en-US"/>
              </w:rPr>
            </w:pPr>
            <w:r>
              <w:rPr>
                <w:rFonts w:hint="eastAsia" w:ascii="宋体" w:hAnsi="宋体" w:eastAsia="宋体" w:cs="宋体"/>
                <w:i w:val="0"/>
                <w:iCs w:val="0"/>
                <w:caps w:val="0"/>
                <w:color w:val="000000"/>
                <w:spacing w:val="0"/>
                <w:kern w:val="0"/>
                <w:sz w:val="24"/>
                <w:szCs w:val="24"/>
                <w:shd w:val="clear" w:fill="FFFFFF"/>
                <w:lang w:val="en-US" w:eastAsia="zh-CN" w:bidi="ar"/>
              </w:rPr>
              <w:t>2.法定代表人或授权委托人身份证原件；</w:t>
            </w:r>
          </w:p>
          <w:p>
            <w:pPr>
              <w:keepNext w:val="0"/>
              <w:keepLines w:val="0"/>
              <w:pageBreakBefore w:val="0"/>
              <w:kinsoku/>
              <w:wordWrap/>
              <w:overflowPunct/>
              <w:topLinePunct w:val="0"/>
              <w:autoSpaceDE w:val="0"/>
              <w:autoSpaceDN w:val="0"/>
              <w:bidi w:val="0"/>
              <w:adjustRightInd w:val="0"/>
              <w:spacing w:before="0" w:beforeAutospacing="0" w:after="0" w:afterAutospacing="0" w:line="360" w:lineRule="auto"/>
              <w:textAlignment w:val="auto"/>
              <w:rPr>
                <w:rStyle w:val="65"/>
                <w:rFonts w:hint="eastAsia" w:ascii="宋体" w:hAnsi="宋体" w:eastAsia="宋体" w:cs="宋体"/>
                <w:b/>
                <w:bCs w:val="0"/>
                <w:sz w:val="24"/>
                <w:szCs w:val="24"/>
                <w:lang w:eastAsia="zh-CN"/>
              </w:rPr>
            </w:pPr>
            <w:r>
              <w:rPr>
                <w:rFonts w:hint="eastAsia" w:ascii="宋体" w:hAnsi="宋体" w:eastAsia="宋体" w:cs="宋体"/>
                <w:color w:val="000000"/>
                <w:sz w:val="24"/>
                <w:szCs w:val="24"/>
              </w:rPr>
              <w:t>注：以上证件须为有效证件，</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现场递交，</w:t>
            </w:r>
            <w:r>
              <w:rPr>
                <w:rFonts w:hint="eastAsia" w:ascii="宋体" w:hAnsi="宋体" w:eastAsia="宋体" w:cs="宋体"/>
                <w:b/>
                <w:bCs/>
                <w:color w:val="000000"/>
                <w:sz w:val="24"/>
                <w:szCs w:val="24"/>
              </w:rPr>
              <w:t>如不提供或提交信息有误的，按无效响应处理</w:t>
            </w:r>
            <w:r>
              <w:rPr>
                <w:rFonts w:hint="eastAsia" w:ascii="宋体" w:hAnsi="宋体" w:eastAsia="宋体" w:cs="宋体"/>
                <w:b/>
                <w:bCs/>
                <w:color w:val="000000"/>
                <w:sz w:val="24"/>
                <w:szCs w:val="24"/>
                <w:lang w:eastAsia="zh-CN"/>
              </w:rPr>
              <w:t>。</w:t>
            </w:r>
          </w:p>
        </w:tc>
      </w:tr>
      <w:tr>
        <w:tblPrEx>
          <w:tblCellMar>
            <w:top w:w="0" w:type="dxa"/>
            <w:left w:w="0" w:type="dxa"/>
            <w:bottom w:w="0" w:type="dxa"/>
            <w:right w:w="0" w:type="dxa"/>
          </w:tblCellMar>
        </w:tblPrEx>
        <w:trPr>
          <w:trHeight w:val="567" w:hRule="atLeast"/>
          <w:jc w:val="center"/>
        </w:trPr>
        <w:tc>
          <w:tcPr>
            <w:tcW w:w="90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beforeAutospacing="0" w:afterAutospacing="0"/>
              <w:textAlignment w:val="auto"/>
              <w:rPr>
                <w:rStyle w:val="65"/>
                <w:rFonts w:hint="eastAsia" w:ascii="宋体" w:hAnsi="宋体" w:eastAsia="宋体" w:cs="宋体"/>
                <w:sz w:val="24"/>
                <w:szCs w:val="24"/>
              </w:rPr>
            </w:pPr>
            <w:r>
              <w:rPr>
                <w:rFonts w:hint="eastAsia" w:ascii="宋体" w:hAnsi="宋体" w:eastAsia="宋体" w:cs="宋体"/>
                <w:b/>
                <w:bCs/>
                <w:sz w:val="24"/>
                <w:szCs w:val="24"/>
              </w:rPr>
              <w:t>注：投标人必须认真阅读招标文件中所有的事项、格式、条款和采购人需求等。投标人没有按照采购文件要求提交全部资料，或者投标文件没有对采购文件在各方面都做出实质性响应是投标人的风险，并可能导致其投标无效或被拒绝。</w:t>
            </w:r>
          </w:p>
        </w:tc>
      </w:tr>
    </w:tbl>
    <w:p>
      <w:pPr>
        <w:bidi w:val="0"/>
        <w:jc w:val="left"/>
        <w:rPr>
          <w:rFonts w:hint="eastAsia"/>
          <w:lang w:eastAsia="zh-CN"/>
        </w:rPr>
        <w:sectPr>
          <w:headerReference r:id="rId6" w:type="default"/>
          <w:footerReference r:id="rId7" w:type="default"/>
          <w:pgSz w:w="11907" w:h="16840"/>
          <w:pgMar w:top="1440" w:right="1800" w:bottom="1440" w:left="1800" w:header="720" w:footer="720" w:gutter="0"/>
          <w:pgNumType w:fmt="decimal" w:start="1"/>
          <w:cols w:space="720" w:num="1"/>
          <w:docGrid w:linePitch="285" w:charSpace="0"/>
        </w:sectPr>
      </w:pPr>
      <w:bookmarkStart w:id="15" w:name="_Toc41839715"/>
      <w:r>
        <w:rPr>
          <w:rFonts w:hint="eastAsia"/>
          <w:lang w:eastAsia="zh-CN"/>
        </w:rPr>
        <w:t>投标人须知前附表是对投标人须知正文的具体补充和修改。如与正文有冲突，以前附表为准。</w:t>
      </w:r>
    </w:p>
    <w:p>
      <w:pPr>
        <w:pStyle w:val="3"/>
        <w:bidi w:val="0"/>
        <w:rPr>
          <w:rFonts w:hint="eastAsia"/>
        </w:rPr>
      </w:pPr>
      <w:bookmarkStart w:id="16" w:name="_Toc22133"/>
      <w:bookmarkStart w:id="17" w:name="_Toc32651"/>
      <w:r>
        <w:rPr>
          <w:rFonts w:hint="eastAsia"/>
          <w:lang w:eastAsia="zh-CN"/>
        </w:rPr>
        <w:t>投标人</w:t>
      </w:r>
      <w:r>
        <w:rPr>
          <w:rFonts w:hint="eastAsia"/>
        </w:rPr>
        <w:t>须知正文</w:t>
      </w:r>
      <w:bookmarkEnd w:id="16"/>
      <w:bookmarkEnd w:id="17"/>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18" w:name="_Toc15886"/>
      <w:bookmarkStart w:id="19" w:name="_Toc12067"/>
      <w:bookmarkStart w:id="20" w:name="_Toc480368401"/>
      <w:r>
        <w:rPr>
          <w:rFonts w:hint="eastAsia" w:ascii="宋体" w:hAnsi="宋体" w:eastAsia="宋体" w:cs="宋体"/>
          <w:sz w:val="24"/>
          <w:szCs w:val="24"/>
        </w:rPr>
        <w:t>一、总则</w:t>
      </w:r>
      <w:bookmarkEnd w:id="18"/>
      <w:bookmarkEnd w:id="19"/>
      <w:bookmarkEnd w:id="20"/>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1.说明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1.1本招标文件适用于本次招标采购项目的招标投标。</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2.定义</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2.1“采购人”名称见本招标文件第二部分“</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须知前附表”中第1项。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2.2“采购代理机构”名称见本招标文件第二部分“</w:t>
      </w:r>
      <w:r>
        <w:rPr>
          <w:rFonts w:hint="eastAsia" w:ascii="宋体" w:hAnsi="宋体" w:eastAsia="宋体" w:cs="宋体"/>
          <w:sz w:val="24"/>
          <w:szCs w:val="24"/>
          <w:lang w:val="en-US" w:eastAsia="zh-CN"/>
        </w:rPr>
        <w:t>投标人</w:t>
      </w:r>
      <w:r>
        <w:rPr>
          <w:rFonts w:hint="eastAsia" w:ascii="宋体" w:hAnsi="宋体" w:eastAsia="宋体" w:cs="宋体"/>
          <w:sz w:val="24"/>
          <w:szCs w:val="24"/>
        </w:rPr>
        <w:t>须知前附表”中第2项。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2.3“招标</w:t>
      </w:r>
      <w:r>
        <w:rPr>
          <w:rFonts w:hint="eastAsia" w:ascii="宋体" w:hAnsi="宋体" w:eastAsia="宋体" w:cs="宋体"/>
          <w:sz w:val="24"/>
          <w:szCs w:val="24"/>
          <w:lang w:eastAsia="zh-CN"/>
        </w:rPr>
        <w:t>设备</w:t>
      </w:r>
      <w:r>
        <w:rPr>
          <w:rFonts w:hint="eastAsia" w:ascii="宋体" w:hAnsi="宋体" w:eastAsia="宋体" w:cs="宋体"/>
          <w:sz w:val="24"/>
          <w:szCs w:val="24"/>
        </w:rPr>
        <w:t>”指招标文件第四部分所述所有</w:t>
      </w:r>
      <w:r>
        <w:rPr>
          <w:rFonts w:hint="eastAsia" w:ascii="宋体" w:hAnsi="宋体" w:eastAsia="宋体" w:cs="宋体"/>
          <w:sz w:val="24"/>
          <w:szCs w:val="24"/>
          <w:lang w:eastAsia="zh-CN"/>
        </w:rPr>
        <w:t>设备</w:t>
      </w:r>
      <w:r>
        <w:rPr>
          <w:rFonts w:hint="eastAsia" w:ascii="宋体" w:hAnsi="宋体" w:eastAsia="宋体" w:cs="宋体"/>
          <w:sz w:val="24"/>
          <w:szCs w:val="24"/>
        </w:rPr>
        <w:t>；“服务”指招标文件第四部分所述</w:t>
      </w:r>
      <w:r>
        <w:rPr>
          <w:rFonts w:hint="eastAsia" w:ascii="宋体" w:hAnsi="宋体" w:eastAsia="宋体" w:cs="宋体"/>
          <w:sz w:val="24"/>
          <w:szCs w:val="24"/>
          <w:lang w:eastAsia="zh-CN"/>
        </w:rPr>
        <w:t>投标人</w:t>
      </w:r>
      <w:r>
        <w:rPr>
          <w:rFonts w:hint="eastAsia" w:ascii="宋体" w:hAnsi="宋体" w:eastAsia="宋体" w:cs="宋体"/>
          <w:sz w:val="24"/>
          <w:szCs w:val="24"/>
        </w:rPr>
        <w:t>应该履行的承诺和义务。</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2.4“潜在</w:t>
      </w:r>
      <w:r>
        <w:rPr>
          <w:rFonts w:hint="eastAsia" w:ascii="宋体" w:hAnsi="宋体" w:eastAsia="宋体" w:cs="宋体"/>
          <w:sz w:val="24"/>
          <w:szCs w:val="24"/>
          <w:lang w:val="en-US" w:eastAsia="zh-CN"/>
        </w:rPr>
        <w:t>投标人</w:t>
      </w:r>
      <w:r>
        <w:rPr>
          <w:rFonts w:hint="eastAsia" w:ascii="宋体" w:hAnsi="宋体" w:eastAsia="宋体" w:cs="宋体"/>
          <w:sz w:val="24"/>
          <w:szCs w:val="24"/>
        </w:rPr>
        <w:t>”指符合招标文件各项规定的</w:t>
      </w:r>
      <w:r>
        <w:rPr>
          <w:rFonts w:hint="eastAsia" w:ascii="宋体" w:hAnsi="宋体" w:eastAsia="宋体" w:cs="宋体"/>
          <w:sz w:val="24"/>
          <w:szCs w:val="24"/>
          <w:lang w:val="en-US"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eastAsia="宋体" w:cs="宋体"/>
          <w:sz w:val="24"/>
          <w:szCs w:val="24"/>
          <w:lang w:val="en-US" w:eastAsia="zh-CN"/>
        </w:rPr>
        <w:t>投标人</w:t>
      </w:r>
      <w:r>
        <w:rPr>
          <w:rFonts w:hint="eastAsia" w:ascii="宋体" w:hAnsi="宋体" w:eastAsia="宋体" w:cs="宋体"/>
          <w:sz w:val="24"/>
          <w:szCs w:val="24"/>
        </w:rPr>
        <w:t>”指符合招标文件规定并参加投标的</w:t>
      </w:r>
      <w:r>
        <w:rPr>
          <w:rFonts w:hint="eastAsia" w:ascii="宋体" w:hAnsi="宋体" w:eastAsia="宋体" w:cs="宋体"/>
          <w:sz w:val="24"/>
          <w:szCs w:val="24"/>
          <w:lang w:val="en-US"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3.合格</w:t>
      </w:r>
      <w:r>
        <w:rPr>
          <w:rFonts w:hint="eastAsia" w:ascii="宋体" w:hAnsi="宋体" w:eastAsia="宋体" w:cs="宋体"/>
          <w:b/>
          <w:sz w:val="24"/>
          <w:szCs w:val="24"/>
          <w:highlight w:val="none"/>
          <w:lang w:eastAsia="zh-CN"/>
        </w:rPr>
        <w:t>投标人</w:t>
      </w:r>
      <w:r>
        <w:rPr>
          <w:rFonts w:hint="eastAsia" w:ascii="宋体" w:hAnsi="宋体" w:eastAsia="宋体" w:cs="宋体"/>
          <w:b/>
          <w:sz w:val="24"/>
          <w:szCs w:val="24"/>
          <w:highlight w:val="none"/>
        </w:rPr>
        <w:t>的条件</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3.2遵守有关的国家法律、法规和条例，具备《中华人民共和国政府采购法》《中华人民共和国政府采购法</w:t>
      </w:r>
      <w:r>
        <w:rPr>
          <w:rFonts w:hint="eastAsia" w:ascii="宋体" w:hAnsi="宋体" w:cs="宋体"/>
          <w:sz w:val="24"/>
          <w:szCs w:val="24"/>
          <w:lang w:eastAsia="zh-CN"/>
        </w:rPr>
        <w:t>实施条例</w:t>
      </w:r>
      <w:r>
        <w:rPr>
          <w:rFonts w:hint="eastAsia" w:ascii="宋体" w:hAnsi="宋体" w:eastAsia="宋体" w:cs="宋体"/>
          <w:sz w:val="24"/>
          <w:szCs w:val="24"/>
        </w:rPr>
        <w:t>》和本文件中规定的条件：</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具有独立承担民事责任的能力； </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具有依法缴纳税收和社会保障资金的良好记录；</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法律、行政法规规定的其他条件；</w:t>
      </w:r>
    </w:p>
    <w:p>
      <w:pPr>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具有本招标文件第二部分“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须知前附表”中第</w:t>
      </w:r>
      <w:r>
        <w:rPr>
          <w:rFonts w:hint="eastAsia" w:ascii="宋体" w:hAnsi="宋体" w:eastAsia="宋体" w:cs="宋体"/>
          <w:sz w:val="24"/>
          <w:szCs w:val="24"/>
          <w:lang w:val="en-US" w:eastAsia="zh-CN"/>
        </w:rPr>
        <w:t>6</w:t>
      </w:r>
      <w:r>
        <w:rPr>
          <w:rFonts w:hint="eastAsia" w:ascii="宋体" w:hAnsi="宋体" w:eastAsia="宋体" w:cs="宋体"/>
          <w:sz w:val="24"/>
          <w:szCs w:val="24"/>
        </w:rPr>
        <w:t>项规定的资格条件。</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eastAsia="zh-CN"/>
        </w:rPr>
        <w:t>投标人</w:t>
      </w:r>
      <w:r>
        <w:rPr>
          <w:rFonts w:hint="eastAsia" w:ascii="宋体" w:hAnsi="宋体" w:eastAsia="宋体" w:cs="宋体"/>
          <w:sz w:val="24"/>
          <w:szCs w:val="24"/>
        </w:rPr>
        <w:t>之间如果存在下列情形之一的，不得同时参加同一包（标段）或者不分包（标段）的同一项目投标：</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单位负责人为同一人或者存在直接控股、管理关系的不同供应商；</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母公司、全资子公司及其控股公司；</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参加投标的其他组织之间存在特殊的利害关系的；</w:t>
      </w:r>
    </w:p>
    <w:p>
      <w:pPr>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ind w:left="625" w:leftChars="0" w:firstLine="15" w:firstLineChars="0"/>
        <w:textAlignment w:val="auto"/>
        <w:rPr>
          <w:rFonts w:hint="eastAsia" w:ascii="宋体" w:hAnsi="宋体" w:eastAsia="宋体" w:cs="宋体"/>
          <w:sz w:val="24"/>
          <w:szCs w:val="24"/>
        </w:rPr>
      </w:pPr>
      <w:r>
        <w:rPr>
          <w:rFonts w:hint="eastAsia" w:ascii="宋体" w:hAnsi="宋体" w:eastAsia="宋体" w:cs="宋体"/>
          <w:sz w:val="24"/>
          <w:szCs w:val="24"/>
        </w:rPr>
        <w:t>法律和行政法规规定的其他情形。</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sz w:val="24"/>
          <w:szCs w:val="24"/>
          <w:lang w:eastAsia="zh-CN"/>
        </w:rPr>
        <w:t>投标人</w:t>
      </w:r>
      <w:r>
        <w:rPr>
          <w:rFonts w:hint="eastAsia" w:ascii="宋体" w:hAnsi="宋体" w:eastAsia="宋体" w:cs="宋体"/>
          <w:sz w:val="24"/>
          <w:szCs w:val="24"/>
        </w:rPr>
        <w:t>须持有《法定代表人授权委托书》。</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w:t>
      </w:r>
      <w:r>
        <w:rPr>
          <w:rFonts w:hint="eastAsia" w:ascii="宋体" w:hAnsi="宋体" w:eastAsia="宋体" w:cs="宋体"/>
          <w:sz w:val="24"/>
          <w:szCs w:val="24"/>
          <w:lang w:eastAsia="zh-CN"/>
        </w:rPr>
        <w:t>投标人</w:t>
      </w:r>
      <w:r>
        <w:rPr>
          <w:rFonts w:hint="eastAsia" w:ascii="宋体" w:hAnsi="宋体" w:eastAsia="宋体" w:cs="宋体"/>
          <w:sz w:val="24"/>
          <w:szCs w:val="24"/>
        </w:rPr>
        <w:t>在针对本项目报名并</w:t>
      </w:r>
      <w:r>
        <w:rPr>
          <w:rFonts w:hint="eastAsia" w:ascii="宋体" w:hAnsi="宋体" w:cs="宋体"/>
          <w:sz w:val="24"/>
          <w:szCs w:val="24"/>
          <w:lang w:eastAsia="zh-CN"/>
        </w:rPr>
        <w:t>购买</w:t>
      </w:r>
      <w:r>
        <w:rPr>
          <w:rFonts w:hint="eastAsia" w:ascii="宋体" w:hAnsi="宋体" w:eastAsia="宋体" w:cs="宋体"/>
          <w:sz w:val="24"/>
          <w:szCs w:val="24"/>
        </w:rPr>
        <w:t>了</w:t>
      </w:r>
      <w:r>
        <w:rPr>
          <w:rFonts w:hint="eastAsia" w:ascii="宋体" w:hAnsi="宋体" w:eastAsia="宋体" w:cs="宋体"/>
          <w:kern w:val="0"/>
          <w:sz w:val="24"/>
          <w:szCs w:val="24"/>
        </w:rPr>
        <w:t>采购文件</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w:t>
      </w:r>
      <w:r>
        <w:rPr>
          <w:rFonts w:hint="eastAsia" w:ascii="宋体" w:hAnsi="宋体" w:eastAsia="宋体" w:cs="宋体"/>
          <w:sz w:val="24"/>
          <w:szCs w:val="24"/>
          <w:lang w:eastAsia="zh-CN"/>
        </w:rPr>
        <w:t>投标人</w:t>
      </w:r>
      <w:r>
        <w:rPr>
          <w:rFonts w:hint="eastAsia" w:ascii="宋体" w:hAnsi="宋体" w:eastAsia="宋体" w:cs="宋体"/>
          <w:sz w:val="24"/>
          <w:szCs w:val="24"/>
        </w:rPr>
        <w:t>按时足额交纳投标保证金。</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3.7本次招标是否允许由两个以上</w:t>
      </w:r>
      <w:r>
        <w:rPr>
          <w:rFonts w:hint="eastAsia" w:ascii="宋体" w:hAnsi="宋体" w:eastAsia="宋体" w:cs="宋体"/>
          <w:sz w:val="24"/>
          <w:szCs w:val="24"/>
          <w:lang w:eastAsia="zh-CN"/>
        </w:rPr>
        <w:t>投标人</w:t>
      </w:r>
      <w:r>
        <w:rPr>
          <w:rFonts w:hint="eastAsia" w:ascii="宋体" w:hAnsi="宋体" w:eastAsia="宋体" w:cs="宋体"/>
          <w:sz w:val="24"/>
          <w:szCs w:val="24"/>
        </w:rPr>
        <w:t>组成一个联合体以一个</w:t>
      </w:r>
      <w:r>
        <w:rPr>
          <w:rFonts w:hint="eastAsia" w:ascii="宋体" w:hAnsi="宋体" w:eastAsia="宋体" w:cs="宋体"/>
          <w:sz w:val="24"/>
          <w:szCs w:val="24"/>
          <w:lang w:eastAsia="zh-CN"/>
        </w:rPr>
        <w:t>投标人</w:t>
      </w:r>
      <w:r>
        <w:rPr>
          <w:rFonts w:hint="eastAsia" w:ascii="宋体" w:hAnsi="宋体" w:eastAsia="宋体" w:cs="宋体"/>
          <w:sz w:val="24"/>
          <w:szCs w:val="24"/>
        </w:rPr>
        <w:t>身份共同投标，按照招标文件第二部分“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须知前附表”中第5项的规定。如果允许，除均应符合上述规定外，还应符合下列要求：</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联合体各方中至少应当有一方对应满足本项目规定的相应资质条件，并且联合体</w:t>
      </w:r>
      <w:r>
        <w:rPr>
          <w:rFonts w:hint="eastAsia" w:ascii="宋体" w:hAnsi="宋体" w:eastAsia="宋体" w:cs="宋体"/>
          <w:sz w:val="24"/>
          <w:szCs w:val="24"/>
          <w:lang w:eastAsia="zh-CN"/>
        </w:rPr>
        <w:t>投标人</w:t>
      </w:r>
      <w:r>
        <w:rPr>
          <w:rFonts w:hint="eastAsia" w:ascii="宋体" w:hAnsi="宋体" w:eastAsia="宋体" w:cs="宋体"/>
          <w:sz w:val="24"/>
          <w:szCs w:val="24"/>
        </w:rPr>
        <w:t>整体应当符合本项目的资质要求，否则，其提交的联合投标将被拒绝。</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由不同专业的</w:t>
      </w:r>
      <w:r>
        <w:rPr>
          <w:rFonts w:hint="eastAsia" w:ascii="宋体" w:hAnsi="宋体" w:eastAsia="宋体" w:cs="宋体"/>
          <w:sz w:val="24"/>
          <w:szCs w:val="24"/>
          <w:lang w:eastAsia="zh-CN"/>
        </w:rPr>
        <w:t>投标人</w:t>
      </w:r>
      <w:r>
        <w:rPr>
          <w:rFonts w:hint="eastAsia" w:ascii="宋体" w:hAnsi="宋体" w:eastAsia="宋体" w:cs="宋体"/>
          <w:sz w:val="24"/>
          <w:szCs w:val="24"/>
        </w:rPr>
        <w:t>组成的联合体, 首先以投标的全权代表方的应答材料作为认定资质以及商务评审的依据；涉及行业专属的资质,按照所属行业所对应的</w:t>
      </w:r>
      <w:r>
        <w:rPr>
          <w:rFonts w:hint="eastAsia" w:ascii="宋体" w:hAnsi="宋体" w:eastAsia="宋体" w:cs="宋体"/>
          <w:sz w:val="24"/>
          <w:szCs w:val="24"/>
          <w:lang w:eastAsia="zh-CN"/>
        </w:rPr>
        <w:t>投标人</w:t>
      </w:r>
      <w:r>
        <w:rPr>
          <w:rFonts w:hint="eastAsia" w:ascii="宋体" w:hAnsi="宋体" w:eastAsia="宋体" w:cs="宋体"/>
          <w:sz w:val="24"/>
          <w:szCs w:val="24"/>
        </w:rPr>
        <w:t>的应答材料确定。</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numPr>
          <w:ilvl w:val="0"/>
          <w:numId w:val="3"/>
        </w:numPr>
        <w:kinsoku/>
        <w:wordWrap/>
        <w:overflowPunct/>
        <w:topLinePunct w:val="0"/>
        <w:autoSpaceDE/>
        <w:autoSpaceDN/>
        <w:bidi w:val="0"/>
        <w:adjustRightInd/>
        <w:snapToGrid/>
        <w:spacing w:before="0" w:beforeAutospacing="0" w:after="0" w:afterAutospacing="0" w:line="360" w:lineRule="auto"/>
        <w:ind w:left="5" w:leftChars="0" w:firstLine="635"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联合体各方均不得同时再以自己独立的名义单独投标，也不得再同时参加其他的联合体投标。若该等情形被发现，其单独的投标和与此有关的联合体的投标均将被一并拒绝。</w:t>
      </w:r>
    </w:p>
    <w:p>
      <w:pPr>
        <w:pStyle w:val="10"/>
        <w:pageBreakBefore w:val="0"/>
        <w:widowControl w:val="0"/>
        <w:tabs>
          <w:tab w:val="left" w:pos="1146"/>
        </w:tabs>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w:t>
      </w:r>
      <w:r>
        <w:rPr>
          <w:rFonts w:hint="eastAsia" w:ascii="宋体" w:hAnsi="宋体" w:eastAsia="宋体" w:cs="宋体"/>
          <w:sz w:val="24"/>
          <w:szCs w:val="24"/>
          <w:lang w:eastAsia="zh-CN"/>
        </w:rPr>
        <w:t>投标人</w:t>
      </w:r>
      <w:r>
        <w:rPr>
          <w:rFonts w:hint="eastAsia" w:ascii="宋体" w:hAnsi="宋体" w:eastAsia="宋体" w:cs="宋体"/>
          <w:sz w:val="24"/>
          <w:szCs w:val="24"/>
        </w:rPr>
        <w:t>不得与采购人、采购代理机构等有利害关系。</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4.投标费用</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eastAsia="zh-CN"/>
        </w:rPr>
        <w:t>投标人</w:t>
      </w:r>
      <w:r>
        <w:rPr>
          <w:rFonts w:hint="eastAsia" w:ascii="宋体" w:hAnsi="宋体" w:eastAsia="宋体" w:cs="宋体"/>
          <w:sz w:val="24"/>
          <w:szCs w:val="24"/>
        </w:rPr>
        <w:t>应承担所有与准备和参加投标有关的费用。</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5.纪律</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w:t>
      </w:r>
      <w:r>
        <w:rPr>
          <w:rFonts w:hint="eastAsia" w:ascii="宋体" w:hAnsi="宋体" w:eastAsia="宋体" w:cs="宋体"/>
          <w:sz w:val="24"/>
          <w:szCs w:val="24"/>
          <w:lang w:eastAsia="zh-CN"/>
        </w:rPr>
        <w:t>投标人</w:t>
      </w:r>
      <w:r>
        <w:rPr>
          <w:rFonts w:hint="eastAsia" w:ascii="宋体" w:hAnsi="宋体" w:eastAsia="宋体" w:cs="宋体"/>
          <w:sz w:val="24"/>
          <w:szCs w:val="24"/>
        </w:rPr>
        <w:t>的投标行为应遵守中国的有关法律、法规和规章。</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eastAsia="宋体" w:cs="宋体"/>
          <w:sz w:val="24"/>
          <w:szCs w:val="24"/>
          <w:lang w:eastAsia="zh-CN"/>
        </w:rPr>
        <w:t>投标人</w:t>
      </w:r>
      <w:r>
        <w:rPr>
          <w:rFonts w:hint="eastAsia" w:ascii="宋体" w:hAnsi="宋体" w:eastAsia="宋体" w:cs="宋体"/>
          <w:sz w:val="24"/>
          <w:szCs w:val="24"/>
        </w:rPr>
        <w:t>不得相互串通投标报价，不得妨碍其他</w:t>
      </w:r>
      <w:r>
        <w:rPr>
          <w:rFonts w:hint="eastAsia" w:ascii="宋体" w:hAnsi="宋体" w:eastAsia="宋体" w:cs="宋体"/>
          <w:sz w:val="24"/>
          <w:szCs w:val="24"/>
          <w:lang w:eastAsia="zh-CN"/>
        </w:rPr>
        <w:t>投标人</w:t>
      </w:r>
      <w:r>
        <w:rPr>
          <w:rFonts w:hint="eastAsia" w:ascii="宋体" w:hAnsi="宋体" w:eastAsia="宋体" w:cs="宋体"/>
          <w:sz w:val="24"/>
          <w:szCs w:val="24"/>
        </w:rPr>
        <w:t>的公平竞争，不得损害采购人或其他</w:t>
      </w:r>
      <w:r>
        <w:rPr>
          <w:rFonts w:hint="eastAsia" w:ascii="宋体" w:hAnsi="宋体" w:eastAsia="宋体" w:cs="宋体"/>
          <w:sz w:val="24"/>
          <w:szCs w:val="24"/>
          <w:lang w:eastAsia="zh-CN"/>
        </w:rPr>
        <w:t>投标人</w:t>
      </w:r>
      <w:r>
        <w:rPr>
          <w:rFonts w:hint="eastAsia" w:ascii="宋体" w:hAnsi="宋体" w:eastAsia="宋体" w:cs="宋体"/>
          <w:sz w:val="24"/>
          <w:szCs w:val="24"/>
        </w:rPr>
        <w:t>的合法权益，</w:t>
      </w:r>
      <w:r>
        <w:rPr>
          <w:rFonts w:hint="eastAsia" w:ascii="宋体" w:hAnsi="宋体" w:eastAsia="宋体" w:cs="宋体"/>
          <w:sz w:val="24"/>
          <w:szCs w:val="24"/>
          <w:lang w:eastAsia="zh-CN"/>
        </w:rPr>
        <w:t>投标人</w:t>
      </w:r>
      <w:r>
        <w:rPr>
          <w:rFonts w:hint="eastAsia" w:ascii="宋体" w:hAnsi="宋体" w:eastAsia="宋体" w:cs="宋体"/>
          <w:sz w:val="24"/>
          <w:szCs w:val="24"/>
        </w:rPr>
        <w:t>不得以向采购人、评标委员会成员行贿或者采取其他不正当手段谋取中标。</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5.2.1有下列情形之一的，属于</w:t>
      </w:r>
      <w:r>
        <w:rPr>
          <w:rFonts w:hint="eastAsia" w:ascii="宋体" w:hAnsi="宋体" w:eastAsia="宋体" w:cs="宋体"/>
          <w:sz w:val="24"/>
          <w:szCs w:val="24"/>
          <w:lang w:eastAsia="zh-CN"/>
        </w:rPr>
        <w:t>投标人</w:t>
      </w:r>
      <w:r>
        <w:rPr>
          <w:rFonts w:hint="eastAsia" w:ascii="宋体" w:hAnsi="宋体" w:eastAsia="宋体" w:cs="宋体"/>
          <w:sz w:val="24"/>
          <w:szCs w:val="24"/>
        </w:rPr>
        <w:t>相互串通投标：</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之间协商投标报价等投标文件的实质性内容；</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之间约定中标人；</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之间约定部分</w:t>
      </w:r>
      <w:r>
        <w:rPr>
          <w:rFonts w:hint="eastAsia" w:ascii="宋体" w:hAnsi="宋体" w:eastAsia="宋体" w:cs="宋体"/>
          <w:sz w:val="24"/>
          <w:szCs w:val="24"/>
          <w:lang w:eastAsia="zh-CN"/>
        </w:rPr>
        <w:t>投标人</w:t>
      </w:r>
      <w:r>
        <w:rPr>
          <w:rFonts w:hint="eastAsia" w:ascii="宋体" w:hAnsi="宋体" w:eastAsia="宋体" w:cs="宋体"/>
          <w:sz w:val="24"/>
          <w:szCs w:val="24"/>
        </w:rPr>
        <w:t>放弃投标或者中标；</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rPr>
        <w:t>属于同一集团、协会、商会等组织成员的</w:t>
      </w:r>
      <w:r>
        <w:rPr>
          <w:rFonts w:hint="eastAsia" w:ascii="宋体" w:hAnsi="宋体" w:eastAsia="宋体" w:cs="宋体"/>
          <w:sz w:val="24"/>
          <w:szCs w:val="24"/>
          <w:lang w:eastAsia="zh-CN"/>
        </w:rPr>
        <w:t>投标人</w:t>
      </w:r>
      <w:r>
        <w:rPr>
          <w:rFonts w:hint="eastAsia" w:ascii="宋体" w:hAnsi="宋体" w:eastAsia="宋体" w:cs="宋体"/>
          <w:sz w:val="24"/>
          <w:szCs w:val="24"/>
        </w:rPr>
        <w:t>按照该组织要求协同投标；</w:t>
      </w:r>
    </w:p>
    <w:p>
      <w:pPr>
        <w:pageBreakBefore w:val="0"/>
        <w:widowControl w:val="0"/>
        <w:numPr>
          <w:ilvl w:val="0"/>
          <w:numId w:val="4"/>
        </w:numPr>
        <w:kinsoku/>
        <w:wordWrap/>
        <w:overflowPunct/>
        <w:topLinePunct w:val="0"/>
        <w:autoSpaceDE/>
        <w:autoSpaceDN/>
        <w:bidi w:val="0"/>
        <w:adjustRightInd/>
        <w:snapToGrid/>
        <w:spacing w:before="0" w:beforeAutospacing="0" w:after="0" w:afterAutospacing="0" w:line="360" w:lineRule="auto"/>
        <w:ind w:left="0"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之间为谋取中标或者排斥特定</w:t>
      </w:r>
      <w:r>
        <w:rPr>
          <w:rFonts w:hint="eastAsia" w:ascii="宋体" w:hAnsi="宋体" w:eastAsia="宋体" w:cs="宋体"/>
          <w:sz w:val="24"/>
          <w:szCs w:val="24"/>
          <w:lang w:eastAsia="zh-CN"/>
        </w:rPr>
        <w:t>投标人</w:t>
      </w:r>
      <w:r>
        <w:rPr>
          <w:rFonts w:hint="eastAsia" w:ascii="宋体" w:hAnsi="宋体" w:eastAsia="宋体" w:cs="宋体"/>
          <w:sz w:val="24"/>
          <w:szCs w:val="24"/>
        </w:rPr>
        <w:t>而采取的其他联合行动。</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5.2.2 有下列情形之一的，视为</w:t>
      </w:r>
      <w:r>
        <w:rPr>
          <w:rFonts w:hint="eastAsia" w:ascii="宋体" w:hAnsi="宋体" w:eastAsia="宋体" w:cs="宋体"/>
          <w:sz w:val="24"/>
          <w:szCs w:val="24"/>
          <w:lang w:eastAsia="zh-CN"/>
        </w:rPr>
        <w:t>投标人</w:t>
      </w:r>
      <w:r>
        <w:rPr>
          <w:rFonts w:hint="eastAsia" w:ascii="宋体" w:hAnsi="宋体" w:eastAsia="宋体" w:cs="宋体"/>
          <w:sz w:val="24"/>
          <w:szCs w:val="24"/>
        </w:rPr>
        <w:t>相互串通投标：</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的投标文件由同一单位或者个人编制；</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委托同一单位或者个人办理投标事宜；</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的投标文件载明的项目管理成员为同一人；</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的投标文件异常一致或者投标报价呈规律性差异；</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的投标文件相互混装；</w:t>
      </w:r>
    </w:p>
    <w:p>
      <w:pPr>
        <w:pageBreakBefore w:val="0"/>
        <w:widowControl w:val="0"/>
        <w:numPr>
          <w:ilvl w:val="0"/>
          <w:numId w:val="5"/>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不同</w:t>
      </w:r>
      <w:r>
        <w:rPr>
          <w:rFonts w:hint="eastAsia" w:ascii="宋体" w:hAnsi="宋体" w:eastAsia="宋体" w:cs="宋体"/>
          <w:sz w:val="24"/>
          <w:szCs w:val="24"/>
          <w:lang w:eastAsia="zh-CN"/>
        </w:rPr>
        <w:t>投标人</w:t>
      </w:r>
      <w:r>
        <w:rPr>
          <w:rFonts w:hint="eastAsia" w:ascii="宋体" w:hAnsi="宋体" w:eastAsia="宋体" w:cs="宋体"/>
          <w:sz w:val="24"/>
          <w:szCs w:val="24"/>
        </w:rPr>
        <w:t>的投标保证金从同一单位或者个人的账户转出。</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6.通知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bookmarkStart w:id="21" w:name="_Toc480368402"/>
      <w:r>
        <w:rPr>
          <w:rFonts w:hint="eastAsia" w:ascii="宋体" w:hAnsi="宋体" w:eastAsia="宋体" w:cs="宋体"/>
          <w:sz w:val="24"/>
          <w:szCs w:val="24"/>
        </w:rPr>
        <w:t>6.1 对与本项目有关的通知，采购代理机构将在本次招标公告刊登的媒体上发布公告并在</w:t>
      </w:r>
      <w:r>
        <w:rPr>
          <w:rFonts w:hint="eastAsia" w:ascii="宋体" w:hAnsi="宋体" w:eastAsia="宋体" w:cs="宋体"/>
          <w:sz w:val="24"/>
          <w:szCs w:val="24"/>
          <w:lang w:val="en-US" w:eastAsia="zh-CN"/>
        </w:rPr>
        <w:t>公告</w:t>
      </w:r>
      <w:r>
        <w:rPr>
          <w:rFonts w:hint="eastAsia" w:ascii="宋体" w:hAnsi="宋体" w:eastAsia="宋体" w:cs="宋体"/>
          <w:sz w:val="24"/>
          <w:szCs w:val="24"/>
        </w:rPr>
        <w:t>平台内发送变更通知或答疑文件的形式，向潜在</w:t>
      </w:r>
      <w:r>
        <w:rPr>
          <w:rFonts w:hint="eastAsia" w:ascii="宋体" w:hAnsi="宋体" w:eastAsia="宋体" w:cs="宋体"/>
          <w:sz w:val="24"/>
          <w:szCs w:val="24"/>
          <w:lang w:eastAsia="zh-CN"/>
        </w:rPr>
        <w:t>投标人</w:t>
      </w:r>
      <w:r>
        <w:rPr>
          <w:rFonts w:hint="eastAsia" w:ascii="宋体" w:hAnsi="宋体" w:eastAsia="宋体" w:cs="宋体"/>
          <w:sz w:val="24"/>
          <w:szCs w:val="24"/>
        </w:rPr>
        <w:t>发出。</w:t>
      </w:r>
      <w:r>
        <w:rPr>
          <w:rFonts w:hint="eastAsia" w:ascii="宋体" w:hAnsi="宋体" w:eastAsia="宋体" w:cs="宋体"/>
          <w:sz w:val="24"/>
          <w:szCs w:val="24"/>
          <w:lang w:eastAsia="zh-CN"/>
        </w:rPr>
        <w:t>投标人</w:t>
      </w:r>
      <w:r>
        <w:rPr>
          <w:rFonts w:hint="eastAsia" w:ascii="宋体" w:hAnsi="宋体" w:eastAsia="宋体" w:cs="宋体"/>
          <w:sz w:val="24"/>
          <w:szCs w:val="24"/>
        </w:rPr>
        <w:t>应及时查看，如网络线路、系统故障或其它任何意外情形，导致所发出的通知延迟送达或无法到达</w:t>
      </w:r>
      <w:r>
        <w:rPr>
          <w:rFonts w:hint="eastAsia" w:ascii="宋体" w:hAnsi="宋体" w:eastAsia="宋体" w:cs="宋体"/>
          <w:sz w:val="24"/>
          <w:szCs w:val="24"/>
          <w:lang w:eastAsia="zh-CN"/>
        </w:rPr>
        <w:t>投标人</w:t>
      </w:r>
      <w:r>
        <w:rPr>
          <w:rFonts w:hint="eastAsia" w:ascii="宋体" w:hAnsi="宋体" w:eastAsia="宋体" w:cs="宋体"/>
          <w:sz w:val="24"/>
          <w:szCs w:val="24"/>
        </w:rPr>
        <w:t>，采购代理机构不因此承担任何责任，有关的招标活动可以继续有效地进行。</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22" w:name="_Toc14805"/>
      <w:bookmarkStart w:id="23" w:name="_Toc14522"/>
      <w:r>
        <w:rPr>
          <w:rFonts w:hint="eastAsia" w:ascii="宋体" w:hAnsi="宋体" w:eastAsia="宋体" w:cs="宋体"/>
          <w:sz w:val="24"/>
          <w:szCs w:val="24"/>
        </w:rPr>
        <w:t>二、招标文件</w:t>
      </w:r>
      <w:bookmarkEnd w:id="21"/>
      <w:bookmarkEnd w:id="22"/>
      <w:bookmarkEnd w:id="23"/>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7.招标文件组成</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7.1招标文件由招标文件目录所列内容组成。</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8.踏勘现场</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8.1本项目是否统一组织</w:t>
      </w:r>
      <w:r>
        <w:rPr>
          <w:rFonts w:hint="eastAsia" w:ascii="宋体" w:hAnsi="宋体" w:eastAsia="宋体" w:cs="宋体"/>
          <w:sz w:val="24"/>
          <w:szCs w:val="24"/>
          <w:lang w:eastAsia="zh-CN"/>
        </w:rPr>
        <w:t>投标人</w:t>
      </w:r>
      <w:r>
        <w:rPr>
          <w:rFonts w:hint="eastAsia" w:ascii="宋体" w:hAnsi="宋体" w:eastAsia="宋体" w:cs="宋体"/>
          <w:sz w:val="24"/>
          <w:szCs w:val="24"/>
        </w:rPr>
        <w:t>踏勘现场见招标文件第二部分“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须知前附表”中第</w:t>
      </w:r>
      <w:r>
        <w:rPr>
          <w:rFonts w:hint="eastAsia" w:ascii="宋体" w:hAnsi="宋体" w:eastAsia="宋体" w:cs="宋体"/>
          <w:sz w:val="24"/>
          <w:szCs w:val="24"/>
          <w:lang w:val="en-US" w:eastAsia="zh-CN"/>
        </w:rPr>
        <w:t>13</w:t>
      </w:r>
      <w:r>
        <w:rPr>
          <w:rFonts w:hint="eastAsia" w:ascii="宋体" w:hAnsi="宋体" w:eastAsia="宋体" w:cs="宋体"/>
          <w:sz w:val="24"/>
          <w:szCs w:val="24"/>
        </w:rPr>
        <w:t>项的规定。无论是否统一组织，</w:t>
      </w:r>
      <w:r>
        <w:rPr>
          <w:rFonts w:hint="eastAsia" w:ascii="宋体" w:hAnsi="宋体" w:eastAsia="宋体" w:cs="宋体"/>
          <w:sz w:val="24"/>
          <w:szCs w:val="24"/>
          <w:lang w:eastAsia="zh-CN"/>
        </w:rPr>
        <w:t>投标人</w:t>
      </w:r>
      <w:r>
        <w:rPr>
          <w:rFonts w:hint="eastAsia" w:ascii="宋体" w:hAnsi="宋体" w:eastAsia="宋体" w:cs="宋体"/>
          <w:sz w:val="24"/>
          <w:szCs w:val="24"/>
        </w:rPr>
        <w:t>应对供货现场和周围环境进行勘察，以获取编制投标文件所需的资料。</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8.2踏勘现场所发生的费用由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自行承担。采购人向</w:t>
      </w:r>
      <w:r>
        <w:rPr>
          <w:rFonts w:hint="eastAsia" w:ascii="宋体" w:hAnsi="宋体" w:eastAsia="宋体" w:cs="宋体"/>
          <w:sz w:val="24"/>
          <w:szCs w:val="24"/>
          <w:lang w:eastAsia="zh-CN"/>
        </w:rPr>
        <w:t>投标人</w:t>
      </w:r>
      <w:r>
        <w:rPr>
          <w:rFonts w:hint="eastAsia" w:ascii="宋体" w:hAnsi="宋体" w:eastAsia="宋体" w:cs="宋体"/>
          <w:sz w:val="24"/>
          <w:szCs w:val="24"/>
        </w:rPr>
        <w:t>提供的有关供货现场的资料和数据，是采购人现有的能使</w:t>
      </w:r>
      <w:r>
        <w:rPr>
          <w:rFonts w:hint="eastAsia" w:ascii="宋体" w:hAnsi="宋体" w:eastAsia="宋体" w:cs="宋体"/>
          <w:sz w:val="24"/>
          <w:szCs w:val="24"/>
          <w:lang w:eastAsia="zh-CN"/>
        </w:rPr>
        <w:t>投标人</w:t>
      </w:r>
      <w:r>
        <w:rPr>
          <w:rFonts w:hint="eastAsia" w:ascii="宋体" w:hAnsi="宋体" w:eastAsia="宋体" w:cs="宋体"/>
          <w:sz w:val="24"/>
          <w:szCs w:val="24"/>
        </w:rPr>
        <w:t>利用的资料。采购人对</w:t>
      </w:r>
      <w:r>
        <w:rPr>
          <w:rFonts w:hint="eastAsia" w:ascii="宋体" w:hAnsi="宋体" w:eastAsia="宋体" w:cs="宋体"/>
          <w:sz w:val="24"/>
          <w:szCs w:val="24"/>
          <w:lang w:eastAsia="zh-CN"/>
        </w:rPr>
        <w:t>投标人</w:t>
      </w:r>
      <w:r>
        <w:rPr>
          <w:rFonts w:hint="eastAsia" w:ascii="宋体" w:hAnsi="宋体" w:eastAsia="宋体" w:cs="宋体"/>
          <w:sz w:val="24"/>
          <w:szCs w:val="24"/>
        </w:rPr>
        <w:t>由此而做出的推论、理解和结论概不负责。</w:t>
      </w:r>
      <w:r>
        <w:rPr>
          <w:rFonts w:hint="eastAsia" w:ascii="宋体" w:hAnsi="宋体" w:eastAsia="宋体" w:cs="宋体"/>
          <w:sz w:val="24"/>
          <w:szCs w:val="24"/>
          <w:lang w:eastAsia="zh-CN"/>
        </w:rPr>
        <w:t>投标人</w:t>
      </w:r>
      <w:r>
        <w:rPr>
          <w:rFonts w:hint="eastAsia" w:ascii="宋体" w:hAnsi="宋体" w:eastAsia="宋体" w:cs="宋体"/>
          <w:sz w:val="24"/>
          <w:szCs w:val="24"/>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8.3除非有特殊要求，招标文件不单独提供供货使用地的自然环境、气候条件、公用设施等情况，</w:t>
      </w:r>
      <w:r>
        <w:rPr>
          <w:rFonts w:hint="eastAsia" w:ascii="宋体" w:hAnsi="宋体" w:eastAsia="宋体" w:cs="宋体"/>
          <w:sz w:val="24"/>
          <w:szCs w:val="24"/>
          <w:lang w:eastAsia="zh-CN"/>
        </w:rPr>
        <w:t>投标人</w:t>
      </w:r>
      <w:r>
        <w:rPr>
          <w:rFonts w:hint="eastAsia" w:ascii="宋体" w:hAnsi="宋体" w:eastAsia="宋体" w:cs="宋体"/>
          <w:sz w:val="24"/>
          <w:szCs w:val="24"/>
        </w:rPr>
        <w:t>被视为熟悉上述与履行合同有关的一切情况。</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8.4除采购人原因外，</w:t>
      </w:r>
      <w:r>
        <w:rPr>
          <w:rFonts w:hint="eastAsia" w:ascii="宋体" w:hAnsi="宋体" w:eastAsia="宋体" w:cs="宋体"/>
          <w:sz w:val="24"/>
          <w:szCs w:val="24"/>
          <w:lang w:eastAsia="zh-CN"/>
        </w:rPr>
        <w:t>投标人</w:t>
      </w:r>
      <w:r>
        <w:rPr>
          <w:rFonts w:hint="eastAsia" w:ascii="宋体" w:hAnsi="宋体" w:eastAsia="宋体" w:cs="宋体"/>
          <w:sz w:val="24"/>
          <w:szCs w:val="24"/>
        </w:rPr>
        <w:t>自行负责在踏勘现场中所发生的人员伤亡和财产损失。</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Cs/>
          <w:sz w:val="24"/>
          <w:szCs w:val="24"/>
        </w:rPr>
      </w:pPr>
      <w:r>
        <w:rPr>
          <w:rFonts w:hint="eastAsia" w:ascii="宋体" w:hAnsi="宋体" w:eastAsia="宋体" w:cs="宋体"/>
          <w:b/>
          <w:sz w:val="24"/>
          <w:szCs w:val="24"/>
        </w:rPr>
        <w:t>9.知识产权</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549"/>
        <w:textAlignment w:val="auto"/>
        <w:rPr>
          <w:rFonts w:hint="eastAsia" w:ascii="宋体" w:hAnsi="宋体" w:eastAsia="宋体" w:cs="宋体"/>
          <w:sz w:val="24"/>
          <w:szCs w:val="24"/>
        </w:rPr>
      </w:pPr>
      <w:r>
        <w:rPr>
          <w:rFonts w:hint="eastAsia" w:ascii="宋体" w:hAnsi="宋体" w:eastAsia="宋体" w:cs="宋体"/>
          <w:sz w:val="24"/>
          <w:szCs w:val="24"/>
        </w:rPr>
        <w:t>9.1</w:t>
      </w:r>
      <w:r>
        <w:rPr>
          <w:rFonts w:hint="eastAsia" w:ascii="宋体" w:hAnsi="宋体" w:eastAsia="宋体" w:cs="宋体"/>
          <w:sz w:val="24"/>
          <w:szCs w:val="24"/>
          <w:lang w:eastAsia="zh-CN"/>
        </w:rPr>
        <w:t>投标人</w:t>
      </w:r>
      <w:r>
        <w:rPr>
          <w:rFonts w:hint="eastAsia" w:ascii="宋体" w:hAnsi="宋体" w:eastAsia="宋体" w:cs="宋体"/>
          <w:sz w:val="24"/>
          <w:szCs w:val="24"/>
        </w:rPr>
        <w:t>须保证，采购人在中华人民共和国境内使用投标</w:t>
      </w:r>
      <w:r>
        <w:rPr>
          <w:rFonts w:hint="eastAsia" w:ascii="宋体" w:hAnsi="宋体" w:eastAsia="宋体" w:cs="宋体"/>
          <w:sz w:val="24"/>
          <w:szCs w:val="24"/>
          <w:lang w:eastAsia="zh-CN"/>
        </w:rPr>
        <w:t>设备</w:t>
      </w:r>
      <w:r>
        <w:rPr>
          <w:rFonts w:hint="eastAsia" w:ascii="宋体" w:hAnsi="宋体" w:eastAsia="宋体" w:cs="宋体"/>
          <w:sz w:val="24"/>
          <w:szCs w:val="24"/>
        </w:rPr>
        <w:t>、资料、技术、服务或其任何一部分时，享有不受限制的无偿使用权，不会产生因第三方提出侵犯其专利权、商标权或其它知识产权而引起的法律或经济纠纷。如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sz w:val="24"/>
          <w:szCs w:val="24"/>
          <w:lang w:eastAsia="zh-CN"/>
        </w:rPr>
        <w:t>投标人</w:t>
      </w:r>
      <w:r>
        <w:rPr>
          <w:rFonts w:hint="eastAsia" w:ascii="宋体" w:hAnsi="宋体" w:eastAsia="宋体" w:cs="宋体"/>
          <w:sz w:val="24"/>
          <w:szCs w:val="24"/>
        </w:rPr>
        <w:t>不拥有相应的知识产权，则在投标报价中必须包括合法获取该知识产权的一切相关费用。如因此导致采购人损失的，</w:t>
      </w:r>
      <w:r>
        <w:rPr>
          <w:rFonts w:hint="eastAsia" w:ascii="宋体" w:hAnsi="宋体" w:eastAsia="宋体" w:cs="宋体"/>
          <w:sz w:val="24"/>
          <w:szCs w:val="24"/>
          <w:lang w:eastAsia="zh-CN"/>
        </w:rPr>
        <w:t>投标人</w:t>
      </w:r>
      <w:r>
        <w:rPr>
          <w:rFonts w:hint="eastAsia" w:ascii="宋体" w:hAnsi="宋体" w:eastAsia="宋体" w:cs="宋体"/>
          <w:sz w:val="24"/>
          <w:szCs w:val="24"/>
        </w:rPr>
        <w:t>须承担全部赔偿责任。</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549"/>
        <w:textAlignment w:val="auto"/>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eastAsia="宋体" w:cs="宋体"/>
          <w:sz w:val="24"/>
          <w:szCs w:val="24"/>
          <w:lang w:eastAsia="zh-CN"/>
        </w:rPr>
        <w:t>投标人</w:t>
      </w:r>
      <w:r>
        <w:rPr>
          <w:rFonts w:hint="eastAsia" w:ascii="宋体" w:hAnsi="宋体" w:eastAsia="宋体" w:cs="宋体"/>
          <w:sz w:val="24"/>
          <w:szCs w:val="24"/>
        </w:rPr>
        <w:t>如欲在项目实施过程中采用自有知识成果，须在投标文件中声明，并提供相关知识产权证明文件。使用该知识成果后，</w:t>
      </w:r>
      <w:r>
        <w:rPr>
          <w:rFonts w:hint="eastAsia" w:ascii="宋体" w:hAnsi="宋体" w:eastAsia="宋体" w:cs="宋体"/>
          <w:sz w:val="24"/>
          <w:szCs w:val="24"/>
          <w:lang w:eastAsia="zh-CN"/>
        </w:rPr>
        <w:t>投标人</w:t>
      </w:r>
      <w:r>
        <w:rPr>
          <w:rFonts w:hint="eastAsia" w:ascii="宋体" w:hAnsi="宋体" w:eastAsia="宋体" w:cs="宋体"/>
          <w:sz w:val="24"/>
          <w:szCs w:val="24"/>
        </w:rPr>
        <w:t>须提供开发接口和开发手册等技术文档。</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10.答疑及招标文件的澄清和修改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eastAsia="zh-CN"/>
        </w:rPr>
        <w:t>投标人</w:t>
      </w:r>
      <w:r>
        <w:rPr>
          <w:rFonts w:hint="eastAsia" w:ascii="宋体" w:hAnsi="宋体" w:eastAsia="宋体" w:cs="宋体"/>
          <w:sz w:val="24"/>
          <w:szCs w:val="24"/>
        </w:rPr>
        <w:t>如果对招标文件有疑问或要求进行澄清的，应按照招标文件第二部分“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须知前附表”规定向采购代理机构提出。提出后，请</w:t>
      </w:r>
      <w:r>
        <w:rPr>
          <w:rFonts w:hint="eastAsia" w:ascii="宋体" w:hAnsi="宋体" w:eastAsia="宋体" w:cs="宋体"/>
          <w:sz w:val="24"/>
          <w:szCs w:val="24"/>
          <w:lang w:eastAsia="zh-CN"/>
        </w:rPr>
        <w:t>投标人</w:t>
      </w:r>
      <w:r>
        <w:rPr>
          <w:rFonts w:hint="eastAsia" w:ascii="宋体" w:hAnsi="宋体" w:eastAsia="宋体" w:cs="宋体"/>
          <w:sz w:val="24"/>
          <w:szCs w:val="24"/>
        </w:rPr>
        <w:t>及时查看答疑文件或澄清文件。必要时，采购代理机构将组织相关专家召开答疑会，如召开，答疑会安排另行通知。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10.2无论出于何种原因，采购代理机构主动或出于解答</w:t>
      </w:r>
      <w:r>
        <w:rPr>
          <w:rFonts w:hint="eastAsia" w:ascii="宋体" w:hAnsi="宋体" w:eastAsia="宋体" w:cs="宋体"/>
          <w:sz w:val="24"/>
          <w:szCs w:val="24"/>
          <w:lang w:eastAsia="zh-CN"/>
        </w:rPr>
        <w:t>投标人</w:t>
      </w:r>
      <w:r>
        <w:rPr>
          <w:rFonts w:hint="eastAsia" w:ascii="宋体" w:hAnsi="宋体" w:eastAsia="宋体" w:cs="宋体"/>
          <w:sz w:val="24"/>
          <w:szCs w:val="24"/>
        </w:rPr>
        <w:t>疑问对已发出的招标文件进行必要澄清或修改的，应当在招标文件要求提交投标文件截止时间15日前，向潜在</w:t>
      </w:r>
      <w:r>
        <w:rPr>
          <w:rFonts w:hint="eastAsia" w:ascii="宋体" w:hAnsi="宋体" w:eastAsia="宋体" w:cs="宋体"/>
          <w:sz w:val="24"/>
          <w:szCs w:val="24"/>
          <w:lang w:eastAsia="zh-CN"/>
        </w:rPr>
        <w:t>投标人</w:t>
      </w:r>
      <w:r>
        <w:rPr>
          <w:rFonts w:hint="eastAsia" w:ascii="宋体" w:hAnsi="宋体" w:eastAsia="宋体" w:cs="宋体"/>
          <w:sz w:val="24"/>
          <w:szCs w:val="24"/>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特殊情况下，采购代理机构发布澄清、修改文件后，不影响</w:t>
      </w:r>
      <w:r>
        <w:rPr>
          <w:rFonts w:hint="eastAsia" w:ascii="宋体" w:hAnsi="宋体" w:eastAsia="宋体" w:cs="宋体"/>
          <w:sz w:val="24"/>
          <w:szCs w:val="24"/>
          <w:lang w:eastAsia="zh-CN"/>
        </w:rPr>
        <w:t>投标人</w:t>
      </w:r>
      <w:r>
        <w:rPr>
          <w:rFonts w:hint="eastAsia" w:ascii="宋体" w:hAnsi="宋体" w:eastAsia="宋体" w:cs="宋体"/>
          <w:sz w:val="24"/>
          <w:szCs w:val="24"/>
        </w:rPr>
        <w:t>编制投标文件的，可不改变投标截止时间和开标时间。</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10.3采购代理机构一旦对招标文件作出了澄清、修改，即刻发生效力，采购代理机构有关的补充文件，将作为招标文件的组成部分，对所有现实的或潜在的</w:t>
      </w:r>
      <w:r>
        <w:rPr>
          <w:rFonts w:hint="eastAsia" w:ascii="宋体" w:hAnsi="宋体" w:eastAsia="宋体" w:cs="宋体"/>
          <w:sz w:val="24"/>
          <w:szCs w:val="24"/>
          <w:lang w:eastAsia="zh-CN"/>
        </w:rPr>
        <w:t>投标人</w:t>
      </w:r>
      <w:r>
        <w:rPr>
          <w:rFonts w:hint="eastAsia" w:ascii="宋体" w:hAnsi="宋体" w:eastAsia="宋体" w:cs="宋体"/>
          <w:sz w:val="24"/>
          <w:szCs w:val="24"/>
        </w:rPr>
        <w:t>均具有约束力，而无论是否已经实际收到上述文件。同时，采购代理机构和</w:t>
      </w:r>
      <w:r>
        <w:rPr>
          <w:rFonts w:hint="eastAsia" w:ascii="宋体" w:hAnsi="宋体" w:eastAsia="宋体" w:cs="宋体"/>
          <w:sz w:val="24"/>
          <w:szCs w:val="24"/>
          <w:lang w:eastAsia="zh-CN"/>
        </w:rPr>
        <w:t>投标人</w:t>
      </w:r>
      <w:r>
        <w:rPr>
          <w:rFonts w:hint="eastAsia" w:ascii="宋体" w:hAnsi="宋体" w:eastAsia="宋体" w:cs="宋体"/>
          <w:sz w:val="24"/>
          <w:szCs w:val="24"/>
        </w:rPr>
        <w:t>的权利及义务将受到新的截止期的约束。</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10.4采购代理机构对招标文件作出的澄清、修改</w:t>
      </w:r>
      <w:r>
        <w:rPr>
          <w:rFonts w:hint="eastAsia" w:ascii="宋体" w:hAnsi="宋体" w:eastAsia="宋体" w:cs="宋体"/>
          <w:sz w:val="24"/>
          <w:szCs w:val="24"/>
          <w:lang w:val="en-US" w:eastAsia="zh-CN"/>
        </w:rPr>
        <w:t>的</w:t>
      </w:r>
      <w:r>
        <w:rPr>
          <w:rFonts w:hint="eastAsia" w:ascii="宋体" w:hAnsi="宋体" w:eastAsia="宋体" w:cs="宋体"/>
          <w:sz w:val="24"/>
          <w:szCs w:val="24"/>
          <w:highlight w:val="none"/>
          <w:lang w:val="en-US" w:eastAsia="zh-CN"/>
        </w:rPr>
        <w:t>通知将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val="en-US" w:eastAsia="zh-CN"/>
        </w:rPr>
        <w:t>新疆政府采购网平台</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公布</w:t>
      </w:r>
      <w:r>
        <w:rPr>
          <w:rFonts w:hint="eastAsia" w:ascii="宋体" w:hAnsi="宋体" w:eastAsia="宋体" w:cs="宋体"/>
          <w:sz w:val="24"/>
          <w:szCs w:val="24"/>
          <w:highlight w:val="none"/>
        </w:rPr>
        <w:t>，请</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及时关注并获取相关资料。因网络线路、系统故障或其它任何意外情形，导致</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未及时获取的，采购代理机</w:t>
      </w:r>
      <w:r>
        <w:rPr>
          <w:rFonts w:hint="eastAsia" w:ascii="宋体" w:hAnsi="宋体" w:eastAsia="宋体" w:cs="宋体"/>
          <w:sz w:val="24"/>
          <w:szCs w:val="24"/>
        </w:rPr>
        <w:t>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bCs/>
          <w:sz w:val="24"/>
          <w:szCs w:val="24"/>
        </w:rPr>
        <w:t>10.5澄清、修改文件发出后，</w:t>
      </w:r>
      <w:r>
        <w:rPr>
          <w:rFonts w:hint="eastAsia" w:ascii="宋体" w:hAnsi="宋体" w:eastAsia="宋体" w:cs="宋体"/>
          <w:bCs/>
          <w:sz w:val="24"/>
          <w:szCs w:val="24"/>
          <w:lang w:eastAsia="zh-CN"/>
        </w:rPr>
        <w:t>投标人</w:t>
      </w:r>
      <w:r>
        <w:rPr>
          <w:rFonts w:hint="eastAsia" w:ascii="宋体" w:hAnsi="宋体" w:eastAsia="宋体" w:cs="宋体"/>
          <w:bCs/>
          <w:sz w:val="24"/>
          <w:szCs w:val="24"/>
        </w:rPr>
        <w:t>必须使用最新的答疑、澄清文件制作投标文件，否则一切后果由</w:t>
      </w:r>
      <w:r>
        <w:rPr>
          <w:rFonts w:hint="eastAsia" w:ascii="宋体" w:hAnsi="宋体" w:eastAsia="宋体" w:cs="宋体"/>
          <w:bCs/>
          <w:sz w:val="24"/>
          <w:szCs w:val="24"/>
          <w:lang w:eastAsia="zh-CN"/>
        </w:rPr>
        <w:t>投标人</w:t>
      </w:r>
      <w:r>
        <w:rPr>
          <w:rFonts w:hint="eastAsia" w:ascii="宋体" w:hAnsi="宋体" w:eastAsia="宋体" w:cs="宋体"/>
          <w:bCs/>
          <w:sz w:val="24"/>
          <w:szCs w:val="24"/>
        </w:rPr>
        <w:t>自行承担。</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24" w:name="_Toc29055"/>
      <w:bookmarkStart w:id="25" w:name="_Toc480368403"/>
      <w:bookmarkStart w:id="26" w:name="_Toc15872"/>
      <w:r>
        <w:rPr>
          <w:rFonts w:hint="eastAsia" w:ascii="宋体" w:hAnsi="宋体" w:eastAsia="宋体" w:cs="宋体"/>
          <w:sz w:val="24"/>
          <w:szCs w:val="24"/>
        </w:rPr>
        <w:t>三、投标文件</w:t>
      </w:r>
      <w:bookmarkEnd w:id="24"/>
      <w:bookmarkEnd w:id="25"/>
      <w:bookmarkEnd w:id="26"/>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11.投标文件的语言及计量单位</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sz w:val="24"/>
          <w:szCs w:val="24"/>
          <w:lang w:eastAsia="zh-CN"/>
        </w:rPr>
        <w:t>投标人</w:t>
      </w:r>
      <w:r>
        <w:rPr>
          <w:rFonts w:hint="eastAsia" w:ascii="宋体" w:hAnsi="宋体" w:eastAsia="宋体" w:cs="宋体"/>
          <w:sz w:val="24"/>
          <w:szCs w:val="24"/>
        </w:rPr>
        <w:t>提交的投标文件（包括技术文件和资料、图纸中的说明）以及</w:t>
      </w:r>
      <w:r>
        <w:rPr>
          <w:rFonts w:hint="eastAsia" w:ascii="宋体" w:hAnsi="宋体" w:eastAsia="宋体" w:cs="宋体"/>
          <w:sz w:val="24"/>
          <w:szCs w:val="24"/>
          <w:lang w:eastAsia="zh-CN"/>
        </w:rPr>
        <w:t>投标人</w:t>
      </w:r>
      <w:r>
        <w:rPr>
          <w:rFonts w:hint="eastAsia" w:ascii="宋体" w:hAnsi="宋体" w:eastAsia="宋体" w:cs="宋体"/>
          <w:sz w:val="24"/>
          <w:szCs w:val="24"/>
        </w:rPr>
        <w:t>与采购代理机构就有关投标的所有来往函电均应使用中文简体字。</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11.2原版为外文的证书类文件，以及由外国人作出的本人签名、外国公司的名称或外国印章等可以是外文，但应当提供中文翻译文件并加盖</w:t>
      </w:r>
      <w:r>
        <w:rPr>
          <w:rFonts w:hint="eastAsia" w:ascii="宋体" w:hAnsi="宋体" w:eastAsia="宋体" w:cs="宋体"/>
          <w:sz w:val="24"/>
          <w:szCs w:val="24"/>
          <w:lang w:eastAsia="zh-CN"/>
        </w:rPr>
        <w:t>投标人</w:t>
      </w:r>
      <w:r>
        <w:rPr>
          <w:rFonts w:hint="eastAsia" w:ascii="宋体" w:hAnsi="宋体" w:eastAsia="宋体" w:cs="宋体"/>
          <w:sz w:val="24"/>
          <w:szCs w:val="24"/>
        </w:rPr>
        <w:t>公章。必要时评标委员会可以要求</w:t>
      </w:r>
      <w:r>
        <w:rPr>
          <w:rFonts w:hint="eastAsia" w:ascii="宋体" w:hAnsi="宋体" w:eastAsia="宋体" w:cs="宋体"/>
          <w:sz w:val="24"/>
          <w:szCs w:val="24"/>
          <w:lang w:eastAsia="zh-CN"/>
        </w:rPr>
        <w:t>投标人</w:t>
      </w:r>
      <w:r>
        <w:rPr>
          <w:rFonts w:hint="eastAsia" w:ascii="宋体" w:hAnsi="宋体" w:eastAsia="宋体" w:cs="宋体"/>
          <w:sz w:val="24"/>
          <w:szCs w:val="24"/>
        </w:rPr>
        <w:t>提供附有公证书的中文翻译文件或者与原版文件签章相一致的中文翻译文件。原版为外文的证书类、证明类文件，与</w:t>
      </w:r>
      <w:r>
        <w:rPr>
          <w:rFonts w:hint="eastAsia" w:ascii="宋体" w:hAnsi="宋体" w:eastAsia="宋体" w:cs="宋体"/>
          <w:sz w:val="24"/>
          <w:szCs w:val="24"/>
          <w:lang w:eastAsia="zh-CN"/>
        </w:rPr>
        <w:t>投标人</w:t>
      </w:r>
      <w:r>
        <w:rPr>
          <w:rFonts w:hint="eastAsia" w:ascii="宋体" w:hAnsi="宋体" w:eastAsia="宋体" w:cs="宋体"/>
          <w:sz w:val="24"/>
          <w:szCs w:val="24"/>
        </w:rPr>
        <w:t>名称或其他实际情况不符的，</w:t>
      </w:r>
      <w:r>
        <w:rPr>
          <w:rFonts w:hint="eastAsia" w:ascii="宋体" w:hAnsi="宋体" w:eastAsia="宋体" w:cs="宋体"/>
          <w:sz w:val="24"/>
          <w:szCs w:val="24"/>
          <w:lang w:eastAsia="zh-CN"/>
        </w:rPr>
        <w:t>投标人</w:t>
      </w:r>
      <w:r>
        <w:rPr>
          <w:rFonts w:hint="eastAsia" w:ascii="宋体" w:hAnsi="宋体" w:eastAsia="宋体" w:cs="宋体"/>
          <w:sz w:val="24"/>
          <w:szCs w:val="24"/>
        </w:rPr>
        <w:t>应当提供相关证明文件。</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11.3除非招标文件另有规定，投标文件所使用的计量单位，应使用国家法定计量单位。</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11.4对违反上述规定情形的，评标委员会有权要求</w:t>
      </w:r>
      <w:r>
        <w:rPr>
          <w:rFonts w:hint="eastAsia" w:ascii="宋体" w:hAnsi="宋体" w:eastAsia="宋体" w:cs="宋体"/>
          <w:sz w:val="24"/>
          <w:szCs w:val="24"/>
          <w:lang w:eastAsia="zh-CN"/>
        </w:rPr>
        <w:t>投标人</w:t>
      </w:r>
      <w:r>
        <w:rPr>
          <w:rFonts w:hint="eastAsia" w:ascii="宋体" w:hAnsi="宋体" w:eastAsia="宋体" w:cs="宋体"/>
          <w:sz w:val="24"/>
          <w:szCs w:val="24"/>
        </w:rPr>
        <w:t>限期提供相应文件或决定对其投标予以拒绝。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11.5电报、电话、传真形式的投标概不接受。</w:t>
      </w:r>
      <w:r>
        <w:rPr>
          <w:rFonts w:hint="eastAsia" w:ascii="宋体" w:hAnsi="宋体" w:eastAsia="宋体" w:cs="宋体"/>
          <w:sz w:val="24"/>
          <w:szCs w:val="24"/>
          <w:lang w:eastAsia="zh-CN"/>
        </w:rPr>
        <w:t>投标人</w:t>
      </w:r>
      <w:r>
        <w:rPr>
          <w:rFonts w:hint="eastAsia" w:ascii="宋体" w:hAnsi="宋体" w:eastAsia="宋体" w:cs="宋体"/>
          <w:sz w:val="24"/>
          <w:szCs w:val="24"/>
        </w:rPr>
        <w:t>的投标文件一律不予退还。</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12.投标文件组成及编制</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12.1投标文件分为资格</w:t>
      </w:r>
      <w:r>
        <w:rPr>
          <w:rFonts w:hint="eastAsia" w:ascii="宋体" w:hAnsi="宋体" w:cs="宋体"/>
          <w:sz w:val="24"/>
          <w:szCs w:val="24"/>
          <w:lang w:eastAsia="zh-CN"/>
        </w:rPr>
        <w:t>证明</w:t>
      </w:r>
      <w:r>
        <w:rPr>
          <w:rFonts w:hint="eastAsia" w:ascii="宋体" w:hAnsi="宋体" w:eastAsia="宋体" w:cs="宋体"/>
          <w:sz w:val="24"/>
          <w:szCs w:val="24"/>
        </w:rPr>
        <w:t>文件</w:t>
      </w:r>
      <w:r>
        <w:rPr>
          <w:rFonts w:hint="eastAsia" w:ascii="宋体" w:hAnsi="宋体" w:eastAsia="宋体" w:cs="宋体"/>
          <w:sz w:val="24"/>
          <w:szCs w:val="24"/>
          <w:lang w:eastAsia="zh-CN"/>
        </w:rPr>
        <w:t>、</w:t>
      </w:r>
      <w:r>
        <w:rPr>
          <w:rFonts w:hint="eastAsia" w:ascii="宋体" w:hAnsi="宋体" w:eastAsia="宋体" w:cs="宋体"/>
          <w:sz w:val="24"/>
          <w:szCs w:val="24"/>
        </w:rPr>
        <w:t>商务技术文件</w:t>
      </w:r>
      <w:r>
        <w:rPr>
          <w:rFonts w:hint="eastAsia" w:ascii="宋体" w:hAnsi="宋体" w:eastAsia="宋体" w:cs="宋体"/>
          <w:sz w:val="24"/>
          <w:szCs w:val="24"/>
          <w:lang w:eastAsia="zh-CN"/>
        </w:rPr>
        <w:t>、</w:t>
      </w:r>
      <w:r>
        <w:rPr>
          <w:rFonts w:hint="eastAsia" w:ascii="宋体" w:hAnsi="宋体" w:eastAsia="宋体" w:cs="宋体"/>
          <w:sz w:val="24"/>
          <w:szCs w:val="24"/>
        </w:rPr>
        <w:t>报价文件。</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本次招标，</w:t>
      </w:r>
      <w:r>
        <w:rPr>
          <w:rFonts w:hint="eastAsia" w:ascii="宋体" w:hAnsi="宋体" w:eastAsia="宋体" w:cs="宋体"/>
          <w:sz w:val="24"/>
          <w:szCs w:val="24"/>
          <w:lang w:eastAsia="zh-CN"/>
        </w:rPr>
        <w:t>投标人</w:t>
      </w:r>
      <w:r>
        <w:rPr>
          <w:rFonts w:hint="eastAsia" w:ascii="宋体" w:hAnsi="宋体" w:eastAsia="宋体" w:cs="宋体"/>
          <w:sz w:val="24"/>
          <w:szCs w:val="24"/>
        </w:rPr>
        <w:t>须按招标文件第二部分“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w:t>
      </w:r>
      <w:r>
        <w:rPr>
          <w:rFonts w:hint="eastAsia" w:ascii="宋体" w:hAnsi="宋体" w:eastAsia="宋体" w:cs="宋体"/>
          <w:sz w:val="24"/>
          <w:szCs w:val="24"/>
          <w:lang w:val="en-US" w:eastAsia="zh-CN"/>
        </w:rPr>
        <w:t>规</w:t>
      </w:r>
      <w:r>
        <w:rPr>
          <w:rFonts w:hint="eastAsia" w:ascii="宋体" w:hAnsi="宋体" w:eastAsia="宋体" w:cs="宋体"/>
          <w:sz w:val="24"/>
          <w:szCs w:val="24"/>
        </w:rPr>
        <w:t>定提交</w:t>
      </w:r>
      <w:r>
        <w:rPr>
          <w:rFonts w:hint="eastAsia" w:ascii="宋体" w:hAnsi="宋体" w:eastAsia="宋体" w:cs="宋体"/>
          <w:sz w:val="24"/>
          <w:szCs w:val="24"/>
          <w:lang w:eastAsia="zh-CN"/>
        </w:rPr>
        <w:t>投标</w:t>
      </w:r>
      <w:r>
        <w:rPr>
          <w:rFonts w:hint="eastAsia" w:ascii="宋体" w:hAnsi="宋体" w:eastAsia="宋体" w:cs="宋体"/>
          <w:sz w:val="24"/>
          <w:szCs w:val="24"/>
        </w:rPr>
        <w:t>文件。</w:t>
      </w:r>
    </w:p>
    <w:p>
      <w:pPr>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12.2</w:t>
      </w:r>
      <w:r>
        <w:rPr>
          <w:rFonts w:hint="eastAsia" w:ascii="宋体" w:hAnsi="宋体" w:eastAsia="宋体" w:cs="宋体"/>
          <w:sz w:val="24"/>
          <w:szCs w:val="24"/>
          <w:lang w:eastAsia="zh-CN"/>
        </w:rPr>
        <w:t>投标人</w:t>
      </w:r>
      <w:r>
        <w:rPr>
          <w:rFonts w:hint="eastAsia" w:ascii="宋体" w:hAnsi="宋体" w:eastAsia="宋体" w:cs="宋体"/>
          <w:sz w:val="24"/>
          <w:szCs w:val="24"/>
        </w:rPr>
        <w:t>递交的投标文件及相关要求按照招标文件第二部分“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13.投标报价</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13.1所有投标报价均以人民币元为计算单位。只要投报了一个确定数额的总价，无论分项价格是否全部填报了相应的金额或免费字样，报价应被视为已经包含了但并不限于各项购买</w:t>
      </w:r>
      <w:r>
        <w:rPr>
          <w:rFonts w:hint="eastAsia" w:ascii="宋体" w:hAnsi="宋体" w:eastAsia="宋体" w:cs="宋体"/>
          <w:sz w:val="24"/>
          <w:szCs w:val="24"/>
          <w:lang w:eastAsia="zh-CN"/>
        </w:rPr>
        <w:t>设备</w:t>
      </w:r>
      <w:r>
        <w:rPr>
          <w:rFonts w:hint="eastAsia" w:ascii="宋体" w:hAnsi="宋体" w:eastAsia="宋体" w:cs="宋体"/>
          <w:sz w:val="24"/>
          <w:szCs w:val="24"/>
        </w:rPr>
        <w:t>及其运送、保险和相关服务等的费用和所需缴纳的所有价格、税、费。在其他情况下，由于分项报价填报不完整、不清楚或存在其他任何失误，所导致的任何不利后果均应当由</w:t>
      </w:r>
      <w:r>
        <w:rPr>
          <w:rFonts w:hint="eastAsia" w:ascii="宋体" w:hAnsi="宋体" w:eastAsia="宋体" w:cs="宋体"/>
          <w:sz w:val="24"/>
          <w:szCs w:val="24"/>
          <w:lang w:eastAsia="zh-CN"/>
        </w:rPr>
        <w:t>投标人</w:t>
      </w:r>
      <w:r>
        <w:rPr>
          <w:rFonts w:hint="eastAsia" w:ascii="宋体" w:hAnsi="宋体" w:eastAsia="宋体" w:cs="宋体"/>
          <w:sz w:val="24"/>
          <w:szCs w:val="24"/>
        </w:rPr>
        <w:t>自行承担。</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13.2除非招标文件另有规定，不接受可选择或可调整的投标方案和报价，任何有选择的或可调整的投标方案和报价将被视为非响应性投标而被拒绝。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13.3本项目是否接受进口产品按照招标文件第二部分“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须知前附表中”中的规定。</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13.4本项目是否允许</w:t>
      </w:r>
      <w:r>
        <w:rPr>
          <w:rFonts w:hint="eastAsia" w:ascii="宋体" w:hAnsi="宋体" w:eastAsia="宋体" w:cs="宋体"/>
          <w:sz w:val="24"/>
          <w:szCs w:val="24"/>
          <w:lang w:eastAsia="zh-CN"/>
        </w:rPr>
        <w:t>投标人</w:t>
      </w:r>
      <w:r>
        <w:rPr>
          <w:rFonts w:hint="eastAsia" w:ascii="宋体" w:hAnsi="宋体" w:eastAsia="宋体" w:cs="宋体"/>
          <w:sz w:val="24"/>
          <w:szCs w:val="24"/>
        </w:rPr>
        <w:t>将项目的非主体、非关键性工作交由他人完成按照招标文件第二部分“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须知前附表”中的规定。如允许，</w:t>
      </w:r>
      <w:r>
        <w:rPr>
          <w:rFonts w:hint="eastAsia" w:ascii="宋体" w:hAnsi="宋体" w:eastAsia="宋体" w:cs="宋体"/>
          <w:sz w:val="24"/>
          <w:szCs w:val="24"/>
          <w:lang w:eastAsia="zh-CN"/>
        </w:rPr>
        <w:t>投标人</w:t>
      </w:r>
      <w:r>
        <w:rPr>
          <w:rFonts w:hint="eastAsia" w:ascii="宋体" w:hAnsi="宋体" w:eastAsia="宋体" w:cs="宋体"/>
          <w:sz w:val="24"/>
          <w:szCs w:val="24"/>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13.5</w:t>
      </w:r>
      <w:r>
        <w:rPr>
          <w:rFonts w:hint="eastAsia" w:ascii="宋体" w:hAnsi="宋体" w:eastAsia="宋体" w:cs="宋体"/>
          <w:sz w:val="24"/>
          <w:szCs w:val="24"/>
          <w:lang w:eastAsia="zh-CN"/>
        </w:rPr>
        <w:t>投标人</w:t>
      </w:r>
      <w:r>
        <w:rPr>
          <w:rFonts w:hint="eastAsia" w:ascii="宋体" w:hAnsi="宋体" w:eastAsia="宋体" w:cs="宋体"/>
          <w:sz w:val="24"/>
          <w:szCs w:val="24"/>
        </w:rPr>
        <w:t>须严格按照报价明细表规定的内容填写</w:t>
      </w:r>
      <w:r>
        <w:rPr>
          <w:rFonts w:hint="eastAsia" w:ascii="宋体" w:hAnsi="宋体" w:eastAsia="宋体" w:cs="宋体"/>
          <w:sz w:val="24"/>
          <w:szCs w:val="24"/>
          <w:lang w:eastAsia="zh-CN"/>
        </w:rPr>
        <w:t>设备</w:t>
      </w:r>
      <w:r>
        <w:rPr>
          <w:rFonts w:hint="eastAsia" w:ascii="宋体" w:hAnsi="宋体" w:eastAsia="宋体" w:cs="宋体"/>
          <w:sz w:val="24"/>
          <w:szCs w:val="24"/>
        </w:rPr>
        <w:t>单价以及其他事项。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13.6</w:t>
      </w:r>
      <w:r>
        <w:rPr>
          <w:rFonts w:hint="eastAsia" w:ascii="宋体" w:hAnsi="宋体" w:eastAsia="宋体" w:cs="宋体"/>
          <w:sz w:val="24"/>
          <w:szCs w:val="24"/>
          <w:lang w:eastAsia="zh-CN"/>
        </w:rPr>
        <w:t>投标人</w:t>
      </w:r>
      <w:r>
        <w:rPr>
          <w:rFonts w:hint="eastAsia" w:ascii="宋体" w:hAnsi="宋体" w:eastAsia="宋体" w:cs="宋体"/>
          <w:sz w:val="24"/>
          <w:szCs w:val="24"/>
        </w:rPr>
        <w:t>对投标报价若有说明应在投标文件中显著处注明。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除政策性文件规定以外，</w:t>
      </w:r>
      <w:r>
        <w:rPr>
          <w:rFonts w:hint="eastAsia" w:ascii="宋体" w:hAnsi="宋体" w:eastAsia="宋体" w:cs="宋体"/>
          <w:sz w:val="24"/>
          <w:szCs w:val="24"/>
          <w:lang w:eastAsia="zh-CN"/>
        </w:rPr>
        <w:t>投标人</w:t>
      </w:r>
      <w:r>
        <w:rPr>
          <w:rFonts w:hint="eastAsia" w:ascii="宋体" w:hAnsi="宋体" w:eastAsia="宋体" w:cs="宋体"/>
          <w:sz w:val="24"/>
          <w:szCs w:val="24"/>
        </w:rPr>
        <w:t>所报价格在合同实施期间不因市场变化因素而变动。</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13.7对于有配件、耗材、选件、备件和特殊工具的</w:t>
      </w:r>
      <w:r>
        <w:rPr>
          <w:rFonts w:hint="eastAsia" w:ascii="宋体" w:hAnsi="宋体" w:eastAsia="宋体" w:cs="宋体"/>
          <w:sz w:val="24"/>
          <w:szCs w:val="24"/>
          <w:lang w:eastAsia="zh-CN"/>
        </w:rPr>
        <w:t>设备</w:t>
      </w:r>
      <w:r>
        <w:rPr>
          <w:rFonts w:hint="eastAsia" w:ascii="宋体" w:hAnsi="宋体" w:eastAsia="宋体" w:cs="宋体"/>
          <w:sz w:val="24"/>
          <w:szCs w:val="24"/>
        </w:rPr>
        <w:t>，还应填报投标</w:t>
      </w:r>
      <w:r>
        <w:rPr>
          <w:rFonts w:hint="eastAsia" w:ascii="宋体" w:hAnsi="宋体" w:eastAsia="宋体" w:cs="宋体"/>
          <w:sz w:val="24"/>
          <w:szCs w:val="24"/>
          <w:lang w:eastAsia="zh-CN"/>
        </w:rPr>
        <w:t>设备</w:t>
      </w:r>
      <w:r>
        <w:rPr>
          <w:rFonts w:hint="eastAsia" w:ascii="宋体" w:hAnsi="宋体" w:eastAsia="宋体" w:cs="宋体"/>
          <w:sz w:val="24"/>
          <w:szCs w:val="24"/>
        </w:rPr>
        <w:t>配件、耗材、选件表和备件及特殊工具清单，注明品牌、型号、产地、功能等内容，该表格格式由</w:t>
      </w:r>
      <w:r>
        <w:rPr>
          <w:rFonts w:hint="eastAsia" w:ascii="宋体" w:hAnsi="宋体" w:eastAsia="宋体" w:cs="宋体"/>
          <w:sz w:val="24"/>
          <w:szCs w:val="24"/>
          <w:lang w:eastAsia="zh-CN"/>
        </w:rPr>
        <w:t>投标人</w:t>
      </w:r>
      <w:r>
        <w:rPr>
          <w:rFonts w:hint="eastAsia" w:ascii="宋体" w:hAnsi="宋体" w:eastAsia="宋体" w:cs="宋体"/>
          <w:sz w:val="24"/>
          <w:szCs w:val="24"/>
        </w:rPr>
        <w:t>自行设计。</w:t>
      </w:r>
      <w:r>
        <w:rPr>
          <w:rFonts w:hint="eastAsia" w:ascii="宋体" w:hAnsi="宋体" w:eastAsia="宋体" w:cs="宋体"/>
          <w:sz w:val="24"/>
          <w:szCs w:val="24"/>
          <w:lang w:eastAsia="zh-CN"/>
        </w:rPr>
        <w:t>投标人</w:t>
      </w:r>
      <w:r>
        <w:rPr>
          <w:rFonts w:hint="eastAsia" w:ascii="宋体" w:hAnsi="宋体" w:eastAsia="宋体" w:cs="宋体"/>
          <w:sz w:val="24"/>
          <w:szCs w:val="24"/>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13.8最低报价不能作为中标的保证。</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14.投标有效期</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14.1本项目的投标有效期按照招标文件第二部分“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须知前附表中”中第</w:t>
      </w:r>
      <w:r>
        <w:rPr>
          <w:rFonts w:hint="eastAsia" w:ascii="宋体" w:hAnsi="宋体" w:eastAsia="宋体" w:cs="宋体"/>
          <w:sz w:val="24"/>
          <w:szCs w:val="24"/>
          <w:lang w:val="en-US" w:eastAsia="zh-CN"/>
        </w:rPr>
        <w:t>15</w:t>
      </w:r>
      <w:r>
        <w:rPr>
          <w:rFonts w:hint="eastAsia" w:ascii="宋体" w:hAnsi="宋体" w:eastAsia="宋体" w:cs="宋体"/>
          <w:sz w:val="24"/>
          <w:szCs w:val="24"/>
        </w:rPr>
        <w:t>项的规定。投标有效期自开标之日起计算，短于规定期限的投标将按无效投标处理。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14.2在特殊情况下，采购代理机构可与</w:t>
      </w:r>
      <w:r>
        <w:rPr>
          <w:rFonts w:hint="eastAsia" w:ascii="宋体" w:hAnsi="宋体" w:eastAsia="宋体" w:cs="宋体"/>
          <w:sz w:val="24"/>
          <w:szCs w:val="24"/>
          <w:lang w:eastAsia="zh-CN"/>
        </w:rPr>
        <w:t>投标人</w:t>
      </w:r>
      <w:r>
        <w:rPr>
          <w:rFonts w:hint="eastAsia" w:ascii="宋体" w:hAnsi="宋体" w:eastAsia="宋体" w:cs="宋体"/>
          <w:sz w:val="24"/>
          <w:szCs w:val="24"/>
        </w:rPr>
        <w:t>协商延长投标有效期。这种要求和答复都应以书面形式进行。此时，规定的投标保证金的有效期也相应延长。</w:t>
      </w:r>
      <w:r>
        <w:rPr>
          <w:rFonts w:hint="eastAsia" w:ascii="宋体" w:hAnsi="宋体" w:eastAsia="宋体" w:cs="宋体"/>
          <w:sz w:val="24"/>
          <w:szCs w:val="24"/>
          <w:lang w:eastAsia="zh-CN"/>
        </w:rPr>
        <w:t>投标人</w:t>
      </w:r>
      <w:r>
        <w:rPr>
          <w:rFonts w:hint="eastAsia" w:ascii="宋体" w:hAnsi="宋体" w:eastAsia="宋体" w:cs="宋体"/>
          <w:sz w:val="24"/>
          <w:szCs w:val="24"/>
        </w:rPr>
        <w:t>可以拒绝接受延期要求而不会被没收保证金。同意延长有效期的</w:t>
      </w:r>
      <w:r>
        <w:rPr>
          <w:rFonts w:hint="eastAsia" w:ascii="宋体" w:hAnsi="宋体" w:eastAsia="宋体" w:cs="宋体"/>
          <w:sz w:val="24"/>
          <w:szCs w:val="24"/>
          <w:lang w:eastAsia="zh-CN"/>
        </w:rPr>
        <w:t>投标人</w:t>
      </w:r>
      <w:r>
        <w:rPr>
          <w:rFonts w:hint="eastAsia" w:ascii="宋体" w:hAnsi="宋体" w:eastAsia="宋体" w:cs="宋体"/>
          <w:sz w:val="24"/>
          <w:szCs w:val="24"/>
        </w:rPr>
        <w:t>除按照采购代理机构要求修改投标有效期外，不能修改投标文件的其他内容。</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15.投标内容填写说明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15.1</w:t>
      </w:r>
      <w:r>
        <w:rPr>
          <w:rFonts w:hint="eastAsia" w:ascii="宋体" w:hAnsi="宋体" w:eastAsia="宋体" w:cs="宋体"/>
          <w:sz w:val="24"/>
          <w:szCs w:val="24"/>
          <w:lang w:eastAsia="zh-CN"/>
        </w:rPr>
        <w:t>投标人</w:t>
      </w:r>
      <w:r>
        <w:rPr>
          <w:rFonts w:hint="eastAsia" w:ascii="宋体" w:hAnsi="宋体" w:eastAsia="宋体" w:cs="宋体"/>
          <w:sz w:val="24"/>
          <w:szCs w:val="24"/>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15.2投标文件须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宋体" w:hAnsi="宋体" w:eastAsia="宋体" w:cs="宋体"/>
          <w:sz w:val="24"/>
          <w:szCs w:val="24"/>
          <w:lang w:eastAsia="zh-CN"/>
        </w:rPr>
        <w:t>投标人</w:t>
      </w:r>
      <w:r>
        <w:rPr>
          <w:rFonts w:hint="eastAsia" w:ascii="宋体" w:hAnsi="宋体" w:eastAsia="宋体" w:cs="宋体"/>
          <w:sz w:val="24"/>
          <w:szCs w:val="24"/>
        </w:rPr>
        <w:t>承担。投标文件未按规定提交或留有空项，将被视为不完整响应的投标文件，其投标有可能被拒绝</w:t>
      </w:r>
      <w:r>
        <w:rPr>
          <w:rFonts w:hint="eastAsia" w:ascii="宋体" w:hAnsi="宋体" w:eastAsia="宋体" w:cs="宋体"/>
          <w:b/>
          <w:sz w:val="24"/>
          <w:szCs w:val="24"/>
        </w:rPr>
        <w:t>。</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15.3开标一览表为在开标</w:t>
      </w:r>
      <w:r>
        <w:rPr>
          <w:rFonts w:hint="eastAsia" w:ascii="宋体" w:hAnsi="宋体" w:cs="宋体"/>
          <w:sz w:val="24"/>
          <w:szCs w:val="24"/>
          <w:lang w:eastAsia="zh-CN"/>
        </w:rPr>
        <w:t>现场</w:t>
      </w:r>
      <w:r>
        <w:rPr>
          <w:rFonts w:hint="eastAsia" w:ascii="宋体" w:hAnsi="宋体" w:eastAsia="宋体" w:cs="宋体"/>
          <w:sz w:val="24"/>
          <w:szCs w:val="24"/>
        </w:rPr>
        <w:t>唱标的内容，要求按格式统一填写，不得自行增减内容。</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15.4</w:t>
      </w:r>
      <w:r>
        <w:rPr>
          <w:rFonts w:hint="eastAsia" w:ascii="宋体" w:hAnsi="宋体" w:eastAsia="宋体" w:cs="宋体"/>
          <w:sz w:val="24"/>
          <w:szCs w:val="24"/>
          <w:lang w:eastAsia="zh-CN"/>
        </w:rPr>
        <w:t>投标人</w:t>
      </w:r>
      <w:r>
        <w:rPr>
          <w:rFonts w:hint="eastAsia" w:ascii="宋体" w:hAnsi="宋体" w:eastAsia="宋体" w:cs="宋体"/>
          <w:sz w:val="24"/>
          <w:szCs w:val="24"/>
        </w:rPr>
        <w:t>须注意：为合理节约政府采购评审成本，提倡诚实信用的投标行为，特别要求</w:t>
      </w:r>
      <w:r>
        <w:rPr>
          <w:rFonts w:hint="eastAsia" w:ascii="宋体" w:hAnsi="宋体" w:eastAsia="宋体" w:cs="宋体"/>
          <w:sz w:val="24"/>
          <w:szCs w:val="24"/>
          <w:lang w:eastAsia="zh-CN"/>
        </w:rPr>
        <w:t>投标人</w:t>
      </w:r>
      <w:r>
        <w:rPr>
          <w:rFonts w:hint="eastAsia" w:ascii="宋体" w:hAnsi="宋体" w:eastAsia="宋体" w:cs="宋体"/>
          <w:sz w:val="24"/>
          <w:szCs w:val="24"/>
        </w:rPr>
        <w:t>应本着诚信精神，在本次投标文件的偏离表中，均以审慎的态度明确、清楚地披露各项偏离。若</w:t>
      </w:r>
      <w:r>
        <w:rPr>
          <w:rFonts w:hint="eastAsia" w:ascii="宋体" w:hAnsi="宋体" w:eastAsia="宋体" w:cs="宋体"/>
          <w:sz w:val="24"/>
          <w:szCs w:val="24"/>
          <w:lang w:eastAsia="zh-CN"/>
        </w:rPr>
        <w:t>投标人</w:t>
      </w:r>
      <w:r>
        <w:rPr>
          <w:rFonts w:hint="eastAsia" w:ascii="宋体" w:hAnsi="宋体" w:eastAsia="宋体" w:cs="宋体"/>
          <w:sz w:val="24"/>
          <w:szCs w:val="24"/>
        </w:rPr>
        <w:t>对某一事项是否存在或是否属于偏离不能确定，亦必须在偏离表中清楚地表明该偏离事项，并可以注明不能确定的字样。任何情况下，对于</w:t>
      </w:r>
      <w:r>
        <w:rPr>
          <w:rFonts w:hint="eastAsia" w:ascii="宋体" w:hAnsi="宋体" w:eastAsia="宋体" w:cs="宋体"/>
          <w:sz w:val="24"/>
          <w:szCs w:val="24"/>
          <w:lang w:eastAsia="zh-CN"/>
        </w:rPr>
        <w:t>投标人</w:t>
      </w:r>
      <w:r>
        <w:rPr>
          <w:rFonts w:hint="eastAsia" w:ascii="宋体" w:hAnsi="宋体" w:eastAsia="宋体" w:cs="宋体"/>
          <w:sz w:val="24"/>
          <w:szCs w:val="24"/>
        </w:rPr>
        <w:t>没有在偏离表中明确、清楚地披露的事项，包括可能属于被</w:t>
      </w:r>
      <w:r>
        <w:rPr>
          <w:rFonts w:hint="eastAsia" w:ascii="宋体" w:hAnsi="宋体" w:eastAsia="宋体" w:cs="宋体"/>
          <w:sz w:val="24"/>
          <w:szCs w:val="24"/>
          <w:lang w:eastAsia="zh-CN"/>
        </w:rPr>
        <w:t>投标人</w:t>
      </w:r>
      <w:r>
        <w:rPr>
          <w:rFonts w:hint="eastAsia" w:ascii="宋体" w:hAnsi="宋体" w:eastAsia="宋体" w:cs="宋体"/>
          <w:sz w:val="24"/>
          <w:szCs w:val="24"/>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15.5</w:t>
      </w:r>
      <w:r>
        <w:rPr>
          <w:rFonts w:hint="eastAsia" w:ascii="宋体" w:hAnsi="宋体" w:eastAsia="宋体" w:cs="宋体"/>
          <w:sz w:val="24"/>
          <w:szCs w:val="24"/>
          <w:lang w:eastAsia="zh-CN"/>
        </w:rPr>
        <w:t>投标人</w:t>
      </w:r>
      <w:r>
        <w:rPr>
          <w:rFonts w:hint="eastAsia" w:ascii="宋体" w:hAnsi="宋体" w:eastAsia="宋体" w:cs="宋体"/>
          <w:sz w:val="24"/>
          <w:szCs w:val="24"/>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15.6</w:t>
      </w:r>
      <w:r>
        <w:rPr>
          <w:rFonts w:hint="eastAsia" w:ascii="宋体" w:hAnsi="宋体" w:eastAsia="宋体" w:cs="宋体"/>
          <w:sz w:val="24"/>
          <w:szCs w:val="24"/>
          <w:lang w:eastAsia="zh-CN"/>
        </w:rPr>
        <w:t>投标人</w:t>
      </w:r>
      <w:r>
        <w:rPr>
          <w:rFonts w:hint="eastAsia" w:ascii="宋体" w:hAnsi="宋体" w:eastAsia="宋体" w:cs="宋体"/>
          <w:sz w:val="24"/>
          <w:szCs w:val="24"/>
        </w:rPr>
        <w:t>在投标文件及相关文件的签订、履行、通知等事项的文件中的单位盖章、印章、公章等处均指与当事人全称相一致的标准公章，不得使用其他形式（如带有“专用章”等字样的印章）。不符合本条规定的按无效投标处理。</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27" w:name="_Toc480368404"/>
      <w:bookmarkStart w:id="28" w:name="_Toc5813"/>
      <w:bookmarkStart w:id="29" w:name="_Toc28985"/>
      <w:r>
        <w:rPr>
          <w:rFonts w:hint="eastAsia" w:ascii="宋体" w:hAnsi="宋体" w:eastAsia="宋体" w:cs="宋体"/>
          <w:sz w:val="24"/>
          <w:szCs w:val="24"/>
        </w:rPr>
        <w:t>四、投标保证金</w:t>
      </w:r>
      <w:bookmarkEnd w:id="27"/>
      <w:bookmarkEnd w:id="28"/>
      <w:bookmarkEnd w:id="29"/>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16.投标保证金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eastAsia="宋体" w:cs="宋体"/>
          <w:sz w:val="24"/>
          <w:szCs w:val="24"/>
          <w:lang w:eastAsia="zh-CN"/>
        </w:rPr>
        <w:t>投标人</w:t>
      </w:r>
      <w:r>
        <w:rPr>
          <w:rFonts w:hint="eastAsia" w:ascii="宋体" w:hAnsi="宋体" w:eastAsia="宋体" w:cs="宋体"/>
          <w:sz w:val="24"/>
          <w:szCs w:val="24"/>
        </w:rPr>
        <w:t>应按照招标文件第二部分“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须知前附表”中的规定交纳。投标保证金须于到账截止时间前到帐，并经采购代理机构确认。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16.2采购代理机构不接收以现金或汇票等其他形式递交的投标保证金。未按要求提交投标保证金的，将被视为无效投标。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16.3未中标的</w:t>
      </w:r>
      <w:r>
        <w:rPr>
          <w:rFonts w:hint="eastAsia" w:ascii="宋体" w:hAnsi="宋体" w:eastAsia="宋体" w:cs="宋体"/>
          <w:sz w:val="24"/>
          <w:szCs w:val="24"/>
          <w:lang w:eastAsia="zh-CN"/>
        </w:rPr>
        <w:t>投标人</w:t>
      </w:r>
      <w:r>
        <w:rPr>
          <w:rFonts w:hint="eastAsia" w:ascii="宋体" w:hAnsi="宋体" w:eastAsia="宋体" w:cs="宋体"/>
          <w:sz w:val="24"/>
          <w:szCs w:val="24"/>
        </w:rPr>
        <w:t>的投标保证金在中标通知书发出之日起5个工作日内退还；中标人的投标保证金将自政府采购合同签订之日起5个工作日内退还。</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16.4 投标保证金退还一律采用网上银行转帐方式退还至</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的汇款帐户，资金原路返回。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420" w:firstLineChars="17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16.5退还保证金前，需提供以下资料：</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中标人提供与甲方签订合同原件的PDF扫描件一份；</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保证金打款回执单一份；</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退款账户信息一份；</w:t>
      </w:r>
    </w:p>
    <w:p>
      <w:pPr>
        <w:keepNext w:val="0"/>
        <w:keepLines w:val="0"/>
        <w:pageBreakBefore w:val="0"/>
        <w:widowControl w:val="0"/>
        <w:numPr>
          <w:ilvl w:val="0"/>
          <w:numId w:val="6"/>
        </w:numPr>
        <w:kinsoku/>
        <w:wordWrap/>
        <w:overflowPunct/>
        <w:topLinePunct w:val="0"/>
        <w:autoSpaceDE/>
        <w:autoSpaceDN/>
        <w:bidi w:val="0"/>
        <w:adjustRightInd/>
        <w:snapToGrid/>
        <w:spacing w:before="0" w:beforeAutospacing="0" w:after="0" w:afterAutospacing="0" w:line="360" w:lineRule="auto"/>
        <w:ind w:left="850" w:leftChars="0" w:hanging="1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收到</w:t>
      </w:r>
      <w:r>
        <w:rPr>
          <w:rFonts w:hint="eastAsia" w:ascii="宋体" w:hAnsi="宋体" w:eastAsia="宋体" w:cs="宋体"/>
          <w:kern w:val="2"/>
          <w:sz w:val="24"/>
          <w:szCs w:val="24"/>
          <w:highlight w:val="none"/>
          <w:lang w:val="en-US" w:eastAsia="zh-CN" w:bidi="ar-SA"/>
        </w:rPr>
        <w:t>退还</w:t>
      </w:r>
      <w:r>
        <w:rPr>
          <w:rFonts w:hint="eastAsia" w:ascii="宋体" w:hAnsi="宋体" w:cs="宋体"/>
          <w:kern w:val="2"/>
          <w:sz w:val="24"/>
          <w:szCs w:val="24"/>
          <w:highlight w:val="none"/>
          <w:lang w:val="en-US" w:eastAsia="zh-CN" w:bidi="ar-SA"/>
        </w:rPr>
        <w:t>金额</w:t>
      </w:r>
      <w:r>
        <w:rPr>
          <w:rFonts w:hint="eastAsia" w:ascii="宋体" w:hAnsi="宋体" w:eastAsia="宋体" w:cs="宋体"/>
          <w:kern w:val="2"/>
          <w:sz w:val="24"/>
          <w:szCs w:val="24"/>
          <w:highlight w:val="none"/>
          <w:lang w:val="en-US" w:eastAsia="zh-CN" w:bidi="ar-SA"/>
        </w:rPr>
        <w:t>收据原件，格式如下</w:t>
      </w:r>
      <w:r>
        <w:rPr>
          <w:rFonts w:hint="eastAsia" w:ascii="宋体" w:hAnsi="宋体" w:cs="宋体"/>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drawing>
          <wp:inline distT="0" distB="0" distL="0" distR="0">
            <wp:extent cx="4448175" cy="2242820"/>
            <wp:effectExtent l="0" t="0" r="9525" b="5080"/>
            <wp:docPr id="7" name="图片 7" descr="e8035fc68c35a77c3300609d0bb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8035fc68c35a77c3300609d0bb2547"/>
                    <pic:cNvPicPr>
                      <a:picLocks noChangeAspect="1" noChangeArrowheads="1"/>
                    </pic:cNvPicPr>
                  </pic:nvPicPr>
                  <pic:blipFill>
                    <a:blip r:embed="rId15" cstate="print">
                      <a:extLst>
                        <a:ext uri="{28A0092B-C50C-407E-A947-70E740481C1C}">
                          <a14:useLocalDpi xmlns:a14="http://schemas.microsoft.com/office/drawing/2010/main" val="0"/>
                        </a:ext>
                      </a:extLst>
                    </a:blip>
                    <a:srcRect l="2116" t="432" r="-226" b="4755"/>
                    <a:stretch>
                      <a:fillRect/>
                    </a:stretch>
                  </pic:blipFill>
                  <pic:spPr>
                    <a:xfrm>
                      <a:off x="0" y="0"/>
                      <a:ext cx="4448175" cy="2242820"/>
                    </a:xfrm>
                    <a:prstGeom prst="rect">
                      <a:avLst/>
                    </a:prstGeom>
                    <a:noFill/>
                    <a:ln>
                      <a:noFill/>
                    </a:ln>
                  </pic:spPr>
                </pic:pic>
              </a:graphicData>
            </a:graphic>
          </wp:inline>
        </w:drawing>
      </w:r>
    </w:p>
    <w:p>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如有疑问</w:t>
      </w:r>
      <w:r>
        <w:rPr>
          <w:rFonts w:hint="eastAsia" w:ascii="宋体" w:hAnsi="宋体" w:eastAsia="宋体" w:cs="宋体"/>
          <w:sz w:val="24"/>
          <w:szCs w:val="24"/>
        </w:rPr>
        <w:t>可致电咨询</w:t>
      </w:r>
      <w:r>
        <w:rPr>
          <w:rFonts w:hint="eastAsia" w:ascii="宋体" w:hAnsi="宋体" w:cs="宋体"/>
          <w:sz w:val="24"/>
          <w:szCs w:val="24"/>
          <w:lang w:eastAsia="zh-CN"/>
        </w:rPr>
        <w:t>新疆正禾招投标有限公司财务部：</w:t>
      </w:r>
      <w:r>
        <w:rPr>
          <w:rFonts w:hint="eastAsia" w:ascii="宋体" w:hAnsi="宋体" w:eastAsia="宋体" w:cs="宋体"/>
          <w:sz w:val="24"/>
          <w:szCs w:val="24"/>
        </w:rPr>
        <w:t>0991-6660570</w:t>
      </w:r>
      <w:r>
        <w:rPr>
          <w:rFonts w:hint="eastAsia" w:ascii="宋体" w:hAnsi="宋体" w:eastAsia="宋体" w:cs="宋体"/>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420" w:firstLineChars="17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16.6发生下列情况之一的，投标保证金将不予退还：</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 xml:space="preserve">供应商有《中华人民共和国政府采购法》第七十七条所列行为的； </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 xml:space="preserve">开标后在投标有效期间内，供应商撤回投标文件的； </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中标供应商不按规定支付招标服务费的；</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违反《投标申请书》有关条款的；</w:t>
      </w:r>
    </w:p>
    <w:p>
      <w:pPr>
        <w:pStyle w:val="60"/>
        <w:numPr>
          <w:ilvl w:val="0"/>
          <w:numId w:val="7"/>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法律法规及采购文件规定的其他情形。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left="0" w:leftChars="0" w:firstLine="420" w:firstLineChars="175"/>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16.7下列任何情况发生时，投标保证金将不予退还，转为违约金：</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投标人在投标截止期后，投标有效期内撤回投标；</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投标人在规定期限内未按规定向采购人缴纳履约保证金；</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中标方未按投标人须知规定缴纳招标代理费；</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以他人名义投标或者以其他方式弄虚作假，骗取中标；</w:t>
      </w:r>
    </w:p>
    <w:p>
      <w:pPr>
        <w:pStyle w:val="60"/>
        <w:numPr>
          <w:ilvl w:val="0"/>
          <w:numId w:val="8"/>
        </w:numPr>
        <w:spacing w:line="360" w:lineRule="auto"/>
        <w:ind w:left="425" w:leftChars="0" w:firstLine="415" w:firstLineChars="0"/>
        <w:rPr>
          <w:rFonts w:hint="eastAsia" w:ascii="宋体" w:hAnsi="宋体" w:eastAsia="宋体" w:cs="宋体"/>
          <w:sz w:val="24"/>
          <w:szCs w:val="24"/>
        </w:rPr>
      </w:pPr>
      <w:r>
        <w:rPr>
          <w:rFonts w:hint="eastAsia" w:ascii="宋体" w:hAnsi="宋体" w:eastAsia="宋体" w:cs="宋体"/>
          <w:sz w:val="24"/>
          <w:szCs w:val="24"/>
        </w:rPr>
        <w:t>打架斗殴，扰乱标场秩序；</w:t>
      </w:r>
    </w:p>
    <w:p>
      <w:pPr>
        <w:pStyle w:val="60"/>
        <w:numPr>
          <w:ilvl w:val="0"/>
          <w:numId w:val="8"/>
        </w:numPr>
        <w:spacing w:line="360" w:lineRule="auto"/>
        <w:ind w:left="425" w:leftChars="0" w:firstLine="415" w:firstLineChars="0"/>
        <w:rPr>
          <w:rFonts w:hint="eastAsia" w:ascii="宋体" w:hAnsi="宋体" w:eastAsia="宋体" w:cs="宋体"/>
          <w:sz w:val="24"/>
          <w:szCs w:val="24"/>
          <w:lang w:eastAsia="zh-CN"/>
        </w:rPr>
      </w:pPr>
      <w:r>
        <w:rPr>
          <w:rFonts w:hint="eastAsia" w:ascii="宋体" w:hAnsi="宋体" w:eastAsia="宋体" w:cs="宋体"/>
          <w:sz w:val="24"/>
          <w:szCs w:val="24"/>
        </w:rPr>
        <w:t>本招标文件中或《政府采购货物和服务招标投标管理办法》第七十五条规定的其他不予退还投标保证金的情形</w:t>
      </w:r>
      <w:r>
        <w:rPr>
          <w:rFonts w:hint="eastAsia" w:ascii="宋体" w:hAnsi="宋体" w:eastAsia="宋体" w:cs="宋体"/>
          <w:sz w:val="24"/>
          <w:szCs w:val="24"/>
          <w:lang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30" w:name="_Toc480368405"/>
      <w:bookmarkStart w:id="31" w:name="_Toc26010"/>
      <w:bookmarkStart w:id="32" w:name="_Toc2081"/>
      <w:r>
        <w:rPr>
          <w:rFonts w:hint="eastAsia" w:ascii="宋体" w:hAnsi="宋体" w:eastAsia="宋体" w:cs="宋体"/>
          <w:sz w:val="24"/>
          <w:szCs w:val="24"/>
        </w:rPr>
        <w:t>五、投标</w:t>
      </w:r>
      <w:bookmarkEnd w:id="30"/>
      <w:bookmarkEnd w:id="31"/>
      <w:bookmarkEnd w:id="32"/>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17.投标文件的密封和标记</w:t>
      </w:r>
    </w:p>
    <w:p>
      <w:pPr>
        <w:pStyle w:val="12"/>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17.1投标文件</w:t>
      </w:r>
      <w:r>
        <w:rPr>
          <w:rFonts w:hint="eastAsia" w:ascii="宋体" w:hAnsi="宋体" w:eastAsia="宋体" w:cs="宋体"/>
          <w:sz w:val="24"/>
          <w:szCs w:val="24"/>
          <w:lang w:eastAsia="zh-CN"/>
        </w:rPr>
        <w:t>、开标一览表、</w:t>
      </w:r>
      <w:r>
        <w:rPr>
          <w:rFonts w:hint="eastAsia" w:ascii="宋体" w:hAnsi="宋体" w:eastAsia="宋体" w:cs="宋体"/>
          <w:sz w:val="24"/>
          <w:szCs w:val="24"/>
        </w:rPr>
        <w:t>电子版应单独分别密封包装，加贴封条，并在封套的封口处（封套两端折叠封口处）盖</w:t>
      </w:r>
      <w:r>
        <w:rPr>
          <w:rFonts w:hint="eastAsia" w:ascii="宋体" w:hAnsi="宋体" w:eastAsia="宋体" w:cs="宋体"/>
          <w:sz w:val="24"/>
          <w:szCs w:val="24"/>
          <w:lang w:eastAsia="zh-CN"/>
        </w:rPr>
        <w:t>投标人</w:t>
      </w:r>
      <w:r>
        <w:rPr>
          <w:rFonts w:hint="eastAsia" w:ascii="宋体" w:hAnsi="宋体" w:eastAsia="宋体" w:cs="宋体"/>
          <w:sz w:val="24"/>
          <w:szCs w:val="24"/>
        </w:rPr>
        <w:t>单位章或密封章。</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17.2</w:t>
      </w:r>
      <w:r>
        <w:rPr>
          <w:rFonts w:hint="eastAsia" w:ascii="宋体" w:hAnsi="宋体" w:eastAsia="宋体" w:cs="宋体"/>
          <w:kern w:val="0"/>
          <w:sz w:val="24"/>
          <w:szCs w:val="24"/>
          <w:lang w:val="en-US" w:eastAsia="zh-CN" w:bidi="ar-SA"/>
        </w:rPr>
        <w:t>封口处加盖投标人公章，封皮上注明以下内容：</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项目编号：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包装内容：投标文件正本/副本/电子版</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名称：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地址：</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邮</w:t>
      </w:r>
      <w:r>
        <w:rPr>
          <w:rFonts w:hint="eastAsia" w:ascii="宋体" w:hAnsi="宋体" w:cs="宋体"/>
          <w:sz w:val="24"/>
          <w:szCs w:val="24"/>
          <w:lang w:val="en-US" w:eastAsia="zh-CN"/>
        </w:rPr>
        <w:t xml:space="preserve">    </w:t>
      </w:r>
      <w:r>
        <w:rPr>
          <w:rFonts w:hint="eastAsia" w:ascii="宋体" w:hAnsi="宋体" w:cs="宋体"/>
          <w:sz w:val="24"/>
          <w:szCs w:val="24"/>
          <w:lang w:eastAsia="zh-CN"/>
        </w:rPr>
        <w:t>编：</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 系 人：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传    真：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日</w:t>
      </w:r>
      <w:r>
        <w:rPr>
          <w:rFonts w:hint="eastAsia" w:ascii="宋体" w:hAnsi="宋体" w:cs="宋体"/>
          <w:sz w:val="24"/>
          <w:szCs w:val="24"/>
          <w:lang w:val="en-US" w:eastAsia="zh-CN"/>
        </w:rPr>
        <w:t xml:space="preserve">    </w:t>
      </w:r>
      <w:r>
        <w:rPr>
          <w:rFonts w:hint="eastAsia" w:ascii="宋体" w:hAnsi="宋体" w:cs="宋体"/>
          <w:sz w:val="24"/>
          <w:szCs w:val="24"/>
          <w:lang w:eastAsia="zh-CN"/>
        </w:rPr>
        <w:t>期：</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请勿在 年 月 日  时00分（北京时间）之前启封</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认为有必要提交的其他资料请于投标截止时间前一并提交。</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17.3如果</w:t>
      </w:r>
      <w:r>
        <w:rPr>
          <w:rFonts w:hint="eastAsia" w:ascii="宋体" w:hAnsi="宋体" w:eastAsia="宋体" w:cs="宋体"/>
          <w:sz w:val="24"/>
          <w:szCs w:val="24"/>
          <w:lang w:eastAsia="zh-CN"/>
        </w:rPr>
        <w:t>投标人</w:t>
      </w:r>
      <w:r>
        <w:rPr>
          <w:rFonts w:hint="eastAsia" w:ascii="宋体" w:hAnsi="宋体" w:eastAsia="宋体" w:cs="宋体"/>
          <w:sz w:val="24"/>
          <w:szCs w:val="24"/>
        </w:rPr>
        <w:t>未按上述要求密封及加写标记，采购人及采购代理机构有权拒收；如果</w:t>
      </w:r>
      <w:r>
        <w:rPr>
          <w:rFonts w:hint="eastAsia" w:ascii="宋体" w:hAnsi="宋体" w:eastAsia="宋体" w:cs="宋体"/>
          <w:sz w:val="24"/>
          <w:szCs w:val="24"/>
          <w:lang w:eastAsia="zh-CN"/>
        </w:rPr>
        <w:t>投标人</w:t>
      </w:r>
      <w:r>
        <w:rPr>
          <w:rFonts w:hint="eastAsia" w:ascii="宋体" w:hAnsi="宋体" w:eastAsia="宋体" w:cs="宋体"/>
          <w:sz w:val="24"/>
          <w:szCs w:val="24"/>
        </w:rPr>
        <w:t>未按上述要求密封及加写标记，采购代理机构对投标文件的误投和提前启封概不负责。对由此造成提前开封的投标文件，采购代理机构有权予以拒绝，并退回</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18.投标文件的递交</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18.1</w:t>
      </w:r>
      <w:r>
        <w:rPr>
          <w:rFonts w:hint="eastAsia" w:ascii="宋体" w:hAnsi="宋体" w:eastAsia="宋体" w:cs="宋体"/>
          <w:sz w:val="24"/>
          <w:szCs w:val="24"/>
          <w:lang w:eastAsia="zh-CN"/>
        </w:rPr>
        <w:t>投标人</w:t>
      </w:r>
      <w:r>
        <w:rPr>
          <w:rFonts w:hint="eastAsia" w:ascii="宋体" w:hAnsi="宋体" w:eastAsia="宋体" w:cs="宋体"/>
          <w:sz w:val="24"/>
          <w:szCs w:val="24"/>
        </w:rPr>
        <w:t>应当在招标文件要求提交投标文件的截止时间前投标，并将密封的投标文件送达指定开标地点。</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18.2在招标文件要求提交投标文件的截止时间之后送达的投标文件，为无效投标文件，采购代理机构将拒绝接收。</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19.投标文件的修改和撤回</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w:t>
      </w:r>
      <w:r>
        <w:rPr>
          <w:rFonts w:hint="eastAsia" w:ascii="宋体" w:hAnsi="宋体" w:eastAsia="宋体" w:cs="宋体"/>
          <w:sz w:val="24"/>
          <w:szCs w:val="24"/>
          <w:lang w:eastAsia="zh-CN"/>
        </w:rPr>
        <w:t>投标人</w:t>
      </w:r>
      <w:r>
        <w:rPr>
          <w:rFonts w:hint="eastAsia" w:ascii="宋体" w:hAnsi="宋体" w:eastAsia="宋体" w:cs="宋体"/>
          <w:sz w:val="24"/>
          <w:szCs w:val="24"/>
        </w:rPr>
        <w:t>在递交投标文件后，可以修改或撤回其投标，但这种修改和撤回，必须在规定的投标截止时间前。在投标截止时间后，</w:t>
      </w:r>
      <w:r>
        <w:rPr>
          <w:rFonts w:hint="eastAsia" w:ascii="宋体" w:hAnsi="宋体" w:eastAsia="宋体" w:cs="宋体"/>
          <w:sz w:val="24"/>
          <w:szCs w:val="24"/>
          <w:lang w:eastAsia="zh-CN"/>
        </w:rPr>
        <w:t>投标人</w:t>
      </w:r>
      <w:r>
        <w:rPr>
          <w:rFonts w:hint="eastAsia" w:ascii="宋体" w:hAnsi="宋体" w:eastAsia="宋体" w:cs="宋体"/>
          <w:sz w:val="24"/>
          <w:szCs w:val="24"/>
        </w:rPr>
        <w:t>不得要求修改或撤回其投标文件。</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33" w:name="_Toc480368406"/>
      <w:bookmarkStart w:id="34" w:name="_Toc32674"/>
      <w:bookmarkStart w:id="35" w:name="_Toc6340"/>
      <w:r>
        <w:rPr>
          <w:rFonts w:hint="eastAsia" w:ascii="宋体" w:hAnsi="宋体" w:eastAsia="宋体" w:cs="宋体"/>
          <w:sz w:val="24"/>
          <w:szCs w:val="24"/>
        </w:rPr>
        <w:t>六、开标</w:t>
      </w:r>
      <w:bookmarkEnd w:id="33"/>
      <w:bookmarkEnd w:id="34"/>
      <w:bookmarkEnd w:id="35"/>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20.开标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20.1采购招标代理机构在招标文件规定的投标截止时间(开标时间)和规定的地点组织公开开标，并邀请所有</w:t>
      </w:r>
      <w:r>
        <w:rPr>
          <w:rFonts w:hint="eastAsia" w:ascii="宋体" w:hAnsi="宋体" w:eastAsia="宋体" w:cs="宋体"/>
          <w:sz w:val="24"/>
          <w:szCs w:val="24"/>
          <w:lang w:eastAsia="zh-CN"/>
        </w:rPr>
        <w:t>投标人</w:t>
      </w:r>
      <w:r>
        <w:rPr>
          <w:rFonts w:hint="eastAsia" w:ascii="宋体" w:hAnsi="宋体" w:eastAsia="宋体" w:cs="宋体"/>
          <w:sz w:val="24"/>
          <w:szCs w:val="24"/>
        </w:rPr>
        <w:t>法定代表人或其授权的代理人参加，</w:t>
      </w:r>
      <w:r>
        <w:rPr>
          <w:rFonts w:hint="eastAsia" w:ascii="宋体" w:hAnsi="宋体" w:eastAsia="宋体" w:cs="宋体"/>
          <w:sz w:val="24"/>
          <w:szCs w:val="24"/>
          <w:lang w:eastAsia="zh-CN"/>
        </w:rPr>
        <w:t>投标人</w:t>
      </w:r>
      <w:r>
        <w:rPr>
          <w:rFonts w:hint="eastAsia" w:ascii="宋体" w:hAnsi="宋体" w:eastAsia="宋体" w:cs="宋体"/>
          <w:sz w:val="24"/>
          <w:szCs w:val="24"/>
        </w:rPr>
        <w:t>未参加开标的，视同认可开标结果。参加开标的</w:t>
      </w:r>
      <w:r>
        <w:rPr>
          <w:rFonts w:hint="eastAsia" w:ascii="宋体" w:hAnsi="宋体" w:eastAsia="宋体" w:cs="宋体"/>
          <w:sz w:val="24"/>
          <w:szCs w:val="24"/>
          <w:lang w:eastAsia="zh-CN"/>
        </w:rPr>
        <w:t>投标人</w:t>
      </w:r>
      <w:r>
        <w:rPr>
          <w:rFonts w:hint="eastAsia" w:ascii="宋体" w:hAnsi="宋体" w:eastAsia="宋体" w:cs="宋体"/>
          <w:sz w:val="24"/>
          <w:szCs w:val="24"/>
        </w:rPr>
        <w:t>代表应签名以证明其出席。采购人或者采购代理机构对开标、评标现场活动进行全程录音录像。</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20.2开标时，公布在投标截止时间前递交投标文件的</w:t>
      </w:r>
      <w:r>
        <w:rPr>
          <w:rFonts w:hint="eastAsia" w:ascii="宋体" w:hAnsi="宋体" w:eastAsia="宋体" w:cs="宋体"/>
          <w:sz w:val="24"/>
          <w:szCs w:val="24"/>
          <w:lang w:eastAsia="zh-CN"/>
        </w:rPr>
        <w:t>投标人</w:t>
      </w:r>
      <w:r>
        <w:rPr>
          <w:rFonts w:hint="eastAsia" w:ascii="宋体" w:hAnsi="宋体" w:eastAsia="宋体" w:cs="宋体"/>
          <w:sz w:val="24"/>
          <w:szCs w:val="24"/>
        </w:rPr>
        <w:t>名称；由</w:t>
      </w:r>
      <w:r>
        <w:rPr>
          <w:rFonts w:hint="eastAsia" w:ascii="宋体" w:hAnsi="宋体" w:eastAsia="宋体" w:cs="宋体"/>
          <w:sz w:val="24"/>
          <w:szCs w:val="24"/>
          <w:lang w:eastAsia="zh-CN"/>
        </w:rPr>
        <w:t>投标人</w:t>
      </w:r>
      <w:r>
        <w:rPr>
          <w:rFonts w:hint="eastAsia" w:ascii="宋体" w:hAnsi="宋体" w:eastAsia="宋体" w:cs="宋体"/>
          <w:sz w:val="24"/>
          <w:szCs w:val="24"/>
        </w:rPr>
        <w:t>或其推选的代表检查投标文件的密封情况；经确认无误后，由采购招标代理机构当众拆封投标文件，宣读</w:t>
      </w:r>
      <w:r>
        <w:rPr>
          <w:rFonts w:hint="eastAsia" w:ascii="宋体" w:hAnsi="宋体" w:eastAsia="宋体" w:cs="宋体"/>
          <w:sz w:val="24"/>
          <w:szCs w:val="24"/>
          <w:lang w:eastAsia="zh-CN"/>
        </w:rPr>
        <w:t>投标人</w:t>
      </w:r>
      <w:r>
        <w:rPr>
          <w:rFonts w:hint="eastAsia" w:ascii="宋体" w:hAnsi="宋体" w:eastAsia="宋体" w:cs="宋体"/>
          <w:sz w:val="24"/>
          <w:szCs w:val="24"/>
        </w:rPr>
        <w:t>名称、投标价格、供货期等主要内容，并记录在案。</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20.3开标时，如唱标人宣读的内容与投标文件不一致时，</w:t>
      </w:r>
      <w:r>
        <w:rPr>
          <w:rFonts w:hint="eastAsia" w:ascii="宋体" w:hAnsi="宋体" w:eastAsia="宋体" w:cs="宋体"/>
          <w:sz w:val="24"/>
          <w:szCs w:val="24"/>
          <w:lang w:eastAsia="zh-CN"/>
        </w:rPr>
        <w:t>投标人</w:t>
      </w:r>
      <w:r>
        <w:rPr>
          <w:rFonts w:hint="eastAsia" w:ascii="宋体" w:hAnsi="宋体" w:eastAsia="宋体" w:cs="宋体"/>
          <w:sz w:val="24"/>
          <w:szCs w:val="24"/>
        </w:rPr>
        <w:t>代表应当当场提出。</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20.4</w:t>
      </w:r>
      <w:r>
        <w:rPr>
          <w:rFonts w:hint="eastAsia" w:ascii="宋体" w:hAnsi="宋体" w:eastAsia="宋体" w:cs="宋体"/>
          <w:sz w:val="24"/>
          <w:szCs w:val="24"/>
          <w:lang w:eastAsia="zh-CN"/>
        </w:rPr>
        <w:t>投标人</w:t>
      </w:r>
      <w:r>
        <w:rPr>
          <w:rFonts w:hint="eastAsia" w:ascii="宋体" w:hAnsi="宋体" w:eastAsia="宋体" w:cs="宋体"/>
          <w:sz w:val="24"/>
          <w:szCs w:val="24"/>
        </w:rPr>
        <w:t>代表、采购人代表、监督人、</w:t>
      </w:r>
      <w:r>
        <w:rPr>
          <w:rFonts w:hint="eastAsia" w:ascii="宋体" w:hAnsi="宋体" w:eastAsia="宋体" w:cs="宋体"/>
          <w:sz w:val="24"/>
          <w:szCs w:val="24"/>
          <w:lang w:eastAsia="zh-CN"/>
        </w:rPr>
        <w:t>主持人、</w:t>
      </w:r>
      <w:r>
        <w:rPr>
          <w:rFonts w:hint="eastAsia" w:ascii="宋体" w:hAnsi="宋体" w:eastAsia="宋体" w:cs="宋体"/>
          <w:sz w:val="24"/>
          <w:szCs w:val="24"/>
        </w:rPr>
        <w:t>记录人等有关人员在开标记录上签字确认。</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20.5开标时，投标文件中报价一览表内容与投标文件中投标报价明细表内容不一致的，以报价一览表为准。</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36" w:name="_Toc24338"/>
      <w:bookmarkStart w:id="37" w:name="_Toc480368407"/>
      <w:bookmarkStart w:id="38" w:name="_Toc10500"/>
      <w:r>
        <w:rPr>
          <w:rFonts w:hint="eastAsia" w:ascii="宋体" w:hAnsi="宋体" w:eastAsia="宋体" w:cs="宋体"/>
          <w:sz w:val="24"/>
          <w:szCs w:val="24"/>
        </w:rPr>
        <w:t>七、评标</w:t>
      </w:r>
      <w:bookmarkEnd w:id="36"/>
      <w:bookmarkEnd w:id="37"/>
      <w:bookmarkEnd w:id="38"/>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21.组建评标委员会</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21.1采购代理机构根据有关法律法规和本招标文件的规定，结合招标项目的特点组建评标委员会，对投标文件进行评估和比较。评标委员会由五人以上单数组成。</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21.2参与过本项目的论证专家不得作为评标专家参加评标，采购人不得以专家身份参与评标。</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22.初步评审</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22.2评标委员会审查投标文件是否实质上响应招标文件的要求。</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重大偏离或保留系指投标</w:t>
      </w:r>
      <w:r>
        <w:rPr>
          <w:rFonts w:hint="eastAsia" w:ascii="宋体" w:hAnsi="宋体" w:eastAsia="宋体" w:cs="宋体"/>
          <w:sz w:val="24"/>
          <w:szCs w:val="24"/>
          <w:lang w:eastAsia="zh-CN"/>
        </w:rPr>
        <w:t>设备</w:t>
      </w:r>
      <w:r>
        <w:rPr>
          <w:rFonts w:hint="eastAsia" w:ascii="宋体" w:hAnsi="宋体" w:eastAsia="宋体" w:cs="宋体"/>
          <w:sz w:val="24"/>
          <w:szCs w:val="24"/>
        </w:rPr>
        <w:t>的质量、数量和交付日期等明显不能满足招标文件的要求，或者实质上与招标文件不一致，纠正这些偏离或保留将对其他实质上响应要求的</w:t>
      </w:r>
      <w:r>
        <w:rPr>
          <w:rFonts w:hint="eastAsia" w:ascii="宋体" w:hAnsi="宋体" w:eastAsia="宋体" w:cs="宋体"/>
          <w:sz w:val="24"/>
          <w:szCs w:val="24"/>
          <w:lang w:eastAsia="zh-CN"/>
        </w:rPr>
        <w:t>投标人</w:t>
      </w:r>
      <w:r>
        <w:rPr>
          <w:rFonts w:hint="eastAsia" w:ascii="宋体" w:hAnsi="宋体" w:eastAsia="宋体" w:cs="宋体"/>
          <w:sz w:val="24"/>
          <w:szCs w:val="24"/>
        </w:rPr>
        <w:t>的竞争地位产生不公正的影响。包括但不限于：</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投标文件未按招标文件的规定签章的；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未按投标文件份数要求提交投标文件的；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未按招标文件规定，提供进口产品的；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报价超过项目预算或经评标委员会认定低于成本的；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投标有效期不足的；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联合体投标文件未附联合体投标协议书的；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不符合招标文件中有关分包规定的；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有串通投标或弄虚作假或有其他违法行为的；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名称或组织结构与报名时不一致且无有效变更证明的；</w:t>
      </w:r>
    </w:p>
    <w:p>
      <w:pPr>
        <w:pageBreakBefore w:val="0"/>
        <w:widowControl w:val="0"/>
        <w:numPr>
          <w:ilvl w:val="0"/>
          <w:numId w:val="9"/>
        </w:numPr>
        <w:kinsoku/>
        <w:wordWrap/>
        <w:overflowPunct/>
        <w:topLinePunct w:val="0"/>
        <w:autoSpaceDE/>
        <w:autoSpaceDN/>
        <w:bidi w:val="0"/>
        <w:spacing w:before="0" w:beforeAutospacing="0" w:after="0" w:afterAutospacing="0" w:line="360" w:lineRule="auto"/>
        <w:ind w:left="425" w:leftChars="0" w:hanging="5"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不符合招标文件中规定的其他实质性要求。</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22.3投标文件的细微偏差是指在实质上响应招标文件要求，但在个别地方存在漏项或者提供了不完整的技术信息和数据等情况，并且补正这些遗漏或者不完整，不会对其他</w:t>
      </w:r>
      <w:r>
        <w:rPr>
          <w:rFonts w:hint="eastAsia" w:ascii="宋体" w:hAnsi="宋体" w:eastAsia="宋体" w:cs="宋体"/>
          <w:sz w:val="24"/>
          <w:szCs w:val="24"/>
          <w:lang w:eastAsia="zh-CN"/>
        </w:rPr>
        <w:t>投标人</w:t>
      </w:r>
      <w:r>
        <w:rPr>
          <w:rFonts w:hint="eastAsia" w:ascii="宋体" w:hAnsi="宋体" w:eastAsia="宋体" w:cs="宋体"/>
          <w:sz w:val="24"/>
          <w:szCs w:val="24"/>
        </w:rPr>
        <w:t>造成不公正的结果。细微偏差不影响投标文件的有效性。</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22.4初步评审中，对明显的文字和计算错误按下述原则处理，若出现相互矛盾之处，应以排列在先的原则为准优先处理：        </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投标文件中开标一览表(报价表)内容与投标文件中相应内容不一致的，以开标一览表(报价表)为准;</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大写金额和小写金额不一致的，以大写金额为准;</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单价金额小数点或者百分比有明显错位的，以开标一览表的总价为准，并修改单价;</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总价金额与按单价汇总金额不一致的，以单价金额计算结果为准。</w:t>
      </w:r>
    </w:p>
    <w:p>
      <w:pPr>
        <w:pageBreakBefore w:val="0"/>
        <w:widowControl w:val="0"/>
        <w:numPr>
          <w:ilvl w:val="0"/>
          <w:numId w:val="10"/>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调整后的数据对投标人具有约束力，投标人不同意以上修正，其投标将被拒绝。</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22.5评标委员会对投标文件的判定，只依据投标文件内容本身，不依据其他外来证明。</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23.投标的澄清</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23.1评标委员会有权要求</w:t>
      </w:r>
      <w:r>
        <w:rPr>
          <w:rFonts w:hint="eastAsia" w:ascii="宋体" w:hAnsi="宋体" w:eastAsia="宋体" w:cs="宋体"/>
          <w:sz w:val="24"/>
          <w:szCs w:val="24"/>
          <w:lang w:eastAsia="zh-CN"/>
        </w:rPr>
        <w:t>投标人</w:t>
      </w:r>
      <w:r>
        <w:rPr>
          <w:rFonts w:hint="eastAsia" w:ascii="宋体" w:hAnsi="宋体" w:eastAsia="宋体" w:cs="宋体"/>
          <w:sz w:val="24"/>
          <w:szCs w:val="24"/>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宋体" w:hAnsi="宋体" w:eastAsia="宋体" w:cs="宋体"/>
          <w:sz w:val="24"/>
          <w:szCs w:val="24"/>
          <w:lang w:eastAsia="zh-CN"/>
        </w:rPr>
        <w:t>投标人</w:t>
      </w:r>
      <w:r>
        <w:rPr>
          <w:rFonts w:hint="eastAsia" w:ascii="宋体" w:hAnsi="宋体" w:eastAsia="宋体" w:cs="宋体"/>
          <w:sz w:val="24"/>
          <w:szCs w:val="24"/>
        </w:rPr>
        <w:t>主动提出的澄清、说明或者补正。</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w:t>
      </w:r>
      <w:r>
        <w:rPr>
          <w:rFonts w:hint="eastAsia" w:ascii="宋体" w:hAnsi="宋体" w:eastAsia="宋体" w:cs="宋体"/>
          <w:sz w:val="24"/>
          <w:szCs w:val="24"/>
          <w:lang w:eastAsia="zh-CN"/>
        </w:rPr>
        <w:t>投标人</w:t>
      </w:r>
      <w:r>
        <w:rPr>
          <w:rFonts w:hint="eastAsia" w:ascii="宋体" w:hAnsi="宋体" w:eastAsia="宋体" w:cs="宋体"/>
          <w:sz w:val="24"/>
          <w:szCs w:val="24"/>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宋体" w:hAnsi="宋体" w:eastAsia="宋体" w:cs="宋体"/>
          <w:sz w:val="24"/>
          <w:szCs w:val="24"/>
          <w:lang w:eastAsia="zh-CN"/>
        </w:rPr>
        <w:t>投标人</w:t>
      </w:r>
      <w:r>
        <w:rPr>
          <w:rFonts w:hint="eastAsia" w:ascii="宋体" w:hAnsi="宋体" w:eastAsia="宋体" w:cs="宋体"/>
          <w:sz w:val="24"/>
          <w:szCs w:val="24"/>
        </w:rPr>
        <w:t>拒不按照要求对投标文件进行澄清、说明或者补正的，评标委员会可拒绝该投标。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23.3如评标委员会一致认为某个</w:t>
      </w:r>
      <w:r>
        <w:rPr>
          <w:rFonts w:hint="eastAsia" w:ascii="宋体" w:hAnsi="宋体" w:eastAsia="宋体" w:cs="宋体"/>
          <w:sz w:val="24"/>
          <w:szCs w:val="24"/>
          <w:lang w:eastAsia="zh-CN"/>
        </w:rPr>
        <w:t>投标人</w:t>
      </w:r>
      <w:r>
        <w:rPr>
          <w:rFonts w:hint="eastAsia" w:ascii="宋体" w:hAnsi="宋体" w:eastAsia="宋体" w:cs="宋体"/>
          <w:sz w:val="24"/>
          <w:szCs w:val="24"/>
        </w:rPr>
        <w:t>的报价明显不合理，有降低质量、不能诚信履行的可能时，评标委员会有权决定是否通知</w:t>
      </w:r>
      <w:r>
        <w:rPr>
          <w:rFonts w:hint="eastAsia" w:ascii="宋体" w:hAnsi="宋体" w:eastAsia="宋体" w:cs="宋体"/>
          <w:sz w:val="24"/>
          <w:szCs w:val="24"/>
          <w:lang w:eastAsia="zh-CN"/>
        </w:rPr>
        <w:t>投标人</w:t>
      </w:r>
      <w:r>
        <w:rPr>
          <w:rFonts w:hint="eastAsia" w:ascii="宋体" w:hAnsi="宋体" w:eastAsia="宋体" w:cs="宋体"/>
          <w:sz w:val="24"/>
          <w:szCs w:val="24"/>
        </w:rPr>
        <w:t>限期进行书面解释或提供相关证明材料。若已要求，而该</w:t>
      </w:r>
      <w:r>
        <w:rPr>
          <w:rFonts w:hint="eastAsia" w:ascii="宋体" w:hAnsi="宋体" w:eastAsia="宋体" w:cs="宋体"/>
          <w:sz w:val="24"/>
          <w:szCs w:val="24"/>
          <w:lang w:eastAsia="zh-CN"/>
        </w:rPr>
        <w:t>投标人</w:t>
      </w:r>
      <w:r>
        <w:rPr>
          <w:rFonts w:hint="eastAsia" w:ascii="宋体" w:hAnsi="宋体" w:eastAsia="宋体" w:cs="宋体"/>
          <w:sz w:val="24"/>
          <w:szCs w:val="24"/>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24.详细评审</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24.1评标委员会只对实质上响应招标文件的投标进行评价和比较；评审应严格按照招标文件第二部分“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须知前附表”规定以及招标文件的要求进行。具体要求等详见招标文件第</w:t>
      </w:r>
      <w:r>
        <w:rPr>
          <w:rFonts w:hint="eastAsia" w:ascii="宋体" w:hAnsi="宋体" w:cs="宋体"/>
          <w:sz w:val="24"/>
          <w:szCs w:val="24"/>
          <w:lang w:eastAsia="zh-CN"/>
        </w:rPr>
        <w:t>四</w:t>
      </w:r>
      <w:r>
        <w:rPr>
          <w:rFonts w:hint="eastAsia" w:ascii="宋体" w:hAnsi="宋体" w:eastAsia="宋体" w:cs="宋体"/>
          <w:sz w:val="24"/>
          <w:szCs w:val="24"/>
        </w:rPr>
        <w:t>部分“评审方法”。</w:t>
      </w:r>
      <w:r>
        <w:rPr>
          <w:rFonts w:hint="eastAsia" w:ascii="宋体" w:hAnsi="宋体" w:eastAsia="宋体" w:cs="宋体"/>
          <w:b/>
          <w:sz w:val="24"/>
          <w:szCs w:val="24"/>
        </w:rPr>
        <w:t>提供相同品牌型号产品且通过资格审查、符合性审查的不同</w:t>
      </w:r>
      <w:r>
        <w:rPr>
          <w:rFonts w:hint="eastAsia" w:ascii="宋体" w:hAnsi="宋体" w:eastAsia="宋体" w:cs="宋体"/>
          <w:b/>
          <w:sz w:val="24"/>
          <w:szCs w:val="24"/>
          <w:lang w:eastAsia="zh-CN"/>
        </w:rPr>
        <w:t>投标人</w:t>
      </w:r>
      <w:r>
        <w:rPr>
          <w:rFonts w:hint="eastAsia" w:ascii="宋体" w:hAnsi="宋体" w:eastAsia="宋体" w:cs="宋体"/>
          <w:b/>
          <w:sz w:val="24"/>
          <w:szCs w:val="24"/>
        </w:rPr>
        <w:t>参加同一合同项下投标的，按一家</w:t>
      </w:r>
      <w:r>
        <w:rPr>
          <w:rFonts w:hint="eastAsia" w:ascii="宋体" w:hAnsi="宋体" w:eastAsia="宋体" w:cs="宋体"/>
          <w:b/>
          <w:sz w:val="24"/>
          <w:szCs w:val="24"/>
          <w:lang w:eastAsia="zh-CN"/>
        </w:rPr>
        <w:t>投标人</w:t>
      </w:r>
      <w:r>
        <w:rPr>
          <w:rFonts w:hint="eastAsia" w:ascii="宋体" w:hAnsi="宋体" w:eastAsia="宋体" w:cs="宋体"/>
          <w:b/>
          <w:sz w:val="24"/>
          <w:szCs w:val="24"/>
        </w:rPr>
        <w:t>计算，评审后得分最高的同品牌</w:t>
      </w:r>
      <w:r>
        <w:rPr>
          <w:rFonts w:hint="eastAsia" w:ascii="宋体" w:hAnsi="宋体" w:eastAsia="宋体" w:cs="宋体"/>
          <w:b/>
          <w:sz w:val="24"/>
          <w:szCs w:val="24"/>
          <w:lang w:eastAsia="zh-CN"/>
        </w:rPr>
        <w:t>投标人</w:t>
      </w:r>
      <w:r>
        <w:rPr>
          <w:rFonts w:hint="eastAsia" w:ascii="宋体" w:hAnsi="宋体" w:eastAsia="宋体" w:cs="宋体"/>
          <w:b/>
          <w:sz w:val="24"/>
          <w:szCs w:val="24"/>
        </w:rPr>
        <w:t>获得中标人推荐资格；评审得分相同的，由报价最低的</w:t>
      </w:r>
      <w:r>
        <w:rPr>
          <w:rFonts w:hint="eastAsia" w:ascii="宋体" w:hAnsi="宋体" w:eastAsia="宋体" w:cs="宋体"/>
          <w:b/>
          <w:sz w:val="24"/>
          <w:szCs w:val="24"/>
          <w:lang w:eastAsia="zh-CN"/>
        </w:rPr>
        <w:t>投标人</w:t>
      </w:r>
      <w:r>
        <w:rPr>
          <w:rFonts w:hint="eastAsia" w:ascii="宋体" w:hAnsi="宋体" w:eastAsia="宋体" w:cs="宋体"/>
          <w:b/>
          <w:sz w:val="24"/>
          <w:szCs w:val="24"/>
        </w:rPr>
        <w:t>获得中标人推荐资格，评审得分相同且报价最低，采取随机抽取方式确定；抽取方法如下：第一步确定</w:t>
      </w:r>
      <w:r>
        <w:rPr>
          <w:rFonts w:hint="eastAsia" w:ascii="宋体" w:hAnsi="宋体" w:eastAsia="宋体" w:cs="宋体"/>
          <w:b/>
          <w:sz w:val="24"/>
          <w:szCs w:val="24"/>
          <w:lang w:eastAsia="zh-CN"/>
        </w:rPr>
        <w:t>投标人</w:t>
      </w:r>
      <w:r>
        <w:rPr>
          <w:rFonts w:hint="eastAsia" w:ascii="宋体" w:hAnsi="宋体" w:eastAsia="宋体" w:cs="宋体"/>
          <w:b/>
          <w:sz w:val="24"/>
          <w:szCs w:val="24"/>
        </w:rPr>
        <w:t>抽取顺序，由</w:t>
      </w:r>
      <w:r>
        <w:rPr>
          <w:rFonts w:hint="eastAsia" w:ascii="宋体" w:hAnsi="宋体" w:eastAsia="宋体" w:cs="宋体"/>
          <w:b/>
          <w:sz w:val="24"/>
          <w:szCs w:val="24"/>
          <w:lang w:eastAsia="zh-CN"/>
        </w:rPr>
        <w:t>投标人</w:t>
      </w:r>
      <w:r>
        <w:rPr>
          <w:rFonts w:hint="eastAsia" w:ascii="宋体" w:hAnsi="宋体" w:eastAsia="宋体" w:cs="宋体"/>
          <w:b/>
          <w:sz w:val="24"/>
          <w:szCs w:val="24"/>
        </w:rPr>
        <w:t>自行抽取，确定抽取顺序；第二步：根据第一步的确定的抽取顺序进行抽取，抽到一号球的获得中标人推荐资格。</w:t>
      </w:r>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25.确定中标人</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25.1评标委员会根据评审结果及招标文件的规定确定中标人。</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26.评标过程要求</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26.1开标之后，直到签订合同止，凡是属于审查、澄清、评价和比较投标的有关资料以及定标意向等，均不向</w:t>
      </w:r>
      <w:r>
        <w:rPr>
          <w:rFonts w:hint="eastAsia" w:ascii="宋体" w:hAnsi="宋体" w:eastAsia="宋体" w:cs="宋体"/>
          <w:sz w:val="24"/>
          <w:szCs w:val="24"/>
          <w:lang w:eastAsia="zh-CN"/>
        </w:rPr>
        <w:t>投标人</w:t>
      </w:r>
      <w:r>
        <w:rPr>
          <w:rFonts w:hint="eastAsia" w:ascii="宋体" w:hAnsi="宋体" w:eastAsia="宋体" w:cs="宋体"/>
          <w:sz w:val="24"/>
          <w:szCs w:val="24"/>
        </w:rPr>
        <w:t>或者其他与评标无关的人员透露。</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26.2在确定中标人之前，</w:t>
      </w:r>
      <w:r>
        <w:rPr>
          <w:rFonts w:hint="eastAsia" w:ascii="宋体" w:hAnsi="宋体" w:eastAsia="宋体" w:cs="宋体"/>
          <w:sz w:val="24"/>
          <w:szCs w:val="24"/>
          <w:lang w:eastAsia="zh-CN"/>
        </w:rPr>
        <w:t>投标人</w:t>
      </w:r>
      <w:r>
        <w:rPr>
          <w:rFonts w:hint="eastAsia" w:ascii="宋体" w:hAnsi="宋体" w:eastAsia="宋体" w:cs="宋体"/>
          <w:sz w:val="24"/>
          <w:szCs w:val="24"/>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27.</w:t>
      </w:r>
      <w:r>
        <w:rPr>
          <w:rFonts w:hint="eastAsia" w:ascii="宋体" w:hAnsi="宋体" w:eastAsia="宋体" w:cs="宋体"/>
          <w:b/>
          <w:sz w:val="24"/>
          <w:szCs w:val="24"/>
          <w:lang w:eastAsia="zh-CN"/>
        </w:rPr>
        <w:t>投标人</w:t>
      </w:r>
      <w:r>
        <w:rPr>
          <w:rFonts w:hint="eastAsia" w:ascii="宋体" w:hAnsi="宋体" w:eastAsia="宋体" w:cs="宋体"/>
          <w:b/>
          <w:sz w:val="24"/>
          <w:szCs w:val="24"/>
        </w:rPr>
        <w:t>瑕疵滞后发现的处理规则</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27.1无论基于何种原因，各项本应作拒绝处理的情形即便未被及时发现而使该</w:t>
      </w:r>
      <w:r>
        <w:rPr>
          <w:rFonts w:hint="eastAsia" w:ascii="宋体" w:hAnsi="宋体" w:eastAsia="宋体" w:cs="宋体"/>
          <w:sz w:val="24"/>
          <w:szCs w:val="24"/>
          <w:lang w:eastAsia="zh-CN"/>
        </w:rPr>
        <w:t>投标人</w:t>
      </w:r>
      <w:r>
        <w:rPr>
          <w:rFonts w:hint="eastAsia" w:ascii="宋体" w:hAnsi="宋体" w:eastAsia="宋体" w:cs="宋体"/>
          <w:sz w:val="24"/>
          <w:szCs w:val="24"/>
        </w:rPr>
        <w:t>进入初审、综合评审或其他后续程序，包括已经签订合同的情形，一旦</w:t>
      </w:r>
      <w:r>
        <w:rPr>
          <w:rFonts w:hint="eastAsia" w:ascii="宋体" w:hAnsi="宋体" w:eastAsia="宋体" w:cs="宋体"/>
          <w:sz w:val="24"/>
          <w:szCs w:val="24"/>
          <w:lang w:eastAsia="zh-CN"/>
        </w:rPr>
        <w:t>投标人</w:t>
      </w:r>
      <w:r>
        <w:rPr>
          <w:rFonts w:hint="eastAsia" w:ascii="宋体" w:hAnsi="宋体" w:eastAsia="宋体" w:cs="宋体"/>
          <w:sz w:val="24"/>
          <w:szCs w:val="24"/>
        </w:rPr>
        <w:t>被拒绝或该</w:t>
      </w:r>
      <w:r>
        <w:rPr>
          <w:rFonts w:hint="eastAsia" w:ascii="宋体" w:hAnsi="宋体" w:eastAsia="宋体" w:cs="宋体"/>
          <w:sz w:val="24"/>
          <w:szCs w:val="24"/>
          <w:lang w:eastAsia="zh-CN"/>
        </w:rPr>
        <w:t>投标人</w:t>
      </w:r>
      <w:r>
        <w:rPr>
          <w:rFonts w:hint="eastAsia" w:ascii="宋体" w:hAnsi="宋体" w:eastAsia="宋体" w:cs="宋体"/>
          <w:sz w:val="24"/>
          <w:szCs w:val="24"/>
        </w:rPr>
        <w:t>的此前评议结果被取消，其现有的位置将被其他</w:t>
      </w:r>
      <w:r>
        <w:rPr>
          <w:rFonts w:hint="eastAsia" w:ascii="宋体" w:hAnsi="宋体" w:eastAsia="宋体" w:cs="宋体"/>
          <w:sz w:val="24"/>
          <w:szCs w:val="24"/>
          <w:lang w:eastAsia="zh-CN"/>
        </w:rPr>
        <w:t>投标人</w:t>
      </w:r>
      <w:r>
        <w:rPr>
          <w:rFonts w:hint="eastAsia" w:ascii="宋体" w:hAnsi="宋体" w:eastAsia="宋体" w:cs="宋体"/>
          <w:sz w:val="24"/>
          <w:szCs w:val="24"/>
        </w:rPr>
        <w:t>依序替代，相关的一切损失均由该</w:t>
      </w:r>
      <w:r>
        <w:rPr>
          <w:rFonts w:hint="eastAsia" w:ascii="宋体" w:hAnsi="宋体" w:eastAsia="宋体" w:cs="宋体"/>
          <w:sz w:val="24"/>
          <w:szCs w:val="24"/>
          <w:lang w:eastAsia="zh-CN"/>
        </w:rPr>
        <w:t>投标人</w:t>
      </w:r>
      <w:r>
        <w:rPr>
          <w:rFonts w:hint="eastAsia" w:ascii="宋体" w:hAnsi="宋体" w:eastAsia="宋体" w:cs="宋体"/>
          <w:sz w:val="24"/>
          <w:szCs w:val="24"/>
        </w:rPr>
        <w:t>承担。</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28.采购项目废标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28.1在评标过程中，评标委员会发现有下列情形之一的，应对采购项目予以废标：</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rPr>
        <w:t>符合专业条件的</w:t>
      </w:r>
      <w:r>
        <w:rPr>
          <w:rFonts w:hint="eastAsia" w:ascii="宋体" w:hAnsi="宋体" w:eastAsia="宋体" w:cs="宋体"/>
          <w:sz w:val="24"/>
          <w:szCs w:val="24"/>
          <w:lang w:eastAsia="zh-CN"/>
        </w:rPr>
        <w:t>投标人</w:t>
      </w:r>
      <w:r>
        <w:rPr>
          <w:rFonts w:hint="eastAsia" w:ascii="宋体" w:hAnsi="宋体" w:eastAsia="宋体" w:cs="宋体"/>
          <w:sz w:val="24"/>
          <w:szCs w:val="24"/>
        </w:rPr>
        <w:t>或者对招标文件作实质响应的</w:t>
      </w:r>
      <w:r>
        <w:rPr>
          <w:rFonts w:hint="eastAsia" w:ascii="宋体" w:hAnsi="宋体" w:eastAsia="宋体" w:cs="宋体"/>
          <w:sz w:val="24"/>
          <w:szCs w:val="24"/>
          <w:lang w:eastAsia="zh-CN"/>
        </w:rPr>
        <w:t>投标人</w:t>
      </w:r>
      <w:r>
        <w:rPr>
          <w:rFonts w:hint="eastAsia" w:ascii="宋体" w:hAnsi="宋体" w:eastAsia="宋体" w:cs="宋体"/>
          <w:sz w:val="24"/>
          <w:szCs w:val="24"/>
        </w:rPr>
        <w:t>数量不足，导致进入详细评审、打分阶段的</w:t>
      </w:r>
      <w:r>
        <w:rPr>
          <w:rFonts w:hint="eastAsia" w:ascii="宋体" w:hAnsi="宋体" w:eastAsia="宋体" w:cs="宋体"/>
          <w:sz w:val="24"/>
          <w:szCs w:val="24"/>
          <w:lang w:eastAsia="zh-CN"/>
        </w:rPr>
        <w:t>投标人</w:t>
      </w:r>
      <w:r>
        <w:rPr>
          <w:rFonts w:hint="eastAsia" w:ascii="宋体" w:hAnsi="宋体" w:eastAsia="宋体" w:cs="宋体"/>
          <w:sz w:val="24"/>
          <w:szCs w:val="24"/>
        </w:rPr>
        <w:t xml:space="preserve">不足3家的； </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的报价均超过了采购预算；</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出现影响采购公正的违法、违规行为的；</w:t>
      </w:r>
    </w:p>
    <w:p>
      <w:pPr>
        <w:pageBreakBefore w:val="0"/>
        <w:widowControl w:val="0"/>
        <w:numPr>
          <w:ilvl w:val="0"/>
          <w:numId w:val="11"/>
        </w:numPr>
        <w:kinsoku/>
        <w:wordWrap/>
        <w:overflowPunct/>
        <w:topLinePunct w:val="0"/>
        <w:autoSpaceDE/>
        <w:autoSpaceDN/>
        <w:bidi w:val="0"/>
        <w:spacing w:before="0" w:beforeAutospacing="0" w:after="0" w:afterAutospacing="0" w:line="360" w:lineRule="auto"/>
        <w:ind w:left="5" w:leftChars="0" w:firstLine="415" w:firstLineChars="0"/>
        <w:textAlignment w:val="auto"/>
        <w:rPr>
          <w:rFonts w:hint="eastAsia" w:ascii="宋体" w:hAnsi="宋体" w:eastAsia="宋体" w:cs="宋体"/>
          <w:sz w:val="24"/>
          <w:szCs w:val="24"/>
        </w:rPr>
      </w:pPr>
      <w:r>
        <w:rPr>
          <w:rFonts w:hint="eastAsia" w:ascii="宋体" w:hAnsi="宋体" w:eastAsia="宋体" w:cs="宋体"/>
          <w:sz w:val="24"/>
          <w:szCs w:val="24"/>
        </w:rPr>
        <w:t>因重大变故，采购任务取消的。</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除前款第四项规定的情形外，项目废标后，如未变更采购方式，采购代理机构将依法重新组织招标。</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28.2有前款第一项规定的情形导致废标时，</w:t>
      </w:r>
      <w:r>
        <w:rPr>
          <w:rFonts w:hint="eastAsia" w:ascii="宋体" w:hAnsi="宋体" w:eastAsia="宋体" w:cs="宋体"/>
          <w:sz w:val="24"/>
          <w:szCs w:val="24"/>
          <w:lang w:eastAsia="zh-CN"/>
        </w:rPr>
        <w:t>投标人</w:t>
      </w:r>
      <w:r>
        <w:rPr>
          <w:rFonts w:hint="eastAsia" w:ascii="宋体" w:hAnsi="宋体" w:eastAsia="宋体" w:cs="宋体"/>
          <w:sz w:val="24"/>
          <w:szCs w:val="24"/>
        </w:rPr>
        <w:t>只有2家的，可以改为竞争性谈判方式，在书面征得</w:t>
      </w:r>
      <w:r>
        <w:rPr>
          <w:rFonts w:hint="eastAsia" w:ascii="宋体" w:hAnsi="宋体" w:eastAsia="宋体" w:cs="宋体"/>
          <w:sz w:val="24"/>
          <w:szCs w:val="24"/>
          <w:lang w:eastAsia="zh-CN"/>
        </w:rPr>
        <w:t>投标人</w:t>
      </w:r>
      <w:r>
        <w:rPr>
          <w:rFonts w:hint="eastAsia" w:ascii="宋体" w:hAnsi="宋体" w:eastAsia="宋体" w:cs="宋体"/>
          <w:sz w:val="24"/>
          <w:szCs w:val="24"/>
        </w:rPr>
        <w:t>同意并报经财政部门核准后，由采购人、采购代理机构按照竞争性谈判方式的程序组织采购。</w:t>
      </w:r>
    </w:p>
    <w:p>
      <w:pPr>
        <w:pageBreakBefore w:val="0"/>
        <w:widowControl w:val="0"/>
        <w:kinsoku/>
        <w:wordWrap/>
        <w:overflowPunct/>
        <w:topLinePunct w:val="0"/>
        <w:autoSpaceDE/>
        <w:autoSpaceDN/>
        <w:bidi w:val="0"/>
        <w:spacing w:before="0" w:beforeAutospacing="0" w:after="0" w:afterAutospacing="0" w:line="360"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28.2.1转为谈判后，若</w:t>
      </w:r>
      <w:r>
        <w:rPr>
          <w:rFonts w:hint="eastAsia" w:ascii="宋体" w:hAnsi="宋体" w:eastAsia="宋体" w:cs="宋体"/>
          <w:sz w:val="24"/>
          <w:szCs w:val="24"/>
          <w:lang w:eastAsia="zh-CN"/>
        </w:rPr>
        <w:t>投标人</w:t>
      </w:r>
      <w:r>
        <w:rPr>
          <w:rFonts w:hint="eastAsia" w:ascii="宋体" w:hAnsi="宋体" w:eastAsia="宋体" w:cs="宋体"/>
          <w:sz w:val="24"/>
          <w:szCs w:val="24"/>
        </w:rPr>
        <w:t>未能在评标委员会指定时间内（原则上不超过60分钟）提交符合要求的补充资料或未作出实质性响应的，投标无效。经过审查符合谈判要求的有效</w:t>
      </w:r>
      <w:r>
        <w:rPr>
          <w:rFonts w:hint="eastAsia" w:ascii="宋体" w:hAnsi="宋体" w:eastAsia="宋体" w:cs="宋体"/>
          <w:sz w:val="24"/>
          <w:szCs w:val="24"/>
          <w:lang w:eastAsia="zh-CN"/>
        </w:rPr>
        <w:t>投标人</w:t>
      </w:r>
      <w:r>
        <w:rPr>
          <w:rFonts w:hint="eastAsia" w:ascii="宋体" w:hAnsi="宋体" w:eastAsia="宋体" w:cs="宋体"/>
          <w:sz w:val="24"/>
          <w:szCs w:val="24"/>
        </w:rPr>
        <w:t>少于两家的，作废标处理。</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28.2.2评标委员会根据采购文件内容与实质性响应采购文件要求的</w:t>
      </w:r>
      <w:r>
        <w:rPr>
          <w:rFonts w:hint="eastAsia" w:ascii="宋体" w:hAnsi="宋体" w:eastAsia="宋体" w:cs="宋体"/>
          <w:sz w:val="24"/>
          <w:szCs w:val="24"/>
          <w:lang w:eastAsia="zh-CN"/>
        </w:rPr>
        <w:t>投标人</w:t>
      </w:r>
      <w:r>
        <w:rPr>
          <w:rFonts w:hint="eastAsia" w:ascii="宋体" w:hAnsi="宋体" w:eastAsia="宋体" w:cs="宋体"/>
          <w:sz w:val="24"/>
          <w:szCs w:val="24"/>
        </w:rPr>
        <w:t>分别进行谈判，并给予所有参加谈判的</w:t>
      </w:r>
      <w:r>
        <w:rPr>
          <w:rFonts w:hint="eastAsia" w:ascii="宋体" w:hAnsi="宋体" w:eastAsia="宋体" w:cs="宋体"/>
          <w:sz w:val="24"/>
          <w:szCs w:val="24"/>
          <w:lang w:eastAsia="zh-CN"/>
        </w:rPr>
        <w:t>投标人</w:t>
      </w:r>
      <w:r>
        <w:rPr>
          <w:rFonts w:hint="eastAsia" w:ascii="宋体" w:hAnsi="宋体" w:eastAsia="宋体" w:cs="宋体"/>
          <w:sz w:val="24"/>
          <w:szCs w:val="24"/>
        </w:rPr>
        <w:t>平等的谈判机会。在谈判过程中，评标委员会可以根据采购文件和谈判情况实质性变动采购需求中的技术、服务要求以及合同草案条款，但不得变动采购文件中的其他内容。实质性变动的内容，须经采购人代表确认。对采购文件作出的实质性变动是采购文件的有效组成部分，评标委员会应当及时以书面形式同时通知所有参加谈判的</w:t>
      </w:r>
      <w:r>
        <w:rPr>
          <w:rFonts w:hint="eastAsia" w:ascii="宋体" w:hAnsi="宋体" w:eastAsia="宋体" w:cs="宋体"/>
          <w:sz w:val="24"/>
          <w:szCs w:val="24"/>
          <w:lang w:eastAsia="zh-CN"/>
        </w:rPr>
        <w:t>投标人</w:t>
      </w:r>
      <w:r>
        <w:rPr>
          <w:rFonts w:hint="eastAsia" w:ascii="宋体" w:hAnsi="宋体" w:eastAsia="宋体" w:cs="宋体"/>
          <w:sz w:val="24"/>
          <w:szCs w:val="24"/>
        </w:rPr>
        <w:t>。</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eastAsia="zh-CN"/>
        </w:rPr>
        <w:t>投标人</w:t>
      </w:r>
      <w:r>
        <w:rPr>
          <w:rFonts w:hint="eastAsia" w:ascii="宋体" w:hAnsi="宋体" w:eastAsia="宋体" w:cs="宋体"/>
          <w:sz w:val="24"/>
          <w:szCs w:val="24"/>
        </w:rPr>
        <w:t>应当按照采购文件的变动情况和评标委员会的要求重新提交响应文件，并由其法定代表人或授权代表签字或者加盖公章。</w:t>
      </w:r>
    </w:p>
    <w:p>
      <w:pPr>
        <w:pageBreakBefore w:val="0"/>
        <w:widowControl w:val="0"/>
        <w:kinsoku/>
        <w:wordWrap/>
        <w:overflowPunct/>
        <w:topLinePunct w:val="0"/>
        <w:autoSpaceDE/>
        <w:autoSpaceDN/>
        <w:bidi w:val="0"/>
        <w:spacing w:before="0" w:beforeAutospacing="0" w:after="0" w:afterAutospacing="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28.2.3投标文件的报价视为谈判时的首次报价。谈判结束后，评标委员会应当要求所有继续参加谈判的</w:t>
      </w:r>
      <w:r>
        <w:rPr>
          <w:rFonts w:hint="eastAsia" w:ascii="宋体" w:hAnsi="宋体" w:eastAsia="宋体" w:cs="宋体"/>
          <w:sz w:val="24"/>
          <w:szCs w:val="24"/>
          <w:lang w:eastAsia="zh-CN"/>
        </w:rPr>
        <w:t>投标人</w:t>
      </w:r>
      <w:r>
        <w:rPr>
          <w:rFonts w:hint="eastAsia" w:ascii="宋体" w:hAnsi="宋体" w:eastAsia="宋体" w:cs="宋体"/>
          <w:sz w:val="24"/>
          <w:szCs w:val="24"/>
        </w:rPr>
        <w:t>在规定时间内提交不超过两轮的报价。</w:t>
      </w:r>
      <w:r>
        <w:rPr>
          <w:rFonts w:hint="eastAsia" w:ascii="宋体" w:hAnsi="宋体" w:eastAsia="宋体" w:cs="宋体"/>
          <w:sz w:val="24"/>
          <w:szCs w:val="24"/>
          <w:lang w:eastAsia="zh-CN"/>
        </w:rPr>
        <w:t>投标人</w:t>
      </w:r>
      <w:r>
        <w:rPr>
          <w:rFonts w:hint="eastAsia" w:ascii="宋体" w:hAnsi="宋体" w:eastAsia="宋体" w:cs="宋体"/>
          <w:sz w:val="24"/>
          <w:szCs w:val="24"/>
        </w:rPr>
        <w:t>的各轮报价是</w:t>
      </w:r>
      <w:r>
        <w:rPr>
          <w:rFonts w:hint="eastAsia" w:ascii="宋体" w:hAnsi="宋体" w:eastAsia="宋体" w:cs="宋体"/>
          <w:sz w:val="24"/>
          <w:szCs w:val="24"/>
          <w:lang w:eastAsia="zh-CN"/>
        </w:rPr>
        <w:t>投标人</w:t>
      </w:r>
      <w:r>
        <w:rPr>
          <w:rFonts w:hint="eastAsia" w:ascii="宋体" w:hAnsi="宋体" w:eastAsia="宋体" w:cs="宋体"/>
          <w:sz w:val="24"/>
          <w:szCs w:val="24"/>
        </w:rPr>
        <w:t>报价文件的有效组成部分。除最终报价外，谈判时将公开各</w:t>
      </w:r>
      <w:r>
        <w:rPr>
          <w:rFonts w:hint="eastAsia" w:ascii="宋体" w:hAnsi="宋体" w:eastAsia="宋体" w:cs="宋体"/>
          <w:sz w:val="24"/>
          <w:szCs w:val="24"/>
          <w:lang w:eastAsia="zh-CN"/>
        </w:rPr>
        <w:t>投标人</w:t>
      </w:r>
      <w:r>
        <w:rPr>
          <w:rFonts w:hint="eastAsia" w:ascii="宋体" w:hAnsi="宋体" w:eastAsia="宋体" w:cs="宋体"/>
          <w:sz w:val="24"/>
          <w:szCs w:val="24"/>
        </w:rPr>
        <w:t>每轮报价。</w:t>
      </w:r>
    </w:p>
    <w:p>
      <w:pPr>
        <w:pageBreakBefore w:val="0"/>
        <w:widowControl w:val="0"/>
        <w:kinsoku/>
        <w:wordWrap/>
        <w:overflowPunct/>
        <w:topLinePunct w:val="0"/>
        <w:autoSpaceDE/>
        <w:autoSpaceDN/>
        <w:bidi w:val="0"/>
        <w:spacing w:before="0" w:beforeAutospacing="0" w:after="0" w:afterAutospacing="0" w:line="360" w:lineRule="auto"/>
        <w:ind w:firstLine="523" w:firstLineChars="218"/>
        <w:textAlignment w:val="auto"/>
        <w:rPr>
          <w:rFonts w:hint="eastAsia" w:ascii="宋体" w:hAnsi="宋体" w:eastAsia="宋体" w:cs="宋体"/>
          <w:sz w:val="24"/>
          <w:szCs w:val="24"/>
        </w:rPr>
      </w:pPr>
      <w:r>
        <w:rPr>
          <w:rFonts w:hint="eastAsia" w:ascii="宋体" w:hAnsi="宋体" w:eastAsia="宋体" w:cs="宋体"/>
          <w:sz w:val="24"/>
          <w:szCs w:val="24"/>
        </w:rPr>
        <w:t>28.2.4在谈判内容不作实质性变更及重大调整的前提下，</w:t>
      </w:r>
      <w:r>
        <w:rPr>
          <w:rFonts w:hint="eastAsia" w:ascii="宋体" w:hAnsi="宋体" w:eastAsia="宋体" w:cs="宋体"/>
          <w:sz w:val="24"/>
          <w:szCs w:val="24"/>
          <w:lang w:eastAsia="zh-CN"/>
        </w:rPr>
        <w:t>投标人</w:t>
      </w:r>
      <w:r>
        <w:rPr>
          <w:rFonts w:hint="eastAsia" w:ascii="宋体" w:hAnsi="宋体" w:eastAsia="宋体" w:cs="宋体"/>
          <w:sz w:val="24"/>
          <w:szCs w:val="24"/>
        </w:rPr>
        <w:t>次轮报价不得高于上一轮报价，否则将视为重大偏离并导致报价被拒绝。</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lang w:eastAsia="zh-CN"/>
        </w:rPr>
      </w:pPr>
      <w:bookmarkStart w:id="39" w:name="_Toc480368410"/>
      <w:bookmarkStart w:id="40" w:name="_Toc21147"/>
      <w:bookmarkStart w:id="41" w:name="_Toc31416"/>
      <w:r>
        <w:rPr>
          <w:rFonts w:hint="eastAsia" w:ascii="宋体" w:hAnsi="宋体" w:cs="宋体"/>
          <w:sz w:val="24"/>
          <w:szCs w:val="24"/>
          <w:lang w:eastAsia="zh-CN"/>
        </w:rPr>
        <w:t>八</w:t>
      </w:r>
      <w:r>
        <w:rPr>
          <w:rFonts w:hint="eastAsia" w:ascii="宋体" w:hAnsi="宋体" w:eastAsia="宋体" w:cs="宋体"/>
          <w:sz w:val="24"/>
          <w:szCs w:val="24"/>
        </w:rPr>
        <w:t>、</w:t>
      </w:r>
      <w:bookmarkEnd w:id="39"/>
      <w:bookmarkEnd w:id="40"/>
      <w:r>
        <w:rPr>
          <w:rFonts w:hint="eastAsia" w:ascii="宋体" w:hAnsi="宋体" w:cs="宋体"/>
          <w:sz w:val="24"/>
          <w:szCs w:val="24"/>
          <w:lang w:eastAsia="zh-CN"/>
        </w:rPr>
        <w:t>中标</w:t>
      </w:r>
      <w:bookmarkEnd w:id="41"/>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29</w:t>
      </w:r>
      <w:r>
        <w:rPr>
          <w:rFonts w:hint="eastAsia" w:ascii="宋体" w:hAnsi="宋体" w:eastAsia="宋体" w:cs="宋体"/>
          <w:b/>
          <w:sz w:val="24"/>
          <w:szCs w:val="24"/>
        </w:rPr>
        <w:t>.中标通知</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.1中标人确定后, 采购代理机构将在相关政府采购信息发布媒体上发布中标公告，并以书面形式向中标人发出中标通知书，但该中标结果的有效性不依赖于未中标的</w:t>
      </w:r>
      <w:r>
        <w:rPr>
          <w:rFonts w:hint="eastAsia" w:ascii="宋体" w:hAnsi="宋体" w:eastAsia="宋体" w:cs="宋体"/>
          <w:sz w:val="24"/>
          <w:szCs w:val="24"/>
          <w:lang w:eastAsia="zh-CN"/>
        </w:rPr>
        <w:t>投标人</w:t>
      </w:r>
      <w:r>
        <w:rPr>
          <w:rFonts w:hint="eastAsia" w:ascii="宋体" w:hAnsi="宋体" w:eastAsia="宋体" w:cs="宋体"/>
          <w:sz w:val="24"/>
          <w:szCs w:val="24"/>
        </w:rPr>
        <w:t>是否已经收到该通知。中标人应按照上述第</w:t>
      </w:r>
      <w:r>
        <w:rPr>
          <w:rFonts w:hint="eastAsia" w:ascii="宋体" w:hAnsi="宋体" w:eastAsia="宋体" w:cs="宋体"/>
          <w:sz w:val="24"/>
          <w:szCs w:val="24"/>
          <w:lang w:val="en-US" w:eastAsia="zh-CN"/>
        </w:rPr>
        <w:t>29、30</w:t>
      </w:r>
      <w:r>
        <w:rPr>
          <w:rFonts w:hint="eastAsia" w:ascii="宋体" w:hAnsi="宋体" w:eastAsia="宋体" w:cs="宋体"/>
          <w:sz w:val="24"/>
          <w:szCs w:val="24"/>
        </w:rPr>
        <w:t>条的规定交纳履约保证金、代理服务费和公证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.2采购代理机构对未中标的</w:t>
      </w:r>
      <w:r>
        <w:rPr>
          <w:rFonts w:hint="eastAsia" w:ascii="宋体" w:hAnsi="宋体" w:eastAsia="宋体" w:cs="宋体"/>
          <w:sz w:val="24"/>
          <w:szCs w:val="24"/>
          <w:lang w:eastAsia="zh-CN"/>
        </w:rPr>
        <w:t>投标人</w:t>
      </w:r>
      <w:r>
        <w:rPr>
          <w:rFonts w:hint="eastAsia" w:ascii="宋体" w:hAnsi="宋体" w:eastAsia="宋体" w:cs="宋体"/>
          <w:sz w:val="24"/>
          <w:szCs w:val="24"/>
        </w:rPr>
        <w:t>不作未中标原因的解释，但中标结果的有效性不以未中标的</w:t>
      </w:r>
      <w:r>
        <w:rPr>
          <w:rFonts w:hint="eastAsia" w:ascii="宋体" w:hAnsi="宋体" w:eastAsia="宋体" w:cs="宋体"/>
          <w:sz w:val="24"/>
          <w:szCs w:val="24"/>
          <w:lang w:eastAsia="zh-CN"/>
        </w:rPr>
        <w:t>投标人</w:t>
      </w:r>
      <w:r>
        <w:rPr>
          <w:rFonts w:hint="eastAsia" w:ascii="宋体" w:hAnsi="宋体" w:eastAsia="宋体" w:cs="宋体"/>
          <w:sz w:val="24"/>
          <w:szCs w:val="24"/>
        </w:rPr>
        <w:t>是否收到相应的通知为前提。</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29</w:t>
      </w:r>
      <w:r>
        <w:rPr>
          <w:rFonts w:hint="eastAsia" w:ascii="宋体" w:hAnsi="宋体" w:eastAsia="宋体" w:cs="宋体"/>
          <w:sz w:val="24"/>
          <w:szCs w:val="24"/>
        </w:rPr>
        <w:t>.3中标通知书是合同的组成部分。</w:t>
      </w:r>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30</w:t>
      </w:r>
      <w:r>
        <w:rPr>
          <w:rFonts w:hint="eastAsia" w:ascii="宋体" w:hAnsi="宋体" w:eastAsia="宋体" w:cs="宋体"/>
          <w:b/>
          <w:sz w:val="24"/>
          <w:szCs w:val="24"/>
        </w:rPr>
        <w:t>.履约保证金</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30</w:t>
      </w:r>
      <w:r>
        <w:rPr>
          <w:rFonts w:hint="eastAsia" w:ascii="宋体" w:hAnsi="宋体" w:eastAsia="宋体" w:cs="宋体"/>
          <w:sz w:val="24"/>
          <w:szCs w:val="24"/>
        </w:rPr>
        <w:t>.1履约保证金按照招标文件第二部分“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须知前附表”中规定，在签订合同前交纳。</w:t>
      </w:r>
    </w:p>
    <w:p>
      <w:pPr>
        <w:pageBreakBefore w:val="0"/>
        <w:widowControl w:val="0"/>
        <w:kinsoku/>
        <w:wordWrap/>
        <w:overflowPunct/>
        <w:topLinePunct w:val="0"/>
        <w:autoSpaceDE/>
        <w:autoSpaceDN/>
        <w:bidi w:val="0"/>
        <w:spacing w:before="0" w:beforeAutospacing="0" w:after="0" w:afterAutospacing="0" w:line="360" w:lineRule="auto"/>
        <w:ind w:firstLine="480" w:firstLineChars="200"/>
        <w:textAlignment w:val="auto"/>
        <w:rPr>
          <w:rFonts w:hint="eastAsia" w:ascii="宋体" w:hAnsi="宋体" w:eastAsia="宋体" w:cs="宋体"/>
          <w:color w:val="FF0000"/>
          <w:sz w:val="24"/>
          <w:szCs w:val="24"/>
        </w:rPr>
      </w:pPr>
      <w:r>
        <w:rPr>
          <w:rFonts w:hint="eastAsia" w:ascii="宋体" w:hAnsi="宋体" w:cs="宋体"/>
          <w:sz w:val="24"/>
          <w:szCs w:val="24"/>
          <w:lang w:val="en-US" w:eastAsia="zh-CN"/>
        </w:rPr>
        <w:t>30</w:t>
      </w:r>
      <w:r>
        <w:rPr>
          <w:rFonts w:hint="eastAsia" w:ascii="宋体" w:hAnsi="宋体" w:eastAsia="宋体" w:cs="宋体"/>
          <w:sz w:val="24"/>
          <w:szCs w:val="24"/>
        </w:rPr>
        <w:t>.2中标人在中标公告发布后及时足额交纳履约保证金。</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lang w:eastAsia="zh-CN"/>
        </w:rPr>
      </w:pPr>
      <w:bookmarkStart w:id="42" w:name="_Toc25498"/>
      <w:bookmarkStart w:id="43" w:name="_Toc480368408"/>
      <w:bookmarkStart w:id="44" w:name="_Toc29254"/>
      <w:r>
        <w:rPr>
          <w:rFonts w:hint="eastAsia" w:ascii="宋体" w:hAnsi="宋体" w:cs="宋体"/>
          <w:sz w:val="24"/>
          <w:szCs w:val="24"/>
          <w:lang w:eastAsia="zh-CN"/>
        </w:rPr>
        <w:t>九</w:t>
      </w:r>
      <w:r>
        <w:rPr>
          <w:rFonts w:hint="eastAsia" w:ascii="宋体" w:hAnsi="宋体" w:eastAsia="宋体" w:cs="宋体"/>
          <w:sz w:val="24"/>
          <w:szCs w:val="24"/>
        </w:rPr>
        <w:t>、</w:t>
      </w:r>
      <w:bookmarkEnd w:id="42"/>
      <w:bookmarkEnd w:id="43"/>
      <w:r>
        <w:rPr>
          <w:rFonts w:hint="eastAsia" w:ascii="宋体" w:hAnsi="宋体" w:cs="宋体"/>
          <w:sz w:val="24"/>
          <w:szCs w:val="24"/>
          <w:lang w:eastAsia="zh-CN"/>
        </w:rPr>
        <w:t>合同签订</w:t>
      </w:r>
      <w:bookmarkEnd w:id="44"/>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1</w:t>
      </w:r>
      <w:r>
        <w:rPr>
          <w:rFonts w:hint="eastAsia" w:ascii="宋体" w:hAnsi="宋体" w:eastAsia="宋体" w:cs="宋体"/>
          <w:b/>
          <w:sz w:val="24"/>
          <w:szCs w:val="24"/>
        </w:rPr>
        <w:t>.签订合同</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.1中标人须在中标通知书发出之日起</w:t>
      </w:r>
      <w:r>
        <w:rPr>
          <w:rFonts w:hint="eastAsia" w:ascii="宋体" w:hAnsi="宋体" w:eastAsia="宋体" w:cs="宋体"/>
          <w:sz w:val="24"/>
          <w:szCs w:val="24"/>
          <w:lang w:val="en-US" w:eastAsia="zh-CN"/>
        </w:rPr>
        <w:t>30</w:t>
      </w:r>
      <w:r>
        <w:rPr>
          <w:rFonts w:hint="eastAsia" w:ascii="宋体" w:hAnsi="宋体" w:eastAsia="宋体" w:cs="宋体"/>
          <w:sz w:val="24"/>
          <w:szCs w:val="24"/>
        </w:rPr>
        <w:t>日内与采购人签订采购合同。</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.3采购人如需追加与合同标的相同的</w:t>
      </w:r>
      <w:r>
        <w:rPr>
          <w:rFonts w:hint="eastAsia" w:ascii="宋体" w:hAnsi="宋体" w:eastAsia="宋体" w:cs="宋体"/>
          <w:sz w:val="24"/>
          <w:szCs w:val="24"/>
          <w:lang w:eastAsia="zh-CN"/>
        </w:rPr>
        <w:t>设备</w:t>
      </w:r>
      <w:r>
        <w:rPr>
          <w:rFonts w:hint="eastAsia" w:ascii="宋体" w:hAnsi="宋体" w:eastAsia="宋体" w:cs="宋体"/>
          <w:sz w:val="24"/>
          <w:szCs w:val="24"/>
        </w:rPr>
        <w:t>，在不改变合同其他条款的前提下，提交追加合同的申请报经同级财政部门审核后，可与中标人签订补充合同，但所有补充合同的采购金额不得超过原合同金额的百分之十。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.5中标人不履行合同的，采购人可在报经同级人民政府财政部门核准后，与排位在中标人之后的第一位中标候选</w:t>
      </w:r>
      <w:r>
        <w:rPr>
          <w:rFonts w:hint="eastAsia" w:ascii="宋体" w:hAnsi="宋体" w:eastAsia="宋体" w:cs="宋体"/>
          <w:sz w:val="24"/>
          <w:szCs w:val="24"/>
          <w:lang w:eastAsia="zh-CN"/>
        </w:rPr>
        <w:t>投标人</w:t>
      </w:r>
      <w:r>
        <w:rPr>
          <w:rFonts w:hint="eastAsia" w:ascii="宋体" w:hAnsi="宋体" w:eastAsia="宋体" w:cs="宋体"/>
          <w:sz w:val="24"/>
          <w:szCs w:val="24"/>
        </w:rPr>
        <w:t>签订合同，以此类推；或在报经同级人民政府财政部门核准后重新组织采购。</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1</w:t>
      </w:r>
      <w:r>
        <w:rPr>
          <w:rFonts w:hint="eastAsia" w:ascii="宋体" w:hAnsi="宋体" w:eastAsia="宋体" w:cs="宋体"/>
          <w:sz w:val="24"/>
          <w:szCs w:val="24"/>
        </w:rPr>
        <w:t>.6违反3</w:t>
      </w:r>
      <w:r>
        <w:rPr>
          <w:rFonts w:hint="eastAsia" w:ascii="宋体" w:hAnsi="宋体" w:cs="宋体"/>
          <w:sz w:val="24"/>
          <w:szCs w:val="24"/>
          <w:lang w:val="en-US" w:eastAsia="zh-CN"/>
        </w:rPr>
        <w:t>1</w:t>
      </w:r>
      <w:r>
        <w:rPr>
          <w:rFonts w:hint="eastAsia" w:ascii="宋体" w:hAnsi="宋体" w:eastAsia="宋体" w:cs="宋体"/>
          <w:sz w:val="24"/>
          <w:szCs w:val="24"/>
        </w:rPr>
        <w:t>.1条、3</w:t>
      </w:r>
      <w:r>
        <w:rPr>
          <w:rFonts w:hint="eastAsia" w:ascii="宋体" w:hAnsi="宋体" w:cs="宋体"/>
          <w:sz w:val="24"/>
          <w:szCs w:val="24"/>
          <w:lang w:val="en-US" w:eastAsia="zh-CN"/>
        </w:rPr>
        <w:t>1</w:t>
      </w:r>
      <w:r>
        <w:rPr>
          <w:rFonts w:hint="eastAsia" w:ascii="宋体" w:hAnsi="宋体" w:eastAsia="宋体" w:cs="宋体"/>
          <w:sz w:val="24"/>
          <w:szCs w:val="24"/>
        </w:rPr>
        <w:t>.2条的规定，给对方造成损失的，应承担赔偿责任。</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2</w:t>
      </w:r>
      <w:r>
        <w:rPr>
          <w:rFonts w:hint="eastAsia" w:ascii="宋体" w:hAnsi="宋体" w:eastAsia="宋体" w:cs="宋体"/>
          <w:b/>
          <w:sz w:val="24"/>
          <w:szCs w:val="24"/>
        </w:rPr>
        <w:t>.审核合同</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2</w:t>
      </w:r>
      <w:r>
        <w:rPr>
          <w:rFonts w:hint="eastAsia" w:ascii="宋体" w:hAnsi="宋体" w:eastAsia="宋体" w:cs="宋体"/>
          <w:sz w:val="24"/>
          <w:szCs w:val="24"/>
        </w:rPr>
        <w:t>.1采购合同自签订之日起七个工作日内，采购人应当将合同副本报同级政府采购监督管理部门和有关部门备案。</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45" w:name="_Toc480368411"/>
      <w:bookmarkStart w:id="46" w:name="_Toc10633"/>
      <w:bookmarkStart w:id="47" w:name="_Toc151"/>
      <w:r>
        <w:rPr>
          <w:rFonts w:hint="eastAsia" w:ascii="宋体" w:hAnsi="宋体" w:eastAsia="宋体" w:cs="宋体"/>
          <w:sz w:val="24"/>
          <w:szCs w:val="24"/>
        </w:rPr>
        <w:t>十、处罚、询问和质疑</w:t>
      </w:r>
      <w:bookmarkEnd w:id="45"/>
      <w:bookmarkEnd w:id="46"/>
      <w:bookmarkEnd w:id="47"/>
      <w:r>
        <w:rPr>
          <w:rFonts w:hint="eastAsia" w:ascii="宋体" w:hAnsi="宋体" w:eastAsia="宋体" w:cs="宋体"/>
          <w:sz w:val="24"/>
          <w:szCs w:val="24"/>
        </w:rPr>
        <w:t xml:space="preserve"> </w:t>
      </w:r>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3</w:t>
      </w:r>
      <w:r>
        <w:rPr>
          <w:rFonts w:hint="eastAsia" w:ascii="宋体" w:hAnsi="宋体" w:eastAsia="宋体" w:cs="宋体"/>
          <w:b/>
          <w:sz w:val="24"/>
          <w:szCs w:val="24"/>
        </w:rPr>
        <w:t>.处罚</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3</w:t>
      </w:r>
      <w:r>
        <w:rPr>
          <w:rFonts w:hint="eastAsia" w:ascii="宋体" w:hAnsi="宋体" w:eastAsia="宋体" w:cs="宋体"/>
          <w:sz w:val="24"/>
          <w:szCs w:val="24"/>
        </w:rPr>
        <w:t>.1发生下列情况之一，</w:t>
      </w:r>
      <w:r>
        <w:rPr>
          <w:rFonts w:hint="eastAsia" w:ascii="宋体" w:hAnsi="宋体" w:eastAsia="宋体" w:cs="宋体"/>
          <w:sz w:val="24"/>
          <w:szCs w:val="24"/>
          <w:lang w:eastAsia="zh-CN"/>
        </w:rPr>
        <w:t>投标人</w:t>
      </w:r>
      <w:r>
        <w:rPr>
          <w:rFonts w:hint="eastAsia" w:ascii="宋体" w:hAnsi="宋体" w:eastAsia="宋体" w:cs="宋体"/>
          <w:sz w:val="24"/>
          <w:szCs w:val="24"/>
        </w:rPr>
        <w:t>的保证金不予退还；情节严重的将其列入不良记录名单。</w:t>
      </w:r>
    </w:p>
    <w:p>
      <w:pPr>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开标后在投标有效期内，</w:t>
      </w:r>
      <w:r>
        <w:rPr>
          <w:rFonts w:hint="eastAsia" w:ascii="宋体" w:hAnsi="宋体" w:eastAsia="宋体" w:cs="宋体"/>
          <w:sz w:val="24"/>
          <w:szCs w:val="24"/>
          <w:lang w:eastAsia="zh-CN"/>
        </w:rPr>
        <w:t>投标人</w:t>
      </w:r>
      <w:r>
        <w:rPr>
          <w:rFonts w:hint="eastAsia" w:ascii="宋体" w:hAnsi="宋体" w:eastAsia="宋体" w:cs="宋体"/>
          <w:sz w:val="24"/>
          <w:szCs w:val="24"/>
        </w:rPr>
        <w:t>撤回其投标；</w:t>
      </w:r>
    </w:p>
    <w:p>
      <w:pPr>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中标后无正当理由不与采购人签订合同的；</w:t>
      </w:r>
    </w:p>
    <w:p>
      <w:pPr>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中标人与采购人订立背离合同实质性内容的其他协议；</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将中标项目转让给他人，或者在投标文件中未说明，且未经采购</w:t>
      </w:r>
      <w:r>
        <w:rPr>
          <w:rFonts w:hint="eastAsia" w:ascii="宋体" w:hAnsi="宋体" w:eastAsia="宋体" w:cs="宋体"/>
          <w:sz w:val="24"/>
          <w:szCs w:val="24"/>
          <w:lang w:eastAsia="zh-CN"/>
        </w:rPr>
        <w:t>人</w:t>
      </w:r>
      <w:r>
        <w:rPr>
          <w:rFonts w:hint="eastAsia" w:ascii="宋体" w:hAnsi="宋体" w:eastAsia="宋体" w:cs="宋体"/>
          <w:sz w:val="24"/>
          <w:szCs w:val="24"/>
        </w:rPr>
        <w:t>同意，将中标项目分包给他人的；</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存在串通投标行为的；</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rPr>
        <w:t>存在弄虚作假或提供虚假材料谋取中标的；</w:t>
      </w:r>
    </w:p>
    <w:p>
      <w:pPr>
        <w:keepNext w:val="0"/>
        <w:keepLines w:val="0"/>
        <w:pageBreakBefore w:val="0"/>
        <w:widowControl w:val="0"/>
        <w:numPr>
          <w:ilvl w:val="0"/>
          <w:numId w:val="12"/>
        </w:numPr>
        <w:kinsoku/>
        <w:wordWrap/>
        <w:overflowPunct/>
        <w:topLinePunct w:val="0"/>
        <w:autoSpaceDE/>
        <w:autoSpaceDN/>
        <w:bidi w:val="0"/>
        <w:adjustRightInd/>
        <w:snapToGrid/>
        <w:spacing w:before="0" w:beforeAutospacing="0" w:after="0" w:afterAutospacing="0" w:line="360" w:lineRule="auto"/>
        <w:ind w:left="425" w:leftChars="0" w:hanging="5"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sz w:val="24"/>
          <w:szCs w:val="24"/>
        </w:rPr>
        <w:t>其他未按招标文件规定和合同约定履行义务的行为。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4</w:t>
      </w:r>
      <w:r>
        <w:rPr>
          <w:rFonts w:hint="eastAsia" w:ascii="宋体" w:hAnsi="宋体" w:eastAsia="宋体" w:cs="宋体"/>
          <w:b/>
          <w:sz w:val="24"/>
          <w:szCs w:val="24"/>
        </w:rPr>
        <w:t>．询问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对采购事项有疑问的，可以向采购人或采购代理机构提出询问。</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5</w:t>
      </w:r>
      <w:r>
        <w:rPr>
          <w:rFonts w:hint="eastAsia" w:ascii="宋体" w:hAnsi="宋体" w:eastAsia="宋体" w:cs="宋体"/>
          <w:b/>
          <w:sz w:val="24"/>
          <w:szCs w:val="24"/>
        </w:rPr>
        <w:t>.</w:t>
      </w:r>
      <w:r>
        <w:rPr>
          <w:rFonts w:hint="eastAsia" w:ascii="宋体" w:hAnsi="宋体" w:eastAsia="宋体" w:cs="宋体"/>
          <w:b/>
          <w:sz w:val="24"/>
          <w:szCs w:val="24"/>
          <w:lang w:eastAsia="zh-CN"/>
        </w:rPr>
        <w:t>投标人</w:t>
      </w:r>
      <w:r>
        <w:rPr>
          <w:rFonts w:hint="eastAsia" w:ascii="宋体" w:hAnsi="宋体" w:eastAsia="宋体" w:cs="宋体"/>
          <w:b/>
          <w:sz w:val="24"/>
          <w:szCs w:val="24"/>
        </w:rPr>
        <w:t>有权就招标事宜提出质疑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认为招标文件、采购过程和中标结果使自已的权益受到损害的，可以在知道或者应知其权益受到损害之日起7个工作日内，以书面形式提出质疑。</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35</w:t>
      </w:r>
      <w:r>
        <w:rPr>
          <w:rFonts w:hint="eastAsia" w:ascii="宋体" w:hAnsi="宋体" w:eastAsia="宋体" w:cs="宋体"/>
          <w:sz w:val="24"/>
          <w:szCs w:val="24"/>
        </w:rPr>
        <w:t>.2质疑应当按照《中华人民共和国政府采购法》、《中华人民共和国政府采购法实施条例》、《政府采购质疑和投诉办法》等法律法规的相关规定，以书面形式向采购代理机构提出。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.3质疑书应当附相关证明材料，否则质疑将视为无有效证据支持，将被予以驳回，并不得以上述理由要求延长质疑有效期。未递交投标文件的</w:t>
      </w:r>
      <w:r>
        <w:rPr>
          <w:rFonts w:hint="eastAsia" w:ascii="宋体" w:hAnsi="宋体" w:eastAsia="宋体" w:cs="宋体"/>
          <w:sz w:val="24"/>
          <w:szCs w:val="24"/>
          <w:lang w:eastAsia="zh-CN"/>
        </w:rPr>
        <w:t>投标人</w:t>
      </w:r>
      <w:r>
        <w:rPr>
          <w:rFonts w:hint="eastAsia" w:ascii="宋体" w:hAnsi="宋体" w:eastAsia="宋体" w:cs="宋体"/>
          <w:sz w:val="24"/>
          <w:szCs w:val="24"/>
        </w:rPr>
        <w:t>，其未参加后续采购活动，不得对递交投标文件截止后的采购过程、采购结果提出质疑。</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.5采购代理机构将在受理书面质疑后7个工作日内审查质疑事项，作出答复或相关处理决定，并以书面形式通知质疑人和其他相关</w:t>
      </w:r>
      <w:r>
        <w:rPr>
          <w:rFonts w:hint="eastAsia" w:ascii="宋体" w:hAnsi="宋体" w:eastAsia="宋体" w:cs="宋体"/>
          <w:sz w:val="24"/>
          <w:szCs w:val="24"/>
          <w:lang w:eastAsia="zh-CN"/>
        </w:rPr>
        <w:t>投标人</w:t>
      </w:r>
      <w:r>
        <w:rPr>
          <w:rFonts w:hint="eastAsia" w:ascii="宋体" w:hAnsi="宋体" w:eastAsia="宋体" w:cs="宋体"/>
          <w:sz w:val="24"/>
          <w:szCs w:val="24"/>
        </w:rPr>
        <w:t>，但答复的内容不涉及商业秘密。</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.6</w:t>
      </w:r>
      <w:r>
        <w:rPr>
          <w:rFonts w:hint="eastAsia" w:ascii="宋体" w:hAnsi="宋体" w:eastAsia="宋体" w:cs="宋体"/>
          <w:sz w:val="24"/>
          <w:szCs w:val="24"/>
          <w:lang w:eastAsia="zh-CN"/>
        </w:rPr>
        <w:t>投标人</w:t>
      </w:r>
      <w:r>
        <w:rPr>
          <w:rFonts w:hint="eastAsia" w:ascii="宋体" w:hAnsi="宋体" w:eastAsia="宋体" w:cs="宋体"/>
          <w:sz w:val="24"/>
          <w:szCs w:val="24"/>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5</w:t>
      </w:r>
      <w:r>
        <w:rPr>
          <w:rFonts w:hint="eastAsia" w:ascii="宋体" w:hAnsi="宋体" w:eastAsia="宋体" w:cs="宋体"/>
          <w:sz w:val="24"/>
          <w:szCs w:val="24"/>
        </w:rPr>
        <w:t>.7质疑人对答复不满意以及采购代理机构未在规定的时间内作出答复的，可以在答复期满后15个工作日内向财政部门投拆。</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rPr>
      </w:pPr>
      <w:bookmarkStart w:id="48" w:name="_Toc28079"/>
      <w:bookmarkStart w:id="49" w:name="_Toc480368412"/>
      <w:bookmarkStart w:id="50" w:name="_Toc29094"/>
      <w:r>
        <w:rPr>
          <w:rFonts w:hint="eastAsia" w:ascii="宋体" w:hAnsi="宋体" w:eastAsia="宋体" w:cs="宋体"/>
          <w:sz w:val="24"/>
          <w:szCs w:val="24"/>
        </w:rPr>
        <w:t>十</w:t>
      </w:r>
      <w:r>
        <w:rPr>
          <w:rFonts w:hint="eastAsia" w:ascii="宋体" w:hAnsi="宋体" w:cs="宋体"/>
          <w:sz w:val="24"/>
          <w:szCs w:val="24"/>
          <w:lang w:eastAsia="zh-CN"/>
        </w:rPr>
        <w:t>一</w:t>
      </w:r>
      <w:r>
        <w:rPr>
          <w:rFonts w:hint="eastAsia" w:ascii="宋体" w:hAnsi="宋体" w:eastAsia="宋体" w:cs="宋体"/>
          <w:sz w:val="24"/>
          <w:szCs w:val="24"/>
        </w:rPr>
        <w:t>、保密和披露</w:t>
      </w:r>
      <w:bookmarkEnd w:id="48"/>
      <w:bookmarkEnd w:id="49"/>
      <w:bookmarkEnd w:id="50"/>
    </w:p>
    <w:p>
      <w:pPr>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cs="宋体"/>
          <w:b/>
          <w:sz w:val="24"/>
          <w:szCs w:val="24"/>
          <w:lang w:val="en-US" w:eastAsia="zh-CN"/>
        </w:rPr>
        <w:t>6</w:t>
      </w:r>
      <w:r>
        <w:rPr>
          <w:rFonts w:hint="eastAsia" w:ascii="宋体" w:hAnsi="宋体" w:eastAsia="宋体" w:cs="宋体"/>
          <w:b/>
          <w:sz w:val="24"/>
          <w:szCs w:val="24"/>
        </w:rPr>
        <w:t>.保密和披露</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6</w:t>
      </w:r>
      <w:r>
        <w:rPr>
          <w:rFonts w:hint="eastAsia" w:ascii="宋体" w:hAnsi="宋体" w:eastAsia="宋体" w:cs="宋体"/>
          <w:sz w:val="24"/>
          <w:szCs w:val="24"/>
        </w:rPr>
        <w:t>.1</w:t>
      </w:r>
      <w:r>
        <w:rPr>
          <w:rFonts w:hint="eastAsia" w:ascii="宋体" w:hAnsi="宋体" w:eastAsia="宋体" w:cs="宋体"/>
          <w:sz w:val="24"/>
          <w:szCs w:val="24"/>
          <w:lang w:eastAsia="zh-CN"/>
        </w:rPr>
        <w:t>投标人</w:t>
      </w:r>
      <w:r>
        <w:rPr>
          <w:rFonts w:hint="eastAsia" w:ascii="宋体" w:hAnsi="宋体" w:eastAsia="宋体" w:cs="宋体"/>
          <w:sz w:val="24"/>
          <w:szCs w:val="24"/>
        </w:rPr>
        <w:t>自领取招标文件之日起，须承担本招标项目保密义务，不得将因本次招标获得的信息向第三人外传。由采购人向</w:t>
      </w:r>
      <w:r>
        <w:rPr>
          <w:rFonts w:hint="eastAsia" w:ascii="宋体" w:hAnsi="宋体" w:eastAsia="宋体" w:cs="宋体"/>
          <w:sz w:val="24"/>
          <w:szCs w:val="24"/>
          <w:lang w:eastAsia="zh-CN"/>
        </w:rPr>
        <w:t>投标人</w:t>
      </w:r>
      <w:r>
        <w:rPr>
          <w:rFonts w:hint="eastAsia" w:ascii="宋体" w:hAnsi="宋体" w:eastAsia="宋体" w:cs="宋体"/>
          <w:sz w:val="24"/>
          <w:szCs w:val="24"/>
        </w:rPr>
        <w:t>提供的图纸、详细资料、样品、模型、模件和所有其它资料，被视为保密资料，仅被用于它所规定的用途。除非得到采购人的同意，不能向任何第三方透露。开标结束后，应采购人要求，</w:t>
      </w:r>
      <w:r>
        <w:rPr>
          <w:rFonts w:hint="eastAsia" w:ascii="宋体" w:hAnsi="宋体" w:eastAsia="宋体" w:cs="宋体"/>
          <w:sz w:val="24"/>
          <w:szCs w:val="24"/>
          <w:lang w:eastAsia="zh-CN"/>
        </w:rPr>
        <w:t>投标人</w:t>
      </w:r>
      <w:r>
        <w:rPr>
          <w:rFonts w:hint="eastAsia" w:ascii="宋体" w:hAnsi="宋体" w:eastAsia="宋体" w:cs="宋体"/>
          <w:sz w:val="24"/>
          <w:szCs w:val="24"/>
        </w:rPr>
        <w:t>应归还所有从采购人处获得的保密资料。</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6</w:t>
      </w:r>
      <w:r>
        <w:rPr>
          <w:rFonts w:hint="eastAsia" w:ascii="宋体" w:hAnsi="宋体" w:eastAsia="宋体" w:cs="宋体"/>
          <w:sz w:val="24"/>
          <w:szCs w:val="24"/>
        </w:rPr>
        <w:t>.2采购代理机构有权将</w:t>
      </w:r>
      <w:r>
        <w:rPr>
          <w:rFonts w:hint="eastAsia" w:ascii="宋体" w:hAnsi="宋体" w:eastAsia="宋体" w:cs="宋体"/>
          <w:sz w:val="24"/>
          <w:szCs w:val="24"/>
          <w:lang w:eastAsia="zh-CN"/>
        </w:rPr>
        <w:t>投标人</w:t>
      </w:r>
      <w:r>
        <w:rPr>
          <w:rFonts w:hint="eastAsia" w:ascii="宋体" w:hAnsi="宋体" w:eastAsia="宋体" w:cs="宋体"/>
          <w:sz w:val="24"/>
          <w:szCs w:val="24"/>
        </w:rPr>
        <w:t>提供的所有资料向有关政府部门或评审标书的有关人员披露。</w:t>
      </w:r>
    </w:p>
    <w:p>
      <w:pPr>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6</w:t>
      </w:r>
      <w:r>
        <w:rPr>
          <w:rFonts w:hint="eastAsia" w:ascii="宋体" w:hAnsi="宋体" w:eastAsia="宋体" w:cs="宋体"/>
          <w:sz w:val="24"/>
          <w:szCs w:val="24"/>
        </w:rPr>
        <w:t>.3在采购代理机构认为适当时、国家机关调查、审查、审计时以及其他符合法律规定的情形下，采购代理机构无须事先征求</w:t>
      </w:r>
      <w:r>
        <w:rPr>
          <w:rFonts w:hint="eastAsia" w:ascii="宋体" w:hAnsi="宋体" w:eastAsia="宋体" w:cs="宋体"/>
          <w:sz w:val="24"/>
          <w:szCs w:val="24"/>
          <w:lang w:eastAsia="zh-CN"/>
        </w:rPr>
        <w:t>投标人</w:t>
      </w:r>
      <w:r>
        <w:rPr>
          <w:rFonts w:hint="eastAsia" w:ascii="宋体" w:hAnsi="宋体" w:eastAsia="宋体" w:cs="宋体"/>
          <w:sz w:val="24"/>
          <w:szCs w:val="24"/>
        </w:rPr>
        <w:t>同意而可以披露关于采购过程、合同文本、签署情况的资料、</w:t>
      </w:r>
      <w:r>
        <w:rPr>
          <w:rFonts w:hint="eastAsia" w:ascii="宋体" w:hAnsi="宋体" w:eastAsia="宋体" w:cs="宋体"/>
          <w:sz w:val="24"/>
          <w:szCs w:val="24"/>
          <w:lang w:eastAsia="zh-CN"/>
        </w:rPr>
        <w:t>投标人</w:t>
      </w:r>
      <w:r>
        <w:rPr>
          <w:rFonts w:hint="eastAsia" w:ascii="宋体" w:hAnsi="宋体" w:eastAsia="宋体" w:cs="宋体"/>
          <w:sz w:val="24"/>
          <w:szCs w:val="24"/>
        </w:rPr>
        <w:t>的名称及地址、投标文件的有关信息以及补充条款等，但应当在合理的必要范围内。对任何已经公布过的内容或与之内容相同的资料，以及</w:t>
      </w:r>
      <w:r>
        <w:rPr>
          <w:rFonts w:hint="eastAsia" w:ascii="宋体" w:hAnsi="宋体" w:eastAsia="宋体" w:cs="宋体"/>
          <w:sz w:val="24"/>
          <w:szCs w:val="24"/>
          <w:lang w:eastAsia="zh-CN"/>
        </w:rPr>
        <w:t>投标人</w:t>
      </w:r>
      <w:r>
        <w:rPr>
          <w:rFonts w:hint="eastAsia" w:ascii="宋体" w:hAnsi="宋体" w:eastAsia="宋体" w:cs="宋体"/>
          <w:sz w:val="24"/>
          <w:szCs w:val="24"/>
        </w:rPr>
        <w:t>已经泄露或公开的，无须再承担保密责任。</w:t>
      </w:r>
    </w:p>
    <w:p>
      <w:pPr>
        <w:pStyle w:val="4"/>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sz w:val="24"/>
          <w:szCs w:val="24"/>
          <w:highlight w:val="none"/>
        </w:rPr>
      </w:pPr>
      <w:bookmarkStart w:id="51" w:name="_Toc7253"/>
      <w:bookmarkStart w:id="52" w:name="_Toc480368409"/>
      <w:bookmarkStart w:id="53" w:name="_Toc14479"/>
      <w:r>
        <w:rPr>
          <w:rFonts w:hint="eastAsia" w:ascii="宋体" w:hAnsi="宋体" w:cs="宋体"/>
          <w:sz w:val="24"/>
          <w:szCs w:val="24"/>
          <w:highlight w:val="none"/>
          <w:lang w:eastAsia="zh-CN"/>
        </w:rPr>
        <w:t>十二</w:t>
      </w:r>
      <w:r>
        <w:rPr>
          <w:rFonts w:hint="eastAsia" w:ascii="宋体" w:hAnsi="宋体" w:eastAsia="宋体" w:cs="宋体"/>
          <w:sz w:val="24"/>
          <w:szCs w:val="24"/>
          <w:highlight w:val="none"/>
        </w:rPr>
        <w:t>、代理服务费</w:t>
      </w:r>
      <w:bookmarkEnd w:id="51"/>
      <w:bookmarkEnd w:id="52"/>
      <w:bookmarkEnd w:id="53"/>
    </w:p>
    <w:p>
      <w:pPr>
        <w:pageBreakBefore w:val="0"/>
        <w:widowControl w:val="0"/>
        <w:kinsoku/>
        <w:wordWrap/>
        <w:overflowPunct/>
        <w:topLinePunct w:val="0"/>
        <w:autoSpaceDE/>
        <w:autoSpaceDN/>
        <w:bidi w:val="0"/>
        <w:spacing w:before="0" w:beforeAutospacing="0" w:after="0" w:afterAutospacing="0" w:line="360" w:lineRule="auto"/>
        <w:textAlignment w:val="auto"/>
        <w:rPr>
          <w:rFonts w:hint="eastAsia" w:ascii="宋体" w:hAnsi="宋体" w:eastAsia="宋体" w:cs="宋体"/>
          <w:b/>
          <w:sz w:val="24"/>
          <w:szCs w:val="24"/>
        </w:rPr>
      </w:pPr>
      <w:r>
        <w:rPr>
          <w:rFonts w:hint="eastAsia" w:ascii="宋体" w:hAnsi="宋体" w:cs="宋体"/>
          <w:b/>
          <w:sz w:val="24"/>
          <w:szCs w:val="24"/>
          <w:lang w:val="en-US" w:eastAsia="zh-CN"/>
        </w:rPr>
        <w:t>37</w:t>
      </w:r>
      <w:r>
        <w:rPr>
          <w:rFonts w:hint="eastAsia" w:ascii="宋体" w:hAnsi="宋体" w:eastAsia="宋体" w:cs="宋体"/>
          <w:b/>
          <w:sz w:val="24"/>
          <w:szCs w:val="24"/>
        </w:rPr>
        <w:t>.代理服务费</w:t>
      </w:r>
    </w:p>
    <w:p>
      <w:pPr>
        <w:pageBreakBefore w:val="0"/>
        <w:widowControl w:val="0"/>
        <w:kinsoku/>
        <w:wordWrap/>
        <w:overflowPunct/>
        <w:topLinePunct w:val="0"/>
        <w:autoSpaceDE/>
        <w:autoSpaceDN/>
        <w:bidi w:val="0"/>
        <w:spacing w:before="0" w:beforeAutospacing="0" w:after="0" w:afterAutospacing="0" w:line="360" w:lineRule="auto"/>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7</w:t>
      </w:r>
      <w:r>
        <w:rPr>
          <w:rFonts w:hint="eastAsia" w:ascii="宋体" w:hAnsi="宋体" w:eastAsia="宋体" w:cs="宋体"/>
          <w:sz w:val="24"/>
          <w:szCs w:val="24"/>
        </w:rPr>
        <w:t>.1代理服务费按照招标文件第二部分“</w:t>
      </w:r>
      <w:r>
        <w:rPr>
          <w:rFonts w:hint="eastAsia" w:ascii="宋体" w:hAnsi="宋体" w:eastAsia="宋体" w:cs="宋体"/>
          <w:sz w:val="24"/>
          <w:szCs w:val="24"/>
          <w:lang w:eastAsia="zh-CN"/>
        </w:rPr>
        <w:t>投标人</w:t>
      </w:r>
      <w:r>
        <w:rPr>
          <w:rFonts w:hint="eastAsia" w:ascii="宋体" w:hAnsi="宋体" w:eastAsia="宋体" w:cs="宋体"/>
          <w:sz w:val="24"/>
          <w:szCs w:val="24"/>
        </w:rPr>
        <w:t>须知前附表”中的规定交纳</w:t>
      </w:r>
      <w:r>
        <w:rPr>
          <w:rFonts w:hint="eastAsia" w:ascii="宋体" w:hAnsi="宋体" w:cs="宋体"/>
          <w:sz w:val="24"/>
          <w:szCs w:val="24"/>
          <w:lang w:eastAsia="zh-CN"/>
        </w:rPr>
        <w:t>，采购人和采购代理机构另有约定的从其约定</w:t>
      </w:r>
      <w:r>
        <w:rPr>
          <w:rFonts w:hint="eastAsia" w:ascii="宋体" w:hAnsi="宋体" w:eastAsia="宋体" w:cs="宋体"/>
          <w:sz w:val="24"/>
          <w:szCs w:val="24"/>
        </w:rPr>
        <w:t>。</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收费标准</w:t>
      </w:r>
    </w:p>
    <w:p>
      <w:pPr>
        <w:pStyle w:val="60"/>
        <w:pageBreakBefore w:val="0"/>
        <w:widowControl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代理机构参考国家发改委发改办价格[2003]857号、国家计委计价格[2002]1980号等文件规定，向中标供应商收取代理服务费。</w:t>
      </w:r>
    </w:p>
    <w:p>
      <w:pPr>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eastAsia="宋体" w:cs="宋体"/>
          <w:b/>
          <w:sz w:val="21"/>
          <w:szCs w:val="21"/>
        </w:rPr>
      </w:pPr>
      <w:r>
        <w:rPr>
          <w:rFonts w:hint="eastAsia" w:ascii="宋体" w:hAnsi="宋体" w:cs="宋体"/>
          <w:b/>
          <w:sz w:val="21"/>
          <w:szCs w:val="21"/>
          <w:lang w:eastAsia="zh-CN"/>
        </w:rPr>
        <w:t>附表：</w:t>
      </w:r>
      <w:r>
        <w:rPr>
          <w:rFonts w:hint="eastAsia" w:ascii="宋体" w:hAnsi="宋体" w:eastAsia="宋体" w:cs="宋体"/>
          <w:b/>
          <w:sz w:val="21"/>
          <w:szCs w:val="21"/>
        </w:rPr>
        <w:t>代理</w:t>
      </w:r>
      <w:r>
        <w:rPr>
          <w:rFonts w:hint="eastAsia" w:ascii="宋体" w:hAnsi="宋体" w:cs="宋体"/>
          <w:b/>
          <w:sz w:val="21"/>
          <w:szCs w:val="21"/>
          <w:lang w:eastAsia="zh-CN"/>
        </w:rPr>
        <w:t>服务费</w:t>
      </w:r>
      <w:r>
        <w:rPr>
          <w:rFonts w:hint="eastAsia" w:ascii="宋体" w:hAnsi="宋体" w:eastAsia="宋体" w:cs="宋体"/>
          <w:b/>
          <w:sz w:val="21"/>
          <w:szCs w:val="21"/>
        </w:rPr>
        <w:t>收费标准</w:t>
      </w:r>
    </w:p>
    <w:tbl>
      <w:tblPr>
        <w:tblStyle w:val="26"/>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78"/>
        <w:gridCol w:w="1837"/>
        <w:gridCol w:w="1685"/>
        <w:gridCol w:w="18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54" w:hRule="atLeast"/>
          <w:jc w:val="center"/>
        </w:trPr>
        <w:tc>
          <w:tcPr>
            <w:tcW w:w="1863" w:type="pct"/>
            <w:tcBorders>
              <w:tl2br w:val="single" w:color="auto" w:sz="4" w:space="0"/>
            </w:tcBorders>
            <mc:AlternateContent>
              <mc:Choice Requires="wpsCustomData">
                <wpsCustomData:diagonals>
                  <wpsCustomData:diagonal from="30000" to="6900">
                    <wpsCustomData:border w:val="single" w:color="auto" w:sz="4" w:space="0"/>
                  </wpsCustomData:diagonal>
                  <wpsCustomData:diagonal from="30000" to="14800">
                    <wpsCustomData:border w:val="single" w:color="auto" w:sz="4" w:space="0"/>
                  </wpsCustomData:diagonal>
                </wpsCustomData:diagonals>
              </mc:Choice>
            </mc:AlternateContent>
          </w:tcPr>
          <w:p>
            <w:pPr>
              <w:snapToGrid w:val="0"/>
              <mc:AlternateContent>
                <mc:Choice Requires="wpsCustomData">
                  <wpsCustomData:diagonalParaType/>
                </mc:Choice>
              </mc:AlternateContent>
              <w:rPr>
                <w:rFonts w:hint="default" w:ascii="宋体" w:hAnsi="宋体" w:eastAsia="宋体" w:cs="仿宋"/>
                <w:bCs/>
                <w:szCs w:val="21"/>
                <w:lang w:val="en-US" w:eastAsia="zh-CN"/>
              </w:rPr>
            </w:pPr>
            <w:r>
              <w:rPr>
                <w:rFonts w:hint="eastAsia" w:ascii="宋体" w:hAnsi="宋体" w:cs="仿宋"/>
                <w:bCs/>
                <w:szCs w:val="21"/>
                <w:lang w:val="en-US" w:eastAsia="zh-CN"/>
              </w:rPr>
              <w:t xml:space="preserve">中标金额（万元）               </w:t>
            </w:r>
          </w:p>
          <w:p>
            <w:pPr>
              <w:snapToGrid w:val="0"/>
              <w:ind w:firstLine="630" w:firstLineChars="300"/>
              <mc:AlternateContent>
                <mc:Choice Requires="wpsCustomData">
                  <wpsCustomData:diagonalParaType/>
                </mc:Choice>
              </mc:AlternateContent>
              <w:rPr>
                <w:rFonts w:hint="default" w:ascii="宋体" w:hAnsi="宋体" w:eastAsia="宋体" w:cs="仿宋"/>
                <w:bCs/>
                <w:szCs w:val="21"/>
                <w:lang w:val="en-US" w:eastAsia="zh-CN"/>
              </w:rPr>
            </w:pPr>
            <w:r>
              <w:rPr>
                <w:rFonts w:hint="eastAsia" w:ascii="宋体" w:hAnsi="宋体" w:cs="仿宋"/>
                <w:bCs/>
                <w:szCs w:val="21"/>
                <w:lang w:val="en-US" w:eastAsia="zh-CN"/>
              </w:rPr>
              <w:t>服务   费 率</w:t>
            </w:r>
          </w:p>
          <w:p>
            <w:pPr>
              <w:ind w:firstLine="420" w:firstLineChars="200"/>
              <w:rPr>
                <w:rFonts w:hint="default" w:ascii="宋体" w:hAnsi="宋体" w:eastAsia="宋体" w:cs="仿宋"/>
                <w:bCs/>
                <w:szCs w:val="21"/>
                <w:lang w:val="en-US" w:eastAsia="zh-CN"/>
              </w:rPr>
            </w:pPr>
            <w:r>
              <w:rPr>
                <w:rFonts w:hint="eastAsia" w:ascii="宋体" w:hAnsi="宋体" w:cs="仿宋"/>
                <w:bCs/>
                <w:szCs w:val="21"/>
                <w:lang w:val="en-US" w:eastAsia="zh-CN"/>
              </w:rPr>
              <w:t>类 型</w:t>
            </w:r>
          </w:p>
        </w:tc>
        <w:tc>
          <w:tcPr>
            <w:tcW w:w="1077" w:type="pct"/>
            <w:vAlign w:val="center"/>
          </w:tcPr>
          <w:p>
            <w:pPr>
              <w:jc w:val="center"/>
              <w:rPr>
                <w:rFonts w:hint="eastAsia" w:ascii="宋体" w:hAnsi="宋体" w:eastAsia="宋体" w:cs="仿宋"/>
                <w:bCs/>
                <w:szCs w:val="21"/>
                <w:lang w:eastAsia="zh-CN"/>
              </w:rPr>
            </w:pPr>
            <w:r>
              <w:rPr>
                <w:rFonts w:hint="eastAsia" w:ascii="宋体" w:hAnsi="宋体" w:cs="仿宋"/>
                <w:bCs/>
                <w:szCs w:val="21"/>
              </w:rPr>
              <w:t>货物</w:t>
            </w:r>
            <w:r>
              <w:rPr>
                <w:rFonts w:hint="eastAsia" w:ascii="宋体" w:hAnsi="宋体" w:cs="仿宋"/>
                <w:bCs/>
                <w:szCs w:val="21"/>
                <w:lang w:eastAsia="zh-CN"/>
              </w:rPr>
              <w:t>招标</w:t>
            </w:r>
          </w:p>
        </w:tc>
        <w:tc>
          <w:tcPr>
            <w:tcW w:w="988" w:type="pct"/>
            <w:vAlign w:val="center"/>
          </w:tcPr>
          <w:p>
            <w:pPr>
              <w:jc w:val="center"/>
              <w:rPr>
                <w:rFonts w:hint="eastAsia" w:ascii="宋体" w:hAnsi="宋体" w:eastAsia="宋体" w:cs="仿宋"/>
                <w:bCs/>
                <w:szCs w:val="21"/>
                <w:lang w:eastAsia="zh-CN"/>
              </w:rPr>
            </w:pPr>
            <w:r>
              <w:rPr>
                <w:rFonts w:hint="eastAsia" w:ascii="宋体" w:hAnsi="宋体" w:cs="仿宋"/>
                <w:bCs/>
                <w:szCs w:val="21"/>
              </w:rPr>
              <w:t>服务</w:t>
            </w:r>
            <w:r>
              <w:rPr>
                <w:rFonts w:hint="eastAsia" w:ascii="宋体" w:hAnsi="宋体" w:cs="仿宋"/>
                <w:bCs/>
                <w:szCs w:val="21"/>
                <w:lang w:eastAsia="zh-CN"/>
              </w:rPr>
              <w:t>招标</w:t>
            </w:r>
          </w:p>
        </w:tc>
        <w:tc>
          <w:tcPr>
            <w:tcW w:w="1070" w:type="pct"/>
            <w:vAlign w:val="center"/>
          </w:tcPr>
          <w:p>
            <w:pPr>
              <w:jc w:val="center"/>
              <w:rPr>
                <w:rFonts w:hint="eastAsia" w:ascii="宋体" w:hAnsi="宋体" w:eastAsia="宋体" w:cs="仿宋"/>
                <w:bCs/>
                <w:szCs w:val="21"/>
                <w:lang w:eastAsia="zh-CN"/>
              </w:rPr>
            </w:pPr>
            <w:r>
              <w:rPr>
                <w:rFonts w:hint="eastAsia" w:ascii="宋体" w:hAnsi="宋体" w:cs="仿宋"/>
                <w:bCs/>
                <w:szCs w:val="21"/>
              </w:rPr>
              <w:t>工程</w:t>
            </w:r>
            <w:r>
              <w:rPr>
                <w:rFonts w:hint="eastAsia" w:ascii="宋体" w:hAnsi="宋体" w:cs="仿宋"/>
                <w:bCs/>
                <w:szCs w:val="21"/>
                <w:lang w:eastAsia="zh-CN"/>
              </w:rPr>
              <w:t>招标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100以下</w:t>
            </w:r>
          </w:p>
        </w:tc>
        <w:tc>
          <w:tcPr>
            <w:tcW w:w="1077" w:type="pct"/>
          </w:tcPr>
          <w:p>
            <w:pPr>
              <w:jc w:val="center"/>
              <w:rPr>
                <w:rFonts w:ascii="宋体" w:hAnsi="宋体" w:cs="仿宋"/>
                <w:bCs/>
                <w:szCs w:val="21"/>
              </w:rPr>
            </w:pPr>
            <w:r>
              <w:rPr>
                <w:rFonts w:hint="eastAsia" w:ascii="宋体" w:hAnsi="宋体" w:cs="仿宋"/>
                <w:bCs/>
                <w:szCs w:val="21"/>
              </w:rPr>
              <w:t>1.5%</w:t>
            </w:r>
          </w:p>
        </w:tc>
        <w:tc>
          <w:tcPr>
            <w:tcW w:w="988" w:type="pct"/>
          </w:tcPr>
          <w:p>
            <w:pPr>
              <w:jc w:val="center"/>
              <w:rPr>
                <w:rFonts w:ascii="宋体" w:hAnsi="宋体" w:cs="仿宋"/>
                <w:bCs/>
                <w:szCs w:val="21"/>
              </w:rPr>
            </w:pPr>
            <w:r>
              <w:rPr>
                <w:rFonts w:hint="eastAsia" w:ascii="宋体" w:hAnsi="宋体" w:cs="仿宋"/>
                <w:bCs/>
                <w:szCs w:val="21"/>
              </w:rPr>
              <w:t>1.5%</w:t>
            </w:r>
          </w:p>
        </w:tc>
        <w:tc>
          <w:tcPr>
            <w:tcW w:w="1070" w:type="pct"/>
          </w:tcPr>
          <w:p>
            <w:pPr>
              <w:jc w:val="center"/>
              <w:rPr>
                <w:rFonts w:ascii="宋体" w:hAnsi="宋体" w:cs="仿宋"/>
                <w:bCs/>
                <w:szCs w:val="21"/>
              </w:rPr>
            </w:pPr>
            <w:r>
              <w:rPr>
                <w:rFonts w:hint="eastAsia" w:ascii="宋体" w:hAnsi="宋体" w:cs="仿宋"/>
                <w:bCs/>
                <w:szCs w:val="21"/>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100-500</w:t>
            </w:r>
          </w:p>
        </w:tc>
        <w:tc>
          <w:tcPr>
            <w:tcW w:w="1077" w:type="pct"/>
          </w:tcPr>
          <w:p>
            <w:pPr>
              <w:jc w:val="center"/>
              <w:rPr>
                <w:rFonts w:ascii="宋体" w:hAnsi="宋体" w:cs="仿宋"/>
                <w:bCs/>
                <w:szCs w:val="21"/>
              </w:rPr>
            </w:pPr>
            <w:r>
              <w:rPr>
                <w:rFonts w:hint="eastAsia" w:ascii="宋体" w:hAnsi="宋体" w:cs="仿宋"/>
                <w:bCs/>
                <w:szCs w:val="21"/>
              </w:rPr>
              <w:t>1.1%</w:t>
            </w:r>
          </w:p>
        </w:tc>
        <w:tc>
          <w:tcPr>
            <w:tcW w:w="988" w:type="pct"/>
          </w:tcPr>
          <w:p>
            <w:pPr>
              <w:jc w:val="center"/>
              <w:rPr>
                <w:rFonts w:ascii="宋体" w:hAnsi="宋体" w:cs="仿宋"/>
                <w:bCs/>
                <w:szCs w:val="21"/>
              </w:rPr>
            </w:pPr>
            <w:r>
              <w:rPr>
                <w:rFonts w:hint="eastAsia" w:ascii="宋体" w:hAnsi="宋体" w:cs="仿宋"/>
                <w:bCs/>
                <w:szCs w:val="21"/>
              </w:rPr>
              <w:t>0.8%</w:t>
            </w:r>
          </w:p>
        </w:tc>
        <w:tc>
          <w:tcPr>
            <w:tcW w:w="1070" w:type="pct"/>
          </w:tcPr>
          <w:p>
            <w:pPr>
              <w:jc w:val="center"/>
              <w:rPr>
                <w:rFonts w:ascii="宋体" w:hAnsi="宋体" w:cs="仿宋"/>
                <w:bCs/>
                <w:szCs w:val="21"/>
              </w:rPr>
            </w:pPr>
            <w:r>
              <w:rPr>
                <w:rFonts w:hint="eastAsia" w:ascii="宋体" w:hAnsi="宋体" w:cs="仿宋"/>
                <w:bCs/>
                <w:szCs w:val="21"/>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500-1000</w:t>
            </w:r>
          </w:p>
        </w:tc>
        <w:tc>
          <w:tcPr>
            <w:tcW w:w="1077" w:type="pct"/>
          </w:tcPr>
          <w:p>
            <w:pPr>
              <w:jc w:val="center"/>
              <w:rPr>
                <w:rFonts w:ascii="宋体" w:hAnsi="宋体" w:cs="仿宋"/>
                <w:bCs/>
                <w:szCs w:val="21"/>
              </w:rPr>
            </w:pPr>
            <w:r>
              <w:rPr>
                <w:rFonts w:hint="eastAsia" w:ascii="宋体" w:hAnsi="宋体" w:cs="仿宋"/>
                <w:bCs/>
                <w:szCs w:val="21"/>
              </w:rPr>
              <w:t>0.8%</w:t>
            </w:r>
          </w:p>
        </w:tc>
        <w:tc>
          <w:tcPr>
            <w:tcW w:w="988" w:type="pct"/>
          </w:tcPr>
          <w:p>
            <w:pPr>
              <w:jc w:val="center"/>
              <w:rPr>
                <w:rFonts w:ascii="宋体" w:hAnsi="宋体" w:cs="仿宋"/>
                <w:bCs/>
                <w:szCs w:val="21"/>
              </w:rPr>
            </w:pPr>
            <w:r>
              <w:rPr>
                <w:rFonts w:hint="eastAsia" w:ascii="宋体" w:hAnsi="宋体" w:cs="仿宋"/>
                <w:bCs/>
                <w:szCs w:val="21"/>
              </w:rPr>
              <w:t>0.45%</w:t>
            </w:r>
          </w:p>
        </w:tc>
        <w:tc>
          <w:tcPr>
            <w:tcW w:w="1070" w:type="pct"/>
          </w:tcPr>
          <w:p>
            <w:pPr>
              <w:jc w:val="center"/>
              <w:rPr>
                <w:rFonts w:ascii="宋体" w:hAnsi="宋体" w:cs="仿宋"/>
                <w:bCs/>
                <w:szCs w:val="21"/>
              </w:rPr>
            </w:pPr>
            <w:r>
              <w:rPr>
                <w:rFonts w:hint="eastAsia" w:ascii="宋体" w:hAnsi="宋体" w:cs="仿宋"/>
                <w:bCs/>
                <w:szCs w:val="21"/>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1000-5000</w:t>
            </w:r>
          </w:p>
        </w:tc>
        <w:tc>
          <w:tcPr>
            <w:tcW w:w="1077" w:type="pct"/>
          </w:tcPr>
          <w:p>
            <w:pPr>
              <w:jc w:val="center"/>
              <w:rPr>
                <w:rFonts w:ascii="宋体" w:hAnsi="宋体" w:cs="仿宋"/>
                <w:bCs/>
                <w:szCs w:val="21"/>
              </w:rPr>
            </w:pPr>
            <w:r>
              <w:rPr>
                <w:rFonts w:hint="eastAsia" w:ascii="宋体" w:hAnsi="宋体" w:cs="仿宋"/>
                <w:bCs/>
                <w:szCs w:val="21"/>
              </w:rPr>
              <w:t>0.5%</w:t>
            </w:r>
          </w:p>
        </w:tc>
        <w:tc>
          <w:tcPr>
            <w:tcW w:w="988" w:type="pct"/>
          </w:tcPr>
          <w:p>
            <w:pPr>
              <w:jc w:val="center"/>
              <w:rPr>
                <w:rFonts w:ascii="宋体" w:hAnsi="宋体" w:cs="仿宋"/>
                <w:bCs/>
                <w:szCs w:val="21"/>
              </w:rPr>
            </w:pPr>
            <w:r>
              <w:rPr>
                <w:rFonts w:hint="eastAsia" w:ascii="宋体" w:hAnsi="宋体" w:cs="仿宋"/>
                <w:bCs/>
                <w:szCs w:val="21"/>
              </w:rPr>
              <w:t>0.25%</w:t>
            </w:r>
          </w:p>
        </w:tc>
        <w:tc>
          <w:tcPr>
            <w:tcW w:w="1070" w:type="pct"/>
          </w:tcPr>
          <w:p>
            <w:pPr>
              <w:jc w:val="center"/>
              <w:rPr>
                <w:rFonts w:ascii="宋体" w:hAnsi="宋体" w:cs="仿宋"/>
                <w:bCs/>
                <w:szCs w:val="21"/>
              </w:rPr>
            </w:pPr>
            <w:r>
              <w:rPr>
                <w:rFonts w:hint="eastAsia" w:ascii="宋体" w:hAnsi="宋体" w:cs="仿宋"/>
                <w:bCs/>
                <w:szCs w:val="21"/>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5000-10000</w:t>
            </w:r>
          </w:p>
        </w:tc>
        <w:tc>
          <w:tcPr>
            <w:tcW w:w="1077" w:type="pct"/>
          </w:tcPr>
          <w:p>
            <w:pPr>
              <w:jc w:val="center"/>
              <w:rPr>
                <w:rFonts w:ascii="宋体" w:hAnsi="宋体" w:cs="仿宋"/>
                <w:bCs/>
                <w:szCs w:val="21"/>
              </w:rPr>
            </w:pPr>
            <w:r>
              <w:rPr>
                <w:rFonts w:hint="eastAsia" w:ascii="宋体" w:hAnsi="宋体" w:cs="仿宋"/>
                <w:bCs/>
                <w:szCs w:val="21"/>
              </w:rPr>
              <w:t>0.25%</w:t>
            </w:r>
          </w:p>
        </w:tc>
        <w:tc>
          <w:tcPr>
            <w:tcW w:w="988" w:type="pct"/>
          </w:tcPr>
          <w:p>
            <w:pPr>
              <w:jc w:val="center"/>
              <w:rPr>
                <w:rFonts w:ascii="宋体" w:hAnsi="宋体" w:cs="仿宋"/>
                <w:bCs/>
                <w:szCs w:val="21"/>
              </w:rPr>
            </w:pPr>
            <w:r>
              <w:rPr>
                <w:rFonts w:hint="eastAsia" w:ascii="宋体" w:hAnsi="宋体" w:cs="仿宋"/>
                <w:bCs/>
                <w:szCs w:val="21"/>
              </w:rPr>
              <w:t>0.1%</w:t>
            </w:r>
          </w:p>
        </w:tc>
        <w:tc>
          <w:tcPr>
            <w:tcW w:w="1070" w:type="pct"/>
          </w:tcPr>
          <w:p>
            <w:pPr>
              <w:jc w:val="center"/>
              <w:rPr>
                <w:rFonts w:ascii="宋体" w:hAnsi="宋体" w:cs="仿宋"/>
                <w:bCs/>
                <w:szCs w:val="21"/>
              </w:rPr>
            </w:pPr>
            <w:r>
              <w:rPr>
                <w:rFonts w:hint="eastAsia" w:ascii="宋体" w:hAnsi="宋体" w:cs="仿宋"/>
                <w:bCs/>
                <w:szCs w:val="21"/>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10000-100000</w:t>
            </w:r>
          </w:p>
        </w:tc>
        <w:tc>
          <w:tcPr>
            <w:tcW w:w="1077" w:type="pct"/>
          </w:tcPr>
          <w:p>
            <w:pPr>
              <w:jc w:val="center"/>
              <w:rPr>
                <w:rFonts w:ascii="宋体" w:hAnsi="宋体" w:cs="仿宋"/>
                <w:bCs/>
                <w:szCs w:val="21"/>
              </w:rPr>
            </w:pPr>
            <w:r>
              <w:rPr>
                <w:rFonts w:hint="eastAsia" w:ascii="宋体" w:hAnsi="宋体" w:cs="仿宋"/>
                <w:bCs/>
                <w:szCs w:val="21"/>
              </w:rPr>
              <w:t>0.05%</w:t>
            </w:r>
          </w:p>
        </w:tc>
        <w:tc>
          <w:tcPr>
            <w:tcW w:w="988" w:type="pct"/>
          </w:tcPr>
          <w:p>
            <w:pPr>
              <w:jc w:val="center"/>
              <w:rPr>
                <w:rFonts w:ascii="宋体" w:hAnsi="宋体" w:cs="仿宋"/>
                <w:bCs/>
                <w:szCs w:val="21"/>
              </w:rPr>
            </w:pPr>
            <w:r>
              <w:rPr>
                <w:rFonts w:hint="eastAsia" w:ascii="宋体" w:hAnsi="宋体" w:cs="仿宋"/>
                <w:bCs/>
                <w:szCs w:val="21"/>
              </w:rPr>
              <w:t>0.05%</w:t>
            </w:r>
          </w:p>
        </w:tc>
        <w:tc>
          <w:tcPr>
            <w:tcW w:w="1070" w:type="pct"/>
          </w:tcPr>
          <w:p>
            <w:pPr>
              <w:jc w:val="center"/>
              <w:rPr>
                <w:rFonts w:ascii="宋体" w:hAnsi="宋体" w:cs="仿宋"/>
                <w:bCs/>
                <w:szCs w:val="21"/>
              </w:rPr>
            </w:pPr>
            <w:r>
              <w:rPr>
                <w:rFonts w:hint="eastAsia" w:ascii="宋体" w:hAnsi="宋体" w:cs="仿宋"/>
                <w:bCs/>
                <w:szCs w:val="21"/>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1863" w:type="pct"/>
          </w:tcPr>
          <w:p>
            <w:pPr>
              <w:jc w:val="center"/>
              <w:rPr>
                <w:rFonts w:ascii="宋体" w:hAnsi="宋体" w:cs="仿宋"/>
                <w:bCs/>
                <w:szCs w:val="21"/>
              </w:rPr>
            </w:pPr>
            <w:r>
              <w:rPr>
                <w:rFonts w:hint="eastAsia" w:ascii="宋体" w:hAnsi="宋体" w:cs="仿宋"/>
                <w:bCs/>
                <w:szCs w:val="21"/>
              </w:rPr>
              <w:t>100000以上</w:t>
            </w:r>
          </w:p>
        </w:tc>
        <w:tc>
          <w:tcPr>
            <w:tcW w:w="1077" w:type="pct"/>
          </w:tcPr>
          <w:p>
            <w:pPr>
              <w:jc w:val="center"/>
              <w:rPr>
                <w:rFonts w:ascii="宋体" w:hAnsi="宋体" w:cs="仿宋"/>
                <w:bCs/>
                <w:szCs w:val="21"/>
              </w:rPr>
            </w:pPr>
            <w:r>
              <w:rPr>
                <w:rFonts w:hint="eastAsia" w:ascii="宋体" w:hAnsi="宋体" w:cs="仿宋"/>
                <w:bCs/>
                <w:szCs w:val="21"/>
              </w:rPr>
              <w:t>0.01%</w:t>
            </w:r>
          </w:p>
        </w:tc>
        <w:tc>
          <w:tcPr>
            <w:tcW w:w="988" w:type="pct"/>
          </w:tcPr>
          <w:p>
            <w:pPr>
              <w:jc w:val="center"/>
              <w:rPr>
                <w:rFonts w:ascii="宋体" w:hAnsi="宋体" w:cs="仿宋"/>
                <w:bCs/>
                <w:szCs w:val="21"/>
              </w:rPr>
            </w:pPr>
            <w:r>
              <w:rPr>
                <w:rFonts w:hint="eastAsia" w:ascii="宋体" w:hAnsi="宋体" w:cs="仿宋"/>
                <w:bCs/>
                <w:szCs w:val="21"/>
              </w:rPr>
              <w:t>0.01%</w:t>
            </w:r>
          </w:p>
        </w:tc>
        <w:tc>
          <w:tcPr>
            <w:tcW w:w="1070" w:type="pct"/>
          </w:tcPr>
          <w:p>
            <w:pPr>
              <w:jc w:val="center"/>
              <w:rPr>
                <w:rFonts w:ascii="宋体" w:hAnsi="宋体" w:cs="仿宋"/>
                <w:bCs/>
                <w:szCs w:val="21"/>
              </w:rPr>
            </w:pPr>
            <w:r>
              <w:rPr>
                <w:rFonts w:hint="eastAsia" w:ascii="宋体" w:hAnsi="宋体" w:cs="仿宋"/>
                <w:bCs/>
                <w:szCs w:val="21"/>
              </w:rPr>
              <w:t>0.01%</w:t>
            </w:r>
          </w:p>
        </w:tc>
      </w:tr>
    </w:tbl>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注：采购代理服务收费按差额定率累进法计算。</w:t>
      </w:r>
    </w:p>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例：货物招标中标金额630万的代理服务费计算（单位：万元）</w:t>
      </w:r>
    </w:p>
    <w:p>
      <w:pPr>
        <w:pStyle w:val="6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100×1.5% + （500-100）×1.1% +（630-500）×0.8%=6.94万</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37.3支付方式</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中标供应商在签收中标通知书前，向代理机构支付中标服务费。中标服务费可采取现金、银行汇款、电汇款或其他代理机构认可的方式进行支付。</w:t>
      </w:r>
    </w:p>
    <w:p>
      <w:pPr>
        <w:pStyle w:val="8"/>
        <w:pageBreakBefore w:val="0"/>
        <w:widowControl w:val="0"/>
        <w:kinsoku/>
        <w:wordWrap/>
        <w:overflowPunct/>
        <w:topLinePunct w:val="0"/>
        <w:autoSpaceDE/>
        <w:autoSpaceDN/>
        <w:bidi w:val="0"/>
        <w:spacing w:before="0" w:beforeAutospacing="0" w:after="0" w:afterAutospacing="0"/>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37.4账户信息</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账户名称：新疆正禾招投标有限公司</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开户行：中国银行股份有限公司乌鲁木齐市鲤鱼山北路支行  </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帐  号：107682142279</w:t>
      </w:r>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行  号：104881004153</w:t>
      </w:r>
    </w:p>
    <w:p>
      <w:pPr>
        <w:pStyle w:val="4"/>
        <w:keepNext/>
        <w:keepLines/>
        <w:pageBreakBefore w:val="0"/>
        <w:widowControl w:val="0"/>
        <w:numPr>
          <w:ilvl w:val="0"/>
          <w:numId w:val="13"/>
        </w:numPr>
        <w:kinsoku/>
        <w:wordWrap/>
        <w:overflowPunct/>
        <w:topLinePunct w:val="0"/>
        <w:autoSpaceDE/>
        <w:autoSpaceDN/>
        <w:bidi w:val="0"/>
        <w:adjustRightInd/>
        <w:snapToGrid/>
        <w:spacing w:before="157" w:beforeLines="50" w:beforeAutospacing="0" w:after="157" w:afterLines="50" w:afterAutospacing="0"/>
        <w:jc w:val="left"/>
        <w:textAlignment w:val="auto"/>
        <w:rPr>
          <w:rFonts w:hint="eastAsia" w:ascii="宋体" w:hAnsi="宋体" w:cs="宋体"/>
          <w:sz w:val="24"/>
          <w:szCs w:val="24"/>
          <w:highlight w:val="none"/>
          <w:lang w:eastAsia="zh-CN"/>
        </w:rPr>
      </w:pPr>
      <w:bookmarkStart w:id="54" w:name="_Toc2885"/>
      <w:r>
        <w:rPr>
          <w:rFonts w:hint="eastAsia" w:ascii="宋体" w:hAnsi="宋体" w:cs="宋体"/>
          <w:sz w:val="24"/>
          <w:szCs w:val="24"/>
          <w:highlight w:val="none"/>
          <w:lang w:eastAsia="zh-CN"/>
        </w:rPr>
        <w:t>需要补充的其他内容</w:t>
      </w:r>
      <w:bookmarkEnd w:id="54"/>
    </w:p>
    <w:p>
      <w:pPr>
        <w:pStyle w:val="60"/>
        <w:pageBreakBefore w:val="0"/>
        <w:widowControl w:val="0"/>
        <w:kinsoku/>
        <w:wordWrap/>
        <w:overflowPunct/>
        <w:topLinePunct w:val="0"/>
        <w:autoSpaceDE/>
        <w:autoSpaceDN/>
        <w:bidi w:val="0"/>
        <w:adjustRightInd/>
        <w:snapToGrid/>
        <w:spacing w:beforeAutospacing="0" w:afterAutospacing="0" w:line="360" w:lineRule="auto"/>
        <w:ind w:left="0" w:leftChars="0" w:firstLine="420" w:firstLineChars="175"/>
        <w:textAlignment w:val="auto"/>
        <w:rPr>
          <w:rFonts w:hint="eastAsia" w:ascii="宋体" w:hAnsi="宋体" w:eastAsia="宋体" w:cs="宋体"/>
          <w:sz w:val="24"/>
          <w:szCs w:val="24"/>
          <w:lang w:eastAsia="zh-CN"/>
        </w:rPr>
        <w:sectPr>
          <w:footerReference r:id="rId9" w:type="first"/>
          <w:footerReference r:id="rId8" w:type="default"/>
          <w:pgSz w:w="11906" w:h="16838"/>
          <w:pgMar w:top="1440" w:right="1797" w:bottom="1440" w:left="1797" w:header="851" w:footer="992" w:gutter="0"/>
          <w:pgNumType w:fmt="decimal"/>
          <w:cols w:space="720" w:num="1"/>
          <w:docGrid w:type="lines" w:linePitch="312" w:charSpace="0"/>
        </w:sectPr>
      </w:pPr>
      <w:r>
        <w:rPr>
          <w:rFonts w:hint="eastAsia" w:ascii="宋体" w:hAnsi="宋体" w:cs="宋体"/>
          <w:sz w:val="24"/>
          <w:szCs w:val="24"/>
          <w:lang w:val="en-US" w:eastAsia="zh-CN"/>
        </w:rPr>
        <w:t>38.1</w:t>
      </w:r>
      <w:r>
        <w:rPr>
          <w:rFonts w:hint="eastAsia" w:ascii="宋体" w:hAnsi="宋体" w:eastAsia="宋体" w:cs="宋体"/>
          <w:sz w:val="24"/>
          <w:szCs w:val="24"/>
          <w:lang w:eastAsia="zh-CN"/>
        </w:rPr>
        <w:t>需要补充的其他内容：见投标人须知前附表</w:t>
      </w:r>
      <w:r>
        <w:rPr>
          <w:rFonts w:hint="eastAsia" w:ascii="宋体" w:hAnsi="宋体" w:cs="宋体"/>
          <w:sz w:val="24"/>
          <w:szCs w:val="24"/>
          <w:lang w:eastAsia="zh-CN"/>
        </w:rPr>
        <w:t>。</w:t>
      </w:r>
    </w:p>
    <w:bookmarkEnd w:id="0"/>
    <w:bookmarkEnd w:id="1"/>
    <w:bookmarkEnd w:id="2"/>
    <w:bookmarkEnd w:id="3"/>
    <w:bookmarkEnd w:id="15"/>
    <w:p>
      <w:pPr>
        <w:pStyle w:val="3"/>
        <w:numPr>
          <w:ilvl w:val="0"/>
          <w:numId w:val="14"/>
        </w:numPr>
        <w:bidi w:val="0"/>
        <w:rPr>
          <w:rFonts w:hint="eastAsia"/>
          <w:lang w:val="en-US" w:eastAsia="zh-CN"/>
        </w:rPr>
      </w:pPr>
      <w:bookmarkStart w:id="55" w:name="_Toc406670721"/>
      <w:bookmarkStart w:id="56" w:name="_Toc406672385"/>
      <w:bookmarkStart w:id="57" w:name="_Toc41839720"/>
      <w:bookmarkStart w:id="58" w:name="_Toc406671092"/>
      <w:bookmarkStart w:id="59" w:name="_Toc406671680"/>
      <w:r>
        <w:rPr>
          <w:rFonts w:hint="eastAsia"/>
          <w:lang w:val="en-US" w:eastAsia="zh-CN"/>
        </w:rPr>
        <w:t xml:space="preserve"> </w:t>
      </w:r>
      <w:bookmarkStart w:id="60" w:name="_Toc19775"/>
      <w:r>
        <w:rPr>
          <w:rFonts w:hint="eastAsia"/>
          <w:lang w:val="en-US" w:eastAsia="zh-CN"/>
        </w:rPr>
        <w:t>采购</w:t>
      </w:r>
      <w:bookmarkEnd w:id="55"/>
      <w:bookmarkEnd w:id="56"/>
      <w:bookmarkEnd w:id="57"/>
      <w:bookmarkEnd w:id="58"/>
      <w:bookmarkEnd w:id="59"/>
      <w:r>
        <w:rPr>
          <w:rFonts w:hint="eastAsia"/>
          <w:lang w:val="en-US" w:eastAsia="zh-CN"/>
        </w:rPr>
        <w:t>需求</w:t>
      </w:r>
      <w:bookmarkEnd w:id="60"/>
    </w:p>
    <w:p>
      <w:pPr>
        <w:keepNext w:val="0"/>
        <w:keepLines w:val="0"/>
        <w:pageBreakBefore w:val="0"/>
        <w:widowControl w:val="0"/>
        <w:numPr>
          <w:ilvl w:val="0"/>
          <w:numId w:val="15"/>
        </w:numPr>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0"/>
        <w:rPr>
          <w:rFonts w:hint="eastAsia" w:ascii="宋体" w:hAnsi="宋体" w:eastAsia="宋体" w:cs="宋体"/>
          <w:b/>
          <w:bCs/>
          <w:sz w:val="24"/>
          <w:szCs w:val="24"/>
        </w:rPr>
      </w:pPr>
      <w:bookmarkStart w:id="61" w:name="_Toc24111"/>
      <w:bookmarkStart w:id="62" w:name="_Toc11111"/>
      <w:r>
        <w:rPr>
          <w:rFonts w:hint="eastAsia" w:ascii="宋体" w:hAnsi="宋体" w:eastAsia="宋体" w:cs="宋体"/>
          <w:b/>
          <w:bCs/>
          <w:sz w:val="24"/>
          <w:szCs w:val="24"/>
        </w:rPr>
        <w:t>项目基本概况</w:t>
      </w:r>
      <w:bookmarkEnd w:id="61"/>
      <w:bookmarkEnd w:id="62"/>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项目名称：自治区妇幼保健院（自治区第八人民医院）中药饮片、中药配方颗粒采购项目</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lang w:eastAsia="zh-CN"/>
        </w:rPr>
        <w:t>采购预算金</w:t>
      </w:r>
      <w:r>
        <w:rPr>
          <w:rFonts w:hint="eastAsia" w:ascii="宋体" w:hAnsi="宋体" w:eastAsia="宋体" w:cs="宋体"/>
          <w:sz w:val="24"/>
          <w:szCs w:val="24"/>
          <w:highlight w:val="none"/>
          <w:lang w:eastAsia="zh-CN"/>
        </w:rPr>
        <w:t>额：</w:t>
      </w:r>
      <w:r>
        <w:rPr>
          <w:rFonts w:hint="eastAsia" w:ascii="宋体" w:hAnsi="宋体" w:eastAsia="宋体" w:cs="宋体"/>
          <w:sz w:val="24"/>
          <w:szCs w:val="24"/>
          <w:highlight w:val="none"/>
          <w:lang w:val="en-US" w:eastAsia="zh-CN"/>
        </w:rPr>
        <w:t>320万元，其中标项一：</w:t>
      </w:r>
      <w:r>
        <w:rPr>
          <w:rFonts w:hint="eastAsia" w:ascii="宋体" w:hAnsi="宋体" w:eastAsia="宋体" w:cs="宋体"/>
          <w:sz w:val="24"/>
          <w:szCs w:val="24"/>
          <w:highlight w:val="yellow"/>
          <w:lang w:val="en-US" w:eastAsia="zh-CN"/>
        </w:rPr>
        <w:t>中药饮片</w:t>
      </w:r>
      <w:r>
        <w:rPr>
          <w:rFonts w:hint="eastAsia" w:ascii="宋体" w:hAnsi="宋体" w:cs="宋体"/>
          <w:sz w:val="24"/>
          <w:szCs w:val="24"/>
          <w:highlight w:val="yellow"/>
          <w:lang w:val="en-US" w:eastAsia="zh-CN"/>
        </w:rPr>
        <w:t>100</w:t>
      </w:r>
      <w:r>
        <w:rPr>
          <w:rFonts w:hint="eastAsia" w:ascii="宋体" w:hAnsi="宋体" w:eastAsia="宋体" w:cs="宋体"/>
          <w:sz w:val="24"/>
          <w:szCs w:val="24"/>
          <w:highlight w:val="yellow"/>
          <w:lang w:val="en-US" w:eastAsia="zh-CN"/>
        </w:rPr>
        <w:t>万</w:t>
      </w:r>
      <w:r>
        <w:rPr>
          <w:rFonts w:hint="eastAsia" w:ascii="宋体" w:hAnsi="宋体" w:eastAsia="宋体" w:cs="宋体"/>
          <w:sz w:val="24"/>
          <w:szCs w:val="24"/>
          <w:highlight w:val="none"/>
          <w:lang w:val="en-US" w:eastAsia="zh-CN"/>
        </w:rPr>
        <w:t xml:space="preserve">，标项二：中药颗粒 </w:t>
      </w:r>
      <w:r>
        <w:rPr>
          <w:rFonts w:hint="eastAsia" w:ascii="宋体" w:hAnsi="宋体" w:cs="宋体"/>
          <w:sz w:val="24"/>
          <w:szCs w:val="24"/>
          <w:highlight w:val="none"/>
          <w:lang w:val="en-US" w:eastAsia="zh-CN"/>
        </w:rPr>
        <w:t>22</w:t>
      </w:r>
      <w:r>
        <w:rPr>
          <w:rFonts w:hint="eastAsia" w:ascii="宋体" w:hAnsi="宋体" w:eastAsia="宋体" w:cs="宋体"/>
          <w:sz w:val="24"/>
          <w:szCs w:val="24"/>
          <w:highlight w:val="none"/>
          <w:lang w:val="en-US" w:eastAsia="zh-CN"/>
        </w:rPr>
        <w:t>0万。</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服务期：一年。</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拟采用采购方式：公开招标。</w:t>
      </w:r>
    </w:p>
    <w:p>
      <w:pPr>
        <w:keepNext w:val="0"/>
        <w:keepLines w:val="0"/>
        <w:pageBreakBefore w:val="0"/>
        <w:widowControl w:val="0"/>
        <w:numPr>
          <w:ilvl w:val="0"/>
          <w:numId w:val="15"/>
        </w:numPr>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0"/>
        <w:rPr>
          <w:rFonts w:hint="eastAsia" w:ascii="宋体" w:hAnsi="宋体" w:eastAsia="宋体" w:cs="宋体"/>
          <w:b/>
          <w:bCs/>
          <w:sz w:val="24"/>
          <w:szCs w:val="24"/>
          <w:highlight w:val="none"/>
          <w:lang w:eastAsia="zh-CN"/>
        </w:rPr>
      </w:pPr>
      <w:bookmarkStart w:id="63" w:name="_Toc29999"/>
      <w:bookmarkStart w:id="64" w:name="_Toc10411"/>
      <w:r>
        <w:rPr>
          <w:rFonts w:hint="eastAsia" w:ascii="宋体" w:hAnsi="宋体" w:eastAsia="宋体" w:cs="宋体"/>
          <w:b/>
          <w:bCs/>
          <w:sz w:val="24"/>
          <w:szCs w:val="24"/>
          <w:highlight w:val="none"/>
          <w:lang w:eastAsia="zh-CN"/>
        </w:rPr>
        <w:t>供货要求</w:t>
      </w:r>
      <w:bookmarkEnd w:id="63"/>
      <w:bookmarkEnd w:id="64"/>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1、诚信经营，信誉好，药品种类齐全，质量有保证，操作流程规范，配送品种齐全。能向招标人提供优质产品，供应的所有中药饮片必须分清等级、规范包装、检验合格。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投标人应配备足够库存的饮片，保证药品及时、足量供应。能够按医院的采购计划（品种、规格和数量）在 48 小时内运送至医院指定地点，急需药品 6 小时内配送到位。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5、须提供质量监管体系认证证书，具有履行合同必备的中药饮片的供应保障能力、高端质量检验控制流程及设备。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7、有能力提供本次采购项目及所要求的服务；服务规范，供货退货及时（尤其是短缺品种、廉价品种等配送及时），售后服务完善。</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8、供货过程中，如发现水分超标、霉变虫蛀、以次充好、掺杂使假、染色、增重等质量不合格现象，除赔偿由此引起的损失外，并予以警告、列入不良记录、直至取消供货资格。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9、市场宣传推广行为规范，廉政风险防范意识强，防范举措到位。</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10、标准规范：符合《中国药典》、《省级中药饮片炮制规范修订的技术指导原则》、《新疆维吾尔自治区中药维吾尔药饮片炮制规范》（2020年版）收载饮片品种目录。</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质量要求：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投标人提供中药饮片，并确定所提供中药饮片质量和重量，如果饮片质量，数量，重量方面出现问题，投标人无条件退换并承担相关损失，投标人供给招标人的中药饮片，在质量上应严格以国家最新版药典及地方中药饮片标准为依据，重量及数量应严格执行国家技术监督局质量零售商品计量管理办法的有关规定，确保准斤足两。</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②投标人须严格执行新疆维吾尔自治区药品监督管理局及国家中医药管理局的有关规定，所提供的药品质量必须符合国家标准。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③中药饮片应包装严密，包装袋(箱)应干净、结实、无破损、封口严密，每袋配挂标准吊签，方便识别、储存、运输和使用。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④投标人需保证所配送的中药饮片的厂家、品牌、规格、出厂日期、有效期、</w:t>
      </w:r>
      <w:r>
        <w:rPr>
          <w:rFonts w:hint="eastAsia" w:ascii="宋体" w:hAnsi="宋体" w:eastAsia="宋体" w:cs="宋体"/>
          <w:sz w:val="24"/>
          <w:szCs w:val="24"/>
          <w:highlight w:val="none"/>
          <w:lang w:val="en-US" w:eastAsia="zh-CN"/>
        </w:rPr>
        <w:t>产地</w:t>
      </w:r>
      <w:r>
        <w:rPr>
          <w:rFonts w:hint="eastAsia" w:ascii="宋体" w:hAnsi="宋体" w:eastAsia="宋体" w:cs="宋体"/>
          <w:sz w:val="24"/>
          <w:szCs w:val="24"/>
          <w:highlight w:val="none"/>
        </w:rPr>
        <w:t>等根据招标人的要求提供，如未按要求配送药品，招标人有权要求退换。</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⑤投标人应承担因所供药品质量问题所带来的一切后果及相关的法律责任并赔偿一切经济损失。</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⑥投标人需保证所供药品，到货时有效期大于期限的三分之二。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12、检测要求: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招标人可随时抽检投标人提供的中药饮片品种数量是否符合要求。</w:t>
      </w:r>
    </w:p>
    <w:p>
      <w:pPr>
        <w:pStyle w:val="61"/>
        <w:keepNext w:val="0"/>
        <w:keepLines w:val="0"/>
        <w:pageBreakBefore w:val="0"/>
        <w:widowControl w:val="0"/>
        <w:numPr>
          <w:ilvl w:val="0"/>
          <w:numId w:val="16"/>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按照国家有关规定接受</w:t>
      </w:r>
      <w:r>
        <w:rPr>
          <w:rFonts w:hint="eastAsia" w:ascii="宋体" w:hAnsi="宋体" w:eastAsia="宋体" w:cs="宋体"/>
          <w:sz w:val="24"/>
          <w:szCs w:val="24"/>
          <w:highlight w:val="none"/>
          <w:lang w:val="en-US" w:eastAsia="zh-CN"/>
        </w:rPr>
        <w:t>药品监督管理</w:t>
      </w:r>
      <w:r>
        <w:rPr>
          <w:rFonts w:hint="eastAsia" w:ascii="宋体" w:hAnsi="宋体" w:eastAsia="宋体" w:cs="宋体"/>
          <w:sz w:val="24"/>
          <w:szCs w:val="24"/>
          <w:highlight w:val="none"/>
        </w:rPr>
        <w:t>部门不定期的抽检。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②通过查看药品外包装、产品合格证、注册商标、批准文号、生产批号、生产日期、产品有效期、生产厂家、药检报告书等项目查验药品质量。</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③招标人对不符合质量、有效期、包装的药品，有权要求投标人及时进行更换，并不得影响招标人的临床应用。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13、仓储条件：仓储场所须包括常温库、阴凉库、标本室、留样室、质检设备等。须提供租赁合同及必要的照片。</w:t>
      </w:r>
      <w:r>
        <w:rPr>
          <w:rFonts w:hint="eastAsia" w:ascii="宋体" w:hAnsi="宋体" w:eastAsia="宋体" w:cs="宋体"/>
          <w:sz w:val="24"/>
          <w:szCs w:val="24"/>
          <w:highlight w:val="none"/>
          <w:lang w:eastAsia="zh-CN"/>
        </w:rPr>
        <w:t>必要的</w:t>
      </w:r>
      <w:r>
        <w:rPr>
          <w:rFonts w:hint="eastAsia" w:ascii="宋体" w:hAnsi="宋体" w:eastAsia="宋体" w:cs="宋体"/>
          <w:sz w:val="24"/>
          <w:szCs w:val="24"/>
          <w:highlight w:val="none"/>
        </w:rPr>
        <w:t>质检设备提供设备购置发票（租赁发票）、设备明细和规格型号附照片。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14、物流条件：提供用于运输的设备或车辆，提供车辆的行驶证、运输人员的驾驶证、身份证等。</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交货地点：采购人指定地点。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17、</w:t>
      </w:r>
      <w:r>
        <w:rPr>
          <w:rFonts w:hint="eastAsia" w:ascii="宋体" w:hAnsi="宋体" w:eastAsia="宋体" w:cs="宋体"/>
          <w:color w:val="FF0000"/>
          <w:sz w:val="24"/>
          <w:szCs w:val="24"/>
          <w:highlight w:val="none"/>
        </w:rPr>
        <w:t>★</w:t>
      </w:r>
      <w:r>
        <w:rPr>
          <w:rFonts w:hint="eastAsia" w:ascii="宋体" w:hAnsi="宋体" w:eastAsia="宋体" w:cs="宋体"/>
          <w:sz w:val="24"/>
          <w:szCs w:val="24"/>
          <w:highlight w:val="none"/>
        </w:rPr>
        <w:t>付款方式：</w:t>
      </w:r>
      <w:r>
        <w:rPr>
          <w:rFonts w:hint="eastAsia" w:ascii="宋体" w:hAnsi="宋体" w:eastAsia="宋体" w:cs="宋体"/>
          <w:sz w:val="24"/>
          <w:szCs w:val="24"/>
          <w:highlight w:val="none"/>
          <w:lang w:val="en-US" w:eastAsia="zh-CN"/>
        </w:rPr>
        <w:t>以合同为准。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18、中标人应遵守</w:t>
      </w:r>
      <w:r>
        <w:rPr>
          <w:rFonts w:hint="eastAsia" w:ascii="宋体" w:hAnsi="宋体" w:eastAsia="宋体" w:cs="宋体"/>
          <w:strike w:val="0"/>
          <w:dstrike w:val="0"/>
          <w:sz w:val="24"/>
          <w:szCs w:val="24"/>
          <w:lang w:val="en-US" w:eastAsia="zh-CN"/>
        </w:rPr>
        <w:t>采购人</w:t>
      </w:r>
      <w:r>
        <w:rPr>
          <w:rFonts w:hint="eastAsia" w:ascii="宋体" w:hAnsi="宋体" w:eastAsia="宋体" w:cs="宋体"/>
          <w:sz w:val="24"/>
          <w:szCs w:val="24"/>
        </w:rPr>
        <w:t>的年度考核评价制，合同服务期为 1 年。中标人在合同履行期间如遇采购政策变革</w:t>
      </w:r>
      <w:r>
        <w:rPr>
          <w:rFonts w:hint="eastAsia" w:ascii="宋体" w:hAnsi="宋体" w:eastAsia="宋体" w:cs="宋体"/>
          <w:sz w:val="24"/>
          <w:szCs w:val="24"/>
          <w:lang w:eastAsia="zh-CN"/>
        </w:rPr>
        <w:t>或上级主</w:t>
      </w:r>
      <w:r>
        <w:rPr>
          <w:rFonts w:hint="eastAsia" w:ascii="宋体" w:hAnsi="宋体" w:eastAsia="宋体" w:cs="宋体"/>
          <w:sz w:val="24"/>
          <w:szCs w:val="24"/>
          <w:highlight w:val="none"/>
          <w:lang w:eastAsia="zh-CN"/>
        </w:rPr>
        <w:t>管部门其他要求，</w:t>
      </w:r>
      <w:r>
        <w:rPr>
          <w:rFonts w:hint="eastAsia" w:ascii="宋体" w:hAnsi="宋体" w:eastAsia="宋体" w:cs="宋体"/>
          <w:sz w:val="24"/>
          <w:szCs w:val="24"/>
          <w:highlight w:val="none"/>
        </w:rPr>
        <w:t>则按照政策精神</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lang w:val="en-US" w:eastAsia="zh-CN"/>
        </w:rPr>
        <w:t>集采结果</w:t>
      </w:r>
      <w:r>
        <w:rPr>
          <w:rFonts w:hint="eastAsia" w:ascii="宋体" w:hAnsi="宋体" w:eastAsia="宋体" w:cs="宋体"/>
          <w:sz w:val="24"/>
          <w:szCs w:val="24"/>
          <w:highlight w:val="none"/>
        </w:rPr>
        <w:t>执行，如</w:t>
      </w:r>
      <w:r>
        <w:rPr>
          <w:rFonts w:hint="eastAsia" w:ascii="宋体" w:hAnsi="宋体" w:eastAsia="宋体" w:cs="宋体"/>
          <w:sz w:val="24"/>
          <w:szCs w:val="24"/>
          <w:highlight w:val="none"/>
          <w:lang w:eastAsia="zh-CN"/>
        </w:rPr>
        <w:t>与</w:t>
      </w:r>
      <w:r>
        <w:rPr>
          <w:rFonts w:hint="eastAsia" w:ascii="宋体" w:hAnsi="宋体" w:eastAsia="宋体" w:cs="宋体"/>
          <w:sz w:val="24"/>
          <w:szCs w:val="24"/>
          <w:highlight w:val="none"/>
        </w:rPr>
        <w:t>政策精神</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lang w:val="en-US" w:eastAsia="zh-CN"/>
        </w:rPr>
        <w:t>集采结果冲突，需</w:t>
      </w:r>
      <w:r>
        <w:rPr>
          <w:rFonts w:hint="eastAsia" w:ascii="宋体" w:hAnsi="宋体" w:eastAsia="宋体" w:cs="宋体"/>
          <w:sz w:val="24"/>
          <w:szCs w:val="24"/>
          <w:highlight w:val="none"/>
          <w:lang w:eastAsia="zh-CN"/>
        </w:rPr>
        <w:t>终止</w:t>
      </w:r>
      <w:r>
        <w:rPr>
          <w:rFonts w:hint="eastAsia" w:ascii="宋体" w:hAnsi="宋体" w:eastAsia="宋体" w:cs="宋体"/>
          <w:sz w:val="24"/>
          <w:szCs w:val="24"/>
          <w:highlight w:val="none"/>
        </w:rPr>
        <w:t>采购合同时，采</w:t>
      </w:r>
      <w:r>
        <w:rPr>
          <w:rFonts w:hint="eastAsia" w:ascii="宋体" w:hAnsi="宋体" w:eastAsia="宋体" w:cs="宋体"/>
          <w:sz w:val="24"/>
          <w:szCs w:val="24"/>
        </w:rPr>
        <w:t xml:space="preserve">购合同自然终止。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19、中标人因质量等问题受到处罚时，承担全部经济损失并立即终止合同。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本项目的最终结算总额不得超过本项目的预算金额（即合同总金额）。达到以下条件之一时，则视为合同履约完毕，采购人与中标人可以继续履行合同终止前双方的权利义务，但不得增加新的采购数额。合同履约完毕的条件如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①在合同约定的项目服务期限内，结算总额提前达到合同总金额上限。</w:t>
      </w:r>
    </w:p>
    <w:p>
      <w:pPr>
        <w:pStyle w:val="6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left="480" w:leftChars="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lang w:eastAsia="zh-CN"/>
        </w:rPr>
        <w:t>②</w:t>
      </w:r>
      <w:r>
        <w:rPr>
          <w:rFonts w:hint="eastAsia" w:ascii="宋体" w:hAnsi="宋体" w:eastAsia="宋体" w:cs="宋体"/>
          <w:sz w:val="24"/>
          <w:szCs w:val="24"/>
        </w:rPr>
        <w:t>中标人的结算总额未达到其合同总金额上限，但服务期限达到合同约定</w:t>
      </w:r>
      <w:r>
        <w:rPr>
          <w:rFonts w:hint="eastAsia" w:ascii="宋体" w:hAnsi="宋体" w:eastAsia="宋体" w:cs="宋体"/>
          <w:sz w:val="24"/>
          <w:szCs w:val="24"/>
          <w:lang w:val="en-US" w:eastAsia="zh-CN"/>
        </w:rPr>
        <w:t>的项目服务期限。</w:t>
      </w:r>
    </w:p>
    <w:p>
      <w:pPr>
        <w:keepNext w:val="0"/>
        <w:keepLines w:val="0"/>
        <w:pageBreakBefore w:val="0"/>
        <w:widowControl w:val="0"/>
        <w:numPr>
          <w:ilvl w:val="0"/>
          <w:numId w:val="15"/>
        </w:numPr>
        <w:kinsoku/>
        <w:wordWrap/>
        <w:overflowPunct/>
        <w:topLinePunct w:val="0"/>
        <w:autoSpaceDE/>
        <w:autoSpaceDN/>
        <w:bidi w:val="0"/>
        <w:adjustRightInd/>
        <w:snapToGrid/>
        <w:spacing w:before="0" w:beforeAutospacing="0" w:after="0" w:afterAutospacing="0" w:line="360" w:lineRule="auto"/>
        <w:ind w:firstLine="482" w:firstLineChars="200"/>
        <w:textAlignment w:val="auto"/>
        <w:outlineLvl w:val="0"/>
        <w:rPr>
          <w:rFonts w:hint="eastAsia" w:ascii="宋体" w:hAnsi="宋体" w:eastAsia="宋体" w:cs="宋体"/>
          <w:b/>
          <w:bCs/>
          <w:sz w:val="24"/>
          <w:szCs w:val="24"/>
          <w:lang w:eastAsia="zh-CN"/>
        </w:rPr>
      </w:pPr>
      <w:bookmarkStart w:id="65" w:name="_Toc16010"/>
      <w:bookmarkStart w:id="66" w:name="_Toc25928"/>
      <w:r>
        <w:rPr>
          <w:rFonts w:hint="eastAsia" w:ascii="宋体" w:hAnsi="宋体" w:eastAsia="宋体" w:cs="宋体"/>
          <w:b/>
          <w:bCs/>
          <w:sz w:val="24"/>
          <w:szCs w:val="24"/>
          <w:lang w:eastAsia="zh-CN"/>
        </w:rPr>
        <w:t>服务考核细则：</w:t>
      </w:r>
      <w:bookmarkEnd w:id="65"/>
      <w:bookmarkEnd w:id="66"/>
      <w:r>
        <w:rPr>
          <w:rFonts w:hint="eastAsia" w:ascii="宋体" w:hAnsi="宋体" w:eastAsia="宋体" w:cs="宋体"/>
          <w:b/>
          <w:bCs/>
          <w:sz w:val="24"/>
          <w:szCs w:val="24"/>
          <w:lang w:eastAsia="zh-CN"/>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1、采购人对中标人提供的中药饮片质量和配送服务质量等工作进行每季度定期检查，和年度考核。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2、对中标人定期检查考核按以下标准，考核总分为 100 分，每个检查项目不设扣分上限，按实际检查情况评分，由于患者投</w:t>
      </w:r>
      <w:r>
        <w:rPr>
          <w:rFonts w:hint="eastAsia" w:ascii="宋体" w:hAnsi="宋体" w:eastAsia="宋体" w:cs="宋体"/>
          <w:sz w:val="24"/>
          <w:szCs w:val="24"/>
          <w:highlight w:val="none"/>
        </w:rPr>
        <w:t>诉、新闻媒体曝光</w:t>
      </w:r>
      <w:r>
        <w:rPr>
          <w:rFonts w:hint="eastAsia" w:ascii="宋体" w:hAnsi="宋体" w:eastAsia="宋体" w:cs="宋体"/>
          <w:sz w:val="24"/>
          <w:szCs w:val="24"/>
          <w:highlight w:val="none"/>
          <w:lang w:val="en-US" w:eastAsia="zh-CN"/>
        </w:rPr>
        <w:t>（药品质量抽检公告、国家药监局网站公告等）、</w:t>
      </w:r>
      <w:r>
        <w:rPr>
          <w:rFonts w:hint="eastAsia" w:ascii="宋体" w:hAnsi="宋体" w:eastAsia="宋体" w:cs="宋体"/>
          <w:sz w:val="24"/>
          <w:szCs w:val="24"/>
          <w:highlight w:val="none"/>
        </w:rPr>
        <w:t>上级领导督办等</w:t>
      </w:r>
      <w:r>
        <w:rPr>
          <w:rFonts w:hint="eastAsia" w:ascii="宋体" w:hAnsi="宋体" w:eastAsia="宋体" w:cs="宋体"/>
          <w:sz w:val="24"/>
          <w:szCs w:val="24"/>
        </w:rPr>
        <w:t>情况较严重的扣 10 分，直接计入季考核的扣分中，特别严重的直接终止合同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3、考核总分为 100 分，80 分为合格，总分扣 1 分就扣中标人 100 元 ，二次考核不合格的终止合同，考核结果同时纳入综合评价。</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4、在服务期间，中标人出现重大服务事故或药品安全事故或严重违约的 ，采购人有权单方面取消中标人的中标资格，终止合同，由此造成的一切责任和损失由中标人承担。</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5、服务质量考核表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055"/>
        <w:gridCol w:w="2978"/>
        <w:gridCol w:w="73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056" w:type="dxa"/>
            <w:gridSpan w:val="2"/>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考核内容</w:t>
            </w:r>
          </w:p>
        </w:tc>
        <w:tc>
          <w:tcPr>
            <w:tcW w:w="3116"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考核方法及评价标准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分值</w:t>
            </w:r>
          </w:p>
        </w:tc>
        <w:tc>
          <w:tcPr>
            <w:tcW w:w="928"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考核结果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7" w:type="dxa"/>
            <w:vMerge w:val="restar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中药饮片质量管理</w:t>
            </w:r>
          </w:p>
        </w:tc>
        <w:tc>
          <w:tcPr>
            <w:tcW w:w="317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中药饮片供应商资质资料</w:t>
            </w:r>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查看相关资料，1项不符合扣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z w:val="21"/>
                <w:szCs w:val="21"/>
              </w:rPr>
            </w:pPr>
            <w:r>
              <w:rPr>
                <w:rFonts w:hint="eastAsia" w:ascii="宋体" w:hAnsi="宋体" w:eastAsia="宋体" w:cs="宋体"/>
                <w:spacing w:val="-1"/>
                <w:sz w:val="21"/>
                <w:szCs w:val="21"/>
              </w:rPr>
              <w:t>中药饮片包装上应有注明药品名称、购入单位及日期的标签。中药饮片质量合格。</w:t>
            </w:r>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pacing w:val="-1"/>
                <w:sz w:val="21"/>
                <w:szCs w:val="21"/>
              </w:rPr>
              <w:t>抽查 10 种中药饮片是否有质量检验报告，看外包标签等信息是否完整。批文管理的 饮片是否有批准。1 种不符合扣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z w:val="21"/>
                <w:szCs w:val="21"/>
              </w:rPr>
            </w:pPr>
            <w:r>
              <w:rPr>
                <w:rFonts w:hint="eastAsia" w:ascii="宋体" w:hAnsi="宋体" w:eastAsia="宋体" w:cs="宋体"/>
                <w:spacing w:val="-1"/>
                <w:sz w:val="21"/>
                <w:szCs w:val="21"/>
              </w:rPr>
              <w:t>中药饮片验收管理制度落实到位， 并按照相关储存要求进行储存，定期养护做好中药饮片养护记录并及时记录。</w:t>
            </w:r>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pacing w:val="-1"/>
                <w:sz w:val="21"/>
                <w:szCs w:val="21"/>
              </w:rPr>
              <w:t>看储存设备；查看饮片验收记录：温湿度记录、冰柜记录、养护记录、中药饮片处理记录。1 项不符合扣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保证中药材无串药、发霉、虫蛀等变质药品和伪、劣药品。</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抽查中药饮片各20种，查看有无串药， 发霉，虫蛀等情况。有无低于标本质量等级的。1 种不符合扣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20</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药斗布局分布合理，有配伍禁忌的分开摆放。</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药斗布局是否合理。1 个不符合扣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应配备与规模和业务需要相适应设备（器具），有效地通风、除尘、防积水以及消防等设施。</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有无与业务相适应的设备器具、调配台，药斗，秤等是否有效地通风、除尘、防积水、消防设施措施。1 项不符合扣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严格遵守处方审方、调剂、复核、发药 （签字或签章）程序，调剂复核率100% 。中药饮片调剂复核人员应具有主管中药师以上专业技术职务任职资格。</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审方、调剂、复核、发药需要签名，调剂应付是否符合、中药饮片调剂符合人员符合相关要求。1 项不符合扣 1分。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3</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77" w:type="dxa"/>
            <w:vMerge w:val="continue"/>
            <w:vAlign w:val="center"/>
          </w:tcPr>
          <w:p>
            <w:pPr>
              <w:spacing w:line="360" w:lineRule="auto"/>
              <w:rPr>
                <w:rFonts w:hint="eastAsia" w:ascii="宋体" w:hAnsi="宋体" w:eastAsia="宋体" w:cs="宋体"/>
                <w:sz w:val="21"/>
                <w:szCs w:val="21"/>
              </w:rPr>
            </w:pPr>
          </w:p>
        </w:tc>
        <w:tc>
          <w:tcPr>
            <w:tcW w:w="3179"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有称量误差抽查记录，并有记录， 误差在±5%之内。</w:t>
            </w:r>
          </w:p>
        </w:tc>
        <w:tc>
          <w:tcPr>
            <w:tcW w:w="3116" w:type="dxa"/>
            <w:vAlign w:val="center"/>
          </w:tcPr>
          <w:p>
            <w:pPr>
              <w:spacing w:line="360" w:lineRule="auto"/>
              <w:rPr>
                <w:rFonts w:hint="eastAsia" w:ascii="宋体" w:hAnsi="宋体" w:eastAsia="宋体" w:cs="宋体"/>
                <w:spacing w:val="-1"/>
                <w:sz w:val="21"/>
                <w:szCs w:val="21"/>
              </w:rPr>
            </w:pPr>
            <w:r>
              <w:rPr>
                <w:rFonts w:hint="eastAsia" w:ascii="宋体" w:hAnsi="宋体" w:eastAsia="宋体" w:cs="宋体"/>
                <w:spacing w:val="-1"/>
                <w:sz w:val="21"/>
                <w:szCs w:val="21"/>
              </w:rPr>
              <w:t>有无称量误差抽查记录，现场抽查 5张处方称量误差是否合格。1 张不符合扣 1 分。</w:t>
            </w:r>
          </w:p>
        </w:tc>
        <w:tc>
          <w:tcPr>
            <w:tcW w:w="757" w:type="dxa"/>
            <w:vAlign w:val="center"/>
          </w:tcPr>
          <w:p>
            <w:pPr>
              <w:spacing w:line="360" w:lineRule="auto"/>
              <w:jc w:val="center"/>
              <w:rPr>
                <w:rFonts w:hint="eastAsia" w:ascii="宋体" w:hAnsi="宋体" w:eastAsia="宋体" w:cs="宋体"/>
                <w:spacing w:val="-1"/>
                <w:sz w:val="21"/>
                <w:szCs w:val="21"/>
              </w:rPr>
            </w:pPr>
            <w:r>
              <w:rPr>
                <w:rFonts w:hint="eastAsia" w:ascii="宋体" w:hAnsi="宋体" w:eastAsia="宋体" w:cs="宋体"/>
                <w:spacing w:val="-1"/>
                <w:sz w:val="21"/>
                <w:szCs w:val="21"/>
              </w:rPr>
              <w:t>5</w:t>
            </w:r>
          </w:p>
        </w:tc>
        <w:tc>
          <w:tcPr>
            <w:tcW w:w="928" w:type="dxa"/>
            <w:vAlign w:val="center"/>
          </w:tcPr>
          <w:p>
            <w:pPr>
              <w:spacing w:line="360" w:lineRule="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77"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配送服务质量</w:t>
            </w:r>
          </w:p>
        </w:tc>
        <w:tc>
          <w:tcPr>
            <w:tcW w:w="3179"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客服在线服务情况，配送及时性、服务态度，准确性和公司处理事件是否及时等。</w:t>
            </w:r>
          </w:p>
        </w:tc>
        <w:tc>
          <w:tcPr>
            <w:tcW w:w="3116" w:type="dxa"/>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门诊中药房收集患者投诉记录，1 项不符合扣 1 分。</w:t>
            </w:r>
          </w:p>
        </w:tc>
        <w:tc>
          <w:tcPr>
            <w:tcW w:w="757" w:type="dxa"/>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928" w:type="dxa"/>
            <w:vAlign w:val="center"/>
          </w:tcPr>
          <w:p>
            <w:pPr>
              <w:spacing w:line="360" w:lineRule="auto"/>
              <w:rPr>
                <w:rFonts w:hint="eastAsia" w:ascii="宋体" w:hAnsi="宋体" w:eastAsia="宋体" w:cs="宋体"/>
                <w:sz w:val="21"/>
                <w:szCs w:val="21"/>
              </w:rPr>
            </w:pPr>
          </w:p>
        </w:tc>
      </w:tr>
    </w:tbl>
    <w:p>
      <w:pPr>
        <w:numPr>
          <w:ilvl w:val="0"/>
          <w:numId w:val="0"/>
        </w:numPr>
        <w:spacing w:line="360" w:lineRule="auto"/>
        <w:rPr>
          <w:rFonts w:hint="eastAsia" w:ascii="宋体" w:hAnsi="宋体" w:eastAsia="宋体" w:cs="宋体"/>
          <w:b/>
          <w:bCs/>
          <w:sz w:val="24"/>
          <w:lang w:eastAsia="zh-CN"/>
        </w:rPr>
      </w:pPr>
    </w:p>
    <w:p>
      <w:pPr>
        <w:numPr>
          <w:ilvl w:val="0"/>
          <w:numId w:val="15"/>
        </w:numPr>
        <w:spacing w:line="360" w:lineRule="auto"/>
        <w:ind w:firstLine="482" w:firstLineChars="200"/>
        <w:outlineLvl w:val="0"/>
        <w:rPr>
          <w:rFonts w:hint="eastAsia" w:ascii="宋体" w:hAnsi="宋体" w:eastAsia="宋体" w:cs="宋体"/>
          <w:b/>
          <w:bCs/>
          <w:sz w:val="24"/>
          <w:lang w:eastAsia="zh-CN"/>
        </w:rPr>
      </w:pPr>
      <w:bookmarkStart w:id="67" w:name="_Toc30948"/>
      <w:bookmarkStart w:id="68" w:name="_Toc26777"/>
      <w:r>
        <w:rPr>
          <w:rFonts w:hint="eastAsia" w:ascii="宋体" w:hAnsi="宋体" w:eastAsia="宋体" w:cs="宋体"/>
          <w:b/>
          <w:bCs/>
          <w:sz w:val="24"/>
          <w:lang w:eastAsia="zh-CN"/>
        </w:rPr>
        <w:t>供货药品目录清单及最高限价</w:t>
      </w:r>
    </w:p>
    <w:p>
      <w:pPr>
        <w:numPr>
          <w:ilvl w:val="0"/>
          <w:numId w:val="0"/>
        </w:numPr>
        <w:spacing w:line="360" w:lineRule="auto"/>
        <w:ind w:firstLine="482" w:firstLineChars="200"/>
        <w:outlineLvl w:val="0"/>
        <w:rPr>
          <w:rFonts w:hint="eastAsia" w:ascii="宋体" w:hAnsi="宋体" w:eastAsia="宋体" w:cs="宋体"/>
          <w:b/>
          <w:bCs/>
          <w:sz w:val="24"/>
          <w:lang w:eastAsia="zh-CN"/>
        </w:rPr>
      </w:pPr>
      <w:r>
        <w:rPr>
          <w:rFonts w:hint="eastAsia" w:ascii="宋体" w:hAnsi="宋体" w:eastAsia="宋体" w:cs="宋体"/>
          <w:b/>
          <w:bCs/>
          <w:sz w:val="24"/>
          <w:lang w:eastAsia="zh-CN"/>
        </w:rPr>
        <w:t>详见附表</w:t>
      </w:r>
      <w:bookmarkEnd w:id="67"/>
      <w:bookmarkEnd w:id="68"/>
      <w:r>
        <w:rPr>
          <w:rFonts w:hint="eastAsia" w:ascii="宋体" w:hAnsi="宋体" w:cs="宋体"/>
          <w:b/>
          <w:bCs/>
          <w:sz w:val="24"/>
          <w:lang w:eastAsia="zh-CN"/>
        </w:rPr>
        <w:t>：</w:t>
      </w:r>
      <w:r>
        <w:rPr>
          <w:rFonts w:hint="eastAsia" w:ascii="宋体" w:hAnsi="宋体" w:eastAsia="宋体" w:cs="宋体"/>
          <w:b/>
          <w:bCs/>
          <w:sz w:val="24"/>
          <w:lang w:eastAsia="zh-CN"/>
        </w:rPr>
        <w:t>供货药品目录清单。</w:t>
      </w:r>
    </w:p>
    <w:p>
      <w:pPr>
        <w:pStyle w:val="60"/>
        <w:spacing w:line="360" w:lineRule="auto"/>
        <w:rPr>
          <w:rFonts w:ascii="宋体" w:hAnsi="宋体"/>
        </w:rPr>
      </w:pPr>
    </w:p>
    <w:p>
      <w:pPr>
        <w:pStyle w:val="3"/>
        <w:numPr>
          <w:ilvl w:val="0"/>
          <w:numId w:val="14"/>
        </w:numPr>
        <w:bidi w:val="0"/>
        <w:rPr>
          <w:rFonts w:hint="eastAsia" w:ascii="Times New Roman" w:hAnsi="Times New Roman" w:eastAsia="宋体" w:cs="Times New Roman"/>
          <w:lang w:val="en-US" w:eastAsia="zh-CN"/>
        </w:rPr>
      </w:pPr>
      <w:bookmarkStart w:id="69" w:name="_Toc406670725"/>
      <w:bookmarkStart w:id="70" w:name="_Toc406671684"/>
      <w:bookmarkStart w:id="71" w:name="_Toc406671096"/>
      <w:bookmarkStart w:id="72" w:name="_Toc406672389"/>
      <w:r>
        <w:rPr>
          <w:rFonts w:asciiTheme="minorEastAsia" w:hAnsiTheme="minorEastAsia" w:eastAsiaTheme="minorEastAsia"/>
        </w:rPr>
        <w:br w:type="page"/>
      </w:r>
      <w:bookmarkStart w:id="73" w:name="_Toc41839724"/>
      <w:r>
        <w:rPr>
          <w:rFonts w:hint="eastAsia" w:ascii="Times New Roman" w:hAnsi="Times New Roman" w:eastAsia="宋体" w:cs="Times New Roman"/>
          <w:lang w:val="en-US" w:eastAsia="zh-CN"/>
        </w:rPr>
        <w:t xml:space="preserve"> </w:t>
      </w:r>
      <w:bookmarkStart w:id="74" w:name="_Toc25798"/>
      <w:r>
        <w:rPr>
          <w:rFonts w:hint="eastAsia" w:ascii="Times New Roman" w:hAnsi="Times New Roman" w:eastAsia="宋体" w:cs="Times New Roman"/>
          <w:lang w:val="en-US" w:eastAsia="zh-CN"/>
        </w:rPr>
        <w:t>评标办法及评分标准</w:t>
      </w:r>
      <w:bookmarkEnd w:id="69"/>
      <w:bookmarkEnd w:id="70"/>
      <w:bookmarkEnd w:id="71"/>
      <w:bookmarkEnd w:id="72"/>
      <w:bookmarkEnd w:id="73"/>
      <w:bookmarkEnd w:id="74"/>
    </w:p>
    <w:p>
      <w:pPr>
        <w:pStyle w:val="4"/>
        <w:bidi w:val="0"/>
      </w:pPr>
      <w:bookmarkStart w:id="75" w:name="_Toc41839725"/>
      <w:bookmarkStart w:id="76" w:name="_Toc406671097"/>
      <w:bookmarkStart w:id="77" w:name="_Toc406670726"/>
      <w:bookmarkStart w:id="78" w:name="_Toc406672390"/>
      <w:bookmarkStart w:id="79" w:name="_Toc406671685"/>
      <w:bookmarkStart w:id="80" w:name="_Toc14137"/>
      <w:r>
        <w:rPr>
          <w:rFonts w:hint="eastAsia"/>
          <w:lang w:eastAsia="zh-CN"/>
        </w:rPr>
        <w:t>一、</w:t>
      </w:r>
      <w:r>
        <w:rPr>
          <w:rFonts w:hint="eastAsia"/>
        </w:rPr>
        <w:t>评标办法</w:t>
      </w:r>
      <w:bookmarkEnd w:id="75"/>
      <w:bookmarkEnd w:id="76"/>
      <w:bookmarkEnd w:id="77"/>
      <w:bookmarkEnd w:id="78"/>
      <w:bookmarkEnd w:id="79"/>
      <w:bookmarkEnd w:id="80"/>
    </w:p>
    <w:p>
      <w:pPr>
        <w:pStyle w:val="6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本项目采用</w:t>
      </w:r>
      <w:r>
        <w:rPr>
          <w:rFonts w:hint="eastAsia" w:ascii="宋体" w:hAnsi="宋体" w:eastAsia="宋体" w:cs="宋体"/>
          <w:sz w:val="24"/>
          <w:szCs w:val="24"/>
          <w:u w:val="single"/>
        </w:rPr>
        <w:t xml:space="preserve">  综合评分法  </w:t>
      </w:r>
      <w:r>
        <w:rPr>
          <w:rFonts w:hint="eastAsia" w:ascii="宋体" w:hAnsi="宋体" w:eastAsia="宋体" w:cs="宋体"/>
          <w:sz w:val="24"/>
          <w:szCs w:val="24"/>
        </w:rPr>
        <w:t>进行评审。</w:t>
      </w:r>
    </w:p>
    <w:p>
      <w:pPr>
        <w:pStyle w:val="6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综合评分法，是指在满足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"http://www.baidu.com/s?wd=%E6%8B%9B%E6%A0%87%E6%96%87%E4%BB%B6&amp;hl_tag=textlink&amp;tn=SE_hldp01350_v6v6zkg6"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采购文件</w:t>
      </w:r>
      <w:r>
        <w:rPr>
          <w:rFonts w:hint="eastAsia" w:ascii="宋体" w:hAnsi="宋体" w:eastAsia="宋体" w:cs="宋体"/>
          <w:sz w:val="24"/>
          <w:szCs w:val="24"/>
        </w:rPr>
        <w:fldChar w:fldCharType="end"/>
      </w:r>
      <w:r>
        <w:rPr>
          <w:rFonts w:hint="eastAsia" w:ascii="宋体" w:hAnsi="宋体" w:eastAsia="宋体" w:cs="宋体"/>
          <w:sz w:val="24"/>
          <w:szCs w:val="24"/>
        </w:rPr>
        <w:t>实质性要求的前提下，评标专家按照</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"http://www.baidu.com/s?wd=%E6%8B%9B%E6%A0%87%E6%96%87%E4%BB%B6&amp;hl_tag=textlink&amp;tn=SE_hldp01350_v6v6zkg6"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采购文件</w:t>
      </w:r>
      <w:r>
        <w:rPr>
          <w:rFonts w:hint="eastAsia" w:ascii="宋体" w:hAnsi="宋体" w:eastAsia="宋体" w:cs="宋体"/>
          <w:sz w:val="24"/>
          <w:szCs w:val="24"/>
        </w:rPr>
        <w:fldChar w:fldCharType="end"/>
      </w:r>
      <w:r>
        <w:rPr>
          <w:rFonts w:hint="eastAsia" w:ascii="宋体" w:hAnsi="宋体" w:eastAsia="宋体" w:cs="宋体"/>
          <w:sz w:val="24"/>
          <w:szCs w:val="24"/>
        </w:rPr>
        <w:t>中规定的各项评审因素及其分值进行综合评分后，以评分从高到低的顺序推荐1至3家供应商作为中标候选供应商的评标方法。</w:t>
      </w:r>
    </w:p>
    <w:p>
      <w:pPr>
        <w:pStyle w:val="4"/>
        <w:bidi w:val="0"/>
        <w:rPr>
          <w:rFonts w:hint="eastAsia"/>
        </w:rPr>
      </w:pPr>
      <w:bookmarkStart w:id="81" w:name="_Toc41839726"/>
      <w:bookmarkStart w:id="82" w:name="_Toc406672391"/>
      <w:bookmarkStart w:id="83" w:name="_Toc406671098"/>
      <w:bookmarkStart w:id="84" w:name="_Toc406670727"/>
      <w:bookmarkStart w:id="85" w:name="_Toc14760"/>
      <w:bookmarkStart w:id="86" w:name="_Toc406671686"/>
      <w:r>
        <w:rPr>
          <w:rFonts w:hint="eastAsia"/>
          <w:lang w:eastAsia="zh-CN"/>
        </w:rPr>
        <w:t>二、</w:t>
      </w:r>
      <w:r>
        <w:rPr>
          <w:rFonts w:hint="eastAsia"/>
        </w:rPr>
        <w:t>评分标准</w:t>
      </w:r>
      <w:bookmarkEnd w:id="81"/>
      <w:bookmarkEnd w:id="82"/>
      <w:bookmarkEnd w:id="83"/>
      <w:bookmarkEnd w:id="84"/>
      <w:bookmarkEnd w:id="85"/>
      <w:bookmarkEnd w:id="86"/>
    </w:p>
    <w:p>
      <w:pPr>
        <w:pStyle w:val="6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分的主要因素分为价格因素、技术因素（如技术参数、产品性能、产品质量等）和商务因素（如信誉、业绩、服务期、质保期等）。评分因素详见评分表。评标分值保留至两位小数。评标时，评标专家依照评分表对每个有效供应商的投标文件进行独立评审、打分。</w:t>
      </w: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 初步审查</w:t>
      </w: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2.1.1.</w:t>
      </w:r>
      <w:r>
        <w:rPr>
          <w:rFonts w:hint="eastAsia" w:ascii="宋体" w:hAnsi="宋体" w:eastAsia="宋体" w:cs="宋体"/>
          <w:sz w:val="24"/>
          <w:szCs w:val="24"/>
        </w:rPr>
        <w:t>资格性审查表</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65"/>
        <w:gridCol w:w="1198"/>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4608" w:type="pct"/>
            <w:gridSpan w:val="2"/>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restar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703" w:type="pct"/>
            <w:vMerge w:val="restar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“申请人的资格要求”第（一）款的规定</w:t>
            </w:r>
          </w:p>
        </w:tc>
        <w:tc>
          <w:tcPr>
            <w:tcW w:w="390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cs="宋体"/>
                <w:kern w:val="0"/>
                <w:sz w:val="24"/>
                <w:szCs w:val="24"/>
                <w:lang w:eastAsia="zh-CN"/>
              </w:rPr>
            </w:pPr>
            <w:r>
              <w:rPr>
                <w:rFonts w:hint="eastAsia" w:ascii="宋体" w:hAnsi="宋体" w:eastAsia="宋体" w:cs="宋体"/>
                <w:kern w:val="0"/>
                <w:sz w:val="24"/>
                <w:szCs w:val="24"/>
              </w:rPr>
              <w:t>具有独立承担民事责任的能力</w:t>
            </w:r>
            <w:r>
              <w:rPr>
                <w:rFonts w:hint="eastAsia" w:ascii="宋体" w:hAnsi="宋体" w:cs="宋体"/>
                <w:kern w:val="0"/>
                <w:sz w:val="24"/>
                <w:szCs w:val="24"/>
                <w:lang w:eastAsia="zh-CN"/>
              </w:rPr>
              <w:t>。</w:t>
            </w:r>
          </w:p>
          <w:p>
            <w:pPr>
              <w:pStyle w:val="8"/>
              <w:keepNext w:val="0"/>
              <w:keepLines w:val="0"/>
              <w:pageBreakBefore w:val="0"/>
              <w:widowControl w:val="0"/>
              <w:kinsoku/>
              <w:wordWrap/>
              <w:overflowPunct/>
              <w:topLinePunct w:val="0"/>
              <w:bidi w:val="0"/>
              <w:adjustRightInd/>
              <w:snapToGrid/>
              <w:spacing w:before="0" w:beforeAutospacing="0" w:after="0" w:afterAutospacing="0"/>
              <w:textAlignment w:val="auto"/>
              <w:rPr>
                <w:rFonts w:hint="eastAsia" w:ascii="宋体" w:hAnsi="宋体" w:eastAsia="宋体" w:cs="宋体"/>
                <w:kern w:val="0"/>
                <w:sz w:val="24"/>
                <w:szCs w:val="24"/>
              </w:rPr>
            </w:pPr>
            <w:r>
              <w:rPr>
                <w:rFonts w:hint="eastAsia" w:ascii="宋体" w:hAnsi="宋体" w:cs="宋体"/>
                <w:kern w:val="0"/>
                <w:sz w:val="24"/>
                <w:szCs w:val="24"/>
                <w:lang w:eastAsia="zh-CN"/>
              </w:rPr>
              <w:t>需提供：</w:t>
            </w:r>
            <w:r>
              <w:rPr>
                <w:rFonts w:hint="eastAsia" w:ascii="宋体" w:hAnsi="宋体" w:eastAsia="宋体" w:cs="宋体"/>
                <w:kern w:val="0"/>
                <w:sz w:val="24"/>
                <w:szCs w:val="24"/>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具有良好的商业信誉和健全的财务会计制度</w:t>
            </w:r>
            <w:r>
              <w:rPr>
                <w:rFonts w:hint="eastAsia" w:ascii="宋体" w:hAnsi="宋体" w:eastAsia="宋体" w:cs="宋体"/>
                <w:sz w:val="24"/>
                <w:szCs w:val="24"/>
                <w:lang w:val="en-US" w:eastAsia="zh-CN" w:bidi="ar-SA"/>
              </w:rPr>
              <w:t>；</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需提供：</w:t>
            </w:r>
            <w:r>
              <w:rPr>
                <w:rFonts w:hint="eastAsia" w:ascii="宋体" w:hAnsi="宋体" w:eastAsia="宋体" w:cs="宋体"/>
                <w:sz w:val="24"/>
                <w:szCs w:val="24"/>
                <w:lang w:val="en-US" w:bidi="ar-SA"/>
              </w:rPr>
              <w:t>投标人是法人的，应提供上一年度经审计的财务报告，或其基本开户银行出具的资信证明。其他组织和自然人，没有经审计的财务报告，提供银行出具的资信证明。</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专业担保机构对投标人进行资信审查后出具投标担保函的，可以不用提供经审计的财务报告和银行资信证明文件</w:t>
            </w:r>
            <w:r>
              <w:rPr>
                <w:rFonts w:hint="eastAsia" w:ascii="宋体" w:hAnsi="宋体" w:eastAsia="宋体" w:cs="宋体"/>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具有履行合同所必需的设备和专业技术能力</w:t>
            </w:r>
            <w:r>
              <w:rPr>
                <w:rFonts w:hint="eastAsia" w:ascii="宋体" w:hAnsi="宋体" w:eastAsia="宋体" w:cs="宋体"/>
                <w:sz w:val="24"/>
                <w:szCs w:val="24"/>
                <w:lang w:val="en-US" w:eastAsia="zh-CN" w:bidi="ar-SA"/>
              </w:rPr>
              <w:t>；</w:t>
            </w:r>
          </w:p>
          <w:p>
            <w:pPr>
              <w:pStyle w:val="60"/>
              <w:spacing w:line="360" w:lineRule="auto"/>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bidi="ar-SA"/>
              </w:rPr>
              <w:t>提供具备履行合同所必需的设备购置发票或租赁合同和专业技术能力的证明材料（或提供承诺书）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有依法缴纳税收和社会保障资金的良好记录</w:t>
            </w:r>
            <w:r>
              <w:rPr>
                <w:rFonts w:hint="eastAsia" w:ascii="宋体" w:hAnsi="宋体" w:eastAsia="宋体" w:cs="宋体"/>
                <w:sz w:val="24"/>
                <w:szCs w:val="24"/>
                <w:lang w:val="en-US" w:eastAsia="zh-CN" w:bidi="ar-SA"/>
              </w:rPr>
              <w:t>；</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eastAsia="zh-CN" w:bidi="ar-SA"/>
              </w:rPr>
              <w:t>需提供：</w:t>
            </w:r>
            <w:r>
              <w:rPr>
                <w:rFonts w:hint="eastAsia" w:ascii="宋体" w:hAnsi="宋体" w:eastAsia="宋体" w:cs="宋体"/>
                <w:sz w:val="24"/>
                <w:szCs w:val="24"/>
                <w:lang w:val="en-US" w:bidi="ar-SA"/>
              </w:rPr>
              <w:t>投标人依法缴纳税收的证明材料：本项目公告发布时间前6个月内（至少提供1个月）缴纳税收的凭据（完税证、缴款书、印花税票、银行代扣（代缴）转账凭证等均可）；</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投标人依法缴纳社会保障资金的证明材料：本项目公告发布时间前6个月内（至少提供1个月）缴纳社会保险的凭据（专用收据或社会保险交纳清单）；</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投标人为其他组织或自然人的，也需要按此项规定提供缴纳税收的凭据和交纳社会保险的凭据；</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递交响应文件截止时间的当月成立但因税务机关原因导致其尚未依法缴纳税收的投标人，提供依法缴纳税收承诺书原件（格式自拟），该承诺书视同税收缴纳凭据。</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递交响应文件截止时间的当月成立但因社会保障资金管理机关原因导致其尚未依法缴纳社会保障资金的投标人，提供依法缴纳社会保障资金承诺书原件（格式自拟），该承诺书视同社会保险凭据。</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依法免税或不需要缴纳社会保障资金的投标人，应提供相应文件证明其依法免税或不需要交纳社会保障资金。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参加政府采购活动前三年内，在经营活动中没有重大违法记录</w:t>
            </w:r>
            <w:r>
              <w:rPr>
                <w:rFonts w:hint="eastAsia" w:ascii="宋体" w:hAnsi="宋体" w:eastAsia="宋体" w:cs="宋体"/>
                <w:sz w:val="24"/>
                <w:szCs w:val="24"/>
                <w:lang w:val="en-US" w:eastAsia="zh-CN" w:bidi="ar-SA"/>
              </w:rPr>
              <w:t>；</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法律、行政法规规定的其他条件</w:t>
            </w:r>
            <w:r>
              <w:rPr>
                <w:rFonts w:hint="eastAsia" w:ascii="宋体" w:hAnsi="宋体" w:eastAsia="宋体" w:cs="宋体"/>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86" w:hRule="atLeast"/>
          <w:jc w:val="center"/>
        </w:trPr>
        <w:tc>
          <w:tcPr>
            <w:tcW w:w="391" w:type="pct"/>
            <w:vMerge w:val="restar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703" w:type="pct"/>
            <w:vMerge w:val="restar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bidi="ar-SA"/>
              </w:rPr>
            </w:pPr>
            <w:r>
              <w:rPr>
                <w:rFonts w:hint="eastAsia" w:ascii="宋体" w:hAnsi="宋体" w:eastAsia="宋体" w:cs="宋体"/>
                <w:sz w:val="24"/>
                <w:szCs w:val="24"/>
                <w:lang w:val="en-US" w:bidi="ar-SA"/>
              </w:rPr>
              <w:t>“申请人资格要求”第（三）款的规定</w:t>
            </w: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bidi="ar-SA"/>
              </w:rPr>
              <w:t>投标人未</w:t>
            </w:r>
            <w:r>
              <w:rPr>
                <w:rFonts w:hint="eastAsia" w:ascii="宋体" w:hAnsi="宋体" w:eastAsia="宋体" w:cs="宋体"/>
                <w:sz w:val="24"/>
                <w:szCs w:val="24"/>
                <w:highlight w:val="none"/>
                <w:lang w:val="en-US" w:bidi="ar-SA"/>
              </w:rPr>
              <w:t>被列入“信用中国”网站(www.creditchina.gov.cn)失信被执行人、重大税收违法案件当事人、政府采购严重违法失信行为记录名单和“中国政府采购”网站（www.ccgp.gov.cn）政府采购严重违法失信行为记录名单</w:t>
            </w:r>
            <w:r>
              <w:rPr>
                <w:rFonts w:hint="eastAsia" w:ascii="宋体" w:hAnsi="宋体" w:eastAsia="宋体" w:cs="宋体"/>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8" w:hRule="atLeast"/>
          <w:jc w:val="center"/>
        </w:trPr>
        <w:tc>
          <w:tcPr>
            <w:tcW w:w="391"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703" w:type="pct"/>
            <w:vMerge w:val="continue"/>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kern w:val="0"/>
                <w:sz w:val="24"/>
                <w:szCs w:val="24"/>
              </w:rPr>
            </w:pPr>
          </w:p>
        </w:tc>
        <w:tc>
          <w:tcPr>
            <w:tcW w:w="390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标项1：①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1"/>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②生产企业具备《药品生产许可证》，经营企业具备《药品经营许可证》（含中药饮片）；</w:t>
            </w:r>
          </w:p>
        </w:tc>
      </w:tr>
    </w:tbl>
    <w:p>
      <w:pPr>
        <w:pStyle w:val="6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采购人根据《资格性审查表》中所列供应商资格要求，对供应商资格证明文件进行审查，审查通过的进入下一环节，未通过资格性审查的投标文件无效；</w:t>
      </w:r>
    </w:p>
    <w:p>
      <w:pPr>
        <w:rPr>
          <w:rFonts w:hint="eastAsia" w:ascii="宋体" w:hAnsi="宋体" w:cs="宋体"/>
          <w:bCs/>
          <w:sz w:val="21"/>
          <w:szCs w:val="21"/>
        </w:rPr>
      </w:pPr>
      <w:r>
        <w:rPr>
          <w:rFonts w:hint="eastAsia" w:ascii="宋体" w:hAnsi="宋体" w:cs="宋体"/>
          <w:bCs/>
          <w:sz w:val="21"/>
          <w:szCs w:val="21"/>
        </w:rPr>
        <w:br w:type="page"/>
      </w: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2.1.2符合性审查表</w:t>
      </w:r>
    </w:p>
    <w:tbl>
      <w:tblPr>
        <w:tblStyle w:val="26"/>
        <w:tblW w:w="4994" w:type="pct"/>
        <w:jc w:val="center"/>
        <w:tblLayout w:type="autofit"/>
        <w:tblCellMar>
          <w:top w:w="0" w:type="dxa"/>
          <w:left w:w="108" w:type="dxa"/>
          <w:bottom w:w="0" w:type="dxa"/>
          <w:right w:w="108" w:type="dxa"/>
        </w:tblCellMar>
      </w:tblPr>
      <w:tblGrid>
        <w:gridCol w:w="630"/>
        <w:gridCol w:w="1296"/>
        <w:gridCol w:w="6587"/>
      </w:tblGrid>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序号</w:t>
            </w: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color w:val="000000"/>
                <w:sz w:val="24"/>
                <w:szCs w:val="24"/>
              </w:rPr>
            </w:pPr>
            <w:r>
              <w:rPr>
                <w:rFonts w:hint="eastAsia" w:ascii="宋体" w:hAnsi="宋体" w:eastAsia="宋体" w:cs="宋体"/>
                <w:sz w:val="24"/>
                <w:szCs w:val="24"/>
              </w:rPr>
              <w:t>审查事项</w:t>
            </w:r>
          </w:p>
        </w:tc>
        <w:tc>
          <w:tcPr>
            <w:tcW w:w="3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ind w:firstLine="48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审查内容</w:t>
            </w:r>
          </w:p>
        </w:tc>
      </w:tr>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Autospacing="0" w:afterAutospacing="0"/>
              <w:jc w:val="center"/>
              <w:rPr>
                <w:rFonts w:hint="eastAsia" w:ascii="宋体" w:hAnsi="宋体" w:eastAsia="宋体" w:cs="宋体"/>
                <w:sz w:val="24"/>
                <w:szCs w:val="24"/>
              </w:rPr>
            </w:pP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名称</w:t>
            </w:r>
          </w:p>
        </w:tc>
        <w:tc>
          <w:tcPr>
            <w:tcW w:w="3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供应商名称与营业执照、税务登记证、资质证书一致</w:t>
            </w:r>
          </w:p>
        </w:tc>
      </w:tr>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投标保证金</w:t>
            </w:r>
          </w:p>
        </w:tc>
        <w:tc>
          <w:tcPr>
            <w:tcW w:w="3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保证金按招标文件要求递交</w:t>
            </w:r>
          </w:p>
        </w:tc>
      </w:tr>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委托书</w:t>
            </w:r>
          </w:p>
        </w:tc>
        <w:tc>
          <w:tcPr>
            <w:tcW w:w="3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按要求提供法定代表人身份证明或法定代表人授权委托书；</w:t>
            </w:r>
          </w:p>
        </w:tc>
      </w:tr>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投标文件签字盖章</w:t>
            </w:r>
          </w:p>
        </w:tc>
        <w:tc>
          <w:tcPr>
            <w:tcW w:w="3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投标文件按要求签字盖章，且投标有效期满足招标文件要求；</w:t>
            </w:r>
          </w:p>
        </w:tc>
      </w:tr>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761" w:type="pct"/>
            <w:tcBorders>
              <w:top w:val="single" w:color="000000" w:sz="4" w:space="0"/>
              <w:left w:val="single" w:color="000000" w:sz="4" w:space="0"/>
              <w:bottom w:val="single" w:color="000000" w:sz="4" w:space="0"/>
              <w:right w:val="single" w:color="000000" w:sz="4" w:space="0"/>
            </w:tcBorders>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有效报价</w:t>
            </w:r>
          </w:p>
        </w:tc>
        <w:tc>
          <w:tcPr>
            <w:tcW w:w="3868" w:type="pct"/>
            <w:tcBorders>
              <w:top w:val="single" w:color="000000" w:sz="4" w:space="0"/>
              <w:left w:val="single" w:color="000000" w:sz="4" w:space="0"/>
              <w:bottom w:val="single" w:color="000000" w:sz="4" w:space="0"/>
              <w:right w:val="single" w:color="000000" w:sz="4" w:space="0"/>
            </w:tcBorders>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按照招标文件要求进行有效报价，不存在高于最高限价或低于成本价，不存在恶意报价损害采购人利益的行为；</w:t>
            </w:r>
          </w:p>
        </w:tc>
      </w:tr>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w:t>
            </w: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投标文件内容</w:t>
            </w:r>
          </w:p>
        </w:tc>
        <w:tc>
          <w:tcPr>
            <w:tcW w:w="3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按要求递交正本1份，副本3份，且投标文件对招标文件的实质性要求作出响应；</w:t>
            </w:r>
          </w:p>
        </w:tc>
      </w:tr>
      <w:tr>
        <w:tblPrEx>
          <w:tblCellMar>
            <w:top w:w="0" w:type="dxa"/>
            <w:left w:w="108" w:type="dxa"/>
            <w:bottom w:w="0" w:type="dxa"/>
            <w:right w:w="108" w:type="dxa"/>
          </w:tblCellMar>
        </w:tblPrEx>
        <w:trPr>
          <w:trHeight w:val="567" w:hRule="atLeast"/>
          <w:jc w:val="center"/>
        </w:trPr>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76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jc w:val="center"/>
              <w:textAlignment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其他</w:t>
            </w:r>
          </w:p>
        </w:tc>
        <w:tc>
          <w:tcPr>
            <w:tcW w:w="3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1.不存在串通投标、弄虚作假、行贿等违法行为；</w:t>
            </w:r>
          </w:p>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2.符合国家及招标文件规定的其他要求；</w:t>
            </w:r>
          </w:p>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3.不存在单位负责人为同一人或者存在直接控股、管理关系的不同供应商；</w:t>
            </w:r>
          </w:p>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4.未出现采购人不能接受的附加条件。</w:t>
            </w:r>
          </w:p>
        </w:tc>
      </w:tr>
    </w:tbl>
    <w:p>
      <w:pPr>
        <w:spacing w:beforeLines="100" w:afterLines="50"/>
        <w:ind w:firstLine="440" w:firstLineChars="200"/>
        <w:rPr>
          <w:rFonts w:ascii="宋体" w:hAnsi="宋体" w:cs="宋体"/>
          <w:sz w:val="22"/>
          <w:szCs w:val="28"/>
        </w:rPr>
      </w:pPr>
      <w:r>
        <w:rPr>
          <w:rFonts w:hint="eastAsia" w:ascii="宋体" w:hAnsi="宋体" w:cs="宋体"/>
          <w:sz w:val="22"/>
          <w:szCs w:val="28"/>
        </w:rPr>
        <w:t>评标委员会依据《符合性审查表》审查投标文件是否对采购文件作了实质性响应，即投标文件是否满足或响应招标文件技术、商务方面的要求。（技术符合性：投标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投标文件的组成、投标文件的完整性和有效性等符合采购文件规定，无实质性负偏离、反对、设定条件或提出保留。）审查通过的进入评分环节，未通过符合性性审查的投标文件无效；</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2.2评分标准</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2.2报价部分（占总分值的</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56"/>
        <w:gridCol w:w="5678"/>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5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序号</w:t>
            </w:r>
          </w:p>
        </w:tc>
        <w:tc>
          <w:tcPr>
            <w:tcW w:w="62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评审项目</w:t>
            </w:r>
          </w:p>
        </w:tc>
        <w:tc>
          <w:tcPr>
            <w:tcW w:w="333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评分标准</w:t>
            </w:r>
          </w:p>
        </w:tc>
        <w:tc>
          <w:tcPr>
            <w:tcW w:w="59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453" w:type="pct"/>
            <w:tcBorders>
              <w:top w:val="single" w:color="auto" w:sz="4" w:space="0"/>
              <w:left w:val="single" w:color="auto" w:sz="4" w:space="0"/>
              <w:bottom w:val="single" w:color="auto" w:sz="4" w:space="0"/>
              <w:right w:val="single" w:color="auto" w:sz="4" w:space="0"/>
            </w:tcBorders>
            <w:vAlign w:val="center"/>
          </w:tcPr>
          <w:p>
            <w:pPr>
              <w:pStyle w:val="61"/>
              <w:numPr>
                <w:ilvl w:val="0"/>
                <w:numId w:val="0"/>
              </w:numPr>
              <w:autoSpaceDE w:val="0"/>
              <w:autoSpaceDN w:val="0"/>
              <w:spacing w:before="0" w:beforeAutospacing="0" w:after="0" w:afterAutospacing="0" w:line="240" w:lineRule="auto"/>
              <w:ind w:leftChars="0"/>
              <w:jc w:val="center"/>
              <w:rPr>
                <w:rFonts w:hint="eastAsia" w:ascii="宋体" w:hAnsi="宋体" w:eastAsia="宋体" w:cs="宋体"/>
                <w:color w:val="000000" w:themeColor="text1"/>
                <w:sz w:val="24"/>
                <w:szCs w:val="24"/>
                <w:highlight w:val="none"/>
                <w:lang w:eastAsia="zh-CN"/>
              </w:rPr>
            </w:pPr>
            <w:r>
              <w:rPr>
                <w:rFonts w:hint="eastAsia" w:ascii="宋体" w:hAnsi="宋体" w:eastAsia="宋体" w:cs="宋体"/>
                <w:color w:val="000000" w:themeColor="text1"/>
                <w:sz w:val="24"/>
                <w:szCs w:val="24"/>
                <w:highlight w:val="none"/>
                <w:lang w:val="en-US" w:eastAsia="zh-CN"/>
              </w:rPr>
              <w:t>1</w:t>
            </w:r>
          </w:p>
        </w:tc>
        <w:tc>
          <w:tcPr>
            <w:tcW w:w="620"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highlight w:val="none"/>
              </w:rPr>
            </w:pPr>
            <w:r>
              <w:rPr>
                <w:rFonts w:hint="eastAsia" w:ascii="宋体" w:hAnsi="宋体" w:eastAsia="宋体" w:cs="宋体"/>
                <w:sz w:val="24"/>
                <w:szCs w:val="24"/>
                <w:highlight w:val="none"/>
              </w:rPr>
              <w:t>投标报价</w:t>
            </w:r>
          </w:p>
        </w:tc>
        <w:tc>
          <w:tcPr>
            <w:tcW w:w="3333" w:type="pct"/>
            <w:tcBorders>
              <w:top w:val="single" w:color="auto" w:sz="4" w:space="0"/>
              <w:left w:val="single" w:color="auto" w:sz="4" w:space="0"/>
              <w:bottom w:val="single" w:color="auto" w:sz="4" w:space="0"/>
              <w:right w:val="single" w:color="auto" w:sz="4" w:space="0"/>
            </w:tcBorders>
            <w:vAlign w:val="center"/>
          </w:tcPr>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在价格评分时，满足招标文件要求且投标价格最低的投标报价为评标基准价，其价格分为满分。其他投标人的价格分统一按照下列公式计算：</w:t>
            </w:r>
          </w:p>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投标报价得分=(评标基准价/投标报价)×100</w:t>
            </w:r>
          </w:p>
          <w:p>
            <w:pPr>
              <w:pStyle w:val="69"/>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4"/>
                <w:szCs w:val="24"/>
                <w:highlight w:val="none"/>
              </w:rPr>
            </w:pPr>
            <w:r>
              <w:rPr>
                <w:rFonts w:hint="eastAsia" w:ascii="宋体" w:hAnsi="宋体" w:eastAsia="宋体" w:cs="宋体"/>
                <w:sz w:val="24"/>
                <w:szCs w:val="24"/>
                <w:highlight w:val="none"/>
              </w:rPr>
              <w:t>因落实政府采购政策进行价格调整的，以调整后的价格计算评标基准价和投标报价。</w:t>
            </w:r>
          </w:p>
        </w:tc>
        <w:tc>
          <w:tcPr>
            <w:tcW w:w="593"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000000" w:themeColor="text1"/>
                <w:sz w:val="24"/>
                <w:szCs w:val="24"/>
                <w:highlight w:val="none"/>
                <w:lang w:val="en-US" w:eastAsia="zh-CN"/>
              </w:rPr>
            </w:pPr>
            <w:r>
              <w:rPr>
                <w:rFonts w:hint="eastAsia" w:ascii="宋体" w:hAnsi="宋体" w:cs="宋体"/>
                <w:sz w:val="24"/>
                <w:szCs w:val="24"/>
                <w:highlight w:val="none"/>
                <w:lang w:val="en-US" w:eastAsia="zh-CN"/>
              </w:rPr>
              <w:t>30</w:t>
            </w:r>
          </w:p>
        </w:tc>
      </w:tr>
    </w:tbl>
    <w:p>
      <w:pPr>
        <w:pStyle w:val="60"/>
        <w:spacing w:line="360" w:lineRule="auto"/>
        <w:ind w:firstLine="440" w:firstLineChars="200"/>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根据《政府采购促进中小企业发展管理办法》（财库〔2020〕46 号）及相关规定，在技术、商务等均满足采购需求的前提下，本项目对小型和微型企业产品给予 6% 的价格扣除，用扣除后的价格参与评审。中小企业须提供中小企业声明函且声明函所载内容必须真实，如有虚假，将依法承担相应责任，包括取消中标资格、投标保证金不予退还等。中小企业划分标准依照</w:t>
      </w:r>
      <w:r>
        <w:rPr>
          <w:rFonts w:asciiTheme="minorEastAsia" w:hAnsiTheme="minorEastAsia" w:eastAsiaTheme="minorEastAsia"/>
          <w:sz w:val="22"/>
          <w:szCs w:val="22"/>
          <w:highlight w:val="none"/>
        </w:rPr>
        <w:t>工业和信息化部</w:t>
      </w:r>
      <w:r>
        <w:rPr>
          <w:rFonts w:hint="eastAsia" w:asciiTheme="minorEastAsia" w:hAnsiTheme="minorEastAsia" w:eastAsiaTheme="minorEastAsia"/>
          <w:sz w:val="22"/>
          <w:szCs w:val="22"/>
          <w:highlight w:val="none"/>
        </w:rPr>
        <w:t>、</w:t>
      </w:r>
      <w:r>
        <w:rPr>
          <w:rFonts w:asciiTheme="minorEastAsia" w:hAnsiTheme="minorEastAsia" w:eastAsiaTheme="minorEastAsia"/>
          <w:sz w:val="22"/>
          <w:szCs w:val="22"/>
          <w:highlight w:val="none"/>
        </w:rPr>
        <w:t>国家统计局</w:t>
      </w:r>
      <w:r>
        <w:rPr>
          <w:rFonts w:hint="eastAsia" w:asciiTheme="minorEastAsia" w:hAnsiTheme="minorEastAsia" w:eastAsiaTheme="minorEastAsia"/>
          <w:sz w:val="22"/>
          <w:szCs w:val="22"/>
          <w:highlight w:val="none"/>
        </w:rPr>
        <w:t>、</w:t>
      </w:r>
      <w:r>
        <w:rPr>
          <w:rFonts w:asciiTheme="minorEastAsia" w:hAnsiTheme="minorEastAsia" w:eastAsiaTheme="minorEastAsia"/>
          <w:sz w:val="22"/>
          <w:szCs w:val="22"/>
          <w:highlight w:val="none"/>
        </w:rPr>
        <w:t>国家发展和改革委员会</w:t>
      </w:r>
      <w:r>
        <w:rPr>
          <w:rFonts w:hint="eastAsia" w:asciiTheme="minorEastAsia" w:hAnsiTheme="minorEastAsia" w:eastAsiaTheme="minorEastAsia"/>
          <w:sz w:val="22"/>
          <w:szCs w:val="22"/>
          <w:highlight w:val="none"/>
        </w:rPr>
        <w:t>、</w:t>
      </w:r>
      <w:r>
        <w:rPr>
          <w:rFonts w:asciiTheme="minorEastAsia" w:hAnsiTheme="minorEastAsia" w:eastAsiaTheme="minorEastAsia"/>
          <w:sz w:val="22"/>
          <w:szCs w:val="22"/>
          <w:highlight w:val="none"/>
        </w:rPr>
        <w:t>财政部</w:t>
      </w:r>
      <w:r>
        <w:rPr>
          <w:rFonts w:hint="eastAsia" w:asciiTheme="minorEastAsia" w:hAnsiTheme="minorEastAsia" w:eastAsiaTheme="minorEastAsia"/>
          <w:sz w:val="22"/>
          <w:szCs w:val="22"/>
          <w:highlight w:val="none"/>
        </w:rPr>
        <w:t>联合下发的《</w:t>
      </w:r>
      <w:r>
        <w:rPr>
          <w:rFonts w:asciiTheme="minorEastAsia" w:hAnsiTheme="minorEastAsia" w:eastAsiaTheme="minorEastAsia"/>
          <w:sz w:val="22"/>
          <w:szCs w:val="22"/>
          <w:highlight w:val="none"/>
        </w:rPr>
        <w:t>关于印发中小企业划型标准规定的通知</w:t>
      </w:r>
      <w:r>
        <w:rPr>
          <w:rFonts w:hint="eastAsia" w:asciiTheme="minorEastAsia" w:hAnsiTheme="minorEastAsia" w:eastAsiaTheme="minorEastAsia"/>
          <w:sz w:val="22"/>
          <w:szCs w:val="22"/>
          <w:highlight w:val="none"/>
        </w:rPr>
        <w:t>》（工信部联企业《2011》300号）执行。价格扣除只针对投标报价未超过财政控制值的供应商有效。</w:t>
      </w:r>
    </w:p>
    <w:p>
      <w:pPr>
        <w:pStyle w:val="60"/>
        <w:spacing w:line="360" w:lineRule="auto"/>
        <w:ind w:firstLine="440" w:firstLineChars="200"/>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评标委员会成员对于节能产品或环保产品或小型、微型企业的价格扣除，依据投标人填写的《产品适用政府采购政策情况表》（如有）、相关声明函。</w:t>
      </w:r>
      <w:r>
        <w:rPr>
          <w:rFonts w:asciiTheme="minorEastAsia" w:hAnsiTheme="minorEastAsia" w:eastAsiaTheme="minorEastAsia"/>
          <w:sz w:val="22"/>
          <w:szCs w:val="22"/>
          <w:highlight w:val="none"/>
        </w:rPr>
        <w:t xml:space="preserve"> </w:t>
      </w:r>
    </w:p>
    <w:p>
      <w:pPr>
        <w:pStyle w:val="60"/>
        <w:spacing w:line="360" w:lineRule="auto"/>
        <w:ind w:firstLine="440" w:firstLineChars="200"/>
        <w:rPr>
          <w:rFonts w:asciiTheme="minorEastAsia" w:hAnsiTheme="minorEastAsia" w:eastAsiaTheme="minorEastAsia"/>
          <w:sz w:val="22"/>
          <w:szCs w:val="22"/>
          <w:highlight w:val="none"/>
        </w:rPr>
      </w:pPr>
      <w:r>
        <w:rPr>
          <w:rFonts w:hint="eastAsia" w:asciiTheme="minorEastAsia" w:hAnsiTheme="minorEastAsia" w:eastAsiaTheme="minorEastAsia"/>
          <w:sz w:val="22"/>
          <w:szCs w:val="22"/>
          <w:highlight w:val="none"/>
        </w:rPr>
        <w:t xml:space="preserve">对于非专门面向中小微企业采购的项目，依照《政府采购促进中小企业发展管理办法》的规定，凡符合要求的有效投标人，按照以下比例给予相应的价格扣除： </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644"/>
        <w:gridCol w:w="2220"/>
        <w:gridCol w:w="2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序号</w:t>
            </w:r>
          </w:p>
        </w:tc>
        <w:tc>
          <w:tcPr>
            <w:tcW w:w="155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情形</w:t>
            </w:r>
          </w:p>
        </w:tc>
        <w:tc>
          <w:tcPr>
            <w:tcW w:w="130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价格扣除比例</w:t>
            </w:r>
          </w:p>
        </w:tc>
        <w:tc>
          <w:tcPr>
            <w:tcW w:w="170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1</w:t>
            </w:r>
          </w:p>
        </w:tc>
        <w:tc>
          <w:tcPr>
            <w:tcW w:w="1552"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供应商须为小型、微型企业</w:t>
            </w:r>
          </w:p>
        </w:tc>
        <w:tc>
          <w:tcPr>
            <w:tcW w:w="1303"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对小型和微型企业产品的价格扣除6%</w:t>
            </w:r>
          </w:p>
        </w:tc>
        <w:tc>
          <w:tcPr>
            <w:tcW w:w="170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cs="仿宋_GB2312"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rPr>
              <w:t>评标价＝总投标报价—小型和微型企业产品的价格×6%</w:t>
            </w:r>
          </w:p>
        </w:tc>
      </w:tr>
    </w:tbl>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注：</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（1）中型企业不享受以上优惠；</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（2）小型、微型企业提供中型企业制造的货物的，视同为中型企业。</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（3）小型和微型企业产品包括货物及其提供的服务与工程，无法认定小型和微型企业的，不享受价格扣除。</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（4）监狱企业视同小微企业，监狱企业投标的提供由省级以上监狱管理局、戒毒管理局(含新疆生产建设兵团)出具的属于监狱企业的证明文件，不再提供《中小微企业声明函》。</w:t>
      </w:r>
    </w:p>
    <w:p>
      <w:pPr>
        <w:pStyle w:val="60"/>
        <w:spacing w:line="360" w:lineRule="auto"/>
        <w:rPr>
          <w:rFonts w:hint="eastAsia" w:asciiTheme="minorEastAsia" w:hAnsiTheme="minorEastAsia" w:eastAsiaTheme="minorEastAsia"/>
          <w:sz w:val="22"/>
          <w:szCs w:val="22"/>
        </w:rPr>
      </w:pPr>
      <w:r>
        <w:rPr>
          <w:rFonts w:hint="eastAsia" w:asciiTheme="minorEastAsia" w:hAnsiTheme="minorEastAsia" w:eastAsiaTheme="minorEastAsia"/>
          <w:sz w:val="22"/>
          <w:szCs w:val="22"/>
        </w:rPr>
        <w:t>（5）残疾人福利性单位视同小型、微型企业，残疾人福利性单位属于小型、微型企业的，不重复享受政策。符合条件的残疾人福利性单位在参加政府采购活动时，应当提供《残疾人福利性单位声明函》</w:t>
      </w:r>
    </w:p>
    <w:p>
      <w:pPr>
        <w:pStyle w:val="60"/>
        <w:spacing w:line="360" w:lineRule="auto"/>
        <w:rPr>
          <w:rFonts w:hint="eastAsia" w:asciiTheme="minorEastAsia" w:hAnsiTheme="minorEastAsia" w:eastAsiaTheme="minorEastAsia"/>
          <w:sz w:val="22"/>
          <w:szCs w:val="22"/>
        </w:rPr>
      </w:pPr>
    </w:p>
    <w:p>
      <w:pPr>
        <w:pStyle w:val="6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2.3商务技术部分（占总分值</w:t>
      </w:r>
      <w:r>
        <w:rPr>
          <w:rFonts w:hint="eastAsia" w:ascii="宋体" w:hAnsi="宋体" w:cs="宋体"/>
          <w:sz w:val="24"/>
          <w:szCs w:val="24"/>
          <w:lang w:val="en-US" w:eastAsia="zh-CN"/>
        </w:rPr>
        <w:t>70</w:t>
      </w:r>
      <w:r>
        <w:rPr>
          <w:rFonts w:hint="eastAsia" w:ascii="宋体" w:hAnsi="宋体" w:eastAsia="宋体" w:cs="宋体"/>
          <w:sz w:val="24"/>
          <w:szCs w:val="24"/>
          <w:lang w:val="en-US" w:eastAsia="zh-CN"/>
        </w:rP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939"/>
        <w:gridCol w:w="6196"/>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评审项目</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评审细则</w:t>
            </w:r>
          </w:p>
        </w:tc>
        <w:tc>
          <w:tcPr>
            <w:tcW w:w="41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产品符合性</w:t>
            </w:r>
          </w:p>
        </w:tc>
        <w:tc>
          <w:tcPr>
            <w:tcW w:w="3634" w:type="pct"/>
            <w:vAlign w:val="center"/>
          </w:tcPr>
          <w:p>
            <w:pPr>
              <w:keepNext w:val="0"/>
              <w:keepLines w:val="0"/>
              <w:pageBreakBefore w:val="0"/>
              <w:widowControl w:val="0"/>
              <w:numPr>
                <w:ilvl w:val="0"/>
                <w:numId w:val="17"/>
              </w:numPr>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提供产品清单内产品的药品检验机构出具的有效检测报告。每提供一份得</w:t>
            </w:r>
            <w:r>
              <w:rPr>
                <w:rFonts w:hint="eastAsia" w:ascii="宋体" w:hAnsi="宋体" w:eastAsia="宋体" w:cs="宋体"/>
                <w:color w:val="000000"/>
                <w:sz w:val="24"/>
                <w:szCs w:val="24"/>
                <w:lang w:val="en-US" w:eastAsia="zh-CN"/>
              </w:rPr>
              <w:t>1分，最高得25分；</w:t>
            </w:r>
          </w:p>
          <w:p>
            <w:pPr>
              <w:keepNext w:val="0"/>
              <w:keepLines w:val="0"/>
              <w:pageBreakBefore w:val="0"/>
              <w:widowControl w:val="0"/>
              <w:numPr>
                <w:ilvl w:val="0"/>
                <w:numId w:val="17"/>
              </w:numPr>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提供药品目录清单内标有“☆”产品的样品，根据样品的外观、气味、色泽等进行打分。（样品独立小包装，并标明序号及名称）</w:t>
            </w:r>
          </w:p>
          <w:p>
            <w:pPr>
              <w:keepNext w:val="0"/>
              <w:keepLines w:val="0"/>
              <w:pageBreakBefore w:val="0"/>
              <w:widowControl w:val="0"/>
              <w:numPr>
                <w:ilvl w:val="0"/>
                <w:numId w:val="0"/>
              </w:numPr>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符合要求的样品，每个</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0.5分，最高得10分。</w:t>
            </w:r>
          </w:p>
        </w:tc>
        <w:tc>
          <w:tcPr>
            <w:tcW w:w="41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供货方案</w:t>
            </w:r>
          </w:p>
        </w:tc>
        <w:tc>
          <w:tcPr>
            <w:tcW w:w="363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投标人提供的供货方案包括但不限于以下内容：</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①</w:t>
            </w:r>
            <w:r>
              <w:rPr>
                <w:rFonts w:hint="eastAsia" w:ascii="宋体" w:hAnsi="宋体" w:eastAsia="宋体" w:cs="宋体"/>
                <w:color w:val="000000"/>
                <w:sz w:val="24"/>
                <w:szCs w:val="24"/>
                <w:lang w:eastAsia="zh-CN"/>
              </w:rPr>
              <w:t>中药材</w:t>
            </w:r>
            <w:r>
              <w:rPr>
                <w:rFonts w:hint="eastAsia" w:ascii="宋体" w:hAnsi="宋体" w:eastAsia="宋体" w:cs="宋体"/>
                <w:color w:val="000000"/>
                <w:kern w:val="2"/>
                <w:sz w:val="24"/>
                <w:szCs w:val="24"/>
                <w:lang w:val="en-US" w:eastAsia="zh-CN" w:bidi="ar-SA"/>
              </w:rPr>
              <w:t>采购和质量管理方案②</w:t>
            </w:r>
            <w:r>
              <w:rPr>
                <w:rFonts w:hint="eastAsia" w:ascii="宋体" w:hAnsi="宋体" w:eastAsia="宋体" w:cs="宋体"/>
                <w:color w:val="000000"/>
                <w:sz w:val="24"/>
                <w:szCs w:val="24"/>
                <w:lang w:eastAsia="zh-CN"/>
              </w:rPr>
              <w:t>中药材</w:t>
            </w:r>
            <w:r>
              <w:rPr>
                <w:rFonts w:hint="eastAsia" w:ascii="宋体" w:hAnsi="宋体" w:eastAsia="宋体" w:cs="宋体"/>
                <w:color w:val="000000"/>
                <w:kern w:val="2"/>
                <w:sz w:val="24"/>
                <w:szCs w:val="24"/>
                <w:lang w:val="en-US" w:eastAsia="zh-CN" w:bidi="ar-SA"/>
              </w:rPr>
              <w:t>调配管理方案③全程质量管理方案④日常库存管理方案⑤差错处理方案</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每项最高得 1 分，合计最高得5分。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评分细则如下：每项内容完整，阐述清晰且满足项目需求的得 1 分，每少一项或或内容简单不满足项目需求或内容与本项目无关的扣 1分，扣完为止。</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具体措施表述中出现阐述内容错误或表达混乱或工作内容安排不详细的扣 0.5 分，扣完为止。</w:t>
            </w:r>
          </w:p>
        </w:tc>
        <w:tc>
          <w:tcPr>
            <w:tcW w:w="41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产品溯源</w:t>
            </w:r>
          </w:p>
        </w:tc>
        <w:tc>
          <w:tcPr>
            <w:tcW w:w="363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中药材可溯源软件系统，产品包装袋便查信息，每袋产品有二维码便查信息，提供相关资料，资料齐全可操作得2分。</w:t>
            </w:r>
          </w:p>
        </w:tc>
        <w:tc>
          <w:tcPr>
            <w:tcW w:w="41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55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专业人员资质</w:t>
            </w:r>
          </w:p>
        </w:tc>
        <w:tc>
          <w:tcPr>
            <w:tcW w:w="3634"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根据投标人提供的专业人员（执业药师等）数量进行评审，每提供一名专业加 1 分，满分 3 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8" w:leftChars="0" w:right="73" w:hanging="8"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注：拟投入专业人员需持证上岗，并承诺在岗。提供相关承诺并同时列出专业人员资格证明复印件和人员在职（或任职）证明并提供拟派专业人员近 1 年内连续3个月的缴纳社保证明，未提供不得分。</w:t>
            </w:r>
          </w:p>
        </w:tc>
        <w:tc>
          <w:tcPr>
            <w:tcW w:w="414"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售后及应急服务方案</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针对本次项目的售后及应急服务方案包括但不限于：</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①</w:t>
            </w:r>
            <w:r>
              <w:rPr>
                <w:rFonts w:hint="eastAsia" w:ascii="宋体" w:hAnsi="宋体" w:eastAsia="宋体" w:cs="宋体"/>
                <w:color w:val="000000"/>
                <w:kern w:val="2"/>
                <w:sz w:val="24"/>
                <w:szCs w:val="24"/>
                <w:lang w:val="en-US" w:bidi="ar-SA"/>
              </w:rPr>
              <w:t>售后及应急服务场所设立情况</w:t>
            </w:r>
            <w:r>
              <w:rPr>
                <w:rFonts w:hint="eastAsia" w:ascii="宋体" w:hAnsi="宋体" w:eastAsia="宋体" w:cs="宋体"/>
                <w:color w:val="000000"/>
                <w:sz w:val="24"/>
                <w:szCs w:val="24"/>
              </w:rPr>
              <w:t>②应急配送和节假日配送保障、响应时间、到场时间</w:t>
            </w:r>
            <w:r>
              <w:rPr>
                <w:rFonts w:hint="eastAsia" w:ascii="宋体" w:hAnsi="宋体" w:eastAsia="宋体" w:cs="宋体"/>
                <w:color w:val="000000"/>
                <w:sz w:val="24"/>
                <w:szCs w:val="24"/>
                <w:lang w:eastAsia="zh-CN"/>
              </w:rPr>
              <w:t>③人员</w:t>
            </w:r>
            <w:r>
              <w:rPr>
                <w:rFonts w:hint="eastAsia" w:ascii="宋体" w:hAnsi="宋体" w:eastAsia="宋体" w:cs="宋体"/>
                <w:color w:val="000000"/>
                <w:sz w:val="24"/>
                <w:szCs w:val="24"/>
              </w:rPr>
              <w:t>调配</w:t>
            </w:r>
            <w:r>
              <w:rPr>
                <w:rFonts w:hint="eastAsia" w:ascii="宋体" w:hAnsi="宋体" w:eastAsia="宋体" w:cs="宋体"/>
                <w:color w:val="000000"/>
                <w:sz w:val="24"/>
                <w:szCs w:val="24"/>
                <w:lang w:eastAsia="zh-CN"/>
              </w:rPr>
              <w:t>④</w:t>
            </w:r>
            <w:r>
              <w:rPr>
                <w:rFonts w:hint="eastAsia" w:ascii="宋体" w:hAnsi="宋体" w:eastAsia="宋体" w:cs="宋体"/>
                <w:color w:val="000000"/>
                <w:sz w:val="24"/>
                <w:szCs w:val="24"/>
              </w:rPr>
              <w:t>配送登记和服务流程及配送可追溯性</w:t>
            </w:r>
            <w:r>
              <w:rPr>
                <w:rFonts w:hint="eastAsia" w:ascii="宋体" w:hAnsi="宋体" w:eastAsia="宋体" w:cs="宋体"/>
                <w:color w:val="000000"/>
                <w:sz w:val="24"/>
                <w:szCs w:val="24"/>
                <w:lang w:eastAsia="zh-CN"/>
              </w:rPr>
              <w:t>⑤</w:t>
            </w:r>
            <w:r>
              <w:rPr>
                <w:rFonts w:hint="eastAsia" w:ascii="宋体" w:hAnsi="宋体" w:eastAsia="宋体" w:cs="宋体"/>
                <w:color w:val="000000"/>
                <w:sz w:val="24"/>
                <w:szCs w:val="24"/>
              </w:rPr>
              <w:t>售后承诺及退换货承诺</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每项最高得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分，合计最高得</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评分细则如下：每项内容完整，阐述清晰且满足项目需求的得</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xml:space="preserve"> 分，每少一项或或内容简单不满足项目需求或内容与本项目无关的扣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分，扣完为止。</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具体措施表述中出现阐述内容错误或表达混乱或工作内容安排不详细的扣</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分，扣完为止。</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注：提供相关</w:t>
            </w:r>
            <w:r>
              <w:rPr>
                <w:rFonts w:hint="eastAsia" w:ascii="宋体" w:hAnsi="宋体" w:eastAsia="宋体" w:cs="宋体"/>
                <w:color w:val="000000"/>
                <w:sz w:val="24"/>
                <w:szCs w:val="24"/>
                <w:lang w:eastAsia="zh-CN"/>
              </w:rPr>
              <w:t>资料</w:t>
            </w:r>
            <w:r>
              <w:rPr>
                <w:rFonts w:hint="eastAsia" w:ascii="宋体" w:hAnsi="宋体" w:eastAsia="宋体" w:cs="宋体"/>
                <w:color w:val="000000"/>
                <w:sz w:val="24"/>
                <w:szCs w:val="24"/>
              </w:rPr>
              <w:t>，不提供不得分。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55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业绩</w:t>
            </w:r>
          </w:p>
        </w:tc>
        <w:tc>
          <w:tcPr>
            <w:tcW w:w="3634" w:type="pct"/>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0" w:leftChars="0" w:right="73" w:hanging="5"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近 3 年(2019年3月1日至今，以合同签订时间为准）以来在三级及以上医院从事相关中药饮片供货业绩，提供一份业绩得1分, 每增加一家医院的有效业绩的加 1 分，最高得 5 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0" w:leftChars="0" w:right="73" w:hanging="5"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注:需提供中标（成交）通知书及项目合同等证明材料，项目合同中至少包括合同的甲乙双方、项目名称、主要内容、双方签章及生效时间，未提供有效业绩证明不予计分。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55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企业经营管理能力及资质情况</w:t>
            </w:r>
          </w:p>
        </w:tc>
        <w:tc>
          <w:tcPr>
            <w:tcW w:w="3634" w:type="pct"/>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0" w:leftChars="0" w:right="73" w:hanging="5"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具备管理体系认证证书（质量、环境、职业健康安全体系)、企业诚信管理体系认证等，每提供一个认证证书得1分，本项最高得4分。未提供的得0分。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0" w:leftChars="0" w:right="73" w:hanging="5" w:firstLineChars="0"/>
              <w:jc w:val="both"/>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注：提供上述相关证书的复印件并加盖投标人公章作为证明材料，否则不得分。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551"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其他服务方案</w:t>
            </w:r>
          </w:p>
        </w:tc>
        <w:tc>
          <w:tcPr>
            <w:tcW w:w="363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对本院中医科室、疾病诊疗方案有特色推广方案，方案符合实际情况可操作，并有以往服务经验案例的，得3分；有方案较符合情况，或无类似服务经验案例的，得1-2分；未提供不得分。</w:t>
            </w:r>
          </w:p>
        </w:tc>
        <w:tc>
          <w:tcPr>
            <w:tcW w:w="414"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551" w:type="pct"/>
            <w:vAlign w:val="center"/>
          </w:tcPr>
          <w:p>
            <w:pPr>
              <w:keepNext w:val="0"/>
              <w:keepLines w:val="0"/>
              <w:pageBreakBefore w:val="0"/>
              <w:widowControl w:val="0"/>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实验室</w:t>
            </w:r>
            <w:r>
              <w:rPr>
                <w:rFonts w:hint="eastAsia" w:ascii="宋体" w:hAnsi="宋体" w:eastAsia="宋体" w:cs="宋体"/>
                <w:color w:val="000000"/>
                <w:sz w:val="24"/>
                <w:szCs w:val="24"/>
                <w:lang w:eastAsia="zh-CN"/>
              </w:rPr>
              <w:t>及</w:t>
            </w:r>
            <w:r>
              <w:rPr>
                <w:rFonts w:hint="eastAsia" w:ascii="宋体" w:hAnsi="宋体" w:eastAsia="宋体" w:cs="宋体"/>
                <w:color w:val="000000"/>
                <w:sz w:val="24"/>
                <w:szCs w:val="24"/>
              </w:rPr>
              <w:t>检测设备</w:t>
            </w:r>
          </w:p>
        </w:tc>
        <w:tc>
          <w:tcPr>
            <w:tcW w:w="3634" w:type="pct"/>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拥有检测室及检测仪器（自有或租赁均可）情况：满足《中国药典》2020年版农药残留、重金属元素含量等有害物质检测、黄曲霉毒素含量、DNA（PCR 法）检测的设备。</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（1）具备检测室得1分；需提供检测室照片、自有场所要求提供产权证明文件，租赁场所要求提供产权证明文件及租赁合同扫描件；</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（2）每拥有一部检测仪器得1分，最多得2分，无检测室本小项均不得分。检测仪器发票或租赁合同扫描件，购买方或租赁方名称须为投标人。</w:t>
            </w:r>
          </w:p>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以上资料未提供或未按要求提供或提供不清晰导致无法判断的不得分。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tabs>
                <w:tab w:val="left" w:pos="2880"/>
              </w:tabs>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p>
        </w:tc>
        <w:tc>
          <w:tcPr>
            <w:tcW w:w="551" w:type="pct"/>
            <w:vAlign w:val="center"/>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left="108" w:right="73"/>
              <w:jc w:val="center"/>
              <w:textAlignment w:val="auto"/>
              <w:rPr>
                <w:rFonts w:hint="eastAsia" w:ascii="宋体" w:hAnsi="宋体" w:eastAsia="宋体" w:cs="宋体"/>
                <w:color w:val="000000"/>
                <w:sz w:val="24"/>
                <w:szCs w:val="24"/>
              </w:rPr>
            </w:pPr>
            <w:r>
              <w:rPr>
                <w:rFonts w:hint="eastAsia" w:ascii="宋体" w:hAnsi="宋体" w:eastAsia="宋体" w:cs="宋体"/>
                <w:spacing w:val="-3"/>
                <w:sz w:val="24"/>
                <w:szCs w:val="24"/>
              </w:rPr>
              <w:t>仓储情况和现代化物流</w:t>
            </w:r>
          </w:p>
        </w:tc>
        <w:tc>
          <w:tcPr>
            <w:tcW w:w="3634" w:type="pct"/>
          </w:tcPr>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保障中药饮片储存的质量要求，设有常温库、阴凉库等。具有中药饮片的购销、储存、养护和运输管理的条件及设施设备。</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①常温库、阴凉库、标本室、留样室需提供相关证明材料（自有场所证明或租赁合同、场地照片）；每</w:t>
            </w:r>
            <w:r>
              <w:rPr>
                <w:rFonts w:hint="eastAsia" w:ascii="宋体" w:hAnsi="宋体" w:eastAsia="宋体" w:cs="宋体"/>
                <w:color w:val="000000"/>
                <w:kern w:val="2"/>
                <w:sz w:val="24"/>
                <w:szCs w:val="24"/>
                <w:lang w:val="en-US" w:bidi="ar-SA"/>
              </w:rPr>
              <w:t>提供</w:t>
            </w:r>
            <w:r>
              <w:rPr>
                <w:rFonts w:hint="eastAsia" w:ascii="宋体" w:hAnsi="宋体" w:eastAsia="宋体" w:cs="宋体"/>
                <w:color w:val="000000"/>
                <w:kern w:val="2"/>
                <w:sz w:val="24"/>
                <w:szCs w:val="24"/>
                <w:lang w:val="en-US" w:eastAsia="zh-CN" w:bidi="ar-SA"/>
              </w:rPr>
              <w:t>一份</w:t>
            </w:r>
            <w:r>
              <w:rPr>
                <w:rFonts w:hint="eastAsia" w:ascii="宋体" w:hAnsi="宋体" w:eastAsia="宋体" w:cs="宋体"/>
                <w:color w:val="000000"/>
                <w:kern w:val="2"/>
                <w:sz w:val="24"/>
                <w:szCs w:val="24"/>
                <w:lang w:val="en-US" w:bidi="ar-SA"/>
              </w:rPr>
              <w:t>合同并注明用途的</w:t>
            </w:r>
            <w:r>
              <w:rPr>
                <w:rFonts w:hint="eastAsia" w:ascii="宋体" w:hAnsi="宋体" w:eastAsia="宋体" w:cs="宋体"/>
                <w:color w:val="000000"/>
                <w:kern w:val="2"/>
                <w:sz w:val="24"/>
                <w:szCs w:val="24"/>
                <w:lang w:val="en-US" w:eastAsia="zh-CN" w:bidi="ar-SA"/>
              </w:rPr>
              <w:t>得1</w:t>
            </w:r>
            <w:r>
              <w:rPr>
                <w:rFonts w:hint="eastAsia" w:ascii="宋体" w:hAnsi="宋体" w:eastAsia="宋体" w:cs="宋体"/>
                <w:color w:val="000000"/>
                <w:kern w:val="2"/>
                <w:sz w:val="24"/>
                <w:szCs w:val="24"/>
                <w:lang w:val="en-US" w:bidi="ar-SA"/>
              </w:rPr>
              <w:t>分，</w:t>
            </w:r>
            <w:r>
              <w:rPr>
                <w:rFonts w:hint="eastAsia" w:ascii="宋体" w:hAnsi="宋体" w:eastAsia="宋体" w:cs="宋体"/>
                <w:color w:val="000000"/>
                <w:kern w:val="2"/>
                <w:sz w:val="24"/>
                <w:szCs w:val="24"/>
                <w:lang w:val="en-US" w:eastAsia="zh-CN" w:bidi="ar-SA"/>
              </w:rPr>
              <w:t xml:space="preserve">最高得4分。未提供的本项不得分； </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②专用运输车辆须提供年审合格的车辆行驶证复印件，运输人员的身份证、驾驶证、健康证明等复印件，满足要求得1分；</w:t>
            </w:r>
          </w:p>
          <w:p>
            <w:pPr>
              <w:pStyle w:val="101"/>
              <w:keepNext w:val="0"/>
              <w:keepLines w:val="0"/>
              <w:pageBreakBefore w:val="0"/>
              <w:widowControl w:val="0"/>
              <w:kinsoku/>
              <w:wordWrap/>
              <w:overflowPunct/>
              <w:topLinePunct w:val="0"/>
              <w:bidi w:val="0"/>
              <w:adjustRightInd/>
              <w:snapToGrid/>
              <w:spacing w:before="0" w:beforeAutospacing="0" w:after="0" w:afterAutospacing="0" w:line="360" w:lineRule="auto"/>
              <w:ind w:right="73"/>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对于自有车辆，行驶证需体现投标人名称；对于租赁车辆，需另附租赁合同复印件且租赁期必须涵盖本项目全周期，未提供或未按要求提供或提供不清晰导致无法判断的不得分。</w:t>
            </w:r>
          </w:p>
        </w:tc>
        <w:tc>
          <w:tcPr>
            <w:tcW w:w="414" w:type="pct"/>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r>
    </w:tbl>
    <w:p>
      <w:pPr>
        <w:pStyle w:val="60"/>
        <w:spacing w:line="360" w:lineRule="auto"/>
        <w:rPr>
          <w:rFonts w:asciiTheme="minorEastAsia" w:hAnsiTheme="minorEastAsia" w:eastAsiaTheme="minorEastAsia"/>
          <w:sz w:val="22"/>
          <w:szCs w:val="22"/>
        </w:rPr>
      </w:pPr>
      <w:r>
        <w:rPr>
          <w:rFonts w:asciiTheme="minorEastAsia" w:hAnsiTheme="minorEastAsia" w:eastAsiaTheme="minorEastAsia"/>
          <w:sz w:val="22"/>
          <w:szCs w:val="22"/>
        </w:rPr>
        <w:t xml:space="preserve">注：①评委在上表设定的分值范围内打分(四舍五入保留两位小数)，平均分值计算四舍五入保留两位小数点。 </w:t>
      </w:r>
    </w:p>
    <w:p>
      <w:pPr>
        <w:pStyle w:val="60"/>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lang w:eastAsia="zh-CN"/>
        </w:rPr>
        <w:t>②</w:t>
      </w:r>
      <w:r>
        <w:rPr>
          <w:rFonts w:asciiTheme="minorEastAsia" w:hAnsiTheme="minorEastAsia" w:eastAsiaTheme="minorEastAsia"/>
          <w:sz w:val="22"/>
          <w:szCs w:val="22"/>
        </w:rPr>
        <w:t>投标人对</w:t>
      </w:r>
      <w:r>
        <w:rPr>
          <w:rFonts w:hint="eastAsia" w:asciiTheme="minorEastAsia" w:hAnsiTheme="minorEastAsia" w:eastAsiaTheme="minorEastAsia"/>
          <w:sz w:val="22"/>
          <w:szCs w:val="22"/>
        </w:rPr>
        <w:t>投标文件中技术参数偏离表应答内容</w:t>
      </w:r>
      <w:r>
        <w:rPr>
          <w:rFonts w:asciiTheme="minorEastAsia" w:hAnsiTheme="minorEastAsia" w:eastAsiaTheme="minorEastAsia"/>
          <w:sz w:val="22"/>
          <w:szCs w:val="22"/>
        </w:rPr>
        <w:t>应在投标文件中逐项答复，说明是否能满足要求，该说明可包括图片、说明书、技术特征、现场性能及要求、功能列表等，以便评委会能对投标人所提供的产品做出准确判断和评估。</w:t>
      </w:r>
      <w:r>
        <w:rPr>
          <w:rFonts w:hint="eastAsia" w:asciiTheme="minorEastAsia" w:hAnsiTheme="minorEastAsia" w:eastAsiaTheme="minorEastAsia"/>
          <w:sz w:val="22"/>
          <w:szCs w:val="22"/>
        </w:rPr>
        <w:t>本项目采购文件中的所有推荐品牌均仅供参考，并无任何限制性，投标人可选择优于推荐品牌或与推荐品牌同档次的品牌投标，但需提供详细的产品技术支持文件。</w:t>
      </w:r>
    </w:p>
    <w:p>
      <w:pPr>
        <w:pStyle w:val="60"/>
        <w:spacing w:line="360" w:lineRule="auto"/>
        <w:rPr>
          <w:rFonts w:asciiTheme="minorEastAsia" w:hAnsiTheme="minorEastAsia" w:eastAsiaTheme="minorEastAsia"/>
          <w:sz w:val="22"/>
          <w:szCs w:val="22"/>
          <w:lang w:val="en-GB"/>
        </w:rPr>
      </w:pPr>
      <w:bookmarkStart w:id="87" w:name="_Toc406671100"/>
      <w:bookmarkStart w:id="88" w:name="_Toc406671688"/>
      <w:bookmarkStart w:id="89" w:name="_Toc406670729"/>
    </w:p>
    <w:p>
      <w:pPr>
        <w:pStyle w:val="60"/>
        <w:spacing w:line="360" w:lineRule="auto"/>
        <w:rPr>
          <w:rFonts w:asciiTheme="minorEastAsia" w:hAnsiTheme="minorEastAsia" w:eastAsiaTheme="minorEastAsia"/>
        </w:rPr>
      </w:pPr>
      <w:r>
        <w:rPr>
          <w:rFonts w:asciiTheme="minorEastAsia" w:hAnsiTheme="minorEastAsia" w:eastAsiaTheme="minorEastAsia"/>
        </w:rPr>
        <w:br w:type="page"/>
      </w:r>
    </w:p>
    <w:bookmarkEnd w:id="87"/>
    <w:bookmarkEnd w:id="88"/>
    <w:bookmarkEnd w:id="89"/>
    <w:p>
      <w:pPr>
        <w:pStyle w:val="4"/>
        <w:bidi w:val="0"/>
        <w:rPr>
          <w:rFonts w:hint="eastAsia" w:eastAsia="宋体" w:cs="Times New Roman"/>
          <w:lang w:eastAsia="zh-CN"/>
        </w:rPr>
      </w:pPr>
      <w:bookmarkStart w:id="90" w:name="_Toc406671102"/>
      <w:bookmarkStart w:id="91" w:name="_Toc406671690"/>
      <w:bookmarkStart w:id="92" w:name="_Toc406670731"/>
      <w:bookmarkStart w:id="93" w:name="_Toc406672393"/>
      <w:bookmarkStart w:id="94" w:name="_Toc41839728"/>
      <w:bookmarkStart w:id="95" w:name="_Toc11127"/>
      <w:r>
        <w:rPr>
          <w:rFonts w:hint="eastAsia" w:cs="Times New Roman"/>
          <w:lang w:eastAsia="zh-CN"/>
        </w:rPr>
        <w:t>三</w:t>
      </w:r>
      <w:r>
        <w:rPr>
          <w:rFonts w:hint="eastAsia" w:eastAsia="宋体" w:cs="Times New Roman"/>
          <w:lang w:eastAsia="zh-CN"/>
        </w:rPr>
        <w:t>、无效标条款</w:t>
      </w:r>
      <w:bookmarkEnd w:id="90"/>
      <w:bookmarkEnd w:id="91"/>
      <w:bookmarkEnd w:id="92"/>
      <w:bookmarkEnd w:id="93"/>
      <w:bookmarkEnd w:id="94"/>
      <w:bookmarkEnd w:id="95"/>
    </w:p>
    <w:p>
      <w:pPr>
        <w:pStyle w:val="6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出现下列情形之一的，供应商递交的投标文件作无效标处理，该供应商的投标文件不参与评审，且不计算入投标供应商家数：</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96" w:name="_Toc41839729"/>
      <w:r>
        <w:rPr>
          <w:rFonts w:hint="eastAsia" w:ascii="宋体" w:hAnsi="宋体" w:cs="宋体"/>
          <w:sz w:val="24"/>
          <w:szCs w:val="24"/>
          <w:lang w:val="en-US" w:eastAsia="zh-CN"/>
        </w:rPr>
        <w:t>3</w:t>
      </w:r>
      <w:r>
        <w:rPr>
          <w:rFonts w:hint="eastAsia" w:ascii="宋体" w:hAnsi="宋体" w:eastAsia="宋体" w:cs="宋体"/>
          <w:sz w:val="24"/>
          <w:szCs w:val="24"/>
        </w:rPr>
        <w:t>.1递交的投标文件不完整或未按采购文件要求加盖公章及签字或盖章的；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.2供应商不符合国家及招标文件规定的资格条件的；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.3同一供应商提交两个或两个以上不同的投标文件或者投标报价的，未声明哪一个报价有效的；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.4项目接受联合体投标时，投标联合体未提交联合投标协议的；（本项目不接受联合体投标）</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.5投标报价被评审委员会认定低于成本价的未在有效时间内提供证明材料的；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.6投标报价高于财政采购预算采购人无法支付的；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.7投标文件对采购文件的实质性要求和条件未作出响应的；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.8供应商有串通投标、弄虚作假、行贿等违法行为的；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9同一品牌同一型号产品只能由一家供应商参加。如有两家及以上供应商所投产品为同一品牌同一型号的，应作为一个供应商计算。同一品牌同一型号产品的供应商中，仅符合采购文件要求且报价最低的供应商为有效供应商（若报价相同，则以技术响应及售后服务等最优者为有效供应商），其余供应商均为无效供应商；（两家及以上供应商所投产品为同一品牌同一型号产品的金额达到本项目/品目采购金额60%及以上的，适用本项规定）</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.10投标文件未胶装成册的（采用打孔装订、活页夹等方式装订的投标文件作为无效投标处理）；</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.11投标有效期不满足采购文件要求的；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.12法定代表人为同一个人的两个及以上法人，母公司、全资子公司及其控股公司，在同一采购项目/品目中同时投标的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.13为本项目提供整体设计、规范编制或者项目管理、监理、检测等服务的供应商参加本采购项目的。</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rPr>
        <w:t>.14是否按照招标文件要求，提供投标文件正本一份、</w:t>
      </w:r>
      <w:r>
        <w:rPr>
          <w:rFonts w:hint="eastAsia" w:ascii="宋体" w:hAnsi="宋体" w:eastAsia="宋体" w:cs="宋体"/>
          <w:sz w:val="24"/>
          <w:szCs w:val="24"/>
          <w:highlight w:val="yellow"/>
        </w:rPr>
        <w:t>副本</w:t>
      </w:r>
      <w:r>
        <w:rPr>
          <w:rFonts w:hint="eastAsia" w:ascii="宋体" w:hAnsi="宋体" w:cs="宋体"/>
          <w:sz w:val="24"/>
          <w:szCs w:val="24"/>
          <w:highlight w:val="yellow"/>
          <w:lang w:val="en-US" w:eastAsia="zh-CN"/>
        </w:rPr>
        <w:t>3</w:t>
      </w:r>
      <w:r>
        <w:rPr>
          <w:rFonts w:hint="eastAsia" w:ascii="宋体" w:hAnsi="宋体" w:eastAsia="宋体" w:cs="宋体"/>
          <w:sz w:val="24"/>
          <w:szCs w:val="24"/>
          <w:highlight w:val="yellow"/>
        </w:rPr>
        <w:t>份</w:t>
      </w:r>
      <w:r>
        <w:rPr>
          <w:rFonts w:hint="eastAsia" w:ascii="宋体" w:hAnsi="宋体" w:eastAsia="宋体" w:cs="宋体"/>
          <w:sz w:val="24"/>
          <w:szCs w:val="24"/>
        </w:rPr>
        <w:t>，投标文件电子文档1份，开标一览表1份</w:t>
      </w:r>
      <w:r>
        <w:rPr>
          <w:rFonts w:hint="eastAsia" w:ascii="宋体" w:hAnsi="宋体" w:cs="宋体"/>
          <w:sz w:val="24"/>
          <w:szCs w:val="24"/>
          <w:lang w:eastAsia="zh-CN"/>
        </w:rPr>
        <w:t>。</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.15是否满足招标文件中要求的其他要求。</w:t>
      </w:r>
    </w:p>
    <w:bookmarkEnd w:id="96"/>
    <w:p>
      <w:pPr>
        <w:rPr>
          <w:rFonts w:hint="eastAsia" w:cs="Times New Roman" w:asciiTheme="minorEastAsia" w:hAnsiTheme="minorEastAsia" w:eastAsiaTheme="minorEastAsia"/>
          <w:lang w:val="en-US" w:eastAsia="zh-CN"/>
        </w:rPr>
      </w:pPr>
      <w:bookmarkStart w:id="97" w:name="_Toc41839743"/>
      <w:bookmarkStart w:id="98" w:name="_Toc406671703"/>
      <w:bookmarkStart w:id="99" w:name="_Toc406671115"/>
      <w:bookmarkStart w:id="100" w:name="_Toc406670744"/>
      <w:bookmarkStart w:id="101" w:name="_Toc406672406"/>
      <w:r>
        <w:rPr>
          <w:rFonts w:hint="eastAsia" w:cs="Times New Roman" w:asciiTheme="minorEastAsia" w:hAnsiTheme="minorEastAsia" w:eastAsiaTheme="minorEastAsia"/>
          <w:lang w:val="en-US" w:eastAsia="zh-CN"/>
        </w:rPr>
        <w:br w:type="page"/>
      </w:r>
    </w:p>
    <w:p>
      <w:pPr>
        <w:pStyle w:val="3"/>
        <w:numPr>
          <w:ilvl w:val="0"/>
          <w:numId w:val="14"/>
        </w:numPr>
        <w:bidi w:val="0"/>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 xml:space="preserve"> </w:t>
      </w:r>
      <w:bookmarkStart w:id="102" w:name="_Toc30568"/>
      <w:r>
        <w:rPr>
          <w:rFonts w:hint="eastAsia" w:cs="Times New Roman" w:asciiTheme="minorEastAsia" w:hAnsiTheme="minorEastAsia" w:eastAsiaTheme="minorEastAsia"/>
          <w:lang w:val="en-US" w:eastAsia="zh-CN"/>
        </w:rPr>
        <w:t>政府采购合同</w:t>
      </w:r>
      <w:bookmarkEnd w:id="97"/>
      <w:bookmarkEnd w:id="98"/>
      <w:bookmarkEnd w:id="99"/>
      <w:bookmarkEnd w:id="100"/>
      <w:bookmarkEnd w:id="101"/>
      <w:bookmarkEnd w:id="102"/>
    </w:p>
    <w:p>
      <w:pPr>
        <w:pStyle w:val="4"/>
        <w:bidi w:val="0"/>
        <w:rPr>
          <w:rFonts w:hint="eastAsia" w:cs="Times New Roman"/>
          <w:b/>
          <w:bCs/>
          <w:kern w:val="0"/>
          <w:sz w:val="28"/>
          <w:szCs w:val="32"/>
          <w:lang w:val="en-US" w:eastAsia="zh-CN" w:bidi="ar-SA"/>
        </w:rPr>
      </w:pPr>
      <w:bookmarkStart w:id="103" w:name="_Toc406672407"/>
      <w:bookmarkStart w:id="104" w:name="_Toc406671116"/>
      <w:bookmarkStart w:id="105" w:name="_Toc41839744"/>
      <w:bookmarkStart w:id="106" w:name="_Toc406671704"/>
      <w:bookmarkStart w:id="107" w:name="_Toc406670745"/>
      <w:bookmarkStart w:id="108" w:name="_Toc406670771"/>
      <w:bookmarkStart w:id="109" w:name="_Toc406671714"/>
      <w:bookmarkStart w:id="110" w:name="_Toc406672410"/>
      <w:bookmarkStart w:id="111" w:name="_Toc406671142"/>
      <w:r>
        <w:rPr>
          <w:rFonts w:hint="eastAsia" w:cs="Times New Roman"/>
          <w:b/>
          <w:bCs/>
          <w:kern w:val="0"/>
          <w:sz w:val="28"/>
          <w:szCs w:val="32"/>
          <w:lang w:val="en-US" w:eastAsia="zh-CN" w:bidi="ar-SA"/>
        </w:rPr>
        <w:t>一、主要条款</w:t>
      </w:r>
      <w:bookmarkEnd w:id="103"/>
      <w:bookmarkEnd w:id="104"/>
      <w:bookmarkEnd w:id="105"/>
      <w:bookmarkEnd w:id="106"/>
      <w:bookmarkEnd w:id="107"/>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1.合同：系指买卖双方签署的、合同格式中载明的买卖双方所达成的协议，包括所有的附件、附录和构成合同的其它文件。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2.合同价：系指根据合同规定，在卖方完全履行合同义务后，买方应付给卖方的款项。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3.产品：系指卖方根据合同规定须向买方提供的一切工程、材料、设备、机械、仪表、备件、工具、手册和其它技术资料及其它材料。</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4.服务：系指根据合同规定卖方承担与供货有关的服务，如运输、保险、安装、调试、性能考核、提供操作，维修及其他技术指导、培训等和合同中规定的卖方应承担的其他义务。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5.买方：系指购买产品和服务的法人。</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6.卖方：系指投标文件被买方接受，而且根据合同规定向买方提供产品和服务的具有法人资格的公司或其他实体。</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9.技术规格：卖方提供产品的技术规格应与采购文件规定的技术规格和技术规格附件（如果有的话）、投标文件的技术规格偏差表（如果被买方接受的话）、投标文件的“供货范围和技术说明”相一致。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10.标准</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10.1本合同下交付的产品应符合技术规格所述的标准。如果没有提及适用标准，则应符合中国国家标准，这些标准必须是最新版本的标准。</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10.2除技术规范中另有规定外，计量单位均使用国家法定的计量单位。</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11.使用合同文件和资料：</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11.2除了合同本身外，11.1条款所列举的任何文件是买方的财产。如果买方有要求，卖方应在完成合同后将这些文件及全部复制件归还给买方。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pStyle w:val="60"/>
        <w:spacing w:line="360" w:lineRule="auto"/>
        <w:rPr>
          <w:rFonts w:hint="eastAsia" w:ascii="宋体" w:hAnsi="宋体" w:eastAsia="宋体" w:cs="宋体"/>
          <w:sz w:val="24"/>
          <w:szCs w:val="24"/>
        </w:rPr>
      </w:pPr>
      <w:bookmarkStart w:id="112" w:name="_Toc406671118"/>
      <w:bookmarkStart w:id="113" w:name="_Toc406670747"/>
      <w:bookmarkStart w:id="114" w:name="_Toc406671706"/>
      <w:r>
        <w:rPr>
          <w:rFonts w:hint="eastAsia" w:ascii="宋体" w:hAnsi="宋体" w:eastAsia="宋体" w:cs="宋体"/>
          <w:sz w:val="24"/>
          <w:szCs w:val="24"/>
        </w:rPr>
        <w:t>16.质量保证</w:t>
      </w:r>
      <w:bookmarkEnd w:id="112"/>
      <w:bookmarkEnd w:id="113"/>
      <w:bookmarkEnd w:id="114"/>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16.3在合同产品的质量保证期内，卖方应在合同文件中规定的收到通知后应做出响应的期限内，免费维修或更换有缺陷的产品或部件。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如果卖方在上述规定的收到通知后应做出响应的期限内没有弥补缺陷，买方可采取必要的补救措施，但风险和费用将由卖方承担。</w:t>
      </w:r>
    </w:p>
    <w:p>
      <w:pPr>
        <w:pStyle w:val="60"/>
        <w:spacing w:line="360" w:lineRule="auto"/>
        <w:rPr>
          <w:rFonts w:hint="eastAsia" w:ascii="宋体" w:hAnsi="宋体" w:eastAsia="宋体" w:cs="宋体"/>
          <w:sz w:val="24"/>
          <w:szCs w:val="24"/>
        </w:rPr>
      </w:pPr>
      <w:bookmarkStart w:id="115" w:name="_Toc406671119"/>
      <w:bookmarkStart w:id="116" w:name="_Toc406670748"/>
      <w:bookmarkStart w:id="117" w:name="_Toc406671707"/>
      <w:r>
        <w:rPr>
          <w:rFonts w:hint="eastAsia" w:ascii="宋体" w:hAnsi="宋体" w:eastAsia="宋体" w:cs="宋体"/>
          <w:sz w:val="24"/>
          <w:szCs w:val="24"/>
        </w:rPr>
        <w:t>17.检验和考核验收</w:t>
      </w:r>
      <w:bookmarkEnd w:id="115"/>
      <w:bookmarkEnd w:id="116"/>
      <w:bookmarkEnd w:id="117"/>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或</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产品运抵现场后，由卖方的代表进行检查，买方有权监督卖方代表的检查，所有产品的质量、规格、数量与合同的不符，包括运输中的损坏、丢失均由卖方负责。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17.3如果产品的质量和规格与合同不符，或在合同规定的质量保证期内证实产品是有缺陷的，包括潜在的缺陷或使用不符合要求的材料，买方有权向卖方提出索赔。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17.4买方有权提出在产品制造过程中派人到制造厂进行监造，卖方有义务为买方监造人员提供方便，当买方需要对产品出厂前的试验进行监察时，制造厂应该事先作出安排。</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17.6如果在合同文件规定允许的最后一次性能考核中仍有指标没有达到合同附件的要求，买方有权按第17条的规定向卖方提出索赔。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18.伴随服务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18.1卖方可能被要求提供下列服务中的任一或所有服务，包括合同规定的附加服务(如果有的话)：</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实施或监督所供产品的现场组装和/或试运行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提供产品组装和/或维修所需的工具。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为所供的每一适当的单台设备提供详细的操作和维护手册。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在双方商定的一定期限内对所提供产品实施运行或监督或维护或修理，但前提条件是该服务并不能免除卖方在合同保证期内所承担的义务。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在卖方厂家和/或在项目现场就所供产品的组装、试运行、运行、维护和/或修理对买方人员进行培训。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18.2卖方应提供合同文件规定的所有服务。为履行要求的伴随服务的报价或商定的费用应包括在合同总价中。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19.备件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19.1卖方应承担下列与提供备件有关的责任：</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买方从卖方选购备件，但前提条件是该选择并不能免除卖方在合同保证期内所承担的质量责任和服务义务。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在备件停止生产的情况下，卖方应事先将要停止生产的计划通知买方。使买方有足够的时间采购所需的备件。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在备件停止生产后，如果买方要求，卖方应免费向买方提供备件的蓝图，图纸和规格。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20.1除了责任应由保险公司或运输部门承担的之外，买方有权根据按检验标准自行检验的结果和当地质检部门出具的质检证书向卖方提出索赔。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卖方同意退货，并按合同规定的同种货币将货款退还给买方，并承担由此发生的一切损失和费用，包括利息、银行手续费、运费、保险费、检验费、仓储费、装卸费以及为保护退回产品所需的其它必要费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（2）根据产品低劣程度、损坏程度以及买方所遭受损失的数额，经买卖双方商定降低产品的价格。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（4）属于卖方责任应免费修理合同产品缺陷或消除不符合合同之处的情况，如果卖方不能派遣人员到现场，买方有权自行消除缺陷或不符合合同之处，由此产生的一切费用均由卖方负担。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（5）赔偿由卖方违约引起的其他损失。</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20.4当属于17.2条情况的索赔发生时，如果索赔通知是在保证期满后30日内提出的，应被认为是有效的。</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21.延期交货</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21.1卖方应按照“招标产品清单”中买方规定的时间表交货和提供服务。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21.3如果卖方无正当理由地拖延交货，将被扣没履约保证金并加以违约损失索赔和/或终止合同。</w:t>
      </w:r>
    </w:p>
    <w:p>
      <w:pPr>
        <w:pStyle w:val="60"/>
        <w:spacing w:line="360" w:lineRule="auto"/>
        <w:rPr>
          <w:rFonts w:hint="eastAsia" w:ascii="宋体" w:hAnsi="宋体" w:eastAsia="宋体" w:cs="宋体"/>
          <w:sz w:val="24"/>
          <w:szCs w:val="24"/>
        </w:rPr>
      </w:pPr>
      <w:bookmarkStart w:id="118" w:name="_Toc406670749"/>
      <w:bookmarkStart w:id="119" w:name="_Toc406671120"/>
      <w:bookmarkStart w:id="120" w:name="_Toc406671708"/>
      <w:r>
        <w:rPr>
          <w:rFonts w:hint="eastAsia" w:ascii="宋体" w:hAnsi="宋体" w:eastAsia="宋体" w:cs="宋体"/>
          <w:sz w:val="24"/>
          <w:szCs w:val="24"/>
        </w:rPr>
        <w:t>22.误期赔偿</w:t>
      </w:r>
      <w:bookmarkEnd w:id="118"/>
      <w:bookmarkEnd w:id="119"/>
      <w:bookmarkEnd w:id="120"/>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pStyle w:val="60"/>
        <w:spacing w:line="360" w:lineRule="auto"/>
        <w:rPr>
          <w:rFonts w:hint="eastAsia" w:ascii="宋体" w:hAnsi="宋体" w:eastAsia="宋体" w:cs="宋体"/>
          <w:sz w:val="24"/>
          <w:szCs w:val="24"/>
        </w:rPr>
      </w:pPr>
      <w:bookmarkStart w:id="121" w:name="_Toc406671121"/>
      <w:bookmarkStart w:id="122" w:name="_Toc406670750"/>
      <w:bookmarkStart w:id="123" w:name="_Toc406671709"/>
      <w:r>
        <w:rPr>
          <w:rFonts w:hint="eastAsia" w:ascii="宋体" w:hAnsi="宋体" w:eastAsia="宋体" w:cs="宋体"/>
          <w:sz w:val="24"/>
          <w:szCs w:val="24"/>
        </w:rPr>
        <w:t>23.不可抗力</w:t>
      </w:r>
      <w:bookmarkEnd w:id="121"/>
      <w:bookmarkEnd w:id="122"/>
      <w:bookmarkEnd w:id="123"/>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24.税费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24.1根据国家现行税法对买方征收的与合同有关的一切税费均由买方负担。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24.2根据国家现行税法对卖方征收的与合同有关的一切税费均由卖方负担。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24.3在中国境外发生的与合同执行有关的一切税费均由卖方负担。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24.4在中国境外生产的产品的进口关税均由卖方负责。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25.履约保证金</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25.1卖方在收到的中标通知书的发出日起三十天内，通过一家银行，向买方提供相当于合同总价10%的履约保证金保函。履约保证金保函的有效期到产品完成安装调试，用户在交接验收文件上签字或盖章时止。</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25.2卖方提供的履约保证金保函应按采购文件所附的格式提供，与此有关的费用由卖方负担。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25.3如卖方未能履行合同规定的任何义务，买方有权从履约保证金中得到补偿。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26.违约终止合同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pStyle w:val="60"/>
        <w:spacing w:line="360" w:lineRule="auto"/>
        <w:rPr>
          <w:rFonts w:hint="eastAsia" w:ascii="宋体" w:hAnsi="宋体" w:eastAsia="宋体" w:cs="宋体"/>
          <w:sz w:val="24"/>
          <w:szCs w:val="24"/>
        </w:rPr>
      </w:pPr>
      <w:bookmarkStart w:id="124" w:name="_Toc406671710"/>
      <w:bookmarkStart w:id="125" w:name="_Toc406670751"/>
      <w:bookmarkStart w:id="126" w:name="_Toc406671122"/>
      <w:r>
        <w:rPr>
          <w:rFonts w:hint="eastAsia" w:ascii="宋体" w:hAnsi="宋体" w:eastAsia="宋体" w:cs="宋体"/>
          <w:sz w:val="24"/>
          <w:szCs w:val="24"/>
        </w:rPr>
        <w:t>27.其他情况终止合同</w:t>
      </w:r>
      <w:bookmarkEnd w:id="124"/>
      <w:bookmarkEnd w:id="125"/>
      <w:bookmarkEnd w:id="126"/>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27.1如果卖方破产或发生资不抵债的情况，买方可在任何时候以书面通知终止合同，而不给对方补偿。该终止合同将不损害或影响买方已经采取或将要采取的补救措施的权利。</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27.2如果买方认定卖方在竞标、采购和合同执行等过程中有腐败或欺诈行为，买方有权在任何时候发出书面通知终止合同。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28.转让和分包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28.1未经买方事先书面同意， 卖方不得部分转让或全部转让其应履行的合同义务。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28.2对投标中明确分包的合同，卖方应将合同的全部分包合同书面通知买方，但此分包通知书不能解除卖方履行合同的责任和义务。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28.3分包必须符合合同条款第11条的规定。</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29.合同的协商变更与修改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29.1买方可以以书面方式向卖方发出变更要求，协商在本合同的一般范围内变更下述一项或几项：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(1)当本合同项下提供的产品是专为买方制造时，在相关部分尚未投入生产前变更图纸、设计或规格；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(2)在合同项下的产品托运之前，变更运输、包装的方法、交货地点；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(3)卖方提供的服务。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29.2除了上述的情况外，不应对合同进行任何变更或修改，除非双方同意并签订书面的合同修改书。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合同修改书应由双方授权代表签字或盖章，具有合同的法律效力。</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30.争端的解决</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30.1合同实施或与合同有关的一切争端应依据《中华人民共和国合同法》并通过双方协商解决。如果协商开始后六十天还不能解决，争端应提交仲裁或诉讼，仲裁和诉讼应在买方所在地进行。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30.2仲裁或诉讼裁决应为最终裁决，对双方均有约束力。除另有裁决外，仲裁或诉讼费均应由败诉方负担。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30.3在仲裁或诉讼期间，除正在进行仲裁或诉讼的部分外，合同其他部分应继续执行。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31.通知</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31.1本合同任何一方给另一方的通知，都应以书面或传真的形式发送，而另一方应以书面或传真形式确认，回复对方。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31.2通知以送到日期或通知书的生效日起为生效日期，两者中以较晚的一个日期为准。</w:t>
      </w:r>
    </w:p>
    <w:p>
      <w:pPr>
        <w:pStyle w:val="4"/>
        <w:bidi w:val="0"/>
        <w:rPr>
          <w:rFonts w:hint="eastAsia" w:ascii="Cambria" w:hAnsi="Cambria" w:eastAsia="宋体" w:cs="Times New Roman"/>
          <w:b/>
          <w:bCs/>
          <w:kern w:val="0"/>
          <w:sz w:val="28"/>
          <w:szCs w:val="32"/>
          <w:lang w:val="en-US" w:eastAsia="zh-CN" w:bidi="ar-SA"/>
        </w:rPr>
      </w:pPr>
      <w:r>
        <w:rPr>
          <w:rFonts w:hint="eastAsia" w:ascii="宋体" w:hAnsi="宋体" w:eastAsia="宋体" w:cs="宋体"/>
          <w:sz w:val="24"/>
          <w:szCs w:val="24"/>
        </w:rPr>
        <w:br w:type="page"/>
      </w:r>
      <w:r>
        <w:rPr>
          <w:rFonts w:hint="eastAsia" w:cs="Times New Roman"/>
          <w:b/>
          <w:bCs/>
          <w:kern w:val="0"/>
          <w:sz w:val="28"/>
          <w:szCs w:val="32"/>
          <w:lang w:val="en-US" w:eastAsia="zh-CN" w:bidi="ar-SA"/>
        </w:rPr>
        <w:t>二、</w:t>
      </w:r>
      <w:r>
        <w:rPr>
          <w:rFonts w:hint="eastAsia" w:ascii="Cambria" w:hAnsi="Cambria" w:eastAsia="宋体" w:cs="Times New Roman"/>
          <w:b/>
          <w:bCs/>
          <w:kern w:val="0"/>
          <w:sz w:val="28"/>
          <w:szCs w:val="32"/>
          <w:lang w:val="en-US" w:eastAsia="zh-CN" w:bidi="ar-SA"/>
        </w:rPr>
        <w:t>拟签订的政府采购合同</w:t>
      </w:r>
    </w:p>
    <w:p>
      <w:pPr>
        <w:jc w:val="center"/>
        <w:rPr>
          <w:rFonts w:hint="eastAsia" w:ascii="宋体" w:hAnsi="宋体" w:eastAsia="宋体" w:cs="宋体"/>
          <w:b/>
          <w:bCs/>
          <w:sz w:val="24"/>
          <w:szCs w:val="24"/>
        </w:rPr>
      </w:pPr>
      <w:r>
        <w:rPr>
          <w:rFonts w:hint="eastAsia" w:ascii="宋体" w:hAnsi="宋体" w:eastAsia="宋体" w:cs="宋体"/>
          <w:b/>
          <w:bCs/>
          <w:sz w:val="24"/>
          <w:szCs w:val="24"/>
        </w:rPr>
        <w:t>(此合同样本仅供参考,合同具体细则以成交双方协定为准)</w:t>
      </w:r>
    </w:p>
    <w:p>
      <w:pPr>
        <w:pStyle w:val="6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专用条款</w:t>
      </w:r>
      <w:r>
        <w:rPr>
          <w:rFonts w:hint="eastAsia" w:ascii="宋体" w:hAnsi="宋体" w:eastAsia="宋体" w:cs="宋体"/>
          <w:sz w:val="24"/>
          <w:szCs w:val="24"/>
        </w:rPr>
        <w:t>（模板）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合同号：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甲方（招标用户采购方）：                                  合同编号：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乙方（投标中标供应方）：                                  签约地点：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根据《中华人民共和国政府采购法》、《中华人民共和国招标投标法》、《中华人民共和国合同法》及</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采购招标文件（招标编号：     采购代理机构：    ）的要求，经双方协商一致，签订本合同。</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1、合同设备</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乙方负责向甲方供应下表中所列</w:t>
      </w:r>
      <w:r>
        <w:rPr>
          <w:rFonts w:hint="eastAsia" w:ascii="宋体" w:hAnsi="宋体" w:eastAsia="宋体" w:cs="宋体"/>
          <w:sz w:val="24"/>
          <w:szCs w:val="24"/>
          <w:u w:val="single"/>
        </w:rPr>
        <w:t xml:space="preserve">                     </w:t>
      </w:r>
      <w:r>
        <w:rPr>
          <w:rFonts w:hint="eastAsia" w:ascii="宋体" w:hAnsi="宋体" w:eastAsia="宋体" w:cs="宋体"/>
          <w:sz w:val="24"/>
          <w:szCs w:val="24"/>
        </w:rPr>
        <w:t>及负责安装调试。</w:t>
      </w:r>
    </w:p>
    <w:tbl>
      <w:tblPr>
        <w:tblStyle w:val="26"/>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货物名称</w:t>
            </w:r>
          </w:p>
        </w:tc>
        <w:tc>
          <w:tcPr>
            <w:tcW w:w="1365"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规格型号</w:t>
            </w:r>
          </w:p>
        </w:tc>
        <w:tc>
          <w:tcPr>
            <w:tcW w:w="829"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产地厂家</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单位</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数量</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单价</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总价</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随机配件</w:t>
            </w:r>
          </w:p>
        </w:tc>
        <w:tc>
          <w:tcPr>
            <w:tcW w:w="87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交货地点</w:t>
            </w:r>
          </w:p>
        </w:tc>
        <w:tc>
          <w:tcPr>
            <w:tcW w:w="938" w:type="dxa"/>
            <w:vAlign w:val="center"/>
          </w:tcPr>
          <w:p>
            <w:pPr>
              <w:pStyle w:val="60"/>
              <w:spacing w:line="360" w:lineRule="auto"/>
              <w:jc w:val="left"/>
              <w:rPr>
                <w:rFonts w:hint="eastAsia" w:ascii="宋体" w:hAnsi="宋体" w:eastAsia="宋体" w:cs="宋体"/>
                <w:sz w:val="24"/>
                <w:szCs w:val="24"/>
              </w:rPr>
            </w:pPr>
            <w:r>
              <w:rPr>
                <w:rFonts w:hint="eastAsia" w:ascii="宋体" w:hAnsi="宋体" w:eastAsia="宋体" w:cs="宋体"/>
                <w:sz w:val="24"/>
                <w:szCs w:val="24"/>
              </w:rPr>
              <w:t>交货 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pStyle w:val="60"/>
              <w:spacing w:line="360" w:lineRule="auto"/>
              <w:rPr>
                <w:rFonts w:hint="eastAsia" w:ascii="宋体" w:hAnsi="宋体" w:eastAsia="宋体" w:cs="宋体"/>
                <w:sz w:val="24"/>
                <w:szCs w:val="24"/>
              </w:rPr>
            </w:pPr>
          </w:p>
        </w:tc>
        <w:tc>
          <w:tcPr>
            <w:tcW w:w="1365" w:type="dxa"/>
          </w:tcPr>
          <w:p>
            <w:pPr>
              <w:pStyle w:val="60"/>
              <w:spacing w:line="360" w:lineRule="auto"/>
              <w:rPr>
                <w:rFonts w:hint="eastAsia" w:ascii="宋体" w:hAnsi="宋体" w:eastAsia="宋体" w:cs="宋体"/>
                <w:sz w:val="24"/>
                <w:szCs w:val="24"/>
              </w:rPr>
            </w:pPr>
          </w:p>
        </w:tc>
        <w:tc>
          <w:tcPr>
            <w:tcW w:w="829"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938" w:type="dxa"/>
          </w:tcPr>
          <w:p>
            <w:pPr>
              <w:pStyle w:val="60"/>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pStyle w:val="60"/>
              <w:spacing w:line="360" w:lineRule="auto"/>
              <w:rPr>
                <w:rFonts w:hint="eastAsia" w:ascii="宋体" w:hAnsi="宋体" w:eastAsia="宋体" w:cs="宋体"/>
                <w:sz w:val="24"/>
                <w:szCs w:val="24"/>
              </w:rPr>
            </w:pPr>
          </w:p>
        </w:tc>
        <w:tc>
          <w:tcPr>
            <w:tcW w:w="1365" w:type="dxa"/>
          </w:tcPr>
          <w:p>
            <w:pPr>
              <w:pStyle w:val="60"/>
              <w:spacing w:line="360" w:lineRule="auto"/>
              <w:rPr>
                <w:rFonts w:hint="eastAsia" w:ascii="宋体" w:hAnsi="宋体" w:eastAsia="宋体" w:cs="宋体"/>
                <w:sz w:val="24"/>
                <w:szCs w:val="24"/>
              </w:rPr>
            </w:pPr>
          </w:p>
        </w:tc>
        <w:tc>
          <w:tcPr>
            <w:tcW w:w="829"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878" w:type="dxa"/>
          </w:tcPr>
          <w:p>
            <w:pPr>
              <w:pStyle w:val="60"/>
              <w:spacing w:line="360" w:lineRule="auto"/>
              <w:rPr>
                <w:rFonts w:hint="eastAsia" w:ascii="宋体" w:hAnsi="宋体" w:eastAsia="宋体" w:cs="宋体"/>
                <w:sz w:val="24"/>
                <w:szCs w:val="24"/>
              </w:rPr>
            </w:pPr>
          </w:p>
        </w:tc>
        <w:tc>
          <w:tcPr>
            <w:tcW w:w="938" w:type="dxa"/>
          </w:tcPr>
          <w:p>
            <w:pPr>
              <w:pStyle w:val="60"/>
              <w:spacing w:line="360" w:lineRule="auto"/>
              <w:rPr>
                <w:rFonts w:hint="eastAsia" w:ascii="宋体" w:hAnsi="宋体" w:eastAsia="宋体" w:cs="宋体"/>
                <w:sz w:val="24"/>
                <w:szCs w:val="24"/>
              </w:rPr>
            </w:pPr>
          </w:p>
        </w:tc>
      </w:tr>
    </w:tbl>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2、合同总价和支付方式</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2.1合同总价：总价为人民币（大写）：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，即RMB￥</w:t>
      </w:r>
      <w:r>
        <w:rPr>
          <w:rFonts w:hint="eastAsia" w:ascii="宋体" w:hAnsi="宋体" w:eastAsia="宋体" w:cs="宋体"/>
          <w:sz w:val="24"/>
          <w:szCs w:val="24"/>
          <w:u w:val="single"/>
        </w:rPr>
        <w:t xml:space="preserve">          </w:t>
      </w:r>
      <w:r>
        <w:rPr>
          <w:rFonts w:hint="eastAsia" w:ascii="宋体" w:hAnsi="宋体" w:eastAsia="宋体" w:cs="宋体"/>
          <w:sz w:val="24"/>
          <w:szCs w:val="24"/>
        </w:rPr>
        <w:t>元，该合同总金额是设计、制造、包装、仓储、运输及验收合格之前及保修期与备品备件发生的所有含税费用。本合同执行期间合同总金额不变。</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2.2支付方式：合同设备到甲方指定地点交付并安装验收合格后凭（1）合同；（2）乙方开具正式全额发票；（3）验收报告加盖甲方公章；（4）中标通知书；上述手续之日起30天内，一次性付清该批次设备款项。</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3、合同组成</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详细价格、技术说明及其它有关合同设备的特定信息由合同附件说明。所有附件及本项目的招投标文件、会议纪要、协议等均为本合同不可分割之一部分。</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4、技术要求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乙方所提供设备，必须符合国家有关规范和环保要求及甲方的技术要求，并提供设备的出厂测试报告。</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5、合同设备包装、交货、调试及验收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5.1 合同设备的包装：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设备的包装均应有良好的防湿、防锈、防潮、防雨、防腐及防碰撞的措施。凡由于包装不良造成的损失和由此产生的费用均由乙方承担。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5.2 合同设备的交货：</w:t>
      </w:r>
    </w:p>
    <w:p>
      <w:pPr>
        <w:pStyle w:val="60"/>
        <w:spacing w:line="360" w:lineRule="auto"/>
        <w:rPr>
          <w:rFonts w:hint="eastAsia" w:ascii="宋体" w:hAnsi="宋体" w:eastAsia="宋体" w:cs="宋体"/>
          <w:sz w:val="24"/>
          <w:szCs w:val="24"/>
          <w:u w:val="single"/>
        </w:rPr>
      </w:pPr>
      <w:r>
        <w:rPr>
          <w:rFonts w:hint="eastAsia" w:ascii="宋体" w:hAnsi="宋体" w:eastAsia="宋体" w:cs="宋体"/>
          <w:sz w:val="24"/>
          <w:szCs w:val="24"/>
        </w:rPr>
        <w:t>5.2.1 乙方交货时间：合同签订后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天交货。</w:t>
      </w:r>
    </w:p>
    <w:p>
      <w:pPr>
        <w:pStyle w:val="60"/>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5.2.2 乙方交货地点：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  设备的验收：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5.3.1 验收按国家有关的规定、规范进行。验收时如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5.3.2 如果合同设备运输过程中因事故造成货物短缺、损坏，乙方应及时安排换货，以保证合同设备的成功交货。换货的相关费用由乙方承担。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5.3.3 国内产品或合资厂的产品必须具备出厂合格证。</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5.3.4 进口产品必须具备省级（或相当于省级）商检部门的检验证明。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5.4  乙方保证合同项下提供的设备不侵犯任何第三方的专利、商标或版权。否则，乙方须承担对第三方的专利或版权的侵权责任并承担因此而发生的所有费用。</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6、质量保证及售后服务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6.1 乙方保证合同设备是全新、未曾使用过的，其质量、规格及技术特征符合合同附件的要求。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6.2 合同设备保质保用期按生产厂家的标准执行，但不得少于</w:t>
      </w:r>
      <w:r>
        <w:rPr>
          <w:rFonts w:hint="eastAsia" w:ascii="宋体" w:hAnsi="宋体" w:eastAsia="宋体" w:cs="宋体"/>
          <w:sz w:val="24"/>
          <w:szCs w:val="24"/>
          <w:u w:val="single"/>
        </w:rPr>
        <w:t xml:space="preserve">    </w:t>
      </w:r>
      <w:r>
        <w:rPr>
          <w:rFonts w:hint="eastAsia" w:ascii="宋体" w:hAnsi="宋体" w:eastAsia="宋体" w:cs="宋体"/>
          <w:sz w:val="24"/>
          <w:szCs w:val="24"/>
        </w:rPr>
        <w:t>年（用户单位验收之日起计算）。</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保质保用期内非甲方的人为原因而出现产品质量及安装问题，由乙方负责包修、包换或包退，并承担因此而产生的一切费用。乙方应在收到甲方通知后24小时内派员到现场维修。</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下列情况乙方不负责免费保修：</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1）甲方不按照乙方提供的正确使用方法而引致设备损坏；</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2）甲方擅自改装设备；</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3）各种人为因素或天灾等外来因素造成的损坏。</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6.3 因设备的质量问题而发生争议，由新疆维吾尔自治区质检部门进行质量鉴定。设备符合质量标准的，鉴定费用由甲方承担；设备不符合质量标准的，鉴定费用由乙方承担。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6.4 乙方为甲方提供操作及维护培训，培训地点主要在设备交货现场或按甲乙双方协商安排。</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7、技术服务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7.1 乙方应派员到甲方指定地点配合工作。</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7.2 乙方按甲方提供的合同执行进度计划，再配合甲方及有关单位，做好合同执行进度上的配合工作。</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8、不可抗力</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  不可抗力指战争、严重火灾、洪水、台风、地震等或其它双方认定的不可抗力事件。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9、索赔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9.1 如有异议，甲方有权根据有关政府部门的检验结果向乙方提出索赔。</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9.2 在合同执行期间，如果乙方对甲方提出的索赔和差异负有责任，乙方应按照甲方同意的下列一种或多种方式解决索赔事宜：</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1）乙方同意退货，并按合同规定的同种货币将货款退还给甲方，并承担由此发生的一切损失和费用。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2）根据货物低劣程度、损坏程度以及甲方所遭受损失的数额甲乙双方商定降低货物的价格。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3）用符合规格、质量和性能要求的新零件、部件或货物来更换有缺陷的部分或修补缺陷的部分，乙方应承担一切费用和风险并负有甲方所发生的一切直接费用。同时，相应延长质量保证期。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9.3 如果在甲方发出索赔通知后</w:t>
      </w:r>
      <w:r>
        <w:rPr>
          <w:rFonts w:hint="eastAsia" w:ascii="宋体" w:hAnsi="宋体" w:eastAsia="宋体" w:cs="宋体"/>
          <w:sz w:val="24"/>
          <w:szCs w:val="24"/>
          <w:shd w:val="clear" w:color="auto" w:fill="FFFFFF"/>
        </w:rPr>
        <w:t>30</w:t>
      </w:r>
      <w:r>
        <w:rPr>
          <w:rFonts w:hint="eastAsia" w:ascii="宋体" w:hAnsi="宋体" w:eastAsia="宋体" w:cs="宋体"/>
          <w:sz w:val="24"/>
          <w:szCs w:val="24"/>
        </w:rPr>
        <w:t>天内，乙方未作答复，上述索赔应视为已被乙方接受。甲方将从合同款项中扣回索赔金额。如果这些金额不足以补偿索赔金额，甲方有权向乙方提出不足部分的补偿。</w:t>
      </w:r>
    </w:p>
    <w:p>
      <w:pPr>
        <w:pStyle w:val="60"/>
        <w:spacing w:line="360" w:lineRule="auto"/>
        <w:rPr>
          <w:rFonts w:hint="eastAsia" w:ascii="宋体" w:hAnsi="宋体" w:eastAsia="宋体" w:cs="宋体"/>
          <w:b/>
          <w:bCs/>
          <w:sz w:val="24"/>
          <w:szCs w:val="24"/>
        </w:rPr>
      </w:pP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10、违约与处罚</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10.1 甲方应依合同规定时间内，向乙方支付货款，每拖延一天乙方可向甲方加收合同金额的</w:t>
      </w:r>
      <w:r>
        <w:rPr>
          <w:rFonts w:hint="eastAsia" w:ascii="宋体" w:hAnsi="宋体" w:eastAsia="宋体" w:cs="宋体"/>
          <w:sz w:val="24"/>
          <w:szCs w:val="24"/>
          <w:shd w:val="clear" w:color="auto" w:fill="FFFFFF"/>
        </w:rPr>
        <w:t>3‰</w:t>
      </w:r>
      <w:r>
        <w:rPr>
          <w:rFonts w:hint="eastAsia" w:ascii="宋体" w:hAnsi="宋体" w:eastAsia="宋体" w:cs="宋体"/>
          <w:sz w:val="24"/>
          <w:szCs w:val="24"/>
        </w:rPr>
        <w:t>的违约金。</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10.2 乙方未能按时交货，每拖延一天，须向甲方支付合同金额的</w:t>
      </w:r>
      <w:r>
        <w:rPr>
          <w:rFonts w:hint="eastAsia" w:ascii="宋体" w:hAnsi="宋体" w:eastAsia="宋体" w:cs="宋体"/>
          <w:sz w:val="24"/>
          <w:szCs w:val="24"/>
          <w:shd w:val="clear" w:color="auto" w:fill="FFFFFF"/>
        </w:rPr>
        <w:t>3‰</w:t>
      </w:r>
      <w:r>
        <w:rPr>
          <w:rFonts w:hint="eastAsia" w:ascii="宋体" w:hAnsi="宋体" w:eastAsia="宋体" w:cs="宋体"/>
          <w:sz w:val="24"/>
          <w:szCs w:val="24"/>
        </w:rPr>
        <w:t>的违约金，此部份金额从乙方履约保证金中扣除，不足部份，甲方有权向乙方提出追偿。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10.3 乙方交付的货物不符合合同规定的，甲方有权拒收，乙方向甲方支付合同金额的</w:t>
      </w:r>
      <w:r>
        <w:rPr>
          <w:rFonts w:hint="eastAsia" w:ascii="宋体" w:hAnsi="宋体" w:eastAsia="宋体" w:cs="宋体"/>
          <w:sz w:val="24"/>
          <w:szCs w:val="24"/>
          <w:shd w:val="clear" w:color="auto" w:fill="FFFFFF"/>
        </w:rPr>
        <w:t>5%</w:t>
      </w:r>
      <w:r>
        <w:rPr>
          <w:rFonts w:hint="eastAsia" w:ascii="宋体" w:hAnsi="宋体" w:eastAsia="宋体" w:cs="宋体"/>
          <w:sz w:val="24"/>
          <w:szCs w:val="24"/>
        </w:rPr>
        <w:t>的违约金，此部份金额从乙方履约保证金中扣除。</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10.4 甲方无正当理由拒收货物的，甲方向乙方支付合同金额的</w:t>
      </w:r>
      <w:r>
        <w:rPr>
          <w:rFonts w:hint="eastAsia" w:ascii="宋体" w:hAnsi="宋体" w:eastAsia="宋体" w:cs="宋体"/>
          <w:sz w:val="24"/>
          <w:szCs w:val="24"/>
          <w:shd w:val="clear" w:color="auto" w:fill="FFFFFF"/>
        </w:rPr>
        <w:t>5%</w:t>
      </w:r>
      <w:r>
        <w:rPr>
          <w:rFonts w:hint="eastAsia" w:ascii="宋体" w:hAnsi="宋体" w:eastAsia="宋体" w:cs="宋体"/>
          <w:sz w:val="24"/>
          <w:szCs w:val="24"/>
        </w:rPr>
        <w:t>的违约金。</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10.5 乙方未能交付货物，则须向甲方支付合同采购金额</w:t>
      </w:r>
      <w:r>
        <w:rPr>
          <w:rFonts w:hint="eastAsia" w:ascii="宋体" w:hAnsi="宋体" w:eastAsia="宋体" w:cs="宋体"/>
          <w:sz w:val="24"/>
          <w:szCs w:val="24"/>
          <w:shd w:val="clear" w:color="auto" w:fill="FFFFFF"/>
        </w:rPr>
        <w:t>5%</w:t>
      </w:r>
      <w:r>
        <w:rPr>
          <w:rFonts w:hint="eastAsia" w:ascii="宋体" w:hAnsi="宋体" w:eastAsia="宋体" w:cs="宋体"/>
          <w:sz w:val="24"/>
          <w:szCs w:val="24"/>
        </w:rPr>
        <w:t>的违约金，此部份金额从乙方履约保证金中扣除。在乙方未能交货</w:t>
      </w:r>
      <w:r>
        <w:rPr>
          <w:rFonts w:hint="eastAsia" w:ascii="宋体" w:hAnsi="宋体" w:eastAsia="宋体" w:cs="宋体"/>
          <w:sz w:val="24"/>
          <w:szCs w:val="24"/>
          <w:u w:val="single"/>
        </w:rPr>
        <w:t xml:space="preserve">   </w:t>
      </w:r>
      <w:r>
        <w:rPr>
          <w:rFonts w:hint="eastAsia" w:ascii="宋体" w:hAnsi="宋体" w:eastAsia="宋体" w:cs="宋体"/>
          <w:sz w:val="24"/>
          <w:szCs w:val="24"/>
        </w:rPr>
        <w:t>天后，视为其不能交付货物，甲方将有权终止合同并提出进一步索赔的权力。</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11、合同终止</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如果一方严重违反合同，并在收到对方违约通知书后在</w:t>
      </w:r>
      <w:r>
        <w:rPr>
          <w:rFonts w:hint="eastAsia" w:ascii="宋体" w:hAnsi="宋体" w:eastAsia="宋体" w:cs="宋体"/>
          <w:sz w:val="24"/>
          <w:szCs w:val="24"/>
          <w:shd w:val="clear" w:color="auto" w:fill="FFFFFF"/>
        </w:rPr>
        <w:t>30</w:t>
      </w:r>
      <w:r>
        <w:rPr>
          <w:rFonts w:hint="eastAsia" w:ascii="宋体" w:hAnsi="宋体" w:eastAsia="宋体" w:cs="宋体"/>
          <w:sz w:val="24"/>
          <w:szCs w:val="24"/>
        </w:rPr>
        <w:t>天内仍未能改正违约的，另一方可立即终止本合同。</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12、法律诉讼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签约双方在履约中发生争执和分歧，双方应通过友好协商解决，若经协商不能达成协议时，则由合同签订地或招标人所在地人民法院提起诉讼。受理期间，双方应继续执行合同其余部分。</w:t>
      </w:r>
    </w:p>
    <w:p>
      <w:pPr>
        <w:pStyle w:val="60"/>
        <w:spacing w:line="360" w:lineRule="auto"/>
        <w:rPr>
          <w:rFonts w:hint="eastAsia" w:ascii="宋体" w:hAnsi="宋体" w:eastAsia="宋体" w:cs="宋体"/>
          <w:b/>
          <w:bCs/>
          <w:sz w:val="24"/>
          <w:szCs w:val="24"/>
        </w:rPr>
      </w:pPr>
      <w:r>
        <w:rPr>
          <w:rFonts w:hint="eastAsia" w:ascii="宋体" w:hAnsi="宋体" w:eastAsia="宋体" w:cs="宋体"/>
          <w:b/>
          <w:bCs/>
          <w:sz w:val="24"/>
          <w:szCs w:val="24"/>
        </w:rPr>
        <w:t>13、其它</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13.1 本合同正本五份，具有同等法律效力，甲、乙双方各执二份，采购代理机构一份。合同自签字之日起即时生效。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13.2下列文件是本合同的一部分，并与本合同一起阅读和解释</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13.2.1 中标人提交的投标函和投标一览表；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13.2.2 资格声明函；</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13.2.3 中标通知书；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13.2.4 其他相关投标文件。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13.3 本合同未尽事宜，由双方协商处理。</w:t>
      </w:r>
    </w:p>
    <w:p>
      <w:pPr>
        <w:pStyle w:val="60"/>
        <w:spacing w:line="360" w:lineRule="auto"/>
        <w:rPr>
          <w:rFonts w:hint="eastAsia" w:ascii="宋体" w:hAnsi="宋体" w:eastAsia="宋体" w:cs="宋体"/>
          <w:sz w:val="24"/>
          <w:szCs w:val="24"/>
        </w:rPr>
      </w:pP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甲方：                              </w:t>
      </w:r>
      <w:r>
        <w:rPr>
          <w:rFonts w:hint="eastAsia" w:ascii="宋体" w:hAnsi="宋体" w:cs="宋体"/>
          <w:sz w:val="24"/>
          <w:szCs w:val="24"/>
          <w:lang w:val="en-US" w:eastAsia="zh-CN"/>
        </w:rPr>
        <w:t xml:space="preserve">                    </w:t>
      </w:r>
      <w:r>
        <w:rPr>
          <w:rFonts w:hint="eastAsia" w:ascii="宋体" w:hAnsi="宋体" w:eastAsia="宋体" w:cs="宋体"/>
          <w:sz w:val="24"/>
          <w:szCs w:val="24"/>
        </w:rPr>
        <w:t>乙方：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签约代表：                                              签约代表：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地址：                                                  地址：</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电话：　　　                                            电话：</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传真：　　　                                            传真：</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                                                        开户行：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                                                        账号：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签约日期：20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签约日期：20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spacing w:before="0" w:beforeAutospacing="0" w:after="0" w:afterAutospacing="0" w:line="24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br w:type="page"/>
      </w:r>
      <w:r>
        <w:rPr>
          <w:rFonts w:hint="eastAsia" w:ascii="宋体" w:hAnsi="宋体" w:eastAsia="宋体" w:cs="宋体"/>
          <w:kern w:val="2"/>
          <w:sz w:val="24"/>
          <w:szCs w:val="24"/>
          <w:lang w:val="en-US" w:eastAsia="zh-CN" w:bidi="ar-SA"/>
        </w:rPr>
        <w:t>通用条款</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1．定义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本合同下列术语应解释为: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1.1“合同”，是指招标人和投标人按照该项目购销合同格式签署的协议，内容包括：</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1.1.1投标人提交的投标函和投标一览表；</w:t>
      </w:r>
      <w:permStart w:id="0" w:edGrp="everyone"/>
      <w:permEnd w:id="0"/>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1.1.2资格文件声明函；</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1.1.3 中标通知书；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1.1.4本项目购销合同和采购项目一览表；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1.1.5其他相关投标文件。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1.2 “合同签订金额”，是指投标人完全履行合同义务后招标人应支付给投标人的价格，也可解释为投标人对招标人的实际供应价。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1.3 “伴随服务”，是指根据合同规定投标人承担的供货有关的辅助服务和合同中规定投标人应承担的其它义务。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1.4 “招标人” 是指本次公开招标采购活动的单位。与公开采购的“采购人”同义。</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1.5 “投标人”，是指为本次招标人提供设备及服务的生产企业和经营企业。</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2．产地</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“产地”，是指检验设备生产企业所在地。</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3．规格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3.1 交付货物的规格应与中标通知书规定的规格相一致。</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3.2 计量单位应该使用公制。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4．专利权</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投标人应保证招标人在使用该中标产品时，不受第三方提出的侵犯其专利权、商标权或保护期的起诉。</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5．包装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5.1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5.2 每套设备应附一份详细装箱单和质量检验报告书。包装、标记和包装箱内外的单据应符合合同的要求，包括招标人后来提出的特殊要求。</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6．付款</w:t>
      </w:r>
    </w:p>
    <w:p>
      <w:pPr>
        <w:pStyle w:val="60"/>
        <w:spacing w:line="360" w:lineRule="auto"/>
        <w:rPr>
          <w:rFonts w:hint="eastAsia" w:ascii="宋体" w:hAnsi="宋体" w:eastAsia="宋体" w:cs="宋体"/>
          <w:sz w:val="24"/>
          <w:szCs w:val="24"/>
        </w:rPr>
      </w:pPr>
      <w:r>
        <w:rPr>
          <w:rFonts w:hint="eastAsia" w:ascii="宋体" w:hAnsi="宋体" w:eastAsia="宋体" w:cs="宋体"/>
          <w:snapToGrid w:val="0"/>
          <w:spacing w:val="-8"/>
          <w:kern w:val="0"/>
          <w:sz w:val="24"/>
          <w:szCs w:val="24"/>
        </w:rPr>
        <w:t>6.1 自</w:t>
      </w:r>
      <w:r>
        <w:rPr>
          <w:rFonts w:hint="eastAsia" w:ascii="宋体" w:hAnsi="宋体" w:eastAsia="宋体" w:cs="宋体"/>
          <w:sz w:val="24"/>
          <w:szCs w:val="24"/>
        </w:rPr>
        <w:t>招标人</w:t>
      </w:r>
      <w:r>
        <w:rPr>
          <w:rFonts w:hint="eastAsia" w:ascii="宋体" w:hAnsi="宋体" w:eastAsia="宋体" w:cs="宋体"/>
          <w:snapToGrid w:val="0"/>
          <w:spacing w:val="-8"/>
          <w:kern w:val="0"/>
          <w:sz w:val="24"/>
          <w:szCs w:val="24"/>
        </w:rPr>
        <w:t>收到本合同项下最后一批</w:t>
      </w:r>
      <w:r>
        <w:rPr>
          <w:rFonts w:hint="eastAsia" w:ascii="宋体" w:hAnsi="宋体" w:eastAsia="宋体" w:cs="宋体"/>
          <w:sz w:val="24"/>
          <w:szCs w:val="24"/>
        </w:rPr>
        <w:t>设备</w:t>
      </w:r>
      <w:r>
        <w:rPr>
          <w:rFonts w:hint="eastAsia" w:ascii="宋体" w:hAnsi="宋体" w:eastAsia="宋体" w:cs="宋体"/>
          <w:snapToGrid w:val="0"/>
          <w:spacing w:val="-8"/>
          <w:kern w:val="0"/>
          <w:sz w:val="24"/>
          <w:szCs w:val="24"/>
        </w:rPr>
        <w:t>后，在本合同条款前附表规定的时间内，</w:t>
      </w:r>
      <w:r>
        <w:rPr>
          <w:rFonts w:hint="eastAsia" w:ascii="宋体" w:hAnsi="宋体" w:eastAsia="宋体" w:cs="宋体"/>
          <w:sz w:val="24"/>
          <w:szCs w:val="24"/>
        </w:rPr>
        <w:t>招标人</w:t>
      </w:r>
      <w:r>
        <w:rPr>
          <w:rFonts w:hint="eastAsia" w:ascii="宋体" w:hAnsi="宋体" w:eastAsia="宋体" w:cs="宋体"/>
          <w:snapToGrid w:val="0"/>
          <w:spacing w:val="-8"/>
          <w:kern w:val="0"/>
          <w:sz w:val="24"/>
          <w:szCs w:val="24"/>
        </w:rPr>
        <w:t>应付清全部款项。</w:t>
      </w:r>
      <w:r>
        <w:rPr>
          <w:rFonts w:hint="eastAsia" w:ascii="宋体" w:hAnsi="宋体" w:eastAsia="宋体" w:cs="宋体"/>
          <w:sz w:val="24"/>
          <w:szCs w:val="24"/>
        </w:rPr>
        <w:t>招标人和投标人可根据不同的结算条件协商确定中标设备价格优惠比率。该优惠比率在合同执行过程中不得变更，优惠协议由招标人和投标人协商自行签订。</w:t>
      </w:r>
    </w:p>
    <w:p>
      <w:pPr>
        <w:pStyle w:val="6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xml:space="preserve">6.2 </w:t>
      </w:r>
      <w:r>
        <w:rPr>
          <w:rFonts w:hint="eastAsia" w:ascii="宋体" w:hAnsi="宋体" w:eastAsia="宋体" w:cs="宋体"/>
          <w:sz w:val="24"/>
          <w:szCs w:val="24"/>
        </w:rPr>
        <w:t>招标人</w:t>
      </w:r>
      <w:r>
        <w:rPr>
          <w:rFonts w:hint="eastAsia" w:ascii="宋体" w:hAnsi="宋体" w:eastAsia="宋体" w:cs="宋体"/>
          <w:snapToGrid w:val="0"/>
          <w:kern w:val="0"/>
          <w:sz w:val="24"/>
          <w:szCs w:val="24"/>
        </w:rPr>
        <w:t>按照中标</w:t>
      </w:r>
      <w:r>
        <w:rPr>
          <w:rFonts w:hint="eastAsia" w:ascii="宋体" w:hAnsi="宋体" w:eastAsia="宋体" w:cs="宋体"/>
          <w:sz w:val="24"/>
          <w:szCs w:val="24"/>
        </w:rPr>
        <w:t>设备</w:t>
      </w:r>
      <w:r>
        <w:rPr>
          <w:rFonts w:hint="eastAsia" w:ascii="宋体" w:hAnsi="宋体" w:eastAsia="宋体" w:cs="宋体"/>
          <w:snapToGrid w:val="0"/>
          <w:kern w:val="0"/>
          <w:sz w:val="24"/>
          <w:szCs w:val="24"/>
        </w:rPr>
        <w:t>购销合同规定的方式，同投标人结算货款。</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6.3 投标人应向招标人提出付款要求，并提交已交易设备的发票和有关单证以及合同规定的其他义务已经履行的证明。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7．价格</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在合同有效期内投标人在本合同项下提供的设备和履行服务的价格应该是中标通知书中确认的价格。 </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8．伴随服务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8.1投标人要履行下列全部服务：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8.1.1 设备的运输；</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8.1.2 提供设备开箱或分装的用具；</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8.1.3 对开箱时发现破损的设备或其他不合格包装设备及时更换；</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8.1.4 在招标人指定地点为所供设备的临床应用进行现场讲解或培训；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8.1.5 其他投标人应提供的相关服务项目。</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8.2 如果投标人对可能发生的伴随服务需要收取费用，应在报价时予以注明。</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9．质量保证及检验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9.1 按合同交付的设备质量应符合国家药品食品监督管理部门规定的标准，并与投标时承诺的质量相一致，确保使用的安全有效。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9.2 如果招标人确认需要对设备进行质量检验，</w:t>
      </w:r>
      <w:r>
        <w:rPr>
          <w:rFonts w:hint="eastAsia" w:ascii="宋体" w:hAnsi="宋体" w:eastAsia="宋体" w:cs="宋体"/>
          <w:snapToGrid w:val="0"/>
          <w:kern w:val="0"/>
          <w:sz w:val="24"/>
          <w:szCs w:val="24"/>
        </w:rPr>
        <w:t>应</w:t>
      </w:r>
      <w:r>
        <w:rPr>
          <w:rFonts w:hint="eastAsia" w:ascii="宋体" w:hAnsi="宋体" w:eastAsia="宋体" w:cs="宋体"/>
          <w:sz w:val="24"/>
          <w:szCs w:val="24"/>
        </w:rPr>
        <w:t>及时以书面形式把质量检验的具体要求通知投标人。如果投标人同意进行设备质量检验，或者通过检验证明设备存在质量问题，则进行设备质量检验的费用由投标人承担。检验在交货地进行。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9.3 招标人在接收设备时,应对设备进行验货确认,对不符合合同要求或质量要求的, 招标人有权拒绝接受。投标人应及时更换被拒绝的设备,不得影响招标人的使用。</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9.4招标人如果发现设备存在质量问题（有相关检验部门的检验报告），有权在其它中标候选人中选择替代。上述决定应在7日内报相关行政部门备案。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10．投标人履约延误</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10.1投标人应按照中标（成交）合同中招标人规定的时间，运送设备并提供伴随服务。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10.2 在履行合同的过程中，如果投标人遇到妨碍按时运送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10.3 如投标人无正当理由拖延交货，将受到以下制裁：加收误期赔偿费和或终止合同。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11．误期赔偿</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11.1除本合同条款第10条规定的情况外，如果投标人没有按照合同规定的时间运送设备并提供伴随服务，招标人应从货款中扣除违约金而不影响本合同项下的其它补救办法。除不可抗拒因素外，每迟交1天投标人向招标人缴纳货款总额</w:t>
      </w:r>
      <w:r>
        <w:rPr>
          <w:rFonts w:hint="eastAsia" w:ascii="宋体" w:hAnsi="宋体" w:eastAsia="宋体" w:cs="宋体"/>
          <w:sz w:val="24"/>
          <w:szCs w:val="24"/>
          <w:shd w:val="clear" w:color="auto" w:fill="FFFFFF"/>
        </w:rPr>
        <w:t>3‰</w:t>
      </w:r>
      <w:r>
        <w:rPr>
          <w:rFonts w:hint="eastAsia" w:ascii="宋体" w:hAnsi="宋体" w:eastAsia="宋体" w:cs="宋体"/>
          <w:sz w:val="24"/>
          <w:szCs w:val="24"/>
        </w:rPr>
        <w:t>的违约金，迟交20天招标人有权终止投标人部分或所有中标设备的供货权，并取消投标人今后投标机会，如影响招标人的正常运作将追究投标人连带责任。</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11.2投标人在支付违约金后，还应当履行应尽的交货义务。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bCs/>
          <w:sz w:val="24"/>
          <w:szCs w:val="24"/>
        </w:rPr>
        <w:t>招标人</w:t>
      </w:r>
      <w:r>
        <w:rPr>
          <w:rFonts w:hint="eastAsia" w:ascii="宋体" w:hAnsi="宋体" w:eastAsia="宋体" w:cs="宋体"/>
          <w:sz w:val="24"/>
          <w:szCs w:val="24"/>
        </w:rPr>
        <w:t>履约义务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12.1 招标人将根据中标结果履行中标设备的合同采购。</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12.2 如招标人不履行上述合同义务，将支付法定滞纳金或终止合同。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13．不可抗力</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13.1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pStyle w:val="60"/>
        <w:spacing w:line="360" w:lineRule="auto"/>
        <w:rPr>
          <w:rFonts w:hint="eastAsia" w:ascii="宋体" w:hAnsi="宋体" w:eastAsia="宋体" w:cs="宋体"/>
          <w:bCs/>
          <w:sz w:val="24"/>
          <w:szCs w:val="24"/>
        </w:rPr>
      </w:pPr>
      <w:r>
        <w:rPr>
          <w:rFonts w:hint="eastAsia" w:ascii="宋体" w:hAnsi="宋体" w:eastAsia="宋体" w:cs="宋体"/>
          <w:bCs/>
          <w:sz w:val="24"/>
          <w:szCs w:val="24"/>
        </w:rPr>
        <w:t>14、招标代理服务费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中标人应按照本招标文件确定的标准向采购代理机构缴纳招标代理服务费。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 xml:space="preserve">15．争议的解决 </w:t>
      </w:r>
    </w:p>
    <w:p>
      <w:pPr>
        <w:pStyle w:val="60"/>
        <w:spacing w:line="360" w:lineRule="auto"/>
        <w:rPr>
          <w:rFonts w:hint="eastAsia" w:ascii="宋体" w:hAnsi="宋体" w:eastAsia="宋体" w:cs="宋体"/>
          <w:bCs/>
          <w:sz w:val="24"/>
          <w:szCs w:val="24"/>
        </w:rPr>
      </w:pPr>
      <w:r>
        <w:rPr>
          <w:rFonts w:hint="eastAsia" w:ascii="宋体" w:hAnsi="宋体" w:eastAsia="宋体" w:cs="宋体"/>
          <w:bCs/>
          <w:sz w:val="24"/>
          <w:szCs w:val="24"/>
        </w:rPr>
        <w:t>因合同引起的或与本合同有关的任何争议，由双方当事人协商解决；也可以向有关部门申请调解。协商或调解不成，当事人可依照有关法律规定将争议提交仲裁，或向人民法院起诉。</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16．违约终止合同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 在招标人对中标人因违约而采取的任何补救措施不受影响的情况下，招标人可向中标人发出书面通知书，提出部分或全部终止合同。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16.1.1如果中标人未能在合同规定的限期或招标人同意延长的限期内提供部分或全部设备。</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16.1.2 如果中标人未能履行合同规定的其它任何义务。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16.1.3 如果招标人认定中标人在本合同的实施过程中有严重违法行为。</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16.2如果招标人根据上述规定，终止了全部或部分合同，招标人可以依其认为适当的条件和方法购买其它中标候选人的设备，并在7日内通知采购代理机构并报卫生行政部门。投标人应对购买替代设备所超出的那部分费用负责。</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16.3 如招标人未依照中标合同的规定按时结算货款，投标人有权要求招标人支付法定滞纳金并承担相应的违约责任直至终止合同。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17．破产终止合同</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18．转让和分包</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除非招标人事先书面同意，并得到相关部门的许可，投标人不得部分转让或全部转让其应履行的合同义务。</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19．适用法律</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本合同应按照中华人民共和国现行法律、法规和规章进行解释。</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20．合同生效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本合同条款在双方签字后生效。</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21．主导语言</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本合同以中文书写。</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22．合同修改</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除了双方签署书面修改协议，并成为本合同不可分割的一部分的情况之外，本合同的条款不得有任何变化或修改。</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宋体" w:hAnsi="宋体" w:eastAsia="宋体" w:cs="宋体"/>
          <w:b/>
          <w:sz w:val="24"/>
          <w:szCs w:val="24"/>
        </w:rPr>
      </w:pPr>
    </w:p>
    <w:p>
      <w:pPr>
        <w:pStyle w:val="12"/>
        <w:keepNext w:val="0"/>
        <w:keepLines w:val="0"/>
        <w:pageBreakBefore w:val="0"/>
        <w:widowControl w:val="0"/>
        <w:kinsoku/>
        <w:wordWrap/>
        <w:overflowPunct/>
        <w:topLinePunct w:val="0"/>
        <w:autoSpaceDE/>
        <w:autoSpaceDN/>
        <w:bidi w:val="0"/>
        <w:spacing w:before="0" w:beforeAutospacing="0" w:after="0" w:afterAutospacing="0" w:line="360" w:lineRule="auto"/>
        <w:ind w:firstLine="437"/>
        <w:textAlignment w:val="auto"/>
        <w:rPr>
          <w:rFonts w:hint="eastAsia" w:ascii="宋体" w:hAnsi="宋体" w:eastAsia="宋体" w:cs="宋体"/>
          <w:b/>
          <w:sz w:val="24"/>
          <w:szCs w:val="24"/>
        </w:rPr>
      </w:pPr>
      <w:r>
        <w:rPr>
          <w:rFonts w:hint="eastAsia" w:ascii="宋体" w:hAnsi="宋体" w:eastAsia="宋体" w:cs="宋体"/>
          <w:b/>
          <w:sz w:val="24"/>
          <w:szCs w:val="24"/>
        </w:rPr>
        <w:t>注意事项：本合同条款未尽事宜，由甲乙双方以补充合同约定，原则上不能超越和违背招标及补充文件、投标文件及投标有关承诺的范围及内容。</w:t>
      </w:r>
    </w:p>
    <w:p>
      <w:pPr>
        <w:pStyle w:val="12"/>
        <w:spacing w:beforeLines="100" w:beforeAutospacing="0" w:afterLines="50" w:afterAutospacing="0"/>
        <w:ind w:firstLine="437"/>
        <w:rPr>
          <w:rFonts w:asciiTheme="minorEastAsia" w:hAnsiTheme="minorEastAsia" w:eastAsiaTheme="minorEastAsia" w:cstheme="minorEastAsia"/>
          <w:b/>
          <w:sz w:val="21"/>
          <w:szCs w:val="21"/>
        </w:rPr>
      </w:pPr>
    </w:p>
    <w:p>
      <w:pPr>
        <w:pStyle w:val="12"/>
        <w:spacing w:beforeLines="100" w:beforeAutospacing="0" w:afterLines="50" w:afterAutospacing="0"/>
        <w:ind w:firstLine="437"/>
        <w:rPr>
          <w:rFonts w:asciiTheme="minorEastAsia" w:hAnsiTheme="minorEastAsia" w:eastAsiaTheme="minorEastAsia" w:cstheme="minorEastAsia"/>
          <w:b/>
          <w:sz w:val="21"/>
          <w:szCs w:val="21"/>
        </w:rPr>
      </w:pPr>
    </w:p>
    <w:p>
      <w:pPr>
        <w:pStyle w:val="12"/>
        <w:spacing w:beforeLines="100" w:beforeAutospacing="0" w:afterLines="50" w:afterAutospacing="0"/>
        <w:ind w:firstLine="437"/>
        <w:rPr>
          <w:rFonts w:asciiTheme="minorEastAsia" w:hAnsiTheme="minorEastAsia" w:eastAsiaTheme="minorEastAsia" w:cstheme="minorEastAsia"/>
          <w:b/>
          <w:sz w:val="21"/>
          <w:szCs w:val="21"/>
        </w:rPr>
      </w:pPr>
    </w:p>
    <w:p>
      <w:pPr>
        <w:pStyle w:val="12"/>
        <w:spacing w:beforeLines="100" w:beforeAutospacing="0" w:afterLines="50" w:afterAutospacing="0"/>
        <w:ind w:firstLine="437"/>
        <w:rPr>
          <w:rFonts w:asciiTheme="minorEastAsia" w:hAnsiTheme="minorEastAsia" w:eastAsiaTheme="minorEastAsia" w:cstheme="minorEastAsia"/>
          <w:b/>
          <w:sz w:val="21"/>
          <w:szCs w:val="21"/>
        </w:rPr>
      </w:pPr>
    </w:p>
    <w:p>
      <w:pPr>
        <w:pStyle w:val="12"/>
        <w:spacing w:beforeLines="100" w:beforeAutospacing="0" w:afterLines="50" w:afterAutospacing="0"/>
        <w:ind w:firstLine="437"/>
        <w:rPr>
          <w:rFonts w:asciiTheme="minorEastAsia" w:hAnsiTheme="minorEastAsia" w:eastAsiaTheme="minorEastAsia" w:cstheme="minorEastAsia"/>
          <w:b/>
          <w:sz w:val="21"/>
          <w:szCs w:val="21"/>
        </w:rPr>
      </w:pPr>
    </w:p>
    <w:p>
      <w:pPr>
        <w:pStyle w:val="12"/>
        <w:spacing w:beforeLines="100" w:beforeAutospacing="0" w:afterLines="50" w:afterAutospacing="0"/>
        <w:ind w:firstLine="437"/>
        <w:rPr>
          <w:rFonts w:asciiTheme="minorEastAsia" w:hAnsiTheme="minorEastAsia" w:eastAsiaTheme="minorEastAsia" w:cstheme="minorEastAsia"/>
          <w:b/>
          <w:sz w:val="21"/>
          <w:szCs w:val="21"/>
        </w:rPr>
      </w:pPr>
    </w:p>
    <w:p>
      <w:pPr>
        <w:widowControl/>
        <w:spacing w:before="0" w:beforeAutospacing="0" w:after="0" w:afterAutospacing="0" w:line="240" w:lineRule="auto"/>
        <w:jc w:val="left"/>
        <w:rPr>
          <w:rFonts w:asciiTheme="minorEastAsia" w:hAnsiTheme="minorEastAsia" w:eastAsiaTheme="minorEastAsia"/>
          <w:szCs w:val="21"/>
        </w:rPr>
      </w:pPr>
      <w:r>
        <w:rPr>
          <w:rFonts w:asciiTheme="minorEastAsia" w:hAnsiTheme="minorEastAsia" w:eastAsiaTheme="minorEastAsia"/>
          <w:szCs w:val="21"/>
        </w:rPr>
        <w:br w:type="page"/>
      </w:r>
    </w:p>
    <w:bookmarkEnd w:id="108"/>
    <w:bookmarkEnd w:id="109"/>
    <w:bookmarkEnd w:id="110"/>
    <w:bookmarkEnd w:id="111"/>
    <w:p>
      <w:pPr>
        <w:pStyle w:val="3"/>
        <w:numPr>
          <w:ilvl w:val="0"/>
          <w:numId w:val="14"/>
        </w:numPr>
        <w:bidi w:val="0"/>
        <w:rPr>
          <w:rFonts w:hint="eastAsia" w:asciiTheme="minorEastAsia" w:hAnsiTheme="minorEastAsia" w:eastAsiaTheme="minorEastAsia"/>
          <w:b/>
          <w:bCs w:val="0"/>
        </w:rPr>
      </w:pPr>
      <w:bookmarkStart w:id="127" w:name="_Toc41839746"/>
      <w:r>
        <w:rPr>
          <w:rFonts w:hint="eastAsia" w:asciiTheme="minorEastAsia" w:hAnsiTheme="minorEastAsia" w:eastAsiaTheme="minorEastAsia"/>
          <w:b/>
          <w:bCs w:val="0"/>
          <w:lang w:val="en-US" w:eastAsia="zh-CN"/>
        </w:rPr>
        <w:t xml:space="preserve"> </w:t>
      </w:r>
      <w:bookmarkStart w:id="128" w:name="_Toc18795"/>
      <w:r>
        <w:rPr>
          <w:rFonts w:hint="eastAsia" w:asciiTheme="minorEastAsia" w:hAnsiTheme="minorEastAsia" w:eastAsiaTheme="minorEastAsia"/>
          <w:b/>
          <w:bCs w:val="0"/>
        </w:rPr>
        <w:t>投标文件</w:t>
      </w:r>
      <w:bookmarkEnd w:id="127"/>
      <w:r>
        <w:rPr>
          <w:rFonts w:hint="eastAsia" w:asciiTheme="minorEastAsia" w:hAnsiTheme="minorEastAsia" w:eastAsiaTheme="minorEastAsia"/>
          <w:b/>
          <w:bCs w:val="0"/>
          <w:lang w:eastAsia="zh-CN"/>
        </w:rPr>
        <w:t>格式</w:t>
      </w:r>
      <w:bookmarkEnd w:id="128"/>
    </w:p>
    <w:p>
      <w:pPr>
        <w:pStyle w:val="60"/>
        <w:keepNext w:val="0"/>
        <w:keepLines w:val="0"/>
        <w:pageBreakBefore w:val="0"/>
        <w:widowControl w:val="0"/>
        <w:numPr>
          <w:ilvl w:val="0"/>
          <w:numId w:val="18"/>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投标文件组成</w:t>
      </w:r>
    </w:p>
    <w:p>
      <w:pPr>
        <w:pStyle w:val="60"/>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一、目录</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、报价文件</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、资格</w:t>
      </w:r>
      <w:r>
        <w:rPr>
          <w:rFonts w:hint="eastAsia" w:ascii="宋体" w:hAnsi="宋体" w:cs="宋体"/>
          <w:sz w:val="24"/>
          <w:szCs w:val="24"/>
          <w:lang w:eastAsia="zh-CN"/>
        </w:rPr>
        <w:t>证明</w:t>
      </w:r>
      <w:r>
        <w:rPr>
          <w:rFonts w:hint="eastAsia" w:ascii="宋体" w:hAnsi="宋体" w:eastAsia="宋体" w:cs="宋体"/>
          <w:sz w:val="24"/>
          <w:szCs w:val="24"/>
        </w:rPr>
        <w:t>文件</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w:t>
      </w:r>
      <w:r>
        <w:rPr>
          <w:rFonts w:hint="eastAsia" w:ascii="宋体" w:hAnsi="宋体" w:eastAsia="宋体" w:cs="宋体"/>
          <w:sz w:val="24"/>
          <w:szCs w:val="24"/>
          <w:lang w:eastAsia="zh-CN"/>
        </w:rPr>
        <w:t>商务</w:t>
      </w:r>
      <w:r>
        <w:rPr>
          <w:rFonts w:hint="eastAsia" w:ascii="宋体" w:hAnsi="宋体" w:eastAsia="宋体" w:cs="宋体"/>
          <w:sz w:val="24"/>
          <w:szCs w:val="24"/>
        </w:rPr>
        <w:t>技术文件</w:t>
      </w:r>
    </w:p>
    <w:p>
      <w:pPr>
        <w:rPr>
          <w:rFonts w:hint="eastAsia" w:cs="Times New Roman" w:asciiTheme="minorEastAsia" w:hAnsiTheme="minorEastAsia" w:eastAsiaTheme="minorEastAsia"/>
          <w:lang w:eastAsia="zh-CN"/>
        </w:rPr>
      </w:pPr>
      <w:bookmarkStart w:id="129" w:name="_Toc406671149"/>
      <w:bookmarkStart w:id="130" w:name="_Toc41839750"/>
      <w:bookmarkStart w:id="131" w:name="_Toc406670778"/>
      <w:bookmarkStart w:id="132" w:name="_Toc406672414"/>
      <w:bookmarkStart w:id="133" w:name="_Toc406671718"/>
      <w:r>
        <w:rPr>
          <w:rFonts w:hint="eastAsia" w:cs="Times New Roman" w:asciiTheme="minorEastAsia" w:hAnsiTheme="minorEastAsia" w:eastAsiaTheme="minorEastAsia"/>
          <w:lang w:eastAsia="zh-CN"/>
        </w:rPr>
        <w:br w:type="page"/>
      </w:r>
    </w:p>
    <w:p>
      <w:pPr>
        <w:pStyle w:val="60"/>
        <w:keepNext w:val="0"/>
        <w:keepLines w:val="0"/>
        <w:pageBreakBefore w:val="0"/>
        <w:widowControl w:val="0"/>
        <w:numPr>
          <w:ilvl w:val="0"/>
          <w:numId w:val="18"/>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eastAsiaTheme="minorEastAsia"/>
          <w:sz w:val="24"/>
          <w:szCs w:val="24"/>
          <w:lang w:eastAsia="zh-CN"/>
        </w:rPr>
        <w:t>投标文件格式范本</w:t>
      </w:r>
      <w:bookmarkEnd w:id="129"/>
      <w:bookmarkEnd w:id="130"/>
      <w:bookmarkEnd w:id="131"/>
      <w:bookmarkEnd w:id="132"/>
      <w:bookmarkEnd w:id="133"/>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asciiTheme="minorEastAsia" w:hAnsiTheme="minorEastAsia" w:eastAsiaTheme="minorEastAsia"/>
          <w:sz w:val="24"/>
          <w:szCs w:val="24"/>
          <w:lang w:eastAsia="zh-CN"/>
        </w:rPr>
        <w:t>封面格式：</w:t>
      </w:r>
    </w:p>
    <w:p>
      <w:pPr>
        <w:pStyle w:val="8"/>
      </w:pPr>
    </w:p>
    <w:p>
      <w:pPr>
        <w:bidi w:val="0"/>
        <w:jc w:val="center"/>
        <w:rPr>
          <w:rFonts w:hint="eastAsia" w:ascii="宋体" w:hAnsi="宋体" w:cs="宋体"/>
          <w:sz w:val="56"/>
          <w:szCs w:val="96"/>
          <w:lang w:val="en-US" w:eastAsia="zh-CN"/>
        </w:rPr>
      </w:pPr>
      <w:r>
        <w:rPr>
          <w:rFonts w:hint="eastAsia" w:ascii="宋体" w:hAnsi="宋体" w:eastAsia="宋体" w:cs="宋体"/>
          <w:sz w:val="56"/>
          <w:szCs w:val="96"/>
        </w:rPr>
        <w:t>XXXXX（项目名称）</w:t>
      </w:r>
      <w:r>
        <w:rPr>
          <w:rFonts w:hint="eastAsia" w:ascii="宋体" w:hAnsi="宋体" w:cs="宋体"/>
          <w:sz w:val="56"/>
          <w:szCs w:val="96"/>
          <w:lang w:eastAsia="zh-CN"/>
        </w:rPr>
        <w:t>标项</w:t>
      </w:r>
      <w:r>
        <w:rPr>
          <w:rFonts w:hint="eastAsia" w:ascii="宋体" w:hAnsi="宋体" w:cs="宋体"/>
          <w:sz w:val="56"/>
          <w:szCs w:val="96"/>
          <w:lang w:val="en-US" w:eastAsia="zh-CN"/>
        </w:rPr>
        <w:t>一</w:t>
      </w:r>
    </w:p>
    <w:p>
      <w:pPr>
        <w:pStyle w:val="2"/>
        <w:ind w:left="0" w:leftChars="0" w:firstLine="0" w:firstLineChars="0"/>
        <w:jc w:val="center"/>
        <w:rPr>
          <w:rFonts w:hint="default"/>
          <w:lang w:val="en-US" w:eastAsia="zh-CN"/>
        </w:rPr>
      </w:pPr>
      <w:r>
        <w:rPr>
          <w:rFonts w:hint="eastAsia" w:ascii="宋体" w:hAnsi="宋体" w:cs="宋体"/>
          <w:sz w:val="56"/>
          <w:szCs w:val="96"/>
          <w:lang w:val="en-US" w:eastAsia="zh-CN"/>
        </w:rPr>
        <w:t>2022-ZFCG-XX</w:t>
      </w:r>
    </w:p>
    <w:p>
      <w:pPr>
        <w:bidi w:val="0"/>
        <w:jc w:val="center"/>
        <w:rPr>
          <w:rFonts w:hint="eastAsia" w:ascii="宋体" w:hAnsi="宋体" w:eastAsia="宋体" w:cs="宋体"/>
          <w:sz w:val="56"/>
          <w:szCs w:val="96"/>
        </w:rPr>
      </w:pPr>
      <w:r>
        <w:rPr>
          <w:rFonts w:hint="eastAsia" w:ascii="宋体" w:hAnsi="宋体" w:eastAsia="宋体" w:cs="宋体"/>
          <w:sz w:val="56"/>
          <w:szCs w:val="96"/>
        </w:rPr>
        <w:t>投标文件</w:t>
      </w:r>
    </w:p>
    <w:p>
      <w:pPr>
        <w:pStyle w:val="2"/>
        <w:rPr>
          <w:rFonts w:hint="eastAsia" w:ascii="宋体" w:hAnsi="宋体" w:eastAsia="宋体" w:cs="宋体"/>
          <w:sz w:val="56"/>
          <w:szCs w:val="96"/>
        </w:rPr>
      </w:pPr>
    </w:p>
    <w:p>
      <w:pPr>
        <w:rPr>
          <w:rFonts w:hint="eastAsia" w:asciiTheme="minorEastAsia" w:hAnsiTheme="minorEastAsia" w:eastAsiaTheme="minorEastAsia"/>
          <w:sz w:val="24"/>
        </w:rPr>
      </w:pPr>
      <w:r>
        <w:rPr>
          <w:rFonts w:hint="eastAsia" w:asciiTheme="minorEastAsia" w:hAnsiTheme="minorEastAsia" w:eastAsiaTheme="minorEastAsia"/>
          <w:sz w:val="24"/>
        </w:rPr>
        <w:t>投标人名称</w:t>
      </w:r>
      <w:r>
        <w:rPr>
          <w:rFonts w:hint="eastAsia" w:asciiTheme="minorEastAsia" w:hAnsiTheme="minorEastAsia" w:eastAsiaTheme="minorEastAsia"/>
          <w:sz w:val="24"/>
          <w:lang w:val="en-US" w:eastAsia="zh-CN"/>
        </w:rPr>
        <w:t>(盖章）</w:t>
      </w:r>
      <w:r>
        <w:rPr>
          <w:rFonts w:hint="eastAsia" w:asciiTheme="minorEastAsia" w:hAnsiTheme="minorEastAsia" w:eastAsiaTheme="minorEastAsia"/>
          <w:sz w:val="24"/>
        </w:rPr>
        <w:t xml:space="preserve">：                 </w:t>
      </w:r>
    </w:p>
    <w:p>
      <w:pPr>
        <w:rPr>
          <w:rFonts w:hint="eastAsia" w:asciiTheme="minorEastAsia" w:hAnsiTheme="minorEastAsia" w:eastAsiaTheme="minorEastAsia"/>
          <w:sz w:val="24"/>
        </w:rPr>
      </w:pPr>
      <w:r>
        <w:rPr>
          <w:rFonts w:hint="eastAsia" w:asciiTheme="minorEastAsia" w:hAnsiTheme="minorEastAsia" w:eastAsiaTheme="minorEastAsia"/>
          <w:sz w:val="24"/>
        </w:rPr>
        <w:t>投标人地址：</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邮    编：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联 系 人：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联系电话：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传    真： </w:t>
      </w:r>
    </w:p>
    <w:p>
      <w:pPr>
        <w:rPr>
          <w:rFonts w:hint="eastAsia" w:asciiTheme="minorEastAsia" w:hAnsiTheme="minorEastAsia" w:eastAsiaTheme="minorEastAsia"/>
          <w:sz w:val="24"/>
        </w:rPr>
      </w:pPr>
      <w:r>
        <w:rPr>
          <w:rFonts w:hint="eastAsia" w:asciiTheme="minorEastAsia" w:hAnsiTheme="minorEastAsia" w:eastAsiaTheme="minorEastAsia"/>
          <w:sz w:val="24"/>
        </w:rPr>
        <w:t xml:space="preserve">日    期：                  </w:t>
      </w:r>
    </w:p>
    <w:p>
      <w:pPr>
        <w:spacing w:line="580" w:lineRule="exact"/>
        <w:ind w:firstLine="491" w:firstLineChars="205"/>
        <w:rPr>
          <w:rFonts w:asciiTheme="minorEastAsia" w:hAnsiTheme="minorEastAsia" w:eastAsiaTheme="minorEastAsia"/>
          <w:sz w:val="24"/>
        </w:rPr>
      </w:pPr>
    </w:p>
    <w:p>
      <w:pPr>
        <w:rPr>
          <w:rFonts w:hint="eastAsia" w:asciiTheme="minorEastAsia" w:hAnsiTheme="minorEastAsia" w:eastAsiaTheme="minorEastAsia"/>
          <w:sz w:val="32"/>
          <w:szCs w:val="32"/>
        </w:rPr>
      </w:pPr>
      <w:r>
        <w:rPr>
          <w:rFonts w:hint="eastAsia" w:asciiTheme="minorEastAsia" w:hAnsiTheme="minorEastAsia" w:eastAsiaTheme="minorEastAsia"/>
          <w:sz w:val="32"/>
          <w:szCs w:val="32"/>
        </w:rPr>
        <w:br w:type="page"/>
      </w:r>
    </w:p>
    <w:p>
      <w:pPr>
        <w:widowControl/>
        <w:spacing w:beforeLines="50" w:beforeAutospacing="0" w:afterLines="50" w:afterAutospacing="0" w:line="240" w:lineRule="auto"/>
        <w:jc w:val="center"/>
        <w:outlineLvl w:val="0"/>
        <w:rPr>
          <w:rFonts w:asciiTheme="minorEastAsia" w:hAnsiTheme="minorEastAsia" w:eastAsiaTheme="minorEastAsia"/>
          <w:sz w:val="32"/>
          <w:szCs w:val="32"/>
        </w:rPr>
      </w:pPr>
      <w:bookmarkStart w:id="134" w:name="_Toc28629"/>
      <w:bookmarkStart w:id="135" w:name="_Toc9228"/>
      <w:bookmarkStart w:id="136" w:name="_Toc3593"/>
      <w:r>
        <w:rPr>
          <w:rFonts w:hint="eastAsia" w:asciiTheme="minorEastAsia" w:hAnsiTheme="minorEastAsia" w:eastAsiaTheme="minorEastAsia"/>
          <w:sz w:val="32"/>
          <w:szCs w:val="32"/>
        </w:rPr>
        <w:t>目  录</w:t>
      </w:r>
      <w:bookmarkEnd w:id="134"/>
      <w:bookmarkEnd w:id="135"/>
      <w:bookmarkEnd w:id="136"/>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1"/>
          <w:szCs w:val="21"/>
        </w:rPr>
      </w:pPr>
      <w:bookmarkStart w:id="137" w:name="_Toc406670779"/>
      <w:bookmarkStart w:id="138" w:name="_Toc406671150"/>
      <w:bookmarkStart w:id="139" w:name="_Toc6745"/>
      <w:bookmarkStart w:id="140" w:name="_Toc2967"/>
      <w:bookmarkStart w:id="141" w:name="_Toc406670782"/>
      <w:bookmarkStart w:id="142" w:name="_Toc406671153"/>
      <w:r>
        <w:rPr>
          <w:rFonts w:hint="eastAsia" w:ascii="宋体" w:hAnsi="宋体" w:eastAsia="宋体" w:cs="宋体"/>
          <w:sz w:val="21"/>
          <w:szCs w:val="21"/>
        </w:rPr>
        <w:t>一、报价文件</w:t>
      </w:r>
      <w:bookmarkEnd w:id="137"/>
      <w:bookmarkEnd w:id="138"/>
      <w:bookmarkEnd w:id="139"/>
      <w:bookmarkEnd w:id="140"/>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（一）投标函……………………………………………………………………………………01</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（二）开标一览表………………………………………………………………………………02</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（三）报价明细表………………………………………………………………………………03</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sz w:val="21"/>
          <w:szCs w:val="21"/>
        </w:rPr>
      </w:pPr>
      <w:bookmarkStart w:id="143" w:name="_Toc406671151"/>
      <w:bookmarkStart w:id="144" w:name="_Toc406670780"/>
      <w:bookmarkStart w:id="145" w:name="_Toc452"/>
      <w:bookmarkStart w:id="146" w:name="_Toc29279"/>
      <w:r>
        <w:rPr>
          <w:rFonts w:hint="eastAsia" w:ascii="宋体" w:hAnsi="宋体" w:eastAsia="宋体" w:cs="宋体"/>
          <w:sz w:val="21"/>
          <w:szCs w:val="21"/>
        </w:rPr>
        <w:t>二、资格</w:t>
      </w:r>
      <w:r>
        <w:rPr>
          <w:rFonts w:hint="eastAsia" w:ascii="宋体" w:hAnsi="宋体" w:cs="宋体"/>
          <w:sz w:val="21"/>
          <w:szCs w:val="21"/>
          <w:lang w:eastAsia="zh-CN"/>
        </w:rPr>
        <w:t>证明</w:t>
      </w:r>
      <w:r>
        <w:rPr>
          <w:rFonts w:hint="eastAsia" w:ascii="宋体" w:hAnsi="宋体" w:eastAsia="宋体" w:cs="宋体"/>
          <w:sz w:val="21"/>
          <w:szCs w:val="21"/>
        </w:rPr>
        <w:t>文件</w:t>
      </w:r>
      <w:bookmarkEnd w:id="143"/>
      <w:bookmarkEnd w:id="144"/>
      <w:bookmarkEnd w:id="145"/>
      <w:bookmarkEnd w:id="146"/>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rPr>
        <w:t>1.供应商基本情况表…………………………………………………………………………00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.法人授权委托书……………………………………………………………………………00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.法定代表人身份证明………………</w:t>
      </w:r>
      <w:r>
        <w:rPr>
          <w:rFonts w:hint="eastAsia" w:ascii="宋体" w:hAnsi="宋体" w:eastAsia="宋体" w:cs="宋体"/>
          <w:sz w:val="21"/>
          <w:szCs w:val="21"/>
        </w:rPr>
        <w:t>………………………………………………………</w:t>
      </w:r>
      <w:r>
        <w:rPr>
          <w:rFonts w:hint="eastAsia" w:ascii="宋体" w:hAnsi="宋体" w:eastAsia="宋体" w:cs="宋体"/>
          <w:b w:val="0"/>
          <w:bCs w:val="0"/>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bCs/>
          <w:sz w:val="21"/>
          <w:szCs w:val="21"/>
        </w:rPr>
        <w:t>具有独立承担民事责任的能力</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bCs/>
          <w:sz w:val="21"/>
          <w:szCs w:val="21"/>
        </w:rPr>
        <w:t>有良好的商业信誉和健全的财务会计制度</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.具备履行合同所必需的设备和专业技术能力的证明材料………………………………00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.具有依法缴纳税收和社会保障资金的良好记录…………………………………………00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rPr>
        <w:t>8.</w:t>
      </w:r>
      <w:r>
        <w:rPr>
          <w:rFonts w:hint="eastAsia" w:ascii="宋体" w:hAnsi="宋体" w:eastAsia="宋体" w:cs="宋体"/>
          <w:bCs/>
          <w:sz w:val="21"/>
          <w:szCs w:val="21"/>
        </w:rPr>
        <w:t>参加本次政府采购活动前三年内，在经营活动中没有违法违规记录</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bCs/>
          <w:sz w:val="21"/>
          <w:szCs w:val="21"/>
          <w:lang w:val="en-US" w:eastAsia="zh-CN"/>
        </w:rPr>
        <w:t>9.网站查询记录</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bCs/>
          <w:spacing w:val="0"/>
          <w:sz w:val="21"/>
          <w:szCs w:val="21"/>
          <w:lang w:val="en-US" w:eastAsia="zh-CN"/>
        </w:rPr>
        <w:t>投标保证金</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cs="宋体"/>
          <w:sz w:val="21"/>
          <w:szCs w:val="21"/>
          <w:lang w:eastAsia="zh-CN"/>
        </w:rPr>
        <w:t>资质证书</w:t>
      </w:r>
      <w:r>
        <w:rPr>
          <w:rFonts w:hint="eastAsia" w:ascii="宋体" w:hAnsi="宋体" w:eastAsia="宋体" w:cs="宋体"/>
          <w:sz w:val="21"/>
          <w:szCs w:val="21"/>
        </w:rPr>
        <w:t>…………………………………………………………………………………00</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firstLine="218" w:firstLineChars="104"/>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.其它供应商认为需要说明的情况………………………………………………………00</w:t>
      </w:r>
    </w:p>
    <w:p>
      <w:pPr>
        <w:pStyle w:val="60"/>
        <w:spacing w:line="360" w:lineRule="auto"/>
        <w:outlineLvl w:val="0"/>
        <w:rPr>
          <w:rFonts w:asciiTheme="minorEastAsia" w:hAnsiTheme="minorEastAsia" w:eastAsiaTheme="minorEastAsia"/>
        </w:rPr>
      </w:pPr>
      <w:bookmarkStart w:id="147" w:name="_Toc912"/>
      <w:bookmarkStart w:id="148" w:name="_Toc6846"/>
      <w:r>
        <w:rPr>
          <w:rFonts w:hint="eastAsia" w:asciiTheme="minorEastAsia" w:hAnsiTheme="minorEastAsia" w:eastAsiaTheme="minorEastAsia"/>
        </w:rPr>
        <w:t>三、</w:t>
      </w:r>
      <w:r>
        <w:rPr>
          <w:rFonts w:hint="eastAsia" w:asciiTheme="minorEastAsia" w:hAnsiTheme="minorEastAsia" w:eastAsiaTheme="minorEastAsia"/>
          <w:lang w:eastAsia="zh-CN"/>
        </w:rPr>
        <w:t>商务</w:t>
      </w:r>
      <w:r>
        <w:rPr>
          <w:rFonts w:hint="eastAsia" w:asciiTheme="minorEastAsia" w:hAnsiTheme="minorEastAsia" w:eastAsiaTheme="minorEastAsia"/>
        </w:rPr>
        <w:t>技术文件</w:t>
      </w:r>
      <w:bookmarkEnd w:id="141"/>
      <w:bookmarkEnd w:id="142"/>
      <w:bookmarkEnd w:id="147"/>
      <w:bookmarkEnd w:id="148"/>
    </w:p>
    <w:p>
      <w:pPr>
        <w:pStyle w:val="60"/>
        <w:spacing w:line="360" w:lineRule="auto"/>
        <w:rPr>
          <w:rFonts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rPr>
        <w:t>商务偏离表…………………………………………………………………………………00</w:t>
      </w:r>
    </w:p>
    <w:p>
      <w:pPr>
        <w:pStyle w:val="60"/>
        <w:spacing w:line="360" w:lineRule="auto"/>
        <w:rPr>
          <w:rFonts w:asciiTheme="minorEastAsia" w:hAnsiTheme="minorEastAsia" w:eastAsiaTheme="minorEastAsia"/>
        </w:rPr>
      </w:pP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技术参数</w:t>
      </w:r>
      <w:r>
        <w:rPr>
          <w:rFonts w:hint="eastAsia" w:asciiTheme="minorEastAsia" w:hAnsiTheme="minorEastAsia" w:eastAsiaTheme="minorEastAsia"/>
        </w:rPr>
        <w:t>偏离表……………………………………………………………………………00</w:t>
      </w:r>
    </w:p>
    <w:p>
      <w:pPr>
        <w:pStyle w:val="60"/>
        <w:spacing w:line="360" w:lineRule="auto"/>
        <w:rPr>
          <w:rFonts w:asciiTheme="minorEastAsia" w:hAnsiTheme="minorEastAsia" w:eastAsiaTheme="minorEastAsia"/>
        </w:rPr>
      </w:pP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业绩</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4.产品符合性</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5.供货方案</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6.产品溯源</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7.专业人员资质</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8.售后及应急服务方案</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9.企业经营管理能力及资质情况</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10.其他服务方案</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11.实验室及检测设备</w:t>
      </w:r>
      <w:r>
        <w:rPr>
          <w:rFonts w:hint="eastAsia" w:asciiTheme="minorEastAsia" w:hAnsiTheme="minorEastAsia" w:eastAsiaTheme="minorEastAsia"/>
        </w:rPr>
        <w:t>…………………………………………………………………………00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12.仓储情况和现代化物流……………………………………………………………………00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13.企业类型声明及证明材料…………………………………………………………………00</w:t>
      </w:r>
    </w:p>
    <w:p>
      <w:pPr>
        <w:pStyle w:val="60"/>
        <w:spacing w:line="360" w:lineRule="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14.制造商授权书（如有）……………………………………………………………………00</w:t>
      </w:r>
    </w:p>
    <w:p>
      <w:pPr>
        <w:pStyle w:val="60"/>
        <w:spacing w:line="360" w:lineRule="auto"/>
        <w:jc w:val="both"/>
        <w:rPr>
          <w:rFonts w:hint="eastAsia" w:ascii="宋体" w:hAnsi="宋体" w:eastAsia="宋体" w:cs="宋体"/>
          <w:b/>
          <w:bCs/>
          <w:sz w:val="24"/>
          <w:szCs w:val="24"/>
          <w:lang w:val="en-US" w:eastAsia="zh-CN"/>
        </w:rPr>
      </w:pPr>
    </w:p>
    <w:p>
      <w:pPr>
        <w:pStyle w:val="60"/>
        <w:spacing w:line="360" w:lineRule="auto"/>
        <w:rPr>
          <w:rFonts w:cs="仿宋_GB2312"/>
          <w:b/>
          <w:bCs/>
          <w:sz w:val="24"/>
          <w:szCs w:val="24"/>
        </w:rPr>
      </w:pPr>
      <w:r>
        <w:rPr>
          <w:rFonts w:hint="eastAsia" w:cs="仿宋_GB2312"/>
          <w:b/>
          <w:bCs/>
          <w:sz w:val="24"/>
          <w:szCs w:val="24"/>
        </w:rPr>
        <w:t>一、报价文件</w:t>
      </w:r>
    </w:p>
    <w:p>
      <w:pPr>
        <w:pStyle w:val="60"/>
        <w:spacing w:line="360" w:lineRule="auto"/>
        <w:jc w:val="center"/>
        <w:rPr>
          <w:b/>
          <w:bCs/>
          <w:sz w:val="24"/>
          <w:szCs w:val="24"/>
        </w:rPr>
      </w:pPr>
      <w:r>
        <w:rPr>
          <w:rFonts w:hint="eastAsia"/>
          <w:b/>
          <w:bCs/>
          <w:sz w:val="24"/>
          <w:szCs w:val="24"/>
          <w:lang w:eastAsia="zh-CN"/>
        </w:rPr>
        <w:t>（一）</w:t>
      </w:r>
      <w:r>
        <w:rPr>
          <w:rFonts w:hint="eastAsia"/>
          <w:b/>
          <w:bCs/>
          <w:sz w:val="24"/>
          <w:szCs w:val="24"/>
        </w:rPr>
        <w:t>投 标 函</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2"/>
          <w:szCs w:val="22"/>
          <w:u w:val="single"/>
          <w:lang w:val="en-US" w:eastAsia="zh-CN"/>
        </w:rPr>
      </w:pPr>
      <w:r>
        <w:rPr>
          <w:rFonts w:hint="eastAsia" w:ascii="宋体" w:hAnsi="宋体" w:eastAsia="宋体" w:cs="宋体"/>
          <w:color w:val="000000"/>
          <w:sz w:val="22"/>
          <w:szCs w:val="22"/>
        </w:rPr>
        <w:t>致：</w:t>
      </w:r>
      <w:r>
        <w:rPr>
          <w:rFonts w:hint="eastAsia" w:ascii="宋体" w:hAnsi="宋体" w:eastAsia="宋体" w:cs="宋体"/>
          <w:color w:val="000000"/>
          <w:sz w:val="22"/>
          <w:szCs w:val="22"/>
          <w:lang w:val="en-US" w:eastAsia="zh-CN"/>
        </w:rPr>
        <w:t xml:space="preserve"> </w:t>
      </w:r>
      <w:r>
        <w:rPr>
          <w:rFonts w:hint="eastAsia" w:ascii="宋体" w:hAnsi="宋体" w:eastAsia="宋体" w:cs="宋体"/>
          <w:color w:val="000000"/>
          <w:sz w:val="22"/>
          <w:szCs w:val="22"/>
          <w:u w:val="single"/>
          <w:lang w:val="en-US" w:eastAsia="zh-CN"/>
        </w:rPr>
        <w:t xml:space="preserve">        （采购人）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35"/>
        <w:textAlignment w:val="auto"/>
        <w:rPr>
          <w:rFonts w:hint="eastAsia" w:ascii="宋体" w:hAnsi="宋体" w:eastAsia="宋体" w:cs="宋体"/>
          <w:sz w:val="22"/>
          <w:szCs w:val="22"/>
        </w:rPr>
      </w:pPr>
      <w:r>
        <w:rPr>
          <w:rFonts w:hint="eastAsia" w:ascii="宋体" w:hAnsi="宋体" w:eastAsia="宋体" w:cs="宋体"/>
          <w:color w:val="000000"/>
          <w:sz w:val="22"/>
          <w:szCs w:val="22"/>
        </w:rPr>
        <w:t>根据采购方</w:t>
      </w:r>
      <w:r>
        <w:rPr>
          <w:rFonts w:hint="eastAsia" w:ascii="宋体" w:hAnsi="宋体" w:eastAsia="宋体" w:cs="宋体"/>
          <w:sz w:val="22"/>
          <w:szCs w:val="22"/>
          <w:u w:val="single"/>
          <w:lang w:val="en-US" w:eastAsia="zh-CN"/>
        </w:rPr>
        <w:t xml:space="preserve">        （项目名称、项目编号）</w:t>
      </w:r>
      <w:r>
        <w:rPr>
          <w:rFonts w:hint="eastAsia" w:ascii="宋体" w:hAnsi="宋体" w:eastAsia="宋体" w:cs="宋体"/>
          <w:sz w:val="22"/>
          <w:szCs w:val="22"/>
        </w:rPr>
        <w:t>采购邀请</w:t>
      </w:r>
      <w:r>
        <w:rPr>
          <w:rFonts w:hint="eastAsia" w:ascii="宋体" w:hAnsi="宋体" w:eastAsia="宋体" w:cs="宋体"/>
          <w:color w:val="000000"/>
          <w:sz w:val="22"/>
          <w:szCs w:val="22"/>
        </w:rPr>
        <w:t>，</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u w:val="single"/>
          <w:lang w:eastAsia="zh-CN"/>
        </w:rPr>
        <w:t>（供应商名称）</w:t>
      </w:r>
      <w:r>
        <w:rPr>
          <w:rFonts w:hint="eastAsia" w:ascii="宋体" w:hAnsi="宋体" w:eastAsia="宋体" w:cs="宋体"/>
          <w:color w:val="000000"/>
          <w:sz w:val="22"/>
          <w:szCs w:val="22"/>
          <w:u w:val="none"/>
        </w:rPr>
        <w:t>已提交</w:t>
      </w:r>
      <w:r>
        <w:rPr>
          <w:rFonts w:hint="eastAsia" w:ascii="宋体" w:hAnsi="宋体" w:eastAsia="宋体" w:cs="宋体"/>
          <w:color w:val="000000"/>
          <w:sz w:val="22"/>
          <w:szCs w:val="22"/>
          <w:u w:val="none"/>
          <w:lang w:eastAsia="zh-CN"/>
        </w:rPr>
        <w:t>投标人</w:t>
      </w:r>
      <w:r>
        <w:rPr>
          <w:rFonts w:hint="eastAsia" w:ascii="宋体" w:hAnsi="宋体" w:eastAsia="宋体" w:cs="宋体"/>
          <w:color w:val="000000"/>
          <w:sz w:val="22"/>
          <w:szCs w:val="22"/>
        </w:rPr>
        <w:t>须知前附表中</w:t>
      </w:r>
      <w:r>
        <w:rPr>
          <w:rFonts w:hint="eastAsia" w:ascii="宋体" w:hAnsi="宋体" w:eastAsia="宋体" w:cs="宋体"/>
          <w:color w:val="000000"/>
          <w:sz w:val="22"/>
          <w:szCs w:val="22"/>
          <w:lang w:eastAsia="zh-CN"/>
        </w:rPr>
        <w:t>要求的</w:t>
      </w:r>
      <w:r>
        <w:rPr>
          <w:rFonts w:hint="eastAsia" w:ascii="宋体" w:hAnsi="宋体" w:eastAsia="宋体" w:cs="宋体"/>
          <w:color w:val="000000"/>
          <w:sz w:val="22"/>
          <w:szCs w:val="22"/>
        </w:rPr>
        <w:t>全部内容。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据此,我方同意如下内容：</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遵从本</w:t>
      </w:r>
      <w:r>
        <w:rPr>
          <w:rFonts w:hint="eastAsia" w:ascii="宋体" w:hAnsi="宋体" w:eastAsia="宋体" w:cs="宋体"/>
          <w:sz w:val="22"/>
          <w:szCs w:val="22"/>
          <w:lang w:eastAsia="zh-CN"/>
        </w:rPr>
        <w:t>投标</w:t>
      </w:r>
      <w:r>
        <w:rPr>
          <w:rFonts w:hint="eastAsia" w:ascii="宋体" w:hAnsi="宋体" w:eastAsia="宋体" w:cs="宋体"/>
          <w:sz w:val="22"/>
          <w:szCs w:val="22"/>
        </w:rPr>
        <w:t>有效期为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天。</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我方承诺，与贵方聘请的为此项目提供咨询服务的公司及任何附属机构均无关联关系，我方不是贵方的附属机构。</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我方同意提供按照贵方可能要求的与其应答有关的一切数据或资料，完全理解贵方不一定接受最低价的应答。</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我方承诺：我方不得将本次采购或合同的有关资料向第三方透露。</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我方承诺所有的应答文件均是真实的、合法的、有效的。如有弄虚作假，将承担相应的法律责任，并赔偿由此造成的一切损失。</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若</w:t>
      </w:r>
      <w:r>
        <w:rPr>
          <w:rFonts w:hint="eastAsia" w:ascii="宋体" w:hAnsi="宋体" w:eastAsia="宋体" w:cs="宋体"/>
          <w:sz w:val="22"/>
          <w:szCs w:val="22"/>
          <w:lang w:eastAsia="zh-CN"/>
        </w:rPr>
        <w:t>中标</w:t>
      </w:r>
      <w:r>
        <w:rPr>
          <w:rFonts w:hint="eastAsia" w:ascii="宋体" w:hAnsi="宋体" w:eastAsia="宋体" w:cs="宋体"/>
          <w:sz w:val="22"/>
          <w:szCs w:val="22"/>
        </w:rPr>
        <w:t>，我方将按照</w:t>
      </w:r>
      <w:r>
        <w:rPr>
          <w:rFonts w:hint="eastAsia" w:ascii="宋体" w:hAnsi="宋体" w:eastAsia="宋体" w:cs="宋体"/>
          <w:sz w:val="22"/>
          <w:szCs w:val="22"/>
          <w:lang w:eastAsia="zh-CN"/>
        </w:rPr>
        <w:t>招标</w:t>
      </w:r>
      <w:r>
        <w:rPr>
          <w:rFonts w:hint="eastAsia" w:ascii="宋体" w:hAnsi="宋体" w:eastAsia="宋体" w:cs="宋体"/>
          <w:sz w:val="22"/>
          <w:szCs w:val="22"/>
        </w:rPr>
        <w:t>文件的具体规定与贵公司签订合同，我方将按照</w:t>
      </w:r>
      <w:r>
        <w:rPr>
          <w:rFonts w:hint="eastAsia" w:ascii="宋体" w:hAnsi="宋体" w:eastAsia="宋体" w:cs="宋体"/>
          <w:sz w:val="22"/>
          <w:szCs w:val="22"/>
          <w:lang w:eastAsia="zh-CN"/>
        </w:rPr>
        <w:t>招标</w:t>
      </w:r>
      <w:r>
        <w:rPr>
          <w:rFonts w:hint="eastAsia" w:ascii="宋体" w:hAnsi="宋体" w:eastAsia="宋体" w:cs="宋体"/>
          <w:sz w:val="22"/>
          <w:szCs w:val="22"/>
        </w:rPr>
        <w:t>文件规定递交履约保证金、支付采购代理服务费；严格履行合同规定的责任和义务，按时交货、提供优质的产品和服务。如果在合同执行过程中，发现合同产品质量问题，我方一定尽快更换/退货，并承担由此给贵方造成的全部损失。</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在整个采购过程中，我方若有违规行为，贵方可按</w:t>
      </w:r>
      <w:r>
        <w:rPr>
          <w:rFonts w:hint="eastAsia" w:ascii="宋体" w:hAnsi="宋体" w:eastAsia="宋体" w:cs="宋体"/>
          <w:sz w:val="22"/>
          <w:szCs w:val="22"/>
          <w:lang w:eastAsia="zh-CN"/>
        </w:rPr>
        <w:t>招标</w:t>
      </w:r>
      <w:r>
        <w:rPr>
          <w:rFonts w:hint="eastAsia" w:ascii="宋体" w:hAnsi="宋体" w:eastAsia="宋体" w:cs="宋体"/>
          <w:sz w:val="22"/>
          <w:szCs w:val="22"/>
        </w:rPr>
        <w:t>文件之规定给予惩罚，我方完全接受。若中</w:t>
      </w:r>
      <w:r>
        <w:rPr>
          <w:rFonts w:hint="eastAsia" w:ascii="宋体" w:hAnsi="宋体" w:eastAsia="宋体" w:cs="宋体"/>
          <w:sz w:val="22"/>
          <w:szCs w:val="22"/>
          <w:lang w:eastAsia="zh-CN"/>
        </w:rPr>
        <w:t>标</w:t>
      </w:r>
      <w:r>
        <w:rPr>
          <w:rFonts w:hint="eastAsia" w:ascii="宋体" w:hAnsi="宋体" w:eastAsia="宋体" w:cs="宋体"/>
          <w:sz w:val="22"/>
          <w:szCs w:val="22"/>
        </w:rPr>
        <w:t>，本承诺函将成为合同不可分割的一部分，与合同具有同等的法律效力。</w:t>
      </w:r>
    </w:p>
    <w:p>
      <w:pPr>
        <w:keepNext w:val="0"/>
        <w:keepLines w:val="0"/>
        <w:pageBreakBefore w:val="0"/>
        <w:widowControl w:val="0"/>
        <w:numPr>
          <w:ilvl w:val="0"/>
          <w:numId w:val="19"/>
        </w:numPr>
        <w:kinsoku/>
        <w:wordWrap/>
        <w:overflowPunct/>
        <w:topLinePunct w:val="0"/>
        <w:autoSpaceDE/>
        <w:autoSpaceDN/>
        <w:bidi w:val="0"/>
        <w:adjustRightInd/>
        <w:snapToGrid/>
        <w:spacing w:before="0" w:beforeAutospacing="0" w:after="0" w:afterAutospacing="0" w:line="360" w:lineRule="auto"/>
        <w:ind w:left="0" w:leftChars="0" w:firstLine="385" w:firstLineChars="175"/>
        <w:textAlignment w:val="auto"/>
        <w:rPr>
          <w:rFonts w:hint="eastAsia" w:ascii="宋体" w:hAnsi="宋体" w:eastAsia="宋体" w:cs="宋体"/>
          <w:sz w:val="22"/>
          <w:szCs w:val="22"/>
        </w:rPr>
      </w:pPr>
      <w:r>
        <w:rPr>
          <w:rFonts w:hint="eastAsia" w:ascii="宋体" w:hAnsi="宋体" w:eastAsia="宋体" w:cs="宋体"/>
          <w:sz w:val="22"/>
          <w:szCs w:val="22"/>
        </w:rPr>
        <w:t>我方已详细阅读全部</w:t>
      </w:r>
      <w:r>
        <w:rPr>
          <w:rFonts w:hint="eastAsia" w:ascii="宋体" w:hAnsi="宋体" w:eastAsia="宋体" w:cs="宋体"/>
          <w:sz w:val="22"/>
          <w:szCs w:val="22"/>
          <w:lang w:eastAsia="zh-CN"/>
        </w:rPr>
        <w:t>招标</w:t>
      </w:r>
      <w:r>
        <w:rPr>
          <w:rFonts w:hint="eastAsia" w:ascii="宋体" w:hAnsi="宋体" w:eastAsia="宋体" w:cs="宋体"/>
          <w:sz w:val="22"/>
          <w:szCs w:val="22"/>
        </w:rPr>
        <w:t>文件，包括修改、澄清文件（如有）以及全部参考资料和有关附件。且</w:t>
      </w:r>
      <w:r>
        <w:rPr>
          <w:rFonts w:hint="eastAsia" w:ascii="宋体" w:hAnsi="宋体" w:eastAsia="宋体" w:cs="宋体"/>
          <w:sz w:val="22"/>
          <w:szCs w:val="22"/>
          <w:lang w:eastAsia="zh-CN"/>
        </w:rPr>
        <w:t>投标</w:t>
      </w:r>
      <w:r>
        <w:rPr>
          <w:rFonts w:hint="eastAsia" w:ascii="宋体" w:hAnsi="宋体" w:eastAsia="宋体" w:cs="宋体"/>
          <w:sz w:val="22"/>
          <w:szCs w:val="22"/>
        </w:rPr>
        <w:t>文件是基于对上述文件的完全理解而作出的应答。</w:t>
      </w:r>
    </w:p>
    <w:p>
      <w:pPr>
        <w:numPr>
          <w:ilvl w:val="0"/>
          <w:numId w:val="19"/>
        </w:numPr>
        <w:spacing w:line="360" w:lineRule="auto"/>
        <w:rPr>
          <w:rFonts w:ascii="宋体" w:hAnsi="宋体"/>
          <w:sz w:val="22"/>
          <w:szCs w:val="22"/>
        </w:rPr>
      </w:pPr>
      <w:r>
        <w:rPr>
          <w:rFonts w:hint="eastAsia" w:ascii="宋体" w:hAnsi="宋体"/>
          <w:sz w:val="22"/>
          <w:szCs w:val="22"/>
        </w:rPr>
        <w:t>其他补充</w:t>
      </w:r>
      <w:r>
        <w:rPr>
          <w:rFonts w:ascii="宋体" w:hAnsi="宋体"/>
          <w:sz w:val="22"/>
          <w:szCs w:val="22"/>
        </w:rPr>
        <w:t>说明</w:t>
      </w:r>
      <w:r>
        <w:rPr>
          <w:rFonts w:hint="eastAsia" w:ascii="宋体" w:hAnsi="宋体"/>
          <w:sz w:val="22"/>
          <w:szCs w:val="22"/>
        </w:rPr>
        <w:t>：</w:t>
      </w:r>
      <w:r>
        <w:rPr>
          <w:rFonts w:hint="eastAsia" w:ascii="宋体" w:hAnsi="宋体"/>
          <w:sz w:val="22"/>
          <w:szCs w:val="22"/>
          <w:u w:val="single"/>
          <w:lang w:val="en-US" w:eastAsia="zh-CN"/>
        </w:rPr>
        <w:t xml:space="preserve">              。</w:t>
      </w:r>
    </w:p>
    <w:p>
      <w:pPr>
        <w:pStyle w:val="95"/>
        <w:widowControl/>
        <w:spacing w:line="360" w:lineRule="auto"/>
        <w:ind w:left="0" w:leftChars="0"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与本投标有关的一切往来通讯请寄：</w:t>
      </w:r>
    </w:p>
    <w:p>
      <w:pPr>
        <w:pStyle w:val="95"/>
        <w:widowControl/>
        <w:spacing w:line="360" w:lineRule="auto"/>
        <w:ind w:left="0" w:leftChars="0" w:firstLine="440" w:firstLineChars="200"/>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rPr>
        <w:t>地址：</w:t>
      </w:r>
      <w:r>
        <w:rPr>
          <w:rFonts w:hint="eastAsia" w:ascii="宋体" w:hAnsi="宋体" w:cs="宋体"/>
          <w:color w:val="000000"/>
          <w:sz w:val="22"/>
          <w:szCs w:val="22"/>
          <w:u w:val="single"/>
          <w:lang w:val="en-US" w:eastAsia="zh-CN"/>
        </w:rPr>
        <w:t xml:space="preserve">             </w:t>
      </w:r>
      <w:r>
        <w:rPr>
          <w:rFonts w:hint="eastAsia" w:ascii="宋体" w:hAnsi="宋体" w:eastAsia="宋体" w:cs="宋体"/>
          <w:color w:val="000000"/>
          <w:sz w:val="22"/>
          <w:szCs w:val="22"/>
        </w:rPr>
        <w:t>邮编：</w:t>
      </w:r>
      <w:r>
        <w:rPr>
          <w:rFonts w:hint="eastAsia" w:ascii="宋体" w:hAnsi="宋体" w:cs="宋体"/>
          <w:color w:val="000000"/>
          <w:sz w:val="22"/>
          <w:szCs w:val="22"/>
          <w:u w:val="single"/>
          <w:lang w:val="en-US" w:eastAsia="zh-CN"/>
        </w:rPr>
        <w:t xml:space="preserve">             </w:t>
      </w:r>
    </w:p>
    <w:p>
      <w:pPr>
        <w:pStyle w:val="95"/>
        <w:widowControl/>
        <w:spacing w:line="360" w:lineRule="auto"/>
        <w:ind w:left="0" w:leftChars="0" w:firstLine="440" w:firstLineChars="200"/>
        <w:rPr>
          <w:rFonts w:hint="default" w:ascii="宋体" w:hAnsi="宋体" w:eastAsia="宋体" w:cs="宋体"/>
          <w:color w:val="000000"/>
          <w:sz w:val="22"/>
          <w:szCs w:val="22"/>
          <w:u w:val="single"/>
          <w:lang w:val="en-US" w:eastAsia="zh-CN"/>
        </w:rPr>
      </w:pPr>
      <w:r>
        <w:rPr>
          <w:rFonts w:hint="eastAsia" w:ascii="宋体" w:hAnsi="宋体" w:eastAsia="宋体" w:cs="宋体"/>
          <w:color w:val="000000"/>
          <w:sz w:val="22"/>
          <w:szCs w:val="22"/>
        </w:rPr>
        <w:t>电话：</w:t>
      </w:r>
      <w:r>
        <w:rPr>
          <w:rFonts w:hint="eastAsia" w:ascii="宋体" w:hAnsi="宋体" w:cs="宋体"/>
          <w:color w:val="000000"/>
          <w:sz w:val="22"/>
          <w:szCs w:val="22"/>
          <w:u w:val="single"/>
          <w:lang w:val="en-US" w:eastAsia="zh-CN"/>
        </w:rPr>
        <w:t xml:space="preserve">             </w:t>
      </w:r>
      <w:r>
        <w:rPr>
          <w:rFonts w:hint="eastAsia" w:ascii="宋体" w:hAnsi="宋体" w:eastAsia="宋体" w:cs="宋体"/>
          <w:color w:val="000000"/>
          <w:sz w:val="22"/>
          <w:szCs w:val="22"/>
        </w:rPr>
        <w:t>传真：</w:t>
      </w:r>
      <w:r>
        <w:rPr>
          <w:rFonts w:hint="eastAsia" w:ascii="宋体" w:hAnsi="宋体" w:cs="宋体"/>
          <w:color w:val="000000"/>
          <w:sz w:val="22"/>
          <w:szCs w:val="22"/>
          <w:u w:val="single"/>
          <w:lang w:val="en-US" w:eastAsia="zh-CN"/>
        </w:rPr>
        <w:t xml:space="preserve">             </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供应商名称（盖章）：XXXXXXX有限公司</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法定代表人或授权代表（签字或盖章）：                </w:t>
      </w:r>
    </w:p>
    <w:p>
      <w:pPr>
        <w:pStyle w:val="60"/>
        <w:spacing w:line="360" w:lineRule="auto"/>
        <w:rPr>
          <w:lang w:val="zh-CN"/>
        </w:rPr>
        <w:sectPr>
          <w:pgSz w:w="11907" w:h="16840"/>
          <w:pgMar w:top="1440" w:right="1800" w:bottom="1440" w:left="1800" w:header="720" w:footer="720" w:gutter="0"/>
          <w:pgNumType w:fmt="decimal"/>
          <w:cols w:space="425" w:num="1"/>
          <w:docGrid w:linePitch="285" w:charSpace="0"/>
        </w:sectPr>
      </w:pPr>
      <w:r>
        <w:rPr>
          <w:rFonts w:hint="eastAsia" w:ascii="宋体" w:hAnsi="宋体"/>
          <w:sz w:val="21"/>
          <w:szCs w:val="21"/>
        </w:rPr>
        <w:t>日期：</w:t>
      </w:r>
      <w:r>
        <w:rPr>
          <w:rFonts w:hint="eastAsia" w:ascii="宋体" w:hAnsi="宋体" w:cs="Arial"/>
          <w:sz w:val="21"/>
          <w:szCs w:val="21"/>
          <w:lang w:val="en-US" w:eastAsia="zh-CN"/>
        </w:rPr>
        <w:t xml:space="preserve"> </w:t>
      </w:r>
      <w:r>
        <w:rPr>
          <w:rFonts w:hint="eastAsia" w:ascii="宋体" w:hAnsi="宋体" w:cs="Arial"/>
          <w:sz w:val="21"/>
          <w:szCs w:val="21"/>
        </w:rPr>
        <w:t>年   月   日</w:t>
      </w:r>
    </w:p>
    <w:p>
      <w:pPr>
        <w:pStyle w:val="60"/>
        <w:spacing w:line="360" w:lineRule="auto"/>
        <w:jc w:val="center"/>
        <w:rPr>
          <w:b/>
          <w:bCs/>
        </w:rPr>
      </w:pPr>
      <w:r>
        <w:rPr>
          <w:rFonts w:hint="eastAsia"/>
          <w:b/>
          <w:bCs/>
        </w:rPr>
        <w:t>（二）开标一览表</w:t>
      </w:r>
    </w:p>
    <w:p>
      <w:pPr>
        <w:pStyle w:val="86"/>
        <w:keepNext w:val="0"/>
        <w:keepLines w:val="0"/>
        <w:pageBreakBefore w:val="0"/>
        <w:kinsoku/>
        <w:overflowPunct/>
        <w:topLinePunct w:val="0"/>
        <w:bidi w:val="0"/>
        <w:snapToGrid/>
        <w:spacing w:line="360" w:lineRule="auto"/>
        <w:textAlignment w:val="auto"/>
        <w:rPr>
          <w:rFonts w:hint="eastAsia" w:hAnsi="宋体" w:cs="宋体"/>
          <w:sz w:val="24"/>
          <w:szCs w:val="24"/>
          <w:u w:val="single"/>
          <w:lang w:val="en-US" w:eastAsia="zh-CN"/>
        </w:rPr>
      </w:pPr>
      <w:r>
        <w:rPr>
          <w:rFonts w:hint="eastAsia" w:ascii="宋体" w:hAnsi="宋体" w:eastAsia="宋体" w:cs="宋体"/>
          <w:sz w:val="24"/>
          <w:szCs w:val="24"/>
        </w:rPr>
        <w:t>项目名称：</w:t>
      </w:r>
      <w:r>
        <w:rPr>
          <w:rFonts w:hint="eastAsia" w:hAnsi="宋体" w:cs="宋体"/>
          <w:sz w:val="24"/>
          <w:szCs w:val="24"/>
          <w:u w:val="single"/>
          <w:lang w:val="en-US" w:eastAsia="zh-CN"/>
        </w:rPr>
        <w:t>自治区妇幼保健院（自治区第八人民医院）中药饮片、中药配方颗粒采购项目（标项一）</w:t>
      </w:r>
    </w:p>
    <w:p>
      <w:pPr>
        <w:pStyle w:val="86"/>
        <w:keepNext w:val="0"/>
        <w:keepLines w:val="0"/>
        <w:pageBreakBefore w:val="0"/>
        <w:kinsoku/>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kinsoku/>
        <w:wordWrap/>
        <w:overflowPunct/>
        <w:topLinePunct w:val="0"/>
        <w:bidi w:val="0"/>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[货币单位：人民币元]    </w:t>
      </w:r>
    </w:p>
    <w:tbl>
      <w:tblPr>
        <w:tblStyle w:val="26"/>
        <w:tblW w:w="8647" w:type="dxa"/>
        <w:tblInd w:w="28" w:type="dxa"/>
        <w:tblLayout w:type="fixed"/>
        <w:tblCellMar>
          <w:top w:w="0" w:type="dxa"/>
          <w:left w:w="30" w:type="dxa"/>
          <w:bottom w:w="0" w:type="dxa"/>
          <w:right w:w="30" w:type="dxa"/>
        </w:tblCellMar>
      </w:tblPr>
      <w:tblGrid>
        <w:gridCol w:w="2652"/>
        <w:gridCol w:w="5995"/>
      </w:tblGrid>
      <w:tr>
        <w:tblPrEx>
          <w:tblCellMar>
            <w:top w:w="0" w:type="dxa"/>
            <w:left w:w="30" w:type="dxa"/>
            <w:bottom w:w="0" w:type="dxa"/>
            <w:right w:w="30" w:type="dxa"/>
          </w:tblCellMar>
        </w:tblPrEx>
        <w:trPr>
          <w:cantSplit/>
          <w:trHeight w:val="850" w:hRule="atLeast"/>
        </w:trPr>
        <w:tc>
          <w:tcPr>
            <w:tcW w:w="2652" w:type="dxa"/>
            <w:tcBorders>
              <w:top w:val="single" w:color="auto" w:sz="4" w:space="0"/>
              <w:left w:val="single" w:color="auto" w:sz="4" w:space="0"/>
              <w:bottom w:val="single" w:color="auto" w:sz="4" w:space="0"/>
              <w:right w:val="single" w:color="auto" w:sz="6"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分项</w:t>
            </w:r>
          </w:p>
        </w:tc>
        <w:tc>
          <w:tcPr>
            <w:tcW w:w="5995" w:type="dxa"/>
            <w:tcBorders>
              <w:top w:val="single" w:color="auto" w:sz="4" w:space="0"/>
              <w:left w:val="single" w:color="auto" w:sz="6" w:space="0"/>
              <w:bottom w:val="single" w:color="auto" w:sz="4" w:space="0"/>
              <w:right w:val="single" w:color="auto" w:sz="4"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分项内容</w:t>
            </w:r>
          </w:p>
        </w:tc>
      </w:tr>
      <w:tr>
        <w:tblPrEx>
          <w:tblCellMar>
            <w:top w:w="0" w:type="dxa"/>
            <w:left w:w="30" w:type="dxa"/>
            <w:bottom w:w="0" w:type="dxa"/>
            <w:right w:w="30" w:type="dxa"/>
          </w:tblCellMar>
        </w:tblPrEx>
        <w:trPr>
          <w:cantSplit/>
          <w:trHeight w:val="850"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5995" w:type="dxa"/>
            <w:tcBorders>
              <w:top w:val="single" w:color="auto" w:sz="6" w:space="0"/>
              <w:left w:val="single" w:color="auto" w:sz="6" w:space="0"/>
              <w:bottom w:val="single" w:color="auto" w:sz="6" w:space="0"/>
              <w:right w:val="single" w:color="auto" w:sz="4"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小写：元</w:t>
            </w:r>
          </w:p>
          <w:p>
            <w:pPr>
              <w:pStyle w:val="85"/>
              <w:keepNext w:val="0"/>
              <w:keepLines w:val="0"/>
              <w:pageBreakBefore w:val="0"/>
              <w:kinsoku/>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大写：元</w:t>
            </w:r>
          </w:p>
        </w:tc>
      </w:tr>
      <w:tr>
        <w:tblPrEx>
          <w:tblCellMar>
            <w:top w:w="0" w:type="dxa"/>
            <w:left w:w="30" w:type="dxa"/>
            <w:bottom w:w="0" w:type="dxa"/>
            <w:right w:w="30" w:type="dxa"/>
          </w:tblCellMar>
        </w:tblPrEx>
        <w:trPr>
          <w:cantSplit/>
          <w:trHeight w:val="850" w:hRule="atLeast"/>
        </w:trPr>
        <w:tc>
          <w:tcPr>
            <w:tcW w:w="2652" w:type="dxa"/>
            <w:tcBorders>
              <w:top w:val="single" w:color="auto" w:sz="6" w:space="0"/>
              <w:left w:val="single" w:color="auto" w:sz="4" w:space="0"/>
              <w:bottom w:val="single" w:color="auto" w:sz="6" w:space="0"/>
              <w:right w:val="single" w:color="auto" w:sz="6"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服务期限</w:t>
            </w:r>
          </w:p>
        </w:tc>
        <w:tc>
          <w:tcPr>
            <w:tcW w:w="5995" w:type="dxa"/>
            <w:tcBorders>
              <w:top w:val="single" w:color="auto" w:sz="6" w:space="0"/>
              <w:left w:val="single" w:color="auto" w:sz="6" w:space="0"/>
              <w:bottom w:val="single" w:color="auto" w:sz="6" w:space="0"/>
              <w:right w:val="single" w:color="auto" w:sz="4" w:space="0"/>
            </w:tcBorders>
            <w:vAlign w:val="center"/>
          </w:tcPr>
          <w:p>
            <w:pPr>
              <w:pStyle w:val="85"/>
              <w:keepNext w:val="0"/>
              <w:keepLines w:val="0"/>
              <w:pageBreakBefore w:val="0"/>
              <w:kinsoku/>
              <w:overflowPunct/>
              <w:topLinePunct w:val="0"/>
              <w:autoSpaceDE w:val="0"/>
              <w:autoSpaceDN w:val="0"/>
              <w:bidi w:val="0"/>
              <w:adjustRightInd w:val="0"/>
              <w:snapToGrid/>
              <w:spacing w:line="360" w:lineRule="auto"/>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一年</w:t>
            </w:r>
          </w:p>
        </w:tc>
      </w:tr>
    </w:tbl>
    <w:p>
      <w:pPr>
        <w:pStyle w:val="86"/>
        <w:keepNext w:val="0"/>
        <w:keepLines w:val="0"/>
        <w:pageBreakBefore w:val="0"/>
        <w:kinsoku/>
        <w:overflowPunct/>
        <w:topLinePunct w:val="0"/>
        <w:bidi w:val="0"/>
        <w:snapToGrid/>
        <w:spacing w:line="360" w:lineRule="auto"/>
        <w:ind w:left="850" w:hanging="849" w:hangingChars="354"/>
        <w:textAlignment w:val="auto"/>
        <w:rPr>
          <w:rFonts w:hint="eastAsia" w:ascii="宋体" w:hAnsi="宋体" w:eastAsia="宋体" w:cs="宋体"/>
          <w:sz w:val="24"/>
          <w:szCs w:val="24"/>
        </w:rPr>
      </w:pPr>
    </w:p>
    <w:p>
      <w:pPr>
        <w:pStyle w:val="86"/>
        <w:keepNext w:val="0"/>
        <w:keepLines w:val="0"/>
        <w:pageBreakBefore w:val="0"/>
        <w:kinsoku/>
        <w:overflowPunct/>
        <w:topLinePunct w:val="0"/>
        <w:bidi w:val="0"/>
        <w:snapToGrid/>
        <w:spacing w:line="360" w:lineRule="auto"/>
        <w:ind w:left="850" w:hanging="778" w:hangingChars="354"/>
        <w:textAlignment w:val="auto"/>
        <w:rPr>
          <w:rFonts w:hint="eastAsia" w:ascii="宋体" w:hAnsi="宋体" w:eastAsia="宋体" w:cs="宋体"/>
          <w:sz w:val="22"/>
          <w:szCs w:val="22"/>
        </w:rPr>
      </w:pPr>
      <w:r>
        <w:rPr>
          <w:rFonts w:hint="eastAsia" w:ascii="宋体" w:hAnsi="宋体" w:eastAsia="宋体" w:cs="宋体"/>
          <w:sz w:val="22"/>
          <w:szCs w:val="22"/>
        </w:rPr>
        <w:t>填报要求：</w:t>
      </w:r>
    </w:p>
    <w:p>
      <w:pPr>
        <w:pStyle w:val="86"/>
        <w:keepNext w:val="0"/>
        <w:keepLines w:val="0"/>
        <w:pageBreakBefore w:val="0"/>
        <w:numPr>
          <w:ilvl w:val="0"/>
          <w:numId w:val="20"/>
        </w:numPr>
        <w:kinsoku/>
        <w:overflowPunct/>
        <w:topLinePunct w:val="0"/>
        <w:bidi w:val="0"/>
        <w:snapToGrid/>
        <w:spacing w:line="360" w:lineRule="auto"/>
        <w:ind w:left="0" w:firstLine="0"/>
        <w:textAlignment w:val="auto"/>
        <w:rPr>
          <w:rFonts w:hint="eastAsia" w:ascii="宋体" w:hAnsi="宋体" w:eastAsia="宋体" w:cs="宋体"/>
          <w:sz w:val="22"/>
          <w:szCs w:val="22"/>
        </w:rPr>
      </w:pPr>
      <w:r>
        <w:rPr>
          <w:rFonts w:hint="eastAsia" w:ascii="宋体" w:hAnsi="宋体" w:eastAsia="宋体" w:cs="宋体"/>
          <w:sz w:val="22"/>
          <w:szCs w:val="22"/>
        </w:rPr>
        <w:t>报价包含提供本次服务的</w:t>
      </w:r>
      <w:r>
        <w:rPr>
          <w:rFonts w:hint="eastAsia" w:hAnsi="宋体" w:cs="宋体"/>
          <w:sz w:val="22"/>
          <w:szCs w:val="22"/>
          <w:lang w:eastAsia="zh-CN"/>
        </w:rPr>
        <w:t>运输</w:t>
      </w:r>
      <w:r>
        <w:rPr>
          <w:rFonts w:hint="eastAsia" w:ascii="宋体" w:hAnsi="宋体" w:eastAsia="宋体" w:cs="宋体"/>
          <w:sz w:val="22"/>
          <w:szCs w:val="22"/>
        </w:rPr>
        <w:t>费、管理费、税费及产生的其他费用。</w:t>
      </w:r>
    </w:p>
    <w:p>
      <w:pPr>
        <w:pStyle w:val="86"/>
        <w:keepNext w:val="0"/>
        <w:keepLines w:val="0"/>
        <w:pageBreakBefore w:val="0"/>
        <w:numPr>
          <w:ilvl w:val="0"/>
          <w:numId w:val="20"/>
        </w:numPr>
        <w:kinsoku/>
        <w:overflowPunct/>
        <w:topLinePunct w:val="0"/>
        <w:bidi w:val="0"/>
        <w:snapToGrid/>
        <w:spacing w:line="360" w:lineRule="auto"/>
        <w:ind w:left="0" w:firstLine="0"/>
        <w:textAlignment w:val="auto"/>
        <w:rPr>
          <w:rFonts w:hint="eastAsia" w:ascii="宋体" w:hAnsi="宋体" w:eastAsia="宋体" w:cs="宋体"/>
          <w:sz w:val="22"/>
          <w:szCs w:val="22"/>
        </w:rPr>
      </w:pPr>
      <w:r>
        <w:rPr>
          <w:rFonts w:hint="eastAsia" w:ascii="宋体" w:hAnsi="宋体" w:eastAsia="宋体" w:cs="宋体"/>
          <w:sz w:val="22"/>
          <w:szCs w:val="22"/>
        </w:rPr>
        <w:t>如投标人报价低于最高限价60%的，必须在《实质性响应条款一览表》内说明报价理由。</w:t>
      </w:r>
    </w:p>
    <w:p>
      <w:pPr>
        <w:pStyle w:val="86"/>
        <w:keepNext w:val="0"/>
        <w:keepLines w:val="0"/>
        <w:pageBreakBefore w:val="0"/>
        <w:numPr>
          <w:ilvl w:val="0"/>
          <w:numId w:val="20"/>
        </w:numPr>
        <w:kinsoku/>
        <w:overflowPunct/>
        <w:topLinePunct w:val="0"/>
        <w:bidi w:val="0"/>
        <w:snapToGrid/>
        <w:spacing w:line="360" w:lineRule="auto"/>
        <w:ind w:left="0" w:firstLine="0"/>
        <w:textAlignment w:val="auto"/>
        <w:rPr>
          <w:rFonts w:hint="eastAsia" w:ascii="宋体" w:hAnsi="宋体" w:eastAsia="宋体" w:cs="宋体"/>
          <w:sz w:val="22"/>
          <w:szCs w:val="22"/>
        </w:rPr>
      </w:pPr>
      <w:r>
        <w:rPr>
          <w:rFonts w:hint="eastAsia" w:ascii="宋体" w:hAnsi="宋体" w:eastAsia="宋体" w:cs="宋体"/>
          <w:sz w:val="22"/>
          <w:szCs w:val="22"/>
        </w:rPr>
        <w:t>需另行单独密封递交，具体见投标人须知。</w:t>
      </w:r>
    </w:p>
    <w:p>
      <w:pPr>
        <w:pStyle w:val="67"/>
        <w:keepNext w:val="0"/>
        <w:keepLines w:val="0"/>
        <w:pageBreakBefore w:val="0"/>
        <w:kinsoku/>
        <w:overflowPunct/>
        <w:topLinePunct w:val="0"/>
        <w:bidi w:val="0"/>
        <w:snapToGrid/>
        <w:spacing w:line="360" w:lineRule="auto"/>
        <w:ind w:right="84" w:rightChars="40" w:firstLine="4080" w:firstLineChars="1700"/>
        <w:textAlignment w:val="auto"/>
        <w:rPr>
          <w:rFonts w:hint="eastAsia" w:ascii="宋体" w:hAnsi="宋体" w:eastAsia="宋体" w:cs="宋体"/>
          <w:sz w:val="24"/>
          <w:szCs w:val="24"/>
        </w:rPr>
      </w:pP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供应商名称（盖章）：XXXXXXX有限公司</w:t>
      </w: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法定代表人或授权代表（签字或盖章）： </w:t>
      </w:r>
    </w:p>
    <w:p>
      <w:pPr>
        <w:widowControl/>
        <w:spacing w:before="0" w:beforeAutospacing="0" w:after="0" w:afterAutospacing="0" w:line="240" w:lineRule="auto"/>
        <w:jc w:val="right"/>
        <w:rPr>
          <w:rFonts w:hint="eastAsia" w:ascii="宋体" w:hAnsi="宋体" w:eastAsia="宋体" w:cs="宋体"/>
          <w:b/>
          <w:bCs/>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r>
        <w:rPr>
          <w:rFonts w:hint="eastAsia" w:ascii="宋体" w:hAnsi="宋体" w:eastAsia="宋体" w:cs="宋体"/>
          <w:b/>
          <w:bCs/>
          <w:sz w:val="24"/>
          <w:szCs w:val="24"/>
        </w:rPr>
        <w:br w:type="page"/>
      </w:r>
    </w:p>
    <w:p>
      <w:pPr>
        <w:pStyle w:val="60"/>
        <w:spacing w:line="360" w:lineRule="auto"/>
        <w:jc w:val="center"/>
        <w:rPr>
          <w:b/>
          <w:bCs/>
        </w:rPr>
      </w:pPr>
      <w:r>
        <w:rPr>
          <w:rFonts w:hint="eastAsia"/>
          <w:b/>
          <w:bCs/>
        </w:rPr>
        <w:t>（三）报价明细表</w:t>
      </w:r>
    </w:p>
    <w:p>
      <w:pPr>
        <w:pStyle w:val="86"/>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hAnsi="宋体" w:cs="宋体"/>
          <w:sz w:val="24"/>
          <w:szCs w:val="24"/>
          <w:u w:val="single"/>
          <w:lang w:val="en-US" w:eastAsia="zh-CN"/>
        </w:rPr>
        <w:t>自治区妇幼保健院（自治区第八人民医院）中药饮片、中药配方颗粒采购项目（标项一）</w:t>
      </w:r>
    </w:p>
    <w:p>
      <w:pPr>
        <w:pStyle w:val="86"/>
        <w:keepNext w:val="0"/>
        <w:keepLines w:val="0"/>
        <w:pageBreakBefore w:val="0"/>
        <w:kinsoku/>
        <w:wordWrap/>
        <w:overflowPunct/>
        <w:topLinePunct w:val="0"/>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8"/>
        <w:keepNext w:val="0"/>
        <w:keepLines w:val="0"/>
        <w:pageBreakBefore w:val="0"/>
        <w:kinsoku/>
        <w:wordWrap/>
        <w:overflowPunct/>
        <w:topLinePunct w:val="0"/>
        <w:bidi w:val="0"/>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 [货币单位：人民币元]</w:t>
      </w:r>
    </w:p>
    <w:tbl>
      <w:tblPr>
        <w:tblStyle w:val="26"/>
        <w:tblW w:w="9795" w:type="dxa"/>
        <w:jc w:val="center"/>
        <w:tblLayout w:type="fixed"/>
        <w:tblCellMar>
          <w:top w:w="0" w:type="dxa"/>
          <w:left w:w="30" w:type="dxa"/>
          <w:bottom w:w="0" w:type="dxa"/>
          <w:right w:w="30" w:type="dxa"/>
        </w:tblCellMar>
      </w:tblPr>
      <w:tblGrid>
        <w:gridCol w:w="728"/>
        <w:gridCol w:w="1615"/>
        <w:gridCol w:w="1353"/>
        <w:gridCol w:w="1171"/>
        <w:gridCol w:w="1192"/>
        <w:gridCol w:w="1192"/>
        <w:gridCol w:w="1689"/>
        <w:gridCol w:w="855"/>
      </w:tblGrid>
      <w:tr>
        <w:tblPrEx>
          <w:tblCellMar>
            <w:top w:w="0" w:type="dxa"/>
            <w:left w:w="30" w:type="dxa"/>
            <w:bottom w:w="0" w:type="dxa"/>
            <w:right w:w="30" w:type="dxa"/>
          </w:tblCellMar>
        </w:tblPrEx>
        <w:trPr>
          <w:cantSplit/>
          <w:trHeight w:val="592" w:hRule="atLeast"/>
          <w:jc w:val="center"/>
        </w:trPr>
        <w:tc>
          <w:tcPr>
            <w:tcW w:w="728" w:type="dxa"/>
            <w:tcBorders>
              <w:top w:val="single" w:color="auto" w:sz="4" w:space="0"/>
              <w:left w:val="single" w:color="auto" w:sz="4"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615" w:type="dxa"/>
            <w:tcBorders>
              <w:top w:val="single" w:color="auto" w:sz="4" w:space="0"/>
              <w:left w:val="single" w:color="auto" w:sz="6"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药品名称</w:t>
            </w:r>
          </w:p>
        </w:tc>
        <w:tc>
          <w:tcPr>
            <w:tcW w:w="1353" w:type="dxa"/>
            <w:tcBorders>
              <w:top w:val="single" w:color="auto" w:sz="4" w:space="0"/>
              <w:left w:val="single" w:color="auto" w:sz="6"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品牌</w:t>
            </w:r>
          </w:p>
        </w:tc>
        <w:tc>
          <w:tcPr>
            <w:tcW w:w="1171" w:type="dxa"/>
            <w:tcBorders>
              <w:top w:val="single" w:color="auto" w:sz="4" w:space="0"/>
              <w:left w:val="single" w:color="auto" w:sz="6" w:space="0"/>
              <w:bottom w:val="single" w:color="auto" w:sz="4"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规格</w:t>
            </w:r>
          </w:p>
        </w:tc>
        <w:tc>
          <w:tcPr>
            <w:tcW w:w="1192" w:type="dxa"/>
            <w:tcBorders>
              <w:top w:val="single" w:color="auto" w:sz="4" w:space="0"/>
              <w:left w:val="single" w:color="auto" w:sz="6" w:space="0"/>
              <w:bottom w:val="single" w:color="auto" w:sz="4"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cs="宋体"/>
                <w:sz w:val="24"/>
                <w:szCs w:val="24"/>
                <w:lang w:eastAsia="zh-CN"/>
              </w:rPr>
            </w:pPr>
            <w:r>
              <w:rPr>
                <w:rFonts w:hint="eastAsia" w:ascii="宋体" w:hAnsi="宋体" w:cs="宋体"/>
                <w:sz w:val="24"/>
                <w:szCs w:val="24"/>
                <w:lang w:eastAsia="zh-CN"/>
              </w:rPr>
              <w:t>单位</w:t>
            </w:r>
          </w:p>
        </w:tc>
        <w:tc>
          <w:tcPr>
            <w:tcW w:w="1192" w:type="dxa"/>
            <w:tcBorders>
              <w:top w:val="single" w:color="auto" w:sz="4" w:space="0"/>
              <w:left w:val="single" w:color="auto" w:sz="6" w:space="0"/>
              <w:bottom w:val="single" w:color="auto" w:sz="4"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kern w:val="2"/>
                <w:sz w:val="24"/>
                <w:szCs w:val="24"/>
                <w:lang w:val="en-US"/>
              </w:rPr>
            </w:pPr>
            <w:r>
              <w:rPr>
                <w:rFonts w:hint="eastAsia" w:ascii="宋体" w:hAnsi="宋体" w:eastAsia="宋体" w:cs="宋体"/>
                <w:sz w:val="24"/>
                <w:szCs w:val="24"/>
              </w:rPr>
              <w:t>数量</w:t>
            </w:r>
          </w:p>
        </w:tc>
        <w:tc>
          <w:tcPr>
            <w:tcW w:w="1689" w:type="dxa"/>
            <w:tcBorders>
              <w:top w:val="single" w:color="auto" w:sz="4" w:space="0"/>
              <w:left w:val="single" w:color="auto" w:sz="4" w:space="0"/>
              <w:bottom w:val="single" w:color="auto" w:sz="4" w:space="0"/>
              <w:right w:val="single" w:color="auto" w:sz="6" w:space="0"/>
            </w:tcBorders>
            <w:vAlign w:val="center"/>
          </w:tcPr>
          <w:p>
            <w:pPr>
              <w:pStyle w:val="89"/>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单价</w:t>
            </w:r>
          </w:p>
        </w:tc>
        <w:tc>
          <w:tcPr>
            <w:tcW w:w="855" w:type="dxa"/>
            <w:tcBorders>
              <w:top w:val="single" w:color="auto" w:sz="4" w:space="0"/>
              <w:left w:val="single" w:color="auto" w:sz="6" w:space="0"/>
              <w:bottom w:val="single" w:color="auto" w:sz="4"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30" w:type="dxa"/>
            <w:bottom w:w="0" w:type="dxa"/>
            <w:right w:w="30" w:type="dxa"/>
          </w:tblCellMar>
        </w:tblPrEx>
        <w:trPr>
          <w:cantSplit/>
          <w:trHeight w:val="592" w:hRule="atLeast"/>
          <w:jc w:val="center"/>
        </w:trPr>
        <w:tc>
          <w:tcPr>
            <w:tcW w:w="728" w:type="dxa"/>
            <w:tcBorders>
              <w:top w:val="single" w:color="auto" w:sz="4"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15" w:type="dxa"/>
            <w:tcBorders>
              <w:top w:val="single" w:color="auto" w:sz="4"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4"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default" w:ascii="宋体" w:hAnsi="宋体" w:eastAsia="宋体" w:cs="宋体"/>
                <w:sz w:val="24"/>
                <w:szCs w:val="24"/>
                <w:lang w:val="en-US" w:eastAsia="zh-CN"/>
              </w:rPr>
            </w:pPr>
          </w:p>
        </w:tc>
        <w:tc>
          <w:tcPr>
            <w:tcW w:w="1171" w:type="dxa"/>
            <w:tcBorders>
              <w:top w:val="single" w:color="auto" w:sz="4"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default" w:ascii="宋体" w:hAnsi="宋体" w:eastAsia="宋体" w:cs="宋体"/>
                <w:sz w:val="24"/>
                <w:szCs w:val="24"/>
                <w:lang w:val="en-US" w:eastAsia="zh-CN"/>
              </w:rPr>
            </w:pPr>
          </w:p>
        </w:tc>
        <w:tc>
          <w:tcPr>
            <w:tcW w:w="1192" w:type="dxa"/>
            <w:tcBorders>
              <w:top w:val="single" w:color="auto" w:sz="4"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KG</w:t>
            </w:r>
          </w:p>
        </w:tc>
        <w:tc>
          <w:tcPr>
            <w:tcW w:w="1192" w:type="dxa"/>
            <w:tcBorders>
              <w:top w:val="single" w:color="auto" w:sz="4"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1689" w:type="dxa"/>
            <w:tcBorders>
              <w:top w:val="single" w:color="auto" w:sz="4"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4"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02" w:hRule="atLeast"/>
          <w:jc w:val="center"/>
        </w:trPr>
        <w:tc>
          <w:tcPr>
            <w:tcW w:w="728"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15" w:type="dxa"/>
            <w:tcBorders>
              <w:top w:val="single" w:color="auto" w:sz="6" w:space="0"/>
              <w:left w:val="single" w:color="auto" w:sz="6" w:space="0"/>
              <w:bottom w:val="single" w:color="auto" w:sz="6" w:space="0"/>
              <w:right w:val="single" w:color="auto" w:sz="6" w:space="0"/>
            </w:tcBorders>
          </w:tcPr>
          <w:p>
            <w:pPr>
              <w:pStyle w:val="88"/>
              <w:keepNext w:val="0"/>
              <w:keepLines w:val="0"/>
              <w:pageBreakBefore w:val="0"/>
              <w:kinsoku/>
              <w:wordWrap/>
              <w:overflowPunct/>
              <w:topLinePunct w:val="0"/>
              <w:bidi w:val="0"/>
              <w:snapToGrid/>
              <w:spacing w:line="360" w:lineRule="auto"/>
              <w:ind w:right="84" w:rightChars="40"/>
              <w:jc w:val="center"/>
              <w:textAlignment w:val="auto"/>
              <w:rPr>
                <w:rFonts w:hint="eastAsia" w:ascii="宋体" w:hAnsi="宋体" w:eastAsia="宋体" w:cs="宋体"/>
                <w:sz w:val="24"/>
                <w:szCs w:val="24"/>
              </w:rPr>
            </w:pPr>
          </w:p>
        </w:tc>
        <w:tc>
          <w:tcPr>
            <w:tcW w:w="1353"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71" w:type="dxa"/>
            <w:tcBorders>
              <w:top w:val="single" w:color="auto" w:sz="6" w:space="0"/>
              <w:left w:val="single" w:color="auto" w:sz="6"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192"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r>
        <w:tblPrEx>
          <w:tblCellMar>
            <w:top w:w="0" w:type="dxa"/>
            <w:left w:w="30" w:type="dxa"/>
            <w:bottom w:w="0" w:type="dxa"/>
            <w:right w:w="30" w:type="dxa"/>
          </w:tblCellMar>
        </w:tblPrEx>
        <w:trPr>
          <w:cantSplit/>
          <w:trHeight w:val="633" w:hRule="atLeast"/>
          <w:jc w:val="center"/>
        </w:trPr>
        <w:tc>
          <w:tcPr>
            <w:tcW w:w="7251" w:type="dxa"/>
            <w:gridSpan w:val="6"/>
            <w:tcBorders>
              <w:top w:val="single" w:color="auto" w:sz="6" w:space="0"/>
              <w:left w:val="single" w:color="auto" w:sz="4"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合计（元）：</w:t>
            </w:r>
          </w:p>
        </w:tc>
        <w:tc>
          <w:tcPr>
            <w:tcW w:w="1689" w:type="dxa"/>
            <w:tcBorders>
              <w:top w:val="single" w:color="auto" w:sz="6" w:space="0"/>
              <w:left w:val="single" w:color="auto" w:sz="4" w:space="0"/>
              <w:bottom w:val="single" w:color="auto" w:sz="6" w:space="0"/>
              <w:right w:val="single" w:color="auto" w:sz="6"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c>
          <w:tcPr>
            <w:tcW w:w="855" w:type="dxa"/>
            <w:tcBorders>
              <w:top w:val="single" w:color="auto" w:sz="6" w:space="0"/>
              <w:left w:val="single" w:color="auto" w:sz="6" w:space="0"/>
              <w:bottom w:val="single" w:color="auto" w:sz="6" w:space="0"/>
              <w:right w:val="single" w:color="auto" w:sz="4" w:space="0"/>
            </w:tcBorders>
            <w:vAlign w:val="center"/>
          </w:tcPr>
          <w:p>
            <w:pPr>
              <w:pStyle w:val="88"/>
              <w:keepNext w:val="0"/>
              <w:keepLines w:val="0"/>
              <w:pageBreakBefore w:val="0"/>
              <w:kinsoku/>
              <w:wordWrap/>
              <w:overflowPunct/>
              <w:topLinePunct w:val="0"/>
              <w:autoSpaceDE w:val="0"/>
              <w:autoSpaceDN w:val="0"/>
              <w:bidi w:val="0"/>
              <w:adjustRightInd w:val="0"/>
              <w:snapToGrid/>
              <w:spacing w:line="360" w:lineRule="auto"/>
              <w:ind w:right="84" w:rightChars="40"/>
              <w:jc w:val="center"/>
              <w:textAlignment w:val="auto"/>
              <w:rPr>
                <w:rFonts w:hint="eastAsia" w:ascii="宋体" w:hAnsi="宋体" w:eastAsia="宋体" w:cs="宋体"/>
                <w:sz w:val="24"/>
                <w:szCs w:val="24"/>
              </w:rPr>
            </w:pPr>
          </w:p>
        </w:tc>
      </w:tr>
    </w:tbl>
    <w:p>
      <w:pPr>
        <w:pStyle w:val="89"/>
        <w:keepNext w:val="0"/>
        <w:keepLines w:val="0"/>
        <w:pageBreakBefore w:val="0"/>
        <w:kinsoku/>
        <w:wordWrap/>
        <w:overflowPunct/>
        <w:topLinePunct w:val="0"/>
        <w:bidi w:val="0"/>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填报要求：</w:t>
      </w:r>
    </w:p>
    <w:p>
      <w:pPr>
        <w:pStyle w:val="89"/>
        <w:keepNext w:val="0"/>
        <w:keepLines w:val="0"/>
        <w:pageBreakBefore w:val="0"/>
        <w:numPr>
          <w:ilvl w:val="0"/>
          <w:numId w:val="21"/>
        </w:numPr>
        <w:kinsoku/>
        <w:wordWrap/>
        <w:overflowPunct/>
        <w:topLinePunct w:val="0"/>
        <w:bidi w:val="0"/>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此表为《开标一览表》的报价明细表，如有缺项、漏项（数量不符合将被视为漏项），均视为报价中已包含相关费用，采购人无须另外支付任何费用。</w:t>
      </w:r>
    </w:p>
    <w:p>
      <w:pPr>
        <w:pStyle w:val="86"/>
        <w:keepNext w:val="0"/>
        <w:keepLines w:val="0"/>
        <w:pageBreakBefore w:val="0"/>
        <w:numPr>
          <w:ilvl w:val="0"/>
          <w:numId w:val="21"/>
        </w:numPr>
        <w:kinsoku/>
        <w:wordWrap/>
        <w:overflowPunct/>
        <w:topLinePunct w:val="0"/>
        <w:bidi w:val="0"/>
        <w:snapToGrid/>
        <w:spacing w:line="360" w:lineRule="auto"/>
        <w:textAlignment w:val="auto"/>
        <w:rPr>
          <w:rFonts w:hint="eastAsia" w:ascii="宋体" w:hAnsi="宋体" w:eastAsia="宋体" w:cs="宋体"/>
          <w:kern w:val="0"/>
          <w:sz w:val="22"/>
          <w:szCs w:val="22"/>
          <w:lang w:val="zh-CN" w:eastAsia="zh-CN" w:bidi="ar-SA"/>
        </w:rPr>
      </w:pPr>
      <w:r>
        <w:rPr>
          <w:rFonts w:hint="eastAsia" w:ascii="宋体" w:hAnsi="宋体" w:eastAsia="宋体" w:cs="宋体"/>
          <w:kern w:val="0"/>
          <w:sz w:val="22"/>
          <w:szCs w:val="22"/>
          <w:lang w:val="zh-CN" w:eastAsia="zh-CN" w:bidi="ar-SA"/>
        </w:rPr>
        <w:t>报价包含提供本次服务的运输费、管理费、税费及产生的其他费用。</w:t>
      </w:r>
    </w:p>
    <w:p>
      <w:pPr>
        <w:pStyle w:val="89"/>
        <w:keepNext w:val="0"/>
        <w:keepLines w:val="0"/>
        <w:pageBreakBefore w:val="0"/>
        <w:numPr>
          <w:ilvl w:val="0"/>
          <w:numId w:val="21"/>
        </w:numPr>
        <w:kinsoku/>
        <w:wordWrap/>
        <w:overflowPunct/>
        <w:topLinePunct w:val="0"/>
        <w:bidi w:val="0"/>
        <w:snapToGrid/>
        <w:spacing w:line="360" w:lineRule="auto"/>
        <w:ind w:left="360" w:leftChars="0" w:hanging="360" w:firstLineChars="0"/>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zh-CN" w:eastAsia="zh-CN" w:bidi="ar-SA"/>
        </w:rPr>
        <w:t>按照1000g中药饮片单价报价（元/1000g），所有报价最多保留小数点后两位</w:t>
      </w:r>
      <w:r>
        <w:rPr>
          <w:rFonts w:hint="eastAsia" w:ascii="宋体" w:hAnsi="宋体" w:eastAsia="宋体" w:cs="宋体"/>
          <w:kern w:val="0"/>
          <w:sz w:val="22"/>
          <w:szCs w:val="22"/>
          <w:lang w:val="en-US" w:eastAsia="zh-CN" w:bidi="ar-SA"/>
        </w:rPr>
        <w:t>。</w:t>
      </w:r>
    </w:p>
    <w:p>
      <w:pPr>
        <w:pStyle w:val="89"/>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宋体" w:hAnsi="宋体" w:eastAsia="宋体" w:cs="宋体"/>
          <w:kern w:val="0"/>
          <w:sz w:val="22"/>
          <w:szCs w:val="22"/>
          <w:lang w:val="en-US" w:eastAsia="zh-CN" w:bidi="ar-SA"/>
        </w:rPr>
      </w:pP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供应商名称（盖章）：XXXXXXX有限公司</w:t>
      </w:r>
    </w:p>
    <w:p>
      <w:pPr>
        <w:pStyle w:val="60"/>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法定代表人或授权代表（签字或盖章）： </w:t>
      </w:r>
    </w:p>
    <w:p>
      <w:pPr>
        <w:widowControl/>
        <w:spacing w:before="0" w:beforeAutospacing="0" w:after="0" w:afterAutospacing="0" w:line="240" w:lineRule="auto"/>
        <w:jc w:val="right"/>
        <w:rPr>
          <w:rFonts w:hint="eastAsia" w:ascii="宋体" w:hAnsi="宋体" w:eastAsia="宋体" w:cs="宋体"/>
          <w:b/>
          <w:bCs/>
          <w:sz w:val="24"/>
          <w:szCs w:val="24"/>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r>
        <w:rPr>
          <w:rFonts w:hint="eastAsia" w:ascii="宋体" w:hAnsi="宋体" w:eastAsia="宋体" w:cs="宋体"/>
          <w:b/>
          <w:bCs/>
          <w:sz w:val="24"/>
          <w:szCs w:val="24"/>
        </w:rPr>
        <w:br w:type="page"/>
      </w:r>
    </w:p>
    <w:p>
      <w:pPr>
        <w:pStyle w:val="60"/>
        <w:pageBreakBefore w:val="0"/>
        <w:kinsoku/>
        <w:overflowPunct/>
        <w:topLinePunct w:val="0"/>
        <w:bidi w:val="0"/>
        <w:spacing w:line="360" w:lineRule="auto"/>
        <w:rPr>
          <w:rFonts w:cs="仿宋_GB2312"/>
          <w:b/>
          <w:bCs/>
          <w:sz w:val="24"/>
          <w:szCs w:val="24"/>
        </w:rPr>
      </w:pPr>
      <w:r>
        <w:rPr>
          <w:rFonts w:hint="eastAsia" w:cs="仿宋_GB2312"/>
          <w:b/>
          <w:bCs/>
          <w:sz w:val="24"/>
          <w:szCs w:val="24"/>
        </w:rPr>
        <w:t>二、资格</w:t>
      </w:r>
      <w:r>
        <w:rPr>
          <w:rFonts w:hint="eastAsia" w:cs="仿宋_GB2312"/>
          <w:b/>
          <w:bCs/>
          <w:sz w:val="24"/>
          <w:szCs w:val="24"/>
          <w:lang w:eastAsia="zh-CN"/>
        </w:rPr>
        <w:t>证明</w:t>
      </w:r>
      <w:r>
        <w:rPr>
          <w:rFonts w:hint="eastAsia" w:cs="仿宋_GB2312"/>
          <w:b/>
          <w:bCs/>
          <w:sz w:val="24"/>
          <w:szCs w:val="24"/>
        </w:rPr>
        <w:t>文件</w:t>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 供应商基本情况表</w:t>
      </w:r>
    </w:p>
    <w:p>
      <w:pPr>
        <w:pStyle w:val="60"/>
        <w:spacing w:line="360" w:lineRule="auto"/>
        <w:jc w:val="center"/>
      </w:pPr>
      <w:r>
        <w:rPr>
          <w:rFonts w:hint="eastAsia"/>
        </w:rPr>
        <w:t>供应商基本情况表</w:t>
      </w:r>
    </w:p>
    <w:tbl>
      <w:tblPr>
        <w:tblStyle w:val="26"/>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07"/>
        <w:gridCol w:w="8"/>
        <w:gridCol w:w="1382"/>
        <w:gridCol w:w="406"/>
        <w:gridCol w:w="105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供应商名称</w:t>
            </w:r>
          </w:p>
        </w:tc>
        <w:tc>
          <w:tcPr>
            <w:tcW w:w="7229" w:type="dxa"/>
            <w:gridSpan w:val="7"/>
            <w:vAlign w:val="center"/>
          </w:tcPr>
          <w:p>
            <w:pPr>
              <w:pStyle w:val="60"/>
              <w:spacing w:line="360" w:lineRule="auto"/>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注册地址</w:t>
            </w:r>
          </w:p>
        </w:tc>
        <w:tc>
          <w:tcPr>
            <w:tcW w:w="3498" w:type="dxa"/>
            <w:gridSpan w:val="3"/>
            <w:vAlign w:val="center"/>
          </w:tcPr>
          <w:p>
            <w:pPr>
              <w:pStyle w:val="60"/>
              <w:spacing w:line="360" w:lineRule="auto"/>
              <w:jc w:val="center"/>
              <w:rPr>
                <w:kern w:val="0"/>
              </w:rPr>
            </w:pPr>
          </w:p>
        </w:tc>
        <w:tc>
          <w:tcPr>
            <w:tcW w:w="1382" w:type="dxa"/>
            <w:vAlign w:val="center"/>
          </w:tcPr>
          <w:p>
            <w:pPr>
              <w:pStyle w:val="60"/>
              <w:spacing w:line="360" w:lineRule="auto"/>
              <w:jc w:val="center"/>
              <w:rPr>
                <w:kern w:val="0"/>
              </w:rPr>
            </w:pPr>
            <w:r>
              <w:rPr>
                <w:rFonts w:hint="eastAsia"/>
                <w:kern w:val="0"/>
              </w:rPr>
              <w:t>邮政编码</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联  系  人</w:t>
            </w:r>
          </w:p>
        </w:tc>
        <w:tc>
          <w:tcPr>
            <w:tcW w:w="3490" w:type="dxa"/>
            <w:gridSpan w:val="2"/>
            <w:vAlign w:val="center"/>
          </w:tcPr>
          <w:p>
            <w:pPr>
              <w:pStyle w:val="60"/>
              <w:spacing w:line="360" w:lineRule="auto"/>
              <w:jc w:val="center"/>
              <w:rPr>
                <w:kern w:val="0"/>
              </w:rPr>
            </w:pPr>
          </w:p>
        </w:tc>
        <w:tc>
          <w:tcPr>
            <w:tcW w:w="1390" w:type="dxa"/>
            <w:gridSpan w:val="2"/>
            <w:vAlign w:val="center"/>
          </w:tcPr>
          <w:p>
            <w:pPr>
              <w:pStyle w:val="60"/>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传      真</w:t>
            </w:r>
          </w:p>
        </w:tc>
        <w:tc>
          <w:tcPr>
            <w:tcW w:w="3490" w:type="dxa"/>
            <w:gridSpan w:val="2"/>
            <w:vAlign w:val="center"/>
          </w:tcPr>
          <w:p>
            <w:pPr>
              <w:pStyle w:val="60"/>
              <w:spacing w:line="360" w:lineRule="auto"/>
              <w:jc w:val="center"/>
              <w:rPr>
                <w:kern w:val="0"/>
              </w:rPr>
            </w:pPr>
          </w:p>
        </w:tc>
        <w:tc>
          <w:tcPr>
            <w:tcW w:w="1390" w:type="dxa"/>
            <w:gridSpan w:val="2"/>
            <w:vAlign w:val="center"/>
          </w:tcPr>
          <w:p>
            <w:pPr>
              <w:pStyle w:val="60"/>
              <w:spacing w:line="360" w:lineRule="auto"/>
              <w:jc w:val="center"/>
              <w:rPr>
                <w:kern w:val="0"/>
              </w:rPr>
            </w:pPr>
            <w:r>
              <w:rPr>
                <w:rFonts w:hint="eastAsia"/>
                <w:kern w:val="0"/>
              </w:rPr>
              <w:t>网</w:t>
            </w:r>
            <w:r>
              <w:rPr>
                <w:rFonts w:hint="eastAsia"/>
                <w:kern w:val="0"/>
                <w:lang w:val="en-US" w:eastAsia="zh-CN"/>
              </w:rPr>
              <w:t xml:space="preserve">  </w:t>
            </w:r>
            <w:r>
              <w:rPr>
                <w:rFonts w:hint="eastAsia"/>
                <w:kern w:val="0"/>
              </w:rPr>
              <w:t>址</w:t>
            </w:r>
          </w:p>
        </w:tc>
        <w:tc>
          <w:tcPr>
            <w:tcW w:w="2349" w:type="dxa"/>
            <w:gridSpan w:val="3"/>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组织结构</w:t>
            </w:r>
          </w:p>
        </w:tc>
        <w:tc>
          <w:tcPr>
            <w:tcW w:w="7229" w:type="dxa"/>
            <w:gridSpan w:val="7"/>
            <w:vAlign w:val="center"/>
          </w:tcPr>
          <w:p>
            <w:pPr>
              <w:pStyle w:val="60"/>
              <w:spacing w:line="360" w:lineRule="auto"/>
              <w:jc w:val="center"/>
              <w:rPr>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法定代表人</w:t>
            </w:r>
          </w:p>
        </w:tc>
        <w:tc>
          <w:tcPr>
            <w:tcW w:w="2183" w:type="dxa"/>
            <w:vAlign w:val="center"/>
          </w:tcPr>
          <w:p>
            <w:pPr>
              <w:pStyle w:val="60"/>
              <w:spacing w:line="360" w:lineRule="auto"/>
              <w:jc w:val="center"/>
              <w:rPr>
                <w:kern w:val="0"/>
              </w:rPr>
            </w:pPr>
          </w:p>
        </w:tc>
        <w:tc>
          <w:tcPr>
            <w:tcW w:w="1307" w:type="dxa"/>
            <w:vAlign w:val="center"/>
          </w:tcPr>
          <w:p>
            <w:pPr>
              <w:pStyle w:val="60"/>
              <w:spacing w:line="360" w:lineRule="auto"/>
              <w:jc w:val="center"/>
              <w:rPr>
                <w:kern w:val="0"/>
              </w:rPr>
            </w:pPr>
            <w:r>
              <w:rPr>
                <w:rFonts w:hint="eastAsia"/>
                <w:kern w:val="0"/>
              </w:rPr>
              <w:t>技术职称</w:t>
            </w:r>
          </w:p>
        </w:tc>
        <w:tc>
          <w:tcPr>
            <w:tcW w:w="1390" w:type="dxa"/>
            <w:gridSpan w:val="2"/>
            <w:vAlign w:val="center"/>
          </w:tcPr>
          <w:p>
            <w:pPr>
              <w:pStyle w:val="60"/>
              <w:spacing w:line="360" w:lineRule="auto"/>
              <w:jc w:val="center"/>
              <w:rPr>
                <w:kern w:val="0"/>
              </w:rPr>
            </w:pPr>
          </w:p>
        </w:tc>
        <w:tc>
          <w:tcPr>
            <w:tcW w:w="1461" w:type="dxa"/>
            <w:gridSpan w:val="2"/>
            <w:vAlign w:val="center"/>
          </w:tcPr>
          <w:p>
            <w:pPr>
              <w:pStyle w:val="60"/>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888" w:type="dxa"/>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技术负责人</w:t>
            </w:r>
          </w:p>
        </w:tc>
        <w:tc>
          <w:tcPr>
            <w:tcW w:w="2183" w:type="dxa"/>
            <w:vAlign w:val="center"/>
          </w:tcPr>
          <w:p>
            <w:pPr>
              <w:pStyle w:val="60"/>
              <w:spacing w:line="360" w:lineRule="auto"/>
              <w:jc w:val="center"/>
              <w:rPr>
                <w:kern w:val="0"/>
              </w:rPr>
            </w:pPr>
          </w:p>
        </w:tc>
        <w:tc>
          <w:tcPr>
            <w:tcW w:w="1307" w:type="dxa"/>
            <w:vAlign w:val="center"/>
          </w:tcPr>
          <w:p>
            <w:pPr>
              <w:pStyle w:val="60"/>
              <w:spacing w:line="360" w:lineRule="auto"/>
              <w:jc w:val="center"/>
              <w:rPr>
                <w:kern w:val="0"/>
              </w:rPr>
            </w:pPr>
            <w:r>
              <w:rPr>
                <w:rFonts w:hint="eastAsia"/>
                <w:kern w:val="0"/>
              </w:rPr>
              <w:t>技术职称</w:t>
            </w:r>
          </w:p>
        </w:tc>
        <w:tc>
          <w:tcPr>
            <w:tcW w:w="1390" w:type="dxa"/>
            <w:gridSpan w:val="2"/>
            <w:vAlign w:val="center"/>
          </w:tcPr>
          <w:p>
            <w:pPr>
              <w:pStyle w:val="60"/>
              <w:spacing w:line="360" w:lineRule="auto"/>
              <w:jc w:val="center"/>
              <w:rPr>
                <w:kern w:val="0"/>
              </w:rPr>
            </w:pPr>
          </w:p>
        </w:tc>
        <w:tc>
          <w:tcPr>
            <w:tcW w:w="1461" w:type="dxa"/>
            <w:gridSpan w:val="2"/>
            <w:vAlign w:val="center"/>
          </w:tcPr>
          <w:p>
            <w:pPr>
              <w:pStyle w:val="60"/>
              <w:spacing w:line="360" w:lineRule="auto"/>
              <w:jc w:val="center"/>
              <w:rPr>
                <w:kern w:val="0"/>
              </w:rPr>
            </w:pPr>
            <w:r>
              <w:rPr>
                <w:rFonts w:hint="eastAsia"/>
                <w:kern w:val="0"/>
              </w:rPr>
              <w:t>电</w:t>
            </w:r>
            <w:r>
              <w:rPr>
                <w:rFonts w:hint="eastAsia"/>
                <w:kern w:val="0"/>
                <w:lang w:val="en-US" w:eastAsia="zh-CN"/>
              </w:rPr>
              <w:t xml:space="preserve">  </w:t>
            </w:r>
            <w:r>
              <w:rPr>
                <w:rFonts w:hint="eastAsia"/>
                <w:kern w:val="0"/>
              </w:rPr>
              <w:t>话</w:t>
            </w:r>
          </w:p>
        </w:tc>
        <w:tc>
          <w:tcPr>
            <w:tcW w:w="888" w:type="dxa"/>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成立时间</w:t>
            </w:r>
          </w:p>
        </w:tc>
        <w:tc>
          <w:tcPr>
            <w:tcW w:w="2183" w:type="dxa"/>
            <w:vAlign w:val="center"/>
          </w:tcPr>
          <w:p>
            <w:pPr>
              <w:pStyle w:val="60"/>
              <w:spacing w:line="360" w:lineRule="auto"/>
              <w:jc w:val="center"/>
              <w:rPr>
                <w:kern w:val="0"/>
              </w:rPr>
            </w:pPr>
          </w:p>
        </w:tc>
        <w:tc>
          <w:tcPr>
            <w:tcW w:w="5046" w:type="dxa"/>
            <w:gridSpan w:val="6"/>
            <w:vAlign w:val="center"/>
          </w:tcPr>
          <w:p>
            <w:pPr>
              <w:pStyle w:val="60"/>
              <w:spacing w:line="360" w:lineRule="auto"/>
              <w:jc w:val="center"/>
              <w:rPr>
                <w:kern w:val="0"/>
              </w:rPr>
            </w:pPr>
            <w:r>
              <w:rPr>
                <w:rFonts w:hint="eastAsia"/>
                <w:kern w:val="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企业资质等级</w:t>
            </w:r>
          </w:p>
        </w:tc>
        <w:tc>
          <w:tcPr>
            <w:tcW w:w="2183" w:type="dxa"/>
            <w:vAlign w:val="center"/>
          </w:tcPr>
          <w:p>
            <w:pPr>
              <w:pStyle w:val="60"/>
              <w:spacing w:line="360" w:lineRule="auto"/>
              <w:jc w:val="center"/>
              <w:rPr>
                <w:kern w:val="0"/>
              </w:rPr>
            </w:pPr>
          </w:p>
        </w:tc>
        <w:tc>
          <w:tcPr>
            <w:tcW w:w="1307" w:type="dxa"/>
            <w:vMerge w:val="restart"/>
            <w:vAlign w:val="center"/>
          </w:tcPr>
          <w:p>
            <w:pPr>
              <w:pStyle w:val="60"/>
              <w:spacing w:line="360" w:lineRule="auto"/>
              <w:jc w:val="center"/>
              <w:rPr>
                <w:kern w:val="0"/>
              </w:rPr>
            </w:pPr>
            <w:r>
              <w:rPr>
                <w:rFonts w:hint="eastAsia"/>
                <w:kern w:val="0"/>
              </w:rPr>
              <w:t>其中</w:t>
            </w:r>
          </w:p>
        </w:tc>
        <w:tc>
          <w:tcPr>
            <w:tcW w:w="1796" w:type="dxa"/>
            <w:gridSpan w:val="3"/>
            <w:vAlign w:val="center"/>
          </w:tcPr>
          <w:p>
            <w:pPr>
              <w:pStyle w:val="60"/>
              <w:spacing w:line="360" w:lineRule="auto"/>
              <w:jc w:val="center"/>
              <w:rPr>
                <w:kern w:val="0"/>
              </w:rPr>
            </w:pPr>
            <w:r>
              <w:rPr>
                <w:rFonts w:hint="eastAsia"/>
                <w:kern w:val="0"/>
              </w:rPr>
              <w:t>项目经理</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营业执照号</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高级职称人员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注册资金</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中级职称人员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开户银行</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初级职称人员</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账</w:t>
            </w:r>
            <w:r>
              <w:rPr>
                <w:rFonts w:hint="eastAsia"/>
                <w:kern w:val="0"/>
                <w:lang w:val="en-US" w:eastAsia="zh-CN"/>
              </w:rPr>
              <w:t xml:space="preserve">    </w:t>
            </w:r>
            <w:r>
              <w:rPr>
                <w:rFonts w:hint="eastAsia"/>
                <w:kern w:val="0"/>
              </w:rPr>
              <w:t>号</w:t>
            </w:r>
          </w:p>
        </w:tc>
        <w:tc>
          <w:tcPr>
            <w:tcW w:w="2183" w:type="dxa"/>
            <w:vAlign w:val="center"/>
          </w:tcPr>
          <w:p>
            <w:pPr>
              <w:pStyle w:val="60"/>
              <w:spacing w:line="360" w:lineRule="auto"/>
              <w:jc w:val="center"/>
              <w:rPr>
                <w:kern w:val="0"/>
              </w:rPr>
            </w:pPr>
          </w:p>
        </w:tc>
        <w:tc>
          <w:tcPr>
            <w:tcW w:w="1307" w:type="dxa"/>
            <w:vMerge w:val="continue"/>
            <w:vAlign w:val="center"/>
          </w:tcPr>
          <w:p>
            <w:pPr>
              <w:pStyle w:val="60"/>
              <w:spacing w:line="360" w:lineRule="auto"/>
              <w:jc w:val="center"/>
              <w:rPr>
                <w:kern w:val="0"/>
              </w:rPr>
            </w:pPr>
          </w:p>
        </w:tc>
        <w:tc>
          <w:tcPr>
            <w:tcW w:w="1796" w:type="dxa"/>
            <w:gridSpan w:val="3"/>
            <w:vAlign w:val="center"/>
          </w:tcPr>
          <w:p>
            <w:pPr>
              <w:pStyle w:val="60"/>
              <w:spacing w:line="360" w:lineRule="auto"/>
              <w:jc w:val="center"/>
              <w:rPr>
                <w:kern w:val="0"/>
              </w:rPr>
            </w:pPr>
            <w:r>
              <w:rPr>
                <w:rFonts w:hint="eastAsia"/>
                <w:kern w:val="0"/>
              </w:rPr>
              <w:t>技工</w:t>
            </w:r>
          </w:p>
        </w:tc>
        <w:tc>
          <w:tcPr>
            <w:tcW w:w="1943" w:type="dxa"/>
            <w:gridSpan w:val="2"/>
            <w:vAlign w:val="center"/>
          </w:tcPr>
          <w:p>
            <w:pPr>
              <w:pStyle w:val="60"/>
              <w:spacing w:line="360" w:lineRule="auto"/>
              <w:jc w:val="center"/>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经营范围</w:t>
            </w:r>
          </w:p>
        </w:tc>
        <w:tc>
          <w:tcPr>
            <w:tcW w:w="7229" w:type="dxa"/>
            <w:gridSpan w:val="7"/>
            <w:vAlign w:val="center"/>
          </w:tcPr>
          <w:p>
            <w:pPr>
              <w:pStyle w:val="60"/>
              <w:spacing w:line="360" w:lineRule="auto"/>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pStyle w:val="60"/>
              <w:spacing w:line="360" w:lineRule="auto"/>
              <w:jc w:val="center"/>
              <w:rPr>
                <w:kern w:val="0"/>
              </w:rPr>
            </w:pPr>
            <w:r>
              <w:rPr>
                <w:rFonts w:hint="eastAsia"/>
                <w:kern w:val="0"/>
              </w:rPr>
              <w:t xml:space="preserve">备 </w:t>
            </w:r>
            <w:r>
              <w:rPr>
                <w:rFonts w:hint="eastAsia"/>
                <w:kern w:val="0"/>
                <w:lang w:val="en-US" w:eastAsia="zh-CN"/>
              </w:rPr>
              <w:t xml:space="preserve">  </w:t>
            </w:r>
            <w:r>
              <w:rPr>
                <w:rFonts w:hint="eastAsia"/>
                <w:kern w:val="0"/>
              </w:rPr>
              <w:t xml:space="preserve"> 注</w:t>
            </w:r>
          </w:p>
        </w:tc>
        <w:tc>
          <w:tcPr>
            <w:tcW w:w="7229" w:type="dxa"/>
            <w:gridSpan w:val="7"/>
          </w:tcPr>
          <w:p>
            <w:pPr>
              <w:pStyle w:val="60"/>
              <w:spacing w:line="360" w:lineRule="auto"/>
              <w:rPr>
                <w:kern w:val="0"/>
              </w:rPr>
            </w:pPr>
          </w:p>
        </w:tc>
      </w:tr>
    </w:tbl>
    <w:p>
      <w:pPr>
        <w:pStyle w:val="60"/>
        <w:spacing w:line="360" w:lineRule="auto"/>
        <w:jc w:val="both"/>
        <w:rPr>
          <w:rFonts w:hint="eastAsia" w:ascii="宋体" w:hAnsi="宋体" w:eastAsia="宋体" w:cs="宋体"/>
          <w:b/>
          <w:bCs/>
          <w:sz w:val="24"/>
          <w:szCs w:val="24"/>
          <w:lang w:val="en-US" w:eastAsia="zh-CN"/>
        </w:rPr>
      </w:pPr>
      <w:r>
        <w:br w:type="page"/>
      </w:r>
      <w:r>
        <w:rPr>
          <w:rFonts w:hint="eastAsia" w:ascii="宋体" w:hAnsi="宋体" w:eastAsia="宋体" w:cs="宋体"/>
          <w:b/>
          <w:bCs/>
          <w:sz w:val="24"/>
          <w:szCs w:val="24"/>
          <w:lang w:val="en-US" w:eastAsia="zh-CN"/>
        </w:rPr>
        <w:t>2. 法人授权委托书</w:t>
      </w:r>
    </w:p>
    <w:p>
      <w:pPr>
        <w:pStyle w:val="60"/>
        <w:spacing w:line="360" w:lineRule="auto"/>
        <w:jc w:val="center"/>
        <w:rPr>
          <w:b/>
          <w:bCs/>
        </w:rPr>
      </w:pPr>
      <w:r>
        <w:rPr>
          <w:rFonts w:hint="eastAsia"/>
          <w:b/>
          <w:bCs/>
        </w:rPr>
        <w:t>法人授权委托书</w:t>
      </w:r>
    </w:p>
    <w:p>
      <w:pPr>
        <w:pStyle w:val="60"/>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w:t>
      </w:r>
      <w:r>
        <w:rPr>
          <w:rFonts w:hint="eastAsia" w:ascii="宋体" w:hAnsi="宋体" w:eastAsia="宋体" w:cs="宋体"/>
          <w:sz w:val="24"/>
          <w:szCs w:val="24"/>
        </w:rPr>
        <w:t>：</w:t>
      </w:r>
    </w:p>
    <w:p>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（投标单位全称）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姓名 </w:t>
      </w:r>
      <w:r>
        <w:rPr>
          <w:rFonts w:hint="eastAsia" w:ascii="宋体" w:hAnsi="宋体" w:eastAsia="宋体" w:cs="宋体"/>
          <w:sz w:val="24"/>
          <w:szCs w:val="24"/>
        </w:rPr>
        <w:t>授权</w:t>
      </w:r>
      <w:r>
        <w:rPr>
          <w:rFonts w:hint="eastAsia" w:ascii="宋体" w:hAnsi="宋体" w:eastAsia="宋体" w:cs="宋体"/>
          <w:sz w:val="24"/>
          <w:szCs w:val="24"/>
          <w:u w:val="single"/>
        </w:rPr>
        <w:t xml:space="preserve"> 被授权人姓名</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）为本公司合法代理人，参加贵方组织的</w:t>
      </w:r>
      <w:r>
        <w:rPr>
          <w:rFonts w:hint="eastAsia" w:ascii="宋体" w:hAnsi="宋体" w:eastAsia="宋体" w:cs="宋体"/>
          <w:sz w:val="24"/>
          <w:szCs w:val="24"/>
          <w:u w:val="single"/>
        </w:rPr>
        <w:t>项目名称</w:t>
      </w:r>
      <w:r>
        <w:rPr>
          <w:rFonts w:hint="eastAsia" w:ascii="宋体" w:hAnsi="宋体" w:eastAsia="宋体" w:cs="宋体"/>
          <w:sz w:val="24"/>
          <w:szCs w:val="24"/>
        </w:rPr>
        <w:t>（交易编号：</w:t>
      </w:r>
      <w:r>
        <w:rPr>
          <w:rFonts w:hint="eastAsia" w:ascii="宋体" w:hAnsi="宋体" w:eastAsia="宋体" w:cs="宋体"/>
          <w:sz w:val="24"/>
          <w:szCs w:val="24"/>
          <w:lang w:eastAsia="zh-CN"/>
        </w:rPr>
        <w:t>2022</w:t>
      </w:r>
      <w:r>
        <w:rPr>
          <w:rFonts w:hint="eastAsia" w:ascii="宋体" w:hAnsi="宋体" w:eastAsia="宋体" w:cs="宋体"/>
          <w:sz w:val="24"/>
          <w:szCs w:val="24"/>
        </w:rPr>
        <w:t>-</w:t>
      </w:r>
      <w:r>
        <w:rPr>
          <w:rFonts w:hint="eastAsia" w:ascii="宋体" w:hAnsi="宋体" w:eastAsia="宋体" w:cs="宋体"/>
          <w:sz w:val="24"/>
          <w:szCs w:val="24"/>
          <w:lang w:val="en-US" w:eastAsia="zh-CN"/>
        </w:rPr>
        <w:t>ZFCG</w:t>
      </w:r>
      <w:r>
        <w:rPr>
          <w:rFonts w:hint="eastAsia" w:ascii="宋体" w:hAnsi="宋体" w:eastAsia="宋体" w:cs="宋体"/>
          <w:sz w:val="24"/>
          <w:szCs w:val="24"/>
        </w:rPr>
        <w:t>-XXXX ）的招标投标活动，代表本公司处理招标投标活动中的一切事宜。</w:t>
      </w:r>
    </w:p>
    <w:p>
      <w:pPr>
        <w:pStyle w:val="6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本授权委托书签章即生效，被委托人无转委托权。</w:t>
      </w:r>
    </w:p>
    <w:tbl>
      <w:tblPr>
        <w:tblStyle w:val="26"/>
        <w:tblW w:w="88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3"/>
        <w:gridCol w:w="4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trPr>
        <w:tc>
          <w:tcPr>
            <w:tcW w:w="446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c>
          <w:tcPr>
            <w:tcW w:w="4416" w:type="dxa"/>
            <w:vAlign w:val="center"/>
          </w:tcPr>
          <w:p>
            <w:pPr>
              <w:pStyle w:val="60"/>
              <w:spacing w:line="360" w:lineRule="auto"/>
              <w:jc w:val="center"/>
            </w:pPr>
            <w:r>
              <w:rPr>
                <w:rFonts w:hint="eastAsia"/>
              </w:rPr>
              <w:t>被授权人身份证复印件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446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c>
          <w:tcPr>
            <w:tcW w:w="4416" w:type="dxa"/>
            <w:vAlign w:val="center"/>
          </w:tcPr>
          <w:p>
            <w:pPr>
              <w:pStyle w:val="60"/>
              <w:spacing w:line="360" w:lineRule="auto"/>
              <w:jc w:val="center"/>
            </w:pPr>
            <w:r>
              <w:rPr>
                <w:rFonts w:hint="eastAsia"/>
              </w:rPr>
              <w:t>被授权人身份证复印件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r>
    </w:tbl>
    <w:p>
      <w:pPr>
        <w:pStyle w:val="60"/>
        <w:spacing w:line="360" w:lineRule="auto"/>
        <w:rPr>
          <w:sz w:val="20"/>
          <w:szCs w:val="20"/>
        </w:rPr>
      </w:pPr>
      <w:r>
        <w:rPr>
          <w:rFonts w:hint="eastAsia"/>
          <w:sz w:val="20"/>
          <w:szCs w:val="20"/>
        </w:rPr>
        <w:t>注：身份证复印件如为粘贴的，须在身份证复印件与本页接缝处加盖公章；</w:t>
      </w:r>
    </w:p>
    <w:p>
      <w:pPr>
        <w:pStyle w:val="60"/>
        <w:spacing w:line="360" w:lineRule="auto"/>
      </w:pPr>
    </w:p>
    <w:p>
      <w:pPr>
        <w:pStyle w:val="60"/>
        <w:spacing w:line="360" w:lineRule="auto"/>
        <w:rPr>
          <w:rFonts w:hint="eastAsia"/>
        </w:rPr>
      </w:pPr>
    </w:p>
    <w:p>
      <w:pPr>
        <w:pStyle w:val="60"/>
        <w:spacing w:line="360" w:lineRule="auto"/>
      </w:pPr>
      <w:r>
        <w:rPr>
          <w:rFonts w:hint="eastAsia"/>
        </w:rPr>
        <w:t>法定代表人（签章）：                        被授权代表签字或盖章：</w:t>
      </w:r>
    </w:p>
    <w:p>
      <w:pPr>
        <w:pStyle w:val="60"/>
        <w:spacing w:line="360" w:lineRule="auto"/>
      </w:pPr>
      <w:r>
        <w:rPr>
          <w:rFonts w:hint="eastAsia"/>
        </w:rPr>
        <w:t xml:space="preserve">供应商（公章）： </w:t>
      </w:r>
    </w:p>
    <w:p>
      <w:pPr>
        <w:pStyle w:val="60"/>
        <w:spacing w:line="360" w:lineRule="auto"/>
      </w:pPr>
      <w:r>
        <w:rPr>
          <w:rFonts w:hint="eastAsia"/>
          <w:kern w:val="0"/>
        </w:rPr>
        <w:t xml:space="preserve">年   月   日 </w:t>
      </w:r>
    </w:p>
    <w:p>
      <w:pPr>
        <w:pStyle w:val="60"/>
        <w:spacing w:line="360" w:lineRule="auto"/>
      </w:pPr>
      <w: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3.法定代表人身份证明</w:t>
      </w:r>
    </w:p>
    <w:p>
      <w:pPr>
        <w:pStyle w:val="60"/>
        <w:spacing w:line="360" w:lineRule="auto"/>
        <w:jc w:val="center"/>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法定代表人身份证明</w:t>
      </w:r>
    </w:p>
    <w:p>
      <w:pPr>
        <w:pStyle w:val="6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（采购代理机构）</w:t>
      </w:r>
      <w:r>
        <w:rPr>
          <w:rFonts w:hint="eastAsia" w:ascii="宋体" w:hAnsi="宋体" w:eastAsia="宋体" w:cs="宋体"/>
          <w:sz w:val="24"/>
          <w:szCs w:val="24"/>
        </w:rPr>
        <w:t>：</w:t>
      </w:r>
    </w:p>
    <w:p>
      <w:pPr>
        <w:pStyle w:val="60"/>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（投标单位全称）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姓名</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），参加贵方组织的</w:t>
      </w:r>
      <w:r>
        <w:rPr>
          <w:rFonts w:hint="eastAsia" w:ascii="宋体" w:hAnsi="宋体" w:eastAsia="宋体" w:cs="宋体"/>
          <w:sz w:val="24"/>
          <w:szCs w:val="24"/>
          <w:u w:val="single"/>
        </w:rPr>
        <w:t>项目名称</w:t>
      </w:r>
      <w:r>
        <w:rPr>
          <w:rFonts w:hint="eastAsia" w:ascii="宋体" w:hAnsi="宋体" w:eastAsia="宋体" w:cs="宋体"/>
          <w:sz w:val="24"/>
          <w:szCs w:val="24"/>
        </w:rPr>
        <w:t>（交易编号：</w:t>
      </w:r>
      <w:r>
        <w:rPr>
          <w:rFonts w:hint="eastAsia" w:ascii="宋体" w:hAnsi="宋体" w:cs="宋体"/>
          <w:sz w:val="24"/>
          <w:szCs w:val="24"/>
          <w:lang w:eastAsia="zh-CN"/>
        </w:rPr>
        <w:t>2022</w:t>
      </w:r>
      <w:r>
        <w:rPr>
          <w:rFonts w:hint="eastAsia" w:ascii="宋体" w:hAnsi="宋体" w:eastAsia="宋体" w:cs="宋体"/>
          <w:sz w:val="24"/>
          <w:szCs w:val="24"/>
        </w:rPr>
        <w:t>-ZFCG-XXXX）的招标投标活动，代表本公司处理招标投标活动中的一切事宜。</w:t>
      </w:r>
    </w:p>
    <w:tbl>
      <w:tblPr>
        <w:tblStyle w:val="26"/>
        <w:tblW w:w="90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3"/>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6" w:hRule="atLeast"/>
        </w:trPr>
        <w:tc>
          <w:tcPr>
            <w:tcW w:w="4553"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正面</w:t>
            </w:r>
          </w:p>
          <w:p>
            <w:pPr>
              <w:pStyle w:val="60"/>
              <w:spacing w:line="360" w:lineRule="auto"/>
              <w:jc w:val="center"/>
            </w:pPr>
            <w:r>
              <w:rPr>
                <w:rFonts w:hint="eastAsia"/>
              </w:rPr>
              <w:t>（身份证复印件需清晰可辨认）</w:t>
            </w:r>
          </w:p>
        </w:tc>
        <w:tc>
          <w:tcPr>
            <w:tcW w:w="4506" w:type="dxa"/>
            <w:vAlign w:val="center"/>
          </w:tcPr>
          <w:p>
            <w:pPr>
              <w:pStyle w:val="60"/>
              <w:spacing w:line="360" w:lineRule="auto"/>
              <w:jc w:val="center"/>
            </w:pPr>
            <w:r>
              <w:rPr>
                <w:rFonts w:hint="eastAsia"/>
              </w:rPr>
              <w:t>法定代表人身份证复印件</w:t>
            </w:r>
          </w:p>
          <w:p>
            <w:pPr>
              <w:pStyle w:val="60"/>
              <w:spacing w:line="360" w:lineRule="auto"/>
              <w:jc w:val="center"/>
            </w:pPr>
            <w:r>
              <w:rPr>
                <w:rFonts w:hint="eastAsia"/>
              </w:rPr>
              <w:t>反面</w:t>
            </w:r>
          </w:p>
          <w:p>
            <w:pPr>
              <w:pStyle w:val="60"/>
              <w:spacing w:line="360" w:lineRule="auto"/>
              <w:jc w:val="center"/>
            </w:pPr>
            <w:r>
              <w:rPr>
                <w:rFonts w:hint="eastAsia"/>
              </w:rPr>
              <w:t>（身份证复印件需清晰可辨认）</w:t>
            </w:r>
          </w:p>
        </w:tc>
      </w:tr>
    </w:tbl>
    <w:p>
      <w:pPr>
        <w:pStyle w:val="60"/>
        <w:spacing w:line="360" w:lineRule="auto"/>
        <w:rPr>
          <w:sz w:val="20"/>
          <w:szCs w:val="20"/>
        </w:rPr>
      </w:pPr>
      <w:r>
        <w:rPr>
          <w:rFonts w:hint="eastAsia"/>
          <w:sz w:val="20"/>
          <w:szCs w:val="20"/>
        </w:rPr>
        <w:t>注：身份证复印件如为粘贴的，须在身份证复印件与本页接缝处加盖公章；</w:t>
      </w:r>
    </w:p>
    <w:p>
      <w:pPr>
        <w:pStyle w:val="60"/>
        <w:spacing w:line="360" w:lineRule="auto"/>
      </w:pPr>
    </w:p>
    <w:p>
      <w:pPr>
        <w:pStyle w:val="60"/>
        <w:spacing w:line="360" w:lineRule="auto"/>
        <w:rPr>
          <w:sz w:val="24"/>
          <w:szCs w:val="24"/>
        </w:rPr>
      </w:pPr>
      <w:r>
        <w:rPr>
          <w:rFonts w:hint="eastAsia"/>
          <w:sz w:val="24"/>
          <w:szCs w:val="24"/>
        </w:rPr>
        <w:t xml:space="preserve">法定代表人（签章）：  </w:t>
      </w:r>
    </w:p>
    <w:p>
      <w:pPr>
        <w:pStyle w:val="60"/>
        <w:spacing w:line="360" w:lineRule="auto"/>
        <w:rPr>
          <w:sz w:val="24"/>
          <w:szCs w:val="24"/>
        </w:rPr>
      </w:pPr>
      <w:r>
        <w:rPr>
          <w:rFonts w:hint="eastAsia"/>
          <w:sz w:val="24"/>
          <w:szCs w:val="24"/>
        </w:rPr>
        <w:t xml:space="preserve">供应商（公章）： </w:t>
      </w:r>
    </w:p>
    <w:p>
      <w:pPr>
        <w:pStyle w:val="60"/>
        <w:spacing w:line="360" w:lineRule="auto"/>
        <w:rPr>
          <w:sz w:val="24"/>
          <w:szCs w:val="24"/>
        </w:rPr>
      </w:pPr>
      <w:r>
        <w:rPr>
          <w:rFonts w:hint="eastAsia"/>
          <w:kern w:val="0"/>
          <w:sz w:val="24"/>
          <w:szCs w:val="24"/>
        </w:rPr>
        <w:t xml:space="preserve">年   月   日 </w:t>
      </w:r>
    </w:p>
    <w:p>
      <w:pPr>
        <w:rPr>
          <w:rFonts w:hint="eastAsia" w:ascii="宋体" w:hAnsi="宋体" w:eastAsia="宋体" w:cs="宋体"/>
          <w:bCs/>
          <w:sz w:val="21"/>
          <w:szCs w:val="21"/>
        </w:rPr>
      </w:pPr>
      <w: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4.具有独立承担民事责任的能力</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如投标人是企业（包括合伙企业），应提供在工商部门注册的有效“企业法人营业执照”或“营业执照”；如投标人是事业单位，应提供有效的“事业单位法人证书”；投标人是非企业专业服务机构的，应提供执业许可证等证明文件；如投标人是个体工商户，应提供有效的“个体工商户营业执照”；如投标人是自然人，应提供有效的自然人身份证明。</w:t>
      </w:r>
    </w:p>
    <w:p>
      <w:pPr>
        <w:pStyle w:val="60"/>
        <w:spacing w:line="360" w:lineRule="auto"/>
        <w:rPr>
          <w:rFonts w:hint="eastAsia" w:ascii="宋体" w:hAnsi="宋体" w:eastAsia="宋体" w:cs="宋体"/>
          <w:kern w:val="0"/>
          <w:sz w:val="22"/>
          <w:szCs w:val="22"/>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5.有良好的商业信誉和健全的财务会计制度；</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投标人是法人的，应提供上一年度经审计的财务报告，或其基本开户银行出具的资信证明。其他组织和自然人，没有经审计的财务报告，提供银行出具的资信证明。</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专业担保机构对投标人进行资信审查后出具投标担保函的，可以不用提供经审计的财务报告和银行资信证明文件。</w:t>
      </w:r>
    </w:p>
    <w:p>
      <w:pPr>
        <w:pStyle w:val="60"/>
        <w:spacing w:line="360" w:lineRule="auto"/>
        <w:rPr>
          <w:rFonts w:hint="eastAsia" w:ascii="宋体" w:hAnsi="宋体" w:eastAsia="宋体" w:cs="宋体"/>
          <w:kern w:val="0"/>
          <w:sz w:val="24"/>
          <w:szCs w:val="24"/>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6.具备履行合同所必需的设备和专业技术能力的证明材料；</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提供具备履行合同所必需的设备购置发票或租赁合同和专业技术能力的证明材料（或提供承诺书）</w:t>
      </w:r>
    </w:p>
    <w:p>
      <w:pPr>
        <w:pStyle w:val="60"/>
        <w:spacing w:line="360" w:lineRule="auto"/>
        <w:rPr>
          <w:rFonts w:hint="eastAsia" w:ascii="宋体" w:hAnsi="宋体" w:eastAsia="宋体" w:cs="宋体"/>
          <w:sz w:val="24"/>
          <w:szCs w:val="24"/>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7.具有依法缴纳税收和社会保障资金的良好记录；</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投标人依法缴纳税收的证明材料：本项目公告发布时间前6个月内（至少提供1个月）缴纳税收的凭据（完税证、缴款书、印花税票、银行代扣（代缴）转账凭证等均可）；</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投标人依法缴纳社会保障资金的证明材料：本项目公告发布时间前6个月内（至少提供1个月）缴纳社会保险的凭据（专用收据或社会保险交纳清单）；</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投标人为其他组织或自然人的，也需要按此项规定提供缴纳税收的凭据和交纳社会保险的凭据；</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递交响应文件截止时间的当月成立但因税务机关原因导致其尚未依法缴纳税收的投标人，提供依法缴纳税收承诺书原件（格式自拟），该承诺书视同税收缴纳凭据。</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递交响应文件截止时间的当月成立但因社会保障资金管理机关原因导致其尚未依法缴纳社会保障资金的投标人，提供依法缴纳社会保障资金承诺书原件（格式自拟），该承诺书视同社会保险凭据。</w:t>
      </w:r>
    </w:p>
    <w:p>
      <w:pPr>
        <w:pStyle w:val="60"/>
        <w:spacing w:line="360" w:lineRule="auto"/>
        <w:rPr>
          <w:rFonts w:hint="eastAsia" w:ascii="宋体" w:hAnsi="宋体" w:eastAsia="宋体" w:cs="宋体"/>
          <w:kern w:val="0"/>
          <w:sz w:val="22"/>
          <w:szCs w:val="22"/>
          <w:lang w:val="en-US"/>
        </w:rPr>
      </w:pPr>
      <w:r>
        <w:rPr>
          <w:rFonts w:hint="eastAsia" w:ascii="宋体" w:hAnsi="宋体" w:eastAsia="宋体" w:cs="宋体"/>
          <w:kern w:val="0"/>
          <w:sz w:val="22"/>
          <w:szCs w:val="22"/>
          <w:lang w:val="en-US"/>
        </w:rPr>
        <w:t>依法免税或不需要缴纳社会保障资金的投标人，应提供相应文件证明其依法免税或不需要交纳社会保障资金。</w:t>
      </w:r>
    </w:p>
    <w:p>
      <w:pPr>
        <w:pStyle w:val="60"/>
        <w:numPr>
          <w:ilvl w:val="0"/>
          <w:numId w:val="0"/>
        </w:numPr>
        <w:spacing w:line="360" w:lineRule="auto"/>
        <w:ind w:leftChars="0"/>
        <w:rPr>
          <w:rFonts w:hint="eastAsia" w:ascii="宋体" w:hAnsi="宋体" w:eastAsia="宋体" w:cs="宋体"/>
          <w:sz w:val="21"/>
          <w:szCs w:val="21"/>
          <w:lang w:val="en-US" w:bidi="ar-SA"/>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 参加本次政府采购活动前三年内，在经营活动中没有违法违规记录；</w:t>
      </w:r>
    </w:p>
    <w:p>
      <w:pPr>
        <w:spacing w:line="579" w:lineRule="exact"/>
        <w:jc w:val="center"/>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t>声明函</w:t>
      </w:r>
    </w:p>
    <w:p>
      <w:pPr>
        <w:spacing w:line="579"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（采购单位名称）：</w:t>
      </w:r>
    </w:p>
    <w:p>
      <w:pPr>
        <w:spacing w:line="579"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我公司参与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名称、项目编号）招标，本公司郑重声明，我公司参加本项目政府采购活动前三年内无重大违法记录，符合《政府采购法》规定的投标单位条件。若贵方在本项目招标过程中发现我公司在政府采购活动前三年内有重大违法记录，我公司将无条件退出本项目的响应，并承担因此引起的一切后果。我公司对此声明负全部法律责任。</w:t>
      </w:r>
    </w:p>
    <w:p>
      <w:pPr>
        <w:spacing w:line="579"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特此声明</w:t>
      </w:r>
      <w:r>
        <w:rPr>
          <w:rFonts w:hint="eastAsia" w:ascii="宋体" w:hAnsi="宋体" w:eastAsia="宋体" w:cs="宋体"/>
          <w:color w:val="000000"/>
          <w:sz w:val="24"/>
          <w:szCs w:val="24"/>
          <w:highlight w:val="none"/>
          <w:lang w:eastAsia="zh-CN"/>
        </w:rPr>
        <w:t>。</w:t>
      </w:r>
    </w:p>
    <w:p>
      <w:pPr>
        <w:spacing w:line="579"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供应商名称（盖章）：XXXXXXX有限公司</w:t>
      </w:r>
    </w:p>
    <w:p>
      <w:pPr>
        <w:spacing w:line="579"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pPr>
        <w:spacing w:line="579" w:lineRule="exact"/>
        <w:rPr>
          <w:rFonts w:hint="eastAsia" w:ascii="宋体" w:hAnsi="宋体" w:eastAsia="宋体" w:cs="宋体"/>
          <w:color w:val="000000"/>
          <w:sz w:val="24"/>
          <w:szCs w:val="24"/>
          <w:highlight w:val="none"/>
        </w:rPr>
      </w:pPr>
    </w:p>
    <w:p>
      <w:pPr>
        <w:pStyle w:val="60"/>
        <w:spacing w:line="360" w:lineRule="auto"/>
        <w:ind w:firstLine="240" w:firstLineChars="100"/>
        <w:rPr>
          <w:rFonts w:hint="eastAsia" w:ascii="宋体" w:hAnsi="宋体" w:eastAsia="宋体" w:cs="宋体"/>
          <w:bCs/>
          <w:sz w:val="24"/>
          <w:szCs w:val="24"/>
        </w:rPr>
      </w:pPr>
    </w:p>
    <w:p>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9.网站查询记录</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9.1</w:t>
      </w:r>
      <w:r>
        <w:rPr>
          <w:rFonts w:hint="eastAsia" w:ascii="宋体" w:hAnsi="宋体" w:eastAsia="宋体" w:cs="宋体"/>
          <w:kern w:val="0"/>
          <w:sz w:val="22"/>
          <w:szCs w:val="22"/>
        </w:rPr>
        <w:t>信用中国（www.creditchina.gov.cn）未被列入重大税收违法案件当事人名单</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9.2</w:t>
      </w:r>
      <w:r>
        <w:rPr>
          <w:rFonts w:hint="eastAsia" w:ascii="宋体" w:hAnsi="宋体" w:eastAsia="宋体" w:cs="宋体"/>
          <w:kern w:val="0"/>
          <w:sz w:val="22"/>
          <w:szCs w:val="22"/>
        </w:rPr>
        <w:t>中国执行信息公开网（http://zxgk.court.gov.cn/）未被列入失信被执行人</w:t>
      </w:r>
    </w:p>
    <w:p>
      <w:pPr>
        <w:pStyle w:val="60"/>
        <w:spacing w:line="360" w:lineRule="auto"/>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9.3</w:t>
      </w:r>
      <w:r>
        <w:rPr>
          <w:rFonts w:hint="eastAsia" w:ascii="宋体" w:hAnsi="宋体" w:eastAsia="宋体" w:cs="宋体"/>
          <w:kern w:val="0"/>
          <w:sz w:val="22"/>
          <w:szCs w:val="22"/>
        </w:rPr>
        <w:t>中国政府采购网（www.ccgp.gov.cn）网站上未被列入政府采购严重违法失信行为记录名单</w:t>
      </w:r>
    </w:p>
    <w:p>
      <w:pPr>
        <w:pStyle w:val="60"/>
        <w:spacing w:line="360" w:lineRule="auto"/>
        <w:rPr>
          <w:rFonts w:hint="eastAsia" w:ascii="宋体" w:hAnsi="宋体" w:eastAsia="宋体" w:cs="宋体"/>
          <w:bCs/>
          <w:spacing w:val="0"/>
          <w:sz w:val="24"/>
          <w:szCs w:val="24"/>
        </w:rPr>
      </w:pP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10.投标保证金</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8" w:hRule="atLeast"/>
        </w:trPr>
        <w:tc>
          <w:tcPr>
            <w:tcW w:w="9287" w:type="dxa"/>
          </w:tcPr>
          <w:p>
            <w:pPr>
              <w:pStyle w:val="60"/>
              <w:numPr>
                <w:ilvl w:val="0"/>
                <w:numId w:val="0"/>
              </w:numPr>
              <w:spacing w:line="360" w:lineRule="auto"/>
              <w:jc w:val="center"/>
              <w:rPr>
                <w:rFonts w:hint="default" w:ascii="宋体" w:hAnsi="宋体" w:cs="宋体"/>
                <w:bCs/>
                <w:spacing w:val="0"/>
                <w:sz w:val="21"/>
                <w:szCs w:val="21"/>
                <w:vertAlign w:val="baseline"/>
                <w:lang w:val="en-US" w:eastAsia="zh-CN"/>
              </w:rPr>
            </w:pPr>
            <w:r>
              <w:rPr>
                <w:rFonts w:hint="eastAsia" w:ascii="宋体" w:hAnsi="宋体" w:eastAsia="宋体" w:cs="宋体"/>
                <w:kern w:val="0"/>
                <w:sz w:val="22"/>
                <w:szCs w:val="22"/>
                <w:lang w:val="en-US" w:eastAsia="zh-CN"/>
              </w:rPr>
              <w:t>汇款凭证粘贴处</w:t>
            </w:r>
          </w:p>
        </w:tc>
      </w:tr>
    </w:tbl>
    <w:p>
      <w:pPr>
        <w:pStyle w:val="60"/>
        <w:numPr>
          <w:ilvl w:val="0"/>
          <w:numId w:val="0"/>
        </w:numPr>
        <w:spacing w:line="360" w:lineRule="auto"/>
        <w:rPr>
          <w:rFonts w:hint="default" w:ascii="宋体" w:hAnsi="宋体" w:cs="宋体"/>
          <w:bCs/>
          <w:spacing w:val="0"/>
          <w:sz w:val="21"/>
          <w:szCs w:val="21"/>
          <w:lang w:val="en-US" w:eastAsia="zh-CN"/>
        </w:rPr>
      </w:pPr>
    </w:p>
    <w:p>
      <w:pPr>
        <w:pStyle w:val="60"/>
        <w:spacing w:line="360" w:lineRule="auto"/>
        <w:jc w:val="both"/>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11.</w:t>
      </w:r>
      <w:r>
        <w:rPr>
          <w:rFonts w:hint="eastAsia" w:ascii="宋体" w:hAnsi="宋体" w:cs="宋体"/>
          <w:b/>
          <w:bCs/>
          <w:sz w:val="24"/>
          <w:szCs w:val="24"/>
          <w:lang w:val="en-US" w:eastAsia="zh-CN"/>
        </w:rPr>
        <w:t>资质证书</w:t>
      </w:r>
    </w:p>
    <w:p>
      <w:pPr>
        <w:pStyle w:val="60"/>
        <w:spacing w:line="360" w:lineRule="auto"/>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生产企业具备《药品生产许可证》，经营企业具备《药品经营许可证》（含中药饮片）；</w:t>
      </w:r>
    </w:p>
    <w:p>
      <w:pPr>
        <w:pStyle w:val="60"/>
        <w:spacing w:line="360" w:lineRule="auto"/>
        <w:jc w:val="both"/>
        <w:rPr>
          <w:rFonts w:hint="eastAsia" w:ascii="宋体" w:hAnsi="宋体" w:cs="宋体"/>
          <w:b/>
          <w:bCs/>
          <w:sz w:val="24"/>
          <w:szCs w:val="24"/>
          <w:lang w:val="en-US" w:eastAsia="zh-CN"/>
        </w:rPr>
      </w:pPr>
    </w:p>
    <w:p>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其它供应商认为需要说明的情况。</w:t>
      </w:r>
    </w:p>
    <w:p>
      <w:pPr>
        <w:pStyle w:val="60"/>
        <w:widowControl w:val="0"/>
        <w:numPr>
          <w:ilvl w:val="0"/>
          <w:numId w:val="0"/>
        </w:numPr>
        <w:spacing w:line="360" w:lineRule="auto"/>
        <w:jc w:val="both"/>
        <w:rPr>
          <w:rFonts w:hint="eastAsia" w:ascii="宋体" w:hAnsi="宋体" w:eastAsia="宋体" w:cs="宋体"/>
          <w:lang w:val="en-US" w:eastAsia="zh-CN"/>
        </w:rPr>
      </w:pPr>
    </w:p>
    <w:p>
      <w:pPr>
        <w:pStyle w:val="60"/>
        <w:widowControl w:val="0"/>
        <w:numPr>
          <w:ilvl w:val="0"/>
          <w:numId w:val="0"/>
        </w:numPr>
        <w:spacing w:line="360" w:lineRule="auto"/>
        <w:jc w:val="both"/>
        <w:rPr>
          <w:rFonts w:hint="eastAsia" w:ascii="宋体" w:hAnsi="宋体" w:eastAsia="宋体" w:cs="宋体"/>
          <w:lang w:val="en-US" w:eastAsia="zh-CN"/>
        </w:rPr>
      </w:pPr>
    </w:p>
    <w:p>
      <w:pPr>
        <w:rPr>
          <w:rFonts w:hint="eastAsia" w:ascii="Times New Roman" w:hAnsi="Times New Roman" w:eastAsia="宋体" w:cs="仿宋_GB2312"/>
          <w:b/>
          <w:bCs/>
          <w:sz w:val="24"/>
          <w:szCs w:val="24"/>
        </w:rPr>
      </w:pPr>
      <w:bookmarkStart w:id="149" w:name="_Toc406671154"/>
      <w:bookmarkStart w:id="150" w:name="_Toc406670783"/>
      <w:r>
        <w:rPr>
          <w:rFonts w:hint="eastAsia" w:ascii="Times New Roman" w:hAnsi="Times New Roman" w:eastAsia="宋体" w:cs="仿宋_GB2312"/>
          <w:b/>
          <w:bCs/>
          <w:sz w:val="24"/>
          <w:szCs w:val="24"/>
        </w:rPr>
        <w:br w:type="page"/>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仿宋_GB2312"/>
          <w:b/>
          <w:bCs/>
          <w:sz w:val="24"/>
          <w:szCs w:val="24"/>
          <w:lang w:eastAsia="zh-CN"/>
        </w:rPr>
      </w:pPr>
      <w:r>
        <w:rPr>
          <w:rFonts w:hint="eastAsia" w:ascii="Times New Roman" w:hAnsi="Times New Roman" w:eastAsia="宋体" w:cs="仿宋_GB2312"/>
          <w:b/>
          <w:bCs/>
          <w:sz w:val="24"/>
          <w:szCs w:val="24"/>
        </w:rPr>
        <w:t>三、</w:t>
      </w:r>
      <w:bookmarkEnd w:id="149"/>
      <w:bookmarkEnd w:id="150"/>
      <w:r>
        <w:rPr>
          <w:rFonts w:hint="eastAsia" w:ascii="Times New Roman" w:hAnsi="Times New Roman" w:eastAsia="宋体" w:cs="仿宋_GB2312"/>
          <w:b/>
          <w:bCs/>
          <w:sz w:val="24"/>
          <w:szCs w:val="24"/>
          <w:lang w:eastAsia="zh-CN"/>
        </w:rPr>
        <w:t>商务技术文件</w:t>
      </w:r>
    </w:p>
    <w:p>
      <w:pPr>
        <w:pStyle w:val="60"/>
        <w:spacing w:line="360" w:lineRule="auto"/>
        <w:jc w:val="both"/>
        <w:rPr>
          <w:rFonts w:hint="eastAsia" w:ascii="宋体" w:hAnsi="宋体" w:eastAsia="宋体" w:cs="宋体"/>
          <w:b/>
          <w:bCs/>
          <w:sz w:val="24"/>
          <w:szCs w:val="24"/>
          <w:lang w:val="en-US" w:eastAsia="zh-CN"/>
        </w:rPr>
      </w:pPr>
      <w:bookmarkStart w:id="151" w:name="_Toc406671166"/>
      <w:bookmarkStart w:id="152" w:name="_Toc406671730"/>
      <w:bookmarkStart w:id="153" w:name="_Toc406670795"/>
      <w:bookmarkStart w:id="154" w:name="_Toc406672428"/>
      <w:r>
        <w:rPr>
          <w:rFonts w:hint="eastAsia" w:ascii="宋体" w:hAnsi="宋体" w:eastAsia="宋体" w:cs="宋体"/>
          <w:b/>
          <w:bCs/>
          <w:sz w:val="24"/>
          <w:szCs w:val="24"/>
          <w:lang w:val="en-US" w:eastAsia="zh-CN"/>
        </w:rPr>
        <w:t>1.商务偏离表</w:t>
      </w:r>
      <w:bookmarkEnd w:id="151"/>
      <w:bookmarkEnd w:id="152"/>
      <w:bookmarkEnd w:id="153"/>
      <w:bookmarkEnd w:id="154"/>
    </w:p>
    <w:p>
      <w:pPr>
        <w:pStyle w:val="60"/>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rPr>
      </w:pPr>
      <w:r>
        <w:rPr>
          <w:rFonts w:hint="eastAsia"/>
          <w:b/>
          <w:bCs/>
        </w:rPr>
        <w:t>商务偏离表</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商务条款</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招标文件要求</w:t>
            </w: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投标文件响应情况</w:t>
            </w: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交货期</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验收标准、规范</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售后服务</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质保期</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付款条件</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其他要求</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注：无论供应商递交的投标文件与招标文件商务条款的要求是否有偏离，均应逐条列在商务偏离表中。</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2.技术参数偏离表</w:t>
      </w:r>
    </w:p>
    <w:p>
      <w:pPr>
        <w:pStyle w:val="60"/>
        <w:spacing w:line="360" w:lineRule="auto"/>
        <w:jc w:val="center"/>
        <w:rPr>
          <w:rFonts w:hint="eastAsia" w:ascii="Times New Roman" w:hAnsi="Times New Roman" w:eastAsia="宋体" w:cs="Times New Roman"/>
          <w:b/>
          <w:bCs/>
        </w:rPr>
      </w:pPr>
      <w:r>
        <w:rPr>
          <w:rFonts w:hint="eastAsia" w:ascii="Times New Roman" w:hAnsi="Times New Roman" w:eastAsia="宋体" w:cs="Times New Roman"/>
          <w:b/>
          <w:bCs/>
          <w:lang w:val="en-US" w:eastAsia="zh-CN"/>
        </w:rPr>
        <w:t>技术参数</w:t>
      </w:r>
      <w:r>
        <w:rPr>
          <w:rFonts w:hint="eastAsia" w:ascii="Times New Roman" w:hAnsi="Times New Roman" w:eastAsia="宋体" w:cs="Times New Roman"/>
          <w:b/>
          <w:bCs/>
        </w:rPr>
        <w:t>偏离表</w:t>
      </w:r>
    </w:p>
    <w:tbl>
      <w:tblPr>
        <w:tblStyle w:val="26"/>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652"/>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技术参数</w:t>
            </w:r>
            <w:r>
              <w:rPr>
                <w:rFonts w:hint="eastAsia" w:ascii="宋体" w:hAnsi="宋体" w:eastAsia="宋体" w:cs="宋体"/>
                <w:sz w:val="21"/>
                <w:szCs w:val="21"/>
              </w:rPr>
              <w:t>条款</w:t>
            </w: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招标文件要求</w:t>
            </w: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投标文件响应情况</w:t>
            </w: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p>
        </w:tc>
        <w:tc>
          <w:tcPr>
            <w:tcW w:w="2263"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001"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2652"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c>
          <w:tcPr>
            <w:tcW w:w="1399" w:type="dxa"/>
            <w:vAlign w:val="center"/>
          </w:tcPr>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tc>
      </w:tr>
    </w:tbl>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注：无论供应商递交的投标文件与招标文件</w:t>
      </w:r>
      <w:r>
        <w:rPr>
          <w:rFonts w:hint="eastAsia" w:ascii="宋体" w:hAnsi="宋体" w:eastAsia="宋体" w:cs="宋体"/>
          <w:sz w:val="21"/>
          <w:szCs w:val="21"/>
          <w:lang w:eastAsia="zh-CN"/>
        </w:rPr>
        <w:t>技术参数</w:t>
      </w:r>
      <w:r>
        <w:rPr>
          <w:rFonts w:hint="eastAsia" w:ascii="宋体" w:hAnsi="宋体" w:eastAsia="宋体" w:cs="宋体"/>
          <w:sz w:val="21"/>
          <w:szCs w:val="21"/>
        </w:rPr>
        <w:t>条款的要求是否有偏离，均应逐条列在</w:t>
      </w:r>
      <w:r>
        <w:rPr>
          <w:rFonts w:hint="eastAsia" w:ascii="宋体" w:hAnsi="宋体" w:eastAsia="宋体" w:cs="宋体"/>
          <w:sz w:val="21"/>
          <w:szCs w:val="21"/>
          <w:lang w:eastAsia="zh-CN"/>
        </w:rPr>
        <w:t>技术参数</w:t>
      </w:r>
      <w:r>
        <w:rPr>
          <w:rFonts w:hint="eastAsia" w:ascii="宋体" w:hAnsi="宋体" w:eastAsia="宋体" w:cs="宋体"/>
          <w:sz w:val="21"/>
          <w:szCs w:val="21"/>
        </w:rPr>
        <w:t>偏离表中。</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br w:type="page"/>
      </w:r>
    </w:p>
    <w:p>
      <w:pPr>
        <w:pStyle w:val="60"/>
        <w:spacing w:line="360" w:lineRule="auto"/>
        <w:jc w:val="both"/>
        <w:rPr>
          <w:rFonts w:hint="eastAsia" w:ascii="宋体" w:hAnsi="宋体" w:eastAsia="宋体" w:cs="宋体"/>
          <w:b/>
          <w:bCs/>
          <w:sz w:val="24"/>
          <w:szCs w:val="24"/>
          <w:lang w:val="en-US" w:eastAsia="zh-CN"/>
        </w:rPr>
      </w:pPr>
      <w:bookmarkStart w:id="155" w:name="_Toc406672429"/>
      <w:bookmarkStart w:id="156" w:name="_Toc406670796"/>
      <w:bookmarkStart w:id="157" w:name="_Toc406671167"/>
      <w:bookmarkStart w:id="158" w:name="_Toc406671731"/>
      <w:r>
        <w:rPr>
          <w:rFonts w:hint="eastAsia" w:ascii="宋体" w:hAnsi="宋体" w:eastAsia="宋体" w:cs="宋体"/>
          <w:b/>
          <w:bCs/>
          <w:sz w:val="24"/>
          <w:szCs w:val="24"/>
          <w:lang w:val="en-US" w:eastAsia="zh-CN"/>
        </w:rPr>
        <w:t>3.</w:t>
      </w:r>
      <w:bookmarkEnd w:id="155"/>
      <w:bookmarkEnd w:id="156"/>
      <w:bookmarkEnd w:id="157"/>
      <w:bookmarkEnd w:id="158"/>
      <w:r>
        <w:rPr>
          <w:rFonts w:hint="eastAsia" w:ascii="宋体" w:hAnsi="宋体" w:eastAsia="宋体" w:cs="宋体"/>
          <w:b/>
          <w:bCs/>
          <w:sz w:val="24"/>
          <w:szCs w:val="24"/>
          <w:lang w:val="en-US" w:eastAsia="zh-CN"/>
        </w:rPr>
        <w:t>业绩</w:t>
      </w:r>
    </w:p>
    <w:p>
      <w:pPr>
        <w:pStyle w:val="60"/>
        <w:spacing w:line="360" w:lineRule="auto"/>
        <w:jc w:val="center"/>
        <w:rPr>
          <w:b/>
          <w:bCs/>
        </w:rPr>
      </w:pPr>
      <w:r>
        <w:rPr>
          <w:rFonts w:hint="eastAsia"/>
          <w:b/>
          <w:bCs/>
        </w:rPr>
        <w:t>业绩一览表</w:t>
      </w:r>
    </w:p>
    <w:tbl>
      <w:tblPr>
        <w:tblStyle w:val="26"/>
        <w:tblW w:w="91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2928"/>
        <w:gridCol w:w="1161"/>
        <w:gridCol w:w="1260"/>
        <w:gridCol w:w="160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pStyle w:val="60"/>
              <w:spacing w:line="360" w:lineRule="auto"/>
              <w:jc w:val="center"/>
              <w:rPr>
                <w:rFonts w:cs="Arial"/>
              </w:rPr>
            </w:pPr>
            <w:r>
              <w:rPr>
                <w:rFonts w:hint="eastAsia" w:cs="Arial"/>
              </w:rPr>
              <w:t>序号</w:t>
            </w:r>
          </w:p>
        </w:tc>
        <w:tc>
          <w:tcPr>
            <w:tcW w:w="1440" w:type="dxa"/>
            <w:vAlign w:val="center"/>
          </w:tcPr>
          <w:p>
            <w:pPr>
              <w:pStyle w:val="60"/>
              <w:spacing w:line="360" w:lineRule="auto"/>
              <w:jc w:val="center"/>
              <w:rPr>
                <w:rFonts w:hint="eastAsia" w:eastAsia="宋体" w:cs="Arial"/>
                <w:lang w:eastAsia="zh-CN"/>
              </w:rPr>
            </w:pPr>
            <w:r>
              <w:rPr>
                <w:rFonts w:hint="eastAsia" w:cs="Arial"/>
                <w:lang w:eastAsia="zh-CN"/>
              </w:rPr>
              <w:t>甲方名称</w:t>
            </w:r>
          </w:p>
        </w:tc>
        <w:tc>
          <w:tcPr>
            <w:tcW w:w="2928" w:type="dxa"/>
            <w:vAlign w:val="center"/>
          </w:tcPr>
          <w:p>
            <w:pPr>
              <w:pStyle w:val="60"/>
              <w:spacing w:line="360" w:lineRule="auto"/>
              <w:jc w:val="center"/>
              <w:rPr>
                <w:rFonts w:cs="Arial"/>
              </w:rPr>
            </w:pPr>
            <w:r>
              <w:rPr>
                <w:rFonts w:hint="eastAsia" w:cs="Arial"/>
              </w:rPr>
              <w:t>项目名称</w:t>
            </w:r>
          </w:p>
        </w:tc>
        <w:tc>
          <w:tcPr>
            <w:tcW w:w="1161" w:type="dxa"/>
            <w:vAlign w:val="center"/>
          </w:tcPr>
          <w:p>
            <w:pPr>
              <w:pStyle w:val="60"/>
              <w:spacing w:line="360" w:lineRule="auto"/>
              <w:jc w:val="center"/>
              <w:rPr>
                <w:rFonts w:cs="Arial"/>
              </w:rPr>
            </w:pPr>
            <w:r>
              <w:rPr>
                <w:rFonts w:hint="eastAsia" w:cs="Arial"/>
                <w:lang w:eastAsia="zh-CN"/>
              </w:rPr>
              <w:t>合同</w:t>
            </w:r>
            <w:r>
              <w:rPr>
                <w:rFonts w:hint="eastAsia" w:cs="Arial"/>
              </w:rPr>
              <w:t>时间</w:t>
            </w:r>
          </w:p>
        </w:tc>
        <w:tc>
          <w:tcPr>
            <w:tcW w:w="1260" w:type="dxa"/>
            <w:vAlign w:val="center"/>
          </w:tcPr>
          <w:p>
            <w:pPr>
              <w:pStyle w:val="60"/>
              <w:spacing w:line="360" w:lineRule="auto"/>
              <w:jc w:val="center"/>
              <w:rPr>
                <w:rFonts w:cs="Arial"/>
              </w:rPr>
            </w:pPr>
            <w:r>
              <w:rPr>
                <w:rFonts w:hint="eastAsia" w:cs="Arial"/>
              </w:rPr>
              <w:t>合同金额</w:t>
            </w:r>
          </w:p>
        </w:tc>
        <w:tc>
          <w:tcPr>
            <w:tcW w:w="1606" w:type="dxa"/>
            <w:tcBorders>
              <w:left w:val="single" w:color="auto" w:sz="4" w:space="0"/>
            </w:tcBorders>
            <w:vAlign w:val="center"/>
          </w:tcPr>
          <w:p>
            <w:pPr>
              <w:pStyle w:val="60"/>
              <w:spacing w:line="360" w:lineRule="auto"/>
              <w:jc w:val="center"/>
              <w:rPr>
                <w:rFonts w:cs="Arial"/>
              </w:rPr>
            </w:pPr>
            <w:r>
              <w:rPr>
                <w:rFonts w:hint="eastAsia" w:cs="Arial"/>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rPr>
                <w:rFonts w:cs="Arial"/>
              </w:rPr>
            </w:pPr>
          </w:p>
        </w:tc>
        <w:tc>
          <w:tcPr>
            <w:tcW w:w="1440" w:type="dxa"/>
            <w:vAlign w:val="center"/>
          </w:tcPr>
          <w:p>
            <w:pPr>
              <w:pStyle w:val="60"/>
              <w:spacing w:line="360" w:lineRule="auto"/>
              <w:rPr>
                <w:rFonts w:cs="Arial"/>
              </w:rPr>
            </w:pPr>
          </w:p>
        </w:tc>
        <w:tc>
          <w:tcPr>
            <w:tcW w:w="2928" w:type="dxa"/>
            <w:vAlign w:val="center"/>
          </w:tcPr>
          <w:p>
            <w:pPr>
              <w:pStyle w:val="60"/>
              <w:spacing w:line="360" w:lineRule="auto"/>
              <w:rPr>
                <w:rFonts w:cs="Arial"/>
              </w:rPr>
            </w:pPr>
          </w:p>
        </w:tc>
        <w:tc>
          <w:tcPr>
            <w:tcW w:w="1161" w:type="dxa"/>
            <w:vAlign w:val="center"/>
          </w:tcPr>
          <w:p>
            <w:pPr>
              <w:pStyle w:val="60"/>
              <w:spacing w:line="360" w:lineRule="auto"/>
              <w:rPr>
                <w:rFonts w:cs="Arial"/>
              </w:rPr>
            </w:pPr>
          </w:p>
        </w:tc>
        <w:tc>
          <w:tcPr>
            <w:tcW w:w="1260" w:type="dxa"/>
            <w:vAlign w:val="center"/>
          </w:tcPr>
          <w:p>
            <w:pPr>
              <w:pStyle w:val="60"/>
              <w:spacing w:line="360" w:lineRule="auto"/>
              <w:rPr>
                <w:rFonts w:cs="Arial"/>
              </w:rPr>
            </w:pPr>
          </w:p>
        </w:tc>
        <w:tc>
          <w:tcPr>
            <w:tcW w:w="1606" w:type="dxa"/>
            <w:tcBorders>
              <w:left w:val="single" w:color="auto" w:sz="4" w:space="0"/>
            </w:tcBorders>
            <w:vAlign w:val="center"/>
          </w:tcPr>
          <w:p>
            <w:pPr>
              <w:pStyle w:val="60"/>
              <w:spacing w:line="360" w:lineRule="auto"/>
              <w:rPr>
                <w:rFonts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pStyle w:val="60"/>
              <w:spacing w:line="360" w:lineRule="auto"/>
              <w:jc w:val="center"/>
              <w:rPr>
                <w:rFonts w:hint="default" w:eastAsia="宋体" w:cs="Arial"/>
                <w:lang w:val="en-US" w:eastAsia="zh-CN"/>
              </w:rPr>
            </w:pPr>
            <w:r>
              <w:rPr>
                <w:rFonts w:hint="eastAsia" w:cs="Arial"/>
                <w:lang w:val="en-US" w:eastAsia="zh-CN"/>
              </w:rPr>
              <w:t>...</w:t>
            </w:r>
          </w:p>
        </w:tc>
        <w:tc>
          <w:tcPr>
            <w:tcW w:w="1440" w:type="dxa"/>
            <w:vAlign w:val="center"/>
          </w:tcPr>
          <w:p>
            <w:pPr>
              <w:pStyle w:val="60"/>
              <w:spacing w:line="360" w:lineRule="auto"/>
              <w:jc w:val="center"/>
              <w:rPr>
                <w:rFonts w:cs="Arial"/>
              </w:rPr>
            </w:pPr>
          </w:p>
        </w:tc>
        <w:tc>
          <w:tcPr>
            <w:tcW w:w="2928" w:type="dxa"/>
            <w:vAlign w:val="center"/>
          </w:tcPr>
          <w:p>
            <w:pPr>
              <w:pStyle w:val="60"/>
              <w:spacing w:line="360" w:lineRule="auto"/>
              <w:jc w:val="center"/>
              <w:rPr>
                <w:rFonts w:cs="Arial"/>
              </w:rPr>
            </w:pPr>
          </w:p>
        </w:tc>
        <w:tc>
          <w:tcPr>
            <w:tcW w:w="1161" w:type="dxa"/>
            <w:vAlign w:val="center"/>
          </w:tcPr>
          <w:p>
            <w:pPr>
              <w:pStyle w:val="60"/>
              <w:spacing w:line="360" w:lineRule="auto"/>
              <w:jc w:val="center"/>
              <w:rPr>
                <w:rFonts w:cs="Arial"/>
              </w:rPr>
            </w:pPr>
          </w:p>
        </w:tc>
        <w:tc>
          <w:tcPr>
            <w:tcW w:w="1260" w:type="dxa"/>
            <w:vAlign w:val="center"/>
          </w:tcPr>
          <w:p>
            <w:pPr>
              <w:pStyle w:val="60"/>
              <w:spacing w:line="360" w:lineRule="auto"/>
              <w:jc w:val="center"/>
              <w:rPr>
                <w:rFonts w:cs="Arial"/>
              </w:rPr>
            </w:pPr>
          </w:p>
        </w:tc>
        <w:tc>
          <w:tcPr>
            <w:tcW w:w="1606" w:type="dxa"/>
            <w:tcBorders>
              <w:left w:val="single" w:color="auto" w:sz="4" w:space="0"/>
            </w:tcBorders>
            <w:vAlign w:val="center"/>
          </w:tcPr>
          <w:p>
            <w:pPr>
              <w:pStyle w:val="60"/>
              <w:spacing w:line="360" w:lineRule="auto"/>
              <w:jc w:val="center"/>
              <w:rPr>
                <w:rFonts w:cs="Arial"/>
              </w:rPr>
            </w:pPr>
          </w:p>
        </w:tc>
      </w:tr>
    </w:tbl>
    <w:p>
      <w:pPr>
        <w:pStyle w:val="60"/>
        <w:spacing w:line="360" w:lineRule="auto"/>
      </w:pPr>
      <w:r>
        <w:rPr>
          <w:rFonts w:hint="eastAsia"/>
          <w:lang w:eastAsia="zh-CN"/>
        </w:rPr>
        <w:t>注：需提供中标（成交）通知书及项目合同等证明材料；</w:t>
      </w:r>
    </w:p>
    <w:p>
      <w:pPr>
        <w:pStyle w:val="60"/>
        <w:spacing w:line="360" w:lineRule="auto"/>
      </w:pPr>
      <w:r>
        <w:br w:type="page"/>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4.产品符合性</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供货方案</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6.</w:t>
      </w:r>
      <w:r>
        <w:rPr>
          <w:rFonts w:hint="eastAsia" w:ascii="宋体" w:hAnsi="宋体" w:eastAsia="宋体" w:cs="宋体"/>
          <w:b/>
          <w:bCs/>
          <w:sz w:val="24"/>
          <w:szCs w:val="24"/>
          <w:lang w:val="en-US" w:eastAsia="zh-CN"/>
        </w:rPr>
        <w:t>产品溯源</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7.</w:t>
      </w:r>
      <w:r>
        <w:rPr>
          <w:rFonts w:hint="eastAsia" w:ascii="宋体" w:hAnsi="宋体" w:eastAsia="宋体" w:cs="宋体"/>
          <w:b/>
          <w:bCs/>
          <w:sz w:val="24"/>
          <w:szCs w:val="24"/>
          <w:lang w:val="en-US" w:eastAsia="zh-CN"/>
        </w:rPr>
        <w:t>专业人员资质</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8.</w:t>
      </w:r>
      <w:r>
        <w:rPr>
          <w:rFonts w:hint="eastAsia" w:ascii="宋体" w:hAnsi="宋体" w:eastAsia="宋体" w:cs="宋体"/>
          <w:b/>
          <w:bCs/>
          <w:sz w:val="24"/>
          <w:szCs w:val="24"/>
          <w:lang w:val="en-US" w:eastAsia="zh-CN"/>
        </w:rPr>
        <w:t>售后及应急服务方案</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9.</w:t>
      </w:r>
      <w:r>
        <w:rPr>
          <w:rFonts w:hint="eastAsia" w:ascii="宋体" w:hAnsi="宋体" w:eastAsia="宋体" w:cs="宋体"/>
          <w:b/>
          <w:bCs/>
          <w:sz w:val="24"/>
          <w:szCs w:val="24"/>
          <w:lang w:val="en-US" w:eastAsia="zh-CN"/>
        </w:rPr>
        <w:t>企业经营管理能力及资质情况</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10.</w:t>
      </w:r>
      <w:r>
        <w:rPr>
          <w:rFonts w:hint="eastAsia" w:ascii="宋体" w:hAnsi="宋体" w:eastAsia="宋体" w:cs="宋体"/>
          <w:b/>
          <w:bCs/>
          <w:sz w:val="24"/>
          <w:szCs w:val="24"/>
          <w:lang w:val="en-US" w:eastAsia="zh-CN"/>
        </w:rPr>
        <w:t>其他服务方案</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11.</w:t>
      </w:r>
      <w:r>
        <w:rPr>
          <w:rFonts w:hint="eastAsia" w:ascii="宋体" w:hAnsi="宋体" w:eastAsia="宋体" w:cs="宋体"/>
          <w:b/>
          <w:bCs/>
          <w:sz w:val="24"/>
          <w:szCs w:val="24"/>
          <w:lang w:val="en-US" w:eastAsia="zh-CN"/>
        </w:rPr>
        <w:t>实验室及检测设备</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12.</w:t>
      </w:r>
      <w:r>
        <w:rPr>
          <w:rFonts w:hint="eastAsia" w:ascii="宋体" w:hAnsi="宋体" w:eastAsia="宋体" w:cs="宋体"/>
          <w:b/>
          <w:bCs/>
          <w:sz w:val="24"/>
          <w:szCs w:val="24"/>
          <w:lang w:val="en-US" w:eastAsia="zh-CN"/>
        </w:rPr>
        <w:t>仓储情况和现代化物流</w:t>
      </w:r>
    </w:p>
    <w:p>
      <w:r>
        <w:br w:type="page"/>
      </w:r>
    </w:p>
    <w:p>
      <w:pPr>
        <w:pStyle w:val="60"/>
        <w:spacing w:line="360" w:lineRule="auto"/>
        <w:jc w:val="both"/>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13</w:t>
      </w:r>
      <w:r>
        <w:rPr>
          <w:rFonts w:hint="eastAsia" w:ascii="宋体" w:hAnsi="宋体" w:eastAsia="宋体" w:cs="宋体"/>
          <w:b/>
          <w:bCs/>
          <w:sz w:val="24"/>
          <w:szCs w:val="24"/>
          <w:lang w:val="en-US" w:eastAsia="zh-CN"/>
        </w:rPr>
        <w:t>.企业类型声明及证明材料</w:t>
      </w:r>
    </w:p>
    <w:p>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b/>
          <w:bCs/>
          <w:sz w:val="24"/>
          <w:szCs w:val="24"/>
          <w:lang w:val="en-US" w:eastAsia="zh-CN"/>
        </w:rPr>
        <w:t>13.1</w:t>
      </w:r>
      <w:r>
        <w:rPr>
          <w:rFonts w:hint="eastAsia" w:ascii="宋体" w:hAnsi="宋体" w:eastAsia="宋体" w:cs="宋体"/>
          <w:b/>
          <w:bCs/>
          <w:color w:val="000000"/>
          <w:kern w:val="0"/>
          <w:sz w:val="24"/>
          <w:szCs w:val="24"/>
          <w:lang w:val="en-US" w:eastAsia="zh-CN" w:bidi="ar"/>
        </w:rPr>
        <w:t>中小企业声明函（货物）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本公司（联合体）郑重声明，根据《政府采购促进中小企业发展管理办法》（财库﹝2020﹞46 号）的规定，本公司 （联合体）参加</w:t>
      </w:r>
      <w:r>
        <w:rPr>
          <w:rFonts w:hint="eastAsia" w:ascii="宋体" w:hAnsi="宋体" w:eastAsia="宋体" w:cs="宋体"/>
          <w:i/>
          <w:iCs/>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i/>
          <w:iCs/>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 xml:space="preserve">采购活动，提供的货物全部由符合政策要求的中小企业制造。相关企业 （含联合体中的中小企业、签订分包意向协议的中小企业）的具体情况如下：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 </w:t>
      </w:r>
      <w:r>
        <w:rPr>
          <w:rFonts w:hint="eastAsia" w:ascii="宋体" w:hAnsi="宋体" w:eastAsia="宋体" w:cs="宋体"/>
          <w:i/>
          <w:iCs/>
          <w:color w:val="000000"/>
          <w:kern w:val="0"/>
          <w:sz w:val="24"/>
          <w:szCs w:val="24"/>
          <w:u w:val="single"/>
          <w:lang w:val="en-US" w:eastAsia="zh-CN" w:bidi="ar"/>
        </w:rPr>
        <w:t>（标的名称）</w:t>
      </w:r>
      <w:r>
        <w:rPr>
          <w:rFonts w:hint="eastAsia" w:ascii="宋体" w:hAnsi="宋体" w:eastAsia="宋体" w:cs="宋体"/>
          <w:i/>
          <w:iC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i/>
          <w:iCs/>
          <w:color w:val="000000"/>
          <w:kern w:val="0"/>
          <w:sz w:val="24"/>
          <w:szCs w:val="24"/>
          <w:u w:val="single"/>
          <w:lang w:val="en-US" w:eastAsia="zh-CN" w:bidi="ar"/>
        </w:rPr>
        <w:t>（采购文件中明确的所属行业） 行业</w:t>
      </w:r>
      <w:r>
        <w:rPr>
          <w:rFonts w:hint="eastAsia" w:ascii="宋体" w:hAnsi="宋体" w:eastAsia="宋体" w:cs="宋体"/>
          <w:color w:val="000000"/>
          <w:kern w:val="0"/>
          <w:sz w:val="24"/>
          <w:szCs w:val="24"/>
          <w:lang w:val="en-US" w:eastAsia="zh-CN" w:bidi="ar"/>
        </w:rPr>
        <w:t>；制造商为</w:t>
      </w:r>
      <w:r>
        <w:rPr>
          <w:rFonts w:hint="eastAsia" w:ascii="宋体" w:hAnsi="宋体" w:eastAsia="宋体" w:cs="宋体"/>
          <w:i/>
          <w:iCs/>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i/>
          <w:iCs/>
          <w:color w:val="000000"/>
          <w:kern w:val="0"/>
          <w:sz w:val="24"/>
          <w:szCs w:val="24"/>
          <w:u w:val="single"/>
          <w:lang w:val="en-US" w:eastAsia="zh-CN" w:bidi="ar"/>
        </w:rPr>
        <w:t>（中型企业、小 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i/>
          <w:iCs/>
          <w:color w:val="000000"/>
          <w:kern w:val="0"/>
          <w:sz w:val="24"/>
          <w:szCs w:val="24"/>
          <w:u w:val="single"/>
          <w:lang w:val="en-US" w:eastAsia="zh-CN" w:bidi="ar"/>
        </w:rPr>
        <w:t>（标的名称）</w:t>
      </w:r>
      <w:r>
        <w:rPr>
          <w:rFonts w:hint="eastAsia" w:ascii="宋体" w:hAnsi="宋体" w:eastAsia="宋体" w:cs="宋体"/>
          <w:i/>
          <w:iCs/>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i/>
          <w:iCs/>
          <w:color w:val="000000"/>
          <w:kern w:val="0"/>
          <w:sz w:val="24"/>
          <w:szCs w:val="24"/>
          <w:u w:val="single"/>
          <w:lang w:val="en-US" w:eastAsia="zh-CN" w:bidi="ar"/>
        </w:rPr>
        <w:t>（采购文件中明确的所属行业） 行业</w:t>
      </w:r>
      <w:r>
        <w:rPr>
          <w:rFonts w:hint="eastAsia" w:ascii="宋体" w:hAnsi="宋体" w:eastAsia="宋体" w:cs="宋体"/>
          <w:color w:val="000000"/>
          <w:kern w:val="0"/>
          <w:sz w:val="24"/>
          <w:szCs w:val="24"/>
          <w:lang w:val="en-US" w:eastAsia="zh-CN" w:bidi="ar"/>
        </w:rPr>
        <w:t>；制造商为</w:t>
      </w:r>
      <w:r>
        <w:rPr>
          <w:rFonts w:hint="eastAsia" w:ascii="宋体" w:hAnsi="宋体" w:eastAsia="宋体" w:cs="宋体"/>
          <w:i/>
          <w:iCs/>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i/>
          <w:iCs/>
          <w:color w:val="000000"/>
          <w:kern w:val="0"/>
          <w:sz w:val="24"/>
          <w:szCs w:val="24"/>
          <w:u w:val="single"/>
          <w:lang w:val="en-US" w:eastAsia="zh-CN" w:bidi="ar"/>
        </w:rPr>
        <w:t>（中型企业、小 型企业、微型企业）</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 期： </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从业人员、 营业收入、 资产总额填报上一年度数据， 无上一年度数据的新成立企业可不填报。</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2）中小企业划型标准按</w:t>
      </w:r>
      <w:bookmarkStart w:id="159" w:name="OLE_LINK11"/>
      <w:bookmarkStart w:id="160" w:name="OLE_LINK12"/>
      <w:r>
        <w:rPr>
          <w:rFonts w:hint="eastAsia" w:ascii="宋体" w:hAnsi="宋体" w:eastAsia="宋体" w:cs="宋体"/>
          <w:sz w:val="24"/>
          <w:szCs w:val="24"/>
        </w:rPr>
        <w:t>工信部联企业〔2011〕300号</w:t>
      </w:r>
      <w:bookmarkEnd w:id="159"/>
      <w:bookmarkEnd w:id="160"/>
      <w:r>
        <w:rPr>
          <w:rFonts w:hint="eastAsia" w:ascii="宋体" w:hAnsi="宋体" w:eastAsia="宋体" w:cs="宋体"/>
          <w:sz w:val="24"/>
          <w:szCs w:val="24"/>
        </w:rPr>
        <w:t>文件。本项目所有产品均为小微企业制造的依法享受政府采购政策优惠。中标单位的《中小企业声明函》将依法公示，提供虚假资料者取消中标资格，并承担一切责任。</w:t>
      </w: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13.2</w:t>
      </w:r>
      <w:r>
        <w:rPr>
          <w:rFonts w:hint="eastAsia" w:ascii="宋体" w:hAnsi="宋体" w:eastAsia="宋体" w:cs="宋体"/>
          <w:b/>
          <w:bCs/>
          <w:sz w:val="24"/>
          <w:szCs w:val="24"/>
        </w:rPr>
        <w:t>残疾人福利性单位声明函（如适用）</w:t>
      </w:r>
    </w:p>
    <w:p>
      <w:pPr>
        <w:pStyle w:val="6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60"/>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企业名称（盖章）：</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日  期：</w:t>
      </w:r>
    </w:p>
    <w:p>
      <w:pPr>
        <w:pStyle w:val="6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0"/>
          <w:sz w:val="24"/>
          <w:szCs w:val="24"/>
          <w:lang w:val="en-US" w:eastAsia="zh-CN"/>
        </w:rPr>
      </w:pPr>
    </w:p>
    <w:p>
      <w:pPr>
        <w:pStyle w:val="6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13.3.监狱企业声明函</w:t>
      </w:r>
    </w:p>
    <w:p>
      <w:pPr>
        <w:spacing w:line="588" w:lineRule="exact"/>
        <w:ind w:firstLine="480"/>
        <w:rPr>
          <w:rFonts w:hint="eastAsia" w:ascii="宋体" w:hAnsi="宋体" w:eastAsia="宋体" w:cs="宋体"/>
          <w:kern w:val="0"/>
        </w:rPr>
      </w:pPr>
      <w:r>
        <w:rPr>
          <w:rFonts w:hint="eastAsia" w:ascii="宋体" w:hAnsi="宋体" w:eastAsia="宋体" w:cs="宋体"/>
          <w:kern w:val="0"/>
        </w:rPr>
        <w:t>本单位郑重声明，根据《财政部 司法部关于政府采购支持监狱企业发展有关问题的通知》(财库〔2014〕68号)的规定，本单位为符合条件的监狱性单位，且本单位参加______单位的______项目采购活动提供本单位制造的货物（由本单位承担工程/提供服务），享受预留份额、评审中价格扣除等政府采购促进中小企业发展的政府采购政策。</w:t>
      </w:r>
    </w:p>
    <w:p>
      <w:pPr>
        <w:spacing w:line="588" w:lineRule="exact"/>
        <w:ind w:firstLine="480"/>
        <w:rPr>
          <w:rFonts w:hint="eastAsia" w:ascii="宋体" w:hAnsi="宋体" w:eastAsia="宋体" w:cs="宋体"/>
          <w:kern w:val="0"/>
        </w:rPr>
      </w:pPr>
      <w:r>
        <w:rPr>
          <w:rFonts w:hint="eastAsia" w:ascii="宋体" w:hAnsi="宋体" w:eastAsia="宋体" w:cs="宋体"/>
          <w:kern w:val="0"/>
        </w:rPr>
        <w:t>本单位对上述声明的真实性负责。如有虚假，将依法承担相应责任。</w:t>
      </w:r>
    </w:p>
    <w:p>
      <w:pPr>
        <w:tabs>
          <w:tab w:val="left" w:pos="4860"/>
        </w:tabs>
        <w:spacing w:line="588" w:lineRule="exact"/>
        <w:ind w:right="1560" w:firstLine="480"/>
        <w:jc w:val="right"/>
        <w:rPr>
          <w:rFonts w:ascii="宋体" w:hAnsi="宋体" w:eastAsia="宋体" w:cs="宋体"/>
          <w:kern w:val="0"/>
        </w:rPr>
      </w:pPr>
      <w:r>
        <w:rPr>
          <w:rFonts w:ascii="宋体" w:hAnsi="宋体" w:eastAsia="宋体" w:cs="宋体"/>
          <w:kern w:val="0"/>
        </w:rPr>
        <w:t xml:space="preserve">               </w:t>
      </w:r>
      <w:r>
        <w:rPr>
          <w:rFonts w:hint="eastAsia" w:ascii="宋体" w:hAnsi="宋体" w:eastAsia="宋体" w:cs="宋体"/>
          <w:kern w:val="0"/>
        </w:rPr>
        <w:t>单位名称（盖章）：</w:t>
      </w:r>
    </w:p>
    <w:p>
      <w:pPr>
        <w:tabs>
          <w:tab w:val="left" w:pos="4860"/>
        </w:tabs>
        <w:spacing w:line="588" w:lineRule="exact"/>
        <w:ind w:right="1560" w:firstLine="480"/>
        <w:jc w:val="right"/>
        <w:rPr>
          <w:rFonts w:ascii="宋体" w:hAnsi="宋体" w:eastAsia="宋体" w:cs="宋体"/>
          <w:kern w:val="0"/>
        </w:rPr>
      </w:pPr>
      <w:r>
        <w:rPr>
          <w:rFonts w:hint="eastAsia" w:ascii="宋体" w:hAnsi="宋体" w:eastAsia="宋体" w:cs="宋体"/>
          <w:kern w:val="0"/>
        </w:rPr>
        <w:t>日</w:t>
      </w:r>
      <w:r>
        <w:rPr>
          <w:rFonts w:ascii="宋体" w:hAnsi="宋体" w:eastAsia="宋体" w:cs="宋体"/>
          <w:kern w:val="0"/>
        </w:rPr>
        <w:t xml:space="preserve">  </w:t>
      </w:r>
      <w:r>
        <w:rPr>
          <w:rFonts w:hint="eastAsia" w:ascii="宋体" w:hAnsi="宋体" w:eastAsia="宋体" w:cs="宋体"/>
          <w:kern w:val="0"/>
        </w:rPr>
        <w:t>期：</w:t>
      </w:r>
    </w:p>
    <w:p>
      <w:pPr>
        <w:spacing w:line="240" w:lineRule="auto"/>
        <w:ind w:firstLine="480"/>
        <w:rPr>
          <w:rFonts w:ascii="宋体" w:hAnsi="宋体" w:cs="宋体"/>
          <w:kern w:val="0"/>
        </w:rPr>
      </w:pPr>
      <w:r>
        <w:rPr>
          <w:rFonts w:hint="eastAsia" w:ascii="宋体" w:hAnsi="宋体" w:cs="宋体"/>
          <w:kern w:val="0"/>
        </w:rPr>
        <w:t>附件：</w:t>
      </w:r>
      <w:r>
        <w:rPr>
          <w:rFonts w:ascii="宋体" w:hAnsi="宋体" w:cs="宋体"/>
          <w:kern w:val="0"/>
        </w:rPr>
        <w:t>狱企业参加政府采购活动时，应当提供由省级以上监狱管理局、戒毒管理局（含新疆生产建设兵团）出具的属于监狱企业的证明文件</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6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14</w:t>
      </w:r>
      <w:r>
        <w:rPr>
          <w:rFonts w:hint="eastAsia" w:ascii="宋体" w:hAnsi="宋体" w:eastAsia="宋体" w:cs="宋体"/>
          <w:b/>
          <w:bCs/>
          <w:sz w:val="24"/>
          <w:szCs w:val="24"/>
          <w:lang w:val="en-US" w:eastAsia="zh-CN"/>
        </w:rPr>
        <w:t>.</w:t>
      </w:r>
      <w:bookmarkStart w:id="161" w:name="_Toc7149"/>
      <w:bookmarkStart w:id="162" w:name="_Toc256000029"/>
      <w:r>
        <w:rPr>
          <w:rFonts w:hint="eastAsia" w:ascii="宋体" w:hAnsi="宋体" w:eastAsia="宋体" w:cs="宋体"/>
          <w:b/>
          <w:bCs/>
          <w:sz w:val="24"/>
          <w:szCs w:val="24"/>
          <w:lang w:val="en-US" w:eastAsia="zh-CN"/>
        </w:rPr>
        <w:t>制造商授权书</w:t>
      </w:r>
      <w:bookmarkEnd w:id="161"/>
      <w:bookmarkEnd w:id="162"/>
      <w:r>
        <w:rPr>
          <w:rFonts w:hint="eastAsia" w:ascii="宋体" w:hAnsi="宋体" w:cs="宋体"/>
          <w:b/>
          <w:bCs/>
          <w:sz w:val="24"/>
          <w:szCs w:val="24"/>
          <w:lang w:val="en-US" w:eastAsia="zh-CN"/>
        </w:rPr>
        <w:t>（如有）</w:t>
      </w:r>
    </w:p>
    <w:p>
      <w:pPr>
        <w:pStyle w:val="98"/>
        <w:jc w:val="center"/>
      </w:pPr>
      <w:bookmarkStart w:id="163" w:name="_Toc480368428"/>
      <w:bookmarkStart w:id="164" w:name="_Toc468535485"/>
      <w:bookmarkStart w:id="165" w:name="_Toc480368657"/>
      <w:bookmarkStart w:id="166" w:name="_Toc480371725"/>
      <w:bookmarkStart w:id="167" w:name="_Toc480368599"/>
      <w:r>
        <w:rPr>
          <w:rFonts w:hint="eastAsia"/>
        </w:rPr>
        <w:t>制造商（或总代理）授权书</w:t>
      </w:r>
      <w:bookmarkEnd w:id="163"/>
      <w:bookmarkEnd w:id="164"/>
      <w:bookmarkEnd w:id="165"/>
      <w:bookmarkEnd w:id="166"/>
      <w:bookmarkEnd w:id="167"/>
    </w:p>
    <w:p>
      <w:pPr>
        <w:pStyle w:val="99"/>
        <w:spacing w:line="500" w:lineRule="exact"/>
        <w:jc w:val="center"/>
        <w:rPr>
          <w:rFonts w:ascii="宋体" w:hAnsi="宋体"/>
          <w:sz w:val="24"/>
          <w:szCs w:val="24"/>
        </w:rPr>
      </w:pPr>
      <w:r>
        <w:rPr>
          <w:rFonts w:hint="eastAsia" w:ascii="宋体" w:hAnsi="宋体"/>
          <w:sz w:val="24"/>
          <w:szCs w:val="24"/>
        </w:rPr>
        <w:t>（适用于产品不是投标人自己生产的）</w:t>
      </w:r>
    </w:p>
    <w:p>
      <w:pPr>
        <w:pStyle w:val="99"/>
        <w:spacing w:line="500" w:lineRule="exact"/>
        <w:rPr>
          <w:rFonts w:ascii="宋体" w:hAnsi="宋体"/>
          <w:sz w:val="24"/>
          <w:szCs w:val="24"/>
        </w:rPr>
      </w:pPr>
      <w:r>
        <w:rPr>
          <w:rFonts w:hint="eastAsia" w:ascii="宋体" w:hAnsi="宋体"/>
          <w:sz w:val="24"/>
          <w:szCs w:val="24"/>
          <w:u w:val="single"/>
        </w:rPr>
        <w:t>（代理机构名称）</w:t>
      </w:r>
      <w:r>
        <w:rPr>
          <w:rFonts w:hint="eastAsia" w:ascii="宋体" w:hAnsi="宋体"/>
          <w:sz w:val="24"/>
          <w:szCs w:val="24"/>
        </w:rPr>
        <w:t>：</w:t>
      </w:r>
    </w:p>
    <w:p>
      <w:pPr>
        <w:pStyle w:val="99"/>
        <w:spacing w:line="500" w:lineRule="exact"/>
        <w:ind w:firstLine="480" w:firstLineChars="200"/>
        <w:rPr>
          <w:rFonts w:ascii="宋体" w:hAnsi="宋体"/>
          <w:sz w:val="24"/>
          <w:szCs w:val="24"/>
        </w:rPr>
      </w:pPr>
      <w:r>
        <w:rPr>
          <w:rFonts w:hint="eastAsia" w:ascii="宋体" w:hAnsi="宋体"/>
          <w:sz w:val="24"/>
          <w:szCs w:val="24"/>
        </w:rPr>
        <w:t>我方</w:t>
      </w:r>
      <w:r>
        <w:rPr>
          <w:rFonts w:hint="eastAsia" w:ascii="宋体" w:hAnsi="宋体"/>
          <w:sz w:val="24"/>
          <w:szCs w:val="24"/>
          <w:u w:val="single"/>
        </w:rPr>
        <w:t xml:space="preserve">    （制造商名称）  </w:t>
      </w:r>
      <w:r>
        <w:rPr>
          <w:rFonts w:hint="eastAsia" w:ascii="宋体" w:hAnsi="宋体"/>
          <w:sz w:val="24"/>
          <w:szCs w:val="24"/>
        </w:rPr>
        <w:t>是按国家法律成立的一家制造厂，主要营业地点设在</w:t>
      </w:r>
      <w:r>
        <w:rPr>
          <w:rFonts w:hint="eastAsia" w:ascii="宋体" w:hAnsi="宋体"/>
          <w:sz w:val="24"/>
          <w:szCs w:val="24"/>
          <w:u w:val="single"/>
        </w:rPr>
        <w:t xml:space="preserve">      （制造商地址）  </w:t>
      </w:r>
      <w:r>
        <w:rPr>
          <w:rFonts w:hint="eastAsia" w:ascii="宋体" w:hAnsi="宋体"/>
          <w:sz w:val="24"/>
          <w:szCs w:val="24"/>
        </w:rPr>
        <w:t>。兹授权</w:t>
      </w:r>
      <w:r>
        <w:rPr>
          <w:rFonts w:hint="eastAsia" w:ascii="宋体" w:hAnsi="宋体"/>
          <w:sz w:val="24"/>
          <w:szCs w:val="24"/>
          <w:u w:val="single"/>
        </w:rPr>
        <w:t xml:space="preserve">   （投标人名称）   </w:t>
      </w:r>
      <w:r>
        <w:rPr>
          <w:rFonts w:hint="eastAsia" w:ascii="宋体" w:hAnsi="宋体"/>
          <w:sz w:val="24"/>
          <w:szCs w:val="24"/>
        </w:rPr>
        <w:t>作为我方真正的合法的代理人进行下列活动：</w:t>
      </w:r>
    </w:p>
    <w:p>
      <w:pPr>
        <w:pStyle w:val="99"/>
        <w:spacing w:line="500" w:lineRule="exact"/>
        <w:ind w:firstLine="480" w:firstLineChars="200"/>
        <w:rPr>
          <w:rFonts w:ascii="宋体" w:hAnsi="宋体"/>
          <w:sz w:val="24"/>
          <w:szCs w:val="24"/>
        </w:rPr>
      </w:pPr>
      <w:r>
        <w:rPr>
          <w:rFonts w:hint="eastAsia" w:ascii="宋体" w:hAnsi="宋体"/>
          <w:sz w:val="24"/>
          <w:szCs w:val="24"/>
        </w:rPr>
        <w:t>（1）代表我方办理贵方采购项目编号为</w:t>
      </w:r>
      <w:r>
        <w:rPr>
          <w:rFonts w:hint="eastAsia" w:ascii="宋体" w:hAnsi="宋体"/>
          <w:sz w:val="24"/>
          <w:szCs w:val="24"/>
          <w:u w:val="single"/>
        </w:rPr>
        <w:t xml:space="preserve">                 </w:t>
      </w:r>
      <w:r>
        <w:rPr>
          <w:rFonts w:hint="eastAsia" w:ascii="宋体" w:hAnsi="宋体"/>
          <w:sz w:val="24"/>
          <w:szCs w:val="24"/>
        </w:rPr>
        <w:t xml:space="preserve"> 的招标文件要求提供的由我方制造的</w:t>
      </w:r>
      <w:r>
        <w:rPr>
          <w:rFonts w:hint="eastAsia" w:ascii="宋体" w:hAnsi="宋体"/>
          <w:sz w:val="24"/>
          <w:szCs w:val="24"/>
          <w:u w:val="single"/>
        </w:rPr>
        <w:t xml:space="preserve">    （货物名称）    </w:t>
      </w:r>
      <w:r>
        <w:rPr>
          <w:rFonts w:hint="eastAsia" w:ascii="宋体" w:hAnsi="宋体"/>
          <w:sz w:val="24"/>
          <w:szCs w:val="24"/>
        </w:rPr>
        <w:t>的有关事宜，并对我方具有约束力。</w:t>
      </w:r>
    </w:p>
    <w:p>
      <w:pPr>
        <w:pStyle w:val="99"/>
        <w:spacing w:line="500" w:lineRule="exact"/>
        <w:ind w:firstLine="480" w:firstLineChars="200"/>
        <w:rPr>
          <w:rFonts w:ascii="宋体" w:hAnsi="宋体"/>
          <w:sz w:val="24"/>
          <w:szCs w:val="24"/>
        </w:rPr>
      </w:pPr>
      <w:r>
        <w:rPr>
          <w:rFonts w:hint="eastAsia" w:ascii="宋体" w:hAnsi="宋体"/>
          <w:sz w:val="24"/>
          <w:szCs w:val="24"/>
        </w:rPr>
        <w:t>（2）作为制造商，我方保证以投标人合作者身份来约束自己，并对该投标共同和分别负责。</w:t>
      </w:r>
    </w:p>
    <w:p>
      <w:pPr>
        <w:pStyle w:val="99"/>
        <w:spacing w:line="500" w:lineRule="exact"/>
        <w:ind w:firstLine="480" w:firstLineChars="200"/>
        <w:rPr>
          <w:rFonts w:ascii="宋体" w:hAnsi="宋体"/>
          <w:sz w:val="24"/>
          <w:szCs w:val="24"/>
        </w:rPr>
      </w:pPr>
      <w:r>
        <w:rPr>
          <w:rFonts w:hint="eastAsia" w:ascii="宋体" w:hAnsi="宋体"/>
          <w:sz w:val="24"/>
          <w:szCs w:val="24"/>
        </w:rPr>
        <w:t>（3）我方兹授权</w:t>
      </w:r>
      <w:r>
        <w:rPr>
          <w:rFonts w:hint="eastAsia" w:ascii="宋体" w:hAnsi="宋体"/>
          <w:sz w:val="24"/>
          <w:szCs w:val="24"/>
          <w:u w:val="single"/>
        </w:rPr>
        <w:t xml:space="preserve">  （投标人名称）   </w:t>
      </w:r>
      <w:r>
        <w:rPr>
          <w:rFonts w:hint="eastAsia" w:ascii="宋体" w:hAnsi="宋体"/>
          <w:sz w:val="24"/>
          <w:szCs w:val="24"/>
        </w:rPr>
        <w:t>全权办理和履行此项目招标文件中约定的一切事宜。兹确认</w:t>
      </w:r>
      <w:r>
        <w:rPr>
          <w:rFonts w:hint="eastAsia" w:ascii="宋体" w:hAnsi="宋体"/>
          <w:sz w:val="24"/>
          <w:szCs w:val="24"/>
          <w:u w:val="single"/>
        </w:rPr>
        <w:t xml:space="preserve">  （投标人名称）    </w:t>
      </w:r>
      <w:r>
        <w:rPr>
          <w:rFonts w:hint="eastAsia" w:ascii="宋体" w:hAnsi="宋体"/>
          <w:sz w:val="24"/>
          <w:szCs w:val="24"/>
        </w:rPr>
        <w:t>及其正式授权代表依此办理一切合法事宜。</w:t>
      </w:r>
    </w:p>
    <w:p>
      <w:pPr>
        <w:pStyle w:val="99"/>
        <w:spacing w:line="500" w:lineRule="exact"/>
        <w:ind w:firstLine="480" w:firstLineChars="200"/>
        <w:rPr>
          <w:rFonts w:ascii="宋体" w:hAnsi="宋体"/>
          <w:sz w:val="24"/>
          <w:szCs w:val="24"/>
          <w:u w:val="single"/>
        </w:rPr>
      </w:pPr>
      <w:r>
        <w:rPr>
          <w:rFonts w:hint="eastAsia" w:ascii="宋体" w:hAnsi="宋体"/>
          <w:sz w:val="24"/>
          <w:szCs w:val="24"/>
        </w:rPr>
        <w:t>我方于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日签署本文件</w:t>
      </w:r>
      <w:r>
        <w:rPr>
          <w:rFonts w:hint="eastAsia" w:ascii="宋体" w:hAnsi="宋体"/>
          <w:sz w:val="24"/>
          <w:szCs w:val="24"/>
          <w:u w:val="single"/>
        </w:rPr>
        <w:t xml:space="preserve"> （投标人名称）</w:t>
      </w:r>
      <w:r>
        <w:rPr>
          <w:rFonts w:hint="eastAsia" w:ascii="宋体" w:hAnsi="宋体"/>
          <w:sz w:val="24"/>
          <w:szCs w:val="24"/>
        </w:rPr>
        <w:t>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日接受此文件,以此为证。</w:t>
      </w:r>
    </w:p>
    <w:p>
      <w:pPr>
        <w:pStyle w:val="99"/>
        <w:spacing w:line="500" w:lineRule="exact"/>
        <w:rPr>
          <w:rFonts w:ascii="宋体" w:hAnsi="宋体"/>
          <w:sz w:val="24"/>
          <w:szCs w:val="24"/>
        </w:rPr>
      </w:pPr>
    </w:p>
    <w:p>
      <w:pPr>
        <w:pStyle w:val="99"/>
        <w:spacing w:line="500" w:lineRule="exact"/>
        <w:rPr>
          <w:rFonts w:ascii="宋体" w:hAnsi="宋体"/>
          <w:sz w:val="24"/>
          <w:szCs w:val="24"/>
          <w:u w:val="single"/>
        </w:rPr>
      </w:pPr>
      <w:r>
        <w:rPr>
          <w:rFonts w:hint="eastAsia" w:ascii="宋体" w:hAnsi="宋体"/>
          <w:sz w:val="24"/>
          <w:szCs w:val="24"/>
        </w:rPr>
        <w:t xml:space="preserve">投标人名称(签章)：             </w:t>
      </w:r>
      <w:r>
        <w:rPr>
          <w:rFonts w:hint="eastAsia" w:ascii="宋体" w:hAnsi="宋体"/>
          <w:sz w:val="24"/>
          <w:szCs w:val="24"/>
          <w:lang w:val="en-US" w:eastAsia="zh-CN"/>
        </w:rPr>
        <w:t xml:space="preserve"> </w:t>
      </w:r>
      <w:r>
        <w:rPr>
          <w:rFonts w:hint="eastAsia" w:ascii="宋体" w:hAnsi="宋体"/>
          <w:sz w:val="24"/>
          <w:szCs w:val="24"/>
        </w:rPr>
        <w:t xml:space="preserve">出具授权书的制造厂名称(签章): </w:t>
      </w:r>
    </w:p>
    <w:p>
      <w:pPr>
        <w:pStyle w:val="99"/>
        <w:spacing w:line="500" w:lineRule="exac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p>
    <w:p>
      <w:pPr>
        <w:pStyle w:val="99"/>
        <w:spacing w:line="500" w:lineRule="exact"/>
        <w:rPr>
          <w:rFonts w:ascii="宋体" w:hAnsi="宋体"/>
          <w:sz w:val="24"/>
          <w:szCs w:val="24"/>
        </w:rPr>
      </w:pPr>
      <w:r>
        <w:rPr>
          <w:rFonts w:hint="eastAsia" w:ascii="宋体" w:hAnsi="宋体"/>
          <w:sz w:val="24"/>
          <w:szCs w:val="24"/>
        </w:rPr>
        <w:t>法定代表人（签名）：</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正式授权代表（签章）：</w:t>
      </w:r>
      <w:r>
        <w:rPr>
          <w:rFonts w:hint="eastAsia" w:ascii="宋体" w:hAnsi="宋体"/>
          <w:sz w:val="24"/>
          <w:szCs w:val="24"/>
          <w:u w:val="single"/>
        </w:rPr>
        <w:t xml:space="preserve">       </w:t>
      </w:r>
    </w:p>
    <w:p>
      <w:pPr>
        <w:pStyle w:val="99"/>
        <w:spacing w:line="500" w:lineRule="exact"/>
        <w:rPr>
          <w:rFonts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 xml:space="preserve">    职    务：</w:t>
      </w:r>
      <w:r>
        <w:rPr>
          <w:rFonts w:hint="eastAsia" w:ascii="宋体" w:hAnsi="宋体"/>
          <w:sz w:val="24"/>
          <w:szCs w:val="24"/>
          <w:u w:val="single"/>
        </w:rPr>
        <w:t xml:space="preserve">                  </w:t>
      </w:r>
    </w:p>
    <w:p>
      <w:pPr>
        <w:pStyle w:val="99"/>
        <w:autoSpaceDE w:val="0"/>
        <w:autoSpaceDN w:val="0"/>
        <w:spacing w:line="500" w:lineRule="exact"/>
        <w:rPr>
          <w:rFonts w:ascii="宋体" w:hAnsi="宋体"/>
          <w:szCs w:val="28"/>
        </w:rPr>
      </w:pPr>
      <w:r>
        <w:rPr>
          <w:rFonts w:hint="eastAsia" w:ascii="宋体" w:hAnsi="宋体"/>
          <w:sz w:val="24"/>
          <w:szCs w:val="24"/>
        </w:rPr>
        <w:t>部    门：</w:t>
      </w:r>
      <w:r>
        <w:rPr>
          <w:rFonts w:hint="eastAsia" w:ascii="宋体" w:hAnsi="宋体"/>
          <w:sz w:val="24"/>
          <w:szCs w:val="24"/>
          <w:u w:val="single"/>
        </w:rPr>
        <w:t xml:space="preserve">                  </w:t>
      </w:r>
      <w:r>
        <w:rPr>
          <w:rFonts w:hint="eastAsia" w:ascii="宋体" w:hAnsi="宋体"/>
          <w:sz w:val="24"/>
          <w:szCs w:val="24"/>
        </w:rPr>
        <w:t xml:space="preserve">    部    门：</w:t>
      </w:r>
      <w:r>
        <w:rPr>
          <w:rFonts w:hint="eastAsia" w:ascii="宋体" w:hAnsi="宋体"/>
          <w:szCs w:val="28"/>
          <w:u w:val="single"/>
        </w:rPr>
        <w:t xml:space="preserve">                  </w:t>
      </w:r>
    </w:p>
    <w:p>
      <w:pPr>
        <w:pStyle w:val="60"/>
        <w:numPr>
          <w:ilvl w:val="0"/>
          <w:numId w:val="0"/>
        </w:numPr>
        <w:spacing w:line="360" w:lineRule="auto"/>
        <w:ind w:leftChars="0"/>
        <w:jc w:val="both"/>
        <w:rPr>
          <w:rFonts w:cs="宋体"/>
          <w:kern w:val="0"/>
        </w:rPr>
      </w:pPr>
    </w:p>
    <w:sectPr>
      <w:headerReference r:id="rId11" w:type="first"/>
      <w:headerReference r:id="rId10" w:type="even"/>
      <w:footerReference r:id="rId12" w:type="even"/>
      <w:pgSz w:w="11906" w:h="16838"/>
      <w:pgMar w:top="1531" w:right="1418" w:bottom="1361"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318FCDF-CF9A-4550-8AEB-776CD5DFD94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5BDA2DE-DF7A-4F3F-B08C-F7B05BF59BDB}"/>
  </w:font>
  <w:font w:name="Cambria">
    <w:panose1 w:val="02040503050406030204"/>
    <w:charset w:val="00"/>
    <w:family w:val="roman"/>
    <w:pitch w:val="default"/>
    <w:sig w:usb0="E00002FF" w:usb1="400004FF" w:usb2="00000000" w:usb3="00000000" w:csb0="2000019F" w:csb1="00000000"/>
    <w:embedRegular r:id="rId3" w:fontKey="{57BBE79C-41E9-4D24-898C-906156AF3F91}"/>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1FF" w:csb1="00000000"/>
    <w:embedRegular r:id="rId4" w:fontKey="{AA118AE9-369C-4F16-8D5C-8F3D4EA940BC}"/>
  </w:font>
  <w:font w:name="仿宋">
    <w:panose1 w:val="02010609060101010101"/>
    <w:charset w:val="86"/>
    <w:family w:val="auto"/>
    <w:pitch w:val="default"/>
    <w:sig w:usb0="800002BF" w:usb1="38CF7CFA" w:usb2="00000016" w:usb3="00000000" w:csb0="00040001" w:csb1="00000000"/>
    <w:embedRegular r:id="rId5" w:fontKey="{BFA7DA09-E0D0-4479-8A20-F67C1AC833A6}"/>
  </w:font>
  <w:font w:name="Consolas">
    <w:panose1 w:val="020B0609020204030204"/>
    <w:charset w:val="00"/>
    <w:family w:val="modern"/>
    <w:pitch w:val="default"/>
    <w:sig w:usb0="E10002FF" w:usb1="4000FCFF" w:usb2="00000009" w:usb3="00000000" w:csb0="600001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4097" o:spid="_x0000_s4097" o:spt="202" type="#_x0000_t202" style="position:absolute;left:0pt;margin-top:12.5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3270"/>
        <w:tab w:val="center" w:pos="4216"/>
      </w:tabs>
      <w:jc w:val="left"/>
    </w:pPr>
    <w:r>
      <w:rPr>
        <w:sz w:val="18"/>
      </w:rPr>
      <w:pict>
        <v:shape id="_x0000_s4099" o:spid="_x0000_s4099" o:spt="202" type="#_x0000_t202" style="position:absolute;left:0pt;margin-top:12.5pt;height:20.5pt;width:50.65pt;mso-position-horizontal:center;mso-position-horizontal-relative:margin;z-index:251661312;mso-width-relative:page;mso-height-relative:page;" filled="f" stroked="f" coordsize="21600,21600">
          <v:path/>
          <v:fill on="f" focussize="0,0"/>
          <v:stroke on="f"/>
          <v:imagedata o:title=""/>
          <o:lock v:ext="edit" aspectratio="f"/>
          <v:textbox inset="0mm,0mm,0mm,0mm">
            <w:txbxContent>
              <w:p>
                <w:pPr>
                  <w:pStyle w:val="16"/>
                  <w:jc w:val="center"/>
                </w:pPr>
                <w:r>
                  <w:fldChar w:fldCharType="begin"/>
                </w:r>
                <w:r>
                  <w:instrText xml:space="preserve"> PAGE  \* MERGEFORMAT </w:instrText>
                </w:r>
                <w:r>
                  <w:fldChar w:fldCharType="separate"/>
                </w:r>
                <w:r>
                  <w:t>1</w:t>
                </w:r>
                <w:r>
                  <w:fldChar w:fldCharType="end"/>
                </w:r>
              </w:p>
            </w:txbxContent>
          </v:textbox>
        </v:shape>
      </w:pict>
    </w:r>
    <w:r>
      <w:rPr>
        <w:rFonts w:hint="eastAsia"/>
        <w:lang w:eastAsia="zh-CN"/>
      </w:rPr>
      <w:tab/>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60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separate"/>
    </w:r>
    <w:r>
      <w:rPr>
        <w:rStyle w:val="30"/>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pPr>
    <w:r>
      <w:rPr>
        <w:rFonts w:ascii="仿宋" w:hAnsi="仿宋" w:eastAsia="仿宋"/>
        <w:sz w:val="15"/>
        <w:szCs w:val="15"/>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136515" cy="8856345"/>
          <wp:effectExtent l="0" t="0" r="6985" b="1905"/>
          <wp:wrapNone/>
          <wp:docPr id="3" name="WordPictureWatermark1691756627"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691756627"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r>
      <w:rPr>
        <w:rFonts w:hint="eastAsia" w:ascii="仿宋" w:hAnsi="仿宋" w:eastAsia="仿宋"/>
        <w:sz w:val="15"/>
        <w:szCs w:val="15"/>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136515" cy="8856345"/>
          <wp:effectExtent l="0" t="0" r="6985" b="1905"/>
          <wp:wrapNone/>
          <wp:docPr id="6" name="WordPictureWatermark1691756629"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1691756629"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136515" cy="8856345"/>
          <wp:effectExtent l="0" t="0" r="6985" b="1905"/>
          <wp:wrapNone/>
          <wp:docPr id="5" name="WordPictureWatermark1691756628"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691756628" descr="公司logo"/>
                  <pic:cNvPicPr>
                    <a:picLocks noChangeAspect="1"/>
                  </pic:cNvPicPr>
                </pic:nvPicPr>
                <pic:blipFill>
                  <a:blip r:embed="rId1">
                    <a:lum bright="70001" contrast="-70000"/>
                  </a:blip>
                  <a:stretch>
                    <a:fillRect/>
                  </a:stretch>
                </pic:blipFill>
                <pic:spPr>
                  <a:xfrm>
                    <a:off x="0" y="0"/>
                    <a:ext cx="5136515" cy="88563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B864E"/>
    <w:multiLevelType w:val="singleLevel"/>
    <w:tmpl w:val="891B864E"/>
    <w:lvl w:ilvl="0" w:tentative="0">
      <w:start w:val="1"/>
      <w:numFmt w:val="decimal"/>
      <w:lvlText w:val="(%1)"/>
      <w:lvlJc w:val="left"/>
      <w:pPr>
        <w:ind w:left="425" w:hanging="425"/>
      </w:pPr>
      <w:rPr>
        <w:rFonts w:hint="default"/>
      </w:rPr>
    </w:lvl>
  </w:abstractNum>
  <w:abstractNum w:abstractNumId="1">
    <w:nsid w:val="A8B16102"/>
    <w:multiLevelType w:val="singleLevel"/>
    <w:tmpl w:val="A8B16102"/>
    <w:lvl w:ilvl="0" w:tentative="0">
      <w:start w:val="13"/>
      <w:numFmt w:val="chineseCounting"/>
      <w:suff w:val="nothing"/>
      <w:lvlText w:val="%1、"/>
      <w:lvlJc w:val="left"/>
      <w:rPr>
        <w:rFonts w:hint="eastAsia"/>
      </w:rPr>
    </w:lvl>
  </w:abstractNum>
  <w:abstractNum w:abstractNumId="2">
    <w:nsid w:val="DC5D2797"/>
    <w:multiLevelType w:val="singleLevel"/>
    <w:tmpl w:val="DC5D2797"/>
    <w:lvl w:ilvl="0" w:tentative="0">
      <w:start w:val="1"/>
      <w:numFmt w:val="decimal"/>
      <w:lvlText w:val="(%1)"/>
      <w:lvlJc w:val="left"/>
      <w:pPr>
        <w:ind w:left="425" w:hanging="425"/>
      </w:pPr>
      <w:rPr>
        <w:rFonts w:hint="default"/>
      </w:rPr>
    </w:lvl>
  </w:abstractNum>
  <w:abstractNum w:abstractNumId="3">
    <w:nsid w:val="ECEDC6C5"/>
    <w:multiLevelType w:val="singleLevel"/>
    <w:tmpl w:val="ECEDC6C5"/>
    <w:lvl w:ilvl="0" w:tentative="0">
      <w:start w:val="1"/>
      <w:numFmt w:val="decimal"/>
      <w:lvlText w:val="(%1)"/>
      <w:lvlJc w:val="left"/>
      <w:pPr>
        <w:ind w:left="425" w:hanging="425"/>
      </w:pPr>
      <w:rPr>
        <w:rFonts w:hint="default"/>
      </w:rPr>
    </w:lvl>
  </w:abstractNum>
  <w:abstractNum w:abstractNumId="4">
    <w:nsid w:val="EECFF17A"/>
    <w:multiLevelType w:val="singleLevel"/>
    <w:tmpl w:val="EECFF17A"/>
    <w:lvl w:ilvl="0" w:tentative="0">
      <w:start w:val="1"/>
      <w:numFmt w:val="decimal"/>
      <w:lvlText w:val="(%1)"/>
      <w:lvlJc w:val="left"/>
      <w:pPr>
        <w:ind w:left="425" w:hanging="425"/>
      </w:pPr>
      <w:rPr>
        <w:rFonts w:hint="default"/>
      </w:rPr>
    </w:lvl>
  </w:abstractNum>
  <w:abstractNum w:abstractNumId="5">
    <w:nsid w:val="F1010814"/>
    <w:multiLevelType w:val="singleLevel"/>
    <w:tmpl w:val="F1010814"/>
    <w:lvl w:ilvl="0" w:tentative="0">
      <w:start w:val="1"/>
      <w:numFmt w:val="decimal"/>
      <w:suff w:val="nothing"/>
      <w:lvlText w:val="（%1）"/>
      <w:lvlJc w:val="left"/>
      <w:pPr>
        <w:ind w:left="1050"/>
      </w:pPr>
    </w:lvl>
  </w:abstractNum>
  <w:abstractNum w:abstractNumId="6">
    <w:nsid w:val="0565AEAF"/>
    <w:multiLevelType w:val="singleLevel"/>
    <w:tmpl w:val="0565AEAF"/>
    <w:lvl w:ilvl="0" w:tentative="0">
      <w:start w:val="1"/>
      <w:numFmt w:val="decimal"/>
      <w:lvlText w:val="(%1)"/>
      <w:lvlJc w:val="left"/>
      <w:pPr>
        <w:ind w:left="425" w:hanging="425"/>
      </w:pPr>
      <w:rPr>
        <w:rFonts w:hint="default"/>
      </w:rPr>
    </w:lvl>
  </w:abstractNum>
  <w:abstractNum w:abstractNumId="7">
    <w:nsid w:val="0C452F8F"/>
    <w:multiLevelType w:val="singleLevel"/>
    <w:tmpl w:val="0C452F8F"/>
    <w:lvl w:ilvl="0" w:tentative="0">
      <w:start w:val="1"/>
      <w:numFmt w:val="chineseCounting"/>
      <w:suff w:val="nothing"/>
      <w:lvlText w:val="%1、"/>
      <w:lvlJc w:val="left"/>
      <w:rPr>
        <w:rFonts w:hint="eastAsia"/>
      </w:rPr>
    </w:lvl>
  </w:abstractNum>
  <w:abstractNum w:abstractNumId="8">
    <w:nsid w:val="264DF040"/>
    <w:multiLevelType w:val="singleLevel"/>
    <w:tmpl w:val="264DF040"/>
    <w:lvl w:ilvl="0" w:tentative="0">
      <w:start w:val="1"/>
      <w:numFmt w:val="decimal"/>
      <w:lvlText w:val="(%1)"/>
      <w:lvlJc w:val="left"/>
      <w:pPr>
        <w:ind w:left="1265" w:hanging="425"/>
      </w:pPr>
      <w:rPr>
        <w:rFonts w:hint="default"/>
      </w:rPr>
    </w:lvl>
  </w:abstractNum>
  <w:abstractNum w:abstractNumId="9">
    <w:nsid w:val="2C293DC4"/>
    <w:multiLevelType w:val="singleLevel"/>
    <w:tmpl w:val="2C293DC4"/>
    <w:lvl w:ilvl="0" w:tentative="0">
      <w:start w:val="1"/>
      <w:numFmt w:val="decimal"/>
      <w:lvlText w:val="(%1)"/>
      <w:lvlJc w:val="left"/>
      <w:pPr>
        <w:ind w:left="425" w:hanging="425"/>
      </w:pPr>
      <w:rPr>
        <w:rFonts w:hint="default"/>
      </w:rPr>
    </w:lvl>
  </w:abstractNum>
  <w:abstractNum w:abstractNumId="10">
    <w:nsid w:val="30885B75"/>
    <w:multiLevelType w:val="singleLevel"/>
    <w:tmpl w:val="30885B75"/>
    <w:lvl w:ilvl="0" w:tentative="0">
      <w:start w:val="1"/>
      <w:numFmt w:val="chineseCounting"/>
      <w:suff w:val="nothing"/>
      <w:lvlText w:val="%1、"/>
      <w:lvlJc w:val="left"/>
      <w:rPr>
        <w:rFonts w:hint="eastAsia"/>
      </w:rPr>
    </w:lvl>
  </w:abstractNum>
  <w:abstractNum w:abstractNumId="11">
    <w:nsid w:val="318D4110"/>
    <w:multiLevelType w:val="singleLevel"/>
    <w:tmpl w:val="318D4110"/>
    <w:lvl w:ilvl="0" w:tentative="0">
      <w:start w:val="1"/>
      <w:numFmt w:val="decimal"/>
      <w:lvlText w:val="(%1)"/>
      <w:lvlJc w:val="left"/>
      <w:pPr>
        <w:ind w:left="425" w:hanging="425"/>
      </w:pPr>
      <w:rPr>
        <w:rFonts w:hint="default"/>
      </w:rPr>
    </w:lvl>
  </w:abstractNum>
  <w:abstractNum w:abstractNumId="12">
    <w:nsid w:val="38E0D403"/>
    <w:multiLevelType w:val="singleLevel"/>
    <w:tmpl w:val="38E0D403"/>
    <w:lvl w:ilvl="0" w:tentative="0">
      <w:start w:val="1"/>
      <w:numFmt w:val="decimal"/>
      <w:lvlText w:val="(%1)"/>
      <w:lvlJc w:val="left"/>
      <w:pPr>
        <w:ind w:left="425" w:hanging="425"/>
      </w:pPr>
      <w:rPr>
        <w:rFonts w:hint="default"/>
      </w:rPr>
    </w:lvl>
  </w:abstractNum>
  <w:abstractNum w:abstractNumId="13">
    <w:nsid w:val="4B7E5902"/>
    <w:multiLevelType w:val="multilevel"/>
    <w:tmpl w:val="4B7E5902"/>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4">
    <w:nsid w:val="4DAD7C62"/>
    <w:multiLevelType w:val="singleLevel"/>
    <w:tmpl w:val="4DAD7C62"/>
    <w:lvl w:ilvl="0" w:tentative="0">
      <w:start w:val="1"/>
      <w:numFmt w:val="decimal"/>
      <w:suff w:val="nothing"/>
      <w:lvlText w:val="（%1）"/>
      <w:lvlJc w:val="left"/>
    </w:lvl>
  </w:abstractNum>
  <w:abstractNum w:abstractNumId="15">
    <w:nsid w:val="52B71837"/>
    <w:multiLevelType w:val="singleLevel"/>
    <w:tmpl w:val="52B71837"/>
    <w:lvl w:ilvl="0" w:tentative="0">
      <w:start w:val="1"/>
      <w:numFmt w:val="decimal"/>
      <w:lvlText w:val="(%1)"/>
      <w:lvlJc w:val="left"/>
      <w:pPr>
        <w:ind w:left="425" w:hanging="425"/>
      </w:pPr>
      <w:rPr>
        <w:rFonts w:hint="default"/>
      </w:rPr>
    </w:lvl>
  </w:abstractNum>
  <w:abstractNum w:abstractNumId="16">
    <w:nsid w:val="59E277A5"/>
    <w:multiLevelType w:val="multilevel"/>
    <w:tmpl w:val="59E277A5"/>
    <w:lvl w:ilvl="0" w:tentative="0">
      <w:start w:val="1"/>
      <w:numFmt w:val="decimalEnclosedCircle"/>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5AAA6D1C"/>
    <w:multiLevelType w:val="multilevel"/>
    <w:tmpl w:val="5AAA6D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A6DC76"/>
    <w:multiLevelType w:val="singleLevel"/>
    <w:tmpl w:val="5DA6DC76"/>
    <w:lvl w:ilvl="0" w:tentative="0">
      <w:start w:val="1"/>
      <w:numFmt w:val="decimal"/>
      <w:lvlText w:val="(%1)"/>
      <w:lvlJc w:val="left"/>
      <w:pPr>
        <w:ind w:left="425" w:hanging="425"/>
      </w:pPr>
      <w:rPr>
        <w:rFonts w:hint="default"/>
      </w:rPr>
    </w:lvl>
  </w:abstractNum>
  <w:abstractNum w:abstractNumId="19">
    <w:nsid w:val="6E6F60EF"/>
    <w:multiLevelType w:val="multilevel"/>
    <w:tmpl w:val="6E6F60E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35E0BD6"/>
    <w:multiLevelType w:val="singleLevel"/>
    <w:tmpl w:val="735E0BD6"/>
    <w:lvl w:ilvl="0" w:tentative="0">
      <w:start w:val="3"/>
      <w:numFmt w:val="chineseCounting"/>
      <w:suff w:val="space"/>
      <w:lvlText w:val="第%1部分"/>
      <w:lvlJc w:val="left"/>
      <w:rPr>
        <w:rFonts w:hint="eastAsia"/>
      </w:rPr>
    </w:lvl>
  </w:abstractNum>
  <w:num w:numId="1">
    <w:abstractNumId w:val="9"/>
  </w:num>
  <w:num w:numId="2">
    <w:abstractNumId w:val="4"/>
  </w:num>
  <w:num w:numId="3">
    <w:abstractNumId w:val="0"/>
  </w:num>
  <w:num w:numId="4">
    <w:abstractNumId w:val="8"/>
  </w:num>
  <w:num w:numId="5">
    <w:abstractNumId w:val="11"/>
  </w:num>
  <w:num w:numId="6">
    <w:abstractNumId w:val="5"/>
  </w:num>
  <w:num w:numId="7">
    <w:abstractNumId w:val="3"/>
  </w:num>
  <w:num w:numId="8">
    <w:abstractNumId w:val="15"/>
  </w:num>
  <w:num w:numId="9">
    <w:abstractNumId w:val="12"/>
  </w:num>
  <w:num w:numId="10">
    <w:abstractNumId w:val="18"/>
  </w:num>
  <w:num w:numId="11">
    <w:abstractNumId w:val="2"/>
  </w:num>
  <w:num w:numId="12">
    <w:abstractNumId w:val="6"/>
  </w:num>
  <w:num w:numId="13">
    <w:abstractNumId w:val="1"/>
  </w:num>
  <w:num w:numId="14">
    <w:abstractNumId w:val="20"/>
  </w:num>
  <w:num w:numId="15">
    <w:abstractNumId w:val="10"/>
  </w:num>
  <w:num w:numId="16">
    <w:abstractNumId w:val="16"/>
  </w:num>
  <w:num w:numId="17">
    <w:abstractNumId w:val="14"/>
  </w:num>
  <w:num w:numId="18">
    <w:abstractNumId w:val="7"/>
  </w:num>
  <w:num w:numId="19">
    <w:abstractNumId w:val="13"/>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776B4"/>
    <w:rsid w:val="0000021D"/>
    <w:rsid w:val="0000073E"/>
    <w:rsid w:val="000010B4"/>
    <w:rsid w:val="00002ADE"/>
    <w:rsid w:val="000044DE"/>
    <w:rsid w:val="00005890"/>
    <w:rsid w:val="00006C8E"/>
    <w:rsid w:val="000078E5"/>
    <w:rsid w:val="0001113B"/>
    <w:rsid w:val="000119A0"/>
    <w:rsid w:val="00011C58"/>
    <w:rsid w:val="000120DE"/>
    <w:rsid w:val="0001294F"/>
    <w:rsid w:val="00012C40"/>
    <w:rsid w:val="000157CA"/>
    <w:rsid w:val="00015996"/>
    <w:rsid w:val="00016586"/>
    <w:rsid w:val="000165AF"/>
    <w:rsid w:val="000178A8"/>
    <w:rsid w:val="00017EF5"/>
    <w:rsid w:val="00020EBC"/>
    <w:rsid w:val="00024809"/>
    <w:rsid w:val="00024B9A"/>
    <w:rsid w:val="00024BC8"/>
    <w:rsid w:val="00025011"/>
    <w:rsid w:val="000257CC"/>
    <w:rsid w:val="00026100"/>
    <w:rsid w:val="0002708A"/>
    <w:rsid w:val="00027184"/>
    <w:rsid w:val="000273AB"/>
    <w:rsid w:val="0003104A"/>
    <w:rsid w:val="000337D3"/>
    <w:rsid w:val="000339A0"/>
    <w:rsid w:val="00035926"/>
    <w:rsid w:val="00035C4F"/>
    <w:rsid w:val="0003657C"/>
    <w:rsid w:val="0003713C"/>
    <w:rsid w:val="00037CC2"/>
    <w:rsid w:val="000408B6"/>
    <w:rsid w:val="00041493"/>
    <w:rsid w:val="000419FB"/>
    <w:rsid w:val="000429F1"/>
    <w:rsid w:val="0004478F"/>
    <w:rsid w:val="00044A34"/>
    <w:rsid w:val="0004535C"/>
    <w:rsid w:val="00045E5B"/>
    <w:rsid w:val="00046E4A"/>
    <w:rsid w:val="00051C37"/>
    <w:rsid w:val="00052870"/>
    <w:rsid w:val="000531D3"/>
    <w:rsid w:val="00053547"/>
    <w:rsid w:val="000549D7"/>
    <w:rsid w:val="00055660"/>
    <w:rsid w:val="00055FD2"/>
    <w:rsid w:val="000568E4"/>
    <w:rsid w:val="000575EC"/>
    <w:rsid w:val="00060A19"/>
    <w:rsid w:val="00062A87"/>
    <w:rsid w:val="00062E59"/>
    <w:rsid w:val="000650DA"/>
    <w:rsid w:val="00065133"/>
    <w:rsid w:val="00065724"/>
    <w:rsid w:val="00070C9A"/>
    <w:rsid w:val="00070E62"/>
    <w:rsid w:val="00070F8F"/>
    <w:rsid w:val="00071784"/>
    <w:rsid w:val="00072037"/>
    <w:rsid w:val="00073408"/>
    <w:rsid w:val="00074E41"/>
    <w:rsid w:val="00075CAD"/>
    <w:rsid w:val="00075CD3"/>
    <w:rsid w:val="00075D6F"/>
    <w:rsid w:val="00076B27"/>
    <w:rsid w:val="00076E11"/>
    <w:rsid w:val="00081B70"/>
    <w:rsid w:val="00082A5E"/>
    <w:rsid w:val="00082E65"/>
    <w:rsid w:val="00082ECB"/>
    <w:rsid w:val="000852C3"/>
    <w:rsid w:val="00085732"/>
    <w:rsid w:val="000879A4"/>
    <w:rsid w:val="00087AE5"/>
    <w:rsid w:val="00087ECB"/>
    <w:rsid w:val="00091F42"/>
    <w:rsid w:val="00092309"/>
    <w:rsid w:val="00092916"/>
    <w:rsid w:val="00092FF4"/>
    <w:rsid w:val="000943FE"/>
    <w:rsid w:val="00095A26"/>
    <w:rsid w:val="00095B11"/>
    <w:rsid w:val="00097194"/>
    <w:rsid w:val="000A2BFA"/>
    <w:rsid w:val="000A5025"/>
    <w:rsid w:val="000A5376"/>
    <w:rsid w:val="000A550F"/>
    <w:rsid w:val="000A56A5"/>
    <w:rsid w:val="000A5ED2"/>
    <w:rsid w:val="000A6E79"/>
    <w:rsid w:val="000A72D0"/>
    <w:rsid w:val="000A7CC1"/>
    <w:rsid w:val="000A7EEE"/>
    <w:rsid w:val="000B2465"/>
    <w:rsid w:val="000B3937"/>
    <w:rsid w:val="000B6E08"/>
    <w:rsid w:val="000B6F50"/>
    <w:rsid w:val="000B7FAE"/>
    <w:rsid w:val="000C002B"/>
    <w:rsid w:val="000C32B4"/>
    <w:rsid w:val="000C38C4"/>
    <w:rsid w:val="000C3E14"/>
    <w:rsid w:val="000C4281"/>
    <w:rsid w:val="000C5FAD"/>
    <w:rsid w:val="000C792D"/>
    <w:rsid w:val="000D3237"/>
    <w:rsid w:val="000D47B2"/>
    <w:rsid w:val="000D48F8"/>
    <w:rsid w:val="000D50DD"/>
    <w:rsid w:val="000D5ABE"/>
    <w:rsid w:val="000D776F"/>
    <w:rsid w:val="000E032C"/>
    <w:rsid w:val="000E090C"/>
    <w:rsid w:val="000E1FAF"/>
    <w:rsid w:val="000E53CD"/>
    <w:rsid w:val="000E56D6"/>
    <w:rsid w:val="000E5DBE"/>
    <w:rsid w:val="000E6F19"/>
    <w:rsid w:val="000F129F"/>
    <w:rsid w:val="000F16F0"/>
    <w:rsid w:val="000F18B1"/>
    <w:rsid w:val="000F31C1"/>
    <w:rsid w:val="000F3E33"/>
    <w:rsid w:val="000F6FD6"/>
    <w:rsid w:val="00101643"/>
    <w:rsid w:val="001016B2"/>
    <w:rsid w:val="00101D88"/>
    <w:rsid w:val="00103E5F"/>
    <w:rsid w:val="001049F1"/>
    <w:rsid w:val="0010681A"/>
    <w:rsid w:val="0010761A"/>
    <w:rsid w:val="0011169E"/>
    <w:rsid w:val="00111930"/>
    <w:rsid w:val="00112DC1"/>
    <w:rsid w:val="001136C9"/>
    <w:rsid w:val="001172CE"/>
    <w:rsid w:val="00120321"/>
    <w:rsid w:val="00121D28"/>
    <w:rsid w:val="00121EDA"/>
    <w:rsid w:val="001225A8"/>
    <w:rsid w:val="00122904"/>
    <w:rsid w:val="00123652"/>
    <w:rsid w:val="00123693"/>
    <w:rsid w:val="001243D3"/>
    <w:rsid w:val="00124763"/>
    <w:rsid w:val="0012523B"/>
    <w:rsid w:val="0012599F"/>
    <w:rsid w:val="001259F6"/>
    <w:rsid w:val="00126910"/>
    <w:rsid w:val="00131CDC"/>
    <w:rsid w:val="00132F01"/>
    <w:rsid w:val="0013489F"/>
    <w:rsid w:val="001354F0"/>
    <w:rsid w:val="00136450"/>
    <w:rsid w:val="00136CB8"/>
    <w:rsid w:val="00136F2F"/>
    <w:rsid w:val="00137F63"/>
    <w:rsid w:val="00140D62"/>
    <w:rsid w:val="00140EBD"/>
    <w:rsid w:val="0014193A"/>
    <w:rsid w:val="0014290E"/>
    <w:rsid w:val="0014315E"/>
    <w:rsid w:val="00144C80"/>
    <w:rsid w:val="00145D16"/>
    <w:rsid w:val="00145F0B"/>
    <w:rsid w:val="001479FC"/>
    <w:rsid w:val="0015044A"/>
    <w:rsid w:val="001506F0"/>
    <w:rsid w:val="001506FF"/>
    <w:rsid w:val="00154946"/>
    <w:rsid w:val="00156DBC"/>
    <w:rsid w:val="001571F5"/>
    <w:rsid w:val="00157285"/>
    <w:rsid w:val="0016430E"/>
    <w:rsid w:val="00166495"/>
    <w:rsid w:val="00167281"/>
    <w:rsid w:val="00167BFE"/>
    <w:rsid w:val="001706F4"/>
    <w:rsid w:val="0017180E"/>
    <w:rsid w:val="0017451F"/>
    <w:rsid w:val="00174C9A"/>
    <w:rsid w:val="00175996"/>
    <w:rsid w:val="00176714"/>
    <w:rsid w:val="0018021D"/>
    <w:rsid w:val="00180AFB"/>
    <w:rsid w:val="00181D2E"/>
    <w:rsid w:val="00181D7D"/>
    <w:rsid w:val="0018241D"/>
    <w:rsid w:val="00183354"/>
    <w:rsid w:val="001836D6"/>
    <w:rsid w:val="001846AB"/>
    <w:rsid w:val="0018490B"/>
    <w:rsid w:val="001849A8"/>
    <w:rsid w:val="00185477"/>
    <w:rsid w:val="001857D8"/>
    <w:rsid w:val="001865A1"/>
    <w:rsid w:val="00186B8F"/>
    <w:rsid w:val="00190383"/>
    <w:rsid w:val="00191350"/>
    <w:rsid w:val="001924ED"/>
    <w:rsid w:val="00192843"/>
    <w:rsid w:val="00192E20"/>
    <w:rsid w:val="00193492"/>
    <w:rsid w:val="00193E4C"/>
    <w:rsid w:val="00195314"/>
    <w:rsid w:val="00197CB7"/>
    <w:rsid w:val="001A02AA"/>
    <w:rsid w:val="001A2286"/>
    <w:rsid w:val="001A3570"/>
    <w:rsid w:val="001A3B27"/>
    <w:rsid w:val="001A456F"/>
    <w:rsid w:val="001A498F"/>
    <w:rsid w:val="001A5B2C"/>
    <w:rsid w:val="001B0A34"/>
    <w:rsid w:val="001B0DA5"/>
    <w:rsid w:val="001B2DE3"/>
    <w:rsid w:val="001B6905"/>
    <w:rsid w:val="001B6E73"/>
    <w:rsid w:val="001B72B3"/>
    <w:rsid w:val="001B7465"/>
    <w:rsid w:val="001B7565"/>
    <w:rsid w:val="001C0460"/>
    <w:rsid w:val="001C0BFE"/>
    <w:rsid w:val="001C1167"/>
    <w:rsid w:val="001C1C90"/>
    <w:rsid w:val="001C2250"/>
    <w:rsid w:val="001C5963"/>
    <w:rsid w:val="001C6F8A"/>
    <w:rsid w:val="001D0BFA"/>
    <w:rsid w:val="001D0F33"/>
    <w:rsid w:val="001D220D"/>
    <w:rsid w:val="001D4687"/>
    <w:rsid w:val="001D5750"/>
    <w:rsid w:val="001D6804"/>
    <w:rsid w:val="001E003C"/>
    <w:rsid w:val="001E0E5C"/>
    <w:rsid w:val="001E4A12"/>
    <w:rsid w:val="001E61E8"/>
    <w:rsid w:val="001E7A3D"/>
    <w:rsid w:val="001F05C2"/>
    <w:rsid w:val="001F179C"/>
    <w:rsid w:val="001F2233"/>
    <w:rsid w:val="001F2B5A"/>
    <w:rsid w:val="001F335D"/>
    <w:rsid w:val="001F369A"/>
    <w:rsid w:val="001F3995"/>
    <w:rsid w:val="00200C5A"/>
    <w:rsid w:val="00202206"/>
    <w:rsid w:val="00203394"/>
    <w:rsid w:val="00204551"/>
    <w:rsid w:val="00204D60"/>
    <w:rsid w:val="00205AA3"/>
    <w:rsid w:val="0021093D"/>
    <w:rsid w:val="00212353"/>
    <w:rsid w:val="002124F8"/>
    <w:rsid w:val="00213979"/>
    <w:rsid w:val="002146C2"/>
    <w:rsid w:val="00214867"/>
    <w:rsid w:val="002152E3"/>
    <w:rsid w:val="0021538C"/>
    <w:rsid w:val="00215AC3"/>
    <w:rsid w:val="002161F8"/>
    <w:rsid w:val="002164F7"/>
    <w:rsid w:val="00216FD1"/>
    <w:rsid w:val="00220ACF"/>
    <w:rsid w:val="002212A3"/>
    <w:rsid w:val="00224394"/>
    <w:rsid w:val="00224A59"/>
    <w:rsid w:val="00225EFF"/>
    <w:rsid w:val="002260E5"/>
    <w:rsid w:val="00230BFB"/>
    <w:rsid w:val="0023320E"/>
    <w:rsid w:val="00234348"/>
    <w:rsid w:val="002355A2"/>
    <w:rsid w:val="00235A05"/>
    <w:rsid w:val="00235B0E"/>
    <w:rsid w:val="002403DE"/>
    <w:rsid w:val="00241125"/>
    <w:rsid w:val="00242707"/>
    <w:rsid w:val="00243345"/>
    <w:rsid w:val="002524FE"/>
    <w:rsid w:val="00253243"/>
    <w:rsid w:val="00254E11"/>
    <w:rsid w:val="002558A4"/>
    <w:rsid w:val="00260845"/>
    <w:rsid w:val="00262968"/>
    <w:rsid w:val="00262D20"/>
    <w:rsid w:val="0026588F"/>
    <w:rsid w:val="002678A5"/>
    <w:rsid w:val="00272482"/>
    <w:rsid w:val="00272713"/>
    <w:rsid w:val="00272B22"/>
    <w:rsid w:val="00277392"/>
    <w:rsid w:val="0027760F"/>
    <w:rsid w:val="00277A44"/>
    <w:rsid w:val="00280DD1"/>
    <w:rsid w:val="002810C2"/>
    <w:rsid w:val="002826C8"/>
    <w:rsid w:val="0028332C"/>
    <w:rsid w:val="00283C1A"/>
    <w:rsid w:val="00283F1B"/>
    <w:rsid w:val="00284AD0"/>
    <w:rsid w:val="00284E27"/>
    <w:rsid w:val="002852CF"/>
    <w:rsid w:val="0028622C"/>
    <w:rsid w:val="00287D78"/>
    <w:rsid w:val="002902DE"/>
    <w:rsid w:val="0029037A"/>
    <w:rsid w:val="002905B1"/>
    <w:rsid w:val="00290C02"/>
    <w:rsid w:val="00291052"/>
    <w:rsid w:val="00291D10"/>
    <w:rsid w:val="00292323"/>
    <w:rsid w:val="002927C2"/>
    <w:rsid w:val="002937E0"/>
    <w:rsid w:val="002969EF"/>
    <w:rsid w:val="00296C26"/>
    <w:rsid w:val="00296D0B"/>
    <w:rsid w:val="00296EFE"/>
    <w:rsid w:val="002976F8"/>
    <w:rsid w:val="00297EC4"/>
    <w:rsid w:val="002A00DC"/>
    <w:rsid w:val="002A5B66"/>
    <w:rsid w:val="002A7993"/>
    <w:rsid w:val="002A7B40"/>
    <w:rsid w:val="002A7E25"/>
    <w:rsid w:val="002B2E6B"/>
    <w:rsid w:val="002B45A0"/>
    <w:rsid w:val="002B4D51"/>
    <w:rsid w:val="002B5035"/>
    <w:rsid w:val="002B6A9B"/>
    <w:rsid w:val="002B6C45"/>
    <w:rsid w:val="002B74C7"/>
    <w:rsid w:val="002C033C"/>
    <w:rsid w:val="002C1339"/>
    <w:rsid w:val="002C1815"/>
    <w:rsid w:val="002C5045"/>
    <w:rsid w:val="002C65EF"/>
    <w:rsid w:val="002C6F30"/>
    <w:rsid w:val="002D04C9"/>
    <w:rsid w:val="002D1D59"/>
    <w:rsid w:val="002D2FC7"/>
    <w:rsid w:val="002D4156"/>
    <w:rsid w:val="002D46D2"/>
    <w:rsid w:val="002D572C"/>
    <w:rsid w:val="002D6463"/>
    <w:rsid w:val="002D76A8"/>
    <w:rsid w:val="002E28B6"/>
    <w:rsid w:val="002E3AF9"/>
    <w:rsid w:val="002E7209"/>
    <w:rsid w:val="002E76CC"/>
    <w:rsid w:val="002F0018"/>
    <w:rsid w:val="002F0E88"/>
    <w:rsid w:val="002F1ACA"/>
    <w:rsid w:val="002F292F"/>
    <w:rsid w:val="002F52A9"/>
    <w:rsid w:val="002F5AF5"/>
    <w:rsid w:val="002F6FF1"/>
    <w:rsid w:val="002F7A4A"/>
    <w:rsid w:val="0030042C"/>
    <w:rsid w:val="00304458"/>
    <w:rsid w:val="00304A8B"/>
    <w:rsid w:val="003062CE"/>
    <w:rsid w:val="00310F57"/>
    <w:rsid w:val="00313888"/>
    <w:rsid w:val="00314ACB"/>
    <w:rsid w:val="00314EDA"/>
    <w:rsid w:val="00314F85"/>
    <w:rsid w:val="0031577A"/>
    <w:rsid w:val="00315F37"/>
    <w:rsid w:val="0031680C"/>
    <w:rsid w:val="00320F0E"/>
    <w:rsid w:val="00321414"/>
    <w:rsid w:val="00322EBC"/>
    <w:rsid w:val="00324D61"/>
    <w:rsid w:val="00325033"/>
    <w:rsid w:val="00327418"/>
    <w:rsid w:val="003275D8"/>
    <w:rsid w:val="00327654"/>
    <w:rsid w:val="00327A05"/>
    <w:rsid w:val="00327D50"/>
    <w:rsid w:val="00330314"/>
    <w:rsid w:val="003322DE"/>
    <w:rsid w:val="00333236"/>
    <w:rsid w:val="00334162"/>
    <w:rsid w:val="00336BB7"/>
    <w:rsid w:val="003379A6"/>
    <w:rsid w:val="0034056D"/>
    <w:rsid w:val="003406C6"/>
    <w:rsid w:val="00341763"/>
    <w:rsid w:val="00341D9D"/>
    <w:rsid w:val="0034326C"/>
    <w:rsid w:val="00343F79"/>
    <w:rsid w:val="00350C51"/>
    <w:rsid w:val="0035139B"/>
    <w:rsid w:val="00351716"/>
    <w:rsid w:val="00352FB9"/>
    <w:rsid w:val="00353441"/>
    <w:rsid w:val="00354139"/>
    <w:rsid w:val="00355161"/>
    <w:rsid w:val="00355AFB"/>
    <w:rsid w:val="00356308"/>
    <w:rsid w:val="0035695A"/>
    <w:rsid w:val="00357681"/>
    <w:rsid w:val="00361312"/>
    <w:rsid w:val="00362D78"/>
    <w:rsid w:val="00363373"/>
    <w:rsid w:val="003642A8"/>
    <w:rsid w:val="003663A5"/>
    <w:rsid w:val="00366AC3"/>
    <w:rsid w:val="00366D44"/>
    <w:rsid w:val="00370286"/>
    <w:rsid w:val="00370FE4"/>
    <w:rsid w:val="00371923"/>
    <w:rsid w:val="0037475D"/>
    <w:rsid w:val="003757F6"/>
    <w:rsid w:val="00376D88"/>
    <w:rsid w:val="003806EF"/>
    <w:rsid w:val="0038495F"/>
    <w:rsid w:val="00385DEE"/>
    <w:rsid w:val="00386197"/>
    <w:rsid w:val="003861DA"/>
    <w:rsid w:val="00386F67"/>
    <w:rsid w:val="003872DE"/>
    <w:rsid w:val="003872E4"/>
    <w:rsid w:val="00390507"/>
    <w:rsid w:val="00392096"/>
    <w:rsid w:val="003926B2"/>
    <w:rsid w:val="00394155"/>
    <w:rsid w:val="003955C3"/>
    <w:rsid w:val="00395C7F"/>
    <w:rsid w:val="00396BAC"/>
    <w:rsid w:val="00397312"/>
    <w:rsid w:val="003978C5"/>
    <w:rsid w:val="003A21BE"/>
    <w:rsid w:val="003A2771"/>
    <w:rsid w:val="003A5F94"/>
    <w:rsid w:val="003A61DE"/>
    <w:rsid w:val="003B1AB3"/>
    <w:rsid w:val="003B2F8A"/>
    <w:rsid w:val="003B3A4C"/>
    <w:rsid w:val="003B3CA0"/>
    <w:rsid w:val="003B41A5"/>
    <w:rsid w:val="003B59B6"/>
    <w:rsid w:val="003B5F90"/>
    <w:rsid w:val="003B7580"/>
    <w:rsid w:val="003C0D0C"/>
    <w:rsid w:val="003C15A6"/>
    <w:rsid w:val="003C1DD0"/>
    <w:rsid w:val="003C2D4B"/>
    <w:rsid w:val="003C3FE5"/>
    <w:rsid w:val="003C6EBC"/>
    <w:rsid w:val="003C72FE"/>
    <w:rsid w:val="003D47DC"/>
    <w:rsid w:val="003D4F73"/>
    <w:rsid w:val="003D4FAC"/>
    <w:rsid w:val="003D58A3"/>
    <w:rsid w:val="003E0484"/>
    <w:rsid w:val="003E19D7"/>
    <w:rsid w:val="003E4632"/>
    <w:rsid w:val="003E4B90"/>
    <w:rsid w:val="003E61D9"/>
    <w:rsid w:val="003E68B1"/>
    <w:rsid w:val="003E6E84"/>
    <w:rsid w:val="003F0751"/>
    <w:rsid w:val="003F17E2"/>
    <w:rsid w:val="003F23DF"/>
    <w:rsid w:val="003F439A"/>
    <w:rsid w:val="003F439E"/>
    <w:rsid w:val="003F4D53"/>
    <w:rsid w:val="003F531A"/>
    <w:rsid w:val="003F587D"/>
    <w:rsid w:val="003F6775"/>
    <w:rsid w:val="003F7408"/>
    <w:rsid w:val="003F79C1"/>
    <w:rsid w:val="003F7B19"/>
    <w:rsid w:val="003F7CD9"/>
    <w:rsid w:val="00402688"/>
    <w:rsid w:val="00404049"/>
    <w:rsid w:val="00404085"/>
    <w:rsid w:val="0041039D"/>
    <w:rsid w:val="00411CE6"/>
    <w:rsid w:val="00412E80"/>
    <w:rsid w:val="00413785"/>
    <w:rsid w:val="004139B8"/>
    <w:rsid w:val="0041662A"/>
    <w:rsid w:val="00416866"/>
    <w:rsid w:val="00417229"/>
    <w:rsid w:val="00417463"/>
    <w:rsid w:val="00420BE8"/>
    <w:rsid w:val="00421639"/>
    <w:rsid w:val="004228FE"/>
    <w:rsid w:val="00422F22"/>
    <w:rsid w:val="004246F7"/>
    <w:rsid w:val="00426C31"/>
    <w:rsid w:val="00427A84"/>
    <w:rsid w:val="004325B9"/>
    <w:rsid w:val="0043424C"/>
    <w:rsid w:val="00435C8C"/>
    <w:rsid w:val="00436619"/>
    <w:rsid w:val="00436C60"/>
    <w:rsid w:val="00440320"/>
    <w:rsid w:val="004442FC"/>
    <w:rsid w:val="00444F17"/>
    <w:rsid w:val="00445418"/>
    <w:rsid w:val="004461AB"/>
    <w:rsid w:val="00447A5D"/>
    <w:rsid w:val="00450310"/>
    <w:rsid w:val="004551CA"/>
    <w:rsid w:val="00456000"/>
    <w:rsid w:val="0045737B"/>
    <w:rsid w:val="0046047A"/>
    <w:rsid w:val="004618FF"/>
    <w:rsid w:val="00461DD8"/>
    <w:rsid w:val="0046250C"/>
    <w:rsid w:val="00465927"/>
    <w:rsid w:val="00471976"/>
    <w:rsid w:val="00471C09"/>
    <w:rsid w:val="00471C78"/>
    <w:rsid w:val="00473F49"/>
    <w:rsid w:val="00474396"/>
    <w:rsid w:val="00474CAE"/>
    <w:rsid w:val="00475344"/>
    <w:rsid w:val="00476212"/>
    <w:rsid w:val="004762AA"/>
    <w:rsid w:val="00477252"/>
    <w:rsid w:val="004815E5"/>
    <w:rsid w:val="00481BA3"/>
    <w:rsid w:val="004829A7"/>
    <w:rsid w:val="004829AA"/>
    <w:rsid w:val="00482DC5"/>
    <w:rsid w:val="00484265"/>
    <w:rsid w:val="0048443B"/>
    <w:rsid w:val="004845CD"/>
    <w:rsid w:val="00487E72"/>
    <w:rsid w:val="00491461"/>
    <w:rsid w:val="00494F57"/>
    <w:rsid w:val="0049662C"/>
    <w:rsid w:val="004A279A"/>
    <w:rsid w:val="004A46A6"/>
    <w:rsid w:val="004A4CD1"/>
    <w:rsid w:val="004A5018"/>
    <w:rsid w:val="004A5CBB"/>
    <w:rsid w:val="004A5EDD"/>
    <w:rsid w:val="004A640A"/>
    <w:rsid w:val="004A6679"/>
    <w:rsid w:val="004A6EAE"/>
    <w:rsid w:val="004A6F39"/>
    <w:rsid w:val="004A75CD"/>
    <w:rsid w:val="004B00E8"/>
    <w:rsid w:val="004B11F5"/>
    <w:rsid w:val="004B19B3"/>
    <w:rsid w:val="004B1FA5"/>
    <w:rsid w:val="004B2DEF"/>
    <w:rsid w:val="004B3527"/>
    <w:rsid w:val="004B53DC"/>
    <w:rsid w:val="004B5E21"/>
    <w:rsid w:val="004B6B86"/>
    <w:rsid w:val="004B6DC5"/>
    <w:rsid w:val="004B70AA"/>
    <w:rsid w:val="004B7D08"/>
    <w:rsid w:val="004C03A3"/>
    <w:rsid w:val="004C0C62"/>
    <w:rsid w:val="004C1B1E"/>
    <w:rsid w:val="004C2784"/>
    <w:rsid w:val="004C39D0"/>
    <w:rsid w:val="004C4D60"/>
    <w:rsid w:val="004C7092"/>
    <w:rsid w:val="004C73B9"/>
    <w:rsid w:val="004D02EF"/>
    <w:rsid w:val="004D1994"/>
    <w:rsid w:val="004D2196"/>
    <w:rsid w:val="004D2855"/>
    <w:rsid w:val="004D2D50"/>
    <w:rsid w:val="004D345C"/>
    <w:rsid w:val="004D3A8E"/>
    <w:rsid w:val="004D5028"/>
    <w:rsid w:val="004D5B04"/>
    <w:rsid w:val="004D6136"/>
    <w:rsid w:val="004D63BF"/>
    <w:rsid w:val="004D6B99"/>
    <w:rsid w:val="004D794D"/>
    <w:rsid w:val="004E09E5"/>
    <w:rsid w:val="004E2009"/>
    <w:rsid w:val="004E43D8"/>
    <w:rsid w:val="004E52CA"/>
    <w:rsid w:val="004E6CF9"/>
    <w:rsid w:val="004F00F1"/>
    <w:rsid w:val="004F0D66"/>
    <w:rsid w:val="004F1819"/>
    <w:rsid w:val="004F20A3"/>
    <w:rsid w:val="004F3AD2"/>
    <w:rsid w:val="004F5129"/>
    <w:rsid w:val="004F7261"/>
    <w:rsid w:val="004F7A93"/>
    <w:rsid w:val="00500741"/>
    <w:rsid w:val="005009A2"/>
    <w:rsid w:val="005035ED"/>
    <w:rsid w:val="00504010"/>
    <w:rsid w:val="00504CD6"/>
    <w:rsid w:val="00505187"/>
    <w:rsid w:val="00505552"/>
    <w:rsid w:val="005068D6"/>
    <w:rsid w:val="005110B7"/>
    <w:rsid w:val="005122CC"/>
    <w:rsid w:val="00512548"/>
    <w:rsid w:val="00512F24"/>
    <w:rsid w:val="0051391B"/>
    <w:rsid w:val="00514CCA"/>
    <w:rsid w:val="00516632"/>
    <w:rsid w:val="005167E6"/>
    <w:rsid w:val="0051708F"/>
    <w:rsid w:val="0051720B"/>
    <w:rsid w:val="005202B4"/>
    <w:rsid w:val="005211CF"/>
    <w:rsid w:val="00521510"/>
    <w:rsid w:val="00521A25"/>
    <w:rsid w:val="005236F2"/>
    <w:rsid w:val="00523AA5"/>
    <w:rsid w:val="00524C91"/>
    <w:rsid w:val="00524D51"/>
    <w:rsid w:val="00527018"/>
    <w:rsid w:val="0052768C"/>
    <w:rsid w:val="005316C3"/>
    <w:rsid w:val="0053182F"/>
    <w:rsid w:val="00531E64"/>
    <w:rsid w:val="00531FFB"/>
    <w:rsid w:val="00532062"/>
    <w:rsid w:val="00533A31"/>
    <w:rsid w:val="00535830"/>
    <w:rsid w:val="0053610A"/>
    <w:rsid w:val="005364DE"/>
    <w:rsid w:val="00536808"/>
    <w:rsid w:val="00536839"/>
    <w:rsid w:val="00536ACE"/>
    <w:rsid w:val="00537A1C"/>
    <w:rsid w:val="0054082D"/>
    <w:rsid w:val="00541B52"/>
    <w:rsid w:val="005427C1"/>
    <w:rsid w:val="00543F59"/>
    <w:rsid w:val="00547BE6"/>
    <w:rsid w:val="005520A6"/>
    <w:rsid w:val="00554122"/>
    <w:rsid w:val="00554C1E"/>
    <w:rsid w:val="00555999"/>
    <w:rsid w:val="00557066"/>
    <w:rsid w:val="00557C4D"/>
    <w:rsid w:val="00557D91"/>
    <w:rsid w:val="00560F73"/>
    <w:rsid w:val="00561CAC"/>
    <w:rsid w:val="0056289D"/>
    <w:rsid w:val="00563278"/>
    <w:rsid w:val="0056340A"/>
    <w:rsid w:val="005642B6"/>
    <w:rsid w:val="00564352"/>
    <w:rsid w:val="00564EA7"/>
    <w:rsid w:val="00565AA8"/>
    <w:rsid w:val="005663EA"/>
    <w:rsid w:val="00566ED8"/>
    <w:rsid w:val="005705E2"/>
    <w:rsid w:val="00573449"/>
    <w:rsid w:val="00573B2F"/>
    <w:rsid w:val="00573DC6"/>
    <w:rsid w:val="005762B2"/>
    <w:rsid w:val="00576ED6"/>
    <w:rsid w:val="00577737"/>
    <w:rsid w:val="00581839"/>
    <w:rsid w:val="00581D8A"/>
    <w:rsid w:val="00581DAD"/>
    <w:rsid w:val="005820A4"/>
    <w:rsid w:val="005842D2"/>
    <w:rsid w:val="00586568"/>
    <w:rsid w:val="00586599"/>
    <w:rsid w:val="00587440"/>
    <w:rsid w:val="00587B81"/>
    <w:rsid w:val="00587C5C"/>
    <w:rsid w:val="00587EB4"/>
    <w:rsid w:val="005904D2"/>
    <w:rsid w:val="005918CA"/>
    <w:rsid w:val="00594BD5"/>
    <w:rsid w:val="00596270"/>
    <w:rsid w:val="00597DBA"/>
    <w:rsid w:val="00597F87"/>
    <w:rsid w:val="005A29A7"/>
    <w:rsid w:val="005A4EA6"/>
    <w:rsid w:val="005A549A"/>
    <w:rsid w:val="005A7071"/>
    <w:rsid w:val="005B188B"/>
    <w:rsid w:val="005B470E"/>
    <w:rsid w:val="005B48E1"/>
    <w:rsid w:val="005B5951"/>
    <w:rsid w:val="005B5C4C"/>
    <w:rsid w:val="005B6695"/>
    <w:rsid w:val="005B6A9E"/>
    <w:rsid w:val="005B790E"/>
    <w:rsid w:val="005B7B85"/>
    <w:rsid w:val="005C04D2"/>
    <w:rsid w:val="005C1DBC"/>
    <w:rsid w:val="005C3A7C"/>
    <w:rsid w:val="005C5B23"/>
    <w:rsid w:val="005C6F11"/>
    <w:rsid w:val="005D0FAA"/>
    <w:rsid w:val="005D1F15"/>
    <w:rsid w:val="005D22B8"/>
    <w:rsid w:val="005D2FD7"/>
    <w:rsid w:val="005D304C"/>
    <w:rsid w:val="005D4B83"/>
    <w:rsid w:val="005D559C"/>
    <w:rsid w:val="005D5C84"/>
    <w:rsid w:val="005D69D5"/>
    <w:rsid w:val="005E4295"/>
    <w:rsid w:val="005E45A1"/>
    <w:rsid w:val="005E5895"/>
    <w:rsid w:val="005E6E80"/>
    <w:rsid w:val="005E7A75"/>
    <w:rsid w:val="005F24F6"/>
    <w:rsid w:val="005F2555"/>
    <w:rsid w:val="005F4351"/>
    <w:rsid w:val="005F508B"/>
    <w:rsid w:val="005F7724"/>
    <w:rsid w:val="006006E5"/>
    <w:rsid w:val="00601419"/>
    <w:rsid w:val="006062DE"/>
    <w:rsid w:val="00606336"/>
    <w:rsid w:val="00607345"/>
    <w:rsid w:val="006101E0"/>
    <w:rsid w:val="006103AD"/>
    <w:rsid w:val="006106CF"/>
    <w:rsid w:val="0061198B"/>
    <w:rsid w:val="00613929"/>
    <w:rsid w:val="00615016"/>
    <w:rsid w:val="00616F9E"/>
    <w:rsid w:val="006202C1"/>
    <w:rsid w:val="006206F2"/>
    <w:rsid w:val="00621A69"/>
    <w:rsid w:val="00621A6A"/>
    <w:rsid w:val="00621A6F"/>
    <w:rsid w:val="00623AFD"/>
    <w:rsid w:val="0062459B"/>
    <w:rsid w:val="00625C83"/>
    <w:rsid w:val="006267F5"/>
    <w:rsid w:val="0063246E"/>
    <w:rsid w:val="0063441A"/>
    <w:rsid w:val="00635F27"/>
    <w:rsid w:val="00636303"/>
    <w:rsid w:val="006373A6"/>
    <w:rsid w:val="00641DCF"/>
    <w:rsid w:val="00642772"/>
    <w:rsid w:val="00643A0E"/>
    <w:rsid w:val="00644725"/>
    <w:rsid w:val="006447A6"/>
    <w:rsid w:val="00644EC8"/>
    <w:rsid w:val="00645D70"/>
    <w:rsid w:val="00647B7C"/>
    <w:rsid w:val="00651721"/>
    <w:rsid w:val="00653C0D"/>
    <w:rsid w:val="00654A36"/>
    <w:rsid w:val="006558A7"/>
    <w:rsid w:val="006562E5"/>
    <w:rsid w:val="00656AFD"/>
    <w:rsid w:val="00662ABE"/>
    <w:rsid w:val="0066312A"/>
    <w:rsid w:val="00664170"/>
    <w:rsid w:val="00664528"/>
    <w:rsid w:val="006658A9"/>
    <w:rsid w:val="006660F0"/>
    <w:rsid w:val="00666E4D"/>
    <w:rsid w:val="00674DBD"/>
    <w:rsid w:val="0067766A"/>
    <w:rsid w:val="006803AA"/>
    <w:rsid w:val="00680871"/>
    <w:rsid w:val="00681A37"/>
    <w:rsid w:val="00683F1D"/>
    <w:rsid w:val="006841A4"/>
    <w:rsid w:val="0068515F"/>
    <w:rsid w:val="00685249"/>
    <w:rsid w:val="006852FF"/>
    <w:rsid w:val="00687A40"/>
    <w:rsid w:val="00691439"/>
    <w:rsid w:val="006917BB"/>
    <w:rsid w:val="00694282"/>
    <w:rsid w:val="00696A5C"/>
    <w:rsid w:val="00696C45"/>
    <w:rsid w:val="006A043E"/>
    <w:rsid w:val="006A1A67"/>
    <w:rsid w:val="006A1BF9"/>
    <w:rsid w:val="006A236F"/>
    <w:rsid w:val="006A2DCE"/>
    <w:rsid w:val="006A2EB1"/>
    <w:rsid w:val="006A2F32"/>
    <w:rsid w:val="006A3E39"/>
    <w:rsid w:val="006A4266"/>
    <w:rsid w:val="006A51E6"/>
    <w:rsid w:val="006B1C33"/>
    <w:rsid w:val="006B1E94"/>
    <w:rsid w:val="006B4727"/>
    <w:rsid w:val="006B55FA"/>
    <w:rsid w:val="006B5F75"/>
    <w:rsid w:val="006C01FA"/>
    <w:rsid w:val="006C051E"/>
    <w:rsid w:val="006C4D28"/>
    <w:rsid w:val="006C4F4C"/>
    <w:rsid w:val="006C5339"/>
    <w:rsid w:val="006C536F"/>
    <w:rsid w:val="006C540B"/>
    <w:rsid w:val="006D30E9"/>
    <w:rsid w:val="006D3F73"/>
    <w:rsid w:val="006D4588"/>
    <w:rsid w:val="006D4728"/>
    <w:rsid w:val="006D4C83"/>
    <w:rsid w:val="006E045C"/>
    <w:rsid w:val="006E23F3"/>
    <w:rsid w:val="006E29A6"/>
    <w:rsid w:val="006E375F"/>
    <w:rsid w:val="006E3B39"/>
    <w:rsid w:val="006E6154"/>
    <w:rsid w:val="006F0383"/>
    <w:rsid w:val="006F0B23"/>
    <w:rsid w:val="006F55D8"/>
    <w:rsid w:val="006F5AAF"/>
    <w:rsid w:val="006F6224"/>
    <w:rsid w:val="006F72B6"/>
    <w:rsid w:val="00700D02"/>
    <w:rsid w:val="00701D79"/>
    <w:rsid w:val="00703307"/>
    <w:rsid w:val="00703A68"/>
    <w:rsid w:val="00704FA9"/>
    <w:rsid w:val="00705F60"/>
    <w:rsid w:val="0071149E"/>
    <w:rsid w:val="00712BBA"/>
    <w:rsid w:val="00713B2B"/>
    <w:rsid w:val="007159C4"/>
    <w:rsid w:val="00715E24"/>
    <w:rsid w:val="0071651B"/>
    <w:rsid w:val="007175FF"/>
    <w:rsid w:val="007178DD"/>
    <w:rsid w:val="00721B66"/>
    <w:rsid w:val="00723000"/>
    <w:rsid w:val="00723853"/>
    <w:rsid w:val="00723AAA"/>
    <w:rsid w:val="00724BC9"/>
    <w:rsid w:val="00727816"/>
    <w:rsid w:val="00731919"/>
    <w:rsid w:val="00731C4A"/>
    <w:rsid w:val="007320CB"/>
    <w:rsid w:val="00732CAC"/>
    <w:rsid w:val="00734172"/>
    <w:rsid w:val="00735199"/>
    <w:rsid w:val="00737866"/>
    <w:rsid w:val="00737BD4"/>
    <w:rsid w:val="0074103A"/>
    <w:rsid w:val="007410E6"/>
    <w:rsid w:val="0074147A"/>
    <w:rsid w:val="007417B2"/>
    <w:rsid w:val="00743168"/>
    <w:rsid w:val="00743AE5"/>
    <w:rsid w:val="00744B92"/>
    <w:rsid w:val="0074640A"/>
    <w:rsid w:val="00746659"/>
    <w:rsid w:val="007472AC"/>
    <w:rsid w:val="00751E51"/>
    <w:rsid w:val="00752D75"/>
    <w:rsid w:val="00752F91"/>
    <w:rsid w:val="00755E63"/>
    <w:rsid w:val="007571D1"/>
    <w:rsid w:val="007571FD"/>
    <w:rsid w:val="00764342"/>
    <w:rsid w:val="00765877"/>
    <w:rsid w:val="00772554"/>
    <w:rsid w:val="007757DD"/>
    <w:rsid w:val="00775C78"/>
    <w:rsid w:val="00775E26"/>
    <w:rsid w:val="00777006"/>
    <w:rsid w:val="00777357"/>
    <w:rsid w:val="0077770B"/>
    <w:rsid w:val="0078059E"/>
    <w:rsid w:val="0078069E"/>
    <w:rsid w:val="00781D99"/>
    <w:rsid w:val="00782C6A"/>
    <w:rsid w:val="00784075"/>
    <w:rsid w:val="00784E94"/>
    <w:rsid w:val="00785D04"/>
    <w:rsid w:val="00786563"/>
    <w:rsid w:val="00786650"/>
    <w:rsid w:val="0078786D"/>
    <w:rsid w:val="00791A24"/>
    <w:rsid w:val="007946C3"/>
    <w:rsid w:val="007A00F1"/>
    <w:rsid w:val="007A0623"/>
    <w:rsid w:val="007A1292"/>
    <w:rsid w:val="007A19A2"/>
    <w:rsid w:val="007A2AD5"/>
    <w:rsid w:val="007A452D"/>
    <w:rsid w:val="007A4530"/>
    <w:rsid w:val="007A4620"/>
    <w:rsid w:val="007A47C0"/>
    <w:rsid w:val="007A4DB1"/>
    <w:rsid w:val="007A4DE4"/>
    <w:rsid w:val="007A5B6C"/>
    <w:rsid w:val="007A6DBA"/>
    <w:rsid w:val="007A7151"/>
    <w:rsid w:val="007A79B8"/>
    <w:rsid w:val="007B0DBD"/>
    <w:rsid w:val="007B0FD1"/>
    <w:rsid w:val="007B11B5"/>
    <w:rsid w:val="007B1BBA"/>
    <w:rsid w:val="007B3833"/>
    <w:rsid w:val="007B4D22"/>
    <w:rsid w:val="007B5653"/>
    <w:rsid w:val="007B6635"/>
    <w:rsid w:val="007B6C6C"/>
    <w:rsid w:val="007C06F7"/>
    <w:rsid w:val="007C14FB"/>
    <w:rsid w:val="007C1756"/>
    <w:rsid w:val="007C2A38"/>
    <w:rsid w:val="007C3AF2"/>
    <w:rsid w:val="007C565B"/>
    <w:rsid w:val="007C5B17"/>
    <w:rsid w:val="007C72B5"/>
    <w:rsid w:val="007D1E2E"/>
    <w:rsid w:val="007D2CC6"/>
    <w:rsid w:val="007D4A8D"/>
    <w:rsid w:val="007D5A62"/>
    <w:rsid w:val="007D6190"/>
    <w:rsid w:val="007D6CA7"/>
    <w:rsid w:val="007D6E24"/>
    <w:rsid w:val="007D6F6F"/>
    <w:rsid w:val="007D759B"/>
    <w:rsid w:val="007E05C5"/>
    <w:rsid w:val="007E06B2"/>
    <w:rsid w:val="007E0C21"/>
    <w:rsid w:val="007E1DB8"/>
    <w:rsid w:val="007E20D4"/>
    <w:rsid w:val="007E23E4"/>
    <w:rsid w:val="007E2ABF"/>
    <w:rsid w:val="007E34F3"/>
    <w:rsid w:val="007E4094"/>
    <w:rsid w:val="007E430E"/>
    <w:rsid w:val="007E48DA"/>
    <w:rsid w:val="007E5CB9"/>
    <w:rsid w:val="007E61EA"/>
    <w:rsid w:val="007E714B"/>
    <w:rsid w:val="007F239E"/>
    <w:rsid w:val="007F4A2F"/>
    <w:rsid w:val="007F5956"/>
    <w:rsid w:val="007F5FB6"/>
    <w:rsid w:val="007F6477"/>
    <w:rsid w:val="007F7D7F"/>
    <w:rsid w:val="007F7E45"/>
    <w:rsid w:val="0080420F"/>
    <w:rsid w:val="00807FD1"/>
    <w:rsid w:val="00810945"/>
    <w:rsid w:val="00811097"/>
    <w:rsid w:val="0081180E"/>
    <w:rsid w:val="00811E6A"/>
    <w:rsid w:val="0081247B"/>
    <w:rsid w:val="008139D4"/>
    <w:rsid w:val="00814FDD"/>
    <w:rsid w:val="0081518E"/>
    <w:rsid w:val="00815998"/>
    <w:rsid w:val="0081626A"/>
    <w:rsid w:val="008169C8"/>
    <w:rsid w:val="008203DD"/>
    <w:rsid w:val="0082048B"/>
    <w:rsid w:val="008214D2"/>
    <w:rsid w:val="008236AB"/>
    <w:rsid w:val="0082418E"/>
    <w:rsid w:val="00824DDE"/>
    <w:rsid w:val="00826EB3"/>
    <w:rsid w:val="00827141"/>
    <w:rsid w:val="00827C9D"/>
    <w:rsid w:val="00831129"/>
    <w:rsid w:val="008334C1"/>
    <w:rsid w:val="00833584"/>
    <w:rsid w:val="00833EA6"/>
    <w:rsid w:val="00833F3E"/>
    <w:rsid w:val="00834DE0"/>
    <w:rsid w:val="00834F93"/>
    <w:rsid w:val="00835E08"/>
    <w:rsid w:val="00840B3D"/>
    <w:rsid w:val="00841487"/>
    <w:rsid w:val="008418FB"/>
    <w:rsid w:val="0084215B"/>
    <w:rsid w:val="0084219D"/>
    <w:rsid w:val="0084272C"/>
    <w:rsid w:val="00850718"/>
    <w:rsid w:val="0085177C"/>
    <w:rsid w:val="00852E94"/>
    <w:rsid w:val="00853877"/>
    <w:rsid w:val="00853DE9"/>
    <w:rsid w:val="00854C9E"/>
    <w:rsid w:val="00862C27"/>
    <w:rsid w:val="0086369F"/>
    <w:rsid w:val="00864F28"/>
    <w:rsid w:val="00865B2F"/>
    <w:rsid w:val="00866185"/>
    <w:rsid w:val="00866D87"/>
    <w:rsid w:val="00867113"/>
    <w:rsid w:val="00867450"/>
    <w:rsid w:val="00867F34"/>
    <w:rsid w:val="00870926"/>
    <w:rsid w:val="00870BB9"/>
    <w:rsid w:val="00870C48"/>
    <w:rsid w:val="00871903"/>
    <w:rsid w:val="008759E1"/>
    <w:rsid w:val="00876147"/>
    <w:rsid w:val="00876E62"/>
    <w:rsid w:val="008772C8"/>
    <w:rsid w:val="0088047D"/>
    <w:rsid w:val="00881138"/>
    <w:rsid w:val="00882C06"/>
    <w:rsid w:val="00886377"/>
    <w:rsid w:val="00887D35"/>
    <w:rsid w:val="00887F36"/>
    <w:rsid w:val="008901BE"/>
    <w:rsid w:val="0089106F"/>
    <w:rsid w:val="0089184A"/>
    <w:rsid w:val="0089235A"/>
    <w:rsid w:val="008925B4"/>
    <w:rsid w:val="008946F9"/>
    <w:rsid w:val="00894AB2"/>
    <w:rsid w:val="008A066B"/>
    <w:rsid w:val="008A0C2A"/>
    <w:rsid w:val="008A0C33"/>
    <w:rsid w:val="008A118F"/>
    <w:rsid w:val="008A1FC2"/>
    <w:rsid w:val="008A420D"/>
    <w:rsid w:val="008A56C1"/>
    <w:rsid w:val="008A57F4"/>
    <w:rsid w:val="008A5F1F"/>
    <w:rsid w:val="008A7D95"/>
    <w:rsid w:val="008B0836"/>
    <w:rsid w:val="008B1F7A"/>
    <w:rsid w:val="008B287B"/>
    <w:rsid w:val="008B3570"/>
    <w:rsid w:val="008B7453"/>
    <w:rsid w:val="008C0B0A"/>
    <w:rsid w:val="008C1EE9"/>
    <w:rsid w:val="008C2059"/>
    <w:rsid w:val="008C233B"/>
    <w:rsid w:val="008C2CF4"/>
    <w:rsid w:val="008C5F36"/>
    <w:rsid w:val="008C7A6F"/>
    <w:rsid w:val="008D36B2"/>
    <w:rsid w:val="008D37B6"/>
    <w:rsid w:val="008D3C76"/>
    <w:rsid w:val="008D40D3"/>
    <w:rsid w:val="008D6718"/>
    <w:rsid w:val="008D728A"/>
    <w:rsid w:val="008D770F"/>
    <w:rsid w:val="008E2C03"/>
    <w:rsid w:val="008E3441"/>
    <w:rsid w:val="008E347B"/>
    <w:rsid w:val="008E3547"/>
    <w:rsid w:val="008E37B0"/>
    <w:rsid w:val="008E5056"/>
    <w:rsid w:val="008E5406"/>
    <w:rsid w:val="008E6EAD"/>
    <w:rsid w:val="008E7C02"/>
    <w:rsid w:val="008F02F2"/>
    <w:rsid w:val="008F07AB"/>
    <w:rsid w:val="008F1306"/>
    <w:rsid w:val="008F1D3F"/>
    <w:rsid w:val="008F1F24"/>
    <w:rsid w:val="008F24BA"/>
    <w:rsid w:val="008F25C1"/>
    <w:rsid w:val="008F3227"/>
    <w:rsid w:val="008F3BE8"/>
    <w:rsid w:val="008F3D3D"/>
    <w:rsid w:val="008F5D22"/>
    <w:rsid w:val="008F6CAE"/>
    <w:rsid w:val="008F73EA"/>
    <w:rsid w:val="00900761"/>
    <w:rsid w:val="0090184D"/>
    <w:rsid w:val="00903872"/>
    <w:rsid w:val="009040D8"/>
    <w:rsid w:val="00905772"/>
    <w:rsid w:val="009068EB"/>
    <w:rsid w:val="00906F8C"/>
    <w:rsid w:val="00910E7A"/>
    <w:rsid w:val="00912AF7"/>
    <w:rsid w:val="00914209"/>
    <w:rsid w:val="00916F30"/>
    <w:rsid w:val="0091724A"/>
    <w:rsid w:val="009176E1"/>
    <w:rsid w:val="00920A25"/>
    <w:rsid w:val="00922175"/>
    <w:rsid w:val="00922B59"/>
    <w:rsid w:val="00924395"/>
    <w:rsid w:val="009243B4"/>
    <w:rsid w:val="0092515B"/>
    <w:rsid w:val="00925955"/>
    <w:rsid w:val="00926ED9"/>
    <w:rsid w:val="009275A5"/>
    <w:rsid w:val="0092765D"/>
    <w:rsid w:val="0093136F"/>
    <w:rsid w:val="00932984"/>
    <w:rsid w:val="009332D1"/>
    <w:rsid w:val="00934066"/>
    <w:rsid w:val="009340A5"/>
    <w:rsid w:val="009343B9"/>
    <w:rsid w:val="00935C21"/>
    <w:rsid w:val="00935DCD"/>
    <w:rsid w:val="00936CF5"/>
    <w:rsid w:val="0093744E"/>
    <w:rsid w:val="0094034C"/>
    <w:rsid w:val="00940626"/>
    <w:rsid w:val="0094116F"/>
    <w:rsid w:val="00941930"/>
    <w:rsid w:val="00943FD2"/>
    <w:rsid w:val="00944CAD"/>
    <w:rsid w:val="00944E05"/>
    <w:rsid w:val="00945BDA"/>
    <w:rsid w:val="009475BB"/>
    <w:rsid w:val="0095106D"/>
    <w:rsid w:val="0095197C"/>
    <w:rsid w:val="00951E65"/>
    <w:rsid w:val="0095431C"/>
    <w:rsid w:val="009543E8"/>
    <w:rsid w:val="009565F2"/>
    <w:rsid w:val="009605B6"/>
    <w:rsid w:val="00961F08"/>
    <w:rsid w:val="00962362"/>
    <w:rsid w:val="00962836"/>
    <w:rsid w:val="00962F8B"/>
    <w:rsid w:val="009642D0"/>
    <w:rsid w:val="009653E7"/>
    <w:rsid w:val="00965BAF"/>
    <w:rsid w:val="009666E3"/>
    <w:rsid w:val="0096694D"/>
    <w:rsid w:val="00967F89"/>
    <w:rsid w:val="00970CF9"/>
    <w:rsid w:val="00970D45"/>
    <w:rsid w:val="0097137C"/>
    <w:rsid w:val="0097179D"/>
    <w:rsid w:val="00971869"/>
    <w:rsid w:val="009728DC"/>
    <w:rsid w:val="00973810"/>
    <w:rsid w:val="0097449D"/>
    <w:rsid w:val="00974B75"/>
    <w:rsid w:val="009757E4"/>
    <w:rsid w:val="0098061D"/>
    <w:rsid w:val="00980704"/>
    <w:rsid w:val="00981330"/>
    <w:rsid w:val="009816F5"/>
    <w:rsid w:val="00981B73"/>
    <w:rsid w:val="00983586"/>
    <w:rsid w:val="00985E9E"/>
    <w:rsid w:val="009870BB"/>
    <w:rsid w:val="00987153"/>
    <w:rsid w:val="00987F39"/>
    <w:rsid w:val="009928DD"/>
    <w:rsid w:val="00992AAF"/>
    <w:rsid w:val="00992FD0"/>
    <w:rsid w:val="0099662D"/>
    <w:rsid w:val="00996D9F"/>
    <w:rsid w:val="00997572"/>
    <w:rsid w:val="00997779"/>
    <w:rsid w:val="009A22F1"/>
    <w:rsid w:val="009A2860"/>
    <w:rsid w:val="009A3895"/>
    <w:rsid w:val="009A4DD5"/>
    <w:rsid w:val="009A4F26"/>
    <w:rsid w:val="009A55BA"/>
    <w:rsid w:val="009A7ABB"/>
    <w:rsid w:val="009A7EE4"/>
    <w:rsid w:val="009B0000"/>
    <w:rsid w:val="009B0CE4"/>
    <w:rsid w:val="009B2EDF"/>
    <w:rsid w:val="009B31D9"/>
    <w:rsid w:val="009B368F"/>
    <w:rsid w:val="009B36FC"/>
    <w:rsid w:val="009B3AD6"/>
    <w:rsid w:val="009B3DEE"/>
    <w:rsid w:val="009B418F"/>
    <w:rsid w:val="009B44D3"/>
    <w:rsid w:val="009B4C46"/>
    <w:rsid w:val="009B54B9"/>
    <w:rsid w:val="009B58C5"/>
    <w:rsid w:val="009B62C0"/>
    <w:rsid w:val="009B6E79"/>
    <w:rsid w:val="009B725E"/>
    <w:rsid w:val="009C03E3"/>
    <w:rsid w:val="009C44C7"/>
    <w:rsid w:val="009C6C51"/>
    <w:rsid w:val="009C77E3"/>
    <w:rsid w:val="009C7F0C"/>
    <w:rsid w:val="009D0297"/>
    <w:rsid w:val="009D1339"/>
    <w:rsid w:val="009D2647"/>
    <w:rsid w:val="009D3773"/>
    <w:rsid w:val="009D41FD"/>
    <w:rsid w:val="009D48CF"/>
    <w:rsid w:val="009D6388"/>
    <w:rsid w:val="009D741F"/>
    <w:rsid w:val="009E3400"/>
    <w:rsid w:val="009E3AB5"/>
    <w:rsid w:val="009E4682"/>
    <w:rsid w:val="009E5CCB"/>
    <w:rsid w:val="009E68B0"/>
    <w:rsid w:val="009E76AE"/>
    <w:rsid w:val="009E7AA6"/>
    <w:rsid w:val="009F090E"/>
    <w:rsid w:val="009F0C06"/>
    <w:rsid w:val="009F3C22"/>
    <w:rsid w:val="009F6C06"/>
    <w:rsid w:val="009F6E15"/>
    <w:rsid w:val="00A003B0"/>
    <w:rsid w:val="00A0058B"/>
    <w:rsid w:val="00A0081B"/>
    <w:rsid w:val="00A008A1"/>
    <w:rsid w:val="00A00D99"/>
    <w:rsid w:val="00A0193C"/>
    <w:rsid w:val="00A03E90"/>
    <w:rsid w:val="00A06EA2"/>
    <w:rsid w:val="00A07455"/>
    <w:rsid w:val="00A0751B"/>
    <w:rsid w:val="00A077F7"/>
    <w:rsid w:val="00A105FB"/>
    <w:rsid w:val="00A10E6E"/>
    <w:rsid w:val="00A123A2"/>
    <w:rsid w:val="00A12742"/>
    <w:rsid w:val="00A12DAC"/>
    <w:rsid w:val="00A1380A"/>
    <w:rsid w:val="00A13C65"/>
    <w:rsid w:val="00A142B1"/>
    <w:rsid w:val="00A154EF"/>
    <w:rsid w:val="00A20ECC"/>
    <w:rsid w:val="00A21068"/>
    <w:rsid w:val="00A23D1F"/>
    <w:rsid w:val="00A24061"/>
    <w:rsid w:val="00A24CDC"/>
    <w:rsid w:val="00A25596"/>
    <w:rsid w:val="00A25836"/>
    <w:rsid w:val="00A26216"/>
    <w:rsid w:val="00A30D69"/>
    <w:rsid w:val="00A34696"/>
    <w:rsid w:val="00A36CD9"/>
    <w:rsid w:val="00A3704E"/>
    <w:rsid w:val="00A40CB6"/>
    <w:rsid w:val="00A40DE3"/>
    <w:rsid w:val="00A41F8D"/>
    <w:rsid w:val="00A42CCD"/>
    <w:rsid w:val="00A433BE"/>
    <w:rsid w:val="00A478F5"/>
    <w:rsid w:val="00A50C88"/>
    <w:rsid w:val="00A530F9"/>
    <w:rsid w:val="00A552F2"/>
    <w:rsid w:val="00A55B57"/>
    <w:rsid w:val="00A5756E"/>
    <w:rsid w:val="00A6013C"/>
    <w:rsid w:val="00A620D1"/>
    <w:rsid w:val="00A62F14"/>
    <w:rsid w:val="00A63E02"/>
    <w:rsid w:val="00A6455A"/>
    <w:rsid w:val="00A655FE"/>
    <w:rsid w:val="00A70A11"/>
    <w:rsid w:val="00A72D0F"/>
    <w:rsid w:val="00A740F4"/>
    <w:rsid w:val="00A74127"/>
    <w:rsid w:val="00A753DF"/>
    <w:rsid w:val="00A7593D"/>
    <w:rsid w:val="00A75E64"/>
    <w:rsid w:val="00A7630F"/>
    <w:rsid w:val="00A776B4"/>
    <w:rsid w:val="00A812F2"/>
    <w:rsid w:val="00A822D8"/>
    <w:rsid w:val="00A84699"/>
    <w:rsid w:val="00A8607B"/>
    <w:rsid w:val="00A8685C"/>
    <w:rsid w:val="00A92725"/>
    <w:rsid w:val="00A930AC"/>
    <w:rsid w:val="00A93886"/>
    <w:rsid w:val="00A95DE7"/>
    <w:rsid w:val="00A978AC"/>
    <w:rsid w:val="00A9793A"/>
    <w:rsid w:val="00A97FF0"/>
    <w:rsid w:val="00AA13DE"/>
    <w:rsid w:val="00AA22D1"/>
    <w:rsid w:val="00AA2E03"/>
    <w:rsid w:val="00AA5267"/>
    <w:rsid w:val="00AA6EA1"/>
    <w:rsid w:val="00AB0152"/>
    <w:rsid w:val="00AB0558"/>
    <w:rsid w:val="00AB1BEA"/>
    <w:rsid w:val="00AB2B45"/>
    <w:rsid w:val="00AB2F56"/>
    <w:rsid w:val="00AB501C"/>
    <w:rsid w:val="00AB59F6"/>
    <w:rsid w:val="00AB63ED"/>
    <w:rsid w:val="00AB65CA"/>
    <w:rsid w:val="00AB6F55"/>
    <w:rsid w:val="00AB7B17"/>
    <w:rsid w:val="00AC2CCB"/>
    <w:rsid w:val="00AC3A78"/>
    <w:rsid w:val="00AC44B8"/>
    <w:rsid w:val="00AC46E6"/>
    <w:rsid w:val="00AC5D8B"/>
    <w:rsid w:val="00AC72E8"/>
    <w:rsid w:val="00AD0324"/>
    <w:rsid w:val="00AD0768"/>
    <w:rsid w:val="00AD189F"/>
    <w:rsid w:val="00AD19F8"/>
    <w:rsid w:val="00AD402A"/>
    <w:rsid w:val="00AD460A"/>
    <w:rsid w:val="00AD46BD"/>
    <w:rsid w:val="00AD4F27"/>
    <w:rsid w:val="00AD50E7"/>
    <w:rsid w:val="00AD6F81"/>
    <w:rsid w:val="00AD789E"/>
    <w:rsid w:val="00AD7A26"/>
    <w:rsid w:val="00AD7AD1"/>
    <w:rsid w:val="00AE0FBE"/>
    <w:rsid w:val="00AE14D8"/>
    <w:rsid w:val="00AE2359"/>
    <w:rsid w:val="00AE27CE"/>
    <w:rsid w:val="00AE2FFB"/>
    <w:rsid w:val="00AE36E0"/>
    <w:rsid w:val="00AE458C"/>
    <w:rsid w:val="00AE4A66"/>
    <w:rsid w:val="00AE4DD7"/>
    <w:rsid w:val="00AE4ED9"/>
    <w:rsid w:val="00AE57C4"/>
    <w:rsid w:val="00AE6259"/>
    <w:rsid w:val="00AE7E71"/>
    <w:rsid w:val="00AF0342"/>
    <w:rsid w:val="00AF08D0"/>
    <w:rsid w:val="00AF0DF6"/>
    <w:rsid w:val="00AF10E3"/>
    <w:rsid w:val="00AF2DAB"/>
    <w:rsid w:val="00AF3E51"/>
    <w:rsid w:val="00AF6D6A"/>
    <w:rsid w:val="00AF6DF3"/>
    <w:rsid w:val="00AF77B5"/>
    <w:rsid w:val="00AF7C01"/>
    <w:rsid w:val="00B011EF"/>
    <w:rsid w:val="00B056DC"/>
    <w:rsid w:val="00B05964"/>
    <w:rsid w:val="00B05F56"/>
    <w:rsid w:val="00B113CD"/>
    <w:rsid w:val="00B11CCC"/>
    <w:rsid w:val="00B11EE0"/>
    <w:rsid w:val="00B128A0"/>
    <w:rsid w:val="00B12AFF"/>
    <w:rsid w:val="00B141B1"/>
    <w:rsid w:val="00B16E5C"/>
    <w:rsid w:val="00B1780B"/>
    <w:rsid w:val="00B17F63"/>
    <w:rsid w:val="00B20BEB"/>
    <w:rsid w:val="00B2181C"/>
    <w:rsid w:val="00B2281A"/>
    <w:rsid w:val="00B233CB"/>
    <w:rsid w:val="00B257A2"/>
    <w:rsid w:val="00B26226"/>
    <w:rsid w:val="00B268B2"/>
    <w:rsid w:val="00B3018D"/>
    <w:rsid w:val="00B31FCC"/>
    <w:rsid w:val="00B330BE"/>
    <w:rsid w:val="00B33546"/>
    <w:rsid w:val="00B3438A"/>
    <w:rsid w:val="00B378E6"/>
    <w:rsid w:val="00B37BC6"/>
    <w:rsid w:val="00B405B5"/>
    <w:rsid w:val="00B4075E"/>
    <w:rsid w:val="00B4091D"/>
    <w:rsid w:val="00B40A2E"/>
    <w:rsid w:val="00B4131C"/>
    <w:rsid w:val="00B428B9"/>
    <w:rsid w:val="00B42B05"/>
    <w:rsid w:val="00B43345"/>
    <w:rsid w:val="00B43713"/>
    <w:rsid w:val="00B4388F"/>
    <w:rsid w:val="00B442D3"/>
    <w:rsid w:val="00B44315"/>
    <w:rsid w:val="00B447A2"/>
    <w:rsid w:val="00B45059"/>
    <w:rsid w:val="00B458BE"/>
    <w:rsid w:val="00B45FC8"/>
    <w:rsid w:val="00B47742"/>
    <w:rsid w:val="00B50927"/>
    <w:rsid w:val="00B50954"/>
    <w:rsid w:val="00B53073"/>
    <w:rsid w:val="00B545D7"/>
    <w:rsid w:val="00B5672F"/>
    <w:rsid w:val="00B5709C"/>
    <w:rsid w:val="00B60D17"/>
    <w:rsid w:val="00B60F4B"/>
    <w:rsid w:val="00B60FDC"/>
    <w:rsid w:val="00B62F05"/>
    <w:rsid w:val="00B632D9"/>
    <w:rsid w:val="00B6352F"/>
    <w:rsid w:val="00B63710"/>
    <w:rsid w:val="00B63F50"/>
    <w:rsid w:val="00B6562D"/>
    <w:rsid w:val="00B65DEE"/>
    <w:rsid w:val="00B67278"/>
    <w:rsid w:val="00B67280"/>
    <w:rsid w:val="00B703C7"/>
    <w:rsid w:val="00B704DF"/>
    <w:rsid w:val="00B715D7"/>
    <w:rsid w:val="00B71BCF"/>
    <w:rsid w:val="00B72C90"/>
    <w:rsid w:val="00B73F3C"/>
    <w:rsid w:val="00B7549B"/>
    <w:rsid w:val="00B76DFA"/>
    <w:rsid w:val="00B80B16"/>
    <w:rsid w:val="00B821F3"/>
    <w:rsid w:val="00B8411F"/>
    <w:rsid w:val="00B8524C"/>
    <w:rsid w:val="00B85439"/>
    <w:rsid w:val="00B8570F"/>
    <w:rsid w:val="00B87F72"/>
    <w:rsid w:val="00B9207E"/>
    <w:rsid w:val="00B92265"/>
    <w:rsid w:val="00B94821"/>
    <w:rsid w:val="00B97B85"/>
    <w:rsid w:val="00BA06A0"/>
    <w:rsid w:val="00BA1049"/>
    <w:rsid w:val="00BA18BA"/>
    <w:rsid w:val="00BA1E49"/>
    <w:rsid w:val="00BA1F2B"/>
    <w:rsid w:val="00BA407C"/>
    <w:rsid w:val="00BA73B3"/>
    <w:rsid w:val="00BA7894"/>
    <w:rsid w:val="00BB0646"/>
    <w:rsid w:val="00BB0785"/>
    <w:rsid w:val="00BB0E5F"/>
    <w:rsid w:val="00BB0EC6"/>
    <w:rsid w:val="00BB1DEF"/>
    <w:rsid w:val="00BB4DFC"/>
    <w:rsid w:val="00BB6EF2"/>
    <w:rsid w:val="00BB7F86"/>
    <w:rsid w:val="00BB7FFC"/>
    <w:rsid w:val="00BC046B"/>
    <w:rsid w:val="00BC1290"/>
    <w:rsid w:val="00BC22EE"/>
    <w:rsid w:val="00BC4D83"/>
    <w:rsid w:val="00BC6080"/>
    <w:rsid w:val="00BC6651"/>
    <w:rsid w:val="00BC66A3"/>
    <w:rsid w:val="00BC78B2"/>
    <w:rsid w:val="00BD0049"/>
    <w:rsid w:val="00BD0681"/>
    <w:rsid w:val="00BD139F"/>
    <w:rsid w:val="00BD1EC2"/>
    <w:rsid w:val="00BD2595"/>
    <w:rsid w:val="00BD3521"/>
    <w:rsid w:val="00BD36E6"/>
    <w:rsid w:val="00BD45F8"/>
    <w:rsid w:val="00BD4BD8"/>
    <w:rsid w:val="00BD6A16"/>
    <w:rsid w:val="00BD7E89"/>
    <w:rsid w:val="00BE0A4C"/>
    <w:rsid w:val="00BE0DF6"/>
    <w:rsid w:val="00BE1457"/>
    <w:rsid w:val="00BE37A8"/>
    <w:rsid w:val="00BE49FB"/>
    <w:rsid w:val="00BE5908"/>
    <w:rsid w:val="00BE6C10"/>
    <w:rsid w:val="00BE7D95"/>
    <w:rsid w:val="00BF0AF1"/>
    <w:rsid w:val="00BF1F5E"/>
    <w:rsid w:val="00BF289B"/>
    <w:rsid w:val="00BF59D9"/>
    <w:rsid w:val="00BF678D"/>
    <w:rsid w:val="00BF6B97"/>
    <w:rsid w:val="00C02104"/>
    <w:rsid w:val="00C02D44"/>
    <w:rsid w:val="00C06192"/>
    <w:rsid w:val="00C07A16"/>
    <w:rsid w:val="00C110D6"/>
    <w:rsid w:val="00C12A55"/>
    <w:rsid w:val="00C149E4"/>
    <w:rsid w:val="00C15267"/>
    <w:rsid w:val="00C162CE"/>
    <w:rsid w:val="00C169FA"/>
    <w:rsid w:val="00C1750D"/>
    <w:rsid w:val="00C17C5E"/>
    <w:rsid w:val="00C20FA8"/>
    <w:rsid w:val="00C22B5C"/>
    <w:rsid w:val="00C255A2"/>
    <w:rsid w:val="00C25E6C"/>
    <w:rsid w:val="00C262E1"/>
    <w:rsid w:val="00C27150"/>
    <w:rsid w:val="00C278C9"/>
    <w:rsid w:val="00C27AAB"/>
    <w:rsid w:val="00C32CDA"/>
    <w:rsid w:val="00C32FD7"/>
    <w:rsid w:val="00C33050"/>
    <w:rsid w:val="00C33B01"/>
    <w:rsid w:val="00C34BE5"/>
    <w:rsid w:val="00C363CC"/>
    <w:rsid w:val="00C377BB"/>
    <w:rsid w:val="00C37BDB"/>
    <w:rsid w:val="00C40B4A"/>
    <w:rsid w:val="00C44738"/>
    <w:rsid w:val="00C44EDF"/>
    <w:rsid w:val="00C4508D"/>
    <w:rsid w:val="00C4520B"/>
    <w:rsid w:val="00C47035"/>
    <w:rsid w:val="00C503EC"/>
    <w:rsid w:val="00C50AD9"/>
    <w:rsid w:val="00C5298E"/>
    <w:rsid w:val="00C52E0B"/>
    <w:rsid w:val="00C542AB"/>
    <w:rsid w:val="00C5565E"/>
    <w:rsid w:val="00C57CF4"/>
    <w:rsid w:val="00C57FEA"/>
    <w:rsid w:val="00C62702"/>
    <w:rsid w:val="00C634E4"/>
    <w:rsid w:val="00C6417F"/>
    <w:rsid w:val="00C712E2"/>
    <w:rsid w:val="00C7146D"/>
    <w:rsid w:val="00C71FA7"/>
    <w:rsid w:val="00C73F9B"/>
    <w:rsid w:val="00C743B3"/>
    <w:rsid w:val="00C747CD"/>
    <w:rsid w:val="00C74FC2"/>
    <w:rsid w:val="00C752CB"/>
    <w:rsid w:val="00C754E7"/>
    <w:rsid w:val="00C75CD3"/>
    <w:rsid w:val="00C7769C"/>
    <w:rsid w:val="00C77D62"/>
    <w:rsid w:val="00C801F8"/>
    <w:rsid w:val="00C84706"/>
    <w:rsid w:val="00C85459"/>
    <w:rsid w:val="00C8580A"/>
    <w:rsid w:val="00C859CE"/>
    <w:rsid w:val="00C86BAD"/>
    <w:rsid w:val="00C90F1F"/>
    <w:rsid w:val="00C92A7F"/>
    <w:rsid w:val="00C95744"/>
    <w:rsid w:val="00C95795"/>
    <w:rsid w:val="00CA276E"/>
    <w:rsid w:val="00CA2DC3"/>
    <w:rsid w:val="00CA34CB"/>
    <w:rsid w:val="00CA4DDC"/>
    <w:rsid w:val="00CA7D9B"/>
    <w:rsid w:val="00CB099F"/>
    <w:rsid w:val="00CB0B7A"/>
    <w:rsid w:val="00CB2257"/>
    <w:rsid w:val="00CB430F"/>
    <w:rsid w:val="00CB4686"/>
    <w:rsid w:val="00CB4CD4"/>
    <w:rsid w:val="00CB5345"/>
    <w:rsid w:val="00CB5482"/>
    <w:rsid w:val="00CB65A0"/>
    <w:rsid w:val="00CC0048"/>
    <w:rsid w:val="00CC2CD0"/>
    <w:rsid w:val="00CC3DE1"/>
    <w:rsid w:val="00CD0DED"/>
    <w:rsid w:val="00CD101B"/>
    <w:rsid w:val="00CD2678"/>
    <w:rsid w:val="00CD37FD"/>
    <w:rsid w:val="00CD40EC"/>
    <w:rsid w:val="00CD4CFE"/>
    <w:rsid w:val="00CD5339"/>
    <w:rsid w:val="00CD6736"/>
    <w:rsid w:val="00CD6AA2"/>
    <w:rsid w:val="00CE05E1"/>
    <w:rsid w:val="00CE07E2"/>
    <w:rsid w:val="00CE125E"/>
    <w:rsid w:val="00CE18C2"/>
    <w:rsid w:val="00CE2538"/>
    <w:rsid w:val="00CE32FD"/>
    <w:rsid w:val="00CE452B"/>
    <w:rsid w:val="00CE5632"/>
    <w:rsid w:val="00CF042F"/>
    <w:rsid w:val="00CF08EB"/>
    <w:rsid w:val="00CF1DBB"/>
    <w:rsid w:val="00CF34F1"/>
    <w:rsid w:val="00CF4FCF"/>
    <w:rsid w:val="00CF5A75"/>
    <w:rsid w:val="00CF70B5"/>
    <w:rsid w:val="00CF7E33"/>
    <w:rsid w:val="00D01F97"/>
    <w:rsid w:val="00D04395"/>
    <w:rsid w:val="00D059F8"/>
    <w:rsid w:val="00D0653E"/>
    <w:rsid w:val="00D06AB2"/>
    <w:rsid w:val="00D074A8"/>
    <w:rsid w:val="00D07CC5"/>
    <w:rsid w:val="00D1013C"/>
    <w:rsid w:val="00D1050E"/>
    <w:rsid w:val="00D1070A"/>
    <w:rsid w:val="00D113FC"/>
    <w:rsid w:val="00D11668"/>
    <w:rsid w:val="00D123FF"/>
    <w:rsid w:val="00D13416"/>
    <w:rsid w:val="00D136DA"/>
    <w:rsid w:val="00D15901"/>
    <w:rsid w:val="00D17C67"/>
    <w:rsid w:val="00D17F02"/>
    <w:rsid w:val="00D20599"/>
    <w:rsid w:val="00D20A6C"/>
    <w:rsid w:val="00D21D2F"/>
    <w:rsid w:val="00D24059"/>
    <w:rsid w:val="00D25111"/>
    <w:rsid w:val="00D27322"/>
    <w:rsid w:val="00D30B14"/>
    <w:rsid w:val="00D30EA5"/>
    <w:rsid w:val="00D317A9"/>
    <w:rsid w:val="00D326F8"/>
    <w:rsid w:val="00D32991"/>
    <w:rsid w:val="00D35EFE"/>
    <w:rsid w:val="00D3606A"/>
    <w:rsid w:val="00D36C04"/>
    <w:rsid w:val="00D370C2"/>
    <w:rsid w:val="00D407E8"/>
    <w:rsid w:val="00D4107D"/>
    <w:rsid w:val="00D42284"/>
    <w:rsid w:val="00D42939"/>
    <w:rsid w:val="00D42B17"/>
    <w:rsid w:val="00D43190"/>
    <w:rsid w:val="00D447B8"/>
    <w:rsid w:val="00D452F7"/>
    <w:rsid w:val="00D45307"/>
    <w:rsid w:val="00D45FC4"/>
    <w:rsid w:val="00D46D74"/>
    <w:rsid w:val="00D521F6"/>
    <w:rsid w:val="00D52FC6"/>
    <w:rsid w:val="00D5329D"/>
    <w:rsid w:val="00D532D6"/>
    <w:rsid w:val="00D5534A"/>
    <w:rsid w:val="00D56719"/>
    <w:rsid w:val="00D6069B"/>
    <w:rsid w:val="00D60B8B"/>
    <w:rsid w:val="00D60F8A"/>
    <w:rsid w:val="00D64178"/>
    <w:rsid w:val="00D648EF"/>
    <w:rsid w:val="00D657FB"/>
    <w:rsid w:val="00D65B4B"/>
    <w:rsid w:val="00D67C56"/>
    <w:rsid w:val="00D7061C"/>
    <w:rsid w:val="00D72E90"/>
    <w:rsid w:val="00D733FF"/>
    <w:rsid w:val="00D7456B"/>
    <w:rsid w:val="00D74890"/>
    <w:rsid w:val="00D75121"/>
    <w:rsid w:val="00D75F84"/>
    <w:rsid w:val="00D760C2"/>
    <w:rsid w:val="00D77B8C"/>
    <w:rsid w:val="00D811BA"/>
    <w:rsid w:val="00D8129D"/>
    <w:rsid w:val="00D8433B"/>
    <w:rsid w:val="00D84E14"/>
    <w:rsid w:val="00D84E88"/>
    <w:rsid w:val="00D866BD"/>
    <w:rsid w:val="00D8771F"/>
    <w:rsid w:val="00D87CC3"/>
    <w:rsid w:val="00D9016F"/>
    <w:rsid w:val="00D924FB"/>
    <w:rsid w:val="00D94734"/>
    <w:rsid w:val="00D95484"/>
    <w:rsid w:val="00DA1C41"/>
    <w:rsid w:val="00DA2BE0"/>
    <w:rsid w:val="00DA33AB"/>
    <w:rsid w:val="00DA35AA"/>
    <w:rsid w:val="00DA4B64"/>
    <w:rsid w:val="00DA5664"/>
    <w:rsid w:val="00DA57F3"/>
    <w:rsid w:val="00DA6634"/>
    <w:rsid w:val="00DA6E27"/>
    <w:rsid w:val="00DB01D5"/>
    <w:rsid w:val="00DB01EC"/>
    <w:rsid w:val="00DB0769"/>
    <w:rsid w:val="00DB2F5C"/>
    <w:rsid w:val="00DB3258"/>
    <w:rsid w:val="00DB4A9A"/>
    <w:rsid w:val="00DB5687"/>
    <w:rsid w:val="00DB570F"/>
    <w:rsid w:val="00DB689F"/>
    <w:rsid w:val="00DB6CC4"/>
    <w:rsid w:val="00DB70BB"/>
    <w:rsid w:val="00DC0F28"/>
    <w:rsid w:val="00DC2617"/>
    <w:rsid w:val="00DC2D3E"/>
    <w:rsid w:val="00DC2FFE"/>
    <w:rsid w:val="00DC458A"/>
    <w:rsid w:val="00DC5F51"/>
    <w:rsid w:val="00DC6421"/>
    <w:rsid w:val="00DC73E0"/>
    <w:rsid w:val="00DC7A5D"/>
    <w:rsid w:val="00DD100B"/>
    <w:rsid w:val="00DD16EC"/>
    <w:rsid w:val="00DD4433"/>
    <w:rsid w:val="00DD4AE6"/>
    <w:rsid w:val="00DD560A"/>
    <w:rsid w:val="00DD714C"/>
    <w:rsid w:val="00DD7C09"/>
    <w:rsid w:val="00DE04DA"/>
    <w:rsid w:val="00DE05FD"/>
    <w:rsid w:val="00DE34B4"/>
    <w:rsid w:val="00DE35B2"/>
    <w:rsid w:val="00DE3A2F"/>
    <w:rsid w:val="00DE4FBA"/>
    <w:rsid w:val="00DF0437"/>
    <w:rsid w:val="00DF151F"/>
    <w:rsid w:val="00DF1EEF"/>
    <w:rsid w:val="00DF248D"/>
    <w:rsid w:val="00DF2897"/>
    <w:rsid w:val="00DF373A"/>
    <w:rsid w:val="00DF5995"/>
    <w:rsid w:val="00E02A87"/>
    <w:rsid w:val="00E0337F"/>
    <w:rsid w:val="00E0486F"/>
    <w:rsid w:val="00E04D59"/>
    <w:rsid w:val="00E07B8B"/>
    <w:rsid w:val="00E11E96"/>
    <w:rsid w:val="00E126B5"/>
    <w:rsid w:val="00E13919"/>
    <w:rsid w:val="00E13C57"/>
    <w:rsid w:val="00E153E8"/>
    <w:rsid w:val="00E16623"/>
    <w:rsid w:val="00E17212"/>
    <w:rsid w:val="00E17A41"/>
    <w:rsid w:val="00E17BEF"/>
    <w:rsid w:val="00E2257C"/>
    <w:rsid w:val="00E22839"/>
    <w:rsid w:val="00E245AD"/>
    <w:rsid w:val="00E24E73"/>
    <w:rsid w:val="00E256E4"/>
    <w:rsid w:val="00E260C2"/>
    <w:rsid w:val="00E27AB8"/>
    <w:rsid w:val="00E30C5C"/>
    <w:rsid w:val="00E33D84"/>
    <w:rsid w:val="00E340FD"/>
    <w:rsid w:val="00E345C6"/>
    <w:rsid w:val="00E34E0C"/>
    <w:rsid w:val="00E356F8"/>
    <w:rsid w:val="00E36239"/>
    <w:rsid w:val="00E363DB"/>
    <w:rsid w:val="00E3756A"/>
    <w:rsid w:val="00E3757F"/>
    <w:rsid w:val="00E40B1C"/>
    <w:rsid w:val="00E40E84"/>
    <w:rsid w:val="00E41666"/>
    <w:rsid w:val="00E418FE"/>
    <w:rsid w:val="00E42410"/>
    <w:rsid w:val="00E4270D"/>
    <w:rsid w:val="00E42AF0"/>
    <w:rsid w:val="00E4335A"/>
    <w:rsid w:val="00E4347A"/>
    <w:rsid w:val="00E44780"/>
    <w:rsid w:val="00E4548E"/>
    <w:rsid w:val="00E45C2A"/>
    <w:rsid w:val="00E4602B"/>
    <w:rsid w:val="00E46B11"/>
    <w:rsid w:val="00E51E42"/>
    <w:rsid w:val="00E53138"/>
    <w:rsid w:val="00E538FA"/>
    <w:rsid w:val="00E53C85"/>
    <w:rsid w:val="00E55936"/>
    <w:rsid w:val="00E6075C"/>
    <w:rsid w:val="00E60ECF"/>
    <w:rsid w:val="00E613C6"/>
    <w:rsid w:val="00E63981"/>
    <w:rsid w:val="00E644C3"/>
    <w:rsid w:val="00E64D2E"/>
    <w:rsid w:val="00E65020"/>
    <w:rsid w:val="00E65DCD"/>
    <w:rsid w:val="00E6706B"/>
    <w:rsid w:val="00E67444"/>
    <w:rsid w:val="00E706DD"/>
    <w:rsid w:val="00E74D65"/>
    <w:rsid w:val="00E75792"/>
    <w:rsid w:val="00E7695B"/>
    <w:rsid w:val="00E778AF"/>
    <w:rsid w:val="00E81CB5"/>
    <w:rsid w:val="00E85E2C"/>
    <w:rsid w:val="00E92C1E"/>
    <w:rsid w:val="00E948DB"/>
    <w:rsid w:val="00EA0116"/>
    <w:rsid w:val="00EA19D7"/>
    <w:rsid w:val="00EA25A1"/>
    <w:rsid w:val="00EA25FC"/>
    <w:rsid w:val="00EA413C"/>
    <w:rsid w:val="00EA45B1"/>
    <w:rsid w:val="00EA4882"/>
    <w:rsid w:val="00EA4DBE"/>
    <w:rsid w:val="00EA533D"/>
    <w:rsid w:val="00EA6116"/>
    <w:rsid w:val="00EA6213"/>
    <w:rsid w:val="00EA6238"/>
    <w:rsid w:val="00EA75CD"/>
    <w:rsid w:val="00EB07A1"/>
    <w:rsid w:val="00EB1089"/>
    <w:rsid w:val="00EB312B"/>
    <w:rsid w:val="00EB36AF"/>
    <w:rsid w:val="00EB5CC8"/>
    <w:rsid w:val="00EB60A5"/>
    <w:rsid w:val="00EB6802"/>
    <w:rsid w:val="00EB68C7"/>
    <w:rsid w:val="00EC0C42"/>
    <w:rsid w:val="00EC1323"/>
    <w:rsid w:val="00EC148C"/>
    <w:rsid w:val="00EC1497"/>
    <w:rsid w:val="00EC1A75"/>
    <w:rsid w:val="00EC28DD"/>
    <w:rsid w:val="00EC45B3"/>
    <w:rsid w:val="00EC469A"/>
    <w:rsid w:val="00EC48E5"/>
    <w:rsid w:val="00EC4AE4"/>
    <w:rsid w:val="00EC59D2"/>
    <w:rsid w:val="00EC5A84"/>
    <w:rsid w:val="00EC7843"/>
    <w:rsid w:val="00ED0453"/>
    <w:rsid w:val="00ED0A6C"/>
    <w:rsid w:val="00ED182E"/>
    <w:rsid w:val="00ED1AF0"/>
    <w:rsid w:val="00ED3827"/>
    <w:rsid w:val="00ED44EB"/>
    <w:rsid w:val="00ED5EA7"/>
    <w:rsid w:val="00ED6AE2"/>
    <w:rsid w:val="00ED6B94"/>
    <w:rsid w:val="00EE0286"/>
    <w:rsid w:val="00EE36B3"/>
    <w:rsid w:val="00EE4362"/>
    <w:rsid w:val="00EE4A21"/>
    <w:rsid w:val="00EE4E36"/>
    <w:rsid w:val="00EE534D"/>
    <w:rsid w:val="00EE7EDC"/>
    <w:rsid w:val="00EF2CAB"/>
    <w:rsid w:val="00EF3C4A"/>
    <w:rsid w:val="00EF4263"/>
    <w:rsid w:val="00EF45B9"/>
    <w:rsid w:val="00F0194F"/>
    <w:rsid w:val="00F03A89"/>
    <w:rsid w:val="00F03DBD"/>
    <w:rsid w:val="00F04833"/>
    <w:rsid w:val="00F07DB5"/>
    <w:rsid w:val="00F1082A"/>
    <w:rsid w:val="00F1232C"/>
    <w:rsid w:val="00F212A6"/>
    <w:rsid w:val="00F21671"/>
    <w:rsid w:val="00F23BBD"/>
    <w:rsid w:val="00F241CE"/>
    <w:rsid w:val="00F261DE"/>
    <w:rsid w:val="00F31B36"/>
    <w:rsid w:val="00F32951"/>
    <w:rsid w:val="00F32955"/>
    <w:rsid w:val="00F32EF3"/>
    <w:rsid w:val="00F3378C"/>
    <w:rsid w:val="00F359B1"/>
    <w:rsid w:val="00F35C36"/>
    <w:rsid w:val="00F365AE"/>
    <w:rsid w:val="00F37432"/>
    <w:rsid w:val="00F37B0C"/>
    <w:rsid w:val="00F40987"/>
    <w:rsid w:val="00F40FE8"/>
    <w:rsid w:val="00F411E0"/>
    <w:rsid w:val="00F427D2"/>
    <w:rsid w:val="00F43893"/>
    <w:rsid w:val="00F44E63"/>
    <w:rsid w:val="00F459E2"/>
    <w:rsid w:val="00F53622"/>
    <w:rsid w:val="00F53FF6"/>
    <w:rsid w:val="00F541E4"/>
    <w:rsid w:val="00F54BDE"/>
    <w:rsid w:val="00F6056C"/>
    <w:rsid w:val="00F619DA"/>
    <w:rsid w:val="00F61D2A"/>
    <w:rsid w:val="00F62802"/>
    <w:rsid w:val="00F62CC4"/>
    <w:rsid w:val="00F63F48"/>
    <w:rsid w:val="00F66A3F"/>
    <w:rsid w:val="00F706B3"/>
    <w:rsid w:val="00F70C84"/>
    <w:rsid w:val="00F72E6A"/>
    <w:rsid w:val="00F72FE7"/>
    <w:rsid w:val="00F736AD"/>
    <w:rsid w:val="00F74823"/>
    <w:rsid w:val="00F75FDE"/>
    <w:rsid w:val="00F771D5"/>
    <w:rsid w:val="00F77997"/>
    <w:rsid w:val="00F81A62"/>
    <w:rsid w:val="00F8202C"/>
    <w:rsid w:val="00F836E0"/>
    <w:rsid w:val="00F843FD"/>
    <w:rsid w:val="00F84E8F"/>
    <w:rsid w:val="00F864B6"/>
    <w:rsid w:val="00F912FC"/>
    <w:rsid w:val="00F9220B"/>
    <w:rsid w:val="00F923C8"/>
    <w:rsid w:val="00F93D2F"/>
    <w:rsid w:val="00F94F02"/>
    <w:rsid w:val="00FA1D05"/>
    <w:rsid w:val="00FA6696"/>
    <w:rsid w:val="00FA77E3"/>
    <w:rsid w:val="00FB03A8"/>
    <w:rsid w:val="00FB0C80"/>
    <w:rsid w:val="00FB0C8C"/>
    <w:rsid w:val="00FB2CBA"/>
    <w:rsid w:val="00FB32F9"/>
    <w:rsid w:val="00FB3E56"/>
    <w:rsid w:val="00FB6531"/>
    <w:rsid w:val="00FB671C"/>
    <w:rsid w:val="00FB6A65"/>
    <w:rsid w:val="00FB728B"/>
    <w:rsid w:val="00FB72D7"/>
    <w:rsid w:val="00FB7E7E"/>
    <w:rsid w:val="00FB7F0F"/>
    <w:rsid w:val="00FC2267"/>
    <w:rsid w:val="00FC2BE9"/>
    <w:rsid w:val="00FC3408"/>
    <w:rsid w:val="00FC3951"/>
    <w:rsid w:val="00FC3A47"/>
    <w:rsid w:val="00FC4C1D"/>
    <w:rsid w:val="00FC599C"/>
    <w:rsid w:val="00FC5A8F"/>
    <w:rsid w:val="00FC64A8"/>
    <w:rsid w:val="00FC66F0"/>
    <w:rsid w:val="00FD1097"/>
    <w:rsid w:val="00FD2F95"/>
    <w:rsid w:val="00FD5A7E"/>
    <w:rsid w:val="00FD5ED5"/>
    <w:rsid w:val="00FD76EC"/>
    <w:rsid w:val="00FE0EFB"/>
    <w:rsid w:val="00FE0FA2"/>
    <w:rsid w:val="00FE3283"/>
    <w:rsid w:val="00FE3E74"/>
    <w:rsid w:val="00FE4198"/>
    <w:rsid w:val="00FE429A"/>
    <w:rsid w:val="00FE565F"/>
    <w:rsid w:val="00FE5BED"/>
    <w:rsid w:val="00FE7C3B"/>
    <w:rsid w:val="00FE7D9D"/>
    <w:rsid w:val="00FF0DC1"/>
    <w:rsid w:val="00FF11D0"/>
    <w:rsid w:val="00FF1660"/>
    <w:rsid w:val="00FF256A"/>
    <w:rsid w:val="00FF31C6"/>
    <w:rsid w:val="00FF41B0"/>
    <w:rsid w:val="00FF449A"/>
    <w:rsid w:val="00FF6CBE"/>
    <w:rsid w:val="00FF73A3"/>
    <w:rsid w:val="00FF750E"/>
    <w:rsid w:val="01312D2A"/>
    <w:rsid w:val="028247F4"/>
    <w:rsid w:val="02B74150"/>
    <w:rsid w:val="03795032"/>
    <w:rsid w:val="04A77A12"/>
    <w:rsid w:val="05330BA6"/>
    <w:rsid w:val="06310BE9"/>
    <w:rsid w:val="089B1B85"/>
    <w:rsid w:val="08A90573"/>
    <w:rsid w:val="0A140B41"/>
    <w:rsid w:val="0DB50389"/>
    <w:rsid w:val="0E303356"/>
    <w:rsid w:val="1057106E"/>
    <w:rsid w:val="117D2DE3"/>
    <w:rsid w:val="12B4222F"/>
    <w:rsid w:val="13FA1B09"/>
    <w:rsid w:val="1448320B"/>
    <w:rsid w:val="19D56770"/>
    <w:rsid w:val="1AB85163"/>
    <w:rsid w:val="1B2520B3"/>
    <w:rsid w:val="1B435A3F"/>
    <w:rsid w:val="1BD13D4D"/>
    <w:rsid w:val="1F4C2890"/>
    <w:rsid w:val="22C6591C"/>
    <w:rsid w:val="22DA50CC"/>
    <w:rsid w:val="25FC0296"/>
    <w:rsid w:val="26EB7766"/>
    <w:rsid w:val="301E193C"/>
    <w:rsid w:val="31E3230A"/>
    <w:rsid w:val="33776278"/>
    <w:rsid w:val="33C72FE9"/>
    <w:rsid w:val="37863E63"/>
    <w:rsid w:val="392E5287"/>
    <w:rsid w:val="39736C78"/>
    <w:rsid w:val="3F935DF9"/>
    <w:rsid w:val="417B7321"/>
    <w:rsid w:val="4498402F"/>
    <w:rsid w:val="451F76A5"/>
    <w:rsid w:val="49C368F5"/>
    <w:rsid w:val="4BE12048"/>
    <w:rsid w:val="4C6C2657"/>
    <w:rsid w:val="514F6FBB"/>
    <w:rsid w:val="56A70C4E"/>
    <w:rsid w:val="56AA099C"/>
    <w:rsid w:val="574161A2"/>
    <w:rsid w:val="5B0C4CC1"/>
    <w:rsid w:val="5C9D17F9"/>
    <w:rsid w:val="60B77766"/>
    <w:rsid w:val="6327307F"/>
    <w:rsid w:val="635E6321"/>
    <w:rsid w:val="639D20ED"/>
    <w:rsid w:val="63F120BC"/>
    <w:rsid w:val="65C64AD9"/>
    <w:rsid w:val="664D7A43"/>
    <w:rsid w:val="668E157E"/>
    <w:rsid w:val="66AC0A8B"/>
    <w:rsid w:val="676350AE"/>
    <w:rsid w:val="67875281"/>
    <w:rsid w:val="6BF77347"/>
    <w:rsid w:val="6E5B3379"/>
    <w:rsid w:val="71041AA5"/>
    <w:rsid w:val="71184E25"/>
    <w:rsid w:val="72522503"/>
    <w:rsid w:val="741C5549"/>
    <w:rsid w:val="759C7DD3"/>
    <w:rsid w:val="75B43479"/>
    <w:rsid w:val="766C0F95"/>
    <w:rsid w:val="776E77B2"/>
    <w:rsid w:val="790051FF"/>
    <w:rsid w:val="797A5205"/>
    <w:rsid w:val="79F7775D"/>
    <w:rsid w:val="7A0C11D5"/>
    <w:rsid w:val="7AE82F61"/>
    <w:rsid w:val="7C6A35B0"/>
    <w:rsid w:val="7D37239D"/>
    <w:rsid w:val="7E253FED"/>
    <w:rsid w:val="7F4E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qFormat="1" w:unhideWhenUsed="0" w:uiPriority="0" w:semiHidden="0"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jc w:val="center"/>
      <w:outlineLvl w:val="0"/>
    </w:pPr>
    <w:rPr>
      <w:rFonts w:eastAsia="宋体"/>
      <w:b/>
      <w:bCs/>
      <w:kern w:val="44"/>
      <w:sz w:val="32"/>
      <w:szCs w:val="44"/>
    </w:rPr>
  </w:style>
  <w:style w:type="paragraph" w:styleId="4">
    <w:name w:val="heading 2"/>
    <w:basedOn w:val="1"/>
    <w:next w:val="1"/>
    <w:link w:val="37"/>
    <w:unhideWhenUsed/>
    <w:qFormat/>
    <w:uiPriority w:val="9"/>
    <w:pPr>
      <w:keepNext/>
      <w:keepLines/>
      <w:jc w:val="center"/>
      <w:outlineLvl w:val="1"/>
    </w:pPr>
    <w:rPr>
      <w:rFonts w:ascii="Cambria" w:hAnsi="Cambria" w:eastAsia="宋体"/>
      <w:b/>
      <w:bCs/>
      <w:kern w:val="0"/>
      <w:sz w:val="28"/>
      <w:szCs w:val="32"/>
    </w:rPr>
  </w:style>
  <w:style w:type="paragraph" w:styleId="5">
    <w:name w:val="heading 3"/>
    <w:basedOn w:val="1"/>
    <w:next w:val="1"/>
    <w:link w:val="38"/>
    <w:unhideWhenUsed/>
    <w:qFormat/>
    <w:uiPriority w:val="9"/>
    <w:pPr>
      <w:keepNext/>
      <w:keepLines/>
      <w:jc w:val="center"/>
      <w:outlineLvl w:val="2"/>
    </w:pPr>
    <w:rPr>
      <w:rFonts w:eastAsia="黑体"/>
      <w:bCs/>
      <w:kern w:val="0"/>
      <w:sz w:val="24"/>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40"/>
    <w:qFormat/>
    <w:uiPriority w:val="0"/>
    <w:pPr>
      <w:ind w:firstLine="420" w:firstLineChars="200"/>
    </w:pPr>
    <w:rPr>
      <w:kern w:val="0"/>
      <w:sz w:val="20"/>
    </w:rPr>
  </w:style>
  <w:style w:type="paragraph" w:styleId="6">
    <w:name w:val="Document Map"/>
    <w:basedOn w:val="1"/>
    <w:link w:val="56"/>
    <w:unhideWhenUsed/>
    <w:qFormat/>
    <w:uiPriority w:val="99"/>
    <w:rPr>
      <w:rFonts w:ascii="宋体"/>
      <w:kern w:val="0"/>
      <w:sz w:val="18"/>
      <w:szCs w:val="18"/>
    </w:rPr>
  </w:style>
  <w:style w:type="paragraph" w:styleId="7">
    <w:name w:val="annotation text"/>
    <w:basedOn w:val="1"/>
    <w:link w:val="50"/>
    <w:unhideWhenUsed/>
    <w:qFormat/>
    <w:uiPriority w:val="99"/>
    <w:pPr>
      <w:jc w:val="left"/>
    </w:pPr>
    <w:rPr>
      <w:rFonts w:ascii="Calibri" w:hAnsi="Calibri"/>
      <w:kern w:val="0"/>
      <w:sz w:val="20"/>
      <w:szCs w:val="20"/>
    </w:rPr>
  </w:style>
  <w:style w:type="paragraph" w:styleId="8">
    <w:name w:val="Body Text"/>
    <w:basedOn w:val="1"/>
    <w:next w:val="1"/>
    <w:link w:val="55"/>
    <w:unhideWhenUsed/>
    <w:qFormat/>
    <w:uiPriority w:val="99"/>
    <w:pPr>
      <w:spacing w:after="120"/>
    </w:pPr>
    <w:rPr>
      <w:rFonts w:ascii="Calibri" w:hAnsi="Calibri"/>
      <w:szCs w:val="22"/>
    </w:rPr>
  </w:style>
  <w:style w:type="paragraph" w:styleId="9">
    <w:name w:val="Body Text Indent"/>
    <w:basedOn w:val="1"/>
    <w:next w:val="1"/>
    <w:link w:val="43"/>
    <w:qFormat/>
    <w:uiPriority w:val="0"/>
    <w:pPr>
      <w:spacing w:line="380" w:lineRule="exact"/>
      <w:ind w:firstLine="480"/>
    </w:pPr>
    <w:rPr>
      <w:rFonts w:eastAsia="方正书宋简体"/>
      <w:kern w:val="0"/>
      <w:sz w:val="24"/>
      <w:szCs w:val="20"/>
    </w:rPr>
  </w:style>
  <w:style w:type="paragraph" w:styleId="10">
    <w:name w:val="List 2"/>
    <w:basedOn w:val="1"/>
    <w:qFormat/>
    <w:uiPriority w:val="0"/>
    <w:pPr>
      <w:ind w:left="100" w:leftChars="200" w:hanging="200" w:hangingChars="200"/>
    </w:pPr>
  </w:style>
  <w:style w:type="paragraph" w:styleId="11">
    <w:name w:val="toc 3"/>
    <w:basedOn w:val="1"/>
    <w:next w:val="1"/>
    <w:unhideWhenUsed/>
    <w:qFormat/>
    <w:uiPriority w:val="39"/>
    <w:pPr>
      <w:widowControl/>
      <w:tabs>
        <w:tab w:val="right" w:leader="dot" w:pos="9061"/>
      </w:tabs>
      <w:spacing w:before="0" w:beforeAutospacing="0" w:after="0" w:afterAutospacing="0" w:line="300" w:lineRule="exact"/>
      <w:ind w:left="442"/>
      <w:jc w:val="left"/>
    </w:pPr>
    <w:rPr>
      <w:rFonts w:ascii="仿宋_GB2312" w:hAnsi="Calibri" w:eastAsia="仿宋_GB2312"/>
      <w:kern w:val="0"/>
      <w:sz w:val="24"/>
    </w:rPr>
  </w:style>
  <w:style w:type="paragraph" w:styleId="12">
    <w:name w:val="Plain Text"/>
    <w:basedOn w:val="1"/>
    <w:link w:val="42"/>
    <w:qFormat/>
    <w:uiPriority w:val="0"/>
    <w:rPr>
      <w:rFonts w:ascii="宋体" w:hAnsi="Courier New"/>
      <w:kern w:val="0"/>
      <w:sz w:val="20"/>
      <w:szCs w:val="20"/>
    </w:rPr>
  </w:style>
  <w:style w:type="paragraph" w:styleId="13">
    <w:name w:val="Date"/>
    <w:basedOn w:val="1"/>
    <w:next w:val="1"/>
    <w:link w:val="51"/>
    <w:unhideWhenUsed/>
    <w:qFormat/>
    <w:uiPriority w:val="99"/>
    <w:pPr>
      <w:ind w:left="100" w:leftChars="2500"/>
    </w:pPr>
    <w:rPr>
      <w:rFonts w:ascii="Calibri" w:hAnsi="Calibri"/>
      <w:szCs w:val="22"/>
    </w:rPr>
  </w:style>
  <w:style w:type="paragraph" w:styleId="14">
    <w:name w:val="Body Text Indent 2"/>
    <w:basedOn w:val="1"/>
    <w:link w:val="64"/>
    <w:semiHidden/>
    <w:unhideWhenUsed/>
    <w:qFormat/>
    <w:uiPriority w:val="99"/>
    <w:pPr>
      <w:spacing w:after="120" w:line="480" w:lineRule="auto"/>
      <w:ind w:left="420" w:leftChars="200"/>
    </w:pPr>
  </w:style>
  <w:style w:type="paragraph" w:styleId="15">
    <w:name w:val="Balloon Text"/>
    <w:basedOn w:val="1"/>
    <w:link w:val="52"/>
    <w:unhideWhenUsed/>
    <w:qFormat/>
    <w:uiPriority w:val="99"/>
    <w:rPr>
      <w:rFonts w:ascii="Calibri" w:hAnsi="Calibri"/>
      <w:kern w:val="0"/>
      <w:sz w:val="18"/>
      <w:szCs w:val="18"/>
    </w:rPr>
  </w:style>
  <w:style w:type="paragraph" w:styleId="16">
    <w:name w:val="footer"/>
    <w:basedOn w:val="1"/>
    <w:link w:val="39"/>
    <w:qFormat/>
    <w:uiPriority w:val="99"/>
    <w:pPr>
      <w:tabs>
        <w:tab w:val="center" w:pos="4153"/>
        <w:tab w:val="right" w:pos="8306"/>
      </w:tabs>
      <w:snapToGrid w:val="0"/>
      <w:jc w:val="left"/>
    </w:pPr>
    <w:rPr>
      <w:kern w:val="0"/>
      <w:sz w:val="18"/>
      <w:szCs w:val="18"/>
    </w:rPr>
  </w:style>
  <w:style w:type="paragraph" w:styleId="17">
    <w:name w:val="header"/>
    <w:basedOn w:val="1"/>
    <w:link w:val="4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pPr>
      <w:widowControl/>
      <w:tabs>
        <w:tab w:val="right" w:leader="dot" w:pos="9061"/>
      </w:tabs>
      <w:spacing w:beforeLines="100" w:beforeAutospacing="0" w:afterLines="50" w:afterAutospacing="0" w:line="240" w:lineRule="auto"/>
      <w:jc w:val="center"/>
    </w:pPr>
    <w:rPr>
      <w:rFonts w:ascii="黑体" w:hAnsi="黑体" w:eastAsia="黑体"/>
      <w:kern w:val="0"/>
      <w:sz w:val="30"/>
      <w:szCs w:val="30"/>
    </w:rPr>
  </w:style>
  <w:style w:type="paragraph" w:styleId="19">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20">
    <w:name w:val="Body Text Indent 3"/>
    <w:basedOn w:val="1"/>
    <w:link w:val="54"/>
    <w:qFormat/>
    <w:uiPriority w:val="0"/>
    <w:pPr>
      <w:spacing w:after="120"/>
      <w:ind w:left="420" w:leftChars="200"/>
    </w:pPr>
    <w:rPr>
      <w:kern w:val="0"/>
      <w:sz w:val="16"/>
      <w:szCs w:val="16"/>
    </w:rPr>
  </w:style>
  <w:style w:type="paragraph" w:styleId="21">
    <w:name w:val="toc 2"/>
    <w:basedOn w:val="1"/>
    <w:next w:val="1"/>
    <w:unhideWhenUsed/>
    <w:qFormat/>
    <w:uiPriority w:val="39"/>
    <w:pPr>
      <w:widowControl/>
      <w:tabs>
        <w:tab w:val="right" w:leader="dot" w:pos="9061"/>
      </w:tabs>
      <w:spacing w:beforeLines="50" w:beforeAutospacing="0" w:afterLines="50" w:afterAutospacing="0" w:line="300" w:lineRule="exact"/>
      <w:ind w:left="221"/>
      <w:jc w:val="left"/>
    </w:pPr>
    <w:rPr>
      <w:rFonts w:ascii="黑体" w:hAnsi="黑体" w:eastAsia="黑体"/>
      <w:kern w:val="0"/>
      <w:sz w:val="24"/>
    </w:rPr>
  </w:style>
  <w:style w:type="paragraph" w:styleId="22">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47"/>
    <w:qFormat/>
    <w:uiPriority w:val="0"/>
    <w:pPr>
      <w:spacing w:before="240" w:after="60"/>
      <w:jc w:val="center"/>
      <w:outlineLvl w:val="0"/>
    </w:pPr>
    <w:rPr>
      <w:rFonts w:ascii="Cambria" w:hAnsi="Cambria"/>
      <w:b/>
      <w:bCs/>
      <w:kern w:val="0"/>
      <w:sz w:val="32"/>
      <w:szCs w:val="32"/>
    </w:rPr>
  </w:style>
  <w:style w:type="paragraph" w:styleId="24">
    <w:name w:val="annotation subject"/>
    <w:basedOn w:val="7"/>
    <w:next w:val="7"/>
    <w:link w:val="58"/>
    <w:unhideWhenUsed/>
    <w:qFormat/>
    <w:uiPriority w:val="99"/>
    <w:rPr>
      <w:rFonts w:ascii="Times New Roman" w:hAnsi="Times New Roman"/>
      <w:b/>
      <w:bCs/>
      <w:szCs w:val="24"/>
    </w:rPr>
  </w:style>
  <w:style w:type="paragraph" w:styleId="25">
    <w:name w:val="Body Text First Indent 2"/>
    <w:basedOn w:val="9"/>
    <w:link w:val="80"/>
    <w:unhideWhenUsed/>
    <w:qFormat/>
    <w:uiPriority w:val="0"/>
    <w:pPr>
      <w:tabs>
        <w:tab w:val="left" w:pos="1680"/>
      </w:tabs>
      <w:spacing w:before="0" w:beforeAutospacing="0" w:after="120" w:afterAutospacing="0" w:line="360" w:lineRule="auto"/>
      <w:ind w:left="420" w:leftChars="200" w:firstLine="420" w:firstLineChars="200"/>
    </w:pPr>
    <w:rPr>
      <w:rFonts w:ascii="Calibri" w:hAnsi="Calibri" w:eastAsia="宋体"/>
      <w:kern w:val="2"/>
      <w:sz w:val="21"/>
      <w:szCs w:val="22"/>
    </w:rPr>
  </w:style>
  <w:style w:type="table" w:styleId="27">
    <w:name w:val="Table Grid"/>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Strong"/>
    <w:basedOn w:val="28"/>
    <w:qFormat/>
    <w:uiPriority w:val="22"/>
    <w:rPr>
      <w:rFonts w:eastAsia="黑体"/>
      <w:bCs/>
    </w:rPr>
  </w:style>
  <w:style w:type="character" w:styleId="30">
    <w:name w:val="page number"/>
    <w:basedOn w:val="28"/>
    <w:qFormat/>
    <w:uiPriority w:val="0"/>
  </w:style>
  <w:style w:type="character" w:styleId="31">
    <w:name w:val="Hyperlink"/>
    <w:unhideWhenUsed/>
    <w:qFormat/>
    <w:uiPriority w:val="99"/>
    <w:rPr>
      <w:color w:val="0000FF"/>
      <w:u w:val="single"/>
    </w:rPr>
  </w:style>
  <w:style w:type="character" w:styleId="32">
    <w:name w:val="annotation reference"/>
    <w:unhideWhenUsed/>
    <w:qFormat/>
    <w:uiPriority w:val="0"/>
    <w:rPr>
      <w:sz w:val="21"/>
      <w:szCs w:val="21"/>
    </w:rPr>
  </w:style>
  <w:style w:type="character" w:styleId="33">
    <w:name w:val="HTML Keyboard"/>
    <w:qFormat/>
    <w:uiPriority w:val="0"/>
    <w:rPr>
      <w:rFonts w:ascii="Consolas" w:hAnsi="Consolas" w:eastAsia="Consolas" w:cs="Consolas"/>
      <w:kern w:val="0"/>
      <w:sz w:val="21"/>
      <w:szCs w:val="21"/>
      <w:lang w:eastAsia="en-US"/>
    </w:rPr>
  </w:style>
  <w:style w:type="character" w:styleId="34">
    <w:name w:val="HTML Sample"/>
    <w:basedOn w:val="28"/>
    <w:semiHidden/>
    <w:unhideWhenUsed/>
    <w:qFormat/>
    <w:uiPriority w:val="99"/>
    <w:rPr>
      <w:rFonts w:ascii="宋体" w:hAnsi="宋体" w:eastAsia="宋体" w:cs="宋体"/>
    </w:rPr>
  </w:style>
  <w:style w:type="paragraph" w:customStyle="1" w:styleId="35">
    <w:name w:val="Default"/>
    <w:next w:val="1"/>
    <w:qFormat/>
    <w:uiPriority w:val="0"/>
    <w:pPr>
      <w:widowControl w:val="0"/>
      <w:autoSpaceDE w:val="0"/>
      <w:autoSpaceDN w:val="0"/>
      <w:adjustRightInd w:val="0"/>
    </w:pPr>
    <w:rPr>
      <w:rFonts w:ascii="隶书" w:hAnsi="Calibri" w:eastAsia="隶书" w:cs="隶书"/>
      <w:color w:val="000000"/>
      <w:sz w:val="24"/>
      <w:szCs w:val="24"/>
      <w:lang w:val="en-US" w:eastAsia="zh-CN" w:bidi="ar-SA"/>
    </w:rPr>
  </w:style>
  <w:style w:type="character" w:customStyle="1" w:styleId="36">
    <w:name w:val="标题 1 Char"/>
    <w:link w:val="3"/>
    <w:qFormat/>
    <w:uiPriority w:val="9"/>
    <w:rPr>
      <w:rFonts w:ascii="Times New Roman" w:hAnsi="Times New Roman" w:eastAsia="宋体" w:cs="Times New Roman"/>
      <w:b/>
      <w:bCs/>
      <w:kern w:val="44"/>
      <w:sz w:val="32"/>
      <w:szCs w:val="44"/>
    </w:rPr>
  </w:style>
  <w:style w:type="character" w:customStyle="1" w:styleId="37">
    <w:name w:val="标题 2 Char"/>
    <w:link w:val="4"/>
    <w:qFormat/>
    <w:uiPriority w:val="9"/>
    <w:rPr>
      <w:rFonts w:ascii="Cambria" w:hAnsi="Cambria" w:eastAsia="宋体" w:cs="Times New Roman"/>
      <w:b/>
      <w:bCs/>
      <w:sz w:val="28"/>
      <w:szCs w:val="32"/>
    </w:rPr>
  </w:style>
  <w:style w:type="character" w:customStyle="1" w:styleId="38">
    <w:name w:val="标题 3 Char"/>
    <w:link w:val="5"/>
    <w:qFormat/>
    <w:uiPriority w:val="9"/>
    <w:rPr>
      <w:rFonts w:ascii="Times New Roman" w:hAnsi="Times New Roman" w:eastAsia="黑体" w:cs="Times New Roman"/>
      <w:bCs/>
      <w:sz w:val="24"/>
      <w:szCs w:val="32"/>
    </w:rPr>
  </w:style>
  <w:style w:type="character" w:customStyle="1" w:styleId="39">
    <w:name w:val="页脚 Char"/>
    <w:link w:val="16"/>
    <w:qFormat/>
    <w:uiPriority w:val="99"/>
    <w:rPr>
      <w:rFonts w:ascii="Times New Roman" w:hAnsi="Times New Roman" w:eastAsia="宋体" w:cs="Times New Roman"/>
      <w:sz w:val="18"/>
      <w:szCs w:val="18"/>
    </w:rPr>
  </w:style>
  <w:style w:type="character" w:customStyle="1" w:styleId="40">
    <w:name w:val="正文缩进 Char"/>
    <w:link w:val="2"/>
    <w:qFormat/>
    <w:uiPriority w:val="0"/>
    <w:rPr>
      <w:rFonts w:ascii="Times New Roman" w:hAnsi="Times New Roman" w:eastAsia="宋体" w:cs="Times New Roman"/>
      <w:szCs w:val="24"/>
    </w:rPr>
  </w:style>
  <w:style w:type="character" w:customStyle="1" w:styleId="41">
    <w:name w:val="页眉 Char"/>
    <w:link w:val="17"/>
    <w:qFormat/>
    <w:uiPriority w:val="0"/>
    <w:rPr>
      <w:rFonts w:ascii="Times New Roman" w:hAnsi="Times New Roman" w:eastAsia="宋体" w:cs="Times New Roman"/>
      <w:sz w:val="18"/>
      <w:szCs w:val="18"/>
    </w:rPr>
  </w:style>
  <w:style w:type="character" w:customStyle="1" w:styleId="42">
    <w:name w:val="纯文本 Char"/>
    <w:link w:val="12"/>
    <w:qFormat/>
    <w:uiPriority w:val="0"/>
    <w:rPr>
      <w:rFonts w:ascii="宋体" w:hAnsi="Courier New" w:eastAsia="宋体" w:cs="Times New Roman"/>
      <w:szCs w:val="20"/>
    </w:rPr>
  </w:style>
  <w:style w:type="character" w:customStyle="1" w:styleId="43">
    <w:name w:val="正文文本缩进 Char"/>
    <w:link w:val="9"/>
    <w:qFormat/>
    <w:uiPriority w:val="0"/>
    <w:rPr>
      <w:rFonts w:ascii="Times New Roman" w:hAnsi="Times New Roman" w:eastAsia="方正书宋简体" w:cs="Times New Roman"/>
      <w:sz w:val="24"/>
      <w:szCs w:val="20"/>
    </w:rPr>
  </w:style>
  <w:style w:type="paragraph" w:customStyle="1" w:styleId="44">
    <w:name w:val="列表段落1"/>
    <w:basedOn w:val="1"/>
    <w:qFormat/>
    <w:uiPriority w:val="34"/>
    <w:pPr>
      <w:ind w:firstLine="420" w:firstLineChars="200"/>
    </w:pPr>
  </w:style>
  <w:style w:type="paragraph" w:customStyle="1" w:styleId="45">
    <w:name w:val="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
    <w:name w:val="Char1"/>
    <w:basedOn w:val="1"/>
    <w:qFormat/>
    <w:uiPriority w:val="0"/>
    <w:pPr>
      <w:widowControl/>
      <w:snapToGrid w:val="0"/>
      <w:ind w:left="-3" w:right="-28" w:rightChars="-10"/>
    </w:pPr>
    <w:rPr>
      <w:rFonts w:ascii="Tahoma" w:hAnsi="Tahoma" w:cs="Tahoma"/>
      <w:sz w:val="24"/>
    </w:rPr>
  </w:style>
  <w:style w:type="character" w:customStyle="1" w:styleId="47">
    <w:name w:val="标题 Char"/>
    <w:link w:val="23"/>
    <w:qFormat/>
    <w:uiPriority w:val="0"/>
    <w:rPr>
      <w:rFonts w:ascii="Cambria" w:hAnsi="Cambria"/>
      <w:b/>
      <w:bCs/>
      <w:sz w:val="32"/>
      <w:szCs w:val="32"/>
    </w:rPr>
  </w:style>
  <w:style w:type="character" w:customStyle="1" w:styleId="48">
    <w:name w:val="标题 Char1"/>
    <w:qFormat/>
    <w:uiPriority w:val="10"/>
    <w:rPr>
      <w:rFonts w:ascii="Cambria" w:hAnsi="Cambria" w:eastAsia="宋体" w:cs="Times New Roman"/>
      <w:b/>
      <w:bCs/>
      <w:sz w:val="32"/>
      <w:szCs w:val="32"/>
    </w:rPr>
  </w:style>
  <w:style w:type="character" w:customStyle="1" w:styleId="49">
    <w:name w:val="Char Char"/>
    <w:qFormat/>
    <w:uiPriority w:val="0"/>
    <w:rPr>
      <w:rFonts w:ascii="Cambria" w:hAnsi="Cambria" w:eastAsia="宋体" w:cs="Times New Roman"/>
      <w:b/>
      <w:bCs/>
      <w:sz w:val="32"/>
      <w:szCs w:val="32"/>
    </w:rPr>
  </w:style>
  <w:style w:type="character" w:customStyle="1" w:styleId="50">
    <w:name w:val="批注文字 Char"/>
    <w:link w:val="7"/>
    <w:qFormat/>
    <w:uiPriority w:val="99"/>
    <w:rPr>
      <w:rFonts w:ascii="Calibri" w:hAnsi="Calibri" w:eastAsia="宋体" w:cs="Times New Roman"/>
    </w:rPr>
  </w:style>
  <w:style w:type="character" w:customStyle="1" w:styleId="51">
    <w:name w:val="日期 Char"/>
    <w:basedOn w:val="28"/>
    <w:link w:val="13"/>
    <w:semiHidden/>
    <w:qFormat/>
    <w:uiPriority w:val="99"/>
  </w:style>
  <w:style w:type="character" w:customStyle="1" w:styleId="52">
    <w:name w:val="批注框文本 Char"/>
    <w:link w:val="15"/>
    <w:semiHidden/>
    <w:qFormat/>
    <w:uiPriority w:val="99"/>
    <w:rPr>
      <w:sz w:val="18"/>
      <w:szCs w:val="18"/>
    </w:rPr>
  </w:style>
  <w:style w:type="paragraph" w:customStyle="1" w:styleId="53">
    <w:name w:val="样式 标题 5 + 右侧:  -0.18 字符"/>
    <w:basedOn w:val="1"/>
    <w:qFormat/>
    <w:uiPriority w:val="0"/>
    <w:pPr>
      <w:tabs>
        <w:tab w:val="left" w:pos="1008"/>
      </w:tabs>
      <w:ind w:left="2108" w:hanging="420"/>
    </w:pPr>
  </w:style>
  <w:style w:type="character" w:customStyle="1" w:styleId="54">
    <w:name w:val="正文文本缩进 3 Char"/>
    <w:link w:val="20"/>
    <w:qFormat/>
    <w:uiPriority w:val="0"/>
    <w:rPr>
      <w:rFonts w:ascii="Times New Roman" w:hAnsi="Times New Roman" w:eastAsia="宋体" w:cs="Times New Roman"/>
      <w:sz w:val="16"/>
      <w:szCs w:val="16"/>
    </w:rPr>
  </w:style>
  <w:style w:type="character" w:customStyle="1" w:styleId="55">
    <w:name w:val="正文文本 Char"/>
    <w:basedOn w:val="28"/>
    <w:link w:val="8"/>
    <w:semiHidden/>
    <w:qFormat/>
    <w:uiPriority w:val="99"/>
  </w:style>
  <w:style w:type="character" w:customStyle="1" w:styleId="56">
    <w:name w:val="文档结构图 Char"/>
    <w:link w:val="6"/>
    <w:semiHidden/>
    <w:qFormat/>
    <w:uiPriority w:val="99"/>
    <w:rPr>
      <w:rFonts w:ascii="宋体" w:hAnsi="Times New Roman" w:eastAsia="宋体" w:cs="Times New Roman"/>
      <w:sz w:val="18"/>
      <w:szCs w:val="18"/>
    </w:rPr>
  </w:style>
  <w:style w:type="paragraph" w:customStyle="1" w:styleId="57">
    <w:name w:val="TOC 标题1"/>
    <w:basedOn w:val="3"/>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character" w:customStyle="1" w:styleId="58">
    <w:name w:val="批注主题 Char"/>
    <w:link w:val="24"/>
    <w:semiHidden/>
    <w:qFormat/>
    <w:uiPriority w:val="99"/>
    <w:rPr>
      <w:rFonts w:ascii="Times New Roman" w:hAnsi="Times New Roman" w:eastAsia="宋体" w:cs="Times New Roman"/>
      <w:b/>
      <w:bCs/>
      <w:szCs w:val="24"/>
    </w:rPr>
  </w:style>
  <w:style w:type="paragraph" w:customStyle="1" w:styleId="59">
    <w:name w:val="修订1"/>
    <w:hidden/>
    <w:semiHidden/>
    <w:qFormat/>
    <w:uiPriority w:val="99"/>
    <w:pPr>
      <w:spacing w:before="100" w:beforeAutospacing="1" w:after="100" w:afterAutospacing="1" w:line="360" w:lineRule="auto"/>
      <w:jc w:val="center"/>
    </w:pPr>
    <w:rPr>
      <w:rFonts w:ascii="Times New Roman" w:hAnsi="Times New Roman" w:eastAsia="宋体" w:cs="Times New Roman"/>
      <w:kern w:val="2"/>
      <w:sz w:val="21"/>
      <w:szCs w:val="24"/>
      <w:lang w:val="en-US" w:eastAsia="zh-CN" w:bidi="ar-SA"/>
    </w:rPr>
  </w:style>
  <w:style w:type="paragraph" w:styleId="60">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styleId="61">
    <w:name w:val="List Paragraph"/>
    <w:basedOn w:val="1"/>
    <w:qFormat/>
    <w:uiPriority w:val="34"/>
    <w:pPr>
      <w:ind w:firstLine="420" w:firstLineChars="200"/>
    </w:pPr>
  </w:style>
  <w:style w:type="paragraph" w:customStyle="1" w:styleId="62">
    <w:name w:val="样式 样式 样式 左侧:  2 字符1 + 首行缩进:  2 字符1 + 首行缩进:  2 字符"/>
    <w:basedOn w:val="1"/>
    <w:qFormat/>
    <w:uiPriority w:val="0"/>
    <w:pPr>
      <w:widowControl/>
      <w:adjustRightInd w:val="0"/>
      <w:spacing w:before="60" w:beforeAutospacing="0" w:after="120" w:afterAutospacing="0" w:line="440" w:lineRule="atLeast"/>
      <w:ind w:firstLine="480"/>
      <w:textAlignment w:val="baseline"/>
    </w:pPr>
    <w:rPr>
      <w:sz w:val="24"/>
      <w:szCs w:val="20"/>
    </w:rPr>
  </w:style>
  <w:style w:type="paragraph" w:customStyle="1" w:styleId="63">
    <w:name w:val="表内文本"/>
    <w:qFormat/>
    <w:uiPriority w:val="0"/>
    <w:pPr>
      <w:widowControl w:val="0"/>
      <w:adjustRightInd w:val="0"/>
      <w:snapToGrid w:val="0"/>
      <w:jc w:val="center"/>
    </w:pPr>
    <w:rPr>
      <w:rFonts w:ascii="Times New Roman" w:hAnsi="Times New Roman" w:eastAsia="仿宋" w:cs="Times New Roman"/>
      <w:spacing w:val="-20"/>
      <w:kern w:val="2"/>
      <w:sz w:val="28"/>
      <w:szCs w:val="21"/>
      <w:lang w:val="en-US" w:eastAsia="zh-CN" w:bidi="ar-SA"/>
    </w:rPr>
  </w:style>
  <w:style w:type="character" w:customStyle="1" w:styleId="64">
    <w:name w:val="正文文本缩进 2 Char"/>
    <w:basedOn w:val="28"/>
    <w:link w:val="14"/>
    <w:semiHidden/>
    <w:qFormat/>
    <w:uiPriority w:val="99"/>
    <w:rPr>
      <w:rFonts w:ascii="Times New Roman" w:hAnsi="Times New Roman"/>
      <w:kern w:val="2"/>
      <w:sz w:val="21"/>
      <w:szCs w:val="24"/>
    </w:rPr>
  </w:style>
  <w:style w:type="character" w:customStyle="1" w:styleId="65">
    <w:name w:val="纯文本 Char1"/>
    <w:qFormat/>
    <w:locked/>
    <w:uiPriority w:val="0"/>
    <w:rPr>
      <w:rFonts w:ascii="宋体" w:hAnsi="Courier New" w:eastAsia="宋体"/>
      <w:kern w:val="2"/>
      <w:sz w:val="21"/>
      <w:lang w:val="en-US" w:eastAsia="zh-CN"/>
    </w:rPr>
  </w:style>
  <w:style w:type="paragraph" w:customStyle="1" w:styleId="66">
    <w:name w:val="head"/>
    <w:basedOn w:val="1"/>
    <w:qFormat/>
    <w:uiPriority w:val="0"/>
    <w:pPr>
      <w:widowControl/>
      <w:spacing w:line="240" w:lineRule="auto"/>
      <w:jc w:val="center"/>
    </w:pPr>
    <w:rPr>
      <w:rFonts w:hint="eastAsia" w:ascii="黑体" w:hAnsi="宋体" w:eastAsia="黑体"/>
      <w:b/>
      <w:bCs/>
      <w:kern w:val="0"/>
      <w:sz w:val="28"/>
      <w:szCs w:val="28"/>
    </w:rPr>
  </w:style>
  <w:style w:type="paragraph" w:customStyle="1" w:styleId="6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纯文本_0_0"/>
    <w:basedOn w:val="69"/>
    <w:link w:val="70"/>
    <w:unhideWhenUsed/>
    <w:qFormat/>
    <w:uiPriority w:val="0"/>
    <w:pPr>
      <w:widowControl/>
      <w:jc w:val="left"/>
    </w:pPr>
    <w:rPr>
      <w:rFonts w:ascii="宋体" w:hAnsi="Courier New"/>
      <w:kern w:val="0"/>
      <w:sz w:val="20"/>
      <w:szCs w:val="21"/>
      <w:lang w:val="zh-CN"/>
    </w:rPr>
  </w:style>
  <w:style w:type="paragraph" w:customStyle="1" w:styleId="6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纯文本 Char_0_0"/>
    <w:link w:val="68"/>
    <w:qFormat/>
    <w:locked/>
    <w:uiPriority w:val="0"/>
    <w:rPr>
      <w:rFonts w:ascii="宋体" w:hAnsi="Courier New"/>
      <w:szCs w:val="21"/>
      <w:lang w:val="zh-CN" w:eastAsia="zh-CN"/>
    </w:rPr>
  </w:style>
  <w:style w:type="paragraph" w:customStyle="1" w:styleId="71">
    <w:name w:val="表格文字"/>
    <w:basedOn w:val="1"/>
    <w:qFormat/>
    <w:uiPriority w:val="0"/>
    <w:pPr>
      <w:spacing w:before="25" w:beforeAutospacing="0" w:after="25" w:afterAutospacing="0" w:line="240" w:lineRule="auto"/>
      <w:jc w:val="left"/>
    </w:pPr>
    <w:rPr>
      <w:rFonts w:ascii="Calibri" w:hAnsi="Calibri"/>
      <w:bCs/>
      <w:spacing w:val="10"/>
      <w:kern w:val="0"/>
      <w:sz w:val="24"/>
      <w:szCs w:val="22"/>
    </w:rPr>
  </w:style>
  <w:style w:type="paragraph" w:customStyle="1" w:styleId="72">
    <w:name w:val="普通(网站)1"/>
    <w:basedOn w:val="1"/>
    <w:qFormat/>
    <w:uiPriority w:val="0"/>
    <w:pPr>
      <w:widowControl/>
      <w:jc w:val="left"/>
    </w:pPr>
    <w:rPr>
      <w:rFonts w:ascii="宋体" w:hAnsi="宋体"/>
      <w:kern w:val="0"/>
      <w:sz w:val="24"/>
    </w:rPr>
  </w:style>
  <w:style w:type="character" w:customStyle="1" w:styleId="73">
    <w:name w:val="font21"/>
    <w:basedOn w:val="28"/>
    <w:qFormat/>
    <w:uiPriority w:val="0"/>
    <w:rPr>
      <w:rFonts w:hint="eastAsia" w:ascii="黑体" w:hAnsi="宋体" w:eastAsia="黑体" w:cs="黑体"/>
      <w:color w:val="000000"/>
      <w:sz w:val="22"/>
      <w:szCs w:val="22"/>
      <w:u w:val="none"/>
    </w:rPr>
  </w:style>
  <w:style w:type="character" w:customStyle="1" w:styleId="74">
    <w:name w:val="font31"/>
    <w:basedOn w:val="28"/>
    <w:qFormat/>
    <w:uiPriority w:val="0"/>
    <w:rPr>
      <w:rFonts w:hint="eastAsia" w:ascii="黑体" w:hAnsi="宋体" w:eastAsia="黑体" w:cs="黑体"/>
      <w:color w:val="000000"/>
      <w:sz w:val="22"/>
      <w:szCs w:val="22"/>
      <w:u w:val="none"/>
    </w:rPr>
  </w:style>
  <w:style w:type="character" w:customStyle="1" w:styleId="75">
    <w:name w:val="font51"/>
    <w:basedOn w:val="28"/>
    <w:qFormat/>
    <w:uiPriority w:val="0"/>
    <w:rPr>
      <w:rFonts w:hint="eastAsia" w:ascii="黑体" w:hAnsi="宋体" w:eastAsia="黑体" w:cs="黑体"/>
      <w:color w:val="000000"/>
      <w:sz w:val="22"/>
      <w:szCs w:val="22"/>
      <w:u w:val="none"/>
    </w:rPr>
  </w:style>
  <w:style w:type="character" w:customStyle="1" w:styleId="76">
    <w:name w:val="font71"/>
    <w:basedOn w:val="28"/>
    <w:qFormat/>
    <w:uiPriority w:val="0"/>
    <w:rPr>
      <w:rFonts w:hint="eastAsia" w:ascii="黑体" w:hAnsi="宋体" w:eastAsia="黑体" w:cs="黑体"/>
      <w:b/>
      <w:color w:val="000000"/>
      <w:sz w:val="22"/>
      <w:szCs w:val="22"/>
      <w:u w:val="none"/>
    </w:rPr>
  </w:style>
  <w:style w:type="character" w:customStyle="1" w:styleId="77">
    <w:name w:val="font41"/>
    <w:basedOn w:val="28"/>
    <w:qFormat/>
    <w:uiPriority w:val="0"/>
    <w:rPr>
      <w:rFonts w:hint="eastAsia" w:ascii="黑体" w:hAnsi="宋体" w:eastAsia="黑体" w:cs="黑体"/>
      <w:b/>
      <w:color w:val="000000"/>
      <w:sz w:val="22"/>
      <w:szCs w:val="22"/>
      <w:u w:val="none"/>
    </w:rPr>
  </w:style>
  <w:style w:type="character" w:customStyle="1" w:styleId="78">
    <w:name w:val="font101"/>
    <w:basedOn w:val="28"/>
    <w:qFormat/>
    <w:uiPriority w:val="0"/>
    <w:rPr>
      <w:rFonts w:hint="eastAsia" w:ascii="黑体" w:hAnsi="宋体" w:eastAsia="黑体" w:cs="黑体"/>
      <w:b/>
      <w:color w:val="000000"/>
      <w:sz w:val="22"/>
      <w:szCs w:val="22"/>
      <w:u w:val="none"/>
    </w:rPr>
  </w:style>
  <w:style w:type="character" w:customStyle="1" w:styleId="79">
    <w:name w:val="font81"/>
    <w:basedOn w:val="28"/>
    <w:qFormat/>
    <w:uiPriority w:val="0"/>
    <w:rPr>
      <w:rFonts w:ascii="Arial" w:hAnsi="Arial" w:cs="Arial"/>
      <w:color w:val="000000"/>
      <w:sz w:val="22"/>
      <w:szCs w:val="22"/>
      <w:u w:val="none"/>
    </w:rPr>
  </w:style>
  <w:style w:type="character" w:customStyle="1" w:styleId="80">
    <w:name w:val="正文首行缩进 2 Char"/>
    <w:link w:val="25"/>
    <w:qFormat/>
    <w:uiPriority w:val="0"/>
    <w:rPr>
      <w:kern w:val="2"/>
      <w:sz w:val="21"/>
      <w:szCs w:val="22"/>
    </w:rPr>
  </w:style>
  <w:style w:type="character" w:customStyle="1" w:styleId="81">
    <w:name w:val="样式1 Char Char"/>
    <w:link w:val="82"/>
    <w:qFormat/>
    <w:uiPriority w:val="0"/>
    <w:rPr>
      <w:rFonts w:ascii="Arial" w:hAnsi="Arial"/>
      <w:kern w:val="2"/>
      <w:sz w:val="21"/>
      <w:szCs w:val="24"/>
    </w:rPr>
  </w:style>
  <w:style w:type="paragraph" w:customStyle="1" w:styleId="82">
    <w:name w:val="样式1"/>
    <w:basedOn w:val="1"/>
    <w:link w:val="81"/>
    <w:qFormat/>
    <w:uiPriority w:val="0"/>
    <w:pPr>
      <w:spacing w:before="0" w:beforeAutospacing="0" w:after="0" w:afterAutospacing="0" w:line="360" w:lineRule="exact"/>
      <w:ind w:firstLine="200" w:firstLineChars="200"/>
    </w:pPr>
    <w:rPr>
      <w:rFonts w:ascii="Arial" w:hAnsi="Arial"/>
    </w:rPr>
  </w:style>
  <w:style w:type="character" w:customStyle="1" w:styleId="83">
    <w:name w:val="正文文本首行缩进 2 字符1"/>
    <w:basedOn w:val="43"/>
    <w:semiHidden/>
    <w:qFormat/>
    <w:uiPriority w:val="99"/>
    <w:rPr>
      <w:rFonts w:ascii="Times New Roman" w:hAnsi="Times New Roman" w:eastAsia="方正书宋简体" w:cs="Times New Roman"/>
      <w:kern w:val="2"/>
      <w:sz w:val="21"/>
      <w:szCs w:val="24"/>
    </w:rPr>
  </w:style>
  <w:style w:type="character" w:customStyle="1" w:styleId="84">
    <w:name w:val="副标题 Char"/>
    <w:link w:val="19"/>
    <w:qFormat/>
    <w:uiPriority w:val="0"/>
    <w:rPr>
      <w:rFonts w:ascii="Cambria" w:hAnsi="Cambria"/>
      <w:b/>
      <w:bCs/>
      <w:kern w:val="28"/>
      <w:sz w:val="32"/>
      <w:szCs w:val="32"/>
    </w:rPr>
  </w:style>
  <w:style w:type="paragraph" w:customStyle="1" w:styleId="8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纯文本_2"/>
    <w:basedOn w:val="85"/>
    <w:link w:val="87"/>
    <w:unhideWhenUsed/>
    <w:qFormat/>
    <w:uiPriority w:val="0"/>
    <w:pPr>
      <w:widowControl/>
      <w:jc w:val="left"/>
    </w:pPr>
    <w:rPr>
      <w:rFonts w:ascii="宋体" w:hAnsi="Courier New"/>
      <w:kern w:val="0"/>
      <w:sz w:val="20"/>
      <w:szCs w:val="21"/>
      <w:lang w:val="zh-CN"/>
    </w:rPr>
  </w:style>
  <w:style w:type="character" w:customStyle="1" w:styleId="87">
    <w:name w:val="纯文本 Char_2"/>
    <w:link w:val="86"/>
    <w:qFormat/>
    <w:locked/>
    <w:uiPriority w:val="0"/>
    <w:rPr>
      <w:rFonts w:ascii="宋体" w:hAnsi="Courier New"/>
      <w:szCs w:val="21"/>
      <w:lang w:val="zh-CN"/>
    </w:rPr>
  </w:style>
  <w:style w:type="paragraph" w:customStyle="1" w:styleId="8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纯文本_3"/>
    <w:basedOn w:val="88"/>
    <w:link w:val="90"/>
    <w:qFormat/>
    <w:uiPriority w:val="0"/>
    <w:rPr>
      <w:rFonts w:ascii="宋体" w:hAnsi="Courier New"/>
      <w:kern w:val="0"/>
      <w:sz w:val="20"/>
      <w:szCs w:val="20"/>
      <w:lang w:val="zh-CN"/>
    </w:rPr>
  </w:style>
  <w:style w:type="character" w:customStyle="1" w:styleId="90">
    <w:name w:val="纯文本 Char_3"/>
    <w:link w:val="89"/>
    <w:qFormat/>
    <w:uiPriority w:val="0"/>
    <w:rPr>
      <w:rFonts w:ascii="宋体" w:hAnsi="Courier New"/>
      <w:lang w:val="zh-CN"/>
    </w:rPr>
  </w:style>
  <w:style w:type="character" w:customStyle="1" w:styleId="91">
    <w:name w:val="font11"/>
    <w:basedOn w:val="28"/>
    <w:qFormat/>
    <w:uiPriority w:val="0"/>
    <w:rPr>
      <w:rFonts w:hint="eastAsia" w:ascii="宋体" w:hAnsi="宋体" w:eastAsia="宋体" w:cs="宋体"/>
      <w:b/>
      <w:bCs/>
      <w:color w:val="000000"/>
      <w:sz w:val="24"/>
      <w:szCs w:val="24"/>
      <w:u w:val="none"/>
    </w:rPr>
  </w:style>
  <w:style w:type="character" w:customStyle="1" w:styleId="92">
    <w:name w:val="bookmark-item"/>
    <w:basedOn w:val="28"/>
    <w:qFormat/>
    <w:uiPriority w:val="0"/>
  </w:style>
  <w:style w:type="paragraph" w:customStyle="1" w:styleId="93">
    <w:name w:val="WPSOffice手动目录 1"/>
    <w:qFormat/>
    <w:uiPriority w:val="0"/>
    <w:pPr>
      <w:ind w:leftChars="0"/>
    </w:pPr>
    <w:rPr>
      <w:rFonts w:ascii="Times New Roman" w:hAnsi="Times New Roman" w:eastAsia="宋体" w:cs="Times New Roman"/>
      <w:sz w:val="20"/>
      <w:szCs w:val="20"/>
    </w:rPr>
  </w:style>
  <w:style w:type="paragraph" w:customStyle="1" w:styleId="94">
    <w:name w:val="WPSOffice手动目录 2"/>
    <w:qFormat/>
    <w:uiPriority w:val="0"/>
    <w:pPr>
      <w:ind w:leftChars="200"/>
    </w:pPr>
    <w:rPr>
      <w:rFonts w:ascii="Times New Roman" w:hAnsi="Times New Roman" w:eastAsia="宋体" w:cs="Times New Roman"/>
      <w:sz w:val="20"/>
      <w:szCs w:val="20"/>
    </w:rPr>
  </w:style>
  <w:style w:type="paragraph" w:customStyle="1" w:styleId="95">
    <w:name w:val="日期_0"/>
    <w:basedOn w:val="96"/>
    <w:next w:val="96"/>
    <w:qFormat/>
    <w:uiPriority w:val="0"/>
    <w:pPr>
      <w:ind w:left="100" w:leftChars="2500"/>
    </w:pPr>
    <w:rPr>
      <w:rFonts w:ascii="Calibri" w:hAnsi="Calibri" w:eastAsia="宋体"/>
    </w:r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Normal_6"/>
    <w:qFormat/>
    <w:uiPriority w:val="0"/>
    <w:rPr>
      <w:rFonts w:ascii="黑体" w:hAnsi="黑体" w:eastAsia="黑体" w:cs="Times New Roman"/>
      <w:b/>
      <w:sz w:val="32"/>
      <w:szCs w:val="24"/>
      <w:lang w:bidi="ar-SA"/>
    </w:rPr>
  </w:style>
  <w:style w:type="paragraph" w:customStyle="1" w:styleId="98">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00">
    <w:name w:val="Normal_7"/>
    <w:qFormat/>
    <w:uiPriority w:val="0"/>
    <w:rPr>
      <w:rFonts w:ascii="黑体" w:hAnsi="黑体" w:eastAsia="黑体" w:cs="Times New Roman"/>
      <w:b/>
      <w:sz w:val="32"/>
      <w:szCs w:val="24"/>
      <w:lang w:bidi="ar-SA"/>
    </w:rPr>
  </w:style>
  <w:style w:type="paragraph" w:customStyle="1" w:styleId="101">
    <w:name w:val="Table Paragraph"/>
    <w:basedOn w:val="1"/>
    <w:qFormat/>
    <w:uiPriority w:val="1"/>
    <w:pPr>
      <w:autoSpaceDE w:val="0"/>
      <w:autoSpaceDN w:val="0"/>
      <w:jc w:val="left"/>
    </w:pPr>
    <w:rPr>
      <w:rFonts w:ascii="仿宋" w:hAnsi="仿宋" w:eastAsia="仿宋" w:cs="仿宋"/>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Info spid="_x0000_s4099"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7B795-7110-4DA7-959F-485706CCB2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43439</Words>
  <Characters>45788</Characters>
  <Lines>459</Lines>
  <Paragraphs>129</Paragraphs>
  <TotalTime>0</TotalTime>
  <ScaleCrop>false</ScaleCrop>
  <LinksUpToDate>false</LinksUpToDate>
  <CharactersWithSpaces>47912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2021-11-18T02:39:00Z</dcterms:created>
  <dc:creator>jiangbo</dc:creator>
  <cp:lastModifiedBy>正禾招标</cp:lastModifiedBy>
  <cp:lastPrinted>2015-01-06T06:47:00Z</cp:lastPrinted>
  <dcterms:modified xsi:type="dcterms:W3CDTF">2022-04-19T04:05:33Z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240E1590A7B9446DBB079AF802A5BA5E</vt:lpwstr>
  </property>
</Properties>
</file>