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beforeAutospacing="0" w:afterAutospacing="0" w:line="400" w:lineRule="exact"/>
        <w:ind w:left="0" w:leftChars="0" w:right="0" w:rightChars="0"/>
        <w:rPr>
          <w:rFonts w:ascii="宋体" w:hAnsi="宋体"/>
          <w:b/>
          <w:sz w:val="52"/>
        </w:rPr>
      </w:pPr>
    </w:p>
    <w:p>
      <w:pPr>
        <w:pageBreakBefore w:val="0"/>
        <w:kinsoku/>
        <w:wordWrap/>
        <w:topLinePunct w:val="0"/>
        <w:bidi w:val="0"/>
        <w:spacing w:beforeAutospacing="0" w:afterAutospacing="0" w:line="400" w:lineRule="exact"/>
        <w:ind w:left="0" w:leftChars="0" w:right="0" w:rightChars="0"/>
        <w:jc w:val="center"/>
        <w:rPr>
          <w:sz w:val="24"/>
        </w:rPr>
      </w:pPr>
    </w:p>
    <w:p>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480" w:lineRule="auto"/>
        <w:ind w:left="0" w:leftChars="0" w:right="0" w:rightChars="0"/>
        <w:jc w:val="center"/>
        <w:textAlignment w:val="auto"/>
        <w:rPr>
          <w:rFonts w:hint="eastAsia" w:ascii="宋体" w:hAnsi="宋体" w:cs="Times New Roman"/>
          <w:b/>
          <w:sz w:val="52"/>
          <w:szCs w:val="52"/>
          <w:lang w:eastAsia="zh-CN"/>
        </w:rPr>
      </w:pPr>
      <w:r>
        <w:rPr>
          <w:rFonts w:hint="eastAsia" w:ascii="宋体" w:hAnsi="宋体" w:cs="Times New Roman"/>
          <w:b/>
          <w:sz w:val="52"/>
          <w:szCs w:val="52"/>
          <w:lang w:eastAsia="zh-CN"/>
        </w:rPr>
        <w:t>新疆维吾尔自治区自然资源厅</w:t>
      </w:r>
    </w:p>
    <w:p>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480" w:lineRule="auto"/>
        <w:ind w:left="0" w:leftChars="0" w:right="0" w:rightChars="0"/>
        <w:jc w:val="center"/>
        <w:textAlignment w:val="auto"/>
        <w:rPr>
          <w:rFonts w:hint="eastAsia" w:ascii="宋体" w:hAnsi="宋体" w:cs="Times New Roman"/>
          <w:b/>
          <w:sz w:val="52"/>
          <w:szCs w:val="52"/>
          <w:lang w:eastAsia="zh-CN"/>
        </w:rPr>
      </w:pPr>
      <w:r>
        <w:rPr>
          <w:rFonts w:hint="eastAsia" w:ascii="宋体" w:hAnsi="宋体" w:cs="Times New Roman"/>
          <w:b/>
          <w:sz w:val="52"/>
          <w:szCs w:val="52"/>
          <w:lang w:eastAsia="zh-CN"/>
        </w:rPr>
        <w:t>网络安全加固建设项目</w:t>
      </w:r>
    </w:p>
    <w:p>
      <w:pPr>
        <w:pStyle w:val="32"/>
        <w:rPr>
          <w:rFonts w:hint="eastAsia"/>
          <w:lang w:eastAsia="zh-CN"/>
        </w:rPr>
      </w:pPr>
    </w:p>
    <w:p>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480" w:lineRule="auto"/>
        <w:ind w:left="0" w:leftChars="0" w:right="0" w:rightChars="0"/>
        <w:jc w:val="center"/>
        <w:textAlignment w:val="auto"/>
        <w:rPr>
          <w:rFonts w:ascii="宋体" w:hAnsi="宋体"/>
          <w:b/>
          <w:sz w:val="72"/>
          <w:szCs w:val="72"/>
        </w:rPr>
      </w:pPr>
      <w:r>
        <w:rPr>
          <w:rFonts w:hint="eastAsia" w:ascii="宋体" w:hAnsi="宋体" w:eastAsia="宋体" w:cs="Times New Roman"/>
          <w:b/>
          <w:sz w:val="52"/>
          <w:szCs w:val="52"/>
        </w:rPr>
        <w:t>竞争</w:t>
      </w:r>
      <w:r>
        <w:rPr>
          <w:rFonts w:hint="eastAsia" w:ascii="宋体" w:hAnsi="宋体"/>
          <w:b/>
          <w:sz w:val="52"/>
          <w:szCs w:val="52"/>
        </w:rPr>
        <w:t>性磋商</w:t>
      </w:r>
      <w:r>
        <w:rPr>
          <w:rFonts w:ascii="宋体" w:hAnsi="宋体"/>
          <w:b/>
          <w:sz w:val="52"/>
          <w:szCs w:val="52"/>
        </w:rPr>
        <w:t>文件</w:t>
      </w:r>
    </w:p>
    <w:p>
      <w:pPr>
        <w:pageBreakBefore w:val="0"/>
        <w:kinsoku/>
        <w:wordWrap/>
        <w:topLinePunct w:val="0"/>
        <w:bidi w:val="0"/>
        <w:spacing w:beforeAutospacing="0" w:afterAutospacing="0" w:line="400" w:lineRule="exact"/>
        <w:ind w:left="0" w:leftChars="0" w:right="0" w:rightChars="0"/>
        <w:jc w:val="center"/>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jc w:val="center"/>
        <w:rPr>
          <w:rFonts w:hint="eastAsia" w:eastAsia="宋体"/>
          <w:b/>
          <w:sz w:val="24"/>
          <w:lang w:eastAsia="zh-CN"/>
        </w:rPr>
      </w:pPr>
      <w:r>
        <w:rPr>
          <w:rFonts w:ascii="宋体" w:hAnsi="宋体"/>
          <w:b/>
          <w:sz w:val="28"/>
          <w:szCs w:val="28"/>
        </w:rPr>
        <w:t>项目编号：</w:t>
      </w:r>
      <w:r>
        <w:rPr>
          <w:rFonts w:hint="eastAsia" w:ascii="宋体" w:hAnsi="宋体"/>
          <w:b/>
          <w:sz w:val="28"/>
          <w:szCs w:val="28"/>
          <w:lang w:eastAsia="zh-CN"/>
        </w:rPr>
        <w:t>HYGJ-ZFCG-2022-041</w:t>
      </w:r>
    </w:p>
    <w:p>
      <w:pPr>
        <w:pStyle w:val="2"/>
        <w:pageBreakBefore w:val="0"/>
        <w:kinsoku/>
        <w:wordWrap/>
        <w:topLinePunct w:val="0"/>
        <w:bidi w:val="0"/>
        <w:spacing w:beforeAutospacing="0" w:afterAutospacing="0" w:line="400" w:lineRule="exact"/>
        <w:ind w:left="0" w:leftChars="0" w:right="0" w:rightChars="0"/>
        <w:rPr>
          <w:b/>
          <w:sz w:val="24"/>
        </w:rPr>
      </w:pPr>
    </w:p>
    <w:p>
      <w:pPr>
        <w:pageBreakBefore w:val="0"/>
        <w:kinsoku/>
        <w:wordWrap/>
        <w:topLinePunct w:val="0"/>
        <w:bidi w:val="0"/>
        <w:spacing w:beforeAutospacing="0" w:afterAutospacing="0" w:line="400" w:lineRule="exact"/>
        <w:ind w:left="0" w:leftChars="0" w:right="0" w:rightChars="0"/>
      </w:pPr>
    </w:p>
    <w:p>
      <w:pPr>
        <w:pStyle w:val="31"/>
        <w:pageBreakBefore w:val="0"/>
        <w:kinsoku/>
        <w:wordWrap/>
        <w:topLinePunct w:val="0"/>
        <w:bidi w:val="0"/>
        <w:spacing w:beforeAutospacing="0" w:after="0" w:afterAutospacing="0" w:line="400" w:lineRule="exact"/>
        <w:ind w:left="0" w:leftChars="0" w:right="0" w:rightChars="0"/>
      </w:pPr>
    </w:p>
    <w:p>
      <w:pPr>
        <w:pStyle w:val="32"/>
        <w:pageBreakBefore w:val="0"/>
        <w:kinsoku/>
        <w:wordWrap/>
        <w:topLinePunct w:val="0"/>
        <w:bidi w:val="0"/>
        <w:spacing w:beforeAutospacing="0" w:afterAutospacing="0" w:line="400" w:lineRule="exact"/>
        <w:ind w:left="0" w:leftChars="0" w:right="0" w:rightChars="0"/>
      </w:pPr>
    </w:p>
    <w:p>
      <w:pPr>
        <w:pageBreakBefore w:val="0"/>
        <w:kinsoku/>
        <w:wordWrap/>
        <w:topLinePunct w:val="0"/>
        <w:bidi w:val="0"/>
        <w:spacing w:beforeAutospacing="0" w:afterAutospacing="0" w:line="400" w:lineRule="exact"/>
        <w:ind w:left="0" w:leftChars="0" w:right="0" w:rightChars="0"/>
      </w:pPr>
    </w:p>
    <w:p>
      <w:pPr>
        <w:pageBreakBefore w:val="0"/>
        <w:kinsoku/>
        <w:wordWrap/>
        <w:topLinePunct w:val="0"/>
        <w:bidi w:val="0"/>
        <w:spacing w:beforeAutospacing="0" w:afterAutospacing="0" w:line="400" w:lineRule="exact"/>
        <w:ind w:left="0" w:leftChars="0" w:right="0" w:rightChars="0"/>
        <w:rPr>
          <w:b/>
          <w:bCs/>
        </w:rPr>
      </w:pPr>
    </w:p>
    <w:p>
      <w:pPr>
        <w:pStyle w:val="2"/>
        <w:pageBreakBefore w:val="0"/>
        <w:kinsoku/>
        <w:wordWrap/>
        <w:topLinePunct w:val="0"/>
        <w:bidi w:val="0"/>
        <w:spacing w:beforeAutospacing="0" w:afterAutospacing="0" w:line="400" w:lineRule="exact"/>
        <w:ind w:left="0" w:leftChars="0" w:right="0" w:rightChars="0"/>
        <w:jc w:val="left"/>
        <w:rPr>
          <w:b/>
          <w:bCs/>
        </w:rPr>
      </w:pPr>
    </w:p>
    <w:p>
      <w:pPr>
        <w:rPr>
          <w:b/>
          <w:bCs/>
        </w:rPr>
      </w:pPr>
    </w:p>
    <w:p>
      <w:pPr>
        <w:rPr>
          <w:b/>
          <w:bCs/>
        </w:rPr>
      </w:pPr>
    </w:p>
    <w:p>
      <w:pPr>
        <w:pStyle w:val="32"/>
      </w:pPr>
    </w:p>
    <w:p>
      <w:pPr>
        <w:pageBreakBefore w:val="0"/>
        <w:kinsoku/>
        <w:wordWrap/>
        <w:topLinePunct w:val="0"/>
        <w:bidi w:val="0"/>
        <w:spacing w:line="400" w:lineRule="exact"/>
        <w:ind w:left="0" w:leftChars="0" w:right="0" w:rightChars="0"/>
      </w:pP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采购人名称：</w:t>
      </w:r>
      <w:r>
        <w:rPr>
          <w:rFonts w:hint="eastAsia" w:ascii="仿宋" w:hAnsi="仿宋" w:eastAsia="仿宋" w:cs="仿宋"/>
          <w:b w:val="0"/>
          <w:bCs w:val="0"/>
          <w:sz w:val="32"/>
          <w:szCs w:val="32"/>
          <w:lang w:eastAsia="zh-CN"/>
        </w:rPr>
        <w:t>新疆维吾尔自治区自然资源信息中心（新疆维吾尔自治区自然资源档案馆）</w:t>
      </w:r>
      <w:r>
        <w:rPr>
          <w:rFonts w:hint="eastAsia" w:ascii="仿宋" w:hAnsi="仿宋" w:eastAsia="仿宋" w:cs="仿宋"/>
          <w:b w:val="0"/>
          <w:bCs w:val="0"/>
          <w:sz w:val="32"/>
          <w:szCs w:val="32"/>
        </w:rPr>
        <w:t> </w:t>
      </w: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联系人：</w:t>
      </w:r>
      <w:r>
        <w:rPr>
          <w:rFonts w:hint="eastAsia" w:ascii="仿宋" w:hAnsi="仿宋" w:eastAsia="仿宋" w:cs="仿宋"/>
          <w:b w:val="0"/>
          <w:bCs w:val="0"/>
          <w:sz w:val="32"/>
          <w:szCs w:val="32"/>
          <w:lang w:val="en-US" w:eastAsia="zh-CN"/>
        </w:rPr>
        <w:t xml:space="preserve">林工  </w:t>
      </w:r>
      <w:r>
        <w:rPr>
          <w:rFonts w:hint="eastAsia" w:ascii="仿宋" w:hAnsi="仿宋" w:eastAsia="仿宋" w:cs="仿宋"/>
          <w:b w:val="0"/>
          <w:bCs w:val="0"/>
          <w:sz w:val="32"/>
          <w:szCs w:val="32"/>
        </w:rPr>
        <w:t> </w:t>
      </w: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联系电话：</w:t>
      </w:r>
      <w:r>
        <w:rPr>
          <w:rFonts w:hint="eastAsia" w:ascii="仿宋" w:hAnsi="仿宋" w:eastAsia="仿宋" w:cs="仿宋"/>
          <w:b w:val="0"/>
          <w:bCs w:val="0"/>
          <w:sz w:val="32"/>
          <w:szCs w:val="32"/>
          <w:lang w:val="en-US" w:eastAsia="zh-CN"/>
        </w:rPr>
        <w:t xml:space="preserve">0991-8897063  </w:t>
      </w: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地址：乌鲁木齐市光明路七彩楼9楼自然资源信息中心</w:t>
      </w:r>
    </w:p>
    <w:p>
      <w:pPr>
        <w:pStyle w:val="31"/>
        <w:pageBreakBefore w:val="0"/>
        <w:kinsoku/>
        <w:wordWrap/>
        <w:topLinePunct w:val="0"/>
        <w:bidi w:val="0"/>
        <w:spacing w:beforeAutospacing="0" w:after="0" w:afterAutospacing="0" w:line="400" w:lineRule="exact"/>
        <w:ind w:left="0" w:leftChars="0" w:right="0" w:rightChars="0"/>
        <w:jc w:val="left"/>
        <w:rPr>
          <w:rFonts w:hint="eastAsia"/>
          <w:b w:val="0"/>
          <w:bCs w:val="0"/>
          <w:lang w:eastAsia="zh-CN"/>
        </w:rPr>
      </w:pPr>
    </w:p>
    <w:p>
      <w:pPr>
        <w:pStyle w:val="32"/>
        <w:rPr>
          <w:rFonts w:hint="eastAsia"/>
          <w:lang w:eastAsia="zh-CN"/>
        </w:rPr>
      </w:pP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采购代理机构：宏业国际项目管理有限公司</w:t>
      </w: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联系人：李苗</w:t>
      </w: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联系电话：15022921857</w:t>
      </w:r>
    </w:p>
    <w:p>
      <w:pPr>
        <w:pageBreakBefore w:val="0"/>
        <w:kinsoku/>
        <w:wordWrap/>
        <w:topLinePunct w:val="0"/>
        <w:bidi w:val="0"/>
        <w:spacing w:beforeAutospacing="0" w:afterAutospacing="0" w:line="400" w:lineRule="exact"/>
        <w:ind w:left="0" w:leftChars="0" w:right="0" w:right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地址：乌鲁木齐水磨沟区红光山路万科大都会8号楼1202</w:t>
      </w:r>
    </w:p>
    <w:p>
      <w:pPr>
        <w:pageBreakBefore w:val="0"/>
        <w:kinsoku/>
        <w:wordWrap/>
        <w:topLinePunct w:val="0"/>
        <w:bidi w:val="0"/>
        <w:spacing w:beforeAutospacing="0" w:afterAutospacing="0" w:line="400" w:lineRule="exact"/>
        <w:ind w:left="0" w:leftChars="0" w:right="0" w:rightChars="0"/>
        <w:jc w:val="center"/>
        <w:rPr>
          <w:rFonts w:ascii="Arial" w:hAnsi="Arial" w:cs="Arial"/>
          <w:b/>
          <w:sz w:val="32"/>
          <w:szCs w:val="32"/>
        </w:rPr>
      </w:pPr>
    </w:p>
    <w:p>
      <w:pPr>
        <w:pageBreakBefore w:val="0"/>
        <w:kinsoku/>
        <w:wordWrap/>
        <w:topLinePunct w:val="0"/>
        <w:bidi w:val="0"/>
        <w:spacing w:beforeAutospacing="0" w:afterAutospacing="0" w:line="400" w:lineRule="exact"/>
        <w:ind w:left="0" w:leftChars="0" w:right="0" w:rightChars="0"/>
        <w:rPr>
          <w:rFonts w:ascii="Arial" w:hAnsi="Arial" w:cs="Arial"/>
          <w:b/>
          <w:sz w:val="32"/>
          <w:szCs w:val="32"/>
        </w:rPr>
      </w:pPr>
      <w:r>
        <w:rPr>
          <w:rFonts w:ascii="Arial" w:hAnsi="Arial" w:cs="Arial"/>
          <w:b/>
          <w:sz w:val="32"/>
          <w:szCs w:val="32"/>
        </w:rPr>
        <w:br w:type="page"/>
      </w:r>
    </w:p>
    <w:p>
      <w:pPr>
        <w:pStyle w:val="26"/>
        <w:keepNext w:val="0"/>
        <w:keepLines w:val="0"/>
        <w:pageBreakBefore w:val="0"/>
        <w:widowControl w:val="0"/>
        <w:tabs>
          <w:tab w:val="right" w:leader="dot" w:pos="9683"/>
        </w:tabs>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Style w:val="40"/>
          <w:rFonts w:hint="eastAsia" w:ascii="Arial" w:hAnsi="Arial" w:cs="Arial"/>
          <w:sz w:val="24"/>
          <w:szCs w:val="22"/>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rPr>
          <w:rFonts w:ascii="Arial" w:hAnsi="Arial" w:cs="Arial"/>
          <w:b/>
          <w:sz w:val="32"/>
          <w:szCs w:val="32"/>
        </w:rPr>
        <w:fldChar w:fldCharType="begin"/>
      </w:r>
      <w:r>
        <w:rPr>
          <w:rFonts w:ascii="Arial" w:hAnsi="Arial" w:cs="Arial"/>
          <w:b/>
          <w:sz w:val="32"/>
          <w:szCs w:val="32"/>
        </w:rPr>
        <w:instrText xml:space="preserve"> TOC \o "1-2" \h \z \u </w:instrText>
      </w:r>
      <w:r>
        <w:rPr>
          <w:rFonts w:ascii="Arial" w:hAnsi="Arial" w:cs="Arial"/>
          <w:b/>
          <w:sz w:val="32"/>
          <w:szCs w:val="32"/>
        </w:rPr>
        <w:fldChar w:fldCharType="separate"/>
      </w:r>
      <w:r>
        <w:rPr>
          <w:sz w:val="24"/>
          <w:szCs w:val="22"/>
        </w:rPr>
        <w:fldChar w:fldCharType="begin"/>
      </w:r>
      <w:r>
        <w:rPr>
          <w:sz w:val="24"/>
          <w:szCs w:val="22"/>
        </w:rPr>
        <w:instrText xml:space="preserve"> HYPERLINK \l "_Toc462223639" </w:instrText>
      </w:r>
      <w:r>
        <w:rPr>
          <w:sz w:val="24"/>
          <w:szCs w:val="22"/>
        </w:rPr>
        <w:fldChar w:fldCharType="separate"/>
      </w:r>
    </w:p>
    <w:sdt>
      <w:sdtPr>
        <w:rPr>
          <w:rFonts w:ascii="宋体" w:hAnsi="宋体" w:eastAsia="宋体" w:cs="Times New Roman"/>
          <w:kern w:val="2"/>
          <w:sz w:val="21"/>
          <w:lang w:val="en-US" w:eastAsia="zh-CN" w:bidi="ar-SA"/>
        </w:rPr>
        <w:id w:val="147474017"/>
        <w15:color w:val="DBDBDB"/>
        <w:docPartObj>
          <w:docPartGallery w:val="Table of Contents"/>
          <w:docPartUnique/>
        </w:docPartObj>
      </w:sdtPr>
      <w:sdtEndPr>
        <w:rPr>
          <w:rFonts w:ascii="宋体" w:hAnsi="宋体" w:eastAsia="宋体" w:cs="Times New Roman"/>
          <w:kern w:val="2"/>
          <w:sz w:val="21"/>
          <w:lang w:val="en-US" w:eastAsia="zh-CN" w:bidi="ar-SA"/>
        </w:rPr>
      </w:sdtEndPr>
      <w:sdtContent>
        <w:p>
          <w:pPr>
            <w:pageBreakBefore w:val="0"/>
            <w:kinsoku/>
            <w:wordWrap/>
            <w:topLinePunct w:val="0"/>
            <w:bidi w:val="0"/>
            <w:spacing w:line="400" w:lineRule="exact"/>
            <w:ind w:left="0" w:leftChars="0" w:right="0" w:rightChars="0" w:firstLine="0" w:firstLineChars="0"/>
            <w:jc w:val="center"/>
          </w:pPr>
          <w:r>
            <w:rPr>
              <w:rFonts w:ascii="宋体" w:hAnsi="宋体" w:eastAsia="宋体"/>
              <w:sz w:val="28"/>
              <w:szCs w:val="24"/>
            </w:rPr>
            <w:t>目</w:t>
          </w:r>
          <w:r>
            <w:rPr>
              <w:rFonts w:hint="eastAsia" w:ascii="宋体" w:hAnsi="宋体" w:eastAsia="宋体"/>
              <w:sz w:val="28"/>
              <w:szCs w:val="24"/>
              <w:lang w:val="en-US" w:eastAsia="zh-CN"/>
            </w:rPr>
            <w:t xml:space="preserve">  </w:t>
          </w:r>
          <w:r>
            <w:rPr>
              <w:rFonts w:ascii="宋体" w:hAnsi="宋体" w:eastAsia="宋体"/>
              <w:sz w:val="28"/>
              <w:szCs w:val="24"/>
            </w:rPr>
            <w:t>录</w:t>
          </w:r>
        </w:p>
        <w:p>
          <w:pPr>
            <w:pStyle w:val="121"/>
            <w:keepNext w:val="0"/>
            <w:keepLines w:val="0"/>
            <w:pageBreakBefore w:val="0"/>
            <w:widowControl/>
            <w:tabs>
              <w:tab w:val="right" w:leader="dot" w:pos="9299"/>
            </w:tabs>
            <w:kinsoku/>
            <w:wordWrap/>
            <w:overflowPunct/>
            <w:topLinePunct w:val="0"/>
            <w:autoSpaceDE/>
            <w:autoSpaceDN/>
            <w:bidi w:val="0"/>
            <w:adjustRightInd/>
            <w:snapToGrid/>
            <w:spacing w:line="480" w:lineRule="auto"/>
            <w:ind w:left="0" w:leftChars="0" w:right="0" w:rightChars="0"/>
            <w:textAlignment w:val="auto"/>
            <w:rPr>
              <w:sz w:val="24"/>
              <w:szCs w:val="24"/>
            </w:rPr>
          </w:pPr>
          <w:r>
            <w:fldChar w:fldCharType="begin"/>
          </w:r>
          <w:r>
            <w:instrText xml:space="preserve">TOC \o "1-1" \h \u </w:instrText>
          </w:r>
          <w:r>
            <w:fldChar w:fldCharType="separate"/>
          </w:r>
          <w:r>
            <w:rPr>
              <w:sz w:val="24"/>
              <w:szCs w:val="24"/>
            </w:rPr>
            <w:fldChar w:fldCharType="begin"/>
          </w:r>
          <w:r>
            <w:rPr>
              <w:sz w:val="24"/>
              <w:szCs w:val="24"/>
            </w:rPr>
            <w:instrText xml:space="preserve"> HYPERLINK \l _Toc23056 </w:instrText>
          </w:r>
          <w:r>
            <w:rPr>
              <w:sz w:val="24"/>
              <w:szCs w:val="24"/>
            </w:rPr>
            <w:fldChar w:fldCharType="separate"/>
          </w:r>
          <w:r>
            <w:rPr>
              <w:rFonts w:ascii="Arial" w:hAnsi="Arial" w:cs="Arial"/>
              <w:sz w:val="24"/>
              <w:szCs w:val="44"/>
            </w:rPr>
            <w:t>第一</w:t>
          </w:r>
          <w:r>
            <w:rPr>
              <w:rFonts w:hint="eastAsia" w:ascii="Arial" w:hAnsi="Arial" w:cs="Arial"/>
              <w:sz w:val="24"/>
              <w:szCs w:val="44"/>
            </w:rPr>
            <w:t>章</w:t>
          </w:r>
          <w:r>
            <w:rPr>
              <w:rFonts w:hint="eastAsia" w:ascii="Arial" w:hAnsi="Arial" w:cs="Arial"/>
              <w:sz w:val="24"/>
              <w:szCs w:val="44"/>
              <w:lang w:val="en-US" w:eastAsia="zh-CN"/>
            </w:rPr>
            <w:t xml:space="preserve"> </w:t>
          </w:r>
          <w:r>
            <w:rPr>
              <w:rFonts w:hint="eastAsia" w:ascii="Arial" w:hAnsi="Arial" w:eastAsia="宋体" w:cs="Arial"/>
              <w:kern w:val="2"/>
              <w:sz w:val="24"/>
              <w:szCs w:val="44"/>
            </w:rPr>
            <w:t>竞争性磋商公告</w:t>
          </w:r>
          <w:r>
            <w:rPr>
              <w:sz w:val="24"/>
              <w:szCs w:val="24"/>
            </w:rPr>
            <w:tab/>
          </w:r>
          <w:r>
            <w:rPr>
              <w:sz w:val="24"/>
              <w:szCs w:val="24"/>
            </w:rPr>
            <w:fldChar w:fldCharType="begin"/>
          </w:r>
          <w:r>
            <w:rPr>
              <w:sz w:val="24"/>
              <w:szCs w:val="24"/>
            </w:rPr>
            <w:instrText xml:space="preserve"> PAGEREF _Toc23056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21"/>
            <w:keepNext w:val="0"/>
            <w:keepLines w:val="0"/>
            <w:pageBreakBefore w:val="0"/>
            <w:widowControl/>
            <w:tabs>
              <w:tab w:val="right" w:leader="dot" w:pos="9299"/>
            </w:tabs>
            <w:kinsoku/>
            <w:wordWrap/>
            <w:overflowPunct/>
            <w:topLinePunct w:val="0"/>
            <w:autoSpaceDE/>
            <w:autoSpaceDN/>
            <w:bidi w:val="0"/>
            <w:adjustRightInd/>
            <w:snapToGrid/>
            <w:spacing w:line="480" w:lineRule="auto"/>
            <w:ind w:left="0" w:leftChars="0" w:right="0" w:rightChars="0"/>
            <w:textAlignment w:val="auto"/>
            <w:rPr>
              <w:sz w:val="24"/>
              <w:szCs w:val="24"/>
            </w:rPr>
          </w:pPr>
          <w:r>
            <w:rPr>
              <w:sz w:val="24"/>
              <w:szCs w:val="24"/>
            </w:rPr>
            <w:fldChar w:fldCharType="begin"/>
          </w:r>
          <w:r>
            <w:rPr>
              <w:sz w:val="24"/>
              <w:szCs w:val="24"/>
            </w:rPr>
            <w:instrText xml:space="preserve"> HYPERLINK \l _Toc11946 </w:instrText>
          </w:r>
          <w:r>
            <w:rPr>
              <w:sz w:val="24"/>
              <w:szCs w:val="24"/>
            </w:rPr>
            <w:fldChar w:fldCharType="separate"/>
          </w:r>
          <w:r>
            <w:rPr>
              <w:sz w:val="24"/>
              <w:szCs w:val="44"/>
            </w:rPr>
            <w:t>第二</w:t>
          </w:r>
          <w:r>
            <w:rPr>
              <w:rFonts w:hint="eastAsia"/>
              <w:sz w:val="24"/>
              <w:szCs w:val="44"/>
            </w:rPr>
            <w:t xml:space="preserve">章  </w:t>
          </w:r>
          <w:r>
            <w:rPr>
              <w:sz w:val="24"/>
              <w:szCs w:val="44"/>
            </w:rPr>
            <w:t>供应商须知</w:t>
          </w:r>
          <w:r>
            <w:rPr>
              <w:sz w:val="24"/>
              <w:szCs w:val="24"/>
            </w:rPr>
            <w:tab/>
          </w:r>
          <w:r>
            <w:rPr>
              <w:sz w:val="24"/>
              <w:szCs w:val="24"/>
            </w:rPr>
            <w:fldChar w:fldCharType="begin"/>
          </w:r>
          <w:r>
            <w:rPr>
              <w:sz w:val="24"/>
              <w:szCs w:val="24"/>
            </w:rPr>
            <w:instrText xml:space="preserve"> PAGEREF _Toc11946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1"/>
            <w:keepNext w:val="0"/>
            <w:keepLines w:val="0"/>
            <w:pageBreakBefore w:val="0"/>
            <w:widowControl/>
            <w:tabs>
              <w:tab w:val="right" w:leader="dot" w:pos="9299"/>
            </w:tabs>
            <w:kinsoku/>
            <w:wordWrap/>
            <w:overflowPunct/>
            <w:topLinePunct w:val="0"/>
            <w:autoSpaceDE/>
            <w:autoSpaceDN/>
            <w:bidi w:val="0"/>
            <w:adjustRightInd/>
            <w:snapToGrid/>
            <w:spacing w:line="480" w:lineRule="auto"/>
            <w:ind w:left="0" w:leftChars="0" w:right="0" w:rightChars="0"/>
            <w:textAlignment w:val="auto"/>
            <w:rPr>
              <w:sz w:val="24"/>
              <w:szCs w:val="24"/>
            </w:rPr>
          </w:pPr>
          <w:r>
            <w:rPr>
              <w:sz w:val="24"/>
              <w:szCs w:val="24"/>
            </w:rPr>
            <w:fldChar w:fldCharType="begin"/>
          </w:r>
          <w:r>
            <w:rPr>
              <w:sz w:val="24"/>
              <w:szCs w:val="24"/>
            </w:rPr>
            <w:instrText xml:space="preserve"> HYPERLINK \l _Toc16105 </w:instrText>
          </w:r>
          <w:r>
            <w:rPr>
              <w:sz w:val="24"/>
              <w:szCs w:val="24"/>
            </w:rPr>
            <w:fldChar w:fldCharType="separate"/>
          </w:r>
          <w:r>
            <w:rPr>
              <w:rFonts w:hint="eastAsia"/>
              <w:sz w:val="24"/>
              <w:szCs w:val="44"/>
            </w:rPr>
            <w:t>第三章  项目需求</w:t>
          </w:r>
          <w:r>
            <w:rPr>
              <w:sz w:val="24"/>
              <w:szCs w:val="24"/>
            </w:rPr>
            <w:tab/>
          </w:r>
          <w:r>
            <w:rPr>
              <w:sz w:val="24"/>
              <w:szCs w:val="24"/>
            </w:rPr>
            <w:fldChar w:fldCharType="begin"/>
          </w:r>
          <w:r>
            <w:rPr>
              <w:sz w:val="24"/>
              <w:szCs w:val="24"/>
            </w:rPr>
            <w:instrText xml:space="preserve"> PAGEREF _Toc16105 \h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121"/>
            <w:keepNext w:val="0"/>
            <w:keepLines w:val="0"/>
            <w:pageBreakBefore w:val="0"/>
            <w:widowControl/>
            <w:tabs>
              <w:tab w:val="right" w:leader="dot" w:pos="9299"/>
            </w:tabs>
            <w:kinsoku/>
            <w:wordWrap/>
            <w:overflowPunct/>
            <w:topLinePunct w:val="0"/>
            <w:autoSpaceDE/>
            <w:autoSpaceDN/>
            <w:bidi w:val="0"/>
            <w:adjustRightInd/>
            <w:snapToGrid/>
            <w:spacing w:line="480" w:lineRule="auto"/>
            <w:ind w:left="0" w:leftChars="0" w:right="0" w:rightChars="0"/>
            <w:textAlignment w:val="auto"/>
            <w:rPr>
              <w:sz w:val="24"/>
              <w:szCs w:val="24"/>
            </w:rPr>
          </w:pPr>
          <w:r>
            <w:rPr>
              <w:sz w:val="24"/>
              <w:szCs w:val="24"/>
            </w:rPr>
            <w:fldChar w:fldCharType="begin"/>
          </w:r>
          <w:r>
            <w:rPr>
              <w:sz w:val="24"/>
              <w:szCs w:val="24"/>
            </w:rPr>
            <w:instrText xml:space="preserve"> HYPERLINK \l _Toc28434 </w:instrText>
          </w:r>
          <w:r>
            <w:rPr>
              <w:sz w:val="24"/>
              <w:szCs w:val="24"/>
            </w:rPr>
            <w:fldChar w:fldCharType="separate"/>
          </w:r>
          <w:r>
            <w:rPr>
              <w:rFonts w:ascii="Arial" w:hAnsi="Arial" w:cs="Arial"/>
              <w:sz w:val="24"/>
              <w:szCs w:val="44"/>
            </w:rPr>
            <w:t>第四</w:t>
          </w:r>
          <w:r>
            <w:rPr>
              <w:rFonts w:hint="eastAsia" w:ascii="Arial" w:hAnsi="Arial" w:cs="Arial"/>
              <w:sz w:val="24"/>
              <w:szCs w:val="44"/>
            </w:rPr>
            <w:t xml:space="preserve">章  </w:t>
          </w:r>
          <w:r>
            <w:rPr>
              <w:rFonts w:ascii="Arial" w:hAnsi="Arial" w:cs="Arial"/>
              <w:sz w:val="24"/>
              <w:szCs w:val="44"/>
            </w:rPr>
            <w:t>合同条款</w:t>
          </w:r>
          <w:r>
            <w:rPr>
              <w:rFonts w:hint="eastAsia" w:ascii="Arial" w:hAnsi="Arial" w:cs="Arial"/>
              <w:sz w:val="24"/>
              <w:szCs w:val="44"/>
            </w:rPr>
            <w:t>（仅供参考）</w:t>
          </w:r>
          <w:r>
            <w:rPr>
              <w:sz w:val="24"/>
              <w:szCs w:val="24"/>
            </w:rPr>
            <w:tab/>
          </w:r>
          <w:r>
            <w:rPr>
              <w:sz w:val="24"/>
              <w:szCs w:val="24"/>
            </w:rPr>
            <w:fldChar w:fldCharType="begin"/>
          </w:r>
          <w:r>
            <w:rPr>
              <w:sz w:val="24"/>
              <w:szCs w:val="24"/>
            </w:rPr>
            <w:instrText xml:space="preserve"> PAGEREF _Toc28434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21"/>
            <w:keepNext w:val="0"/>
            <w:keepLines w:val="0"/>
            <w:pageBreakBefore w:val="0"/>
            <w:widowControl/>
            <w:tabs>
              <w:tab w:val="right" w:leader="dot" w:pos="9299"/>
            </w:tabs>
            <w:kinsoku/>
            <w:wordWrap/>
            <w:overflowPunct/>
            <w:topLinePunct w:val="0"/>
            <w:autoSpaceDE/>
            <w:autoSpaceDN/>
            <w:bidi w:val="0"/>
            <w:adjustRightInd/>
            <w:snapToGrid/>
            <w:spacing w:line="480" w:lineRule="auto"/>
            <w:ind w:left="0" w:leftChars="0" w:right="0" w:rightChars="0"/>
            <w:textAlignment w:val="auto"/>
          </w:pPr>
          <w:r>
            <w:rPr>
              <w:sz w:val="24"/>
              <w:szCs w:val="24"/>
            </w:rPr>
            <w:fldChar w:fldCharType="begin"/>
          </w:r>
          <w:r>
            <w:rPr>
              <w:sz w:val="24"/>
              <w:szCs w:val="24"/>
            </w:rPr>
            <w:instrText xml:space="preserve"> HYPERLINK \l _Toc12367 </w:instrText>
          </w:r>
          <w:r>
            <w:rPr>
              <w:sz w:val="24"/>
              <w:szCs w:val="24"/>
            </w:rPr>
            <w:fldChar w:fldCharType="separate"/>
          </w:r>
          <w:r>
            <w:rPr>
              <w:rFonts w:hint="eastAsia" w:ascii="Arial" w:hAnsi="Arial" w:cs="Arial"/>
              <w:sz w:val="24"/>
              <w:szCs w:val="44"/>
            </w:rPr>
            <w:t>第五章  附件</w:t>
          </w:r>
          <w:r>
            <w:rPr>
              <w:sz w:val="24"/>
              <w:szCs w:val="24"/>
            </w:rPr>
            <w:tab/>
          </w:r>
          <w:r>
            <w:rPr>
              <w:sz w:val="24"/>
              <w:szCs w:val="24"/>
            </w:rPr>
            <w:fldChar w:fldCharType="begin"/>
          </w:r>
          <w:r>
            <w:rPr>
              <w:sz w:val="24"/>
              <w:szCs w:val="24"/>
            </w:rPr>
            <w:instrText xml:space="preserve"> PAGEREF _Toc12367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121"/>
            <w:pageBreakBefore w:val="0"/>
            <w:tabs>
              <w:tab w:val="right" w:leader="dot" w:pos="9299"/>
            </w:tabs>
            <w:kinsoku/>
            <w:wordWrap/>
            <w:topLinePunct w:val="0"/>
            <w:bidi w:val="0"/>
            <w:spacing w:line="400" w:lineRule="exact"/>
            <w:ind w:left="0" w:leftChars="0" w:right="0" w:rightChars="0"/>
          </w:pPr>
        </w:p>
        <w:p>
          <w:pPr>
            <w:pStyle w:val="121"/>
            <w:pageBreakBefore w:val="0"/>
            <w:tabs>
              <w:tab w:val="right" w:leader="dot" w:pos="9299"/>
            </w:tabs>
            <w:kinsoku/>
            <w:wordWrap/>
            <w:topLinePunct w:val="0"/>
            <w:bidi w:val="0"/>
            <w:spacing w:line="400" w:lineRule="exact"/>
            <w:ind w:left="0" w:leftChars="0" w:right="0" w:rightChars="0"/>
          </w:pPr>
        </w:p>
        <w:p>
          <w:pPr>
            <w:pageBreakBefore w:val="0"/>
            <w:kinsoku/>
            <w:wordWrap/>
            <w:topLinePunct w:val="0"/>
            <w:bidi w:val="0"/>
            <w:spacing w:before="0" w:beforeLines="0" w:after="0" w:afterLines="0" w:line="400" w:lineRule="exact"/>
            <w:ind w:left="0" w:leftChars="0" w:right="0" w:rightChars="0"/>
          </w:pPr>
          <w:r>
            <w:fldChar w:fldCharType="end"/>
          </w:r>
        </w:p>
      </w:sdtContent>
    </w:sdt>
    <w:p>
      <w:pPr>
        <w:pStyle w:val="26"/>
        <w:keepNext w:val="0"/>
        <w:keepLines w:val="0"/>
        <w:pageBreakBefore w:val="0"/>
        <w:widowControl w:val="0"/>
        <w:tabs>
          <w:tab w:val="right" w:leader="dot" w:pos="9683"/>
        </w:tabs>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ascii="Calibri" w:hAnsi="Calibri"/>
          <w:sz w:val="24"/>
          <w:szCs w:val="28"/>
        </w:rPr>
      </w:pPr>
      <w:r>
        <w:rPr>
          <w:sz w:val="24"/>
          <w:szCs w:val="22"/>
        </w:rPr>
        <w:fldChar w:fldCharType="end"/>
      </w:r>
    </w:p>
    <w:p>
      <w:pPr>
        <w:pStyle w:val="26"/>
        <w:keepNext w:val="0"/>
        <w:keepLines w:val="0"/>
        <w:pageBreakBefore w:val="0"/>
        <w:widowControl w:val="0"/>
        <w:tabs>
          <w:tab w:val="right" w:leader="dot" w:pos="9683"/>
        </w:tabs>
        <w:kinsoku/>
        <w:wordWrap/>
        <w:overflowPunct/>
        <w:topLinePunct w:val="0"/>
        <w:autoSpaceDE/>
        <w:autoSpaceDN/>
        <w:bidi w:val="0"/>
        <w:adjustRightInd/>
        <w:snapToGrid/>
        <w:spacing w:beforeAutospacing="0" w:afterAutospacing="0" w:line="400" w:lineRule="exact"/>
        <w:ind w:left="0" w:leftChars="0" w:right="0" w:rightChars="0"/>
        <w:jc w:val="left"/>
        <w:textAlignment w:val="auto"/>
        <w:rPr>
          <w:rFonts w:ascii="Calibri" w:hAnsi="Calibri"/>
          <w:sz w:val="24"/>
          <w:szCs w:val="28"/>
        </w:rPr>
      </w:pPr>
    </w:p>
    <w:p>
      <w:pPr>
        <w:pStyle w:val="26"/>
        <w:keepNext w:val="0"/>
        <w:keepLines w:val="0"/>
        <w:pageBreakBefore w:val="0"/>
        <w:widowControl w:val="0"/>
        <w:tabs>
          <w:tab w:val="right" w:leader="dot" w:pos="8541"/>
        </w:tabs>
        <w:kinsoku/>
        <w:wordWrap/>
        <w:overflowPunct/>
        <w:topLinePunct w:val="0"/>
        <w:autoSpaceDE/>
        <w:autoSpaceDN/>
        <w:bidi w:val="0"/>
        <w:adjustRightInd/>
        <w:snapToGrid/>
        <w:spacing w:beforeAutospacing="0" w:afterAutospacing="0" w:line="400" w:lineRule="exact"/>
        <w:ind w:left="0" w:leftChars="0" w:right="0" w:rightChars="0"/>
        <w:textAlignment w:val="auto"/>
        <w:rPr>
          <w:rFonts w:ascii="Arial" w:hAnsi="Arial" w:cs="Arial"/>
          <w:b/>
          <w:sz w:val="24"/>
          <w:szCs w:val="24"/>
        </w:rPr>
      </w:pPr>
      <w:r>
        <w:rPr>
          <w:rFonts w:ascii="Arial" w:hAnsi="Arial" w:cs="Arial"/>
          <w:b/>
          <w:sz w:val="32"/>
          <w:szCs w:val="32"/>
        </w:rPr>
        <w:fldChar w:fldCharType="end"/>
      </w:r>
    </w:p>
    <w:p>
      <w:pPr>
        <w:pStyle w:val="26"/>
        <w:pageBreakBefore w:val="0"/>
        <w:tabs>
          <w:tab w:val="right" w:leader="dot" w:pos="9683"/>
        </w:tabs>
        <w:kinsoku/>
        <w:wordWrap/>
        <w:topLinePunct w:val="0"/>
        <w:bidi w:val="0"/>
        <w:spacing w:beforeAutospacing="0" w:afterAutospacing="0" w:line="400" w:lineRule="exact"/>
        <w:ind w:left="0" w:leftChars="0" w:right="0" w:rightChars="0"/>
        <w:rPr>
          <w:rFonts w:ascii="Arial" w:hAnsi="Arial" w:cs="Arial"/>
          <w:b/>
          <w:sz w:val="24"/>
          <w:szCs w:val="24"/>
        </w:rPr>
      </w:pPr>
      <w:r>
        <w:rPr>
          <w:rFonts w:ascii="Arial" w:hAnsi="Arial" w:cs="Arial"/>
          <w:b/>
          <w:sz w:val="24"/>
          <w:szCs w:val="24"/>
        </w:rPr>
        <w:fldChar w:fldCharType="end"/>
      </w:r>
    </w:p>
    <w:p>
      <w:pPr>
        <w:pageBreakBefore w:val="0"/>
        <w:widowControl/>
        <w:kinsoku/>
        <w:wordWrap/>
        <w:topLinePunct w:val="0"/>
        <w:bidi w:val="0"/>
        <w:spacing w:beforeAutospacing="0" w:afterAutospacing="0" w:line="400" w:lineRule="exact"/>
        <w:ind w:left="0" w:leftChars="0" w:right="0" w:rightChars="0"/>
        <w:jc w:val="center"/>
        <w:rPr>
          <w:rFonts w:ascii="Arial" w:hAnsi="Arial" w:cs="Arial"/>
          <w:b/>
          <w:sz w:val="32"/>
          <w:szCs w:val="32"/>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349637917"/>
      <w:bookmarkStart w:id="1" w:name="_Toc298240402"/>
      <w:bookmarkStart w:id="2" w:name="_Toc462223629"/>
      <w:bookmarkStart w:id="3" w:name="_Toc349573118"/>
    </w:p>
    <w:p>
      <w:pPr>
        <w:pageBreakBefore w:val="0"/>
        <w:widowControl/>
        <w:kinsoku/>
        <w:wordWrap/>
        <w:topLinePunct w:val="0"/>
        <w:bidi w:val="0"/>
        <w:spacing w:beforeAutospacing="0" w:afterAutospacing="0" w:line="400" w:lineRule="exact"/>
        <w:ind w:left="0" w:leftChars="0" w:right="0" w:rightChars="0"/>
        <w:jc w:val="center"/>
        <w:outlineLvl w:val="0"/>
        <w:rPr>
          <w:rFonts w:hint="eastAsia" w:ascii="Arial" w:hAnsi="Arial" w:cs="Arial"/>
          <w:b/>
          <w:sz w:val="32"/>
          <w:szCs w:val="32"/>
          <w:lang w:val="en-US" w:eastAsia="zh-CN"/>
        </w:rPr>
      </w:pPr>
      <w:bookmarkStart w:id="4" w:name="_Toc23056"/>
      <w:r>
        <w:rPr>
          <w:rFonts w:ascii="Arial" w:hAnsi="Arial" w:cs="Arial"/>
          <w:b/>
          <w:sz w:val="32"/>
          <w:szCs w:val="32"/>
        </w:rPr>
        <w:t>第一</w:t>
      </w:r>
      <w:r>
        <w:rPr>
          <w:rFonts w:hint="eastAsia" w:ascii="Arial" w:hAnsi="Arial" w:cs="Arial"/>
          <w:b/>
          <w:sz w:val="32"/>
          <w:szCs w:val="32"/>
        </w:rPr>
        <w:t>章</w:t>
      </w:r>
      <w:bookmarkEnd w:id="0"/>
      <w:bookmarkEnd w:id="1"/>
      <w:bookmarkEnd w:id="2"/>
      <w:bookmarkEnd w:id="3"/>
      <w:bookmarkStart w:id="5" w:name="_Hlk51338716"/>
      <w:bookmarkStart w:id="6" w:name="_Toc267301280"/>
      <w:bookmarkStart w:id="7" w:name="_Toc462223630"/>
      <w:bookmarkStart w:id="8" w:name="_Toc298240403"/>
      <w:bookmarkStart w:id="9" w:name="_Toc349637918"/>
      <w:bookmarkStart w:id="10" w:name="_Toc349573119"/>
      <w:r>
        <w:rPr>
          <w:rFonts w:hint="eastAsia" w:ascii="Arial" w:hAnsi="Arial" w:cs="Arial"/>
          <w:b/>
          <w:sz w:val="32"/>
          <w:szCs w:val="32"/>
          <w:lang w:val="en-US" w:eastAsia="zh-CN"/>
        </w:rPr>
        <w:t xml:space="preserve"> </w:t>
      </w:r>
      <w:r>
        <w:rPr>
          <w:rFonts w:hint="eastAsia" w:ascii="Arial" w:hAnsi="Arial" w:eastAsia="宋体" w:cs="Arial"/>
          <w:b/>
          <w:kern w:val="2"/>
          <w:sz w:val="32"/>
          <w:szCs w:val="32"/>
        </w:rPr>
        <w:t>竞争性磋商公告</w:t>
      </w:r>
      <w:bookmarkEnd w:id="4"/>
    </w:p>
    <w:p>
      <w:pPr>
        <w:pageBreakBefore w:val="0"/>
        <w:widowControl/>
        <w:kinsoku/>
        <w:wordWrap/>
        <w:topLinePunct w:val="0"/>
        <w:bidi w:val="0"/>
        <w:spacing w:beforeAutospacing="0" w:afterAutospacing="0" w:line="400" w:lineRule="exact"/>
        <w:ind w:left="0" w:leftChars="0" w:right="0" w:rightChars="0"/>
        <w:jc w:val="center"/>
        <w:rPr>
          <w:rFonts w:hint="eastAsia" w:ascii="Arial" w:hAnsi="Arial" w:cs="Arial"/>
          <w:b/>
          <w:kern w:val="2"/>
          <w:sz w:val="32"/>
          <w:szCs w:val="32"/>
          <w:lang w:eastAsia="zh-CN"/>
        </w:rPr>
      </w:pPr>
      <w:r>
        <w:rPr>
          <w:rFonts w:hint="eastAsia" w:ascii="Arial" w:hAnsi="Arial" w:cs="Arial"/>
          <w:b/>
          <w:kern w:val="2"/>
          <w:sz w:val="32"/>
          <w:szCs w:val="32"/>
          <w:lang w:eastAsia="zh-CN"/>
        </w:rPr>
        <w:t>新疆维吾尔自治区自然资源厅网络安全加固建设项目</w:t>
      </w:r>
    </w:p>
    <w:p>
      <w:pPr>
        <w:pageBreakBefore w:val="0"/>
        <w:widowControl/>
        <w:kinsoku/>
        <w:wordWrap/>
        <w:topLinePunct w:val="0"/>
        <w:bidi w:val="0"/>
        <w:spacing w:beforeAutospacing="0" w:afterAutospacing="0" w:line="400" w:lineRule="exact"/>
        <w:ind w:left="0" w:leftChars="0" w:right="0" w:rightChars="0"/>
        <w:jc w:val="center"/>
        <w:rPr>
          <w:rFonts w:ascii="Arial" w:hAnsi="Arial" w:eastAsia="宋体" w:cs="Arial"/>
          <w:b/>
          <w:kern w:val="2"/>
          <w:sz w:val="32"/>
          <w:szCs w:val="32"/>
        </w:rPr>
      </w:pPr>
      <w:r>
        <w:rPr>
          <w:rFonts w:hint="eastAsia" w:ascii="Arial" w:hAnsi="Arial" w:eastAsia="宋体" w:cs="Arial"/>
          <w:b/>
          <w:kern w:val="2"/>
          <w:sz w:val="32"/>
          <w:szCs w:val="32"/>
        </w:rPr>
        <w:t>竞争性磋商公告</w:t>
      </w:r>
    </w:p>
    <w:p>
      <w:pPr>
        <w:pageBreakBefore w:val="0"/>
        <w:widowControl/>
        <w:numPr>
          <w:ilvl w:val="0"/>
          <w:numId w:val="0"/>
        </w:numPr>
        <w:kinsoku/>
        <w:wordWrap/>
        <w:overflowPunct/>
        <w:topLinePunct w:val="0"/>
        <w:bidi w:val="0"/>
        <w:spacing w:beforeAutospacing="0" w:afterAutospacing="0" w:line="400" w:lineRule="exact"/>
        <w:ind w:left="0" w:leftChars="0" w:right="0" w:rightChars="0"/>
        <w:jc w:val="center"/>
        <w:textAlignment w:val="auto"/>
        <w:outlineLvl w:val="9"/>
        <w:rPr>
          <w:rFonts w:hint="default" w:ascii="仿宋" w:hAnsi="仿宋" w:eastAsia="仿宋" w:cs="仿宋"/>
          <w:b/>
          <w:color w:val="auto"/>
          <w:sz w:val="24"/>
          <w:szCs w:val="24"/>
          <w:highlight w:val="none"/>
          <w:lang w:val="en-US" w:eastAsia="zh-CN"/>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beforeAutospacing="0" w:afterAutospacing="0" w:line="400" w:lineRule="exact"/>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beforeAutospacing="0" w:afterAutospacing="0" w:line="400" w:lineRule="exact"/>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u w:val="single"/>
          <w:lang w:eastAsia="zh-CN"/>
        </w:rPr>
        <w:t>新疆维吾尔自治区自然资源厅网络安全加固建设项目</w:t>
      </w:r>
      <w:r>
        <w:rPr>
          <w:rFonts w:hint="eastAsia" w:ascii="仿宋" w:hAnsi="仿宋" w:eastAsia="仿宋" w:cs="仿宋"/>
          <w:sz w:val="24"/>
          <w:szCs w:val="24"/>
        </w:rPr>
        <w:t>的潜在投标人应在乌鲁木齐水磨沟区红光山路万科大都会8号楼1202</w:t>
      </w:r>
      <w:r>
        <w:rPr>
          <w:rFonts w:hint="eastAsia" w:ascii="仿宋" w:hAnsi="仿宋" w:eastAsia="仿宋" w:cs="仿宋"/>
          <w:sz w:val="24"/>
          <w:szCs w:val="24"/>
          <w:lang w:eastAsia="zh-CN"/>
        </w:rPr>
        <w:t>室</w:t>
      </w:r>
      <w:r>
        <w:rPr>
          <w:rFonts w:hint="eastAsia" w:ascii="仿宋" w:hAnsi="仿宋" w:eastAsia="仿宋" w:cs="仿宋"/>
          <w:sz w:val="24"/>
          <w:szCs w:val="24"/>
        </w:rPr>
        <w:t>获取招标文件，并</w:t>
      </w:r>
      <w:r>
        <w:rPr>
          <w:rFonts w:hint="eastAsia" w:ascii="仿宋" w:hAnsi="仿宋" w:eastAsia="仿宋" w:cs="仿宋"/>
          <w:sz w:val="24"/>
          <w:szCs w:val="24"/>
          <w:highlight w:val="none"/>
        </w:rPr>
        <w:t>于202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日 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:00（北</w:t>
      </w:r>
      <w:r>
        <w:rPr>
          <w:rFonts w:hint="eastAsia" w:ascii="仿宋" w:hAnsi="仿宋" w:eastAsia="仿宋" w:cs="仿宋"/>
          <w:color w:val="auto"/>
          <w:sz w:val="24"/>
          <w:szCs w:val="24"/>
          <w:highlight w:val="none"/>
          <w:u w:val="none"/>
        </w:rPr>
        <w:t>京时间）前递交投标文件。</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color w:val="000000"/>
        </w:rPr>
        <w:t>一、项目基本情况</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项目编号：</w:t>
      </w:r>
      <w:r>
        <w:rPr>
          <w:rFonts w:hint="eastAsia" w:ascii="宋体" w:hAnsi="宋体" w:eastAsia="宋体" w:cs="宋体"/>
          <w:color w:val="000000"/>
          <w:lang w:eastAsia="zh-CN"/>
        </w:rPr>
        <w:t>HYGJ-ZFCG-2022-041</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lang w:eastAsia="zh-CN"/>
        </w:rPr>
      </w:pPr>
      <w:r>
        <w:rPr>
          <w:rFonts w:hint="eastAsia" w:ascii="宋体" w:hAnsi="宋体" w:eastAsia="宋体" w:cs="宋体"/>
          <w:color w:val="000000"/>
        </w:rPr>
        <w:t>项目名称：</w:t>
      </w:r>
      <w:r>
        <w:rPr>
          <w:rFonts w:hint="eastAsia" w:ascii="宋体" w:hAnsi="宋体" w:eastAsia="宋体" w:cs="宋体"/>
          <w:color w:val="000000"/>
          <w:lang w:eastAsia="zh-CN"/>
        </w:rPr>
        <w:t>新疆维吾尔自治区自然资源厅网络安全加固建设项目</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color w:val="000000"/>
        </w:rPr>
      </w:pPr>
      <w:r>
        <w:rPr>
          <w:rFonts w:hint="eastAsia" w:ascii="宋体" w:hAnsi="宋体" w:eastAsia="宋体" w:cs="宋体"/>
          <w:color w:val="000000"/>
        </w:rPr>
        <w:t>采购方式：竞争性磋商</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   预算金额（元）：</w:t>
      </w:r>
      <w:r>
        <w:rPr>
          <w:rFonts w:hint="eastAsia" w:ascii="宋体" w:hAnsi="宋体" w:eastAsia="宋体" w:cs="宋体"/>
          <w:color w:val="000000"/>
          <w:lang w:eastAsia="zh-CN"/>
        </w:rPr>
        <w:t>1250000.00</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color w:val="000000"/>
        </w:rPr>
      </w:pPr>
      <w:r>
        <w:rPr>
          <w:rFonts w:hint="eastAsia" w:ascii="宋体" w:hAnsi="宋体" w:eastAsia="宋体" w:cs="宋体"/>
          <w:color w:val="000000"/>
        </w:rPr>
        <w:t>   </w:t>
      </w:r>
      <w:r>
        <w:rPr>
          <w:rFonts w:ascii="宋体" w:hAnsi="宋体" w:eastAsia="宋体" w:cs="宋体"/>
          <w:color w:val="000000"/>
        </w:rPr>
        <w:t>最高限价（元）：</w:t>
      </w:r>
      <w:r>
        <w:rPr>
          <w:rFonts w:ascii="宋体" w:hAnsi="宋体" w:eastAsia="宋体" w:cs="宋体"/>
        </w:rPr>
        <w:t>无</w:t>
      </w:r>
      <w:r>
        <w:rPr>
          <w:rFonts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rPr>
      </w:pPr>
      <w:r>
        <w:rPr>
          <w:rFonts w:hint="eastAsia" w:ascii="宋体" w:hAnsi="宋体" w:eastAsia="宋体" w:cs="宋体"/>
          <w:color w:val="000000"/>
        </w:rPr>
        <w:t>采购需求：           </w:t>
      </w:r>
      <w:r>
        <w:rPr>
          <w:rFonts w:hint="eastAsia" w:ascii="宋体" w:hAnsi="宋体" w:eastAsia="宋体" w:cs="宋体"/>
          <w:color w:val="000000"/>
        </w:rPr>
        <w:br w:type="textWrapping"/>
      </w:r>
      <w:r>
        <w:rPr>
          <w:rFonts w:hint="eastAsia" w:ascii="宋体" w:hAnsi="宋体" w:eastAsia="宋体" w:cs="宋体"/>
          <w:color w:val="000000"/>
        </w:rPr>
        <w:t>   数量：1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rPr>
      </w:pPr>
      <w:r>
        <w:rPr>
          <w:rFonts w:hint="eastAsia" w:ascii="宋体" w:hAnsi="宋体" w:eastAsia="宋体" w:cs="宋体"/>
          <w:color w:val="000000"/>
        </w:rPr>
        <w:t>预算金额（元）：</w:t>
      </w:r>
      <w:r>
        <w:rPr>
          <w:rFonts w:hint="eastAsia" w:ascii="宋体" w:hAnsi="宋体" w:eastAsia="宋体" w:cs="宋体"/>
          <w:color w:val="000000"/>
          <w:lang w:eastAsia="zh-CN"/>
        </w:rPr>
        <w:t>1250000.00</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rPr>
      </w:pPr>
      <w:r>
        <w:rPr>
          <w:rFonts w:hint="eastAsia" w:ascii="宋体" w:hAnsi="宋体" w:eastAsia="宋体" w:cs="宋体"/>
          <w:color w:val="000000"/>
        </w:rPr>
        <w:t>单位：批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rPr>
      </w:pPr>
      <w:r>
        <w:rPr>
          <w:rFonts w:hint="eastAsia" w:ascii="宋体" w:hAnsi="宋体" w:eastAsia="宋体" w:cs="宋体"/>
          <w:color w:val="000000"/>
        </w:rPr>
        <w:t>简要规格描述：</w:t>
      </w:r>
    </w:p>
    <w:tbl>
      <w:tblPr>
        <w:tblStyle w:val="33"/>
        <w:tblW w:w="9356" w:type="dxa"/>
        <w:tblInd w:w="-313" w:type="dxa"/>
        <w:tblLayout w:type="fixed"/>
        <w:tblCellMar>
          <w:top w:w="0" w:type="dxa"/>
          <w:left w:w="0" w:type="dxa"/>
          <w:bottom w:w="0" w:type="dxa"/>
          <w:right w:w="0" w:type="dxa"/>
        </w:tblCellMar>
      </w:tblPr>
      <w:tblGrid>
        <w:gridCol w:w="754"/>
        <w:gridCol w:w="2544"/>
        <w:gridCol w:w="1080"/>
        <w:gridCol w:w="1110"/>
        <w:gridCol w:w="1928"/>
        <w:gridCol w:w="1940"/>
      </w:tblGrid>
      <w:tr>
        <w:tblPrEx>
          <w:tblCellMar>
            <w:top w:w="0" w:type="dxa"/>
            <w:left w:w="0" w:type="dxa"/>
            <w:bottom w:w="0" w:type="dxa"/>
            <w:right w:w="0" w:type="dxa"/>
          </w:tblCellMar>
        </w:tblPrEx>
        <w:trPr>
          <w:trHeight w:val="440" w:hRule="atLeast"/>
        </w:trPr>
        <w:tc>
          <w:tcPr>
            <w:tcW w:w="75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序号</w:t>
            </w:r>
          </w:p>
        </w:tc>
        <w:tc>
          <w:tcPr>
            <w:tcW w:w="254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名称</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数量</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质保期限</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交货日期</w:t>
            </w:r>
          </w:p>
        </w:tc>
        <w:tc>
          <w:tcPr>
            <w:tcW w:w="19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交货地点</w:t>
            </w:r>
          </w:p>
        </w:tc>
      </w:tr>
      <w:tr>
        <w:tblPrEx>
          <w:tblCellMar>
            <w:top w:w="0" w:type="dxa"/>
            <w:left w:w="0" w:type="dxa"/>
            <w:bottom w:w="0" w:type="dxa"/>
            <w:right w:w="0" w:type="dxa"/>
          </w:tblCellMar>
        </w:tblPrEx>
        <w:trPr>
          <w:trHeight w:val="860" w:hRule="atLeast"/>
        </w:trPr>
        <w:tc>
          <w:tcPr>
            <w:tcW w:w="75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防火墙1</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19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01" w:hRule="atLeast"/>
        </w:trPr>
        <w:tc>
          <w:tcPr>
            <w:tcW w:w="75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入侵防御系统（ips）</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19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13" w:hRule="atLeast"/>
        </w:trPr>
        <w:tc>
          <w:tcPr>
            <w:tcW w:w="75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服务器密码机</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19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25" w:hRule="atLeast"/>
        </w:trPr>
        <w:tc>
          <w:tcPr>
            <w:tcW w:w="75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数据库网关加密</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19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09" w:hRule="atLeast"/>
        </w:trPr>
        <w:tc>
          <w:tcPr>
            <w:tcW w:w="75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数据库审计</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19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21" w:hRule="atLeast"/>
        </w:trPr>
        <w:tc>
          <w:tcPr>
            <w:tcW w:w="75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异常流量管理与抗拒绝服务系统</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19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19" w:hRule="atLeast"/>
        </w:trPr>
        <w:tc>
          <w:tcPr>
            <w:tcW w:w="75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防火墙2</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19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03" w:hRule="atLeast"/>
        </w:trPr>
        <w:tc>
          <w:tcPr>
            <w:tcW w:w="75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安全隔离与信息单向导入系统</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19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15" w:hRule="atLeast"/>
        </w:trPr>
        <w:tc>
          <w:tcPr>
            <w:tcW w:w="75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轻量级激光雷达扫描系统</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19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bl>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rPr>
        <w:t>详见磋商文件</w:t>
      </w:r>
      <w:r>
        <w:rPr>
          <w:rFonts w:hint="eastAsia" w:ascii="宋体" w:hAnsi="宋体" w:eastAsia="宋体" w:cs="宋体"/>
          <w:color w:val="000000"/>
          <w:lang w:eastAsia="zh-CN"/>
        </w:rPr>
        <w:t>）</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right="0" w:rightChars="0"/>
        <w:rPr>
          <w:rFonts w:hint="eastAsia" w:ascii="宋体" w:hAnsi="宋体" w:eastAsia="宋体" w:cs="宋体"/>
          <w:color w:val="000000"/>
          <w:highlight w:val="none"/>
        </w:rPr>
      </w:pPr>
      <w:r>
        <w:rPr>
          <w:rFonts w:hint="eastAsia" w:ascii="宋体" w:hAnsi="宋体" w:eastAsia="宋体" w:cs="宋体"/>
          <w:color w:val="000000"/>
          <w:highlight w:val="none"/>
        </w:rPr>
        <w:t>合同履约期限：中标后10个</w:t>
      </w:r>
      <w:r>
        <w:rPr>
          <w:rFonts w:hint="eastAsia" w:cs="宋体" w:asciiTheme="minorEastAsia" w:hAnsiTheme="minorEastAsia" w:eastAsiaTheme="minorEastAsia"/>
          <w:sz w:val="24"/>
          <w:szCs w:val="24"/>
          <w:highlight w:val="none"/>
        </w:rPr>
        <w:t>日历日</w:t>
      </w:r>
      <w:r>
        <w:rPr>
          <w:rFonts w:hint="eastAsia" w:ascii="宋体" w:hAnsi="宋体" w:eastAsia="宋体" w:cs="宋体"/>
          <w:color w:val="000000"/>
          <w:highlight w:val="none"/>
        </w:rPr>
        <w:t>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宋体"/>
          <w:color w:val="000000"/>
        </w:rPr>
      </w:pPr>
      <w:r>
        <w:rPr>
          <w:rFonts w:hint="eastAsia" w:ascii="宋体" w:hAnsi="宋体" w:eastAsia="宋体" w:cs="宋体"/>
          <w:color w:val="000000"/>
        </w:rPr>
        <w:t>本项目（否）接受联合体投标。  </w:t>
      </w:r>
    </w:p>
    <w:p>
      <w:pPr>
        <w:pStyle w:val="30"/>
        <w:pageBreakBefore w:val="0"/>
        <w:kinsoku/>
        <w:wordWrap/>
        <w:topLinePunct w:val="0"/>
        <w:bidi w:val="0"/>
        <w:spacing w:before="0" w:beforeAutospacing="0" w:after="0" w:afterAutospacing="0" w:line="400" w:lineRule="exact"/>
        <w:ind w:left="0" w:leftChars="0" w:right="0" w:rightChars="0"/>
        <w:jc w:val="both"/>
        <w:rPr>
          <w:rStyle w:val="36"/>
          <w:rFonts w:hint="eastAsia" w:ascii="宋体" w:hAnsi="宋体" w:eastAsia="宋体" w:cs="宋体"/>
          <w:color w:val="000000"/>
        </w:rPr>
      </w:pPr>
      <w:r>
        <w:rPr>
          <w:rStyle w:val="36"/>
          <w:rFonts w:hint="eastAsia" w:ascii="宋体" w:hAnsi="宋体" w:eastAsia="宋体" w:cs="宋体"/>
          <w:color w:val="000000"/>
        </w:rPr>
        <w:t>二、申请人的资格要求：</w:t>
      </w:r>
    </w:p>
    <w:p>
      <w:pPr>
        <w:pStyle w:val="30"/>
        <w:pageBreakBefore w:val="0"/>
        <w:kinsoku/>
        <w:wordWrap/>
        <w:topLinePunct w:val="0"/>
        <w:bidi w:val="0"/>
        <w:spacing w:before="0" w:beforeAutospacing="0" w:after="0" w:afterAutospacing="0" w:line="400" w:lineRule="exact"/>
        <w:ind w:left="0" w:leftChars="0" w:right="0" w:rightChars="0" w:firstLine="480" w:firstLineChars="200"/>
        <w:jc w:val="both"/>
        <w:rPr>
          <w:rFonts w:ascii="宋体" w:hAnsi="宋体" w:eastAsia="宋体" w:cs="宋体"/>
        </w:rPr>
      </w:pPr>
      <w:r>
        <w:rPr>
          <w:rFonts w:hint="eastAsia" w:ascii="宋体" w:hAnsi="宋体" w:eastAsia="宋体" w:cs="宋体"/>
          <w:color w:val="000000"/>
        </w:rPr>
        <w:t>1、落实政府采购政策需满足的资格要求：详见政府采购法；</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2、供应商须符合《中华人民共和国政府采购法》第二十二条规定,并提供《中华人民共和国政府采购法实施条例》第十七条所要求的材料；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① 供应商提供有效的统一社会信用代码的营业执照，供应商必须是中华人民共和国境内注册的，具有独立承担民事责任的能力；</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② 财务状况报告：供应商提供2020年度经第三方权威机构出具的完整的财务审计报告或自发布公告之日起基本开户银行出具的资信证明；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③ 依法缴纳税收：供应商提供自投标截止之日前半年内任意一个月依法缴纳税收的凭据，依法免税的供应商，应提供充足的证明材料；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④ 依法缴纳社保：供应商提供自投标截止之日前半年内任意一个月依法缴纳社会保障资金的凭据；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⑤ 供应商具备履行合同所必需的设备和专业技术能力的证明材料；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⑥ 供应商提供参加政府采购活动前 3 年内在经营活动中没有重大违法记录的书面声明（截至开标日成立不满 3 年的供应商，可提供自成立以来无重大违法记录的书面声明）。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ascii="宋体" w:hAnsi="宋体" w:eastAsia="宋体" w:cs="宋体"/>
          <w:color w:val="000000"/>
        </w:rPr>
        <w:t>3</w:t>
      </w:r>
      <w:r>
        <w:rPr>
          <w:rFonts w:hint="eastAsia" w:ascii="宋体" w:hAnsi="宋体" w:eastAsia="宋体" w:cs="宋体"/>
          <w:color w:val="000000"/>
        </w:rPr>
        <w:t>、供应商提供法人授权委托书及被授权人身份证原件；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ascii="宋体" w:hAnsi="宋体" w:eastAsia="宋体" w:cs="宋体"/>
          <w:color w:val="000000"/>
        </w:rPr>
        <w:t>4</w:t>
      </w:r>
      <w:r>
        <w:rPr>
          <w:rFonts w:hint="eastAsia" w:ascii="宋体" w:hAnsi="宋体" w:eastAsia="宋体" w:cs="宋体"/>
          <w:color w:val="000000"/>
        </w:rPr>
        <w:t>、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ascii="宋体" w:hAnsi="宋体" w:eastAsia="宋体" w:cs="宋体"/>
          <w:color w:val="000000"/>
        </w:rPr>
        <w:t>5</w:t>
      </w:r>
      <w:r>
        <w:rPr>
          <w:rFonts w:hint="eastAsia" w:ascii="宋体" w:hAnsi="宋体" w:eastAsia="宋体" w:cs="宋体"/>
          <w:color w:val="000000"/>
        </w:rPr>
        <w:t>、本项目不接受联合体投标；</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ascii="宋体" w:hAnsi="宋体" w:eastAsia="宋体" w:cs="宋体"/>
          <w:color w:val="000000"/>
        </w:rPr>
        <w:t>6</w:t>
      </w:r>
      <w:r>
        <w:rPr>
          <w:rFonts w:hint="eastAsia" w:ascii="宋体" w:hAnsi="宋体" w:eastAsia="宋体" w:cs="宋体"/>
          <w:color w:val="000000"/>
        </w:rPr>
        <w:t>、单位负责人为同一人或者存在直接控股、管理关系的不同投标人，不得同时参加本项目的竞争。 </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color w:val="000000"/>
        </w:rPr>
        <w:t>三、获取采购文件</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ascii="宋体" w:hAnsi="宋体" w:eastAsia="宋体" w:cs="宋体"/>
        </w:rPr>
        <w:t>时间：</w:t>
      </w:r>
      <w:r>
        <w:rPr>
          <w:rFonts w:hint="eastAsia" w:ascii="宋体" w:hAnsi="宋体" w:eastAsia="宋体" w:cs="宋体"/>
          <w:highlight w:val="none"/>
          <w:lang w:eastAsia="zh-CN"/>
        </w:rPr>
        <w:t>2022年</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月</w:t>
      </w:r>
      <w:r>
        <w:rPr>
          <w:rFonts w:hint="eastAsia" w:ascii="宋体" w:hAnsi="宋体" w:eastAsia="宋体" w:cs="宋体"/>
          <w:highlight w:val="none"/>
        </w:rPr>
        <w:t>2</w:t>
      </w:r>
      <w:r>
        <w:rPr>
          <w:rFonts w:hint="eastAsia" w:ascii="宋体" w:hAnsi="宋体" w:eastAsia="宋体" w:cs="宋体"/>
          <w:highlight w:val="none"/>
          <w:lang w:val="en-US" w:eastAsia="zh-CN"/>
        </w:rPr>
        <w:t>2</w:t>
      </w:r>
      <w:r>
        <w:rPr>
          <w:rFonts w:ascii="宋体" w:hAnsi="宋体" w:eastAsia="宋体" w:cs="宋体"/>
          <w:highlight w:val="none"/>
        </w:rPr>
        <w:t>日至</w:t>
      </w:r>
      <w:r>
        <w:rPr>
          <w:rFonts w:hint="eastAsia" w:ascii="宋体" w:hAnsi="宋体" w:eastAsia="宋体" w:cs="宋体"/>
          <w:highlight w:val="none"/>
          <w:lang w:eastAsia="zh-CN"/>
        </w:rPr>
        <w:t>2022年</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月</w:t>
      </w:r>
      <w:r>
        <w:rPr>
          <w:rFonts w:hint="eastAsia" w:ascii="宋体" w:hAnsi="宋体" w:eastAsia="宋体" w:cs="宋体"/>
          <w:highlight w:val="none"/>
        </w:rPr>
        <w:t>2</w:t>
      </w:r>
      <w:r>
        <w:rPr>
          <w:rFonts w:hint="eastAsia" w:ascii="宋体" w:hAnsi="宋体" w:eastAsia="宋体" w:cs="宋体"/>
          <w:highlight w:val="none"/>
          <w:lang w:val="en-US" w:eastAsia="zh-CN"/>
        </w:rPr>
        <w:t>9</w:t>
      </w:r>
      <w:r>
        <w:rPr>
          <w:rFonts w:ascii="宋体" w:hAnsi="宋体" w:eastAsia="宋体" w:cs="宋体"/>
          <w:highlight w:val="none"/>
        </w:rPr>
        <w:t>日，</w:t>
      </w:r>
      <w:r>
        <w:rPr>
          <w:rFonts w:ascii="宋体" w:hAnsi="宋体" w:eastAsia="宋体" w:cs="宋体"/>
        </w:rPr>
        <w:t>每天上午10:00至13:30，</w:t>
      </w:r>
      <w:r>
        <w:rPr>
          <w:rFonts w:hint="eastAsia" w:ascii="宋体" w:hAnsi="宋体" w:eastAsia="宋体" w:cs="宋体"/>
          <w:lang w:eastAsia="zh-CN"/>
        </w:rPr>
        <w:t>下午15:30至19:30</w:t>
      </w:r>
      <w:r>
        <w:rPr>
          <w:rFonts w:ascii="宋体" w:hAnsi="宋体" w:eastAsia="宋体" w:cs="宋体"/>
        </w:rPr>
        <w:t>（北京时间，法定节假日除外）</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ascii="宋体" w:hAnsi="宋体" w:eastAsia="宋体" w:cs="宋体"/>
        </w:rPr>
        <w:t>地点：</w:t>
      </w:r>
      <w:r>
        <w:rPr>
          <w:rFonts w:hint="eastAsia" w:ascii="宋体" w:hAnsi="宋体" w:eastAsia="宋体" w:cs="宋体"/>
          <w:lang w:eastAsia="zh-CN"/>
        </w:rPr>
        <w:t>乌鲁木齐水磨沟区红光山路万科大都会8号楼1202室</w:t>
      </w:r>
      <w:r>
        <w:rPr>
          <w:rFonts w:ascii="宋体" w:hAnsi="宋体" w:eastAsia="宋体" w:cs="宋体"/>
        </w:rPr>
        <w:t>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方式：线下获取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ascii="宋体" w:hAnsi="宋体" w:eastAsia="宋体" w:cs="宋体"/>
        </w:rPr>
        <w:t> </w:t>
      </w:r>
      <w:r>
        <w:rPr>
          <w:rFonts w:hint="eastAsia" w:ascii="宋体" w:hAnsi="宋体" w:eastAsia="宋体" w:cs="宋体"/>
        </w:rPr>
        <w:t xml:space="preserve"> </w:t>
      </w:r>
      <w:r>
        <w:rPr>
          <w:rFonts w:ascii="宋体" w:hAnsi="宋体" w:eastAsia="宋体" w:cs="宋体"/>
        </w:rPr>
        <w:t xml:space="preserve"> 售价（元）：300</w:t>
      </w:r>
      <w:r>
        <w:rPr>
          <w:rFonts w:hint="eastAsia" w:ascii="宋体" w:hAnsi="宋体" w:eastAsia="宋体" w:cs="宋体"/>
        </w:rPr>
        <w:t> </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color w:val="000000"/>
        </w:rPr>
        <w:t>四、响应文件提交</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    截止时间</w:t>
      </w:r>
      <w:r>
        <w:rPr>
          <w:rFonts w:hint="eastAsia" w:ascii="宋体" w:hAnsi="宋体" w:eastAsia="宋体" w:cs="宋体"/>
        </w:rPr>
        <w:t>：</w:t>
      </w:r>
      <w:r>
        <w:rPr>
          <w:rFonts w:hint="eastAsia" w:cs="Arial" w:asciiTheme="minorEastAsia" w:hAnsiTheme="minorEastAsia" w:eastAsiaTheme="minorEastAsia"/>
          <w:sz w:val="24"/>
          <w:szCs w:val="24"/>
          <w:lang w:eastAsia="zh-CN"/>
        </w:rPr>
        <w:t>2022年5月</w:t>
      </w:r>
      <w:r>
        <w:rPr>
          <w:rFonts w:hint="eastAsia" w:cs="Arial" w:asciiTheme="minorEastAsia" w:hAnsiTheme="minorEastAsia" w:eastAsiaTheme="minorEastAsia"/>
          <w:sz w:val="24"/>
          <w:szCs w:val="24"/>
          <w:lang w:val="en-US" w:eastAsia="zh-CN"/>
        </w:rPr>
        <w:t>9</w:t>
      </w:r>
      <w:r>
        <w:rPr>
          <w:rFonts w:hint="eastAsia" w:cs="Arial" w:asciiTheme="minorEastAsia" w:hAnsiTheme="minorEastAsia" w:eastAsiaTheme="minorEastAsia"/>
          <w:sz w:val="24"/>
          <w:szCs w:val="24"/>
          <w:lang w:eastAsia="zh-CN"/>
        </w:rPr>
        <w:t>日 11:00</w:t>
      </w:r>
      <w:r>
        <w:rPr>
          <w:rFonts w:hint="eastAsia" w:ascii="宋体" w:hAnsi="宋体" w:eastAsia="宋体" w:cs="宋体"/>
        </w:rPr>
        <w:t>（北京时间）</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rPr>
        <w:t>    地点：</w:t>
      </w:r>
      <w:r>
        <w:rPr>
          <w:rFonts w:hint="eastAsia" w:ascii="宋体" w:hAnsi="宋体" w:eastAsia="宋体" w:cs="宋体"/>
          <w:lang w:eastAsia="zh-CN"/>
        </w:rPr>
        <w:t>乌鲁木齐水磨沟区红光山路万科大都会8号楼1202室</w:t>
      </w:r>
      <w:r>
        <w:rPr>
          <w:rFonts w:hint="eastAsia" w:ascii="宋体" w:hAnsi="宋体" w:eastAsia="宋体" w:cs="宋体"/>
        </w:rPr>
        <w:t> </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rPr>
        <w:t>五、响应文件开启</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rPr>
        <w:t>    开启时间：</w:t>
      </w:r>
      <w:r>
        <w:rPr>
          <w:rFonts w:hint="eastAsia" w:cs="Arial" w:asciiTheme="minorEastAsia" w:hAnsiTheme="minorEastAsia" w:eastAsiaTheme="minorEastAsia"/>
          <w:sz w:val="24"/>
          <w:szCs w:val="24"/>
          <w:lang w:eastAsia="zh-CN"/>
        </w:rPr>
        <w:t>2022年5月</w:t>
      </w:r>
      <w:r>
        <w:rPr>
          <w:rFonts w:hint="eastAsia" w:cs="Arial" w:asciiTheme="minorEastAsia" w:hAnsiTheme="minorEastAsia" w:eastAsiaTheme="minorEastAsia"/>
          <w:sz w:val="24"/>
          <w:szCs w:val="24"/>
          <w:lang w:val="en-US" w:eastAsia="zh-CN"/>
        </w:rPr>
        <w:t>9</w:t>
      </w:r>
      <w:r>
        <w:rPr>
          <w:rFonts w:hint="eastAsia" w:cs="Arial" w:asciiTheme="minorEastAsia" w:hAnsiTheme="minorEastAsia" w:eastAsiaTheme="minorEastAsia"/>
          <w:sz w:val="24"/>
          <w:szCs w:val="24"/>
          <w:lang w:eastAsia="zh-CN"/>
        </w:rPr>
        <w:t>日 11:00</w:t>
      </w:r>
      <w:r>
        <w:rPr>
          <w:rFonts w:hint="eastAsia" w:ascii="宋体" w:hAnsi="宋体" w:eastAsia="宋体" w:cs="宋体"/>
        </w:rPr>
        <w:t>（北京时间）</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    地点：</w:t>
      </w:r>
      <w:r>
        <w:rPr>
          <w:rFonts w:hint="eastAsia" w:ascii="宋体" w:hAnsi="宋体" w:eastAsia="宋体" w:cs="宋体"/>
          <w:color w:val="000000"/>
          <w:lang w:eastAsia="zh-CN"/>
        </w:rPr>
        <w:t>乌鲁木齐水磨沟区红光山路万科大都会8号楼1202室</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color w:val="000000"/>
        </w:rPr>
        <w:t>六、公告期限</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    自本公告发布之日起5个工作日。</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color w:val="000000"/>
        </w:rPr>
        <w:t>七、其他补充事宜</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投标供应商购买标书时应提交的资料：</w:t>
      </w:r>
    </w:p>
    <w:p>
      <w:pPr>
        <w:pStyle w:val="30"/>
        <w:pageBreakBefore w:val="0"/>
        <w:numPr>
          <w:ilvl w:val="0"/>
          <w:numId w:val="1"/>
        </w:numPr>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满足招标要求的“三证合一的营业执照；</w:t>
      </w:r>
    </w:p>
    <w:p>
      <w:pPr>
        <w:pStyle w:val="30"/>
        <w:pageBreakBefore w:val="0"/>
        <w:numPr>
          <w:ilvl w:val="0"/>
          <w:numId w:val="1"/>
        </w:numPr>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授权委托书原件及被授权人身份证原件（或者法定代表人身份证明书及法定代表人身份证）；</w:t>
      </w:r>
    </w:p>
    <w:p>
      <w:pPr>
        <w:pStyle w:val="30"/>
        <w:pageBreakBefore w:val="0"/>
        <w:numPr>
          <w:ilvl w:val="0"/>
          <w:numId w:val="1"/>
        </w:numPr>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所有报名的投标供应商需提供上述资格要求中的资料原件及加盖企业鲜章的复印件三套交由招标代理公司存档，资料不全者不予受理。</w:t>
      </w:r>
    </w:p>
    <w:p>
      <w:pPr>
        <w:pStyle w:val="30"/>
        <w:pageBreakBefore w:val="0"/>
        <w:kinsoku/>
        <w:wordWrap/>
        <w:topLinePunct w:val="0"/>
        <w:bidi w:val="0"/>
        <w:spacing w:before="0" w:beforeAutospacing="0" w:after="0" w:afterAutospacing="0" w:line="400" w:lineRule="exact"/>
        <w:ind w:left="0" w:leftChars="0" w:right="0" w:rightChars="0" w:firstLine="482" w:firstLineChars="200"/>
        <w:rPr>
          <w:rFonts w:cs="宋体" w:asciiTheme="minorEastAsia" w:hAnsiTheme="minorEastAsia" w:eastAsiaTheme="minorEastAsia"/>
          <w:b/>
          <w:bCs/>
        </w:rPr>
      </w:pPr>
      <w:r>
        <w:rPr>
          <w:rFonts w:hint="eastAsia" w:cs="宋体" w:asciiTheme="minorEastAsia" w:hAnsiTheme="minorEastAsia" w:eastAsiaTheme="minorEastAsia"/>
          <w:b/>
          <w:bCs/>
        </w:rPr>
        <w:t>以</w:t>
      </w:r>
      <w:r>
        <w:rPr>
          <w:rFonts w:hint="eastAsia" w:cs="宋体" w:asciiTheme="minorEastAsia" w:hAnsiTheme="minorEastAsia" w:eastAsiaTheme="minorEastAsia"/>
          <w:b/>
          <w:bCs/>
          <w:color w:val="000000"/>
        </w:rPr>
        <w:t>上资料提交原件审核，复印件</w:t>
      </w:r>
      <w:r>
        <w:rPr>
          <w:rFonts w:hint="eastAsia" w:cs="宋体" w:asciiTheme="minorEastAsia" w:hAnsiTheme="minorEastAsia" w:eastAsiaTheme="minorEastAsia"/>
          <w:b/>
          <w:bCs/>
          <w:color w:val="000000"/>
          <w:lang w:eastAsia="zh-CN"/>
        </w:rPr>
        <w:t>叁</w:t>
      </w:r>
      <w:r>
        <w:rPr>
          <w:rFonts w:hint="eastAsia" w:cs="宋体" w:asciiTheme="minorEastAsia" w:hAnsiTheme="minorEastAsia" w:eastAsiaTheme="minorEastAsia"/>
          <w:b/>
          <w:bCs/>
          <w:color w:val="000000"/>
        </w:rPr>
        <w:t>套加盖公章，资料不全者，一律谢绝报名。</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Style w:val="36"/>
          <w:rFonts w:hint="eastAsia" w:ascii="宋体" w:hAnsi="宋体" w:eastAsia="宋体" w:cs="宋体"/>
          <w:color w:val="000000"/>
        </w:rPr>
        <w:t>八、凡对本次招标提出询问，请按以下方式联系</w:t>
      </w:r>
      <w:r>
        <w:rPr>
          <w:rFonts w:hint="eastAsia" w:ascii="宋体" w:hAnsi="宋体" w:eastAsia="宋体" w:cs="宋体"/>
          <w:color w:val="000000"/>
        </w:rPr>
        <w:t>　　　　　　　　　　　　</w:t>
      </w:r>
    </w:p>
    <w:p>
      <w:pPr>
        <w:pStyle w:val="30"/>
        <w:pageBreakBefore w:val="0"/>
        <w:kinsoku/>
        <w:wordWrap/>
        <w:topLinePunct w:val="0"/>
        <w:bidi w:val="0"/>
        <w:spacing w:before="0" w:beforeAutospacing="0" w:after="0" w:afterAutospacing="0" w:line="400" w:lineRule="exact"/>
        <w:ind w:left="0" w:leftChars="0" w:right="0" w:rightChars="0" w:firstLine="420"/>
        <w:rPr>
          <w:rFonts w:cs="宋体" w:asciiTheme="minorEastAsia" w:hAnsiTheme="minorEastAsia" w:eastAsiaTheme="minorEastAsia"/>
          <w:color w:val="000000"/>
        </w:rPr>
      </w:pPr>
      <w:r>
        <w:rPr>
          <w:rFonts w:hint="eastAsia" w:cs="宋体" w:asciiTheme="minorEastAsia" w:hAnsiTheme="minorEastAsia" w:eastAsiaTheme="minorEastAsia"/>
          <w:color w:val="000000"/>
        </w:rPr>
        <w:t> </w:t>
      </w:r>
      <w:r>
        <w:rPr>
          <w:rFonts w:cs="宋体" w:asciiTheme="minorEastAsia" w:hAnsiTheme="minorEastAsia" w:eastAsiaTheme="minorEastAsia"/>
          <w:color w:val="000000"/>
        </w:rPr>
        <w:t>1.采购人信息</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cs="宋体" w:asciiTheme="minorEastAsia" w:hAnsiTheme="minorEastAsia" w:eastAsiaTheme="minorEastAsia"/>
          <w:color w:val="000000"/>
        </w:rPr>
      </w:pPr>
      <w:r>
        <w:rPr>
          <w:rFonts w:cs="宋体" w:asciiTheme="minorEastAsia" w:hAnsiTheme="minorEastAsia" w:eastAsiaTheme="minorEastAsia"/>
          <w:color w:val="000000"/>
        </w:rPr>
        <w:t>名 称：</w:t>
      </w:r>
      <w:r>
        <w:rPr>
          <w:rFonts w:hint="eastAsia" w:cs="宋体" w:asciiTheme="minorEastAsia" w:hAnsiTheme="minorEastAsia" w:eastAsiaTheme="minorEastAsia"/>
          <w:color w:val="000000"/>
        </w:rPr>
        <w:t>新疆维吾尔自治区自然资源信息中心（新疆维吾尔自治区自然资源档案馆）</w:t>
      </w:r>
    </w:p>
    <w:p>
      <w:pPr>
        <w:pageBreakBefore w:val="0"/>
        <w:widowControl/>
        <w:kinsoku/>
        <w:wordWrap/>
        <w:topLinePunct w:val="0"/>
        <w:bidi w:val="0"/>
        <w:spacing w:beforeAutospacing="0" w:afterAutospacing="0" w:line="400" w:lineRule="exact"/>
        <w:ind w:left="0" w:leftChars="0" w:right="0" w:rightChars="0"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地 址：</w:t>
      </w:r>
      <w:r>
        <w:rPr>
          <w:rFonts w:hint="eastAsia" w:cs="宋体" w:asciiTheme="minorEastAsia" w:hAnsiTheme="minorEastAsia" w:eastAsiaTheme="minorEastAsia"/>
          <w:color w:val="000000"/>
          <w:kern w:val="0"/>
          <w:sz w:val="24"/>
          <w:szCs w:val="24"/>
        </w:rPr>
        <w:t>乌市光明路26号建设广场9楼信息中心</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联</w:t>
      </w:r>
      <w:r>
        <w:rPr>
          <w:rFonts w:hint="eastAsia" w:cs="宋体" w:asciiTheme="minorEastAsia" w:hAnsiTheme="minorEastAsia" w:eastAsiaTheme="minorEastAsia"/>
          <w:color w:val="000000"/>
          <w:lang w:val="en-US" w:eastAsia="zh-CN"/>
        </w:rPr>
        <w:t xml:space="preserve">系方式：0991-8897063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2.采购代理机构信息</w:t>
      </w:r>
    </w:p>
    <w:bookmarkEnd w:id="5"/>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采购代理机构：宏业国际项目管理有限公司</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联系人：李苗</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联系电话：15022921857</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地址：乌鲁木齐水磨沟区红光山路万科大都会8号楼1202</w:t>
      </w:r>
    </w:p>
    <w:p>
      <w:pPr>
        <w:pageBreakBefore w:val="0"/>
        <w:widowControl/>
        <w:shd w:val="clear" w:color="auto" w:fill="FFFFFF"/>
        <w:kinsoku/>
        <w:wordWrap/>
        <w:topLinePunct w:val="0"/>
        <w:bidi w:val="0"/>
        <w:spacing w:beforeAutospacing="0" w:afterAutospacing="0" w:line="400" w:lineRule="exact"/>
        <w:ind w:left="0" w:leftChars="0" w:right="0" w:rightChars="0" w:firstLine="352" w:firstLineChars="147"/>
        <w:jc w:val="left"/>
        <w:rPr>
          <w:rFonts w:cs="宋体" w:asciiTheme="minorEastAsia" w:hAnsiTheme="minorEastAsia" w:eastAsiaTheme="minorEastAsia"/>
          <w:color w:val="000000"/>
          <w:kern w:val="0"/>
          <w:sz w:val="24"/>
          <w:szCs w:val="24"/>
        </w:rPr>
      </w:pPr>
    </w:p>
    <w:p>
      <w:pPr>
        <w:pageBreakBefore w:val="0"/>
        <w:kinsoku/>
        <w:wordWrap/>
        <w:topLinePunct w:val="0"/>
        <w:bidi w:val="0"/>
        <w:spacing w:beforeAutospacing="0" w:afterAutospacing="0" w:line="400" w:lineRule="exact"/>
        <w:ind w:left="0" w:leftChars="0" w:right="0" w:rightChars="0"/>
        <w:rPr>
          <w:rFonts w:asciiTheme="minorEastAsia" w:hAnsiTheme="minorEastAsia" w:eastAsiaTheme="minorEastAsia"/>
          <w:sz w:val="24"/>
          <w:szCs w:val="24"/>
        </w:rPr>
      </w:pPr>
    </w:p>
    <w:p>
      <w:pPr>
        <w:pageBreakBefore w:val="0"/>
        <w:kinsoku/>
        <w:wordWrap/>
        <w:topLinePunct w:val="0"/>
        <w:bidi w:val="0"/>
        <w:spacing w:line="400" w:lineRule="exact"/>
        <w:ind w:left="0" w:leftChars="0" w:right="0" w:rightChars="0"/>
        <w:jc w:val="center"/>
        <w:rPr>
          <w:b/>
          <w:sz w:val="32"/>
          <w:szCs w:val="32"/>
        </w:rPr>
      </w:pPr>
      <w:bookmarkStart w:id="11" w:name="_Toc11946"/>
      <w:r>
        <w:rPr>
          <w:b/>
          <w:sz w:val="32"/>
          <w:szCs w:val="32"/>
        </w:rPr>
        <w:t>第二</w:t>
      </w:r>
      <w:r>
        <w:rPr>
          <w:rFonts w:hint="eastAsia"/>
          <w:b/>
          <w:sz w:val="32"/>
          <w:szCs w:val="32"/>
        </w:rPr>
        <w:t xml:space="preserve">章  </w:t>
      </w:r>
      <w:r>
        <w:rPr>
          <w:b/>
          <w:sz w:val="32"/>
          <w:szCs w:val="32"/>
        </w:rPr>
        <w:t>供应商须知</w:t>
      </w:r>
      <w:bookmarkEnd w:id="6"/>
      <w:bookmarkEnd w:id="7"/>
      <w:bookmarkEnd w:id="8"/>
      <w:bookmarkEnd w:id="9"/>
      <w:bookmarkEnd w:id="10"/>
      <w:bookmarkEnd w:id="11"/>
      <w:bookmarkStart w:id="12" w:name="_Toc349637919"/>
      <w:bookmarkStart w:id="13" w:name="_Toc349573120"/>
      <w:bookmarkStart w:id="14" w:name="_Toc298240404"/>
      <w:bookmarkStart w:id="15" w:name="_Toc267301281"/>
    </w:p>
    <w:p>
      <w:pPr>
        <w:pageBreakBefore w:val="0"/>
        <w:kinsoku/>
        <w:wordWrap/>
        <w:topLinePunct w:val="0"/>
        <w:bidi w:val="0"/>
        <w:spacing w:beforeAutospacing="0" w:afterAutospacing="0" w:line="400" w:lineRule="exact"/>
        <w:ind w:left="0" w:leftChars="0" w:right="0" w:rightChars="0"/>
        <w:jc w:val="center"/>
        <w:rPr>
          <w:b/>
          <w:sz w:val="28"/>
          <w:szCs w:val="28"/>
        </w:rPr>
      </w:pPr>
      <w:bookmarkStart w:id="16" w:name="_Toc462223631"/>
      <w:r>
        <w:rPr>
          <w:b/>
          <w:sz w:val="28"/>
          <w:szCs w:val="28"/>
        </w:rPr>
        <w:t>供应商须知</w:t>
      </w:r>
      <w:r>
        <w:rPr>
          <w:rFonts w:hint="eastAsia"/>
          <w:b/>
          <w:sz w:val="28"/>
          <w:szCs w:val="28"/>
        </w:rPr>
        <w:t>前</w:t>
      </w:r>
      <w:r>
        <w:rPr>
          <w:b/>
          <w:sz w:val="28"/>
          <w:szCs w:val="28"/>
        </w:rPr>
        <w:t>附表</w:t>
      </w:r>
      <w:bookmarkEnd w:id="12"/>
      <w:bookmarkEnd w:id="13"/>
      <w:bookmarkEnd w:id="14"/>
      <w:bookmarkEnd w:id="15"/>
      <w:bookmarkEnd w:id="16"/>
    </w:p>
    <w:tbl>
      <w:tblPr>
        <w:tblStyle w:val="33"/>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84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序号</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1</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项目名称：新疆维吾尔自治区自然资源厅网络安全加固建设项目</w:t>
            </w:r>
          </w:p>
          <w:p>
            <w:pPr>
              <w:pageBreakBefore w:val="0"/>
              <w:kinsoku/>
              <w:wordWrap/>
              <w:topLinePunct w:val="0"/>
              <w:bidi w:val="0"/>
              <w:spacing w:beforeAutospacing="0" w:afterAutospacing="0" w:line="400" w:lineRule="exact"/>
              <w:ind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项目编号：HYGJ-ZFCG-2022-041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2</w:t>
            </w:r>
          </w:p>
        </w:tc>
        <w:tc>
          <w:tcPr>
            <w:tcW w:w="8493" w:type="dxa"/>
            <w:tcBorders>
              <w:top w:val="single" w:color="auto" w:sz="4" w:space="0"/>
              <w:left w:val="single" w:color="auto" w:sz="4" w:space="0"/>
              <w:bottom w:val="single" w:color="auto" w:sz="4" w:space="0"/>
              <w:right w:val="single" w:color="auto" w:sz="4" w:space="0"/>
            </w:tcBorders>
            <w:vAlign w:val="center"/>
          </w:tcPr>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采购人名称：新疆维吾尔自治区自然资源信息中心（新疆维吾尔自治区自然资源档案馆）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联系人：林工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联系电话：0991-8897063       </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地址：乌鲁木齐市光明路七彩楼9楼自然资源信息中心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3</w:t>
            </w:r>
          </w:p>
        </w:tc>
        <w:tc>
          <w:tcPr>
            <w:tcW w:w="8493" w:type="dxa"/>
            <w:tcBorders>
              <w:top w:val="single" w:color="auto" w:sz="4" w:space="0"/>
              <w:left w:val="single" w:color="auto" w:sz="4" w:space="0"/>
              <w:bottom w:val="single" w:color="auto" w:sz="4" w:space="0"/>
              <w:right w:val="single" w:color="auto" w:sz="4" w:space="0"/>
            </w:tcBorders>
            <w:vAlign w:val="center"/>
          </w:tcPr>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采购代理机构：宏业国际项目管理有限公司</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联系人：李苗</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联系电话：15022921857</w:t>
            </w:r>
          </w:p>
          <w:p>
            <w:pPr>
              <w:pStyle w:val="30"/>
              <w:pageBreakBefore w:val="0"/>
              <w:kinsoku/>
              <w:wordWrap/>
              <w:topLinePunct w:val="0"/>
              <w:bidi w:val="0"/>
              <w:spacing w:before="0" w:beforeAutospacing="0" w:after="0" w:afterAutospacing="0" w:line="400" w:lineRule="exact"/>
              <w:ind w:left="0" w:leftChars="0" w:right="0" w:rightChars="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地址：乌鲁木齐水磨沟区红光山路万科大都会8号楼1202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4</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踏勘现场：自行踏勘，不组织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5</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themeColor="text1"/>
                <w:sz w:val="24"/>
                <w:szCs w:val="24"/>
                <w14:textFill>
                  <w14:solidFill>
                    <w14:schemeClr w14:val="tx1"/>
                  </w14:solidFill>
                </w14:textFill>
              </w:rPr>
            </w:pPr>
            <w:r>
              <w:rPr>
                <w:rFonts w:hint="eastAsia" w:cs="Arial" w:asciiTheme="minorEastAsia" w:hAnsiTheme="minorEastAsia" w:eastAsiaTheme="minorEastAsia"/>
                <w:color w:val="000000" w:themeColor="text1"/>
                <w:sz w:val="24"/>
                <w:szCs w:val="24"/>
                <w14:textFill>
                  <w14:solidFill>
                    <w14:schemeClr w14:val="tx1"/>
                  </w14:solidFill>
                </w14:textFill>
              </w:rPr>
              <w:t>磋商响应保证金金额：</w:t>
            </w:r>
            <w:r>
              <w:rPr>
                <w:rFonts w:hint="eastAsia" w:cs="Arial" w:asciiTheme="minorEastAsia" w:hAnsiTheme="minorEastAsia" w:eastAsiaTheme="minorEastAsia"/>
                <w:color w:val="000000" w:themeColor="text1"/>
                <w:sz w:val="24"/>
                <w:szCs w:val="24"/>
                <w:lang w:val="en-US" w:eastAsia="zh-CN"/>
                <w14:textFill>
                  <w14:solidFill>
                    <w14:schemeClr w14:val="tx1"/>
                  </w14:solidFill>
                </w14:textFill>
              </w:rPr>
              <w:t>250</w:t>
            </w:r>
            <w:r>
              <w:rPr>
                <w:rFonts w:hint="eastAsia" w:cs="Arial" w:asciiTheme="minorEastAsia" w:hAnsiTheme="minorEastAsia" w:eastAsiaTheme="minorEastAsia"/>
                <w:color w:val="000000" w:themeColor="text1"/>
                <w:sz w:val="24"/>
                <w:szCs w:val="24"/>
                <w14:textFill>
                  <w14:solidFill>
                    <w14:schemeClr w14:val="tx1"/>
                  </w14:solidFill>
                </w14:textFill>
              </w:rPr>
              <w:t>00元（</w:t>
            </w:r>
            <w:r>
              <w:rPr>
                <w:rFonts w:hint="eastAsia" w:cs="Arial" w:asciiTheme="minorEastAsia" w:hAnsiTheme="minorEastAsia" w:eastAsiaTheme="minorEastAsia"/>
                <w:color w:val="000000" w:themeColor="text1"/>
                <w:sz w:val="24"/>
                <w:szCs w:val="24"/>
                <w:lang w:val="en-US" w:eastAsia="zh-CN"/>
                <w14:textFill>
                  <w14:solidFill>
                    <w14:schemeClr w14:val="tx1"/>
                  </w14:solidFill>
                </w14:textFill>
              </w:rPr>
              <w:t>贰万伍仟</w:t>
            </w:r>
            <w:r>
              <w:rPr>
                <w:rFonts w:hint="eastAsia" w:cs="Arial" w:asciiTheme="minorEastAsia" w:hAnsiTheme="minorEastAsia" w:eastAsiaTheme="minorEastAsia"/>
                <w:color w:val="000000" w:themeColor="text1"/>
                <w:sz w:val="24"/>
                <w:szCs w:val="24"/>
                <w14:textFill>
                  <w14:solidFill>
                    <w14:schemeClr w14:val="tx1"/>
                  </w14:solidFill>
                </w14:textFill>
              </w:rPr>
              <w:t>元整）</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rPr>
            </w:pPr>
            <w:r>
              <w:rPr>
                <w:rFonts w:hint="eastAsia" w:ascii="宋体" w:hAnsi="宋体"/>
                <w:sz w:val="24"/>
              </w:rPr>
              <w:t>供应商必须从单位基本账户以电汇等非现金方式缴纳投标保证金，且账户名称必须与投标人在报名时登记的单位名称一致,不得以分公司、办事处或其他机构名义缴纳。</w:t>
            </w:r>
            <w:r>
              <w:rPr>
                <w:rFonts w:hint="eastAsia" w:cs="Arial" w:asciiTheme="minorEastAsia" w:hAnsiTheme="minorEastAsia" w:eastAsiaTheme="minorEastAsia"/>
                <w:sz w:val="24"/>
                <w:szCs w:val="24"/>
              </w:rPr>
              <w:t>并注明“</w:t>
            </w:r>
            <w:r>
              <w:rPr>
                <w:rFonts w:hint="eastAsia" w:cs="Arial" w:asciiTheme="minorEastAsia" w:hAnsiTheme="minorEastAsia" w:eastAsiaTheme="minorEastAsia"/>
                <w:sz w:val="24"/>
                <w:szCs w:val="24"/>
                <w:lang w:eastAsia="zh-CN"/>
              </w:rPr>
              <w:t>HYGJ-ZFCG-2022-041</w:t>
            </w:r>
            <w:r>
              <w:rPr>
                <w:rFonts w:hint="eastAsia" w:cs="Arial" w:asciiTheme="minorEastAsia" w:hAnsiTheme="minorEastAsia" w:eastAsiaTheme="minorEastAsia"/>
                <w:sz w:val="24"/>
                <w:szCs w:val="24"/>
              </w:rPr>
              <w:t>保证金”字样，否则，因款项用途不明导致报价</w:t>
            </w:r>
            <w:r>
              <w:rPr>
                <w:rFonts w:hint="eastAsia" w:cs="Arial" w:asciiTheme="minorEastAsia" w:hAnsiTheme="minorEastAsia" w:eastAsiaTheme="minorEastAsia"/>
                <w:sz w:val="24"/>
                <w:szCs w:val="24"/>
                <w:lang w:val="en-US" w:eastAsia="zh-CN"/>
              </w:rPr>
              <w:t xml:space="preserve">  </w:t>
            </w:r>
            <w:r>
              <w:rPr>
                <w:rFonts w:hint="eastAsia" w:cs="Arial" w:asciiTheme="minorEastAsia" w:hAnsiTheme="minorEastAsia" w:eastAsiaTheme="minorEastAsia"/>
                <w:sz w:val="24"/>
                <w:szCs w:val="24"/>
              </w:rPr>
              <w:t>无效等后果由投标单位自行承担：</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收款单位：</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rPr>
              <w:t>开户名称：</w:t>
            </w:r>
            <w:r>
              <w:rPr>
                <w:rFonts w:hint="eastAsia" w:cs="Arial" w:asciiTheme="minorEastAsia" w:hAnsiTheme="minorEastAsia" w:eastAsiaTheme="minorEastAsia"/>
                <w:sz w:val="24"/>
                <w:szCs w:val="24"/>
                <w:lang w:eastAsia="zh-CN"/>
              </w:rPr>
              <w:t>宏业国际项目管理有限公司新疆分公司</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开户行：</w:t>
            </w:r>
            <w:r>
              <w:rPr>
                <w:rFonts w:hint="eastAsia" w:cs="Arial" w:asciiTheme="minorEastAsia" w:hAnsiTheme="minorEastAsia" w:eastAsiaTheme="minorEastAsia"/>
                <w:sz w:val="24"/>
                <w:szCs w:val="24"/>
                <w:lang w:eastAsia="zh-CN"/>
              </w:rPr>
              <w:t>交通银行股份有限公司乌鲁木齐大西门支行</w:t>
            </w:r>
            <w:r>
              <w:rPr>
                <w:rFonts w:hint="eastAsia" w:cs="Arial" w:asciiTheme="minorEastAsia" w:hAnsiTheme="minorEastAsia" w:eastAsiaTheme="minorEastAsia"/>
                <w:sz w:val="24"/>
                <w:szCs w:val="24"/>
              </w:rPr>
              <w:t xml:space="preserve"> </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账   号：</w:t>
            </w:r>
            <w:r>
              <w:rPr>
                <w:rFonts w:hint="eastAsia" w:cs="Arial" w:asciiTheme="minorEastAsia" w:hAnsiTheme="minorEastAsia" w:eastAsiaTheme="minorEastAsia"/>
                <w:sz w:val="24"/>
                <w:szCs w:val="24"/>
                <w:lang w:val="en-US" w:eastAsia="zh-CN"/>
              </w:rPr>
              <w:t>651651001013000714104</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(1)</w:t>
            </w:r>
            <w:r>
              <w:rPr>
                <w:rFonts w:hint="eastAsia" w:cs="Arial" w:asciiTheme="minorEastAsia" w:hAnsiTheme="minorEastAsia" w:eastAsiaTheme="minorEastAsia"/>
                <w:sz w:val="24"/>
                <w:szCs w:val="24"/>
                <w:lang w:eastAsia="zh-CN"/>
              </w:rPr>
              <w:t>供应商</w:t>
            </w:r>
            <w:r>
              <w:rPr>
                <w:rFonts w:hint="eastAsia" w:cs="Arial" w:asciiTheme="minorEastAsia" w:hAnsiTheme="minorEastAsia" w:eastAsiaTheme="minorEastAsia"/>
                <w:sz w:val="24"/>
                <w:szCs w:val="24"/>
              </w:rPr>
              <w:t>必须</w:t>
            </w:r>
            <w:r>
              <w:rPr>
                <w:rFonts w:hint="eastAsia" w:cs="Arial" w:asciiTheme="minorEastAsia" w:hAnsiTheme="minorEastAsia" w:eastAsiaTheme="minorEastAsia"/>
                <w:sz w:val="24"/>
                <w:szCs w:val="24"/>
                <w:lang w:eastAsia="zh-CN"/>
              </w:rPr>
              <w:t>投标截止时间前</w:t>
            </w:r>
            <w:r>
              <w:rPr>
                <w:rFonts w:hint="eastAsia" w:cs="Arial" w:asciiTheme="minorEastAsia" w:hAnsiTheme="minorEastAsia" w:eastAsiaTheme="minorEastAsia"/>
                <w:sz w:val="24"/>
                <w:szCs w:val="24"/>
              </w:rPr>
              <w:t>完成保证金缴纳工作。</w:t>
            </w:r>
            <w:r>
              <w:rPr>
                <w:rFonts w:hint="eastAsia" w:cs="Arial" w:asciiTheme="minorEastAsia" w:hAnsiTheme="minorEastAsia" w:eastAsiaTheme="minorEastAsia"/>
                <w:sz w:val="24"/>
                <w:szCs w:val="24"/>
                <w:lang w:eastAsia="zh-CN"/>
              </w:rPr>
              <w:t>供应商</w:t>
            </w:r>
            <w:r>
              <w:rPr>
                <w:rFonts w:hint="eastAsia" w:cs="Arial" w:asciiTheme="minorEastAsia" w:hAnsiTheme="minorEastAsia" w:eastAsiaTheme="minorEastAsia"/>
                <w:sz w:val="24"/>
                <w:szCs w:val="24"/>
              </w:rPr>
              <w:t>需自行评估因异地、跨行、公休日等因素造成的投标保证金到账延迟风险，并承担相应责任。</w:t>
            </w:r>
          </w:p>
          <w:p>
            <w:pPr>
              <w:pageBreakBefore w:val="0"/>
              <w:kinsoku/>
              <w:wordWrap/>
              <w:topLinePunct w:val="0"/>
              <w:bidi w:val="0"/>
              <w:spacing w:beforeAutospacing="0" w:afterAutospacing="0" w:line="400" w:lineRule="exact"/>
              <w:ind w:left="0" w:leftChars="0" w:right="0" w:rightChars="0" w:firstLine="480" w:firstLineChars="200"/>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(2)投标保证金的提交以保证金账户到账时间为准。</w:t>
            </w:r>
          </w:p>
          <w:p>
            <w:pPr>
              <w:pageBreakBefore w:val="0"/>
              <w:kinsoku/>
              <w:wordWrap/>
              <w:topLinePunct w:val="0"/>
              <w:bidi w:val="0"/>
              <w:spacing w:beforeAutospacing="0" w:afterAutospacing="0" w:line="400" w:lineRule="exact"/>
              <w:ind w:left="0" w:leftChars="0" w:right="0" w:rightChars="0" w:firstLine="480" w:firstLineChars="200"/>
              <w:rPr>
                <w:rFonts w:ascii="宋体" w:hAnsi="宋体"/>
                <w:color w:val="000000"/>
                <w:sz w:val="24"/>
              </w:rPr>
            </w:pPr>
            <w:r>
              <w:rPr>
                <w:rFonts w:hint="eastAsia" w:cs="Arial" w:asciiTheme="minorEastAsia" w:hAnsiTheme="minorEastAsia" w:eastAsiaTheme="minorEastAsia"/>
                <w:sz w:val="24"/>
                <w:szCs w:val="24"/>
              </w:rPr>
              <w:t>(3)标书内须放置投标保证金缴纳凭证。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6</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磋商响应</w:t>
            </w:r>
            <w:r>
              <w:rPr>
                <w:rFonts w:cs="Arial" w:asciiTheme="minorEastAsia" w:hAnsiTheme="minorEastAsia" w:eastAsiaTheme="minorEastAsia"/>
                <w:sz w:val="24"/>
                <w:szCs w:val="24"/>
              </w:rPr>
              <w:t>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磋 商 响 应 性 </w:t>
            </w:r>
            <w:r>
              <w:rPr>
                <w:rFonts w:cs="Arial" w:asciiTheme="minorEastAsia" w:hAnsiTheme="minorEastAsia" w:eastAsiaTheme="minorEastAsia"/>
                <w:sz w:val="24"/>
                <w:szCs w:val="24"/>
              </w:rPr>
              <w:t>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tabs>
                <w:tab w:val="left" w:pos="252"/>
                <w:tab w:val="left" w:pos="671"/>
              </w:tabs>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color w:val="000000"/>
                <w:spacing w:val="8"/>
                <w:sz w:val="24"/>
                <w:szCs w:val="24"/>
              </w:rPr>
            </w:pPr>
            <w:r>
              <w:rPr>
                <w:rFonts w:hint="eastAsia" w:cs="Arial" w:asciiTheme="minorEastAsia" w:hAnsiTheme="minorEastAsia" w:eastAsiaTheme="minorEastAsia"/>
                <w:color w:val="000000"/>
                <w:spacing w:val="8"/>
                <w:sz w:val="24"/>
                <w:szCs w:val="24"/>
              </w:rPr>
              <w:t>7</w:t>
            </w:r>
          </w:p>
        </w:tc>
        <w:tc>
          <w:tcPr>
            <w:tcW w:w="8493" w:type="dxa"/>
            <w:tcBorders>
              <w:top w:val="single" w:color="auto" w:sz="4" w:space="0"/>
              <w:left w:val="single" w:color="auto" w:sz="4" w:space="0"/>
              <w:bottom w:val="single" w:color="auto" w:sz="4" w:space="0"/>
              <w:right w:val="single" w:color="auto" w:sz="4" w:space="0"/>
            </w:tcBorders>
            <w:vAlign w:val="center"/>
          </w:tcPr>
          <w:p>
            <w:pPr>
              <w:pStyle w:val="86"/>
              <w:pageBreakBefore w:val="0"/>
              <w:kinsoku/>
              <w:wordWrap/>
              <w:topLinePunct w:val="0"/>
              <w:bidi w:val="0"/>
              <w:spacing w:beforeAutospacing="0" w:afterAutospacing="0" w:line="400" w:lineRule="exact"/>
              <w:ind w:left="0" w:leftChars="0" w:right="0" w:rightChars="0" w:firstLine="0" w:firstLineChars="0"/>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供应商的资格要求：</w:t>
            </w:r>
          </w:p>
          <w:p>
            <w:pPr>
              <w:pStyle w:val="30"/>
              <w:pageBreakBefore w:val="0"/>
              <w:kinsoku/>
              <w:wordWrap/>
              <w:topLinePunct w:val="0"/>
              <w:bidi w:val="0"/>
              <w:spacing w:before="0" w:beforeAutospacing="0" w:after="0" w:afterAutospacing="0" w:line="400" w:lineRule="exact"/>
              <w:ind w:left="0" w:leftChars="0" w:right="0" w:rightChars="0"/>
              <w:jc w:val="both"/>
              <w:rPr>
                <w:rFonts w:ascii="宋体" w:hAnsi="宋体" w:eastAsia="宋体" w:cs="宋体"/>
              </w:rPr>
            </w:pPr>
            <w:r>
              <w:rPr>
                <w:rFonts w:hint="eastAsia" w:ascii="宋体" w:hAnsi="宋体" w:eastAsia="宋体" w:cs="宋体"/>
                <w:color w:val="000000"/>
              </w:rPr>
              <w:t>1、落实政府采购政策需满足的资格要求：详见政府采购法；</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2、供应商须符合《中华人民共和国政府采购法》第二十二条规定,并提供《中华人民共和国政府采购法实施条例》第十七条所要求的材料；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① 供应商提供有效的统一社会信用代码的营业执照，供应商必须是中华人民共和国境内注册的，具有独立承担民事责任的能力；</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② 财务状况报告：供应商提供2020年度经第三方权威机构出具的完整的财务审计报告或自发布公告之日起基本开户银行出具的资信证明；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③ 依法缴纳税收：供应商提供自投标截止之日前半年内任意一个月依法缴纳税收的凭据，依法免税的供应商，应提供充足的证明材料；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④ 依法缴纳社保：供应商提供自投标截止之日前半年内任意一个月依法缴纳社会保障资金的凭据；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⑤ 供应商具备履行合同所必需的设备和专业技术能力的证明材料；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⑥ 供应商提供参加政府采购活动前 3 年内在经营活动中没有重大违法记录的书面声明（截至开标日成立不满 3 年的供应商，可提供自成立以来无重大违法记录的书面声明）。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ascii="宋体" w:hAnsi="宋体" w:eastAsia="宋体" w:cs="宋体"/>
                <w:color w:val="000000"/>
              </w:rPr>
              <w:t>3</w:t>
            </w:r>
            <w:r>
              <w:rPr>
                <w:rFonts w:hint="eastAsia" w:ascii="宋体" w:hAnsi="宋体" w:eastAsia="宋体" w:cs="宋体"/>
                <w:color w:val="000000"/>
              </w:rPr>
              <w:t>、供应商提供法人授权委托书及被授权人身份证原件；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ascii="宋体" w:hAnsi="宋体" w:eastAsia="宋体" w:cs="宋体"/>
                <w:color w:val="000000"/>
              </w:rPr>
              <w:t>4</w:t>
            </w:r>
            <w:r>
              <w:rPr>
                <w:rFonts w:hint="eastAsia" w:ascii="宋体" w:hAnsi="宋体" w:eastAsia="宋体" w:cs="宋体"/>
                <w:color w:val="000000"/>
              </w:rPr>
              <w:t>、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ascii="宋体" w:hAnsi="宋体" w:eastAsia="宋体" w:cs="宋体"/>
                <w:color w:val="000000"/>
              </w:rPr>
              <w:t>5</w:t>
            </w:r>
            <w:r>
              <w:rPr>
                <w:rFonts w:hint="eastAsia" w:ascii="宋体" w:hAnsi="宋体" w:eastAsia="宋体" w:cs="宋体"/>
                <w:color w:val="000000"/>
              </w:rPr>
              <w:t>、本项目不接受联合体投标；</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ascii="宋体" w:hAnsi="宋体" w:eastAsia="宋体" w:cs="宋体"/>
                <w:color w:val="000000"/>
              </w:rPr>
              <w:t>6</w:t>
            </w:r>
            <w:r>
              <w:rPr>
                <w:rFonts w:hint="eastAsia" w:ascii="宋体" w:hAnsi="宋体" w:eastAsia="宋体" w:cs="宋体"/>
                <w:color w:val="000000"/>
              </w:rPr>
              <w:t>、单位负责人为同一人或者存在直接控股、管理关系的不同投标人，不得同时参加本项目的竞争。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8</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磋商响应</w:t>
            </w:r>
            <w:r>
              <w:rPr>
                <w:rFonts w:cs="Arial" w:asciiTheme="minorEastAsia" w:hAnsiTheme="minorEastAsia" w:eastAsiaTheme="minorEastAsia"/>
                <w:sz w:val="24"/>
                <w:szCs w:val="24"/>
              </w:rPr>
              <w:t>有效期：</w:t>
            </w:r>
            <w:r>
              <w:rPr>
                <w:rFonts w:hint="eastAsia" w:cs="Arial" w:asciiTheme="minorEastAsia" w:hAnsiTheme="minorEastAsia" w:eastAsiaTheme="minorEastAsia"/>
                <w:sz w:val="24"/>
                <w:szCs w:val="24"/>
              </w:rPr>
              <w:t>60</w:t>
            </w:r>
            <w:r>
              <w:rPr>
                <w:rFonts w:cs="Arial" w:asciiTheme="minorEastAsia" w:hAnsiTheme="minorEastAsia" w:eastAsiaTheme="minorEastAsia"/>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9</w:t>
            </w:r>
          </w:p>
        </w:tc>
        <w:tc>
          <w:tcPr>
            <w:tcW w:w="8493" w:type="dxa"/>
            <w:tcBorders>
              <w:top w:val="single" w:color="auto" w:sz="4" w:space="0"/>
              <w:left w:val="single" w:color="auto" w:sz="4" w:space="0"/>
              <w:bottom w:val="single" w:color="auto" w:sz="4" w:space="0"/>
              <w:right w:val="single" w:color="auto" w:sz="4" w:space="0"/>
            </w:tcBorders>
            <w:vAlign w:val="center"/>
          </w:tcPr>
          <w:p>
            <w:pPr>
              <w:pStyle w:val="101"/>
              <w:pageBreakBefore w:val="0"/>
              <w:kinsoku/>
              <w:wordWrap/>
              <w:topLinePunct w:val="0"/>
              <w:bidi w:val="0"/>
              <w:snapToGrid w:val="0"/>
              <w:spacing w:beforeAutospacing="0" w:afterAutospacing="0" w:line="400" w:lineRule="exact"/>
              <w:ind w:left="0" w:leftChars="0" w:right="0" w:rightChars="0"/>
              <w:rPr>
                <w:rFonts w:hint="eastAsia" w:cs="Arial" w:asciiTheme="minorEastAsia" w:hAnsiTheme="minorEastAsia" w:eastAsiaTheme="minorEastAsia"/>
                <w:color w:val="auto"/>
                <w:highlight w:val="none"/>
              </w:rPr>
            </w:pPr>
            <w:r>
              <w:rPr>
                <w:rFonts w:hint="eastAsia" w:cs="Arial" w:asciiTheme="minorEastAsia" w:hAnsiTheme="minorEastAsia" w:eastAsiaTheme="minorEastAsia"/>
                <w:color w:val="auto"/>
                <w:highlight w:val="none"/>
              </w:rPr>
              <w:t>维保服务期限</w:t>
            </w:r>
            <w:r>
              <w:rPr>
                <w:rFonts w:hint="eastAsia" w:cs="Arial" w:asciiTheme="minorEastAsia" w:hAnsiTheme="minorEastAsia" w:eastAsiaTheme="minorEastAsia"/>
                <w:color w:val="auto"/>
                <w:highlight w:val="none"/>
                <w:lang w:eastAsia="zh-CN"/>
              </w:rPr>
              <w:t>：</w:t>
            </w:r>
            <w:r>
              <w:rPr>
                <w:rFonts w:hint="eastAsia" w:cs="Arial" w:asciiTheme="minorEastAsia" w:hAnsiTheme="minorEastAsia" w:eastAsiaTheme="minorEastAsia"/>
                <w:color w:val="auto"/>
                <w:highlight w:val="none"/>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10</w:t>
            </w:r>
          </w:p>
        </w:tc>
        <w:tc>
          <w:tcPr>
            <w:tcW w:w="8493" w:type="dxa"/>
            <w:tcBorders>
              <w:top w:val="single" w:color="auto" w:sz="4" w:space="0"/>
              <w:left w:val="single" w:color="auto" w:sz="4" w:space="0"/>
              <w:bottom w:val="single" w:color="auto" w:sz="4" w:space="0"/>
              <w:right w:val="single" w:color="auto" w:sz="4" w:space="0"/>
            </w:tcBorders>
            <w:vAlign w:val="center"/>
          </w:tcPr>
          <w:p>
            <w:pPr>
              <w:pStyle w:val="101"/>
              <w:pageBreakBefore w:val="0"/>
              <w:kinsoku/>
              <w:wordWrap/>
              <w:topLinePunct w:val="0"/>
              <w:bidi w:val="0"/>
              <w:snapToGrid w:val="0"/>
              <w:spacing w:beforeAutospacing="0" w:afterAutospacing="0" w:line="400" w:lineRule="exact"/>
              <w:ind w:left="0" w:leftChars="0" w:right="0" w:rightChars="0"/>
              <w:rPr>
                <w:rFonts w:hint="eastAsia" w:cs="Arial" w:asciiTheme="minorEastAsia" w:hAnsiTheme="minorEastAsia" w:eastAsiaTheme="minorEastAsia"/>
                <w:color w:val="auto"/>
              </w:rPr>
            </w:pPr>
            <w:r>
              <w:rPr>
                <w:rFonts w:hint="eastAsia" w:cs="Arial" w:asciiTheme="minorEastAsia" w:hAnsiTheme="minorEastAsia" w:eastAsiaTheme="minorEastAsia"/>
                <w:color w:val="auto"/>
              </w:rPr>
              <w:t>采购预算：</w:t>
            </w:r>
            <w:r>
              <w:rPr>
                <w:rFonts w:hint="eastAsia" w:cs="Arial" w:asciiTheme="minorEastAsia" w:hAnsiTheme="minorEastAsia" w:eastAsiaTheme="minorEastAsia"/>
                <w:color w:val="auto"/>
                <w:lang w:eastAsia="zh-CN"/>
              </w:rPr>
              <w:t>1250000.00</w:t>
            </w:r>
            <w:r>
              <w:rPr>
                <w:rFonts w:hint="eastAsia" w:cs="Arial" w:asciiTheme="minorEastAsia" w:hAnsiTheme="minorEastAsia" w:eastAsiaTheme="minorEastAsia"/>
                <w:color w:val="auto"/>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11</w:t>
            </w:r>
          </w:p>
        </w:tc>
        <w:tc>
          <w:tcPr>
            <w:tcW w:w="8493" w:type="dxa"/>
            <w:tcBorders>
              <w:top w:val="single" w:color="auto" w:sz="4" w:space="0"/>
              <w:left w:val="single" w:color="auto" w:sz="4" w:space="0"/>
              <w:bottom w:val="single" w:color="auto" w:sz="4" w:space="0"/>
              <w:right w:val="single" w:color="auto" w:sz="4" w:space="0"/>
            </w:tcBorders>
            <w:vAlign w:val="center"/>
          </w:tcPr>
          <w:p>
            <w:pPr>
              <w:pStyle w:val="101"/>
              <w:pageBreakBefore w:val="0"/>
              <w:kinsoku/>
              <w:wordWrap/>
              <w:topLinePunct w:val="0"/>
              <w:bidi w:val="0"/>
              <w:snapToGrid w:val="0"/>
              <w:spacing w:beforeAutospacing="0" w:afterAutospacing="0" w:line="400" w:lineRule="exact"/>
              <w:ind w:left="0" w:leftChars="0" w:right="0" w:rightChars="0"/>
              <w:rPr>
                <w:rFonts w:cs="Arial" w:asciiTheme="minorEastAsia" w:hAnsiTheme="minorEastAsia" w:eastAsiaTheme="minorEastAsia"/>
                <w:color w:val="auto"/>
                <w:highlight w:val="none"/>
              </w:rPr>
            </w:pPr>
            <w:r>
              <w:rPr>
                <w:rFonts w:hint="eastAsia" w:cs="Arial" w:asciiTheme="minorEastAsia" w:hAnsiTheme="minorEastAsia" w:eastAsiaTheme="minorEastAsia"/>
                <w:color w:val="auto"/>
                <w:highlight w:val="none"/>
              </w:rPr>
              <w:t>付款方式：具体签订合同时约定。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12</w:t>
            </w:r>
          </w:p>
        </w:tc>
        <w:tc>
          <w:tcPr>
            <w:tcW w:w="8493" w:type="dxa"/>
            <w:tcBorders>
              <w:top w:val="single" w:color="auto" w:sz="4" w:space="0"/>
              <w:left w:val="single" w:color="auto" w:sz="4" w:space="0"/>
              <w:bottom w:val="single" w:color="auto" w:sz="4" w:space="0"/>
              <w:right w:val="single" w:color="auto" w:sz="4" w:space="0"/>
            </w:tcBorders>
            <w:vAlign w:val="center"/>
          </w:tcPr>
          <w:p>
            <w:pPr>
              <w:pStyle w:val="101"/>
              <w:pageBreakBefore w:val="0"/>
              <w:kinsoku/>
              <w:wordWrap/>
              <w:topLinePunct w:val="0"/>
              <w:bidi w:val="0"/>
              <w:snapToGrid w:val="0"/>
              <w:spacing w:beforeAutospacing="0" w:afterAutospacing="0" w:line="400" w:lineRule="exact"/>
              <w:ind w:left="0" w:leftChars="0" w:right="0" w:rightChars="0"/>
              <w:rPr>
                <w:rFonts w:cs="Arial" w:asciiTheme="minorEastAsia" w:hAnsiTheme="minorEastAsia" w:eastAsiaTheme="minorEastAsia"/>
                <w:color w:val="auto"/>
                <w:highlight w:val="none"/>
              </w:rPr>
            </w:pPr>
            <w:r>
              <w:rPr>
                <w:rFonts w:hint="eastAsia" w:cs="Arial" w:asciiTheme="minorEastAsia" w:hAnsiTheme="minorEastAsia" w:eastAsiaTheme="minorEastAsia"/>
                <w:color w:val="auto"/>
                <w:highlight w:val="none"/>
              </w:rPr>
              <w:t>质保期：</w:t>
            </w:r>
            <w:r>
              <w:rPr>
                <w:rFonts w:hint="eastAsia" w:cs="Arial" w:asciiTheme="minorEastAsia" w:hAnsiTheme="minorEastAsia" w:eastAsiaTheme="minorEastAsia"/>
                <w:color w:val="auto"/>
                <w:highlight w:val="none"/>
                <w:lang w:val="en-US" w:eastAsia="zh-CN"/>
              </w:rPr>
              <w:t>1</w:t>
            </w:r>
            <w:r>
              <w:rPr>
                <w:rFonts w:hint="eastAsia" w:cs="Arial" w:asciiTheme="minorEastAsia" w:hAnsiTheme="minorEastAsia" w:eastAsiaTheme="minorEastAsia"/>
                <w:color w:val="auto"/>
                <w:highlight w:val="none"/>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13</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宋体" w:hAnsi="宋体"/>
                <w:color w:val="000000"/>
                <w:kern w:val="0"/>
                <w:sz w:val="24"/>
                <w:szCs w:val="24"/>
              </w:rPr>
            </w:pPr>
            <w:r>
              <w:rPr>
                <w:rFonts w:hint="eastAsia" w:ascii="宋体" w:hAnsi="宋体"/>
                <w:color w:val="000000"/>
                <w:kern w:val="0"/>
                <w:sz w:val="24"/>
                <w:szCs w:val="24"/>
              </w:rPr>
              <w:t>相同品牌产品参加投标处理办法：</w:t>
            </w:r>
          </w:p>
          <w:p>
            <w:pPr>
              <w:pageBreakBefore w:val="0"/>
              <w:kinsoku/>
              <w:wordWrap/>
              <w:topLinePunct w:val="0"/>
              <w:bidi w:val="0"/>
              <w:spacing w:beforeAutospacing="0" w:afterAutospacing="0" w:line="400" w:lineRule="exact"/>
              <w:ind w:left="0" w:leftChars="0" w:right="0" w:rightChars="0" w:firstLine="480" w:firstLineChars="200"/>
              <w:rPr>
                <w:rFonts w:ascii="宋体" w:hAnsi="宋体"/>
                <w:color w:val="000000"/>
                <w:kern w:val="0"/>
                <w:sz w:val="24"/>
                <w:szCs w:val="24"/>
              </w:rPr>
            </w:pPr>
            <w:r>
              <w:rPr>
                <w:rFonts w:hint="eastAsia" w:ascii="宋体" w:hAnsi="宋体"/>
                <w:color w:val="000000"/>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kinsoku/>
              <w:wordWrap/>
              <w:topLinePunct w:val="0"/>
              <w:bidi w:val="0"/>
              <w:spacing w:beforeAutospacing="0" w:afterAutospacing="0" w:line="400" w:lineRule="exact"/>
              <w:ind w:left="0" w:leftChars="0" w:right="0" w:rightChars="0" w:firstLine="480" w:firstLineChars="200"/>
              <w:rPr>
                <w:rFonts w:cs="Arial" w:asciiTheme="minorEastAsia" w:hAnsiTheme="minorEastAsia" w:eastAsiaTheme="minorEastAsia"/>
              </w:rPr>
            </w:pPr>
            <w:r>
              <w:rPr>
                <w:rFonts w:hint="eastAsia" w:ascii="宋体" w:hAnsi="宋体"/>
                <w:color w:val="000000"/>
                <w:kern w:val="0"/>
                <w:sz w:val="24"/>
                <w:szCs w:val="24"/>
              </w:rPr>
              <w:t>非单一产品采购项目，采购人应当根据采购项目技术构成、产品价格比重等合理确定核心产品，并在招标文件中载明。多家投标人提供的核心产品品牌相同的，按前款规定处理。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14</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*采购人将对供应商进行资格初审。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15</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b/>
                <w:bCs/>
                <w:color w:val="000000"/>
                <w:sz w:val="24"/>
                <w:szCs w:val="24"/>
              </w:rPr>
            </w:pPr>
            <w:r>
              <w:rPr>
                <w:rFonts w:hint="eastAsia" w:cs="Arial" w:asciiTheme="minorEastAsia" w:hAnsiTheme="minorEastAsia" w:eastAsiaTheme="minorEastAsia"/>
                <w:b/>
                <w:bCs/>
                <w:color w:val="000000"/>
                <w:sz w:val="24"/>
                <w:szCs w:val="24"/>
              </w:rPr>
              <w:t>*资格审查：</w:t>
            </w:r>
          </w:p>
          <w:p>
            <w:pPr>
              <w:pStyle w:val="30"/>
              <w:pageBreakBefore w:val="0"/>
              <w:kinsoku/>
              <w:wordWrap/>
              <w:topLinePunct w:val="0"/>
              <w:bidi w:val="0"/>
              <w:spacing w:before="0" w:beforeAutospacing="0" w:after="0" w:afterAutospacing="0" w:line="400" w:lineRule="exact"/>
              <w:ind w:right="0" w:rightChars="0"/>
              <w:rPr>
                <w:rFonts w:ascii="宋体" w:hAnsi="宋体" w:eastAsia="宋体" w:cs="宋体"/>
              </w:rPr>
            </w:pPr>
            <w:r>
              <w:rPr>
                <w:rFonts w:hint="eastAsia" w:ascii="宋体" w:hAnsi="宋体" w:eastAsia="宋体" w:cs="宋体"/>
                <w:color w:val="000000"/>
              </w:rPr>
              <w:t>1、供应商提供有效的统一社会信用代码的营业执照，供应商必须是中华人民共和国境内注册的，具有独立承担民事责任的能力；</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2、供应商提供法人授权委托书及被授权人身份证原件； </w:t>
            </w:r>
          </w:p>
          <w:p>
            <w:pPr>
              <w:pStyle w:val="30"/>
              <w:pageBreakBefore w:val="0"/>
              <w:kinsoku/>
              <w:wordWrap/>
              <w:topLinePunct w:val="0"/>
              <w:bidi w:val="0"/>
              <w:spacing w:before="0" w:beforeAutospacing="0" w:after="0" w:afterAutospacing="0" w:line="400" w:lineRule="exact"/>
              <w:ind w:left="0" w:leftChars="0" w:right="0" w:rightChars="0"/>
              <w:rPr>
                <w:rFonts w:ascii="宋体" w:hAnsi="宋体" w:eastAsia="宋体" w:cs="宋体"/>
              </w:rPr>
            </w:pPr>
            <w:r>
              <w:rPr>
                <w:rFonts w:hint="eastAsia" w:ascii="宋体" w:hAnsi="宋体" w:eastAsia="宋体" w:cs="宋体"/>
                <w:color w:val="000000"/>
              </w:rPr>
              <w:t>3、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ageBreakBefore w:val="0"/>
              <w:kinsoku/>
              <w:wordWrap/>
              <w:topLinePunct w:val="0"/>
              <w:bidi w:val="0"/>
              <w:spacing w:beforeAutospacing="0" w:afterAutospacing="0" w:line="400" w:lineRule="exact"/>
              <w:ind w:left="0" w:leftChars="0" w:right="0" w:rightChars="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4</w:t>
            </w:r>
            <w:r>
              <w:rPr>
                <w:rFonts w:hint="eastAsia" w:asciiTheme="minorEastAsia" w:hAnsiTheme="minorEastAsia" w:eastAsiaTheme="minorEastAsia"/>
                <w:color w:val="000000"/>
                <w:sz w:val="24"/>
                <w:szCs w:val="24"/>
              </w:rPr>
              <w:t>、投标保证金</w:t>
            </w:r>
            <w:r>
              <w:rPr>
                <w:rFonts w:hint="eastAsia" w:asciiTheme="minorEastAsia" w:hAnsiTheme="minorEastAsia" w:eastAsiaTheme="minorEastAsia"/>
                <w:color w:val="000000"/>
                <w:sz w:val="24"/>
                <w:szCs w:val="24"/>
                <w:lang w:eastAsia="zh-CN"/>
              </w:rPr>
              <w:t>拼凭证</w:t>
            </w:r>
            <w:r>
              <w:rPr>
                <w:rFonts w:hint="eastAsia" w:asciiTheme="minorEastAsia" w:hAnsiTheme="minorEastAsia" w:eastAsiaTheme="minorEastAsia"/>
                <w:color w:val="000000"/>
                <w:sz w:val="24"/>
                <w:szCs w:val="24"/>
              </w:rPr>
              <w:t>。</w:t>
            </w:r>
          </w:p>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注：</w:t>
            </w:r>
            <w:r>
              <w:rPr>
                <w:rFonts w:hint="eastAsia" w:ascii="宋体" w:hAnsi="宋体"/>
                <w:b/>
                <w:sz w:val="24"/>
              </w:rPr>
              <w:t>营业执照、保证金收据、法人授权委托书及被授权人身份证（如为法人投标，提供法人身份证明和身份证）为原件单独提交审核；其他</w:t>
            </w:r>
            <w:r>
              <w:rPr>
                <w:rFonts w:hint="eastAsia" w:ascii="宋体" w:hAnsi="宋体" w:cs="宋体"/>
                <w:b/>
                <w:bCs/>
                <w:color w:val="000000"/>
                <w:sz w:val="24"/>
                <w:szCs w:val="24"/>
              </w:rPr>
              <w:t>资格审查</w:t>
            </w:r>
            <w:r>
              <w:rPr>
                <w:rFonts w:hint="eastAsia" w:ascii="宋体" w:hAnsi="宋体"/>
                <w:b/>
                <w:sz w:val="24"/>
              </w:rPr>
              <w:t>为复印件加盖公章单独提交审核（资格审查文件开标会议现场提交供采购人检查），并将所有资格审查复印件胶装在投标文件中，不合格或缺少一项将被认为资格审查不合格，将取消其竞标资格。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16</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磋商</w:t>
            </w:r>
            <w:r>
              <w:rPr>
                <w:rFonts w:cs="Arial" w:asciiTheme="minorEastAsia" w:hAnsiTheme="minorEastAsia" w:eastAsiaTheme="minorEastAsia"/>
                <w:color w:val="000000"/>
                <w:sz w:val="24"/>
                <w:szCs w:val="24"/>
              </w:rPr>
              <w:t>响应</w:t>
            </w:r>
            <w:r>
              <w:rPr>
                <w:rFonts w:hint="eastAsia" w:cs="Arial" w:asciiTheme="minorEastAsia" w:hAnsiTheme="minorEastAsia" w:eastAsiaTheme="minorEastAsia"/>
                <w:color w:val="000000"/>
                <w:sz w:val="24"/>
                <w:szCs w:val="24"/>
              </w:rPr>
              <w:t>性</w:t>
            </w:r>
            <w:r>
              <w:rPr>
                <w:rFonts w:cs="Arial" w:asciiTheme="minorEastAsia" w:hAnsiTheme="minorEastAsia" w:eastAsiaTheme="minorEastAsia"/>
                <w:color w:val="000000"/>
                <w:sz w:val="24"/>
                <w:szCs w:val="24"/>
              </w:rPr>
              <w:t>文件：正本</w:t>
            </w:r>
            <w:r>
              <w:rPr>
                <w:rFonts w:hint="eastAsia" w:cs="Arial" w:asciiTheme="minorEastAsia" w:hAnsiTheme="minorEastAsia" w:eastAsiaTheme="minorEastAsia"/>
                <w:color w:val="000000"/>
                <w:sz w:val="24"/>
                <w:szCs w:val="24"/>
              </w:rPr>
              <w:t>1份</w:t>
            </w:r>
            <w:r>
              <w:rPr>
                <w:rFonts w:cs="Arial" w:asciiTheme="minorEastAsia" w:hAnsiTheme="minorEastAsia" w:eastAsiaTheme="minorEastAsia"/>
                <w:color w:val="000000"/>
                <w:sz w:val="24"/>
                <w:szCs w:val="24"/>
              </w:rPr>
              <w:t>，副本</w:t>
            </w:r>
            <w:r>
              <w:rPr>
                <w:rFonts w:hint="eastAsia" w:cs="Arial" w:asciiTheme="minorEastAsia" w:hAnsiTheme="minorEastAsia" w:eastAsiaTheme="minorEastAsia"/>
                <w:color w:val="000000"/>
                <w:sz w:val="24"/>
                <w:szCs w:val="24"/>
                <w:lang w:val="en-US" w:eastAsia="zh-CN"/>
              </w:rPr>
              <w:t>2</w:t>
            </w:r>
            <w:r>
              <w:rPr>
                <w:rFonts w:hint="eastAsia" w:cs="Arial" w:asciiTheme="minorEastAsia" w:hAnsiTheme="minorEastAsia" w:eastAsiaTheme="minorEastAsia"/>
                <w:color w:val="000000"/>
                <w:sz w:val="24"/>
                <w:szCs w:val="24"/>
              </w:rPr>
              <w:t>份，开标一览表1份，</w:t>
            </w:r>
            <w:r>
              <w:rPr>
                <w:rFonts w:hint="eastAsia" w:ascii="宋体" w:hAnsi="宋体" w:cs="宋体"/>
                <w:color w:val="000000"/>
                <w:sz w:val="24"/>
                <w:szCs w:val="24"/>
              </w:rPr>
              <w:t>电子版U盘1份</w:t>
            </w:r>
            <w:r>
              <w:rPr>
                <w:rFonts w:hint="eastAsia" w:ascii="宋体" w:hAnsi="宋体" w:cs="宋体"/>
                <w:color w:val="000000"/>
                <w:sz w:val="24"/>
                <w:szCs w:val="24"/>
                <w:lang w:eastAsia="zh-CN"/>
              </w:rPr>
              <w:t>、光盘</w:t>
            </w:r>
            <w:r>
              <w:rPr>
                <w:rFonts w:hint="eastAsia" w:ascii="宋体" w:hAnsi="宋体" w:cs="宋体"/>
                <w:color w:val="000000"/>
                <w:sz w:val="24"/>
                <w:szCs w:val="24"/>
                <w:lang w:val="en-US" w:eastAsia="zh-CN"/>
              </w:rPr>
              <w:t>1份</w:t>
            </w:r>
            <w:r>
              <w:rPr>
                <w:rFonts w:hint="eastAsia" w:ascii="宋体" w:hAnsi="宋体" w:cs="宋体"/>
                <w:color w:val="000000"/>
                <w:sz w:val="24"/>
                <w:szCs w:val="24"/>
              </w:rPr>
              <w:t>（电子版必须是签字、盖章后的扫描件）。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17</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磋商</w:t>
            </w:r>
            <w:r>
              <w:rPr>
                <w:rFonts w:cs="Arial" w:asciiTheme="minorEastAsia" w:hAnsiTheme="minorEastAsia" w:eastAsiaTheme="minorEastAsia"/>
                <w:sz w:val="24"/>
                <w:szCs w:val="24"/>
              </w:rPr>
              <w:t>响应</w:t>
            </w:r>
            <w:r>
              <w:rPr>
                <w:rFonts w:hint="eastAsia" w:cs="Arial" w:asciiTheme="minorEastAsia" w:hAnsiTheme="minorEastAsia" w:eastAsiaTheme="minorEastAsia"/>
                <w:sz w:val="24"/>
                <w:szCs w:val="24"/>
              </w:rPr>
              <w:t>性</w:t>
            </w:r>
            <w:r>
              <w:rPr>
                <w:rFonts w:cs="Arial" w:asciiTheme="minorEastAsia" w:hAnsiTheme="minorEastAsia" w:eastAsiaTheme="minorEastAsia"/>
                <w:sz w:val="24"/>
                <w:szCs w:val="24"/>
              </w:rPr>
              <w:t>文件递交截止时间：</w:t>
            </w:r>
            <w:r>
              <w:rPr>
                <w:rFonts w:hint="eastAsia" w:cs="Arial" w:asciiTheme="minorEastAsia" w:hAnsiTheme="minorEastAsia" w:eastAsiaTheme="minorEastAsia"/>
                <w:sz w:val="24"/>
                <w:szCs w:val="24"/>
                <w:lang w:eastAsia="zh-CN"/>
              </w:rPr>
              <w:t>2022年5月</w:t>
            </w:r>
            <w:r>
              <w:rPr>
                <w:rFonts w:hint="eastAsia" w:cs="Arial" w:asciiTheme="minorEastAsia" w:hAnsiTheme="minorEastAsia" w:eastAsiaTheme="minorEastAsia"/>
                <w:sz w:val="24"/>
                <w:szCs w:val="24"/>
                <w:lang w:val="en-US" w:eastAsia="zh-CN"/>
              </w:rPr>
              <w:t>9</w:t>
            </w:r>
            <w:r>
              <w:rPr>
                <w:rFonts w:hint="eastAsia" w:cs="Arial" w:asciiTheme="minorEastAsia" w:hAnsiTheme="minorEastAsia" w:eastAsiaTheme="minorEastAsia"/>
                <w:sz w:val="24"/>
                <w:szCs w:val="24"/>
                <w:lang w:eastAsia="zh-CN"/>
              </w:rPr>
              <w:t>日 11:00</w:t>
            </w:r>
            <w:r>
              <w:rPr>
                <w:rFonts w:cs="Arial" w:asciiTheme="minorEastAsia" w:hAnsiTheme="minorEastAsia" w:eastAsiaTheme="minorEastAsia"/>
                <w:sz w:val="24"/>
                <w:szCs w:val="24"/>
              </w:rPr>
              <w:t>（北京时间）</w:t>
            </w:r>
          </w:p>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磋商</w:t>
            </w:r>
            <w:r>
              <w:rPr>
                <w:rFonts w:cs="Arial" w:asciiTheme="minorEastAsia" w:hAnsiTheme="minorEastAsia" w:eastAsiaTheme="minorEastAsia"/>
                <w:sz w:val="24"/>
                <w:szCs w:val="24"/>
              </w:rPr>
              <w:t>响应</w:t>
            </w:r>
            <w:r>
              <w:rPr>
                <w:rFonts w:hint="eastAsia" w:cs="Arial" w:asciiTheme="minorEastAsia" w:hAnsiTheme="minorEastAsia" w:eastAsiaTheme="minorEastAsia"/>
                <w:sz w:val="24"/>
                <w:szCs w:val="24"/>
              </w:rPr>
              <w:t>性</w:t>
            </w:r>
            <w:r>
              <w:rPr>
                <w:rFonts w:cs="Arial" w:asciiTheme="minorEastAsia" w:hAnsiTheme="minorEastAsia" w:eastAsiaTheme="minorEastAsia"/>
                <w:sz w:val="24"/>
                <w:szCs w:val="24"/>
              </w:rPr>
              <w:t>文件以密封形式递交至：</w:t>
            </w:r>
            <w:r>
              <w:rPr>
                <w:rFonts w:hint="eastAsia" w:cs="Arial" w:asciiTheme="minorEastAsia" w:hAnsiTheme="minorEastAsia" w:eastAsiaTheme="minorEastAsia"/>
                <w:sz w:val="24"/>
                <w:szCs w:val="24"/>
                <w:lang w:eastAsia="zh-CN"/>
              </w:rPr>
              <w:t>乌鲁木齐水磨沟区红光山路万科大都会8号楼1202室</w:t>
            </w:r>
            <w:r>
              <w:rPr>
                <w:rFonts w:hint="eastAsia" w:cs="Arial" w:asciiTheme="minorEastAsia" w:hAnsiTheme="minorEastAsia" w:eastAsia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18</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磋商</w:t>
            </w:r>
            <w:r>
              <w:rPr>
                <w:rFonts w:cs="Arial" w:asciiTheme="minorEastAsia" w:hAnsiTheme="minorEastAsia" w:eastAsiaTheme="minorEastAsia"/>
                <w:sz w:val="24"/>
                <w:szCs w:val="24"/>
              </w:rPr>
              <w:t>日期：</w:t>
            </w:r>
            <w:r>
              <w:rPr>
                <w:rFonts w:hint="eastAsia" w:cs="Arial" w:asciiTheme="minorEastAsia" w:hAnsiTheme="minorEastAsia" w:eastAsiaTheme="minorEastAsia"/>
                <w:sz w:val="24"/>
                <w:szCs w:val="24"/>
                <w:lang w:eastAsia="zh-CN"/>
              </w:rPr>
              <w:t>2022年5月</w:t>
            </w:r>
            <w:r>
              <w:rPr>
                <w:rFonts w:hint="eastAsia" w:cs="Arial" w:asciiTheme="minorEastAsia" w:hAnsiTheme="minorEastAsia" w:eastAsiaTheme="minorEastAsia"/>
                <w:sz w:val="24"/>
                <w:szCs w:val="24"/>
                <w:lang w:val="en-US" w:eastAsia="zh-CN"/>
              </w:rPr>
              <w:t>9</w:t>
            </w:r>
            <w:r>
              <w:rPr>
                <w:rFonts w:hint="eastAsia" w:cs="Arial" w:asciiTheme="minorEastAsia" w:hAnsiTheme="minorEastAsia" w:eastAsiaTheme="minorEastAsia"/>
                <w:sz w:val="24"/>
                <w:szCs w:val="24"/>
                <w:lang w:eastAsia="zh-CN"/>
              </w:rPr>
              <w:t>日 11:00</w:t>
            </w:r>
            <w:r>
              <w:rPr>
                <w:rFonts w:cs="Arial" w:asciiTheme="minorEastAsia" w:hAnsiTheme="minorEastAsia" w:eastAsiaTheme="minorEastAsia"/>
                <w:sz w:val="24"/>
                <w:szCs w:val="24"/>
              </w:rPr>
              <w:t>（北京时间）</w:t>
            </w:r>
          </w:p>
          <w:p>
            <w:pPr>
              <w:pageBreakBefore w:val="0"/>
              <w:kinsoku/>
              <w:wordWrap/>
              <w:topLinePunct w:val="0"/>
              <w:bidi w:val="0"/>
              <w:spacing w:beforeAutospacing="0" w:afterAutospacing="0" w:line="400" w:lineRule="exact"/>
              <w:ind w:left="0" w:leftChars="0" w:right="0" w:rightChars="0"/>
              <w:rPr>
                <w:rFonts w:hint="eastAsia"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rPr>
              <w:t>磋商</w:t>
            </w:r>
            <w:r>
              <w:rPr>
                <w:rFonts w:cs="Arial" w:asciiTheme="minorEastAsia" w:hAnsiTheme="minorEastAsia" w:eastAsiaTheme="minorEastAsia"/>
                <w:sz w:val="24"/>
                <w:szCs w:val="24"/>
              </w:rPr>
              <w:t>地点：</w:t>
            </w:r>
            <w:r>
              <w:rPr>
                <w:rFonts w:hint="eastAsia" w:cs="Arial" w:asciiTheme="minorEastAsia" w:hAnsiTheme="minorEastAsia" w:eastAsiaTheme="minorEastAsia"/>
                <w:sz w:val="24"/>
                <w:szCs w:val="24"/>
                <w:lang w:eastAsia="zh-CN"/>
              </w:rPr>
              <w:t>乌鲁木齐水磨沟区红光山路万科大都会8号楼1202室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1"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19</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投标人要求澄清磋商文件的截止时间：</w:t>
            </w:r>
          </w:p>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递交磋商响应性文件截止之日3天前。如未收到投标单位的书面要求，视为投标人完全认同磋商文件内容，不得再对磋商文件内容提出质疑或疑问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20</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报价方式：二轮报价（第二轮报价为最终报价）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21</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napToGrid w:val="0"/>
              <w:spacing w:beforeAutospacing="0" w:afterAutospacing="0" w:line="400" w:lineRule="exact"/>
              <w:ind w:left="0" w:leftChars="0" w:right="0" w:rightChars="0"/>
              <w:rPr>
                <w:rFonts w:asciiTheme="minorEastAsia" w:hAnsiTheme="minorEastAsia" w:eastAsiaTheme="minorEastAsia"/>
                <w:bCs/>
                <w:sz w:val="24"/>
                <w:szCs w:val="24"/>
              </w:rPr>
            </w:pPr>
            <w:r>
              <w:rPr>
                <w:rFonts w:hint="eastAsia" w:asciiTheme="minorEastAsia" w:hAnsiTheme="minorEastAsia" w:eastAsiaTheme="minorEastAsia"/>
                <w:bCs/>
                <w:sz w:val="24"/>
                <w:szCs w:val="24"/>
              </w:rPr>
              <w:t>特别说明：</w:t>
            </w:r>
          </w:p>
          <w:p>
            <w:pPr>
              <w:pageBreakBefore w:val="0"/>
              <w:kinsoku/>
              <w:wordWrap/>
              <w:topLinePunct w:val="0"/>
              <w:bidi w:val="0"/>
              <w:snapToGrid w:val="0"/>
              <w:spacing w:beforeAutospacing="0" w:afterAutospacing="0" w:line="400" w:lineRule="exact"/>
              <w:ind w:left="0" w:leftChars="0" w:right="0" w:rightChars="0"/>
              <w:rPr>
                <w:rFonts w:asciiTheme="minorEastAsia" w:hAnsiTheme="minorEastAsia" w:eastAsiaTheme="minorEastAsia"/>
                <w:bCs/>
                <w:sz w:val="24"/>
                <w:szCs w:val="24"/>
              </w:rPr>
            </w:pPr>
            <w:r>
              <w:rPr>
                <w:rFonts w:hint="eastAsia" w:asciiTheme="minorEastAsia" w:hAnsiTheme="minorEastAsia" w:eastAsiaTheme="minorEastAsia"/>
                <w:bCs/>
                <w:sz w:val="24"/>
                <w:szCs w:val="24"/>
              </w:rPr>
              <w:t>1.为保证本项目质量，良好的售后服务，最低报价不作为中标的唯一依据。</w:t>
            </w:r>
          </w:p>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color w:val="000000"/>
                <w:sz w:val="24"/>
                <w:szCs w:val="24"/>
              </w:rPr>
            </w:pPr>
            <w:r>
              <w:rPr>
                <w:rFonts w:hint="eastAsia" w:asciiTheme="minorEastAsia" w:hAnsiTheme="minorEastAsia" w:eastAsiaTheme="minorEastAsia"/>
                <w:sz w:val="24"/>
                <w:szCs w:val="24"/>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22</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一、小微企业（监狱企业、残疾人福利性单位视同小微企业）价格扣除</w:t>
            </w:r>
          </w:p>
          <w:p>
            <w:pPr>
              <w:pageBreakBefore w:val="0"/>
              <w:kinsoku/>
              <w:wordWrap/>
              <w:topLinePunct w:val="0"/>
              <w:bidi w:val="0"/>
              <w:spacing w:beforeAutospacing="0" w:afterAutospacing="0" w:line="400" w:lineRule="exact"/>
              <w:ind w:left="0" w:leftChars="0" w:right="0" w:right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1、根据《政府采购促进中小企业发展管理办法》（财库﹝2020﹞46 号）的规定，对小型和微型企业产品的价格给予 6%的价格扣除，用扣除后的价格参与评审。</w:t>
            </w:r>
          </w:p>
          <w:p>
            <w:pPr>
              <w:pageBreakBefore w:val="0"/>
              <w:kinsoku/>
              <w:wordWrap/>
              <w:topLinePunct w:val="0"/>
              <w:bidi w:val="0"/>
              <w:spacing w:beforeAutospacing="0" w:afterAutospacing="0" w:line="400" w:lineRule="exact"/>
              <w:ind w:left="0" w:leftChars="0" w:right="0" w:right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2、参加政府采购活动的中小微企业应当提供《中小企业声明函》、《残疾人福利性单位声明函》原件。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23</w:t>
            </w:r>
          </w:p>
        </w:tc>
        <w:tc>
          <w:tcPr>
            <w:tcW w:w="849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1、若所列产品属于政府强制采购的节能产品，须提供政府最新一期的节能清单。</w:t>
            </w:r>
          </w:p>
          <w:p>
            <w:pPr>
              <w:pageBreakBefore w:val="0"/>
              <w:kinsoku/>
              <w:wordWrap/>
              <w:topLinePunct w:val="0"/>
              <w:bidi w:val="0"/>
              <w:spacing w:beforeAutospacing="0" w:afterAutospacing="0" w:line="400" w:lineRule="exact"/>
              <w:ind w:left="0" w:leftChars="0" w:right="0" w:right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2、节能政策：在技术、服务等指标同等条件下，优先采购属于国家公布的节能清单中产品；</w:t>
            </w:r>
          </w:p>
          <w:p>
            <w:pPr>
              <w:pageBreakBefore w:val="0"/>
              <w:kinsoku/>
              <w:wordWrap/>
              <w:topLinePunct w:val="0"/>
              <w:bidi w:val="0"/>
              <w:spacing w:beforeAutospacing="0" w:afterAutospacing="0" w:line="400" w:lineRule="exact"/>
              <w:ind w:left="0" w:leftChars="0" w:right="0" w:rightChars="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3、环保政策：在性能、技术、服务等指标同等条件下，优先采购国家公布的环保产品清单中的产品。</w:t>
            </w:r>
          </w:p>
          <w:p>
            <w:pPr>
              <w:pageBreakBefore w:val="0"/>
              <w:kinsoku/>
              <w:wordWrap/>
              <w:topLinePunct w:val="0"/>
              <w:bidi w:val="0"/>
              <w:snapToGrid w:val="0"/>
              <w:spacing w:beforeAutospacing="0" w:afterAutospacing="0" w:line="400" w:lineRule="exact"/>
              <w:ind w:left="0" w:leftChars="0" w:right="0" w:rightChars="0"/>
              <w:rPr>
                <w:rFonts w:asciiTheme="minorEastAsia" w:hAnsiTheme="minorEastAsia" w:eastAsiaTheme="minorEastAsia"/>
                <w:bCs/>
                <w:sz w:val="24"/>
                <w:szCs w:val="24"/>
              </w:rPr>
            </w:pPr>
            <w:r>
              <w:rPr>
                <w:rFonts w:hint="eastAsia" w:cs="宋体" w:asciiTheme="minorEastAsia" w:hAnsiTheme="minorEastAsia" w:eastAsiaTheme="minorEastAsia"/>
                <w:color w:val="000000"/>
                <w:sz w:val="24"/>
                <w:szCs w:val="24"/>
              </w:rPr>
              <w:t>4、扶持不发达地区和少数民族地区政策，按现行有效政策执行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rPr>
                <w:rFonts w:cs="Arial" w:asciiTheme="minorEastAsia" w:hAnsiTheme="minorEastAsia" w:eastAsiaTheme="minorEastAsia"/>
                <w:sz w:val="24"/>
                <w:szCs w:val="24"/>
              </w:rPr>
            </w:pPr>
            <w:r>
              <w:rPr>
                <w:rFonts w:cs="Arial" w:asciiTheme="minorEastAsia" w:hAnsiTheme="minorEastAsia" w:eastAsiaTheme="minorEastAsia"/>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cs="Arial" w:asciiTheme="minorEastAsia" w:hAnsiTheme="minorEastAsia" w:eastAsiaTheme="minorEastAsia"/>
                <w:sz w:val="24"/>
                <w:szCs w:val="24"/>
              </w:rPr>
            </w:pPr>
            <w:r>
              <w:rPr>
                <w:rFonts w:cs="Arial" w:asciiTheme="minorEastAsia" w:hAnsiTheme="minorEastAsia" w:eastAsiaTheme="minorEastAsia"/>
                <w:sz w:val="24"/>
                <w:szCs w:val="24"/>
              </w:rPr>
              <w:t>适用于本供应商须知的额外增加的变动：</w:t>
            </w:r>
            <w:r>
              <w:rPr>
                <w:rFonts w:hint="eastAsia" w:cs="Arial" w:asciiTheme="minorEastAsia" w:hAnsiTheme="minorEastAsia" w:eastAsiaTheme="minorEastAsia"/>
                <w:sz w:val="24"/>
                <w:szCs w:val="24"/>
              </w:rPr>
              <w:t>代理</w:t>
            </w:r>
            <w:r>
              <w:rPr>
                <w:rFonts w:cs="Arial" w:asciiTheme="minorEastAsia" w:hAnsiTheme="minorEastAsia" w:eastAsiaTheme="minorEastAsia"/>
                <w:sz w:val="24"/>
                <w:szCs w:val="24"/>
              </w:rPr>
              <w:t>服务费由成交方向</w:t>
            </w:r>
            <w:r>
              <w:rPr>
                <w:rFonts w:hint="eastAsia" w:cs="Arial" w:asciiTheme="minorEastAsia" w:hAnsiTheme="minorEastAsia" w:eastAsiaTheme="minorEastAsia"/>
                <w:sz w:val="24"/>
                <w:szCs w:val="24"/>
                <w:lang w:eastAsia="zh-CN"/>
              </w:rPr>
              <w:t>宏业国际项目管理有限公司</w:t>
            </w:r>
            <w:r>
              <w:rPr>
                <w:rFonts w:cs="Arial" w:asciiTheme="minorEastAsia" w:hAnsiTheme="minorEastAsia" w:eastAsiaTheme="minorEastAsia"/>
                <w:sz w:val="24"/>
                <w:szCs w:val="24"/>
              </w:rPr>
              <w:t>支付，招标代理服务收费按差额定率累进法计算，</w:t>
            </w:r>
            <w:r>
              <w:rPr>
                <w:rFonts w:hint="eastAsia" w:cs="Arial" w:asciiTheme="minorEastAsia" w:hAnsiTheme="minorEastAsia" w:eastAsiaTheme="minorEastAsia"/>
                <w:sz w:val="24"/>
                <w:szCs w:val="24"/>
              </w:rPr>
              <w:t>（不含税）。</w:t>
            </w:r>
          </w:p>
        </w:tc>
      </w:tr>
    </w:tbl>
    <w:p>
      <w:pPr>
        <w:pStyle w:val="4"/>
        <w:pageBreakBefore w:val="0"/>
        <w:kinsoku/>
        <w:wordWrap/>
        <w:topLinePunct w:val="0"/>
        <w:bidi w:val="0"/>
        <w:spacing w:before="0" w:beforeAutospacing="0" w:after="0" w:afterAutospacing="0" w:line="400" w:lineRule="exact"/>
        <w:ind w:left="0" w:leftChars="0" w:right="0" w:rightChars="0"/>
        <w:jc w:val="center"/>
        <w:rPr>
          <w:rFonts w:eastAsia="宋体" w:cs="Arial"/>
          <w:sz w:val="28"/>
          <w:szCs w:val="28"/>
        </w:rPr>
      </w:pPr>
      <w:r>
        <w:rPr>
          <w:rFonts w:eastAsia="宋体" w:cs="Arial"/>
          <w:sz w:val="28"/>
          <w:szCs w:val="28"/>
        </w:rPr>
        <w:br w:type="page"/>
      </w:r>
      <w:bookmarkStart w:id="17" w:name="_Toc298240405"/>
      <w:bookmarkStart w:id="18" w:name="_Toc349573121"/>
      <w:bookmarkStart w:id="19" w:name="_Toc462223632"/>
      <w:bookmarkStart w:id="20" w:name="_Toc349637920"/>
      <w:bookmarkStart w:id="21" w:name="_Toc267301282"/>
      <w:r>
        <w:rPr>
          <w:rFonts w:hint="eastAsia" w:eastAsia="宋体" w:cs="Arial"/>
          <w:sz w:val="28"/>
          <w:szCs w:val="28"/>
        </w:rPr>
        <w:t>（一）</w:t>
      </w:r>
      <w:r>
        <w:rPr>
          <w:rFonts w:eastAsia="宋体" w:cs="Arial"/>
          <w:sz w:val="28"/>
          <w:szCs w:val="28"/>
        </w:rPr>
        <w:t>说　明</w:t>
      </w:r>
      <w:bookmarkEnd w:id="17"/>
      <w:bookmarkEnd w:id="18"/>
      <w:bookmarkEnd w:id="19"/>
      <w:bookmarkEnd w:id="20"/>
      <w:bookmarkEnd w:id="21"/>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w:t>
      </w:r>
      <w:r>
        <w:rPr>
          <w:rFonts w:hint="eastAsia" w:ascii="Arial" w:hAnsi="Arial" w:cs="Arial"/>
          <w:sz w:val="24"/>
        </w:rPr>
        <w:t>、</w:t>
      </w:r>
      <w:r>
        <w:rPr>
          <w:rFonts w:ascii="Arial" w:hAnsi="Arial" w:cs="Arial"/>
          <w:sz w:val="24"/>
        </w:rPr>
        <w:t>适用范围</w:t>
      </w:r>
    </w:p>
    <w:p>
      <w:pPr>
        <w:pageBreakBefore w:val="0"/>
        <w:tabs>
          <w:tab w:val="left" w:pos="360"/>
        </w:tabs>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1.1</w:t>
      </w:r>
      <w:r>
        <w:rPr>
          <w:rFonts w:ascii="Arial" w:hAnsi="Arial" w:cs="Arial"/>
          <w:sz w:val="24"/>
        </w:rPr>
        <w:t>本</w:t>
      </w:r>
      <w:r>
        <w:rPr>
          <w:rFonts w:hint="eastAsia" w:ascii="Arial" w:hAnsi="Arial" w:cs="Arial"/>
          <w:sz w:val="24"/>
        </w:rPr>
        <w:t>磋商</w:t>
      </w:r>
      <w:r>
        <w:rPr>
          <w:rFonts w:ascii="Arial" w:hAnsi="Arial" w:cs="Arial"/>
          <w:sz w:val="24"/>
        </w:rPr>
        <w:t>文件仅适用于本次</w:t>
      </w:r>
      <w:r>
        <w:rPr>
          <w:rFonts w:hint="eastAsia" w:ascii="Arial" w:hAnsi="Arial" w:cs="Arial"/>
          <w:sz w:val="24"/>
        </w:rPr>
        <w:t>磋商</w:t>
      </w:r>
      <w:r>
        <w:rPr>
          <w:rFonts w:ascii="Arial" w:hAnsi="Arial" w:cs="Arial"/>
          <w:sz w:val="24"/>
        </w:rPr>
        <w:t>邀请中所叙述项目的货物及服务采购。</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w:t>
      </w:r>
      <w:r>
        <w:rPr>
          <w:rFonts w:hint="eastAsia" w:ascii="Arial" w:hAnsi="Arial" w:cs="Arial"/>
          <w:sz w:val="24"/>
        </w:rPr>
        <w:t>、</w:t>
      </w:r>
      <w:r>
        <w:rPr>
          <w:rFonts w:ascii="Arial" w:hAnsi="Arial" w:cs="Arial"/>
          <w:sz w:val="24"/>
        </w:rPr>
        <w:t>定义</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color w:val="000000"/>
          <w:sz w:val="24"/>
        </w:rPr>
      </w:pPr>
      <w:r>
        <w:rPr>
          <w:rFonts w:ascii="Arial" w:hAnsi="Arial" w:cs="Arial"/>
          <w:sz w:val="24"/>
        </w:rPr>
        <w:t>2.</w:t>
      </w:r>
      <w:r>
        <w:rPr>
          <w:rFonts w:ascii="Arial" w:hAnsi="Arial" w:cs="Arial"/>
          <w:color w:val="000000"/>
          <w:sz w:val="24"/>
        </w:rPr>
        <w:t>1 “招标</w:t>
      </w:r>
      <w:r>
        <w:rPr>
          <w:rFonts w:hint="eastAsia" w:ascii="Arial" w:hAnsi="Arial" w:cs="Arial"/>
          <w:color w:val="000000"/>
          <w:sz w:val="24"/>
        </w:rPr>
        <w:t>代理</w:t>
      </w:r>
      <w:r>
        <w:rPr>
          <w:rFonts w:ascii="Arial" w:hAnsi="Arial" w:cs="Arial"/>
          <w:color w:val="000000"/>
          <w:sz w:val="24"/>
        </w:rPr>
        <w:t>机构”系指</w:t>
      </w:r>
      <w:r>
        <w:rPr>
          <w:rFonts w:hint="eastAsia" w:ascii="Arial" w:hAnsi="Arial" w:cs="Arial"/>
          <w:color w:val="000000"/>
          <w:sz w:val="24"/>
          <w:lang w:eastAsia="zh-CN"/>
        </w:rPr>
        <w:t>宏业国际项目管理有限公司</w:t>
      </w:r>
      <w:r>
        <w:rPr>
          <w:rFonts w:ascii="Arial" w:hAnsi="Arial" w:cs="Arial"/>
          <w:color w:val="000000"/>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color w:val="000000"/>
          <w:sz w:val="24"/>
        </w:rPr>
      </w:pPr>
      <w:r>
        <w:rPr>
          <w:rFonts w:ascii="Arial" w:hAnsi="Arial" w:cs="Arial"/>
          <w:color w:val="000000"/>
          <w:sz w:val="24"/>
        </w:rPr>
        <w:t>2.2 “</w:t>
      </w:r>
      <w:r>
        <w:rPr>
          <w:rFonts w:hint="eastAsia" w:ascii="Arial" w:hAnsi="Arial" w:cs="Arial"/>
          <w:color w:val="000000"/>
          <w:sz w:val="24"/>
        </w:rPr>
        <w:t>需方</w:t>
      </w:r>
      <w:r>
        <w:rPr>
          <w:rFonts w:ascii="Arial" w:hAnsi="Arial" w:cs="Arial"/>
          <w:color w:val="000000"/>
          <w:sz w:val="24"/>
        </w:rPr>
        <w:t>”系指</w:t>
      </w:r>
      <w:r>
        <w:rPr>
          <w:rFonts w:hint="eastAsia" w:ascii="Arial" w:hAnsi="Arial" w:cs="Arial"/>
          <w:color w:val="000000"/>
          <w:sz w:val="24"/>
        </w:rPr>
        <w:t>新疆维吾尔自治区自然资源信息中心（新疆维吾尔自治区自然资源档案馆）</w:t>
      </w:r>
      <w:r>
        <w:rPr>
          <w:rFonts w:ascii="Arial" w:hAnsi="Arial" w:cs="Arial"/>
          <w:color w:val="000000"/>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color w:val="000000"/>
          <w:sz w:val="24"/>
        </w:rPr>
      </w:pPr>
      <w:r>
        <w:rPr>
          <w:rFonts w:ascii="Arial" w:hAnsi="Arial" w:cs="Arial"/>
          <w:color w:val="000000"/>
          <w:sz w:val="24"/>
        </w:rPr>
        <w:t>2.3 “</w:t>
      </w:r>
      <w:r>
        <w:rPr>
          <w:rFonts w:hint="eastAsia" w:ascii="Arial" w:hAnsi="Arial" w:cs="Arial"/>
          <w:color w:val="000000"/>
          <w:sz w:val="24"/>
        </w:rPr>
        <w:t>磋商</w:t>
      </w:r>
      <w:r>
        <w:rPr>
          <w:rFonts w:ascii="Arial" w:hAnsi="Arial" w:cs="Arial"/>
          <w:color w:val="000000"/>
          <w:sz w:val="24"/>
        </w:rPr>
        <w:t>供应商”系指向招标</w:t>
      </w:r>
      <w:r>
        <w:rPr>
          <w:rFonts w:hint="eastAsia" w:ascii="Arial" w:hAnsi="Arial" w:cs="Arial"/>
          <w:color w:val="000000"/>
          <w:sz w:val="24"/>
        </w:rPr>
        <w:t>代理</w:t>
      </w:r>
      <w:r>
        <w:rPr>
          <w:rFonts w:ascii="Arial" w:hAnsi="Arial" w:cs="Arial"/>
          <w:color w:val="000000"/>
          <w:sz w:val="24"/>
        </w:rPr>
        <w:t>机构提交</w:t>
      </w:r>
      <w:r>
        <w:rPr>
          <w:rFonts w:hint="eastAsia" w:ascii="Arial" w:hAnsi="Arial" w:cs="Arial"/>
          <w:color w:val="000000"/>
          <w:sz w:val="24"/>
        </w:rPr>
        <w:t>磋商</w:t>
      </w:r>
      <w:r>
        <w:rPr>
          <w:rFonts w:ascii="Arial" w:hAnsi="Arial" w:cs="Arial"/>
          <w:color w:val="000000"/>
          <w:sz w:val="24"/>
        </w:rPr>
        <w:t>响应</w:t>
      </w:r>
      <w:r>
        <w:rPr>
          <w:rFonts w:hint="eastAsia" w:ascii="Arial" w:hAnsi="Arial" w:cs="Arial"/>
          <w:color w:val="000000"/>
          <w:sz w:val="24"/>
        </w:rPr>
        <w:t>性</w:t>
      </w:r>
      <w:r>
        <w:rPr>
          <w:rFonts w:ascii="Arial" w:hAnsi="Arial" w:cs="Arial"/>
          <w:color w:val="000000"/>
          <w:sz w:val="24"/>
        </w:rPr>
        <w:t>文件的制造商或代理商；</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color w:val="000000"/>
          <w:sz w:val="24"/>
        </w:rPr>
      </w:pPr>
      <w:r>
        <w:rPr>
          <w:rFonts w:ascii="Arial" w:hAnsi="Arial" w:cs="Arial"/>
          <w:color w:val="000000"/>
          <w:sz w:val="24"/>
        </w:rPr>
        <w:t>2.4 “成交方”系指在本次</w:t>
      </w:r>
      <w:r>
        <w:rPr>
          <w:rFonts w:hint="eastAsia" w:ascii="Arial" w:hAnsi="Arial" w:cs="Arial"/>
          <w:color w:val="000000"/>
          <w:sz w:val="24"/>
        </w:rPr>
        <w:t>磋商</w:t>
      </w:r>
      <w:r>
        <w:rPr>
          <w:rFonts w:ascii="Arial" w:hAnsi="Arial" w:cs="Arial"/>
          <w:color w:val="000000"/>
          <w:sz w:val="24"/>
        </w:rPr>
        <w:t>中</w:t>
      </w:r>
      <w:r>
        <w:rPr>
          <w:rFonts w:hint="eastAsia" w:ascii="Arial" w:hAnsi="Arial" w:cs="Arial"/>
          <w:color w:val="000000"/>
          <w:sz w:val="24"/>
        </w:rPr>
        <w:t>成交，</w:t>
      </w:r>
      <w:r>
        <w:rPr>
          <w:rFonts w:ascii="Arial" w:hAnsi="Arial" w:cs="Arial"/>
          <w:color w:val="000000"/>
          <w:sz w:val="24"/>
        </w:rPr>
        <w:t>将被授予合同的供应商</w:t>
      </w:r>
      <w:r>
        <w:rPr>
          <w:rFonts w:hint="eastAsia" w:ascii="Arial" w:hAnsi="Arial" w:cs="Arial"/>
          <w:color w:val="000000"/>
          <w:sz w:val="24"/>
        </w:rPr>
        <w:t>，即成为</w:t>
      </w:r>
      <w:r>
        <w:rPr>
          <w:rFonts w:ascii="Arial" w:hAnsi="Arial" w:cs="Arial"/>
          <w:color w:val="000000"/>
          <w:sz w:val="24"/>
        </w:rPr>
        <w:t>“</w:t>
      </w:r>
      <w:r>
        <w:rPr>
          <w:rFonts w:hint="eastAsia" w:ascii="Arial" w:hAnsi="Arial" w:cs="Arial"/>
          <w:color w:val="000000"/>
          <w:sz w:val="24"/>
        </w:rPr>
        <w:t>成交方</w:t>
      </w:r>
      <w:r>
        <w:rPr>
          <w:rFonts w:ascii="Arial" w:hAnsi="Arial" w:cs="Arial"/>
          <w:color w:val="000000"/>
          <w:sz w:val="24"/>
        </w:rPr>
        <w:t>”。</w:t>
      </w:r>
    </w:p>
    <w:p>
      <w:pPr>
        <w:pageBreakBefore w:val="0"/>
        <w:kinsoku/>
        <w:wordWrap/>
        <w:topLinePunct w:val="0"/>
        <w:bidi w:val="0"/>
        <w:spacing w:beforeAutospacing="0" w:afterAutospacing="0" w:line="400" w:lineRule="exact"/>
        <w:ind w:left="0" w:leftChars="0" w:right="0" w:rightChars="0"/>
        <w:rPr>
          <w:rFonts w:ascii="Arial" w:hAnsi="Arial" w:cs="Arial"/>
          <w:color w:val="000000"/>
          <w:sz w:val="24"/>
        </w:rPr>
      </w:pPr>
      <w:r>
        <w:rPr>
          <w:rFonts w:ascii="Arial" w:hAnsi="Arial" w:cs="Arial"/>
          <w:color w:val="000000"/>
          <w:sz w:val="24"/>
        </w:rPr>
        <w:t>3</w:t>
      </w:r>
      <w:r>
        <w:rPr>
          <w:rFonts w:hint="eastAsia" w:ascii="Arial" w:hAnsi="Arial" w:cs="Arial"/>
          <w:color w:val="000000"/>
          <w:sz w:val="24"/>
        </w:rPr>
        <w:t>、</w:t>
      </w:r>
      <w:r>
        <w:rPr>
          <w:rFonts w:ascii="Arial" w:hAnsi="Arial" w:cs="Arial"/>
          <w:color w:val="000000"/>
          <w:sz w:val="24"/>
        </w:rPr>
        <w:t>合格的供应商</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color w:val="000000"/>
          <w:sz w:val="24"/>
        </w:rPr>
      </w:pPr>
      <w:r>
        <w:rPr>
          <w:rFonts w:ascii="Arial" w:hAnsi="Arial" w:cs="Arial"/>
          <w:color w:val="000000"/>
          <w:sz w:val="24"/>
        </w:rPr>
        <w:t>3.1 有能力提供</w:t>
      </w:r>
      <w:r>
        <w:rPr>
          <w:rFonts w:hint="eastAsia" w:ascii="Arial" w:hAnsi="Arial" w:cs="Arial"/>
          <w:color w:val="000000"/>
          <w:sz w:val="24"/>
        </w:rPr>
        <w:t>磋商</w:t>
      </w:r>
      <w:r>
        <w:rPr>
          <w:rFonts w:ascii="Arial" w:hAnsi="Arial" w:cs="Arial"/>
          <w:color w:val="000000"/>
          <w:sz w:val="24"/>
        </w:rPr>
        <w:t>文件中所要求的</w:t>
      </w:r>
      <w:r>
        <w:rPr>
          <w:rFonts w:hint="eastAsia" w:ascii="Arial" w:hAnsi="Arial" w:cs="Arial"/>
          <w:color w:val="000000"/>
          <w:sz w:val="24"/>
        </w:rPr>
        <w:t>货物及</w:t>
      </w:r>
      <w:r>
        <w:rPr>
          <w:rFonts w:ascii="Arial" w:hAnsi="Arial" w:cs="Arial"/>
          <w:color w:val="000000"/>
          <w:sz w:val="24"/>
        </w:rPr>
        <w:t>服务、资格审查合格的制造商或代理商为合格的供应商；</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color w:val="000000"/>
          <w:sz w:val="24"/>
        </w:rPr>
      </w:pPr>
      <w:r>
        <w:rPr>
          <w:rFonts w:ascii="Arial" w:hAnsi="Arial" w:cs="Arial"/>
          <w:color w:val="000000"/>
          <w:sz w:val="24"/>
        </w:rPr>
        <w:t>3.2 供应商必须遵守有关的国内法律和规章条例。</w:t>
      </w:r>
    </w:p>
    <w:p>
      <w:pPr>
        <w:pageBreakBefore w:val="0"/>
        <w:kinsoku/>
        <w:wordWrap/>
        <w:topLinePunct w:val="0"/>
        <w:bidi w:val="0"/>
        <w:spacing w:beforeAutospacing="0" w:afterAutospacing="0" w:line="400" w:lineRule="exact"/>
        <w:ind w:left="0" w:leftChars="0" w:right="0" w:rightChars="0"/>
        <w:rPr>
          <w:rFonts w:ascii="Arial" w:hAnsi="Arial" w:cs="Arial"/>
          <w:color w:val="000000"/>
          <w:sz w:val="24"/>
        </w:rPr>
      </w:pPr>
      <w:r>
        <w:rPr>
          <w:rFonts w:ascii="Arial" w:hAnsi="Arial" w:cs="Arial"/>
          <w:color w:val="000000"/>
          <w:sz w:val="24"/>
        </w:rPr>
        <w:t>4</w:t>
      </w:r>
      <w:r>
        <w:rPr>
          <w:rFonts w:hint="eastAsia" w:ascii="Arial" w:hAnsi="Arial" w:cs="Arial"/>
          <w:color w:val="000000"/>
          <w:sz w:val="24"/>
        </w:rPr>
        <w:t>、</w:t>
      </w:r>
      <w:r>
        <w:rPr>
          <w:rFonts w:ascii="Arial" w:hAnsi="Arial" w:cs="Arial"/>
          <w:color w:val="000000"/>
          <w:sz w:val="24"/>
        </w:rPr>
        <w:t>供应商资格</w:t>
      </w:r>
    </w:p>
    <w:p>
      <w:pPr>
        <w:pStyle w:val="30"/>
        <w:pageBreakBefore w:val="0"/>
        <w:kinsoku/>
        <w:wordWrap/>
        <w:topLinePunct w:val="0"/>
        <w:bidi w:val="0"/>
        <w:spacing w:before="0" w:beforeAutospacing="0" w:after="0" w:afterAutospacing="0" w:line="400" w:lineRule="exact"/>
        <w:ind w:left="0" w:leftChars="0" w:right="0" w:rightChars="0" w:firstLine="240" w:firstLineChars="100"/>
        <w:jc w:val="both"/>
        <w:rPr>
          <w:rFonts w:ascii="宋体" w:hAnsi="宋体" w:eastAsia="宋体" w:cs="宋体"/>
        </w:rPr>
      </w:pPr>
      <w:r>
        <w:rPr>
          <w:rFonts w:hint="eastAsia" w:ascii="宋体" w:hAnsi="宋体" w:eastAsia="宋体" w:cs="宋体"/>
          <w:color w:val="000000"/>
        </w:rPr>
        <w:t>4.1落实政府采购政策需满足的资格要求：详见政府采购法；</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4.2供应商须符合《中华人民共和国政府采购法》第二十二条规定,并提供《中华人民共和国政府采购法实施条例》第十七条所要求的材料；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① 供应商提供有效的统一社会信用代码的营业执照，供应商必须是中华人民共和国境内注册的，具有独立承担民事责任的能力；</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② 财务状况报告：供应商提供2020年度经第三方权威机构出具的完整的财务审计报告或自发布公告之日起基本开户银行出具的资信证明；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③ 依法缴纳税收：供应商提供自投标截止之日前半年内任意一个月依法缴纳税收的凭据，依法免税的供应商，应提供充足的证明材料；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④ 依法缴纳社保：供应商提供自投标截止之日前半年内任意一个月依法缴纳社会保障资金的凭据；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⑤ 供应商具备履行合同所必需的设备和专业技术能力的证明材料；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⑥ 供应商提供参加政府采购活动前 3 年内在经营活动中没有重大违法记录的书面声明（截至开标日成立不满 3 年的供应商，可提供自成立以来无重大违法记录的书面声明）。 </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4.3供应商提供法人授权委托书及被授权人身份证原件； </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4.4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4.5本项目不接受联合体投标；</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4.6单位负责人为同一人或者存在直接控股、管理关系的不同投标人，不得同时参加本项目的竞争。 </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5</w:t>
      </w:r>
      <w:r>
        <w:rPr>
          <w:rFonts w:hint="eastAsia" w:ascii="Arial" w:hAnsi="Arial" w:cs="Arial"/>
          <w:sz w:val="24"/>
        </w:rPr>
        <w:t>、磋商</w:t>
      </w:r>
      <w:r>
        <w:rPr>
          <w:rFonts w:ascii="Arial" w:hAnsi="Arial" w:cs="Arial"/>
          <w:sz w:val="24"/>
        </w:rPr>
        <w:t>费用</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cs="宋体"/>
          <w:color w:val="000000"/>
          <w:kern w:val="0"/>
          <w:sz w:val="24"/>
          <w:szCs w:val="24"/>
        </w:rPr>
      </w:pPr>
      <w:r>
        <w:rPr>
          <w:rFonts w:ascii="宋体" w:hAnsi="宋体" w:cs="宋体"/>
          <w:color w:val="000000"/>
          <w:kern w:val="0"/>
          <w:sz w:val="24"/>
          <w:szCs w:val="24"/>
        </w:rPr>
        <w:t>5.1 无论</w:t>
      </w:r>
      <w:r>
        <w:rPr>
          <w:rFonts w:hint="eastAsia" w:ascii="宋体" w:hAnsi="宋体" w:cs="宋体"/>
          <w:color w:val="000000"/>
          <w:kern w:val="0"/>
          <w:sz w:val="24"/>
          <w:szCs w:val="24"/>
        </w:rPr>
        <w:t>磋商</w:t>
      </w:r>
      <w:r>
        <w:rPr>
          <w:rFonts w:ascii="宋体" w:hAnsi="宋体" w:cs="宋体"/>
          <w:color w:val="000000"/>
          <w:kern w:val="0"/>
          <w:sz w:val="24"/>
          <w:szCs w:val="24"/>
        </w:rPr>
        <w:t>过程中的作法和结果如何，供应商将自行承担所有与参加</w:t>
      </w:r>
      <w:r>
        <w:rPr>
          <w:rFonts w:hint="eastAsia" w:ascii="宋体" w:hAnsi="宋体" w:cs="宋体"/>
          <w:color w:val="000000"/>
          <w:kern w:val="0"/>
          <w:sz w:val="24"/>
          <w:szCs w:val="24"/>
        </w:rPr>
        <w:t>磋商</w:t>
      </w:r>
      <w:r>
        <w:rPr>
          <w:rFonts w:ascii="宋体" w:hAnsi="宋体" w:cs="宋体"/>
          <w:color w:val="000000"/>
          <w:kern w:val="0"/>
          <w:sz w:val="24"/>
          <w:szCs w:val="24"/>
        </w:rPr>
        <w:t>有关的全部费用。</w:t>
      </w:r>
      <w:bookmarkStart w:id="22" w:name="_Toc267301283"/>
      <w:bookmarkStart w:id="23" w:name="_Toc349573122"/>
      <w:bookmarkStart w:id="24" w:name="_Toc349637921"/>
      <w:bookmarkStart w:id="25" w:name="_Toc298240406"/>
    </w:p>
    <w:p>
      <w:pPr>
        <w:pStyle w:val="4"/>
        <w:pageBreakBefore w:val="0"/>
        <w:kinsoku/>
        <w:wordWrap/>
        <w:topLinePunct w:val="0"/>
        <w:bidi w:val="0"/>
        <w:spacing w:before="0" w:beforeAutospacing="0" w:after="0" w:afterAutospacing="0" w:line="400" w:lineRule="exact"/>
        <w:ind w:left="0" w:leftChars="0" w:right="0" w:rightChars="0"/>
        <w:jc w:val="center"/>
        <w:rPr>
          <w:rFonts w:eastAsia="宋体" w:cs="Arial"/>
          <w:sz w:val="28"/>
          <w:szCs w:val="28"/>
        </w:rPr>
      </w:pPr>
      <w:bookmarkStart w:id="26" w:name="_Toc462223633"/>
      <w:r>
        <w:rPr>
          <w:rFonts w:hint="eastAsia" w:eastAsia="宋体" w:cs="Arial"/>
          <w:sz w:val="28"/>
          <w:szCs w:val="28"/>
        </w:rPr>
        <w:t>（二）磋商</w:t>
      </w:r>
      <w:r>
        <w:rPr>
          <w:rFonts w:eastAsia="宋体" w:cs="Arial"/>
          <w:sz w:val="28"/>
          <w:szCs w:val="28"/>
        </w:rPr>
        <w:t>文件</w:t>
      </w:r>
      <w:bookmarkEnd w:id="22"/>
      <w:bookmarkEnd w:id="23"/>
      <w:bookmarkEnd w:id="24"/>
      <w:bookmarkEnd w:id="25"/>
      <w:bookmarkEnd w:id="26"/>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6</w:t>
      </w:r>
      <w:r>
        <w:rPr>
          <w:rFonts w:hint="eastAsia" w:ascii="Arial" w:hAnsi="Arial" w:cs="Arial"/>
          <w:sz w:val="24"/>
        </w:rPr>
        <w:t>、磋商</w:t>
      </w:r>
      <w:r>
        <w:rPr>
          <w:rFonts w:ascii="Arial" w:hAnsi="Arial" w:cs="Arial"/>
          <w:sz w:val="24"/>
        </w:rPr>
        <w:t>文件构成</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6.1</w:t>
      </w:r>
      <w:r>
        <w:rPr>
          <w:rFonts w:hint="eastAsia" w:ascii="Arial" w:hAnsi="Arial" w:cs="Arial"/>
          <w:sz w:val="24"/>
        </w:rPr>
        <w:t>磋商</w:t>
      </w:r>
      <w:r>
        <w:rPr>
          <w:rFonts w:ascii="Arial" w:hAnsi="Arial" w:cs="Arial"/>
          <w:sz w:val="24"/>
        </w:rPr>
        <w:t>文件包括：</w:t>
      </w:r>
    </w:p>
    <w:p>
      <w:pPr>
        <w:pageBreakBefore w:val="0"/>
        <w:kinsoku/>
        <w:wordWrap/>
        <w:topLinePunct w:val="0"/>
        <w:bidi w:val="0"/>
        <w:spacing w:beforeAutospacing="0" w:afterAutospacing="0" w:line="400" w:lineRule="exact"/>
        <w:ind w:left="0" w:leftChars="0" w:right="0" w:rightChars="0" w:firstLine="240"/>
        <w:rPr>
          <w:rFonts w:ascii="Arial" w:hAnsi="Arial" w:cs="Arial"/>
          <w:sz w:val="24"/>
        </w:rPr>
      </w:pPr>
      <w:r>
        <w:rPr>
          <w:rFonts w:ascii="宋体" w:hAnsi="Arial" w:cs="Arial"/>
          <w:sz w:val="24"/>
        </w:rPr>
        <w:t>⑴</w:t>
      </w:r>
      <w:r>
        <w:rPr>
          <w:rFonts w:hint="eastAsia" w:ascii="Arial" w:hAnsi="Arial" w:cs="Arial"/>
          <w:sz w:val="24"/>
        </w:rPr>
        <w:t>磋商公告</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rPr>
          <w:rFonts w:ascii="Arial" w:hAnsi="Arial" w:cs="Arial"/>
          <w:sz w:val="24"/>
        </w:rPr>
      </w:pPr>
      <w:r>
        <w:rPr>
          <w:rFonts w:ascii="宋体" w:hAnsi="Arial" w:cs="Arial"/>
          <w:sz w:val="24"/>
        </w:rPr>
        <w:t>⑵</w:t>
      </w:r>
      <w:r>
        <w:rPr>
          <w:rFonts w:ascii="Arial" w:hAnsi="Arial" w:cs="Arial"/>
          <w:sz w:val="24"/>
        </w:rPr>
        <w:t>供应商须知；</w:t>
      </w:r>
    </w:p>
    <w:p>
      <w:pPr>
        <w:pageBreakBefore w:val="0"/>
        <w:kinsoku/>
        <w:wordWrap/>
        <w:topLinePunct w:val="0"/>
        <w:bidi w:val="0"/>
        <w:spacing w:beforeAutospacing="0" w:afterAutospacing="0" w:line="400" w:lineRule="exact"/>
        <w:ind w:left="0" w:leftChars="0" w:right="0" w:rightChars="0" w:firstLine="240"/>
        <w:rPr>
          <w:rFonts w:ascii="Arial" w:hAnsi="Arial" w:cs="Arial"/>
          <w:sz w:val="24"/>
        </w:rPr>
      </w:pPr>
      <w:r>
        <w:rPr>
          <w:rFonts w:ascii="宋体" w:hAnsi="Arial" w:cs="Arial"/>
          <w:sz w:val="24"/>
        </w:rPr>
        <w:t>⑶</w:t>
      </w:r>
      <w:r>
        <w:rPr>
          <w:rFonts w:hint="eastAsia" w:ascii="Arial" w:hAnsi="Arial" w:cs="Arial"/>
          <w:sz w:val="24"/>
        </w:rPr>
        <w:t>项目需求</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rPr>
          <w:rFonts w:ascii="Arial" w:hAnsi="Arial" w:cs="Arial"/>
          <w:sz w:val="24"/>
        </w:rPr>
      </w:pPr>
      <w:r>
        <w:rPr>
          <w:rFonts w:ascii="宋体" w:hAnsi="Arial" w:cs="Arial"/>
          <w:sz w:val="24"/>
        </w:rPr>
        <w:t>⑷</w:t>
      </w:r>
      <w:r>
        <w:rPr>
          <w:rFonts w:ascii="Arial" w:hAnsi="Arial" w:cs="Arial"/>
          <w:sz w:val="24"/>
        </w:rPr>
        <w:t>合同条款；</w:t>
      </w:r>
    </w:p>
    <w:p>
      <w:pPr>
        <w:pageBreakBefore w:val="0"/>
        <w:kinsoku/>
        <w:wordWrap/>
        <w:topLinePunct w:val="0"/>
        <w:bidi w:val="0"/>
        <w:spacing w:beforeAutospacing="0" w:afterAutospacing="0" w:line="400" w:lineRule="exact"/>
        <w:ind w:left="0" w:leftChars="0" w:right="0" w:rightChars="0" w:firstLine="240"/>
        <w:rPr>
          <w:rFonts w:ascii="Arial" w:hAnsi="Arial" w:cs="Arial"/>
          <w:sz w:val="24"/>
        </w:rPr>
      </w:pPr>
      <w:r>
        <w:rPr>
          <w:rFonts w:ascii="宋体" w:hAnsi="Arial" w:cs="Arial"/>
          <w:sz w:val="24"/>
        </w:rPr>
        <w:t>⑸</w:t>
      </w:r>
      <w:r>
        <w:rPr>
          <w:rFonts w:hint="eastAsia" w:ascii="Arial" w:hAnsi="Arial" w:cs="Arial"/>
          <w:sz w:val="24"/>
        </w:rPr>
        <w:t>附件</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6.2 </w:t>
      </w:r>
      <w:r>
        <w:rPr>
          <w:rFonts w:hint="eastAsia" w:ascii="Arial" w:hAnsi="Arial" w:cs="Arial"/>
          <w:sz w:val="24"/>
        </w:rPr>
        <w:t>磋商</w:t>
      </w:r>
      <w:r>
        <w:rPr>
          <w:rFonts w:ascii="Arial" w:hAnsi="Arial" w:cs="Arial"/>
          <w:sz w:val="24"/>
        </w:rPr>
        <w:t>文件以中文编写。</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6.3 供应商应认真阅读</w:t>
      </w:r>
      <w:r>
        <w:rPr>
          <w:rFonts w:hint="eastAsia" w:ascii="Arial" w:hAnsi="Arial" w:cs="Arial"/>
          <w:sz w:val="24"/>
        </w:rPr>
        <w:t>磋商</w:t>
      </w:r>
      <w:r>
        <w:rPr>
          <w:rFonts w:ascii="Arial" w:hAnsi="Arial" w:cs="Arial"/>
          <w:sz w:val="24"/>
        </w:rPr>
        <w:t>文件中所有的事项、格式、条款和规范等要求，从而对</w:t>
      </w:r>
      <w:r>
        <w:rPr>
          <w:rFonts w:hint="eastAsia" w:ascii="Arial" w:hAnsi="Arial" w:cs="Arial"/>
          <w:sz w:val="24"/>
        </w:rPr>
        <w:t>磋商</w:t>
      </w:r>
      <w:r>
        <w:rPr>
          <w:rFonts w:ascii="Arial" w:hAnsi="Arial" w:cs="Arial"/>
          <w:sz w:val="24"/>
        </w:rPr>
        <w:t>文件作出实质性响应。如果没有按照</w:t>
      </w:r>
      <w:r>
        <w:rPr>
          <w:rFonts w:hint="eastAsia" w:ascii="Arial" w:hAnsi="Arial" w:cs="Arial"/>
          <w:sz w:val="24"/>
        </w:rPr>
        <w:t>磋商</w:t>
      </w:r>
      <w:r>
        <w:rPr>
          <w:rFonts w:ascii="Arial" w:hAnsi="Arial" w:cs="Arial"/>
          <w:sz w:val="24"/>
        </w:rPr>
        <w:t>文件要求提交全部</w:t>
      </w:r>
      <w:r>
        <w:rPr>
          <w:rFonts w:hint="eastAsia" w:ascii="Arial" w:hAnsi="Arial" w:cs="Arial"/>
          <w:sz w:val="24"/>
        </w:rPr>
        <w:t>磋商</w:t>
      </w:r>
      <w:r>
        <w:rPr>
          <w:rFonts w:ascii="Arial" w:hAnsi="Arial" w:cs="Arial"/>
          <w:sz w:val="24"/>
        </w:rPr>
        <w:t>响应文件或资料，没有对</w:t>
      </w:r>
      <w:r>
        <w:rPr>
          <w:rFonts w:hint="eastAsia" w:ascii="Arial" w:hAnsi="Arial" w:cs="Arial"/>
          <w:sz w:val="24"/>
        </w:rPr>
        <w:t>磋商</w:t>
      </w:r>
      <w:r>
        <w:rPr>
          <w:rFonts w:ascii="Arial" w:hAnsi="Arial" w:cs="Arial"/>
          <w:sz w:val="24"/>
        </w:rPr>
        <w:t>文件作出实质性响应，其风险应由供应商自行承担。</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7</w:t>
      </w:r>
      <w:r>
        <w:rPr>
          <w:rFonts w:hint="eastAsia" w:ascii="Arial" w:hAnsi="Arial" w:cs="Arial"/>
          <w:sz w:val="24"/>
        </w:rPr>
        <w:t>、磋商</w:t>
      </w:r>
      <w:r>
        <w:rPr>
          <w:rFonts w:ascii="Arial" w:hAnsi="Arial" w:cs="Arial"/>
          <w:sz w:val="24"/>
        </w:rPr>
        <w:t>文件澄清</w:t>
      </w:r>
    </w:p>
    <w:p>
      <w:pPr>
        <w:pageBreakBefore w:val="0"/>
        <w:kinsoku/>
        <w:wordWrap/>
        <w:topLinePunct w:val="0"/>
        <w:bidi w:val="0"/>
        <w:spacing w:beforeAutospacing="0" w:afterAutospacing="0" w:line="400" w:lineRule="exact"/>
        <w:ind w:left="0" w:leftChars="0" w:right="0" w:rightChars="0" w:firstLine="240" w:firstLineChars="100"/>
        <w:jc w:val="left"/>
        <w:rPr>
          <w:rFonts w:ascii="Arial" w:hAnsi="Arial" w:cs="Arial"/>
          <w:sz w:val="24"/>
        </w:rPr>
      </w:pPr>
      <w:r>
        <w:rPr>
          <w:rFonts w:ascii="Arial" w:hAnsi="Arial" w:cs="Arial"/>
          <w:sz w:val="24"/>
        </w:rPr>
        <w:t>7.1 供应商对</w:t>
      </w:r>
      <w:r>
        <w:rPr>
          <w:rFonts w:hint="eastAsia" w:ascii="Arial" w:hAnsi="Arial" w:cs="Arial"/>
          <w:sz w:val="24"/>
        </w:rPr>
        <w:t>磋商</w:t>
      </w:r>
      <w:r>
        <w:rPr>
          <w:rFonts w:ascii="Arial" w:hAnsi="Arial" w:cs="Arial"/>
          <w:sz w:val="24"/>
        </w:rPr>
        <w:t>文件有疑问的，可以向招标</w:t>
      </w:r>
      <w:r>
        <w:rPr>
          <w:rFonts w:hint="eastAsia" w:ascii="Arial" w:hAnsi="Arial" w:cs="Arial"/>
          <w:sz w:val="24"/>
        </w:rPr>
        <w:t>代理</w:t>
      </w:r>
      <w:r>
        <w:rPr>
          <w:rFonts w:ascii="Arial" w:hAnsi="Arial" w:cs="Arial"/>
          <w:sz w:val="24"/>
        </w:rPr>
        <w:t>机构提出询问，招标</w:t>
      </w:r>
      <w:r>
        <w:rPr>
          <w:rFonts w:hint="eastAsia" w:ascii="Arial" w:hAnsi="Arial" w:cs="Arial"/>
          <w:sz w:val="24"/>
        </w:rPr>
        <w:t>代理</w:t>
      </w:r>
      <w:r>
        <w:rPr>
          <w:rFonts w:ascii="Arial" w:hAnsi="Arial" w:cs="Arial"/>
          <w:sz w:val="24"/>
        </w:rPr>
        <w:t>机构将及时做出答复；</w:t>
      </w:r>
    </w:p>
    <w:p>
      <w:pPr>
        <w:pageBreakBefore w:val="0"/>
        <w:kinsoku/>
        <w:wordWrap/>
        <w:topLinePunct w:val="0"/>
        <w:bidi w:val="0"/>
        <w:spacing w:beforeAutospacing="0" w:afterAutospacing="0" w:line="400" w:lineRule="exact"/>
        <w:ind w:left="0" w:leftChars="0" w:right="0" w:rightChars="0" w:firstLine="240" w:firstLineChars="100"/>
        <w:jc w:val="left"/>
        <w:rPr>
          <w:rFonts w:ascii="Arial" w:hAnsi="Arial" w:cs="Arial"/>
          <w:sz w:val="24"/>
        </w:rPr>
      </w:pPr>
      <w:r>
        <w:rPr>
          <w:rFonts w:ascii="Arial" w:hAnsi="Arial" w:cs="Arial"/>
          <w:sz w:val="24"/>
        </w:rPr>
        <w:t>7.2 供应商对</w:t>
      </w:r>
      <w:r>
        <w:rPr>
          <w:rFonts w:hint="eastAsia" w:ascii="Arial" w:hAnsi="Arial" w:cs="Arial"/>
          <w:sz w:val="24"/>
        </w:rPr>
        <w:t>磋商</w:t>
      </w:r>
      <w:r>
        <w:rPr>
          <w:rFonts w:ascii="Arial" w:hAnsi="Arial" w:cs="Arial"/>
          <w:sz w:val="24"/>
        </w:rPr>
        <w:t>文件有质疑，须在</w:t>
      </w:r>
      <w:r>
        <w:rPr>
          <w:rFonts w:hint="eastAsia" w:ascii="Arial" w:hAnsi="Arial" w:cs="Arial"/>
          <w:sz w:val="24"/>
        </w:rPr>
        <w:t>磋商响应文件</w:t>
      </w:r>
      <w:r>
        <w:rPr>
          <w:rFonts w:hint="eastAsia" w:ascii="Arial" w:hAnsi="Arial" w:cs="Arial"/>
          <w:sz w:val="24"/>
          <w:szCs w:val="24"/>
        </w:rPr>
        <w:t>递交</w:t>
      </w:r>
      <w:r>
        <w:rPr>
          <w:rFonts w:ascii="Arial" w:hAnsi="Arial" w:cs="Arial"/>
          <w:sz w:val="24"/>
          <w:szCs w:val="24"/>
        </w:rPr>
        <w:t>截止时间</w:t>
      </w:r>
      <w:r>
        <w:rPr>
          <w:rFonts w:hint="eastAsia" w:ascii="Arial" w:hAnsi="Arial" w:cs="Arial"/>
          <w:sz w:val="24"/>
          <w:szCs w:val="24"/>
        </w:rPr>
        <w:t>3日以前，</w:t>
      </w:r>
      <w:r>
        <w:rPr>
          <w:rFonts w:ascii="Arial" w:hAnsi="Arial" w:cs="Arial"/>
          <w:sz w:val="24"/>
          <w:szCs w:val="24"/>
        </w:rPr>
        <w:t>以书面形式向招标机构提出质疑；招标机构在收到书面质疑后尽快做</w:t>
      </w:r>
      <w:r>
        <w:rPr>
          <w:rFonts w:ascii="Arial" w:hAnsi="Arial" w:cs="Arial"/>
          <w:sz w:val="24"/>
        </w:rPr>
        <w:t>出答复，并以书面形式通知质疑供应商。</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8</w:t>
      </w:r>
      <w:r>
        <w:rPr>
          <w:rFonts w:hint="eastAsia" w:ascii="Arial" w:hAnsi="Arial" w:cs="Arial"/>
          <w:sz w:val="24"/>
        </w:rPr>
        <w:t>、磋商</w:t>
      </w:r>
      <w:r>
        <w:rPr>
          <w:rFonts w:ascii="Arial" w:hAnsi="Arial" w:cs="Arial"/>
          <w:sz w:val="24"/>
        </w:rPr>
        <w:t>文件的修改</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szCs w:val="24"/>
        </w:rPr>
      </w:pPr>
      <w:r>
        <w:rPr>
          <w:rFonts w:ascii="Arial" w:hAnsi="Arial" w:cs="Arial"/>
          <w:sz w:val="24"/>
        </w:rPr>
        <w:t>8.1 对</w:t>
      </w:r>
      <w:r>
        <w:rPr>
          <w:rFonts w:hint="eastAsia" w:ascii="Arial" w:hAnsi="Arial" w:cs="Arial"/>
          <w:sz w:val="24"/>
        </w:rPr>
        <w:t>磋商</w:t>
      </w:r>
      <w:r>
        <w:rPr>
          <w:rFonts w:ascii="Arial" w:hAnsi="Arial" w:cs="Arial"/>
          <w:sz w:val="24"/>
        </w:rPr>
        <w:t>文件进行必要的修改，招标</w:t>
      </w:r>
      <w:r>
        <w:rPr>
          <w:rFonts w:hint="eastAsia" w:ascii="Arial" w:hAnsi="Arial" w:cs="Arial"/>
          <w:sz w:val="24"/>
        </w:rPr>
        <w:t>代理</w:t>
      </w:r>
      <w:r>
        <w:rPr>
          <w:rFonts w:ascii="Arial" w:hAnsi="Arial" w:cs="Arial"/>
          <w:sz w:val="24"/>
        </w:rPr>
        <w:t>机</w:t>
      </w:r>
      <w:r>
        <w:rPr>
          <w:rFonts w:ascii="Arial" w:hAnsi="Arial" w:cs="Arial"/>
          <w:sz w:val="24"/>
          <w:szCs w:val="24"/>
        </w:rPr>
        <w:t>构将在投标截止时间</w:t>
      </w:r>
      <w:r>
        <w:rPr>
          <w:rFonts w:hint="eastAsia" w:ascii="Arial" w:hAnsi="Arial" w:cs="Arial"/>
          <w:sz w:val="24"/>
          <w:szCs w:val="24"/>
        </w:rPr>
        <w:t>2日</w:t>
      </w:r>
      <w:r>
        <w:rPr>
          <w:rFonts w:ascii="Arial" w:hAnsi="Arial" w:cs="Arial"/>
          <w:sz w:val="24"/>
          <w:szCs w:val="24"/>
        </w:rPr>
        <w:t>前以书面形式通知所有购买</w:t>
      </w:r>
      <w:r>
        <w:rPr>
          <w:rFonts w:hint="eastAsia" w:ascii="Arial" w:hAnsi="Arial" w:cs="Arial"/>
          <w:sz w:val="24"/>
          <w:szCs w:val="24"/>
        </w:rPr>
        <w:t>磋商</w:t>
      </w:r>
      <w:r>
        <w:rPr>
          <w:rFonts w:ascii="Arial" w:hAnsi="Arial" w:cs="Arial"/>
          <w:sz w:val="24"/>
          <w:szCs w:val="24"/>
        </w:rPr>
        <w:t>文件的供应商。该修改的内容为</w:t>
      </w:r>
      <w:r>
        <w:rPr>
          <w:rFonts w:hint="eastAsia" w:ascii="Arial" w:hAnsi="Arial" w:cs="Arial"/>
          <w:sz w:val="24"/>
          <w:szCs w:val="24"/>
        </w:rPr>
        <w:t>磋商</w:t>
      </w:r>
      <w:r>
        <w:rPr>
          <w:rFonts w:ascii="Arial" w:hAnsi="Arial" w:cs="Arial"/>
          <w:sz w:val="24"/>
          <w:szCs w:val="24"/>
        </w:rPr>
        <w:t>文件的组成部分；</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8.2 供应商在规定的时间内未对磋商文件提出</w:t>
      </w:r>
      <w:r>
        <w:rPr>
          <w:rFonts w:ascii="Arial" w:hAnsi="Arial" w:cs="Arial"/>
          <w:sz w:val="24"/>
        </w:rPr>
        <w:t>澄清</w:t>
      </w:r>
      <w:r>
        <w:rPr>
          <w:rFonts w:hint="eastAsia" w:ascii="Arial" w:hAnsi="Arial" w:cs="Arial"/>
          <w:sz w:val="24"/>
        </w:rPr>
        <w:t>要求的，招标代理机构将视其为同意。</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8.</w:t>
      </w:r>
      <w:r>
        <w:rPr>
          <w:rFonts w:hint="eastAsia" w:ascii="Arial" w:hAnsi="Arial" w:cs="Arial"/>
          <w:sz w:val="24"/>
        </w:rPr>
        <w:t>3</w:t>
      </w:r>
      <w:r>
        <w:rPr>
          <w:rFonts w:ascii="Arial" w:hAnsi="Arial" w:cs="Arial"/>
          <w:sz w:val="24"/>
        </w:rPr>
        <w:t>在投标截止时间前，招标机构可视具体情况延长</w:t>
      </w:r>
      <w:r>
        <w:rPr>
          <w:rFonts w:hint="eastAsia" w:ascii="Arial" w:hAnsi="Arial" w:cs="Arial"/>
          <w:sz w:val="24"/>
        </w:rPr>
        <w:t>磋商</w:t>
      </w:r>
      <w:r>
        <w:rPr>
          <w:rFonts w:ascii="Arial" w:hAnsi="Arial" w:cs="Arial"/>
          <w:sz w:val="24"/>
        </w:rPr>
        <w:t>截止时间，并将变更时间书面通知所有购买</w:t>
      </w:r>
      <w:r>
        <w:rPr>
          <w:rFonts w:hint="eastAsia" w:ascii="Arial" w:hAnsi="Arial" w:cs="Arial"/>
          <w:sz w:val="24"/>
        </w:rPr>
        <w:t>磋商</w:t>
      </w:r>
      <w:r>
        <w:rPr>
          <w:rFonts w:ascii="Arial" w:hAnsi="Arial" w:cs="Arial"/>
          <w:sz w:val="24"/>
        </w:rPr>
        <w:t>文件的供应商。</w:t>
      </w:r>
    </w:p>
    <w:p>
      <w:pPr>
        <w:pStyle w:val="4"/>
        <w:pageBreakBefore w:val="0"/>
        <w:kinsoku/>
        <w:wordWrap/>
        <w:topLinePunct w:val="0"/>
        <w:bidi w:val="0"/>
        <w:spacing w:before="0" w:beforeAutospacing="0" w:after="0" w:afterAutospacing="0" w:line="400" w:lineRule="exact"/>
        <w:ind w:left="0" w:leftChars="0" w:right="0" w:rightChars="0"/>
        <w:jc w:val="center"/>
        <w:rPr>
          <w:rFonts w:eastAsia="宋体" w:cs="Arial"/>
          <w:sz w:val="28"/>
          <w:szCs w:val="28"/>
        </w:rPr>
      </w:pPr>
      <w:bookmarkStart w:id="27" w:name="_Toc267301284"/>
      <w:bookmarkStart w:id="28" w:name="_Toc349637922"/>
      <w:bookmarkStart w:id="29" w:name="_Toc298240407"/>
      <w:bookmarkStart w:id="30" w:name="_Toc349573123"/>
      <w:bookmarkStart w:id="31" w:name="_Toc462223634"/>
      <w:r>
        <w:rPr>
          <w:rFonts w:hint="eastAsia" w:eastAsia="宋体" w:cs="Arial"/>
          <w:sz w:val="28"/>
          <w:szCs w:val="28"/>
        </w:rPr>
        <w:t>（三）磋商</w:t>
      </w:r>
      <w:r>
        <w:rPr>
          <w:rFonts w:eastAsia="宋体" w:cs="Arial"/>
          <w:sz w:val="28"/>
          <w:szCs w:val="28"/>
        </w:rPr>
        <w:t>响应</w:t>
      </w:r>
      <w:r>
        <w:rPr>
          <w:rFonts w:hint="eastAsia" w:eastAsia="宋体" w:cs="Arial"/>
          <w:sz w:val="28"/>
          <w:szCs w:val="28"/>
        </w:rPr>
        <w:t>性</w:t>
      </w:r>
      <w:r>
        <w:rPr>
          <w:rFonts w:eastAsia="宋体" w:cs="Arial"/>
          <w:sz w:val="28"/>
          <w:szCs w:val="28"/>
        </w:rPr>
        <w:t>文件的编写</w:t>
      </w:r>
      <w:bookmarkEnd w:id="27"/>
      <w:bookmarkEnd w:id="28"/>
      <w:bookmarkEnd w:id="29"/>
      <w:bookmarkEnd w:id="30"/>
      <w:bookmarkEnd w:id="31"/>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9</w:t>
      </w:r>
      <w:r>
        <w:rPr>
          <w:rFonts w:hint="eastAsia" w:ascii="Arial" w:hAnsi="Arial" w:cs="Arial"/>
          <w:sz w:val="24"/>
        </w:rPr>
        <w:t>、</w:t>
      </w:r>
      <w:r>
        <w:rPr>
          <w:rFonts w:ascii="Arial" w:hAnsi="Arial" w:cs="Arial"/>
          <w:sz w:val="24"/>
        </w:rPr>
        <w:t>要求</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9.1 供应商应仔细阅读</w:t>
      </w:r>
      <w:r>
        <w:rPr>
          <w:rFonts w:hint="eastAsia" w:ascii="Arial" w:hAnsi="Arial" w:cs="Arial"/>
          <w:sz w:val="24"/>
        </w:rPr>
        <w:t>磋商</w:t>
      </w:r>
      <w:r>
        <w:rPr>
          <w:rFonts w:ascii="Arial" w:hAnsi="Arial" w:cs="Arial"/>
          <w:sz w:val="24"/>
        </w:rPr>
        <w:t>文件的所有内容，按</w:t>
      </w:r>
      <w:r>
        <w:rPr>
          <w:rFonts w:hint="eastAsia" w:ascii="Arial" w:hAnsi="Arial" w:cs="Arial"/>
          <w:sz w:val="24"/>
        </w:rPr>
        <w:t>磋商</w:t>
      </w:r>
      <w:r>
        <w:rPr>
          <w:rFonts w:ascii="Arial" w:hAnsi="Arial" w:cs="Arial"/>
          <w:sz w:val="24"/>
        </w:rPr>
        <w:t>文件的要求提供</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文件，并保证所提供的全部资料的真实性，以使其</w:t>
      </w:r>
      <w:r>
        <w:rPr>
          <w:rFonts w:hint="eastAsia" w:ascii="Arial" w:hAnsi="Arial" w:cs="Arial"/>
          <w:sz w:val="24"/>
        </w:rPr>
        <w:t>磋商响应</w:t>
      </w:r>
      <w:r>
        <w:rPr>
          <w:rFonts w:ascii="Arial" w:hAnsi="Arial" w:cs="Arial"/>
          <w:sz w:val="24"/>
        </w:rPr>
        <w:t>对</w:t>
      </w:r>
      <w:r>
        <w:rPr>
          <w:rFonts w:hint="eastAsia" w:ascii="Arial" w:hAnsi="Arial" w:cs="Arial"/>
          <w:sz w:val="24"/>
        </w:rPr>
        <w:t>磋商</w:t>
      </w:r>
      <w:r>
        <w:rPr>
          <w:rFonts w:ascii="Arial" w:hAnsi="Arial" w:cs="Arial"/>
          <w:sz w:val="24"/>
        </w:rPr>
        <w:t>文件作出实质性响应，否则，其</w:t>
      </w:r>
      <w:r>
        <w:rPr>
          <w:rFonts w:hint="eastAsia" w:ascii="Arial" w:hAnsi="Arial" w:cs="Arial"/>
          <w:sz w:val="24"/>
        </w:rPr>
        <w:t>磋商</w:t>
      </w:r>
      <w:r>
        <w:rPr>
          <w:rFonts w:ascii="Arial" w:hAnsi="Arial" w:cs="Arial"/>
          <w:sz w:val="24"/>
        </w:rPr>
        <w:t>可能被拒绝。</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10</w:t>
      </w:r>
      <w:r>
        <w:rPr>
          <w:rFonts w:hint="eastAsia" w:ascii="Arial" w:hAnsi="Arial" w:cs="Arial"/>
          <w:sz w:val="24"/>
        </w:rPr>
        <w:t>、磋商</w:t>
      </w:r>
      <w:r>
        <w:rPr>
          <w:rFonts w:ascii="Arial" w:hAnsi="Arial" w:cs="Arial"/>
          <w:sz w:val="24"/>
        </w:rPr>
        <w:t>语言</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10.1</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文件及供应商与招标</w:t>
      </w:r>
      <w:r>
        <w:rPr>
          <w:rFonts w:hint="eastAsia" w:ascii="Arial" w:hAnsi="Arial" w:cs="Arial"/>
          <w:sz w:val="24"/>
        </w:rPr>
        <w:t>代理</w:t>
      </w:r>
      <w:r>
        <w:rPr>
          <w:rFonts w:ascii="Arial" w:hAnsi="Arial" w:cs="Arial"/>
          <w:sz w:val="24"/>
        </w:rPr>
        <w:t>机构就</w:t>
      </w:r>
      <w:r>
        <w:rPr>
          <w:rFonts w:hint="eastAsia" w:ascii="Arial" w:hAnsi="Arial" w:cs="Arial"/>
          <w:sz w:val="24"/>
        </w:rPr>
        <w:t>磋商</w:t>
      </w:r>
      <w:r>
        <w:rPr>
          <w:rFonts w:ascii="Arial" w:hAnsi="Arial" w:cs="Arial"/>
          <w:sz w:val="24"/>
        </w:rPr>
        <w:t>交换的文件和来往信件，应以中文书写</w:t>
      </w:r>
      <w:r>
        <w:rPr>
          <w:rFonts w:hint="eastAsia" w:ascii="Arial" w:hAnsi="Arial" w:cs="Arial"/>
          <w:sz w:val="24"/>
        </w:rPr>
        <w:t>（磋商供应商提交的支持文件和印刷的文献可以使用别的语言，但其相应内容必须附有中文翻译文本，在解释竞争性磋商响应文件时以翻译文本为主）</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11</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文件的构成</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11.1 供应商编写的</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文件应包括下列内容：</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1）磋 商 响 应 函</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2）法定代表人身份证明</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3）法定代表人授权委托书</w:t>
      </w:r>
    </w:p>
    <w:p>
      <w:pPr>
        <w:pageBreakBefore w:val="0"/>
        <w:kinsoku/>
        <w:wordWrap/>
        <w:topLinePunct w:val="0"/>
        <w:bidi w:val="0"/>
        <w:snapToGrid w:val="0"/>
        <w:spacing w:beforeAutospacing="0" w:afterAutospacing="0" w:line="400" w:lineRule="exact"/>
        <w:ind w:left="0" w:leftChars="0" w:right="0" w:rightChars="0" w:firstLine="240" w:firstLineChars="100"/>
        <w:rPr>
          <w:rFonts w:hint="eastAsia" w:ascii="宋体" w:hAnsi="宋体"/>
          <w:color w:val="0000FF"/>
          <w:sz w:val="24"/>
        </w:rPr>
      </w:pPr>
      <w:r>
        <w:rPr>
          <w:rFonts w:hint="eastAsia" w:ascii="宋体" w:hAnsi="宋体"/>
          <w:color w:val="0000FF"/>
          <w:sz w:val="24"/>
        </w:rPr>
        <w:t>4）磋商报价表</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5）商务偏离表</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6）技术偏离表</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7）公司业绩一览表</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8）优惠条件承诺书</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9）售后服务承诺</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10） 无重大违法记录声明</w:t>
      </w:r>
    </w:p>
    <w:p>
      <w:pPr>
        <w:pageBreakBefore w:val="0"/>
        <w:kinsoku/>
        <w:wordWrap/>
        <w:topLinePunct w:val="0"/>
        <w:bidi w:val="0"/>
        <w:snapToGrid w:val="0"/>
        <w:spacing w:beforeAutospacing="0" w:afterAutospacing="0" w:line="400" w:lineRule="exact"/>
        <w:ind w:left="0" w:leftChars="0" w:right="0" w:rightChars="0" w:firstLine="240" w:firstLineChars="100"/>
        <w:rPr>
          <w:rFonts w:hint="eastAsia" w:ascii="宋体" w:hAnsi="宋体"/>
          <w:color w:val="0000FF"/>
          <w:sz w:val="24"/>
        </w:rPr>
      </w:pPr>
      <w:r>
        <w:rPr>
          <w:rFonts w:hint="eastAsia" w:ascii="宋体" w:hAnsi="宋体"/>
          <w:color w:val="0000FF"/>
          <w:sz w:val="24"/>
        </w:rPr>
        <w:t>11)供应商反商业贿赂承诺书</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12）中小微企业证明文件等（如有）</w:t>
      </w:r>
    </w:p>
    <w:p>
      <w:pPr>
        <w:pageBreakBefore w:val="0"/>
        <w:kinsoku/>
        <w:wordWrap/>
        <w:topLinePunct w:val="0"/>
        <w:bidi w:val="0"/>
        <w:snapToGrid w:val="0"/>
        <w:spacing w:beforeAutospacing="0" w:afterAutospacing="0" w:line="400" w:lineRule="exact"/>
        <w:ind w:left="0" w:leftChars="0" w:right="0" w:rightChars="0" w:firstLine="240" w:firstLineChars="100"/>
        <w:rPr>
          <w:rFonts w:ascii="宋体" w:hAnsi="宋体"/>
          <w:color w:val="0000FF"/>
          <w:sz w:val="24"/>
        </w:rPr>
      </w:pPr>
      <w:r>
        <w:rPr>
          <w:rFonts w:hint="eastAsia" w:ascii="宋体" w:hAnsi="宋体"/>
          <w:color w:val="0000FF"/>
          <w:sz w:val="24"/>
        </w:rPr>
        <w:t>13）投标人认为有必要提交的其他相关证明材料</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11.</w:t>
      </w:r>
      <w:r>
        <w:rPr>
          <w:rFonts w:hint="eastAsia" w:ascii="Arial" w:hAnsi="Arial" w:cs="Arial"/>
          <w:sz w:val="24"/>
        </w:rPr>
        <w:t>2</w:t>
      </w:r>
      <w:r>
        <w:rPr>
          <w:rFonts w:ascii="Arial" w:hAnsi="Arial" w:cs="Arial"/>
          <w:sz w:val="24"/>
        </w:rPr>
        <w:t>供应商应将</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文件装订成册，并填写文件资料清单。</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12</w:t>
      </w:r>
      <w:r>
        <w:rPr>
          <w:rFonts w:hint="eastAsia" w:ascii="Arial" w:hAnsi="Arial" w:cs="Arial"/>
          <w:sz w:val="24"/>
        </w:rPr>
        <w:t>、磋商</w:t>
      </w:r>
      <w:r>
        <w:rPr>
          <w:rFonts w:ascii="Arial" w:hAnsi="Arial" w:cs="Arial"/>
          <w:sz w:val="24"/>
        </w:rPr>
        <w:t>响应文件格式</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ascii="Arial" w:hAnsi="Arial" w:cs="Arial"/>
          <w:sz w:val="24"/>
        </w:rPr>
        <w:t>12.1 供应商应按</w:t>
      </w:r>
      <w:r>
        <w:rPr>
          <w:rFonts w:hint="eastAsia" w:ascii="Arial" w:hAnsi="Arial" w:cs="Arial"/>
          <w:sz w:val="24"/>
        </w:rPr>
        <w:t>磋商</w:t>
      </w:r>
      <w:r>
        <w:rPr>
          <w:rFonts w:ascii="Arial" w:hAnsi="Arial" w:cs="Arial"/>
          <w:sz w:val="24"/>
        </w:rPr>
        <w:t>文件的范本格式中提供的文件格式填写。</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13</w:t>
      </w:r>
      <w:r>
        <w:rPr>
          <w:rFonts w:hint="eastAsia" w:ascii="Arial" w:hAnsi="Arial" w:cs="Arial"/>
          <w:sz w:val="24"/>
        </w:rPr>
        <w:t>、磋商</w:t>
      </w:r>
      <w:r>
        <w:rPr>
          <w:rFonts w:ascii="Arial" w:hAnsi="Arial" w:cs="Arial"/>
          <w:sz w:val="24"/>
        </w:rPr>
        <w:t>报价</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13.1 供应商应在</w:t>
      </w:r>
      <w:r>
        <w:rPr>
          <w:rFonts w:hint="eastAsia" w:ascii="Arial" w:hAnsi="Arial" w:cs="Arial"/>
          <w:sz w:val="24"/>
        </w:rPr>
        <w:t>磋商报价</w:t>
      </w:r>
      <w:r>
        <w:rPr>
          <w:rFonts w:ascii="Arial" w:hAnsi="Arial" w:cs="Arial"/>
          <w:sz w:val="24"/>
        </w:rPr>
        <w:t>表上标明单价和总价。单价和总价要相符。小写和大写要相符。供应商应在</w:t>
      </w:r>
      <w:r>
        <w:rPr>
          <w:rFonts w:hint="eastAsia" w:ascii="Arial" w:hAnsi="Arial" w:cs="Arial"/>
          <w:sz w:val="24"/>
        </w:rPr>
        <w:t>磋商报价</w:t>
      </w:r>
      <w:r>
        <w:rPr>
          <w:rFonts w:ascii="Arial" w:hAnsi="Arial" w:cs="Arial"/>
          <w:sz w:val="24"/>
        </w:rPr>
        <w:t>表中标明其提供的所有</w:t>
      </w:r>
      <w:r>
        <w:rPr>
          <w:rFonts w:hint="eastAsia" w:ascii="Arial" w:hAnsi="Arial" w:cs="Arial"/>
          <w:sz w:val="24"/>
        </w:rPr>
        <w:t>服务</w:t>
      </w:r>
      <w:r>
        <w:rPr>
          <w:rFonts w:ascii="Arial" w:hAnsi="Arial" w:cs="Arial"/>
          <w:sz w:val="24"/>
        </w:rPr>
        <w:t>及其相关工作范围内所有费用的总价，不接受有任何选择性</w:t>
      </w:r>
      <w:r>
        <w:rPr>
          <w:rFonts w:hint="eastAsia" w:ascii="Arial" w:hAnsi="Arial" w:cs="Arial"/>
          <w:sz w:val="24"/>
        </w:rPr>
        <w:t>磋商</w:t>
      </w:r>
      <w:r>
        <w:rPr>
          <w:rFonts w:ascii="Arial" w:hAnsi="Arial" w:cs="Arial"/>
          <w:sz w:val="24"/>
        </w:rPr>
        <w:t>报价。</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13.2算术性修正。算术性修正是指对磋商响应文件的报价明细进行校核，并对其算术上和运算上的差错给予修正。修正的原则如下：</w:t>
      </w:r>
    </w:p>
    <w:p>
      <w:pPr>
        <w:pageBreakBefore w:val="0"/>
        <w:kinsoku/>
        <w:wordWrap/>
        <w:topLinePunct w:val="0"/>
        <w:bidi w:val="0"/>
        <w:spacing w:beforeAutospacing="0" w:afterAutospacing="0" w:line="400" w:lineRule="exact"/>
        <w:ind w:left="240" w:leftChars="0" w:right="0" w:rightChars="0" w:hanging="240" w:hangingChars="100"/>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2</w:t>
      </w:r>
      <w:r>
        <w:rPr>
          <w:rFonts w:ascii="Arial" w:hAnsi="Arial" w:cs="Arial"/>
          <w:sz w:val="24"/>
        </w:rPr>
        <w:t xml:space="preserve">.1 </w:t>
      </w:r>
      <w:r>
        <w:rPr>
          <w:rFonts w:hint="eastAsia" w:ascii="Arial" w:hAnsi="Arial" w:cs="Arial"/>
          <w:sz w:val="24"/>
        </w:rPr>
        <w:t>当以数字表示的金额与文字表示的金额有差异时，以文字表示的金额为准；</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2</w:t>
      </w:r>
      <w:r>
        <w:rPr>
          <w:rFonts w:ascii="Arial" w:hAnsi="Arial" w:cs="Arial"/>
          <w:sz w:val="24"/>
        </w:rPr>
        <w:t xml:space="preserve">.2 </w:t>
      </w:r>
      <w:r>
        <w:rPr>
          <w:rFonts w:hint="eastAsia" w:ascii="Arial" w:hAnsi="Arial" w:cs="Arial"/>
          <w:sz w:val="24"/>
        </w:rPr>
        <w:t>当单价与数量相乘不等于合价时，以单价计算为准。如果单价有明显的小数点位置差错，应以标出的合价为准，同时对单价予以修正；</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2</w:t>
      </w:r>
      <w:r>
        <w:rPr>
          <w:rFonts w:ascii="Arial" w:hAnsi="Arial" w:cs="Arial"/>
          <w:sz w:val="24"/>
        </w:rPr>
        <w:t xml:space="preserve">.3 </w:t>
      </w:r>
      <w:r>
        <w:rPr>
          <w:rFonts w:hint="eastAsia" w:ascii="Arial" w:hAnsi="Arial" w:cs="Arial"/>
          <w:sz w:val="24"/>
        </w:rPr>
        <w:t>当各明细部分的价格累计不等于合价时，应以各明细的累计计数为准，修正合价。</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1</w:t>
      </w:r>
      <w:r>
        <w:rPr>
          <w:rFonts w:ascii="Arial" w:hAnsi="Arial" w:cs="Arial"/>
          <w:sz w:val="24"/>
        </w:rPr>
        <w:t>3.</w:t>
      </w:r>
      <w:r>
        <w:rPr>
          <w:rFonts w:hint="eastAsia" w:ascii="Arial" w:hAnsi="Arial" w:cs="Arial"/>
          <w:sz w:val="24"/>
        </w:rPr>
        <w:t>2</w:t>
      </w:r>
      <w:r>
        <w:rPr>
          <w:rFonts w:ascii="Arial" w:hAnsi="Arial" w:cs="Arial"/>
          <w:sz w:val="24"/>
        </w:rPr>
        <w:t xml:space="preserve">.4 </w:t>
      </w:r>
      <w:r>
        <w:rPr>
          <w:rFonts w:hint="eastAsia" w:ascii="Arial" w:hAnsi="Arial" w:cs="Arial"/>
          <w:sz w:val="24"/>
        </w:rPr>
        <w:t>按以上原则对算术性差错修正，应取得供应商的同意，并确认修正后最终磋商报价。如果供应商拒绝确认，则其磋商响应文件将不予以评审并按废标处理，没收其投标担保。</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14</w:t>
      </w:r>
      <w:r>
        <w:rPr>
          <w:rFonts w:hint="eastAsia" w:ascii="Arial" w:hAnsi="Arial" w:cs="Arial"/>
          <w:sz w:val="24"/>
        </w:rPr>
        <w:t>、</w:t>
      </w:r>
      <w:r>
        <w:rPr>
          <w:rFonts w:ascii="Arial" w:hAnsi="Arial" w:cs="Arial"/>
          <w:sz w:val="24"/>
        </w:rPr>
        <w:t>投标货币</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14.1人民币报价。</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15</w:t>
      </w:r>
      <w:r>
        <w:rPr>
          <w:rFonts w:hint="eastAsia" w:ascii="Arial" w:hAnsi="Arial" w:cs="Arial"/>
          <w:sz w:val="24"/>
        </w:rPr>
        <w:t>、</w:t>
      </w:r>
      <w:r>
        <w:rPr>
          <w:rFonts w:ascii="Arial" w:hAnsi="Arial" w:cs="Arial"/>
          <w:sz w:val="24"/>
        </w:rPr>
        <w:t>供应商的证明文件</w:t>
      </w:r>
      <w:r>
        <w:rPr>
          <w:rFonts w:hint="eastAsia" w:ascii="Arial" w:hAnsi="Arial" w:cs="Arial"/>
          <w:sz w:val="24"/>
        </w:rPr>
        <w:t>：</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pacing w:val="8"/>
          <w:sz w:val="24"/>
          <w:szCs w:val="24"/>
        </w:rPr>
      </w:pPr>
      <w:r>
        <w:rPr>
          <w:rFonts w:ascii="Arial" w:hAnsi="Arial" w:cs="Arial"/>
          <w:sz w:val="24"/>
        </w:rPr>
        <w:t>供应商必须提交证明其有资格进行</w:t>
      </w:r>
      <w:r>
        <w:rPr>
          <w:rFonts w:hint="eastAsia" w:ascii="Arial" w:hAnsi="Arial" w:cs="Arial"/>
          <w:sz w:val="24"/>
        </w:rPr>
        <w:t>磋商</w:t>
      </w:r>
      <w:r>
        <w:rPr>
          <w:rFonts w:ascii="Arial" w:hAnsi="Arial" w:cs="Arial"/>
          <w:sz w:val="24"/>
        </w:rPr>
        <w:t>和有能力履行合同的文件（范本格式），作为</w:t>
      </w:r>
      <w:r>
        <w:rPr>
          <w:rFonts w:hint="eastAsia" w:ascii="Arial" w:hAnsi="Arial" w:cs="Arial"/>
          <w:sz w:val="24"/>
        </w:rPr>
        <w:t>磋商</w:t>
      </w:r>
      <w:r>
        <w:rPr>
          <w:rFonts w:ascii="Arial" w:hAnsi="Arial" w:cs="Arial"/>
          <w:sz w:val="24"/>
        </w:rPr>
        <w:t>响应文件的一部分。</w:t>
      </w:r>
      <w:r>
        <w:rPr>
          <w:rFonts w:hint="eastAsia" w:ascii="Arial" w:hAnsi="Arial" w:cs="Arial"/>
          <w:sz w:val="24"/>
        </w:rPr>
        <w:t>（</w:t>
      </w:r>
      <w:r>
        <w:rPr>
          <w:rFonts w:hint="eastAsia" w:ascii="Arial" w:hAnsi="Arial" w:cs="Arial"/>
          <w:spacing w:val="8"/>
          <w:sz w:val="24"/>
          <w:szCs w:val="24"/>
        </w:rPr>
        <w:t>如不满足以下条款将导致废标）</w:t>
      </w:r>
    </w:p>
    <w:p>
      <w:pPr>
        <w:pStyle w:val="30"/>
        <w:pageBreakBefore w:val="0"/>
        <w:kinsoku/>
        <w:wordWrap/>
        <w:topLinePunct w:val="0"/>
        <w:bidi w:val="0"/>
        <w:spacing w:before="0" w:beforeAutospacing="0" w:after="0" w:afterAutospacing="0" w:line="400" w:lineRule="exact"/>
        <w:ind w:left="0" w:leftChars="0" w:right="0" w:rightChars="0" w:firstLine="240" w:firstLineChars="100"/>
        <w:jc w:val="both"/>
        <w:rPr>
          <w:rFonts w:ascii="宋体" w:hAnsi="宋体" w:eastAsia="宋体" w:cs="宋体"/>
        </w:rPr>
      </w:pPr>
      <w:r>
        <w:rPr>
          <w:rFonts w:hint="eastAsia" w:ascii="宋体" w:hAnsi="宋体" w:eastAsia="宋体" w:cs="宋体"/>
          <w:color w:val="000000"/>
        </w:rPr>
        <w:t>15.1落实政府采购政策需满足的资格要求：详见政府采购法；</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15.2供应商须符合《中华人民共和国政府采购法》第二十二条规定,并提供《中华人民共和国政府采购法实施条例》第十七条所要求的材料；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① 供应商提供有效的统一社会信用代码的营业执照，供应商必须是中华人民共和国境内注册的，具有独立承担民事责任的能力；</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② 财务状况报告：供应商提供2020年度经第三方权威机构出具的完整的财务审计报告或自发布公告之日起基本开户银行出具的资信证明；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③ 依法缴纳税收：供应商提供自投标截止之日前半年内任意一个月依法缴纳税收的凭据，依法免税的供应商，应提供充足的证明材料；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④ 依法缴纳社保：供应商提供自投标截止之日前半年内任意一个月依法缴纳社会保障资金的凭据；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⑤ 供应商具备履行合同所必需的设备和专业技术能力的证明材料；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⑥ 供应商提供参加政府采购活动前 3 年内在经营活动中没有重大违法记录的书面声明（截至开标日成立不满 3 年的供应商，可提供自成立以来无重大违法记录的书面声明）。 </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15.3供应商提供法人授权委托书及被授权人身份证原件； </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15.4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15.5本项目不接受联合体投标；</w:t>
      </w:r>
    </w:p>
    <w:p>
      <w:pPr>
        <w:pStyle w:val="30"/>
        <w:pageBreakBefore w:val="0"/>
        <w:kinsoku/>
        <w:wordWrap/>
        <w:topLinePunct w:val="0"/>
        <w:bidi w:val="0"/>
        <w:spacing w:before="0" w:beforeAutospacing="0" w:after="0" w:afterAutospacing="0" w:line="400" w:lineRule="exact"/>
        <w:ind w:left="0" w:leftChars="0" w:right="0" w:rightChars="0" w:firstLine="240" w:firstLineChars="100"/>
        <w:rPr>
          <w:rFonts w:ascii="宋体" w:hAnsi="宋体" w:eastAsia="宋体" w:cs="宋体"/>
        </w:rPr>
      </w:pPr>
      <w:r>
        <w:rPr>
          <w:rFonts w:hint="eastAsia" w:ascii="宋体" w:hAnsi="宋体" w:eastAsia="宋体" w:cs="宋体"/>
          <w:color w:val="000000"/>
        </w:rPr>
        <w:t>15.6单位负责人为同一人或者存在直接控股、管理关系的不同投标人，不得同时参加本项目的竞争。 </w:t>
      </w:r>
    </w:p>
    <w:p>
      <w:pPr>
        <w:pageBreakBefore w:val="0"/>
        <w:tabs>
          <w:tab w:val="left" w:pos="252"/>
          <w:tab w:val="left" w:pos="671"/>
        </w:tabs>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ascii="Arial" w:hAnsi="Arial" w:cs="Arial"/>
          <w:sz w:val="24"/>
        </w:rPr>
        <w:t>注：（1）</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文件中，所有供应商签字、法人代表签字、法人代表授权人签字和其它签字处</w:t>
      </w:r>
      <w:r>
        <w:rPr>
          <w:rFonts w:hint="eastAsia" w:ascii="Arial" w:hAnsi="Arial" w:cs="Arial"/>
          <w:sz w:val="24"/>
        </w:rPr>
        <w:t>必须签字</w:t>
      </w:r>
      <w:r>
        <w:rPr>
          <w:rFonts w:ascii="Arial" w:hAnsi="Arial" w:cs="Arial"/>
          <w:sz w:val="24"/>
        </w:rPr>
        <w:t>有效；</w:t>
      </w:r>
    </w:p>
    <w:p>
      <w:pPr>
        <w:pageBreakBefore w:val="0"/>
        <w:kinsoku/>
        <w:wordWrap/>
        <w:topLinePunct w:val="0"/>
        <w:bidi w:val="0"/>
        <w:spacing w:beforeAutospacing="0" w:afterAutospacing="0" w:line="400" w:lineRule="exact"/>
        <w:ind w:left="0" w:leftChars="0" w:right="0" w:rightChars="0" w:firstLine="840" w:firstLineChars="350"/>
        <w:rPr>
          <w:rFonts w:ascii="Arial" w:hAnsi="Arial" w:cs="Arial"/>
          <w:sz w:val="24"/>
        </w:rPr>
      </w:pPr>
      <w:r>
        <w:rPr>
          <w:rFonts w:ascii="Arial" w:hAnsi="Arial" w:cs="Arial"/>
          <w:sz w:val="24"/>
        </w:rPr>
        <w:t>（</w:t>
      </w:r>
      <w:r>
        <w:rPr>
          <w:rFonts w:hint="eastAsia" w:ascii="Arial" w:hAnsi="Arial" w:cs="Arial"/>
          <w:sz w:val="24"/>
        </w:rPr>
        <w:t>2</w:t>
      </w:r>
      <w:r>
        <w:rPr>
          <w:rFonts w:ascii="Arial" w:hAnsi="Arial" w:cs="Arial"/>
          <w:sz w:val="24"/>
        </w:rPr>
        <w:t>）所有资格证明文件必须满足</w:t>
      </w:r>
      <w:r>
        <w:rPr>
          <w:rFonts w:hint="eastAsia" w:ascii="Arial" w:hAnsi="Arial" w:cs="Arial"/>
          <w:sz w:val="24"/>
        </w:rPr>
        <w:t>磋商</w:t>
      </w:r>
      <w:r>
        <w:rPr>
          <w:rFonts w:ascii="Arial" w:hAnsi="Arial" w:cs="Arial"/>
          <w:sz w:val="24"/>
        </w:rPr>
        <w:t>文件要求，否则将导致废标。</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16</w:t>
      </w:r>
      <w:r>
        <w:rPr>
          <w:rFonts w:hint="eastAsia" w:ascii="Arial" w:hAnsi="Arial" w:cs="Arial"/>
          <w:sz w:val="24"/>
        </w:rPr>
        <w:t>、参数</w:t>
      </w:r>
      <w:r>
        <w:rPr>
          <w:rFonts w:ascii="Arial" w:hAnsi="Arial" w:cs="Arial"/>
          <w:sz w:val="24"/>
        </w:rPr>
        <w:t>符合</w:t>
      </w:r>
      <w:r>
        <w:rPr>
          <w:rFonts w:hint="eastAsia" w:ascii="Arial" w:hAnsi="Arial" w:cs="Arial"/>
          <w:sz w:val="24"/>
        </w:rPr>
        <w:t>磋商</w:t>
      </w:r>
      <w:r>
        <w:rPr>
          <w:rFonts w:ascii="Arial" w:hAnsi="Arial" w:cs="Arial"/>
          <w:sz w:val="24"/>
        </w:rPr>
        <w:t>文件规定的</w:t>
      </w:r>
      <w:r>
        <w:rPr>
          <w:rFonts w:hint="eastAsia" w:ascii="Arial" w:hAnsi="Arial" w:cs="Arial"/>
          <w:sz w:val="24"/>
        </w:rPr>
        <w:t>技术要求</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ascii="Arial" w:hAnsi="Arial" w:cs="Arial"/>
          <w:sz w:val="24"/>
        </w:rPr>
        <w:t>16.1供应商提交</w:t>
      </w:r>
      <w:r>
        <w:rPr>
          <w:rFonts w:hint="eastAsia" w:ascii="Arial" w:hAnsi="Arial" w:cs="Arial"/>
          <w:sz w:val="24"/>
        </w:rPr>
        <w:t>的成果资料</w:t>
      </w:r>
      <w:r>
        <w:rPr>
          <w:rFonts w:ascii="Arial" w:hAnsi="Arial" w:cs="Arial"/>
          <w:sz w:val="24"/>
        </w:rPr>
        <w:t>符合</w:t>
      </w:r>
      <w:r>
        <w:rPr>
          <w:rFonts w:hint="eastAsia" w:ascii="Arial" w:hAnsi="Arial" w:cs="Arial"/>
          <w:sz w:val="24"/>
        </w:rPr>
        <w:t>磋商</w:t>
      </w:r>
      <w:r>
        <w:rPr>
          <w:rFonts w:ascii="Arial" w:hAnsi="Arial" w:cs="Arial"/>
          <w:sz w:val="24"/>
        </w:rPr>
        <w:t>文件规定的</w:t>
      </w:r>
      <w:r>
        <w:rPr>
          <w:rFonts w:hint="eastAsia" w:ascii="Arial" w:hAnsi="Arial" w:cs="Arial"/>
          <w:sz w:val="24"/>
        </w:rPr>
        <w:t>要求</w:t>
      </w:r>
      <w:r>
        <w:rPr>
          <w:rFonts w:ascii="Arial" w:hAnsi="Arial" w:cs="Arial"/>
          <w:sz w:val="24"/>
        </w:rPr>
        <w:t>，作为</w:t>
      </w:r>
      <w:r>
        <w:rPr>
          <w:rFonts w:hint="eastAsia" w:ascii="Arial" w:hAnsi="Arial" w:cs="Arial"/>
          <w:sz w:val="24"/>
        </w:rPr>
        <w:t>磋商</w:t>
      </w:r>
      <w:r>
        <w:rPr>
          <w:rFonts w:ascii="Arial" w:hAnsi="Arial" w:cs="Arial"/>
          <w:sz w:val="24"/>
        </w:rPr>
        <w:t>响应文件的一部分。</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17</w:t>
      </w:r>
      <w:r>
        <w:rPr>
          <w:rFonts w:hint="eastAsia" w:ascii="Arial" w:hAnsi="Arial" w:cs="Arial"/>
          <w:sz w:val="24"/>
        </w:rPr>
        <w:t>、磋商</w:t>
      </w:r>
      <w:r>
        <w:rPr>
          <w:rFonts w:ascii="Arial" w:hAnsi="Arial" w:cs="Arial"/>
          <w:sz w:val="24"/>
        </w:rPr>
        <w:t>的有效期</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17.1 </w:t>
      </w:r>
      <w:r>
        <w:rPr>
          <w:rFonts w:hint="eastAsia" w:ascii="Arial" w:hAnsi="Arial" w:cs="Arial"/>
          <w:sz w:val="24"/>
        </w:rPr>
        <w:t>磋商</w:t>
      </w:r>
      <w:r>
        <w:rPr>
          <w:rFonts w:ascii="Arial" w:hAnsi="Arial" w:cs="Arial"/>
          <w:sz w:val="24"/>
        </w:rPr>
        <w:t>响应文件从</w:t>
      </w:r>
      <w:r>
        <w:rPr>
          <w:rFonts w:hint="eastAsia" w:ascii="Arial" w:hAnsi="Arial" w:cs="Arial"/>
          <w:sz w:val="24"/>
        </w:rPr>
        <w:t>磋商</w:t>
      </w:r>
      <w:r>
        <w:rPr>
          <w:rFonts w:ascii="Arial" w:hAnsi="Arial" w:cs="Arial"/>
          <w:sz w:val="24"/>
        </w:rPr>
        <w:t>之日起，投标有效期为</w:t>
      </w:r>
      <w:r>
        <w:rPr>
          <w:rFonts w:hint="eastAsia" w:ascii="Arial" w:hAnsi="Arial" w:cs="Arial"/>
          <w:sz w:val="24"/>
        </w:rPr>
        <w:t>60</w:t>
      </w:r>
      <w:r>
        <w:rPr>
          <w:rFonts w:ascii="Arial" w:hAnsi="Arial" w:cs="Arial"/>
          <w:sz w:val="24"/>
        </w:rPr>
        <w:t>天。（如不满足将导致废标）</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17.2 在特殊情况下，招标</w:t>
      </w:r>
      <w:r>
        <w:rPr>
          <w:rFonts w:hint="eastAsia" w:ascii="Arial" w:hAnsi="Arial" w:cs="Arial"/>
          <w:sz w:val="24"/>
        </w:rPr>
        <w:t>代理</w:t>
      </w:r>
      <w:r>
        <w:rPr>
          <w:rFonts w:ascii="Arial" w:hAnsi="Arial" w:cs="Arial"/>
          <w:sz w:val="24"/>
        </w:rPr>
        <w:t>机构可与供应商商量延长</w:t>
      </w:r>
      <w:r>
        <w:rPr>
          <w:rFonts w:hint="eastAsia" w:ascii="Arial" w:hAnsi="Arial" w:cs="Arial"/>
          <w:sz w:val="24"/>
        </w:rPr>
        <w:t>磋商</w:t>
      </w:r>
      <w:r>
        <w:rPr>
          <w:rFonts w:ascii="Arial" w:hAnsi="Arial" w:cs="Arial"/>
          <w:sz w:val="24"/>
        </w:rPr>
        <w:t>响应文件的有效期。</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18</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文件的书写要求。</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18.1 </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文件须打印。</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18.2 </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文件应清楚工整，修改处应由</w:t>
      </w:r>
      <w:r>
        <w:rPr>
          <w:rFonts w:hint="eastAsia" w:ascii="Arial" w:hAnsi="Arial" w:cs="Arial"/>
          <w:sz w:val="24"/>
        </w:rPr>
        <w:t>磋商供应商</w:t>
      </w:r>
      <w:r>
        <w:rPr>
          <w:rFonts w:ascii="Arial" w:hAnsi="Arial" w:cs="Arial"/>
          <w:sz w:val="24"/>
        </w:rPr>
        <w:t>全权代表签章。</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18.3</w:t>
      </w:r>
      <w:r>
        <w:rPr>
          <w:rFonts w:hint="eastAsia" w:ascii="Arial" w:hAnsi="Arial" w:cs="Arial"/>
          <w:b/>
          <w:sz w:val="24"/>
        </w:rPr>
        <w:t>磋商响应性文件中要求由投标人法定代表人或被授权人签字的内容必须签字、盖章的内容必须盖章，否则视为无效投标。</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18.4电报、电话、传真形式的投标概不接受。</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bCs/>
          <w:sz w:val="24"/>
        </w:rPr>
      </w:pPr>
      <w:r>
        <w:rPr>
          <w:rFonts w:ascii="Arial" w:hAnsi="Arial" w:cs="Arial"/>
          <w:bCs/>
          <w:sz w:val="24"/>
        </w:rPr>
        <w:t>18.5</w:t>
      </w:r>
      <w:r>
        <w:rPr>
          <w:rFonts w:hint="eastAsia" w:ascii="Arial" w:hAnsi="Arial" w:cs="Arial"/>
          <w:bCs/>
          <w:sz w:val="24"/>
        </w:rPr>
        <w:t>磋商</w:t>
      </w:r>
      <w:r>
        <w:rPr>
          <w:rFonts w:ascii="Arial" w:hAnsi="Arial" w:cs="Arial"/>
          <w:bCs/>
          <w:sz w:val="24"/>
        </w:rPr>
        <w:t>响应文件的份数：正本1份，副本</w:t>
      </w:r>
      <w:r>
        <w:rPr>
          <w:rFonts w:hint="eastAsia" w:ascii="Arial" w:hAnsi="Arial" w:cs="Arial"/>
          <w:bCs/>
          <w:sz w:val="24"/>
          <w:lang w:val="en-US" w:eastAsia="zh-CN"/>
        </w:rPr>
        <w:t>2</w:t>
      </w:r>
      <w:r>
        <w:rPr>
          <w:rFonts w:ascii="Arial" w:hAnsi="Arial" w:cs="Arial"/>
          <w:bCs/>
          <w:sz w:val="24"/>
        </w:rPr>
        <w:t>份</w:t>
      </w:r>
      <w:r>
        <w:rPr>
          <w:rFonts w:hint="eastAsia" w:ascii="Arial" w:hAnsi="Arial" w:cs="Arial"/>
          <w:bCs/>
          <w:sz w:val="24"/>
        </w:rPr>
        <w:t>，开标一览表1份，电子U盘1份</w:t>
      </w:r>
      <w:r>
        <w:rPr>
          <w:rFonts w:hint="eastAsia" w:ascii="Arial" w:hAnsi="Arial" w:cs="Arial"/>
          <w:bCs/>
          <w:sz w:val="24"/>
          <w:lang w:eastAsia="zh-CN"/>
        </w:rPr>
        <w:t>，光盘一份</w:t>
      </w:r>
      <w:r>
        <w:rPr>
          <w:rFonts w:ascii="Arial" w:hAnsi="Arial" w:cs="Arial"/>
          <w:bCs/>
          <w:sz w:val="24"/>
        </w:rPr>
        <w:t>。</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19</w:t>
      </w:r>
      <w:r>
        <w:rPr>
          <w:rFonts w:hint="eastAsia" w:ascii="Arial" w:hAnsi="Arial" w:cs="Arial"/>
          <w:sz w:val="24"/>
        </w:rPr>
        <w:t>、</w:t>
      </w:r>
      <w:r>
        <w:rPr>
          <w:rFonts w:ascii="Arial" w:hAnsi="Arial" w:cs="Arial"/>
          <w:sz w:val="24"/>
        </w:rPr>
        <w:t>投标保证金</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ascii="Arial" w:hAnsi="Arial" w:cs="Arial"/>
          <w:sz w:val="24"/>
        </w:rPr>
        <w:t>19.1供应商按照</w:t>
      </w:r>
      <w:r>
        <w:rPr>
          <w:rFonts w:hint="eastAsia" w:ascii="Arial" w:hAnsi="Arial" w:cs="Arial"/>
          <w:sz w:val="24"/>
        </w:rPr>
        <w:t>供应商须知附表中要求缴纳磋商响应保证金</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19.2</w:t>
      </w:r>
      <w:r>
        <w:rPr>
          <w:rFonts w:hint="eastAsia" w:ascii="Arial" w:hAnsi="Arial" w:cs="Arial"/>
          <w:sz w:val="24"/>
        </w:rPr>
        <w:t>本次招标接受网银或电汇等非现金方式缴纳作为磋商保证金，</w:t>
      </w:r>
      <w:r>
        <w:rPr>
          <w:rFonts w:hint="eastAsia" w:ascii="Arial" w:hAnsi="Arial" w:cs="Arial"/>
          <w:sz w:val="24"/>
          <w:szCs w:val="24"/>
        </w:rPr>
        <w:t>磋商</w:t>
      </w:r>
      <w:r>
        <w:rPr>
          <w:rFonts w:ascii="Arial" w:hAnsi="Arial" w:cs="Arial"/>
          <w:sz w:val="24"/>
          <w:szCs w:val="24"/>
        </w:rPr>
        <w:t>保证金</w:t>
      </w:r>
      <w:r>
        <w:rPr>
          <w:rFonts w:hint="eastAsia" w:ascii="Arial" w:hAnsi="Arial" w:cs="Arial"/>
          <w:sz w:val="24"/>
          <w:szCs w:val="24"/>
        </w:rPr>
        <w:t>有效期应当与磋商响应有效期一致</w:t>
      </w:r>
      <w:r>
        <w:rPr>
          <w:rFonts w:ascii="Arial" w:hAnsi="Arial" w:cs="Arial"/>
          <w:sz w:val="24"/>
        </w:rPr>
        <w:t>。</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ascii="Arial" w:hAnsi="Arial" w:cs="Arial"/>
          <w:sz w:val="24"/>
        </w:rPr>
        <w:t>19.3</w:t>
      </w:r>
      <w:r>
        <w:rPr>
          <w:rFonts w:hint="eastAsia" w:ascii="Arial" w:hAnsi="Arial" w:cs="Arial"/>
          <w:sz w:val="24"/>
        </w:rPr>
        <w:t>磋商保证金的退还时间：</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19.3.1中标供应商的投标保证金，将在合同签订后的5个工作日内予以退还；未中标供应商的投标保证金在中标通知书发出后5个工作日内予以退还。</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19.4未按规定提交</w:t>
      </w:r>
      <w:r>
        <w:rPr>
          <w:rFonts w:hint="eastAsia" w:ascii="Arial" w:hAnsi="Arial" w:cs="Arial"/>
          <w:sz w:val="24"/>
        </w:rPr>
        <w:t>磋商</w:t>
      </w:r>
      <w:r>
        <w:rPr>
          <w:rFonts w:ascii="Arial" w:hAnsi="Arial" w:cs="Arial"/>
          <w:sz w:val="24"/>
        </w:rPr>
        <w:t>保证金的投标，将被视为</w:t>
      </w:r>
      <w:r>
        <w:rPr>
          <w:rFonts w:hint="eastAsia" w:ascii="Arial" w:hAnsi="Arial" w:cs="Arial"/>
          <w:sz w:val="24"/>
        </w:rPr>
        <w:t>磋商</w:t>
      </w:r>
      <w:r>
        <w:rPr>
          <w:rFonts w:ascii="Arial" w:hAnsi="Arial" w:cs="Arial"/>
          <w:sz w:val="24"/>
        </w:rPr>
        <w:t>无效。</w:t>
      </w:r>
    </w:p>
    <w:p>
      <w:pPr>
        <w:pStyle w:val="20"/>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19.5下列任何情况发生时，</w:t>
      </w:r>
      <w:r>
        <w:rPr>
          <w:rFonts w:hint="eastAsia" w:ascii="Arial" w:hAnsi="Arial" w:cs="Arial"/>
          <w:sz w:val="24"/>
        </w:rPr>
        <w:t>磋商</w:t>
      </w:r>
      <w:r>
        <w:rPr>
          <w:rFonts w:ascii="Arial" w:hAnsi="Arial" w:cs="Arial"/>
          <w:sz w:val="24"/>
        </w:rPr>
        <w:t>保证金将被没收：</w:t>
      </w:r>
    </w:p>
    <w:p>
      <w:pPr>
        <w:pStyle w:val="20"/>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ascii="Arial" w:hAnsi="Arial" w:cs="Arial"/>
          <w:sz w:val="24"/>
        </w:rPr>
        <w:t>19.5.1供应商在</w:t>
      </w:r>
      <w:r>
        <w:rPr>
          <w:rFonts w:hint="eastAsia" w:ascii="Arial" w:hAnsi="Arial" w:cs="Arial"/>
          <w:sz w:val="24"/>
        </w:rPr>
        <w:t>磋商</w:t>
      </w:r>
      <w:r>
        <w:rPr>
          <w:rFonts w:ascii="Arial" w:hAnsi="Arial" w:cs="Arial"/>
          <w:sz w:val="24"/>
        </w:rPr>
        <w:t>文件规定的投标有效期内撤回其</w:t>
      </w:r>
      <w:r>
        <w:rPr>
          <w:rFonts w:hint="eastAsia" w:ascii="Arial" w:hAnsi="Arial" w:cs="Arial"/>
          <w:sz w:val="24"/>
        </w:rPr>
        <w:t>磋商</w:t>
      </w:r>
      <w:r>
        <w:rPr>
          <w:rFonts w:ascii="Arial" w:hAnsi="Arial" w:cs="Arial"/>
          <w:sz w:val="24"/>
        </w:rPr>
        <w:t>；</w:t>
      </w:r>
    </w:p>
    <w:p>
      <w:pPr>
        <w:pStyle w:val="20"/>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ascii="Arial" w:hAnsi="Arial" w:cs="Arial"/>
          <w:sz w:val="24"/>
        </w:rPr>
        <w:t>19.5.2成交方在规定期限内未能：</w:t>
      </w:r>
    </w:p>
    <w:p>
      <w:pPr>
        <w:pStyle w:val="20"/>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ascii="Arial" w:hAnsi="Arial" w:cs="Arial"/>
          <w:sz w:val="24"/>
        </w:rPr>
        <w:t>19.5.2.1按本须知第31条规定签订合同；</w:t>
      </w:r>
    </w:p>
    <w:p>
      <w:pPr>
        <w:pStyle w:val="20"/>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ascii="Arial" w:hAnsi="Arial" w:cs="Arial"/>
          <w:sz w:val="24"/>
        </w:rPr>
        <w:t>19.5.2.2按须知第32条向买方提交履约保证金；</w:t>
      </w:r>
    </w:p>
    <w:p>
      <w:pPr>
        <w:pStyle w:val="20"/>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ascii="Arial" w:hAnsi="Arial" w:cs="Arial"/>
          <w:sz w:val="24"/>
        </w:rPr>
        <w:t>19.5.2.3按本须知第33条规定向招标</w:t>
      </w:r>
      <w:r>
        <w:rPr>
          <w:rFonts w:hint="eastAsia" w:ascii="Arial" w:hAnsi="Arial" w:cs="Arial"/>
          <w:sz w:val="24"/>
        </w:rPr>
        <w:t>代理</w:t>
      </w:r>
      <w:r>
        <w:rPr>
          <w:rFonts w:ascii="Arial" w:hAnsi="Arial" w:cs="Arial"/>
          <w:sz w:val="24"/>
        </w:rPr>
        <w:t>机构交纳</w:t>
      </w:r>
      <w:r>
        <w:rPr>
          <w:rFonts w:hint="eastAsia" w:ascii="Arial" w:hAnsi="Arial" w:cs="Arial"/>
          <w:sz w:val="24"/>
        </w:rPr>
        <w:t>代理</w:t>
      </w:r>
      <w:r>
        <w:rPr>
          <w:rFonts w:ascii="Arial" w:hAnsi="Arial" w:cs="Arial"/>
          <w:sz w:val="24"/>
        </w:rPr>
        <w:t>服务费。</w:t>
      </w:r>
    </w:p>
    <w:p>
      <w:pPr>
        <w:pStyle w:val="4"/>
        <w:pageBreakBefore w:val="0"/>
        <w:kinsoku/>
        <w:wordWrap/>
        <w:topLinePunct w:val="0"/>
        <w:bidi w:val="0"/>
        <w:spacing w:before="0" w:beforeAutospacing="0" w:after="0" w:afterAutospacing="0" w:line="400" w:lineRule="exact"/>
        <w:ind w:left="0" w:leftChars="0" w:right="0" w:rightChars="0"/>
        <w:jc w:val="center"/>
        <w:rPr>
          <w:rFonts w:eastAsia="宋体" w:cs="Arial"/>
          <w:sz w:val="28"/>
          <w:szCs w:val="28"/>
        </w:rPr>
      </w:pPr>
      <w:bookmarkStart w:id="32" w:name="_Toc298240408"/>
      <w:bookmarkStart w:id="33" w:name="_Toc267301285"/>
      <w:bookmarkStart w:id="34" w:name="_Toc349637923"/>
      <w:bookmarkStart w:id="35" w:name="_Toc349573124"/>
      <w:bookmarkStart w:id="36" w:name="_Toc462223635"/>
      <w:r>
        <w:rPr>
          <w:rFonts w:hint="eastAsia" w:eastAsia="宋体" w:cs="Arial"/>
          <w:sz w:val="28"/>
          <w:szCs w:val="28"/>
        </w:rPr>
        <w:t>（四）磋商</w:t>
      </w:r>
      <w:r>
        <w:rPr>
          <w:rFonts w:eastAsia="宋体" w:cs="Arial"/>
          <w:sz w:val="28"/>
          <w:szCs w:val="28"/>
        </w:rPr>
        <w:t>响应文件的递交</w:t>
      </w:r>
      <w:bookmarkEnd w:id="32"/>
      <w:bookmarkEnd w:id="33"/>
      <w:bookmarkEnd w:id="34"/>
      <w:bookmarkEnd w:id="35"/>
      <w:bookmarkEnd w:id="36"/>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20</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文件的密封与标记</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ascii="Arial" w:hAnsi="Arial" w:cs="Arial"/>
          <w:sz w:val="24"/>
        </w:rPr>
        <w:t>20.1 供应商应将</w:t>
      </w:r>
      <w:r>
        <w:rPr>
          <w:rFonts w:hint="eastAsia" w:ascii="Arial" w:hAnsi="Arial" w:cs="Arial"/>
          <w:sz w:val="24"/>
        </w:rPr>
        <w:t>磋商</w:t>
      </w:r>
      <w:r>
        <w:rPr>
          <w:rFonts w:ascii="Arial" w:hAnsi="Arial" w:cs="Arial"/>
          <w:sz w:val="24"/>
        </w:rPr>
        <w:t>响应</w:t>
      </w:r>
      <w:r>
        <w:rPr>
          <w:rFonts w:hint="eastAsia" w:ascii="Arial" w:hAnsi="Arial" w:cs="Arial"/>
          <w:sz w:val="24"/>
        </w:rPr>
        <w:t>性</w:t>
      </w:r>
      <w:r>
        <w:rPr>
          <w:rFonts w:ascii="Arial" w:hAnsi="Arial" w:cs="Arial"/>
          <w:sz w:val="24"/>
        </w:rPr>
        <w:t>文件正</w:t>
      </w:r>
      <w:r>
        <w:rPr>
          <w:rFonts w:hint="eastAsia" w:ascii="Arial" w:hAnsi="Arial" w:cs="Arial"/>
          <w:sz w:val="24"/>
        </w:rPr>
        <w:t>本</w:t>
      </w:r>
      <w:r>
        <w:rPr>
          <w:rFonts w:ascii="Arial" w:hAnsi="Arial" w:cs="Arial"/>
          <w:sz w:val="24"/>
        </w:rPr>
        <w:t>、副本</w:t>
      </w:r>
      <w:r>
        <w:rPr>
          <w:rFonts w:hint="eastAsia" w:ascii="Arial" w:hAnsi="Arial" w:cs="Arial"/>
          <w:sz w:val="24"/>
        </w:rPr>
        <w:t>、开标一览表、电子版</w:t>
      </w:r>
      <w:r>
        <w:rPr>
          <w:rFonts w:ascii="Arial" w:hAnsi="Arial" w:cs="Arial"/>
          <w:sz w:val="24"/>
        </w:rPr>
        <w:t>分别密封，在每个密封件的封面上标明</w:t>
      </w:r>
      <w:r>
        <w:rPr>
          <w:rFonts w:hint="eastAsia" w:ascii="Arial" w:hAnsi="Arial" w:cs="Arial"/>
          <w:sz w:val="24"/>
        </w:rPr>
        <w:t>：</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招标机构：</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ascii="Arial" w:hAnsi="Arial" w:eastAsia="宋体" w:cs="Arial"/>
          <w:sz w:val="24"/>
        </w:rPr>
      </w:pPr>
      <w:r>
        <w:rPr>
          <w:rFonts w:ascii="Arial" w:hAnsi="Arial" w:cs="Arial"/>
          <w:sz w:val="24"/>
        </w:rPr>
        <w:t>项目名称</w:t>
      </w:r>
      <w:r>
        <w:rPr>
          <w:rFonts w:ascii="Arial" w:hAnsi="Arial" w:eastAsia="宋体" w:cs="Arial"/>
          <w:sz w:val="24"/>
        </w:rPr>
        <w:t>：</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ascii="Arial" w:hAnsi="Arial" w:eastAsia="宋体" w:cs="Arial"/>
          <w:sz w:val="24"/>
        </w:rPr>
      </w:pPr>
      <w:r>
        <w:rPr>
          <w:rFonts w:ascii="Arial" w:hAnsi="Arial" w:eastAsia="宋体" w:cs="Arial"/>
          <w:sz w:val="24"/>
        </w:rPr>
        <w:t>项目编号：</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ascii="Arial" w:hAnsi="Arial" w:eastAsia="宋体" w:cs="Arial"/>
          <w:sz w:val="24"/>
        </w:rPr>
      </w:pPr>
      <w:r>
        <w:rPr>
          <w:rFonts w:hint="eastAsia" w:ascii="Arial" w:hAnsi="Arial" w:eastAsia="宋体" w:cs="Arial"/>
          <w:sz w:val="24"/>
        </w:rPr>
        <w:t>磋商</w:t>
      </w:r>
      <w:r>
        <w:rPr>
          <w:rFonts w:ascii="Arial" w:hAnsi="Arial" w:eastAsia="宋体" w:cs="Arial"/>
          <w:sz w:val="24"/>
        </w:rPr>
        <w:t>单位名称：</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ascii="Arial" w:hAnsi="Arial" w:eastAsia="宋体" w:cs="Arial"/>
          <w:sz w:val="24"/>
        </w:rPr>
      </w:pPr>
      <w:r>
        <w:rPr>
          <w:rFonts w:hint="eastAsia" w:ascii="Arial" w:hAnsi="Arial" w:eastAsia="宋体" w:cs="Arial"/>
          <w:sz w:val="24"/>
        </w:rPr>
        <w:t>磋商</w:t>
      </w:r>
      <w:r>
        <w:rPr>
          <w:rFonts w:ascii="Arial" w:hAnsi="Arial" w:eastAsia="宋体" w:cs="Arial"/>
          <w:sz w:val="24"/>
        </w:rPr>
        <w:t>单位</w:t>
      </w:r>
      <w:r>
        <w:rPr>
          <w:rFonts w:hint="eastAsia" w:ascii="Arial" w:hAnsi="Arial" w:eastAsia="宋体" w:cs="Arial"/>
          <w:sz w:val="24"/>
          <w:lang w:eastAsia="zh-CN"/>
        </w:rPr>
        <w:t>地址：</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hint="eastAsia" w:ascii="Arial" w:hAnsi="Arial" w:eastAsia="宋体" w:cs="Arial"/>
          <w:sz w:val="24"/>
          <w:lang w:val="en-US" w:eastAsia="zh-CN"/>
        </w:rPr>
      </w:pPr>
      <w:r>
        <w:rPr>
          <w:rFonts w:hint="eastAsia" w:ascii="Arial" w:hAnsi="Arial" w:eastAsia="宋体" w:cs="Arial"/>
          <w:sz w:val="24"/>
          <w:lang w:val="en-US" w:eastAsia="zh-CN"/>
        </w:rPr>
        <w:t>联系人及联系方式</w:t>
      </w:r>
    </w:p>
    <w:p>
      <w:pPr>
        <w:pageBreakBefore w:val="0"/>
        <w:numPr>
          <w:ilvl w:val="0"/>
          <w:numId w:val="2"/>
        </w:numPr>
        <w:tabs>
          <w:tab w:val="left" w:pos="1080"/>
        </w:tabs>
        <w:kinsoku/>
        <w:wordWrap/>
        <w:topLinePunct w:val="0"/>
        <w:bidi w:val="0"/>
        <w:spacing w:beforeAutospacing="0" w:afterAutospacing="0" w:line="400" w:lineRule="exact"/>
        <w:ind w:left="0" w:leftChars="0" w:right="0" w:rightChars="0"/>
        <w:rPr>
          <w:rFonts w:ascii="Arial" w:hAnsi="Arial" w:cs="Arial"/>
          <w:sz w:val="24"/>
        </w:rPr>
      </w:pPr>
      <w:r>
        <w:rPr>
          <w:rFonts w:ascii="Arial" w:hAnsi="Arial" w:eastAsia="宋体" w:cs="Arial"/>
          <w:sz w:val="24"/>
        </w:rPr>
        <w:t>注明“开标时才能启封</w:t>
      </w:r>
      <w:r>
        <w:rPr>
          <w:rFonts w:ascii="Arial" w:hAnsi="Arial" w:cs="Arial"/>
          <w:sz w:val="24"/>
        </w:rPr>
        <w:t>”</w:t>
      </w:r>
    </w:p>
    <w:p>
      <w:pPr>
        <w:pageBreakBefore w:val="0"/>
        <w:kinsoku/>
        <w:wordWrap/>
        <w:topLinePunct w:val="0"/>
        <w:bidi w:val="0"/>
        <w:spacing w:beforeAutospacing="0" w:afterAutospacing="0" w:line="400" w:lineRule="exact"/>
        <w:ind w:left="361" w:leftChars="0" w:right="0" w:rightChars="0" w:hanging="361" w:hangingChars="150"/>
        <w:rPr>
          <w:rFonts w:ascii="Arial" w:hAnsi="Arial" w:cs="Arial"/>
          <w:b/>
          <w:sz w:val="24"/>
        </w:rPr>
      </w:pPr>
      <w:r>
        <w:rPr>
          <w:rFonts w:ascii="Arial" w:hAnsi="Arial" w:cs="Arial"/>
          <w:b/>
          <w:sz w:val="24"/>
        </w:rPr>
        <w:t>20.</w:t>
      </w:r>
      <w:r>
        <w:rPr>
          <w:rFonts w:hint="eastAsia" w:ascii="Arial" w:hAnsi="Arial" w:cs="Arial"/>
          <w:b/>
          <w:sz w:val="24"/>
        </w:rPr>
        <w:t>2</w:t>
      </w:r>
      <w:r>
        <w:rPr>
          <w:rFonts w:ascii="Arial" w:hAnsi="Arial" w:cs="Arial"/>
          <w:sz w:val="24"/>
        </w:rPr>
        <w:t>为方便</w:t>
      </w:r>
      <w:r>
        <w:rPr>
          <w:rFonts w:hint="eastAsia" w:ascii="Arial" w:hAnsi="Arial" w:cs="Arial"/>
          <w:sz w:val="24"/>
        </w:rPr>
        <w:t>磋商</w:t>
      </w:r>
      <w:r>
        <w:rPr>
          <w:rFonts w:ascii="Arial" w:hAnsi="Arial" w:cs="Arial"/>
          <w:sz w:val="24"/>
        </w:rPr>
        <w:t>，</w:t>
      </w:r>
      <w:r>
        <w:rPr>
          <w:rFonts w:hint="eastAsia" w:ascii="Arial" w:hAnsi="Arial" w:cs="Arial"/>
          <w:sz w:val="24"/>
        </w:rPr>
        <w:t>磋商报价</w:t>
      </w:r>
      <w:r>
        <w:rPr>
          <w:rFonts w:ascii="Arial" w:hAnsi="Arial" w:cs="Arial"/>
          <w:sz w:val="24"/>
        </w:rPr>
        <w:t>表单独密封，并在信封上标明“</w:t>
      </w:r>
      <w:r>
        <w:rPr>
          <w:rFonts w:hint="eastAsia" w:ascii="Arial" w:hAnsi="Arial" w:cs="Arial"/>
          <w:sz w:val="24"/>
        </w:rPr>
        <w:t>开标一览表</w:t>
      </w:r>
      <w:r>
        <w:rPr>
          <w:rFonts w:ascii="Arial" w:hAnsi="Arial" w:cs="Arial"/>
          <w:sz w:val="24"/>
        </w:rPr>
        <w:t>”字样。</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hint="eastAsia" w:ascii="Arial" w:hAnsi="Arial" w:cs="Arial"/>
          <w:sz w:val="24"/>
        </w:rPr>
        <w:t>20.3磋商响应文件装订要求：磋商响应文件要求不得活页装订</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21</w:t>
      </w:r>
      <w:r>
        <w:rPr>
          <w:rFonts w:hint="eastAsia" w:ascii="Arial" w:hAnsi="Arial" w:cs="Arial"/>
          <w:sz w:val="24"/>
        </w:rPr>
        <w:t>、磋商响应文件递交</w:t>
      </w:r>
      <w:r>
        <w:rPr>
          <w:rFonts w:ascii="Arial" w:hAnsi="Arial" w:cs="Arial"/>
          <w:sz w:val="24"/>
        </w:rPr>
        <w:t>截止时间</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21.1</w:t>
      </w:r>
      <w:r>
        <w:rPr>
          <w:rFonts w:hint="eastAsia" w:ascii="Arial" w:hAnsi="Arial" w:cs="Arial"/>
          <w:sz w:val="24"/>
        </w:rPr>
        <w:t>磋商</w:t>
      </w:r>
      <w:r>
        <w:rPr>
          <w:rFonts w:ascii="Arial" w:hAnsi="Arial" w:cs="Arial"/>
          <w:sz w:val="24"/>
        </w:rPr>
        <w:t>响应文件的递交</w:t>
      </w:r>
      <w:r>
        <w:rPr>
          <w:rFonts w:hint="eastAsia" w:ascii="Arial" w:hAnsi="Arial" w:cs="Arial"/>
          <w:sz w:val="24"/>
        </w:rPr>
        <w:t>截止时间为</w:t>
      </w:r>
      <w:r>
        <w:rPr>
          <w:rFonts w:hint="eastAsia" w:ascii="Arial" w:hAnsi="Arial" w:cs="Arial"/>
          <w:sz w:val="24"/>
          <w:highlight w:val="none"/>
        </w:rPr>
        <w:t>：</w:t>
      </w:r>
      <w:r>
        <w:rPr>
          <w:rFonts w:ascii="Arial" w:hAnsi="Arial" w:cs="Arial"/>
          <w:color w:val="0000FF"/>
          <w:sz w:val="24"/>
          <w:szCs w:val="24"/>
          <w:highlight w:val="none"/>
        </w:rPr>
        <w:t>20</w:t>
      </w:r>
      <w:r>
        <w:rPr>
          <w:rFonts w:hint="eastAsia" w:ascii="Arial" w:hAnsi="Arial" w:cs="Arial"/>
          <w:color w:val="0000FF"/>
          <w:sz w:val="24"/>
          <w:szCs w:val="24"/>
          <w:highlight w:val="none"/>
          <w:lang w:val="en-US" w:eastAsia="zh-CN"/>
        </w:rPr>
        <w:t>22</w:t>
      </w:r>
      <w:r>
        <w:rPr>
          <w:rFonts w:ascii="Arial" w:hAnsi="Arial" w:cs="Arial"/>
          <w:color w:val="0000FF"/>
          <w:sz w:val="24"/>
          <w:szCs w:val="24"/>
          <w:highlight w:val="none"/>
        </w:rPr>
        <w:t>年</w:t>
      </w:r>
      <w:r>
        <w:rPr>
          <w:rFonts w:hint="eastAsia" w:ascii="Arial" w:hAnsi="Arial" w:cs="Arial"/>
          <w:color w:val="0000FF"/>
          <w:sz w:val="24"/>
          <w:szCs w:val="24"/>
          <w:highlight w:val="none"/>
          <w:lang w:val="en-US" w:eastAsia="zh-CN"/>
        </w:rPr>
        <w:t>5</w:t>
      </w:r>
      <w:r>
        <w:rPr>
          <w:rFonts w:ascii="Arial" w:hAnsi="Arial" w:cs="Arial"/>
          <w:color w:val="0000FF"/>
          <w:sz w:val="24"/>
          <w:szCs w:val="24"/>
          <w:highlight w:val="none"/>
        </w:rPr>
        <w:t>月</w:t>
      </w:r>
      <w:r>
        <w:rPr>
          <w:rFonts w:hint="eastAsia" w:ascii="Arial" w:hAnsi="Arial" w:cs="Arial"/>
          <w:color w:val="0000FF"/>
          <w:sz w:val="24"/>
          <w:szCs w:val="24"/>
          <w:highlight w:val="none"/>
          <w:lang w:val="en-US" w:eastAsia="zh-CN"/>
        </w:rPr>
        <w:t>9</w:t>
      </w:r>
      <w:r>
        <w:rPr>
          <w:rFonts w:ascii="Arial" w:hAnsi="Arial" w:cs="Arial"/>
          <w:color w:val="0000FF"/>
          <w:sz w:val="24"/>
          <w:szCs w:val="24"/>
          <w:highlight w:val="none"/>
        </w:rPr>
        <w:t>日1</w:t>
      </w:r>
      <w:r>
        <w:rPr>
          <w:rFonts w:hint="eastAsia" w:ascii="Arial" w:hAnsi="Arial" w:cs="Arial"/>
          <w:color w:val="0000FF"/>
          <w:sz w:val="24"/>
          <w:szCs w:val="24"/>
          <w:highlight w:val="none"/>
          <w:lang w:val="en-US" w:eastAsia="zh-CN"/>
        </w:rPr>
        <w:t>1</w:t>
      </w:r>
      <w:r>
        <w:rPr>
          <w:rFonts w:ascii="Arial" w:hAnsi="Arial" w:cs="Arial"/>
          <w:color w:val="0000FF"/>
          <w:sz w:val="24"/>
          <w:szCs w:val="24"/>
          <w:highlight w:val="none"/>
        </w:rPr>
        <w:t>：</w:t>
      </w:r>
      <w:r>
        <w:rPr>
          <w:rFonts w:hint="eastAsia" w:ascii="Arial" w:hAnsi="Arial" w:cs="Arial"/>
          <w:color w:val="0000FF"/>
          <w:sz w:val="24"/>
          <w:szCs w:val="24"/>
          <w:highlight w:val="none"/>
        </w:rPr>
        <w:t>0</w:t>
      </w:r>
      <w:r>
        <w:rPr>
          <w:rFonts w:ascii="Arial" w:hAnsi="Arial" w:cs="Arial"/>
          <w:color w:val="0000FF"/>
          <w:sz w:val="24"/>
          <w:szCs w:val="24"/>
          <w:highlight w:val="none"/>
        </w:rPr>
        <w:t>0时</w:t>
      </w:r>
      <w:r>
        <w:rPr>
          <w:rFonts w:ascii="Arial" w:hAnsi="Arial" w:cs="Arial"/>
          <w:sz w:val="24"/>
          <w:szCs w:val="24"/>
          <w:highlight w:val="none"/>
        </w:rPr>
        <w:t>（北京时间）</w:t>
      </w:r>
      <w:r>
        <w:rPr>
          <w:rFonts w:ascii="Arial" w:hAnsi="Arial" w:cs="Arial"/>
          <w:sz w:val="24"/>
          <w:highlight w:val="none"/>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磋商</w:t>
      </w:r>
      <w:r>
        <w:rPr>
          <w:rFonts w:ascii="Arial" w:hAnsi="Arial" w:cs="Arial"/>
          <w:sz w:val="24"/>
        </w:rPr>
        <w:t>响应文件以密封形式递交至：</w:t>
      </w:r>
      <w:r>
        <w:rPr>
          <w:rFonts w:hint="eastAsia" w:ascii="Arial" w:hAnsi="Arial" w:cs="Arial"/>
          <w:sz w:val="24"/>
        </w:rPr>
        <w:t>开标现场</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21.2 所有</w:t>
      </w:r>
      <w:r>
        <w:rPr>
          <w:rFonts w:hint="eastAsia" w:ascii="Arial" w:hAnsi="Arial" w:cs="Arial"/>
          <w:sz w:val="24"/>
        </w:rPr>
        <w:t>磋商</w:t>
      </w:r>
      <w:r>
        <w:rPr>
          <w:rFonts w:ascii="Arial" w:hAnsi="Arial" w:cs="Arial"/>
          <w:sz w:val="24"/>
        </w:rPr>
        <w:t>响应文件都必须按招标</w:t>
      </w:r>
      <w:r>
        <w:rPr>
          <w:rFonts w:hint="eastAsia" w:ascii="Arial" w:hAnsi="Arial" w:cs="Arial"/>
          <w:sz w:val="24"/>
        </w:rPr>
        <w:t>代理</w:t>
      </w:r>
      <w:r>
        <w:rPr>
          <w:rFonts w:ascii="Arial" w:hAnsi="Arial" w:cs="Arial"/>
          <w:sz w:val="24"/>
        </w:rPr>
        <w:t>机构在</w:t>
      </w:r>
      <w:r>
        <w:rPr>
          <w:rFonts w:hint="eastAsia" w:ascii="Arial" w:hAnsi="Arial" w:cs="Arial"/>
          <w:sz w:val="24"/>
        </w:rPr>
        <w:t>磋商</w:t>
      </w:r>
      <w:r>
        <w:rPr>
          <w:rFonts w:ascii="Arial" w:hAnsi="Arial" w:cs="Arial"/>
          <w:sz w:val="24"/>
        </w:rPr>
        <w:t>邀请中规定的投标截止时间之前送到</w:t>
      </w:r>
      <w:r>
        <w:rPr>
          <w:rFonts w:hint="eastAsia" w:ascii="Arial" w:hAnsi="Arial" w:cs="Arial"/>
          <w:sz w:val="24"/>
        </w:rPr>
        <w:t>磋商</w:t>
      </w:r>
      <w:r>
        <w:rPr>
          <w:rFonts w:ascii="Arial" w:hAnsi="Arial" w:cs="Arial"/>
          <w:sz w:val="24"/>
        </w:rPr>
        <w:t>文件规定的地点。</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21.3 出现第8.2款因</w:t>
      </w:r>
      <w:r>
        <w:rPr>
          <w:rFonts w:hint="eastAsia" w:ascii="Arial" w:hAnsi="Arial" w:cs="Arial"/>
          <w:sz w:val="24"/>
        </w:rPr>
        <w:t>磋商</w:t>
      </w:r>
      <w:r>
        <w:rPr>
          <w:rFonts w:ascii="Arial" w:hAnsi="Arial" w:cs="Arial"/>
          <w:sz w:val="24"/>
        </w:rPr>
        <w:t>文件的修改推迟投标截止时间时，则按招标</w:t>
      </w:r>
      <w:r>
        <w:rPr>
          <w:rFonts w:hint="eastAsia" w:ascii="Arial" w:hAnsi="Arial" w:cs="Arial"/>
          <w:sz w:val="24"/>
        </w:rPr>
        <w:t>代理</w:t>
      </w:r>
      <w:r>
        <w:rPr>
          <w:rFonts w:ascii="Arial" w:hAnsi="Arial" w:cs="Arial"/>
          <w:sz w:val="24"/>
        </w:rPr>
        <w:t>机构修改通知规定的时间递交。</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22</w:t>
      </w:r>
      <w:r>
        <w:rPr>
          <w:rFonts w:hint="eastAsia" w:ascii="Arial" w:hAnsi="Arial" w:cs="Arial"/>
          <w:sz w:val="24"/>
        </w:rPr>
        <w:t>、磋商</w:t>
      </w:r>
      <w:r>
        <w:rPr>
          <w:rFonts w:ascii="Arial" w:hAnsi="Arial" w:cs="Arial"/>
          <w:sz w:val="24"/>
        </w:rPr>
        <w:t>响应文件的修改和撤销</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22.1 供应商在提交</w:t>
      </w:r>
      <w:r>
        <w:rPr>
          <w:rFonts w:hint="eastAsia" w:ascii="Arial" w:hAnsi="Arial" w:cs="Arial"/>
          <w:sz w:val="24"/>
        </w:rPr>
        <w:t>磋商</w:t>
      </w:r>
      <w:r>
        <w:rPr>
          <w:rFonts w:ascii="Arial" w:hAnsi="Arial" w:cs="Arial"/>
          <w:sz w:val="24"/>
        </w:rPr>
        <w:t>响应文件后可对其</w:t>
      </w:r>
      <w:r>
        <w:rPr>
          <w:rFonts w:hint="eastAsia" w:ascii="Arial" w:hAnsi="Arial" w:cs="Arial"/>
          <w:sz w:val="24"/>
        </w:rPr>
        <w:t>磋商</w:t>
      </w:r>
      <w:r>
        <w:rPr>
          <w:rFonts w:ascii="Arial" w:hAnsi="Arial" w:cs="Arial"/>
          <w:sz w:val="24"/>
        </w:rPr>
        <w:t>响应文件进行修改或撤销，但招标</w:t>
      </w:r>
      <w:r>
        <w:rPr>
          <w:rFonts w:hint="eastAsia" w:ascii="Arial" w:hAnsi="Arial" w:cs="Arial"/>
          <w:sz w:val="24"/>
        </w:rPr>
        <w:t>代理</w:t>
      </w:r>
      <w:r>
        <w:rPr>
          <w:rFonts w:ascii="Arial" w:hAnsi="Arial" w:cs="Arial"/>
          <w:sz w:val="24"/>
        </w:rPr>
        <w:t>机构须在投标截止时间之前收到该修改或撤销的书面通知，该通知须有经正式授权的供应商代表签字。</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22.</w:t>
      </w:r>
      <w:r>
        <w:rPr>
          <w:rFonts w:hint="eastAsia" w:ascii="Arial" w:hAnsi="Arial" w:cs="Arial"/>
          <w:sz w:val="24"/>
        </w:rPr>
        <w:t>2</w:t>
      </w:r>
      <w:r>
        <w:rPr>
          <w:rFonts w:ascii="Arial" w:hAnsi="Arial" w:cs="Arial"/>
          <w:sz w:val="24"/>
        </w:rPr>
        <w:t>供应商不得在</w:t>
      </w:r>
      <w:r>
        <w:rPr>
          <w:rFonts w:hint="eastAsia" w:ascii="Arial" w:hAnsi="Arial" w:cs="Arial"/>
          <w:sz w:val="24"/>
        </w:rPr>
        <w:t>磋商</w:t>
      </w:r>
      <w:r>
        <w:rPr>
          <w:rFonts w:ascii="Arial" w:hAnsi="Arial" w:cs="Arial"/>
          <w:sz w:val="24"/>
        </w:rPr>
        <w:t>时间起至</w:t>
      </w:r>
      <w:r>
        <w:rPr>
          <w:rFonts w:hint="eastAsia" w:ascii="Arial" w:hAnsi="Arial" w:cs="Arial"/>
          <w:sz w:val="24"/>
        </w:rPr>
        <w:t>磋商</w:t>
      </w:r>
      <w:r>
        <w:rPr>
          <w:rFonts w:ascii="Arial" w:hAnsi="Arial" w:cs="Arial"/>
          <w:sz w:val="24"/>
        </w:rPr>
        <w:t>有效期期满前撤销</w:t>
      </w:r>
      <w:r>
        <w:rPr>
          <w:rFonts w:hint="eastAsia" w:ascii="Arial" w:hAnsi="Arial" w:cs="Arial"/>
          <w:sz w:val="24"/>
        </w:rPr>
        <w:t>磋商</w:t>
      </w:r>
      <w:r>
        <w:rPr>
          <w:rFonts w:ascii="Arial" w:hAnsi="Arial" w:cs="Arial"/>
          <w:sz w:val="24"/>
        </w:rPr>
        <w:t>响应文件。否则招标</w:t>
      </w:r>
      <w:r>
        <w:rPr>
          <w:rFonts w:hint="eastAsia" w:ascii="Arial" w:hAnsi="Arial" w:cs="Arial"/>
          <w:sz w:val="24"/>
        </w:rPr>
        <w:t>代理</w:t>
      </w:r>
      <w:r>
        <w:rPr>
          <w:rFonts w:ascii="Arial" w:hAnsi="Arial" w:cs="Arial"/>
          <w:sz w:val="24"/>
        </w:rPr>
        <w:t>机构将没收其</w:t>
      </w:r>
      <w:r>
        <w:rPr>
          <w:rFonts w:hint="eastAsia" w:ascii="Arial" w:hAnsi="Arial" w:cs="Arial"/>
          <w:sz w:val="24"/>
        </w:rPr>
        <w:t>磋商</w:t>
      </w:r>
      <w:r>
        <w:rPr>
          <w:rFonts w:ascii="Arial" w:hAnsi="Arial" w:cs="Arial"/>
          <w:sz w:val="24"/>
        </w:rPr>
        <w:t>保证金。</w:t>
      </w:r>
    </w:p>
    <w:p>
      <w:pPr>
        <w:pStyle w:val="4"/>
        <w:pageBreakBefore w:val="0"/>
        <w:kinsoku/>
        <w:wordWrap/>
        <w:topLinePunct w:val="0"/>
        <w:bidi w:val="0"/>
        <w:spacing w:before="0" w:beforeAutospacing="0" w:after="0" w:afterAutospacing="0" w:line="400" w:lineRule="exact"/>
        <w:ind w:left="0" w:leftChars="0" w:right="0" w:rightChars="0"/>
        <w:jc w:val="center"/>
        <w:rPr>
          <w:rFonts w:eastAsia="宋体" w:cs="Arial"/>
          <w:sz w:val="28"/>
          <w:szCs w:val="28"/>
        </w:rPr>
      </w:pPr>
      <w:bookmarkStart w:id="37" w:name="_Toc349573125"/>
      <w:bookmarkStart w:id="38" w:name="_Toc267301286"/>
      <w:bookmarkStart w:id="39" w:name="_Toc349637924"/>
      <w:bookmarkStart w:id="40" w:name="_Toc462223636"/>
      <w:bookmarkStart w:id="41" w:name="_Toc298240409"/>
      <w:r>
        <w:rPr>
          <w:rFonts w:hint="eastAsia" w:eastAsia="宋体" w:cs="Arial"/>
          <w:sz w:val="28"/>
          <w:szCs w:val="28"/>
        </w:rPr>
        <w:t>（五）磋商</w:t>
      </w:r>
      <w:r>
        <w:rPr>
          <w:rFonts w:eastAsia="宋体" w:cs="Arial"/>
          <w:sz w:val="28"/>
          <w:szCs w:val="28"/>
        </w:rPr>
        <w:t>程序</w:t>
      </w:r>
      <w:bookmarkEnd w:id="37"/>
      <w:bookmarkEnd w:id="38"/>
      <w:bookmarkEnd w:id="39"/>
      <w:bookmarkEnd w:id="40"/>
      <w:bookmarkEnd w:id="41"/>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23</w:t>
      </w:r>
      <w:r>
        <w:rPr>
          <w:rFonts w:hint="eastAsia" w:ascii="Arial" w:hAnsi="Arial" w:cs="Arial"/>
          <w:sz w:val="24"/>
        </w:rPr>
        <w:t>、磋商</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color w:val="000000"/>
          <w:sz w:val="24"/>
        </w:rPr>
      </w:pPr>
      <w:r>
        <w:rPr>
          <w:rFonts w:hint="eastAsia" w:ascii="Arial" w:hAnsi="Arial" w:cs="Arial"/>
          <w:sz w:val="24"/>
        </w:rPr>
        <w:t>23.1磋商时，采购人将对供应商进行资格初审。</w:t>
      </w:r>
    </w:p>
    <w:p>
      <w:pPr>
        <w:pageBreakBefore w:val="0"/>
        <w:kinsoku/>
        <w:wordWrap/>
        <w:topLinePunct w:val="0"/>
        <w:bidi w:val="0"/>
        <w:spacing w:beforeAutospacing="0" w:afterAutospacing="0" w:line="400" w:lineRule="exact"/>
        <w:ind w:left="0" w:leftChars="0" w:right="0" w:rightChars="0"/>
        <w:rPr>
          <w:rFonts w:ascii="Arial" w:hAnsi="Arial" w:cs="Arial"/>
          <w:color w:val="000000"/>
          <w:sz w:val="24"/>
        </w:rPr>
      </w:pPr>
      <w:r>
        <w:rPr>
          <w:rFonts w:hint="eastAsia" w:ascii="Arial" w:hAnsi="Arial" w:cs="Arial"/>
          <w:color w:val="000000"/>
          <w:sz w:val="24"/>
        </w:rPr>
        <w:t>供应商应在密封的磋商响应文件之外随身携带：</w:t>
      </w:r>
    </w:p>
    <w:p>
      <w:pPr>
        <w:pageBreakBefore w:val="0"/>
        <w:kinsoku/>
        <w:wordWrap/>
        <w:topLinePunct w:val="0"/>
        <w:bidi w:val="0"/>
        <w:spacing w:beforeAutospacing="0" w:afterAutospacing="0" w:line="400" w:lineRule="exact"/>
        <w:ind w:left="0" w:leftChars="0" w:right="0" w:rightChars="0" w:firstLine="480" w:firstLineChars="200"/>
        <w:rPr>
          <w:rFonts w:ascii="宋体" w:hAnsi="宋体" w:eastAsia="宋体" w:cs="宋体"/>
        </w:rPr>
      </w:pPr>
      <w:r>
        <w:rPr>
          <w:rFonts w:hint="eastAsia" w:ascii="Arial" w:hAnsi="Arial" w:cs="Arial"/>
          <w:color w:val="000000"/>
          <w:sz w:val="24"/>
        </w:rPr>
        <w:t>（1）</w:t>
      </w:r>
      <w:r>
        <w:rPr>
          <w:rFonts w:hint="eastAsia" w:ascii="宋体" w:hAnsi="宋体" w:eastAsia="宋体" w:cs="宋体"/>
          <w:color w:val="000000"/>
          <w:kern w:val="0"/>
          <w:sz w:val="24"/>
          <w:szCs w:val="24"/>
          <w:lang w:val="en-US" w:eastAsia="zh-CN" w:bidi="ar-SA"/>
        </w:rPr>
        <w:t>供应商提供有效的统一社会信用代码的营业执照，供应商必须是中华人民共和国境内注册的，具有独立承担民事责任的能力；</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（2）供应商提供法人授权委托书及被授权人身份证原件； </w:t>
      </w:r>
    </w:p>
    <w:p>
      <w:pPr>
        <w:pStyle w:val="30"/>
        <w:pageBreakBefore w:val="0"/>
        <w:kinsoku/>
        <w:wordWrap/>
        <w:topLinePunct w:val="0"/>
        <w:bidi w:val="0"/>
        <w:spacing w:before="0" w:beforeAutospacing="0" w:after="0" w:afterAutospacing="0" w:line="400" w:lineRule="exact"/>
        <w:ind w:left="0" w:leftChars="0" w:right="0" w:rightChars="0" w:firstLine="480" w:firstLineChars="200"/>
        <w:rPr>
          <w:rFonts w:ascii="宋体" w:hAnsi="宋体" w:eastAsia="宋体" w:cs="宋体"/>
        </w:rPr>
      </w:pPr>
      <w:r>
        <w:rPr>
          <w:rFonts w:hint="eastAsia" w:ascii="宋体" w:hAnsi="宋体" w:eastAsia="宋体" w:cs="宋体"/>
          <w:color w:val="000000"/>
        </w:rPr>
        <w:t>（3）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ageBreakBefore w:val="0"/>
        <w:kinsoku/>
        <w:wordWrap/>
        <w:topLinePunct w:val="0"/>
        <w:bidi w:val="0"/>
        <w:spacing w:beforeAutospacing="0" w:afterAutospacing="0" w:line="400" w:lineRule="exact"/>
        <w:ind w:left="0" w:leftChars="0" w:right="0" w:rightChars="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（4）投标保证金收据。</w:t>
      </w:r>
    </w:p>
    <w:p>
      <w:pPr>
        <w:pageBreakBefore w:val="0"/>
        <w:kinsoku/>
        <w:wordWrap/>
        <w:topLinePunct w:val="0"/>
        <w:bidi w:val="0"/>
        <w:spacing w:beforeAutospacing="0" w:afterAutospacing="0" w:line="400" w:lineRule="exact"/>
        <w:ind w:left="0" w:leftChars="0" w:right="0" w:rightChars="0" w:firstLine="482" w:firstLineChars="200"/>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hint="eastAsia" w:ascii="宋体" w:hAnsi="宋体"/>
          <w:b/>
          <w:sz w:val="24"/>
        </w:rPr>
        <w:t>营业执照、保证金收据、法人授权委托书及被授权人身份证（如为法人投标，提供法人身份证明和身份证）为原件单独提交审核；其他</w:t>
      </w:r>
      <w:r>
        <w:rPr>
          <w:rFonts w:hint="eastAsia" w:ascii="宋体" w:hAnsi="宋体" w:cs="宋体"/>
          <w:b/>
          <w:bCs/>
          <w:color w:val="000000"/>
          <w:sz w:val="24"/>
          <w:szCs w:val="24"/>
        </w:rPr>
        <w:t>资格审查</w:t>
      </w:r>
      <w:r>
        <w:rPr>
          <w:rFonts w:hint="eastAsia" w:ascii="宋体" w:hAnsi="宋体"/>
          <w:b/>
          <w:sz w:val="24"/>
        </w:rPr>
        <w:t>为复印件加盖公章单独提交审核（资格审查文件开标会议现场提交供采购人检查），并将所有资格审查复印件胶装在投标文件中，不合格或缺少一项将被认为资格审查不合格，将取消其竞标资格。</w:t>
      </w:r>
    </w:p>
    <w:p>
      <w:pPr>
        <w:pageBreakBefore w:val="0"/>
        <w:kinsoku/>
        <w:wordWrap/>
        <w:topLinePunct w:val="0"/>
        <w:bidi w:val="0"/>
        <w:spacing w:beforeAutospacing="0" w:afterAutospacing="0" w:line="400" w:lineRule="exact"/>
        <w:ind w:left="0" w:leftChars="0" w:right="0" w:rightChars="0" w:firstLine="480" w:firstLineChars="200"/>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以备磋商前做初步的审查，确认其是否已具备提交磋商响应文件的资格。但该初步审查并不妨碍磋商小组对供应商进行的进一步资格详细审查。</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color w:val="000000"/>
          <w:sz w:val="24"/>
        </w:rPr>
        <w:t>23.</w:t>
      </w:r>
      <w:r>
        <w:rPr>
          <w:rFonts w:hint="eastAsia" w:ascii="Arial" w:hAnsi="Arial" w:cs="Arial"/>
          <w:color w:val="000000"/>
          <w:sz w:val="24"/>
        </w:rPr>
        <w:t>2</w:t>
      </w:r>
      <w:r>
        <w:rPr>
          <w:rFonts w:ascii="Arial" w:hAnsi="Arial" w:cs="Arial"/>
          <w:color w:val="000000"/>
          <w:sz w:val="24"/>
        </w:rPr>
        <w:t>本次</w:t>
      </w:r>
      <w:r>
        <w:rPr>
          <w:rFonts w:hint="eastAsia" w:ascii="Arial" w:hAnsi="Arial" w:cs="Arial"/>
          <w:color w:val="000000"/>
          <w:sz w:val="24"/>
        </w:rPr>
        <w:t>磋商</w:t>
      </w:r>
      <w:r>
        <w:rPr>
          <w:rFonts w:ascii="Arial" w:hAnsi="Arial" w:cs="Arial"/>
          <w:color w:val="000000"/>
          <w:sz w:val="24"/>
        </w:rPr>
        <w:t>按</w:t>
      </w:r>
      <w:r>
        <w:rPr>
          <w:rFonts w:hint="eastAsia" w:ascii="Arial" w:hAnsi="Arial" w:cs="Arial"/>
          <w:color w:val="000000"/>
          <w:sz w:val="24"/>
        </w:rPr>
        <w:t>磋商</w:t>
      </w:r>
      <w:r>
        <w:rPr>
          <w:rFonts w:ascii="Arial" w:hAnsi="Arial" w:cs="Arial"/>
          <w:color w:val="000000"/>
          <w:sz w:val="24"/>
        </w:rPr>
        <w:t>文件中</w:t>
      </w:r>
      <w:r>
        <w:rPr>
          <w:rFonts w:hint="eastAsia" w:ascii="Arial" w:hAnsi="Arial" w:cs="Arial"/>
          <w:color w:val="000000"/>
          <w:sz w:val="24"/>
        </w:rPr>
        <w:t>磋商</w:t>
      </w:r>
      <w:r>
        <w:rPr>
          <w:rFonts w:ascii="Arial" w:hAnsi="Arial" w:cs="Arial"/>
          <w:color w:val="000000"/>
          <w:sz w:val="24"/>
        </w:rPr>
        <w:t>邀请规定的时间地点进行</w:t>
      </w:r>
      <w:r>
        <w:rPr>
          <w:rFonts w:hint="eastAsia" w:ascii="Arial" w:hAnsi="Arial" w:cs="Arial"/>
          <w:color w:val="000000"/>
          <w:sz w:val="24"/>
        </w:rPr>
        <w:t>磋商</w:t>
      </w:r>
      <w:r>
        <w:rPr>
          <w:rFonts w:ascii="Arial" w:hAnsi="Arial" w:cs="Arial"/>
          <w:color w:val="000000"/>
          <w:sz w:val="24"/>
        </w:rPr>
        <w:t>，</w:t>
      </w:r>
      <w:r>
        <w:rPr>
          <w:rFonts w:ascii="Arial" w:hAnsi="Arial" w:cs="Arial"/>
          <w:sz w:val="24"/>
        </w:rPr>
        <w:t>将邀请供应商的法定代表人或其授权委托人准时参加</w:t>
      </w:r>
      <w:r>
        <w:rPr>
          <w:rFonts w:hint="eastAsia" w:ascii="Arial" w:hAnsi="Arial" w:cs="Arial"/>
          <w:sz w:val="24"/>
        </w:rPr>
        <w:t>磋商</w:t>
      </w:r>
      <w:r>
        <w:rPr>
          <w:rFonts w:ascii="Arial" w:hAnsi="Arial" w:cs="Arial"/>
          <w:sz w:val="24"/>
        </w:rPr>
        <w:t>会。</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hint="eastAsia" w:ascii="Arial" w:hAnsi="Arial" w:cs="Arial"/>
          <w:sz w:val="24"/>
        </w:rPr>
        <w:t>23.3</w:t>
      </w:r>
      <w:r>
        <w:rPr>
          <w:rFonts w:hint="eastAsia" w:ascii="宋体" w:hAnsi="宋体"/>
          <w:sz w:val="24"/>
          <w:szCs w:val="24"/>
        </w:rPr>
        <w:t>宣布磋商响应文件开启顺序</w:t>
      </w:r>
      <w:r>
        <w:rPr>
          <w:rFonts w:hint="eastAsia" w:ascii="宋体" w:hAnsi="宋体"/>
          <w:sz w:val="30"/>
          <w:szCs w:val="30"/>
        </w:rPr>
        <w:t>。</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ascii="Arial" w:hAnsi="Arial" w:cs="Arial"/>
          <w:sz w:val="24"/>
        </w:rPr>
        <w:t>23.</w:t>
      </w:r>
      <w:r>
        <w:rPr>
          <w:rFonts w:hint="eastAsia" w:ascii="Arial" w:hAnsi="Arial" w:cs="Arial"/>
          <w:sz w:val="24"/>
        </w:rPr>
        <w:t>4磋商</w:t>
      </w:r>
      <w:r>
        <w:rPr>
          <w:rFonts w:ascii="Arial" w:hAnsi="Arial" w:cs="Arial"/>
          <w:sz w:val="24"/>
        </w:rPr>
        <w:t>时检查</w:t>
      </w:r>
      <w:r>
        <w:rPr>
          <w:rFonts w:hint="eastAsia" w:ascii="Arial" w:hAnsi="Arial" w:cs="Arial"/>
          <w:sz w:val="24"/>
        </w:rPr>
        <w:t>磋商</w:t>
      </w:r>
      <w:r>
        <w:rPr>
          <w:rFonts w:ascii="Arial" w:hAnsi="Arial" w:cs="Arial"/>
          <w:sz w:val="24"/>
        </w:rPr>
        <w:t>响应文件密封情况。</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23.</w:t>
      </w:r>
      <w:r>
        <w:rPr>
          <w:rFonts w:hint="eastAsia" w:ascii="Arial" w:hAnsi="Arial" w:cs="Arial"/>
          <w:sz w:val="24"/>
        </w:rPr>
        <w:t>5磋商</w:t>
      </w:r>
      <w:r>
        <w:rPr>
          <w:rFonts w:ascii="Arial" w:hAnsi="Arial" w:cs="Arial"/>
          <w:sz w:val="24"/>
        </w:rPr>
        <w:t>原则在</w:t>
      </w:r>
      <w:r>
        <w:rPr>
          <w:rFonts w:hint="eastAsia" w:ascii="Arial" w:hAnsi="Arial" w:cs="Arial"/>
          <w:sz w:val="24"/>
        </w:rPr>
        <w:t>磋商</w:t>
      </w:r>
      <w:r>
        <w:rPr>
          <w:rFonts w:ascii="Arial" w:hAnsi="Arial" w:cs="Arial"/>
          <w:sz w:val="24"/>
        </w:rPr>
        <w:t>会议上宣布。</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23.6 对采购方的纪律要求</w:t>
      </w:r>
    </w:p>
    <w:p>
      <w:pPr>
        <w:pageBreakBefore w:val="0"/>
        <w:kinsoku/>
        <w:wordWrap/>
        <w:topLinePunct w:val="0"/>
        <w:bidi w:val="0"/>
        <w:spacing w:beforeAutospacing="0" w:afterAutospacing="0" w:line="400" w:lineRule="exact"/>
        <w:ind w:left="0" w:leftChars="0" w:right="0" w:rightChars="0" w:firstLine="360" w:firstLineChars="150"/>
        <w:rPr>
          <w:rFonts w:ascii="Arial" w:hAnsi="Arial" w:cs="Arial"/>
          <w:sz w:val="24"/>
        </w:rPr>
      </w:pPr>
      <w:r>
        <w:rPr>
          <w:rFonts w:hint="eastAsia" w:ascii="Arial" w:hAnsi="Arial" w:cs="Arial"/>
          <w:sz w:val="24"/>
        </w:rPr>
        <w:t>采购方不得泄露磋商活动中应当保密的情况和资料，不得与供应商串通损害国家利益、社会公共利益或者他人合法权益。</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23.7对供应商的纪律要求</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23.8 对与磋商活动有关的工作人员的纪律要求</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hint="eastAsia" w:ascii="Arial" w:hAnsi="Arial" w:cs="Arial"/>
          <w:sz w:val="24"/>
        </w:rPr>
        <w:t>23.9对磋商小组成员要求磋商纪律</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23.9.1磋商小组应当依照有关法律法规的规定，按照磋商文件确定的磋商标准和办法客观、公正的对磋商响应文件提出评审意见。磋商文件设有规定的磋商标准和方法不得作为磋商依据。</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23.9.2磋商小组成员不得私下接触供应商，不得收受供应商给予的财务或者其他好处，不得向采购方征询确定成交方意向。</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23.9.3不得接受任何单位或个人明示或暗示提出的倾向或排斥特定供应商的要求。</w:t>
      </w:r>
    </w:p>
    <w:p>
      <w:pPr>
        <w:pageBreakBefore w:val="0"/>
        <w:kinsoku/>
        <w:wordWrap/>
        <w:topLinePunct w:val="0"/>
        <w:bidi w:val="0"/>
        <w:spacing w:beforeAutospacing="0" w:afterAutospacing="0" w:line="400" w:lineRule="exact"/>
        <w:ind w:left="0" w:leftChars="0" w:right="0" w:rightChars="0" w:firstLine="480" w:firstLineChars="200"/>
        <w:rPr>
          <w:rFonts w:ascii="Arial" w:hAnsi="Arial" w:cs="Arial"/>
          <w:sz w:val="24"/>
        </w:rPr>
      </w:pPr>
      <w:r>
        <w:rPr>
          <w:rFonts w:hint="eastAsia" w:ascii="Arial" w:hAnsi="Arial" w:cs="Arial"/>
          <w:sz w:val="24"/>
        </w:rPr>
        <w:t>23.9.4不得有其他不客观，不公正履行职务的行为。</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24</w:t>
      </w:r>
      <w:r>
        <w:rPr>
          <w:rFonts w:hint="eastAsia" w:ascii="Arial" w:hAnsi="Arial" w:cs="Arial"/>
          <w:sz w:val="24"/>
        </w:rPr>
        <w:t>、磋商</w:t>
      </w:r>
      <w:r>
        <w:rPr>
          <w:rFonts w:ascii="Arial" w:hAnsi="Arial" w:cs="Arial"/>
          <w:sz w:val="24"/>
        </w:rPr>
        <w:t>过程</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24.1 </w:t>
      </w:r>
      <w:r>
        <w:rPr>
          <w:rFonts w:hint="eastAsia" w:ascii="Arial" w:hAnsi="Arial" w:cs="Arial"/>
          <w:sz w:val="24"/>
        </w:rPr>
        <w:t>磋商</w:t>
      </w:r>
      <w:r>
        <w:rPr>
          <w:rFonts w:ascii="Arial" w:hAnsi="Arial" w:cs="Arial"/>
          <w:sz w:val="24"/>
        </w:rPr>
        <w:t>的依据为</w:t>
      </w:r>
      <w:r>
        <w:rPr>
          <w:rFonts w:hint="eastAsia" w:ascii="Arial" w:hAnsi="Arial" w:cs="Arial"/>
          <w:sz w:val="24"/>
        </w:rPr>
        <w:t>磋商</w:t>
      </w:r>
      <w:r>
        <w:rPr>
          <w:rFonts w:ascii="Arial" w:hAnsi="Arial" w:cs="Arial"/>
          <w:sz w:val="24"/>
        </w:rPr>
        <w:t>文件和</w:t>
      </w:r>
      <w:r>
        <w:rPr>
          <w:rFonts w:hint="eastAsia" w:ascii="Arial" w:hAnsi="Arial" w:cs="Arial"/>
          <w:sz w:val="24"/>
        </w:rPr>
        <w:t>磋商</w:t>
      </w:r>
      <w:r>
        <w:rPr>
          <w:rFonts w:ascii="Arial" w:hAnsi="Arial" w:cs="Arial"/>
          <w:sz w:val="24"/>
        </w:rPr>
        <w:t>响应文件。</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24.2 </w:t>
      </w:r>
      <w:r>
        <w:rPr>
          <w:rFonts w:hint="eastAsia" w:ascii="Arial" w:hAnsi="Arial" w:cs="Arial"/>
          <w:sz w:val="24"/>
        </w:rPr>
        <w:t>磋商</w:t>
      </w:r>
      <w:r>
        <w:rPr>
          <w:rFonts w:ascii="Arial" w:hAnsi="Arial" w:cs="Arial"/>
          <w:sz w:val="24"/>
        </w:rPr>
        <w:t>后</w:t>
      </w:r>
      <w:r>
        <w:rPr>
          <w:rFonts w:hint="eastAsia" w:ascii="Arial" w:hAnsi="Arial" w:cs="Arial"/>
          <w:sz w:val="24"/>
        </w:rPr>
        <w:t>磋商小组</w:t>
      </w:r>
      <w:r>
        <w:rPr>
          <w:rFonts w:ascii="Arial" w:hAnsi="Arial" w:cs="Arial"/>
          <w:sz w:val="24"/>
        </w:rPr>
        <w:t>审查</w:t>
      </w:r>
      <w:r>
        <w:rPr>
          <w:rFonts w:hint="eastAsia" w:ascii="Arial" w:hAnsi="Arial" w:cs="Arial"/>
          <w:sz w:val="24"/>
        </w:rPr>
        <w:t>磋商</w:t>
      </w:r>
      <w:r>
        <w:rPr>
          <w:rFonts w:ascii="Arial" w:hAnsi="Arial" w:cs="Arial"/>
          <w:sz w:val="24"/>
        </w:rPr>
        <w:t>响应文件是否完整，是否有计算错误，要求的保证金是否提供，文件是否恰当地签署。</w:t>
      </w:r>
    </w:p>
    <w:tbl>
      <w:tblPr>
        <w:tblStyle w:val="33"/>
        <w:tblW w:w="8523" w:type="dxa"/>
        <w:jc w:val="center"/>
        <w:tblLayout w:type="fixed"/>
        <w:tblCellMar>
          <w:top w:w="0" w:type="dxa"/>
          <w:left w:w="108" w:type="dxa"/>
          <w:bottom w:w="0" w:type="dxa"/>
          <w:right w:w="108" w:type="dxa"/>
        </w:tblCellMar>
      </w:tblPr>
      <w:tblGrid>
        <w:gridCol w:w="535"/>
        <w:gridCol w:w="4751"/>
        <w:gridCol w:w="564"/>
        <w:gridCol w:w="564"/>
        <w:gridCol w:w="564"/>
        <w:gridCol w:w="565"/>
        <w:gridCol w:w="563"/>
        <w:gridCol w:w="417"/>
      </w:tblGrid>
      <w:tr>
        <w:tblPrEx>
          <w:tblCellMar>
            <w:top w:w="0" w:type="dxa"/>
            <w:left w:w="108" w:type="dxa"/>
            <w:bottom w:w="0" w:type="dxa"/>
            <w:right w:w="108" w:type="dxa"/>
          </w:tblCellMar>
        </w:tblPrEx>
        <w:trPr>
          <w:trHeight w:val="468" w:hRule="atLeast"/>
          <w:jc w:val="center"/>
        </w:trPr>
        <w:tc>
          <w:tcPr>
            <w:tcW w:w="8523" w:type="dxa"/>
            <w:gridSpan w:val="8"/>
            <w:tcBorders>
              <w:top w:val="nil"/>
              <w:left w:val="nil"/>
              <w:bottom w:val="single" w:color="auto" w:sz="4" w:space="0"/>
              <w:right w:val="nil"/>
            </w:tcBorders>
            <w:vAlign w:val="center"/>
          </w:tcPr>
          <w:p>
            <w:pPr>
              <w:pageBreakBefore w:val="0"/>
              <w:widowControl/>
              <w:kinsoku/>
              <w:wordWrap/>
              <w:topLinePunct w:val="0"/>
              <w:bidi w:val="0"/>
              <w:spacing w:beforeAutospacing="0" w:afterAutospacing="0" w:line="400" w:lineRule="exact"/>
              <w:ind w:left="0" w:leftChars="0" w:right="0" w:rightChars="0"/>
              <w:rPr>
                <w:rFonts w:ascii="宋体" w:hAnsi="宋体" w:cs="宋体"/>
                <w:b/>
                <w:bCs/>
                <w:kern w:val="0"/>
                <w:sz w:val="24"/>
              </w:rPr>
            </w:pPr>
          </w:p>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8"/>
                <w:szCs w:val="28"/>
              </w:rPr>
              <w:t>初步评审</w:t>
            </w:r>
          </w:p>
        </w:tc>
      </w:tr>
      <w:tr>
        <w:tblPrEx>
          <w:tblCellMar>
            <w:top w:w="0" w:type="dxa"/>
            <w:left w:w="108" w:type="dxa"/>
            <w:bottom w:w="0" w:type="dxa"/>
            <w:right w:w="108" w:type="dxa"/>
          </w:tblCellMar>
        </w:tblPrEx>
        <w:trPr>
          <w:trHeight w:val="555" w:hRule="atLeast"/>
          <w:jc w:val="center"/>
        </w:trPr>
        <w:tc>
          <w:tcPr>
            <w:tcW w:w="535" w:type="dxa"/>
            <w:vMerge w:val="restart"/>
            <w:tcBorders>
              <w:top w:val="nil"/>
              <w:left w:val="single" w:color="auto" w:sz="4" w:space="0"/>
              <w:bottom w:val="single" w:color="000000"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序号</w:t>
            </w:r>
          </w:p>
        </w:tc>
        <w:tc>
          <w:tcPr>
            <w:tcW w:w="4751"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4"/>
              </w:rPr>
            </w:pPr>
            <w:r>
              <w:rPr>
                <w:rFonts w:hint="eastAsia" w:ascii="宋体" w:hAnsi="宋体" w:cs="宋体"/>
                <w:b/>
                <w:bCs/>
                <w:color w:val="000000"/>
                <w:kern w:val="0"/>
                <w:sz w:val="24"/>
              </w:rPr>
              <w:t>评  比  内  容</w:t>
            </w:r>
          </w:p>
        </w:tc>
        <w:tc>
          <w:tcPr>
            <w:tcW w:w="1128" w:type="dxa"/>
            <w:gridSpan w:val="2"/>
            <w:tcBorders>
              <w:top w:val="single" w:color="auto" w:sz="4" w:space="0"/>
              <w:left w:val="nil"/>
              <w:bottom w:val="nil"/>
              <w:right w:val="single" w:color="000000"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8"/>
                <w:szCs w:val="18"/>
              </w:rPr>
            </w:pPr>
            <w:r>
              <w:rPr>
                <w:rFonts w:hint="eastAsia" w:ascii="宋体" w:hAnsi="宋体" w:cs="宋体"/>
                <w:b/>
                <w:bCs/>
                <w:color w:val="000000"/>
                <w:kern w:val="0"/>
                <w:sz w:val="18"/>
                <w:szCs w:val="18"/>
              </w:rPr>
              <w:t>投标人A</w:t>
            </w:r>
          </w:p>
        </w:tc>
        <w:tc>
          <w:tcPr>
            <w:tcW w:w="1129" w:type="dxa"/>
            <w:gridSpan w:val="2"/>
            <w:tcBorders>
              <w:top w:val="single" w:color="auto" w:sz="4" w:space="0"/>
              <w:left w:val="nil"/>
              <w:bottom w:val="nil"/>
              <w:right w:val="single" w:color="000000"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8"/>
                <w:szCs w:val="18"/>
              </w:rPr>
            </w:pPr>
            <w:r>
              <w:rPr>
                <w:rFonts w:hint="eastAsia" w:ascii="宋体" w:hAnsi="宋体" w:cs="宋体"/>
                <w:b/>
                <w:bCs/>
                <w:color w:val="000000"/>
                <w:kern w:val="0"/>
                <w:sz w:val="18"/>
                <w:szCs w:val="18"/>
              </w:rPr>
              <w:t>投标人B</w:t>
            </w:r>
          </w:p>
        </w:tc>
        <w:tc>
          <w:tcPr>
            <w:tcW w:w="980" w:type="dxa"/>
            <w:gridSpan w:val="2"/>
            <w:tcBorders>
              <w:top w:val="single" w:color="auto" w:sz="4" w:space="0"/>
              <w:left w:val="nil"/>
              <w:bottom w:val="nil"/>
              <w:right w:val="single" w:color="000000"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8"/>
                <w:szCs w:val="18"/>
              </w:rPr>
            </w:pPr>
            <w:r>
              <w:rPr>
                <w:rFonts w:hint="eastAsia" w:ascii="宋体" w:hAnsi="宋体" w:cs="宋体"/>
                <w:b/>
                <w:bCs/>
                <w:color w:val="000000"/>
                <w:kern w:val="0"/>
                <w:sz w:val="18"/>
                <w:szCs w:val="18"/>
              </w:rPr>
              <w:t>……</w:t>
            </w:r>
          </w:p>
        </w:tc>
      </w:tr>
      <w:tr>
        <w:tblPrEx>
          <w:tblCellMar>
            <w:top w:w="0" w:type="dxa"/>
            <w:left w:w="108" w:type="dxa"/>
            <w:bottom w:w="0" w:type="dxa"/>
            <w:right w:w="108" w:type="dxa"/>
          </w:tblCellMar>
        </w:tblPrEx>
        <w:trPr>
          <w:trHeight w:val="435" w:hRule="atLeast"/>
          <w:jc w:val="center"/>
        </w:trPr>
        <w:tc>
          <w:tcPr>
            <w:tcW w:w="53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b/>
                <w:bCs/>
                <w:kern w:val="0"/>
                <w:sz w:val="24"/>
              </w:rPr>
            </w:pPr>
          </w:p>
        </w:tc>
        <w:tc>
          <w:tcPr>
            <w:tcW w:w="475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b/>
                <w:bCs/>
                <w:color w:val="000000"/>
                <w:kern w:val="0"/>
                <w:sz w:val="24"/>
              </w:rPr>
            </w:pPr>
          </w:p>
        </w:tc>
        <w:tc>
          <w:tcPr>
            <w:tcW w:w="564"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0"/>
              </w:rPr>
            </w:pPr>
            <w:r>
              <w:rPr>
                <w:rFonts w:hint="eastAsia" w:ascii="宋体" w:hAnsi="宋体" w:cs="宋体"/>
                <w:b/>
                <w:bCs/>
                <w:color w:val="000000"/>
                <w:kern w:val="0"/>
                <w:sz w:val="20"/>
              </w:rPr>
              <w:t>是</w:t>
            </w:r>
          </w:p>
        </w:tc>
        <w:tc>
          <w:tcPr>
            <w:tcW w:w="564"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0"/>
              </w:rPr>
            </w:pPr>
            <w:r>
              <w:rPr>
                <w:rFonts w:hint="eastAsia" w:ascii="宋体" w:hAnsi="宋体" w:cs="宋体"/>
                <w:b/>
                <w:bCs/>
                <w:color w:val="000000"/>
                <w:kern w:val="0"/>
                <w:sz w:val="20"/>
              </w:rPr>
              <w:t>否</w:t>
            </w:r>
          </w:p>
        </w:tc>
        <w:tc>
          <w:tcPr>
            <w:tcW w:w="564"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0"/>
              </w:rPr>
            </w:pPr>
            <w:r>
              <w:rPr>
                <w:rFonts w:hint="eastAsia" w:ascii="宋体" w:hAnsi="宋体" w:cs="宋体"/>
                <w:b/>
                <w:bCs/>
                <w:color w:val="000000"/>
                <w:kern w:val="0"/>
                <w:sz w:val="20"/>
              </w:rPr>
              <w:t>是</w:t>
            </w:r>
          </w:p>
        </w:tc>
        <w:tc>
          <w:tcPr>
            <w:tcW w:w="565"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0"/>
              </w:rPr>
            </w:pPr>
            <w:r>
              <w:rPr>
                <w:rFonts w:hint="eastAsia" w:ascii="宋体" w:hAnsi="宋体" w:cs="宋体"/>
                <w:b/>
                <w:bCs/>
                <w:color w:val="000000"/>
                <w:kern w:val="0"/>
                <w:sz w:val="20"/>
              </w:rPr>
              <w:t>否</w:t>
            </w:r>
          </w:p>
        </w:tc>
        <w:tc>
          <w:tcPr>
            <w:tcW w:w="563"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0"/>
              </w:rPr>
            </w:pPr>
            <w:r>
              <w:rPr>
                <w:rFonts w:hint="eastAsia" w:ascii="宋体" w:hAnsi="宋体" w:cs="宋体"/>
                <w:b/>
                <w:bCs/>
                <w:color w:val="000000"/>
                <w:kern w:val="0"/>
                <w:sz w:val="20"/>
              </w:rPr>
              <w:t>是</w:t>
            </w:r>
          </w:p>
        </w:tc>
        <w:tc>
          <w:tcPr>
            <w:tcW w:w="417"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0"/>
              </w:rPr>
            </w:pPr>
            <w:r>
              <w:rPr>
                <w:rFonts w:hint="eastAsia" w:ascii="宋体" w:hAnsi="宋体" w:cs="宋体"/>
                <w:b/>
                <w:bCs/>
                <w:color w:val="000000"/>
                <w:kern w:val="0"/>
                <w:sz w:val="20"/>
              </w:rPr>
              <w:t>否</w:t>
            </w:r>
          </w:p>
        </w:tc>
      </w:tr>
      <w:tr>
        <w:tblPrEx>
          <w:tblCellMar>
            <w:top w:w="0" w:type="dxa"/>
            <w:left w:w="108" w:type="dxa"/>
            <w:bottom w:w="0" w:type="dxa"/>
            <w:right w:w="108" w:type="dxa"/>
          </w:tblCellMar>
        </w:tblPrEx>
        <w:trPr>
          <w:trHeight w:val="58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1</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投标书是否密封；</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43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2</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投标书是否按规定的要求编制；</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49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3</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法定代表人或授权委托人是否签字和是否加盖单位公章；</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450"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4</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投标书送达时间是否没有超过投标的截止时间；</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43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5</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投标人是否没有递交两份或两份以上内容不同的投标书；</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46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6</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投标人的法定代表人或授权委托人是否参加开标会议。</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630"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7</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投标人的投标资格是否满足国家有关规定和招标文件的要求；</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67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8</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是否按招标文件的要求提供投标保证金；</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r>
              <w:rPr>
                <w:rFonts w:hint="eastAsia" w:ascii="仿宋_GB2312" w:hAnsi="宋体" w:eastAsia="仿宋_GB2312"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67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9</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投标文件没有附有招标人不能接受的条款；</w:t>
            </w:r>
          </w:p>
        </w:tc>
        <w:tc>
          <w:tcPr>
            <w:tcW w:w="564"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p>
        </w:tc>
        <w:tc>
          <w:tcPr>
            <w:tcW w:w="564"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4"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5"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3"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p>
        </w:tc>
        <w:tc>
          <w:tcPr>
            <w:tcW w:w="417" w:type="dxa"/>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p>
        </w:tc>
      </w:tr>
      <w:tr>
        <w:tblPrEx>
          <w:tblCellMar>
            <w:top w:w="0" w:type="dxa"/>
            <w:left w:w="108" w:type="dxa"/>
            <w:bottom w:w="0" w:type="dxa"/>
            <w:right w:w="108" w:type="dxa"/>
          </w:tblCellMar>
        </w:tblPrEx>
        <w:trPr>
          <w:trHeight w:val="67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10</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没有与招标文件有重大偏离的投标文件</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p>
        </w:tc>
      </w:tr>
      <w:tr>
        <w:tblPrEx>
          <w:tblCellMar>
            <w:top w:w="0" w:type="dxa"/>
            <w:left w:w="108" w:type="dxa"/>
            <w:bottom w:w="0" w:type="dxa"/>
            <w:right w:w="108" w:type="dxa"/>
          </w:tblCellMar>
        </w:tblPrEx>
        <w:trPr>
          <w:trHeight w:val="675" w:hRule="atLeast"/>
          <w:jc w:val="center"/>
        </w:trPr>
        <w:tc>
          <w:tcPr>
            <w:tcW w:w="535" w:type="dxa"/>
            <w:tcBorders>
              <w:top w:val="nil"/>
              <w:left w:val="single" w:color="auto" w:sz="4" w:space="0"/>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24"/>
              </w:rPr>
            </w:pPr>
            <w:r>
              <w:rPr>
                <w:rFonts w:hint="eastAsia" w:ascii="宋体" w:hAnsi="宋体" w:cs="宋体"/>
                <w:b/>
                <w:bCs/>
                <w:kern w:val="0"/>
                <w:sz w:val="24"/>
              </w:rPr>
              <w:t>11</w:t>
            </w:r>
          </w:p>
        </w:tc>
        <w:tc>
          <w:tcPr>
            <w:tcW w:w="4751" w:type="dxa"/>
            <w:tcBorders>
              <w:top w:val="single" w:color="auto" w:sz="4" w:space="0"/>
              <w:left w:val="nil"/>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rPr>
                <w:rFonts w:ascii="Arial" w:hAnsi="Arial" w:cs="Arial"/>
                <w:sz w:val="24"/>
                <w:szCs w:val="22"/>
              </w:rPr>
            </w:pPr>
            <w:r>
              <w:rPr>
                <w:rFonts w:hint="eastAsia" w:ascii="Arial" w:hAnsi="Arial" w:cs="Arial"/>
                <w:sz w:val="24"/>
                <w:szCs w:val="22"/>
              </w:rPr>
              <w:t>是否满足招标文件规定的其他实质性要求；</w:t>
            </w: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16"/>
                <w:szCs w:val="16"/>
              </w:rPr>
            </w:pP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4"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5"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仿宋_GB2312" w:hAnsi="宋体" w:eastAsia="仿宋_GB2312" w:cs="宋体"/>
                <w:b/>
                <w:bCs/>
                <w:color w:val="000000"/>
                <w:kern w:val="0"/>
                <w:sz w:val="16"/>
                <w:szCs w:val="16"/>
              </w:rPr>
            </w:pPr>
          </w:p>
        </w:tc>
        <w:tc>
          <w:tcPr>
            <w:tcW w:w="563"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p>
        </w:tc>
        <w:tc>
          <w:tcPr>
            <w:tcW w:w="417" w:type="dxa"/>
            <w:tcBorders>
              <w:top w:val="nil"/>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kern w:val="0"/>
                <w:sz w:val="16"/>
                <w:szCs w:val="16"/>
              </w:rPr>
            </w:pPr>
          </w:p>
        </w:tc>
      </w:tr>
      <w:tr>
        <w:tblPrEx>
          <w:tblCellMar>
            <w:top w:w="0" w:type="dxa"/>
            <w:left w:w="108" w:type="dxa"/>
            <w:bottom w:w="0" w:type="dxa"/>
            <w:right w:w="108" w:type="dxa"/>
          </w:tblCellMar>
        </w:tblPrEx>
        <w:trPr>
          <w:trHeight w:val="277" w:hRule="atLeast"/>
          <w:jc w:val="center"/>
        </w:trPr>
        <w:tc>
          <w:tcPr>
            <w:tcW w:w="5286" w:type="dxa"/>
            <w:gridSpan w:val="2"/>
            <w:tcBorders>
              <w:top w:val="single" w:color="auto" w:sz="4" w:space="0"/>
              <w:left w:val="single" w:color="auto" w:sz="4" w:space="0"/>
              <w:bottom w:val="single" w:color="auto" w:sz="4" w:space="0"/>
              <w:right w:val="single" w:color="000000"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4"/>
              </w:rPr>
            </w:pPr>
            <w:r>
              <w:rPr>
                <w:rFonts w:hint="eastAsia" w:ascii="宋体" w:hAnsi="宋体" w:cs="宋体"/>
                <w:b/>
                <w:bCs/>
                <w:color w:val="000000"/>
                <w:kern w:val="0"/>
                <w:sz w:val="24"/>
              </w:rPr>
              <w:t>是否符合通过</w:t>
            </w:r>
          </w:p>
        </w:tc>
        <w:tc>
          <w:tcPr>
            <w:tcW w:w="1128" w:type="dxa"/>
            <w:gridSpan w:val="2"/>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b/>
                <w:bCs/>
                <w:color w:val="000000"/>
                <w:kern w:val="0"/>
                <w:sz w:val="24"/>
              </w:rPr>
            </w:pPr>
            <w:r>
              <w:rPr>
                <w:rFonts w:hint="eastAsia" w:ascii="宋体" w:hAnsi="宋体" w:cs="宋体"/>
                <w:b/>
                <w:bCs/>
                <w:color w:val="000000"/>
                <w:kern w:val="0"/>
                <w:sz w:val="24"/>
              </w:rPr>
              <w:t>　</w:t>
            </w:r>
          </w:p>
        </w:tc>
        <w:tc>
          <w:tcPr>
            <w:tcW w:w="1129" w:type="dxa"/>
            <w:gridSpan w:val="2"/>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kern w:val="0"/>
                <w:sz w:val="24"/>
              </w:rPr>
            </w:pPr>
            <w:r>
              <w:rPr>
                <w:rFonts w:hint="eastAsia" w:ascii="宋体" w:hAnsi="宋体" w:cs="宋体"/>
                <w:kern w:val="0"/>
                <w:sz w:val="24"/>
              </w:rPr>
              <w:t>　</w:t>
            </w:r>
          </w:p>
        </w:tc>
        <w:tc>
          <w:tcPr>
            <w:tcW w:w="980" w:type="dxa"/>
            <w:gridSpan w:val="2"/>
            <w:tcBorders>
              <w:top w:val="single" w:color="auto" w:sz="4" w:space="0"/>
              <w:left w:val="nil"/>
              <w:bottom w:val="single" w:color="auto" w:sz="4" w:space="0"/>
              <w:right w:val="single" w:color="auto" w:sz="4" w:space="0"/>
            </w:tcBorders>
            <w:vAlign w:val="center"/>
          </w:tcPr>
          <w:p>
            <w:pPr>
              <w:pageBreakBefore w:val="0"/>
              <w:widowControl/>
              <w:kinsoku/>
              <w:wordWrap/>
              <w:topLinePunct w:val="0"/>
              <w:bidi w:val="0"/>
              <w:spacing w:beforeAutospacing="0" w:afterAutospacing="0" w:line="400" w:lineRule="exact"/>
              <w:ind w:left="0" w:leftChars="0" w:right="0" w:right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jc w:val="center"/>
        </w:trPr>
        <w:tc>
          <w:tcPr>
            <w:tcW w:w="8523" w:type="dxa"/>
            <w:gridSpan w:val="8"/>
            <w:tcBorders>
              <w:top w:val="single" w:color="auto" w:sz="4" w:space="0"/>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color w:val="000000"/>
                <w:kern w:val="0"/>
                <w:sz w:val="24"/>
              </w:rPr>
            </w:pPr>
            <w:r>
              <w:rPr>
                <w:rFonts w:hint="eastAsia" w:ascii="宋体" w:hAnsi="宋体" w:cs="宋体"/>
                <w:color w:val="000000"/>
                <w:kern w:val="0"/>
                <w:sz w:val="24"/>
              </w:rPr>
              <w:t>备注：1、上述各项中用“√”表示符合或不符合；不符合则视为无效投标。</w:t>
            </w:r>
          </w:p>
        </w:tc>
      </w:tr>
      <w:tr>
        <w:tblPrEx>
          <w:tblCellMar>
            <w:top w:w="0" w:type="dxa"/>
            <w:left w:w="108" w:type="dxa"/>
            <w:bottom w:w="0" w:type="dxa"/>
            <w:right w:w="108" w:type="dxa"/>
          </w:tblCellMar>
        </w:tblPrEx>
        <w:trPr>
          <w:trHeight w:val="465" w:hRule="atLeast"/>
          <w:jc w:val="center"/>
        </w:trPr>
        <w:tc>
          <w:tcPr>
            <w:tcW w:w="5286" w:type="dxa"/>
            <w:gridSpan w:val="2"/>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kern w:val="0"/>
                <w:sz w:val="24"/>
              </w:rPr>
            </w:pPr>
            <w:r>
              <w:rPr>
                <w:rFonts w:hint="eastAsia" w:ascii="宋体" w:hAnsi="宋体" w:cs="宋体"/>
                <w:kern w:val="0"/>
                <w:sz w:val="24"/>
              </w:rPr>
              <w:t>评审小组签字：</w:t>
            </w:r>
          </w:p>
        </w:tc>
        <w:tc>
          <w:tcPr>
            <w:tcW w:w="564" w:type="dxa"/>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kern w:val="0"/>
                <w:sz w:val="24"/>
              </w:rPr>
            </w:pPr>
          </w:p>
        </w:tc>
        <w:tc>
          <w:tcPr>
            <w:tcW w:w="564" w:type="dxa"/>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kern w:val="0"/>
                <w:sz w:val="24"/>
              </w:rPr>
            </w:pPr>
          </w:p>
        </w:tc>
        <w:tc>
          <w:tcPr>
            <w:tcW w:w="564" w:type="dxa"/>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kern w:val="0"/>
                <w:sz w:val="24"/>
              </w:rPr>
            </w:pPr>
          </w:p>
        </w:tc>
        <w:tc>
          <w:tcPr>
            <w:tcW w:w="565" w:type="dxa"/>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kern w:val="0"/>
                <w:sz w:val="24"/>
              </w:rPr>
            </w:pPr>
          </w:p>
        </w:tc>
        <w:tc>
          <w:tcPr>
            <w:tcW w:w="563" w:type="dxa"/>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b/>
                <w:bCs/>
                <w:kern w:val="0"/>
                <w:sz w:val="28"/>
                <w:szCs w:val="28"/>
              </w:rPr>
            </w:pPr>
          </w:p>
        </w:tc>
        <w:tc>
          <w:tcPr>
            <w:tcW w:w="417" w:type="dxa"/>
            <w:tcBorders>
              <w:top w:val="nil"/>
              <w:left w:val="nil"/>
              <w:bottom w:val="nil"/>
              <w:right w:val="nil"/>
            </w:tcBorders>
            <w:vAlign w:val="center"/>
          </w:tcPr>
          <w:p>
            <w:pPr>
              <w:pageBreakBefore w:val="0"/>
              <w:widowControl/>
              <w:kinsoku/>
              <w:wordWrap/>
              <w:topLinePunct w:val="0"/>
              <w:bidi w:val="0"/>
              <w:spacing w:beforeAutospacing="0" w:afterAutospacing="0" w:line="400" w:lineRule="exact"/>
              <w:ind w:left="0" w:leftChars="0" w:right="0" w:rightChars="0"/>
              <w:jc w:val="left"/>
              <w:rPr>
                <w:rFonts w:ascii="宋体" w:hAnsi="宋体" w:cs="宋体"/>
                <w:kern w:val="0"/>
                <w:sz w:val="24"/>
              </w:rPr>
            </w:pPr>
          </w:p>
        </w:tc>
      </w:tr>
    </w:tbl>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24.3 在对</w:t>
      </w:r>
      <w:r>
        <w:rPr>
          <w:rFonts w:hint="eastAsia" w:ascii="Arial" w:hAnsi="Arial" w:cs="Arial"/>
          <w:sz w:val="24"/>
        </w:rPr>
        <w:t>磋商</w:t>
      </w:r>
      <w:r>
        <w:rPr>
          <w:rFonts w:ascii="Arial" w:hAnsi="Arial" w:cs="Arial"/>
          <w:sz w:val="24"/>
        </w:rPr>
        <w:t>响应文件进行详细评估之前，</w:t>
      </w:r>
      <w:r>
        <w:rPr>
          <w:rFonts w:hint="eastAsia" w:ascii="Arial" w:hAnsi="Arial" w:cs="Arial"/>
          <w:sz w:val="24"/>
        </w:rPr>
        <w:t>磋商小组</w:t>
      </w:r>
      <w:r>
        <w:rPr>
          <w:rFonts w:ascii="Arial" w:hAnsi="Arial" w:cs="Arial"/>
          <w:sz w:val="24"/>
        </w:rPr>
        <w:t>将依据供应商提供的资格证明文件审查供应商的财务、技术和生产能力。如果确定供应商无资格履行合同，其投标将被拒绝。</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24.4 </w:t>
      </w:r>
      <w:r>
        <w:rPr>
          <w:rFonts w:hint="eastAsia" w:ascii="Arial" w:hAnsi="Arial" w:cs="Arial"/>
          <w:sz w:val="24"/>
        </w:rPr>
        <w:t>磋商小组</w:t>
      </w:r>
      <w:r>
        <w:rPr>
          <w:rFonts w:ascii="Arial" w:hAnsi="Arial" w:cs="Arial"/>
          <w:sz w:val="24"/>
        </w:rPr>
        <w:t>将确定每一</w:t>
      </w:r>
      <w:r>
        <w:rPr>
          <w:rFonts w:hint="eastAsia" w:ascii="Arial" w:hAnsi="Arial" w:cs="Arial"/>
          <w:sz w:val="24"/>
        </w:rPr>
        <w:t>磋商响应文件</w:t>
      </w:r>
      <w:r>
        <w:rPr>
          <w:rFonts w:ascii="Arial" w:hAnsi="Arial" w:cs="Arial"/>
          <w:sz w:val="24"/>
        </w:rPr>
        <w:t>是否对</w:t>
      </w:r>
      <w:r>
        <w:rPr>
          <w:rFonts w:hint="eastAsia" w:ascii="Arial" w:hAnsi="Arial" w:cs="Arial"/>
          <w:sz w:val="24"/>
        </w:rPr>
        <w:t>磋商</w:t>
      </w:r>
      <w:r>
        <w:rPr>
          <w:rFonts w:ascii="Arial" w:hAnsi="Arial" w:cs="Arial"/>
          <w:sz w:val="24"/>
        </w:rPr>
        <w:t>文件的要求作出了实质性的响应，而没有重大偏离。实质性响应的</w:t>
      </w:r>
      <w:r>
        <w:rPr>
          <w:rFonts w:hint="eastAsia" w:ascii="Arial" w:hAnsi="Arial" w:cs="Arial"/>
          <w:sz w:val="24"/>
        </w:rPr>
        <w:t>磋商响应文件</w:t>
      </w:r>
      <w:r>
        <w:rPr>
          <w:rFonts w:ascii="Arial" w:hAnsi="Arial" w:cs="Arial"/>
          <w:sz w:val="24"/>
        </w:rPr>
        <w:t>是指符合</w:t>
      </w:r>
      <w:r>
        <w:rPr>
          <w:rFonts w:hint="eastAsia" w:ascii="Arial" w:hAnsi="Arial" w:cs="Arial"/>
          <w:sz w:val="24"/>
        </w:rPr>
        <w:t>磋商</w:t>
      </w:r>
      <w:r>
        <w:rPr>
          <w:rFonts w:ascii="Arial" w:hAnsi="Arial" w:cs="Arial"/>
          <w:sz w:val="24"/>
        </w:rPr>
        <w:t>文件的所有条款、条件和规定且没有重大偏离或保留。重大偏离或保留系指影响到</w:t>
      </w:r>
      <w:r>
        <w:rPr>
          <w:rFonts w:hint="eastAsia" w:ascii="Arial" w:hAnsi="Arial" w:cs="Arial"/>
          <w:sz w:val="24"/>
        </w:rPr>
        <w:t>磋商</w:t>
      </w:r>
      <w:r>
        <w:rPr>
          <w:rFonts w:ascii="Arial" w:hAnsi="Arial" w:cs="Arial"/>
          <w:sz w:val="24"/>
        </w:rPr>
        <w:t>文件规定的供货范围、质量和性能，或限制了买方的权利和供应商的义务的规定，而纠正这些偏离将影响到其他提交实质性响应投标的供应商的公平竞争地位。</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25</w:t>
      </w:r>
      <w:r>
        <w:rPr>
          <w:rFonts w:hint="eastAsia" w:ascii="Arial" w:hAnsi="Arial" w:cs="Arial"/>
          <w:sz w:val="24"/>
        </w:rPr>
        <w:t>、磋商</w:t>
      </w:r>
      <w:r>
        <w:rPr>
          <w:rFonts w:ascii="Arial" w:hAnsi="Arial" w:cs="Arial"/>
          <w:sz w:val="24"/>
        </w:rPr>
        <w:t>响应文件的澄清</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25.1为有助于对</w:t>
      </w:r>
      <w:r>
        <w:rPr>
          <w:rFonts w:hint="eastAsia" w:ascii="Arial" w:hAnsi="Arial" w:cs="Arial"/>
          <w:sz w:val="24"/>
        </w:rPr>
        <w:t>磋商</w:t>
      </w:r>
      <w:r>
        <w:rPr>
          <w:rFonts w:ascii="Arial" w:hAnsi="Arial" w:cs="Arial"/>
          <w:sz w:val="24"/>
        </w:rPr>
        <w:t>响应文件进行审查、评估和比较，</w:t>
      </w:r>
      <w:r>
        <w:rPr>
          <w:rFonts w:hint="eastAsia" w:ascii="Arial" w:hAnsi="Arial" w:cs="Arial"/>
          <w:sz w:val="24"/>
        </w:rPr>
        <w:t>磋商</w:t>
      </w:r>
      <w:r>
        <w:rPr>
          <w:rFonts w:ascii="Arial" w:hAnsi="Arial" w:cs="Arial"/>
          <w:sz w:val="24"/>
        </w:rPr>
        <w:t>小组将</w:t>
      </w:r>
      <w:r>
        <w:rPr>
          <w:rFonts w:hint="eastAsia" w:ascii="Arial" w:hAnsi="Arial" w:cs="Arial"/>
          <w:sz w:val="24"/>
        </w:rPr>
        <w:t>对</w:t>
      </w:r>
      <w:r>
        <w:rPr>
          <w:rFonts w:ascii="Arial" w:hAnsi="Arial" w:cs="Arial"/>
          <w:sz w:val="24"/>
        </w:rPr>
        <w:t>供应商进行</w:t>
      </w:r>
      <w:r>
        <w:rPr>
          <w:rFonts w:hint="eastAsia" w:ascii="Arial" w:hAnsi="Arial" w:cs="Arial"/>
          <w:sz w:val="24"/>
        </w:rPr>
        <w:t>磋商</w:t>
      </w:r>
      <w:r>
        <w:rPr>
          <w:rFonts w:ascii="Arial" w:hAnsi="Arial" w:cs="Arial"/>
          <w:sz w:val="24"/>
        </w:rPr>
        <w:t>，请供应商澄清其</w:t>
      </w:r>
      <w:r>
        <w:rPr>
          <w:rFonts w:hint="eastAsia" w:ascii="Arial" w:hAnsi="Arial" w:cs="Arial"/>
          <w:sz w:val="24"/>
        </w:rPr>
        <w:t>磋商</w:t>
      </w:r>
      <w:r>
        <w:rPr>
          <w:rFonts w:ascii="Arial" w:hAnsi="Arial" w:cs="Arial"/>
          <w:sz w:val="24"/>
        </w:rPr>
        <w:t>内容，供应商有责任按照招标</w:t>
      </w:r>
      <w:r>
        <w:rPr>
          <w:rFonts w:hint="eastAsia" w:ascii="Arial" w:hAnsi="Arial" w:cs="Arial"/>
          <w:sz w:val="24"/>
        </w:rPr>
        <w:t>代理</w:t>
      </w:r>
      <w:r>
        <w:rPr>
          <w:rFonts w:ascii="Arial" w:hAnsi="Arial" w:cs="Arial"/>
          <w:sz w:val="24"/>
        </w:rPr>
        <w:t>机构通知的时间、地点指派专人进行答疑和澄清。</w:t>
      </w:r>
      <w:r>
        <w:rPr>
          <w:rFonts w:hint="eastAsia" w:ascii="Arial" w:hAnsi="Arial" w:cs="Arial"/>
          <w:sz w:val="24"/>
        </w:rPr>
        <w:t>磋商</w:t>
      </w:r>
      <w:r>
        <w:rPr>
          <w:rFonts w:ascii="Arial" w:hAnsi="Arial" w:cs="Arial"/>
          <w:sz w:val="24"/>
        </w:rPr>
        <w:t>时供应商代表应作书面记录。并对重要内容作出书面答复。</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25.2 要澄清的答复应是书面的，但不得对</w:t>
      </w:r>
      <w:r>
        <w:rPr>
          <w:rFonts w:hint="eastAsia" w:ascii="Arial" w:hAnsi="Arial" w:cs="Arial"/>
          <w:sz w:val="24"/>
        </w:rPr>
        <w:t>磋商</w:t>
      </w:r>
      <w:r>
        <w:rPr>
          <w:rFonts w:ascii="Arial" w:hAnsi="Arial" w:cs="Arial"/>
          <w:sz w:val="24"/>
        </w:rPr>
        <w:t>内容进行实质性修改。澄清文件须由供应商法人代表或法人授权代表签字和/或加盖公章并作为</w:t>
      </w:r>
      <w:r>
        <w:rPr>
          <w:rFonts w:hint="eastAsia" w:ascii="Arial" w:hAnsi="Arial" w:cs="Arial"/>
          <w:sz w:val="24"/>
        </w:rPr>
        <w:t>磋商</w:t>
      </w:r>
      <w:r>
        <w:rPr>
          <w:rFonts w:ascii="Arial" w:hAnsi="Arial" w:cs="Arial"/>
          <w:sz w:val="24"/>
        </w:rPr>
        <w:t>响应文件的组成部分。</w:t>
      </w:r>
    </w:p>
    <w:p>
      <w:pPr>
        <w:pageBreakBefore w:val="0"/>
        <w:kinsoku/>
        <w:wordWrap/>
        <w:topLinePunct w:val="0"/>
        <w:bidi w:val="0"/>
        <w:spacing w:beforeAutospacing="0" w:afterAutospacing="0" w:line="400" w:lineRule="exact"/>
        <w:ind w:left="360" w:leftChars="0" w:right="0" w:rightChars="0" w:hanging="360" w:hangingChars="150"/>
        <w:rPr>
          <w:rFonts w:ascii="Arial" w:hAnsi="Arial" w:cs="Arial"/>
          <w:sz w:val="24"/>
        </w:rPr>
      </w:pPr>
      <w:r>
        <w:rPr>
          <w:rFonts w:hint="eastAsia" w:ascii="Arial" w:hAnsi="Arial" w:cs="Arial"/>
          <w:sz w:val="24"/>
        </w:rPr>
        <w:t>25.3 磋商结束后，磋商小组要求所有参加磋商的供应商在规定的时间内进行最后报价。</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26</w:t>
      </w:r>
      <w:r>
        <w:rPr>
          <w:rFonts w:hint="eastAsia" w:ascii="Arial" w:hAnsi="Arial" w:cs="Arial"/>
          <w:sz w:val="24"/>
        </w:rPr>
        <w:t>、确定成交供应商的办法</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bCs/>
          <w:sz w:val="24"/>
        </w:rPr>
      </w:pPr>
      <w:r>
        <w:rPr>
          <w:rFonts w:hint="eastAsia" w:ascii="Arial" w:hAnsi="Arial" w:cs="Arial"/>
          <w:bCs/>
          <w:sz w:val="24"/>
        </w:rPr>
        <w:t>26.1磋商</w:t>
      </w:r>
      <w:r>
        <w:rPr>
          <w:rFonts w:ascii="Arial" w:hAnsi="Arial" w:cs="Arial"/>
          <w:bCs/>
          <w:sz w:val="24"/>
        </w:rPr>
        <w:t>小组按照</w:t>
      </w:r>
      <w:r>
        <w:rPr>
          <w:rFonts w:hint="eastAsia" w:ascii="Arial" w:hAnsi="Arial" w:cs="Arial"/>
          <w:bCs/>
          <w:sz w:val="24"/>
        </w:rPr>
        <w:t>磋商</w:t>
      </w:r>
      <w:r>
        <w:rPr>
          <w:rFonts w:ascii="Arial" w:hAnsi="Arial" w:cs="Arial"/>
          <w:bCs/>
          <w:sz w:val="24"/>
        </w:rPr>
        <w:t>文件要求对</w:t>
      </w:r>
      <w:r>
        <w:rPr>
          <w:rFonts w:hint="eastAsia" w:ascii="Arial" w:hAnsi="Arial" w:cs="Arial"/>
          <w:bCs/>
          <w:sz w:val="24"/>
        </w:rPr>
        <w:t>磋商</w:t>
      </w:r>
      <w:r>
        <w:rPr>
          <w:rFonts w:ascii="Arial" w:hAnsi="Arial" w:cs="Arial"/>
          <w:bCs/>
          <w:sz w:val="24"/>
        </w:rPr>
        <w:t>响应文件中的供应商资格、供应商资格证明文件、重要技术指标以及技术和商务上要求的其它重要内容进行审核</w:t>
      </w:r>
      <w:r>
        <w:rPr>
          <w:rFonts w:hint="eastAsia" w:ascii="Arial" w:hAnsi="Arial" w:cs="Arial"/>
          <w:bCs/>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bCs/>
          <w:sz w:val="24"/>
        </w:rPr>
      </w:pPr>
      <w:r>
        <w:rPr>
          <w:rFonts w:hint="eastAsia" w:ascii="Arial" w:hAnsi="Arial" w:cs="Arial"/>
          <w:bCs/>
          <w:sz w:val="24"/>
        </w:rPr>
        <w:t>26.2磋商</w:t>
      </w:r>
      <w:r>
        <w:rPr>
          <w:rFonts w:ascii="Arial" w:hAnsi="Arial" w:cs="Arial"/>
          <w:bCs/>
          <w:sz w:val="24"/>
        </w:rPr>
        <w:t>小组</w:t>
      </w:r>
      <w:r>
        <w:rPr>
          <w:rFonts w:hint="eastAsia" w:ascii="Arial" w:hAnsi="Arial" w:cs="Arial"/>
          <w:bCs/>
          <w:sz w:val="24"/>
        </w:rPr>
        <w:t>和供应商磋商过程中作出的书面承诺是否符合磋商文件中对质量、技术和服务的要求。</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szCs w:val="24"/>
        </w:rPr>
      </w:pPr>
      <w:r>
        <w:rPr>
          <w:rFonts w:hint="eastAsia" w:ascii="Arial" w:hAnsi="Arial" w:cs="Arial"/>
          <w:bCs/>
          <w:sz w:val="24"/>
        </w:rPr>
        <w:t>26.3</w:t>
      </w:r>
      <w:r>
        <w:rPr>
          <w:rFonts w:ascii="宋体" w:hAnsi="宋体"/>
          <w:sz w:val="24"/>
          <w:szCs w:val="24"/>
          <w:shd w:val="clear" w:color="auto" w:fill="FFFFFF"/>
        </w:rPr>
        <w:t>经磋商确定最终采购需求和提交最后报价的供应商后，由磋商小组采用综合评分法对提交最后报价的供应商的响应文件和最后报价进行综合评分。</w:t>
      </w:r>
    </w:p>
    <w:p>
      <w:pPr>
        <w:pageBreakBefore w:val="0"/>
        <w:tabs>
          <w:tab w:val="left" w:pos="-94"/>
          <w:tab w:val="left" w:pos="428"/>
        </w:tabs>
        <w:kinsoku/>
        <w:wordWrap/>
        <w:topLinePunct w:val="0"/>
        <w:bidi w:val="0"/>
        <w:adjustRightInd w:val="0"/>
        <w:spacing w:beforeAutospacing="0" w:afterAutospacing="0" w:line="400" w:lineRule="exact"/>
        <w:ind w:left="0" w:leftChars="0" w:right="0" w:rightChars="0"/>
        <w:jc w:val="left"/>
        <w:textAlignment w:val="baseline"/>
        <w:outlineLvl w:val="9"/>
        <w:rPr>
          <w:rFonts w:ascii="Arial" w:hAnsi="宋体" w:cs="Arial"/>
          <w:bCs/>
          <w:color w:val="000000"/>
          <w:sz w:val="24"/>
        </w:rPr>
      </w:pPr>
      <w:r>
        <w:rPr>
          <w:rFonts w:ascii="Arial" w:hAnsi="宋体" w:cs="Arial"/>
          <w:bCs/>
          <w:sz w:val="24"/>
        </w:rPr>
        <w:t>对</w:t>
      </w:r>
      <w:r>
        <w:rPr>
          <w:rFonts w:hint="eastAsia" w:ascii="Arial" w:hAnsi="宋体" w:cs="Arial"/>
          <w:bCs/>
          <w:sz w:val="24"/>
        </w:rPr>
        <w:t>响应</w:t>
      </w:r>
      <w:r>
        <w:rPr>
          <w:rFonts w:ascii="Arial" w:hAnsi="宋体" w:cs="Arial"/>
          <w:bCs/>
          <w:sz w:val="24"/>
        </w:rPr>
        <w:t>文件的评估和比较分为两步进行，</w:t>
      </w:r>
      <w:r>
        <w:rPr>
          <w:rFonts w:hint="eastAsia" w:ascii="Arial" w:hAnsi="宋体" w:cs="Arial"/>
          <w:bCs/>
          <w:sz w:val="24"/>
        </w:rPr>
        <w:t>磋商小组</w:t>
      </w:r>
      <w:r>
        <w:rPr>
          <w:rFonts w:ascii="Arial" w:hAnsi="宋体" w:cs="Arial"/>
          <w:bCs/>
          <w:sz w:val="24"/>
        </w:rPr>
        <w:t>会按照</w:t>
      </w:r>
      <w:r>
        <w:rPr>
          <w:rFonts w:hint="eastAsia" w:ascii="Arial" w:hAnsi="宋体" w:cs="Arial"/>
          <w:bCs/>
          <w:sz w:val="24"/>
        </w:rPr>
        <w:t>磋商</w:t>
      </w:r>
      <w:r>
        <w:rPr>
          <w:rFonts w:ascii="Arial" w:hAnsi="宋体" w:cs="Arial"/>
          <w:bCs/>
          <w:sz w:val="24"/>
        </w:rPr>
        <w:t>文件要求对</w:t>
      </w:r>
      <w:r>
        <w:rPr>
          <w:rFonts w:hint="eastAsia" w:ascii="Arial" w:hAnsi="宋体" w:cs="Arial"/>
          <w:bCs/>
          <w:sz w:val="24"/>
        </w:rPr>
        <w:t>响应</w:t>
      </w:r>
      <w:r>
        <w:rPr>
          <w:rFonts w:ascii="Arial" w:hAnsi="宋体" w:cs="Arial"/>
          <w:bCs/>
          <w:sz w:val="24"/>
        </w:rPr>
        <w:t>文件中的</w:t>
      </w:r>
      <w:r>
        <w:rPr>
          <w:rFonts w:hint="eastAsia" w:ascii="Arial" w:hAnsi="宋体" w:cs="Arial"/>
          <w:bCs/>
          <w:sz w:val="24"/>
        </w:rPr>
        <w:t>供应商</w:t>
      </w:r>
      <w:r>
        <w:rPr>
          <w:rFonts w:ascii="Arial" w:hAnsi="宋体" w:cs="Arial"/>
          <w:bCs/>
          <w:sz w:val="24"/>
        </w:rPr>
        <w:t>资格、</w:t>
      </w:r>
      <w:r>
        <w:rPr>
          <w:rFonts w:hint="eastAsia" w:ascii="Arial" w:hAnsi="宋体" w:cs="Arial"/>
          <w:bCs/>
          <w:sz w:val="24"/>
        </w:rPr>
        <w:t>供应</w:t>
      </w:r>
      <w:r>
        <w:rPr>
          <w:rFonts w:ascii="Arial" w:hAnsi="宋体" w:cs="Arial"/>
          <w:bCs/>
          <w:sz w:val="24"/>
        </w:rPr>
        <w:t>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w:t>
      </w:r>
      <w:r>
        <w:rPr>
          <w:rFonts w:ascii="Arial" w:hAnsi="Arial" w:cs="Arial"/>
          <w:bCs/>
          <w:sz w:val="24"/>
        </w:rPr>
        <w:t>100</w:t>
      </w:r>
      <w:r>
        <w:rPr>
          <w:rFonts w:ascii="Arial" w:hAnsi="宋体" w:cs="Arial"/>
          <w:bCs/>
          <w:sz w:val="24"/>
        </w:rPr>
        <w:t>分，其中价格因素占</w:t>
      </w:r>
      <w:r>
        <w:rPr>
          <w:rFonts w:hint="eastAsia" w:ascii="Arial" w:hAnsi="Arial" w:cs="Arial"/>
          <w:bCs/>
          <w:sz w:val="24"/>
        </w:rPr>
        <w:t>20</w:t>
      </w:r>
      <w:r>
        <w:rPr>
          <w:rFonts w:ascii="Arial" w:hAnsi="宋体" w:cs="Arial"/>
          <w:bCs/>
          <w:sz w:val="24"/>
        </w:rPr>
        <w:t>分，</w:t>
      </w:r>
      <w:r>
        <w:rPr>
          <w:rFonts w:hint="eastAsia" w:ascii="Arial" w:hAnsi="宋体" w:cs="Arial"/>
          <w:bCs/>
          <w:sz w:val="24"/>
        </w:rPr>
        <w:t>技术、商务、售后服务因素</w:t>
      </w:r>
      <w:r>
        <w:rPr>
          <w:rFonts w:ascii="Arial" w:hAnsi="宋体" w:cs="Arial"/>
          <w:bCs/>
          <w:sz w:val="24"/>
        </w:rPr>
        <w:t>占</w:t>
      </w:r>
      <w:r>
        <w:rPr>
          <w:rFonts w:hint="eastAsia" w:ascii="Arial" w:hAnsi="Arial" w:cs="Arial"/>
          <w:bCs/>
          <w:sz w:val="24"/>
        </w:rPr>
        <w:t>80</w:t>
      </w:r>
      <w:r>
        <w:rPr>
          <w:rFonts w:ascii="Arial" w:hAnsi="宋体" w:cs="Arial"/>
          <w:bCs/>
          <w:sz w:val="24"/>
        </w:rPr>
        <w:t>分。将每位投标商的价格得分、技术得分、商务得分</w:t>
      </w:r>
      <w:r>
        <w:rPr>
          <w:rFonts w:ascii="Arial" w:hAnsi="宋体" w:cs="Arial"/>
          <w:bCs/>
          <w:color w:val="000000"/>
          <w:sz w:val="24"/>
        </w:rPr>
        <w:t>相加即为该投标商的总得分。详细评分标准如下：</w:t>
      </w:r>
    </w:p>
    <w:tbl>
      <w:tblPr>
        <w:tblStyle w:val="33"/>
        <w:tblW w:w="8938" w:type="dxa"/>
        <w:jc w:val="center"/>
        <w:tblLayout w:type="fixed"/>
        <w:tblCellMar>
          <w:top w:w="0" w:type="dxa"/>
          <w:left w:w="108" w:type="dxa"/>
          <w:bottom w:w="0" w:type="dxa"/>
          <w:right w:w="108" w:type="dxa"/>
        </w:tblCellMar>
      </w:tblPr>
      <w:tblGrid>
        <w:gridCol w:w="935"/>
        <w:gridCol w:w="683"/>
        <w:gridCol w:w="7320"/>
      </w:tblGrid>
      <w:tr>
        <w:tblPrEx>
          <w:tblCellMar>
            <w:top w:w="0" w:type="dxa"/>
            <w:left w:w="108" w:type="dxa"/>
            <w:bottom w:w="0" w:type="dxa"/>
            <w:right w:w="108" w:type="dxa"/>
          </w:tblCellMar>
        </w:tblPrEx>
        <w:trPr>
          <w:trHeight w:val="698"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sz w:val="24"/>
              </w:rPr>
            </w:pPr>
            <w:r>
              <w:rPr>
                <w:rFonts w:hint="eastAsia" w:ascii="宋体" w:hAnsi="宋体"/>
                <w:b/>
                <w:bCs/>
                <w:sz w:val="24"/>
              </w:rPr>
              <w:t>评分项目</w:t>
            </w:r>
          </w:p>
        </w:tc>
        <w:tc>
          <w:tcPr>
            <w:tcW w:w="6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sz w:val="24"/>
              </w:rPr>
            </w:pPr>
          </w:p>
        </w:tc>
        <w:tc>
          <w:tcPr>
            <w:tcW w:w="7320"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b/>
                <w:bCs/>
                <w:sz w:val="24"/>
              </w:rPr>
            </w:pPr>
            <w:r>
              <w:rPr>
                <w:rFonts w:hint="eastAsia" w:ascii="宋体" w:hAnsi="宋体"/>
                <w:b/>
                <w:bCs/>
                <w:sz w:val="24"/>
              </w:rPr>
              <w:t>评 分 标 准</w:t>
            </w:r>
          </w:p>
        </w:tc>
      </w:tr>
      <w:tr>
        <w:tblPrEx>
          <w:tblCellMar>
            <w:top w:w="0" w:type="dxa"/>
            <w:left w:w="108" w:type="dxa"/>
            <w:bottom w:w="0" w:type="dxa"/>
            <w:right w:w="108" w:type="dxa"/>
          </w:tblCellMar>
        </w:tblPrEx>
        <w:trPr>
          <w:trHeight w:val="760"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磋商报价</w:t>
            </w:r>
          </w:p>
          <w:p>
            <w:pPr>
              <w:spacing w:line="400" w:lineRule="exact"/>
              <w:jc w:val="center"/>
              <w:rPr>
                <w:rFonts w:ascii="宋体" w:hAnsi="宋体"/>
                <w:sz w:val="24"/>
              </w:rPr>
            </w:pPr>
            <w:r>
              <w:rPr>
                <w:rFonts w:hint="eastAsia" w:ascii="宋体" w:hAnsi="宋体"/>
                <w:sz w:val="24"/>
              </w:rPr>
              <w:t>(20分)</w:t>
            </w:r>
          </w:p>
        </w:tc>
        <w:tc>
          <w:tcPr>
            <w:tcW w:w="6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20分</w:t>
            </w:r>
          </w:p>
        </w:tc>
        <w:tc>
          <w:tcPr>
            <w:tcW w:w="7320" w:type="dxa"/>
            <w:tcBorders>
              <w:top w:val="single" w:color="auto" w:sz="4" w:space="0"/>
              <w:left w:val="nil"/>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在价格评分时，满足磋商文件要求且合理的最低报价为投标基准价，其价格分为满分。其他投标人的价格分统一按照下列公式计算:</w:t>
            </w:r>
          </w:p>
          <w:p>
            <w:pPr>
              <w:spacing w:line="400" w:lineRule="exact"/>
              <w:rPr>
                <w:rFonts w:ascii="宋体" w:hAnsi="宋体"/>
                <w:sz w:val="24"/>
              </w:rPr>
            </w:pPr>
            <w:r>
              <w:rPr>
                <w:rFonts w:hint="eastAsia" w:ascii="宋体" w:hAnsi="宋体"/>
                <w:sz w:val="24"/>
              </w:rPr>
              <w:t>投标报价得分=（投标基准价/磋商报价）×价格权值×100%。（小数点后保留二位小数,按四舍五入取值)。</w:t>
            </w:r>
          </w:p>
          <w:p>
            <w:pPr>
              <w:spacing w:line="400" w:lineRule="exact"/>
              <w:rPr>
                <w:rFonts w:ascii="宋体" w:hAnsi="宋体"/>
                <w:sz w:val="24"/>
              </w:rPr>
            </w:pPr>
            <w:r>
              <w:rPr>
                <w:rFonts w:hint="eastAsia" w:ascii="宋体" w:hAnsi="宋体"/>
                <w:b/>
                <w:bCs/>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CellMar>
            <w:top w:w="0" w:type="dxa"/>
            <w:left w:w="108" w:type="dxa"/>
            <w:bottom w:w="0" w:type="dxa"/>
            <w:right w:w="108" w:type="dxa"/>
          </w:tblCellMar>
        </w:tblPrEx>
        <w:trPr>
          <w:trHeight w:val="760" w:hRule="atLeast"/>
          <w:jc w:val="center"/>
        </w:trPr>
        <w:tc>
          <w:tcPr>
            <w:tcW w:w="935"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商务</w:t>
            </w:r>
          </w:p>
          <w:p>
            <w:pPr>
              <w:spacing w:line="400" w:lineRule="exact"/>
              <w:jc w:val="center"/>
              <w:rPr>
                <w:rFonts w:ascii="宋体" w:hAnsi="宋体"/>
                <w:sz w:val="24"/>
              </w:rPr>
            </w:pPr>
            <w:r>
              <w:rPr>
                <w:rFonts w:hint="eastAsia" w:ascii="宋体" w:hAnsi="宋体"/>
                <w:sz w:val="24"/>
              </w:rPr>
              <w:t>（30分）</w:t>
            </w:r>
          </w:p>
        </w:tc>
        <w:tc>
          <w:tcPr>
            <w:tcW w:w="6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7分</w:t>
            </w:r>
          </w:p>
        </w:tc>
        <w:tc>
          <w:tcPr>
            <w:tcW w:w="7320" w:type="dxa"/>
            <w:tcBorders>
              <w:top w:val="single" w:color="auto" w:sz="4" w:space="0"/>
              <w:left w:val="nil"/>
              <w:bottom w:val="single" w:color="auto" w:sz="4" w:space="0"/>
              <w:right w:val="single" w:color="auto" w:sz="4" w:space="0"/>
            </w:tcBorders>
            <w:vAlign w:val="center"/>
          </w:tcPr>
          <w:p>
            <w:pPr>
              <w:spacing w:line="400" w:lineRule="exact"/>
              <w:rPr>
                <w:rFonts w:ascii="宋体" w:hAnsi="宋体"/>
                <w:b/>
                <w:bCs/>
                <w:sz w:val="24"/>
                <w:highlight w:val="none"/>
              </w:rPr>
            </w:pPr>
            <w:r>
              <w:rPr>
                <w:rFonts w:hint="eastAsia" w:ascii="宋体" w:hAnsi="宋体"/>
                <w:sz w:val="24"/>
                <w:highlight w:val="none"/>
              </w:rPr>
              <w:t>标★的指标项必须满足，不满足视为虚假应标，参数全部满足或者优于得7分。提供截图证明的指标项每有一项不满足就扣2分，扣完为止，须提供复印件加盖公章，否则不计分；</w:t>
            </w:r>
            <w:r>
              <w:rPr>
                <w:rFonts w:ascii="宋体" w:hAnsi="宋体"/>
                <w:b/>
                <w:bCs/>
                <w:sz w:val="24"/>
                <w:highlight w:val="none"/>
              </w:rPr>
              <w:t xml:space="preserve"> </w:t>
            </w:r>
          </w:p>
        </w:tc>
      </w:tr>
      <w:tr>
        <w:tblPrEx>
          <w:tblCellMar>
            <w:top w:w="0" w:type="dxa"/>
            <w:left w:w="108" w:type="dxa"/>
            <w:bottom w:w="0" w:type="dxa"/>
            <w:right w:w="108" w:type="dxa"/>
          </w:tblCellMar>
        </w:tblPrEx>
        <w:trPr>
          <w:trHeight w:val="760" w:hRule="atLeast"/>
          <w:jc w:val="center"/>
        </w:trPr>
        <w:tc>
          <w:tcPr>
            <w:tcW w:w="935" w:type="dxa"/>
            <w:vMerge w:val="continue"/>
            <w:tcBorders>
              <w:top w:val="single" w:color="auto" w:sz="4" w:space="0"/>
              <w:left w:val="single" w:color="auto" w:sz="4" w:space="0"/>
              <w:right w:val="single" w:color="auto" w:sz="4" w:space="0"/>
            </w:tcBorders>
            <w:vAlign w:val="center"/>
          </w:tcPr>
          <w:p>
            <w:pPr>
              <w:spacing w:line="400" w:lineRule="exact"/>
              <w:jc w:val="center"/>
              <w:rPr>
                <w:rFonts w:ascii="宋体" w:hAnsi="宋体"/>
                <w:sz w:val="24"/>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5分</w:t>
            </w:r>
          </w:p>
        </w:tc>
        <w:tc>
          <w:tcPr>
            <w:tcW w:w="7320" w:type="dxa"/>
            <w:tcBorders>
              <w:top w:val="single" w:color="auto" w:sz="4" w:space="0"/>
              <w:left w:val="nil"/>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IPS:提供中国网络安全审查技术与认证中心的信息安全软件开发服务资质（得2分）；网络关键设备和网络安全专用产品安全认证证书（得1分）；IPv6 Ready Phase-2认证（得1分）；云安全成熟度模型CS-CMMI 5认证，提供证书复印件并加盖厂商公章（得1分）。</w:t>
            </w:r>
          </w:p>
        </w:tc>
      </w:tr>
      <w:tr>
        <w:tblPrEx>
          <w:tblCellMar>
            <w:top w:w="0" w:type="dxa"/>
            <w:left w:w="108" w:type="dxa"/>
            <w:bottom w:w="0" w:type="dxa"/>
            <w:right w:w="108" w:type="dxa"/>
          </w:tblCellMar>
        </w:tblPrEx>
        <w:trPr>
          <w:trHeight w:val="760" w:hRule="atLeast"/>
          <w:jc w:val="center"/>
        </w:trPr>
        <w:tc>
          <w:tcPr>
            <w:tcW w:w="935" w:type="dxa"/>
            <w:vMerge w:val="continue"/>
            <w:tcBorders>
              <w:left w:val="single" w:color="auto" w:sz="4" w:space="0"/>
              <w:right w:val="single" w:color="auto" w:sz="4" w:space="0"/>
            </w:tcBorders>
            <w:vAlign w:val="center"/>
          </w:tcPr>
          <w:p>
            <w:pPr>
              <w:spacing w:line="400" w:lineRule="exact"/>
              <w:jc w:val="center"/>
              <w:rPr>
                <w:rFonts w:ascii="宋体" w:hAnsi="宋体"/>
                <w:sz w:val="24"/>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4分</w:t>
            </w:r>
          </w:p>
        </w:tc>
        <w:tc>
          <w:tcPr>
            <w:tcW w:w="7320" w:type="dxa"/>
            <w:tcBorders>
              <w:top w:val="single" w:color="auto" w:sz="4" w:space="0"/>
              <w:left w:val="nil"/>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防火墙：具有密码检测证书（得2分）；国家信息安全漏洞库兼容性资质；（得1分），信息安全产品分级评估（EAL4+）（得1分）。</w:t>
            </w:r>
          </w:p>
        </w:tc>
      </w:tr>
      <w:tr>
        <w:tblPrEx>
          <w:tblCellMar>
            <w:top w:w="0" w:type="dxa"/>
            <w:left w:w="108" w:type="dxa"/>
            <w:bottom w:w="0" w:type="dxa"/>
            <w:right w:w="108" w:type="dxa"/>
          </w:tblCellMar>
        </w:tblPrEx>
        <w:trPr>
          <w:trHeight w:val="760" w:hRule="atLeast"/>
          <w:jc w:val="center"/>
        </w:trPr>
        <w:tc>
          <w:tcPr>
            <w:tcW w:w="935" w:type="dxa"/>
            <w:vMerge w:val="continue"/>
            <w:tcBorders>
              <w:left w:val="single" w:color="auto" w:sz="4" w:space="0"/>
              <w:right w:val="single" w:color="auto" w:sz="4" w:space="0"/>
            </w:tcBorders>
            <w:vAlign w:val="center"/>
          </w:tcPr>
          <w:p>
            <w:pPr>
              <w:spacing w:line="400" w:lineRule="exact"/>
              <w:jc w:val="center"/>
              <w:rPr>
                <w:rFonts w:ascii="宋体" w:hAnsi="宋体"/>
                <w:sz w:val="24"/>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4分</w:t>
            </w:r>
          </w:p>
        </w:tc>
        <w:tc>
          <w:tcPr>
            <w:tcW w:w="7320" w:type="dxa"/>
            <w:tcBorders>
              <w:top w:val="single" w:color="auto" w:sz="4" w:space="0"/>
              <w:left w:val="nil"/>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异常流量：中华人民共和国公安部颁发的《计算机信息系统安全专用产品销售许可证》（抗拒绝服务攻击(增强级)）（得2分）；《IPv6 Ready Logo Phase-2》资质，出具证书复印件并加盖厂商公章（得2分）。</w:t>
            </w:r>
          </w:p>
        </w:tc>
      </w:tr>
      <w:tr>
        <w:tblPrEx>
          <w:tblCellMar>
            <w:top w:w="0" w:type="dxa"/>
            <w:left w:w="108" w:type="dxa"/>
            <w:bottom w:w="0" w:type="dxa"/>
            <w:right w:w="108" w:type="dxa"/>
          </w:tblCellMar>
        </w:tblPrEx>
        <w:trPr>
          <w:trHeight w:val="1019" w:hRule="atLeast"/>
          <w:jc w:val="center"/>
        </w:trPr>
        <w:tc>
          <w:tcPr>
            <w:tcW w:w="935" w:type="dxa"/>
            <w:vMerge w:val="continue"/>
            <w:tcBorders>
              <w:left w:val="single" w:color="auto" w:sz="4" w:space="0"/>
              <w:right w:val="single" w:color="auto" w:sz="4" w:space="0"/>
            </w:tcBorders>
            <w:vAlign w:val="center"/>
          </w:tcPr>
          <w:p>
            <w:pPr>
              <w:spacing w:line="400" w:lineRule="exact"/>
              <w:jc w:val="center"/>
              <w:rPr>
                <w:rFonts w:ascii="宋体" w:hAnsi="宋体"/>
                <w:sz w:val="24"/>
              </w:rPr>
            </w:pPr>
          </w:p>
        </w:tc>
        <w:tc>
          <w:tcPr>
            <w:tcW w:w="683" w:type="dxa"/>
            <w:tcBorders>
              <w:top w:val="single" w:color="auto" w:sz="4" w:space="0"/>
              <w:left w:val="single" w:color="auto" w:sz="4" w:space="0"/>
              <w:bottom w:val="nil"/>
              <w:right w:val="single" w:color="auto" w:sz="4" w:space="0"/>
            </w:tcBorders>
            <w:vAlign w:val="center"/>
          </w:tcPr>
          <w:p>
            <w:pPr>
              <w:spacing w:line="400" w:lineRule="exact"/>
              <w:jc w:val="center"/>
              <w:rPr>
                <w:rFonts w:ascii="宋体" w:hAnsi="宋体"/>
                <w:sz w:val="24"/>
              </w:rPr>
            </w:pPr>
            <w:r>
              <w:rPr>
                <w:rFonts w:hint="eastAsia" w:ascii="宋体" w:hAnsi="宋体"/>
                <w:sz w:val="24"/>
              </w:rPr>
              <w:t>2分</w:t>
            </w:r>
          </w:p>
        </w:tc>
        <w:tc>
          <w:tcPr>
            <w:tcW w:w="7320" w:type="dxa"/>
            <w:tcBorders>
              <w:top w:val="single" w:color="auto" w:sz="4" w:space="0"/>
              <w:left w:val="nil"/>
              <w:bottom w:val="nil"/>
              <w:right w:val="single" w:color="auto" w:sz="4" w:space="0"/>
            </w:tcBorders>
            <w:vAlign w:val="center"/>
          </w:tcPr>
          <w:p>
            <w:pPr>
              <w:spacing w:line="400" w:lineRule="exact"/>
              <w:rPr>
                <w:rFonts w:ascii="宋体" w:hAnsi="宋体"/>
                <w:sz w:val="24"/>
              </w:rPr>
            </w:pPr>
            <w:r>
              <w:rPr>
                <w:rFonts w:hint="eastAsia" w:ascii="宋体" w:hAnsi="宋体"/>
                <w:sz w:val="24"/>
              </w:rPr>
              <w:t>光闸：需提供计算机信息系统安全专用产品销售许可证--网络单向导入（增强级）（得2分）。</w:t>
            </w:r>
          </w:p>
        </w:tc>
      </w:tr>
      <w:tr>
        <w:tblPrEx>
          <w:tblCellMar>
            <w:top w:w="0" w:type="dxa"/>
            <w:left w:w="108" w:type="dxa"/>
            <w:bottom w:w="0" w:type="dxa"/>
            <w:right w:w="108" w:type="dxa"/>
          </w:tblCellMar>
        </w:tblPrEx>
        <w:trPr>
          <w:trHeight w:val="1019" w:hRule="atLeast"/>
          <w:jc w:val="center"/>
        </w:trPr>
        <w:tc>
          <w:tcPr>
            <w:tcW w:w="935" w:type="dxa"/>
            <w:vMerge w:val="continue"/>
            <w:tcBorders>
              <w:left w:val="single" w:color="auto" w:sz="4" w:space="0"/>
              <w:right w:val="single" w:color="auto" w:sz="4" w:space="0"/>
            </w:tcBorders>
            <w:vAlign w:val="center"/>
          </w:tcPr>
          <w:p>
            <w:pPr>
              <w:spacing w:line="400" w:lineRule="exact"/>
              <w:jc w:val="center"/>
              <w:rPr>
                <w:rFonts w:ascii="宋体" w:hAnsi="宋体"/>
                <w:sz w:val="24"/>
              </w:rPr>
            </w:pPr>
          </w:p>
        </w:tc>
        <w:tc>
          <w:tcPr>
            <w:tcW w:w="683" w:type="dxa"/>
            <w:tcBorders>
              <w:top w:val="single" w:color="auto" w:sz="4" w:space="0"/>
              <w:left w:val="single" w:color="auto" w:sz="4" w:space="0"/>
              <w:bottom w:val="nil"/>
              <w:right w:val="single" w:color="auto" w:sz="4" w:space="0"/>
            </w:tcBorders>
            <w:vAlign w:val="center"/>
          </w:tcPr>
          <w:p>
            <w:pPr>
              <w:spacing w:line="400" w:lineRule="exact"/>
              <w:jc w:val="center"/>
              <w:rPr>
                <w:rFonts w:ascii="宋体" w:hAnsi="宋体"/>
                <w:sz w:val="24"/>
              </w:rPr>
            </w:pPr>
            <w:r>
              <w:rPr>
                <w:rFonts w:hint="eastAsia" w:ascii="宋体" w:hAnsi="宋体"/>
                <w:sz w:val="24"/>
              </w:rPr>
              <w:t>4分</w:t>
            </w:r>
          </w:p>
        </w:tc>
        <w:tc>
          <w:tcPr>
            <w:tcW w:w="7320" w:type="dxa"/>
            <w:tcBorders>
              <w:top w:val="single" w:color="auto" w:sz="4" w:space="0"/>
              <w:left w:val="nil"/>
              <w:bottom w:val="nil"/>
              <w:right w:val="single" w:color="auto" w:sz="4" w:space="0"/>
            </w:tcBorders>
            <w:vAlign w:val="center"/>
          </w:tcPr>
          <w:p>
            <w:pPr>
              <w:spacing w:line="400" w:lineRule="exact"/>
              <w:rPr>
                <w:rFonts w:ascii="宋体" w:hAnsi="宋体"/>
                <w:sz w:val="24"/>
              </w:rPr>
            </w:pPr>
            <w:r>
              <w:rPr>
                <w:rFonts w:hint="eastAsia" w:ascii="宋体" w:hAnsi="宋体"/>
                <w:sz w:val="24"/>
              </w:rPr>
              <w:t>服务器密码机：提供商用密码产品认证证书（得1分）；内置密码卡具有《用密码产品认证证书》（得1分）；管理员、审计员的身份凭证智能密码钥匙具有《商用密码产品认证证书》（得1分）； ROHS2.0认证证书（得1分）。</w:t>
            </w:r>
          </w:p>
        </w:tc>
      </w:tr>
      <w:tr>
        <w:tblPrEx>
          <w:tblCellMar>
            <w:top w:w="0" w:type="dxa"/>
            <w:left w:w="108" w:type="dxa"/>
            <w:bottom w:w="0" w:type="dxa"/>
            <w:right w:w="108" w:type="dxa"/>
          </w:tblCellMar>
        </w:tblPrEx>
        <w:trPr>
          <w:trHeight w:val="1019" w:hRule="atLeast"/>
          <w:jc w:val="center"/>
        </w:trPr>
        <w:tc>
          <w:tcPr>
            <w:tcW w:w="935"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683" w:type="dxa"/>
            <w:tcBorders>
              <w:top w:val="single" w:color="auto" w:sz="4" w:space="0"/>
              <w:left w:val="single" w:color="auto" w:sz="4" w:space="0"/>
              <w:bottom w:val="nil"/>
              <w:right w:val="single" w:color="auto" w:sz="4" w:space="0"/>
            </w:tcBorders>
            <w:vAlign w:val="center"/>
          </w:tcPr>
          <w:p>
            <w:pPr>
              <w:spacing w:line="400" w:lineRule="exact"/>
              <w:jc w:val="center"/>
              <w:rPr>
                <w:rFonts w:hint="eastAsia" w:ascii="宋体" w:hAnsi="宋体" w:eastAsia="宋体"/>
                <w:sz w:val="24"/>
                <w:lang w:val="en-US" w:eastAsia="zh-CN"/>
              </w:rPr>
            </w:pPr>
            <w:r>
              <w:rPr>
                <w:rFonts w:hint="eastAsia" w:ascii="宋体" w:hAnsi="宋体"/>
                <w:sz w:val="24"/>
              </w:rPr>
              <w:t>4</w:t>
            </w:r>
            <w:r>
              <w:rPr>
                <w:rFonts w:hint="eastAsia" w:ascii="宋体" w:hAnsi="宋体"/>
                <w:sz w:val="24"/>
                <w:lang w:val="en-US" w:eastAsia="zh-CN"/>
              </w:rPr>
              <w:t>分</w:t>
            </w:r>
          </w:p>
        </w:tc>
        <w:tc>
          <w:tcPr>
            <w:tcW w:w="7320" w:type="dxa"/>
            <w:tcBorders>
              <w:top w:val="single" w:color="auto" w:sz="4" w:space="0"/>
              <w:left w:val="nil"/>
              <w:bottom w:val="nil"/>
              <w:right w:val="single" w:color="auto" w:sz="4" w:space="0"/>
            </w:tcBorders>
            <w:vAlign w:val="center"/>
          </w:tcPr>
          <w:p>
            <w:pPr>
              <w:spacing w:line="400" w:lineRule="exact"/>
              <w:rPr>
                <w:rFonts w:ascii="宋体" w:hAnsi="宋体"/>
                <w:sz w:val="24"/>
              </w:rPr>
            </w:pPr>
            <w:r>
              <w:rPr>
                <w:rFonts w:hint="eastAsia" w:ascii="宋体" w:hAnsi="宋体"/>
                <w:sz w:val="24"/>
              </w:rPr>
              <w:t>数据库审计和数据库加密：提供国家保密科技测评中心颁发的《涉密信息系统产品检测证书》（得1分）；CMMI5国际认证证书（得1分）；信息安全服务资质认证证书-信息安全风险评估服务（三级）（得1分）；《商用密码产品认证证书》二级，出具证书复印件并加盖厂商公章（得1分）。</w:t>
            </w:r>
          </w:p>
        </w:tc>
      </w:tr>
      <w:tr>
        <w:tblPrEx>
          <w:tblCellMar>
            <w:top w:w="0" w:type="dxa"/>
            <w:left w:w="108" w:type="dxa"/>
            <w:bottom w:w="0" w:type="dxa"/>
            <w:right w:w="108" w:type="dxa"/>
          </w:tblCellMar>
        </w:tblPrEx>
        <w:trPr>
          <w:trHeight w:val="1356" w:hRule="atLeast"/>
          <w:jc w:val="center"/>
        </w:trPr>
        <w:tc>
          <w:tcPr>
            <w:tcW w:w="93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技术</w:t>
            </w:r>
          </w:p>
          <w:p>
            <w:pPr>
              <w:spacing w:line="400" w:lineRule="exact"/>
              <w:jc w:val="center"/>
              <w:rPr>
                <w:rFonts w:ascii="宋体" w:hAnsi="宋体"/>
                <w:sz w:val="24"/>
              </w:rPr>
            </w:pPr>
            <w:r>
              <w:rPr>
                <w:rFonts w:hint="eastAsia" w:ascii="宋体" w:hAnsi="宋体"/>
                <w:sz w:val="24"/>
              </w:rPr>
              <w:t>及售后 服务</w:t>
            </w:r>
          </w:p>
          <w:p>
            <w:pPr>
              <w:spacing w:line="400" w:lineRule="exact"/>
              <w:jc w:val="center"/>
              <w:rPr>
                <w:rFonts w:ascii="宋体" w:hAnsi="宋体"/>
                <w:sz w:val="24"/>
              </w:rPr>
            </w:pPr>
            <w:r>
              <w:rPr>
                <w:rFonts w:hint="eastAsia" w:ascii="宋体" w:hAnsi="宋体"/>
                <w:sz w:val="24"/>
              </w:rPr>
              <w:t>（50分）</w:t>
            </w:r>
          </w:p>
        </w:tc>
        <w:tc>
          <w:tcPr>
            <w:tcW w:w="683" w:type="dxa"/>
            <w:tcBorders>
              <w:top w:val="single" w:color="auto" w:sz="4" w:space="0"/>
              <w:left w:val="single" w:color="auto" w:sz="4" w:space="0"/>
              <w:bottom w:val="nil"/>
              <w:right w:val="single" w:color="auto" w:sz="4" w:space="0"/>
            </w:tcBorders>
            <w:vAlign w:val="center"/>
          </w:tcPr>
          <w:p>
            <w:pPr>
              <w:spacing w:line="400" w:lineRule="exact"/>
              <w:jc w:val="center"/>
              <w:rPr>
                <w:rFonts w:ascii="宋体" w:hAnsi="宋体"/>
                <w:sz w:val="24"/>
              </w:rPr>
            </w:pPr>
            <w:r>
              <w:rPr>
                <w:rFonts w:hint="eastAsia" w:ascii="宋体" w:hAnsi="宋体"/>
                <w:sz w:val="24"/>
                <w:szCs w:val="22"/>
              </w:rPr>
              <w:t>5分</w:t>
            </w:r>
          </w:p>
        </w:tc>
        <w:tc>
          <w:tcPr>
            <w:tcW w:w="7320" w:type="dxa"/>
            <w:tcBorders>
              <w:top w:val="single" w:color="auto" w:sz="4" w:space="0"/>
              <w:left w:val="nil"/>
              <w:bottom w:val="nil"/>
              <w:right w:val="single" w:color="auto" w:sz="4" w:space="0"/>
            </w:tcBorders>
            <w:vAlign w:val="center"/>
          </w:tcPr>
          <w:p>
            <w:pPr>
              <w:spacing w:line="400" w:lineRule="exact"/>
              <w:rPr>
                <w:rFonts w:ascii="宋体" w:hAnsi="宋体"/>
                <w:sz w:val="24"/>
              </w:rPr>
            </w:pPr>
            <w:r>
              <w:rPr>
                <w:rFonts w:hint="eastAsia" w:ascii="宋体" w:hAnsi="宋体"/>
                <w:sz w:val="24"/>
                <w:lang w:val="zh-CN"/>
              </w:rPr>
              <w:t>投标文件编制是否完整、格式规范、内容齐全、表述准确、条理清晰、内容无前后矛盾，符合招标文件要求；</w:t>
            </w:r>
            <w:r>
              <w:rPr>
                <w:rFonts w:hint="eastAsia" w:ascii="宋体" w:hAnsi="宋体"/>
                <w:sz w:val="24"/>
              </w:rPr>
              <w:t>优秀得5分，良好得3-4分，一般得0-2分。</w:t>
            </w:r>
          </w:p>
        </w:tc>
      </w:tr>
      <w:tr>
        <w:tblPrEx>
          <w:tblCellMar>
            <w:top w:w="0" w:type="dxa"/>
            <w:left w:w="108" w:type="dxa"/>
            <w:bottom w:w="0" w:type="dxa"/>
            <w:right w:w="108" w:type="dxa"/>
          </w:tblCellMar>
        </w:tblPrEx>
        <w:trPr>
          <w:trHeight w:val="1270" w:hRule="atLeast"/>
          <w:jc w:val="center"/>
        </w:trPr>
        <w:tc>
          <w:tcPr>
            <w:tcW w:w="93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683" w:type="dxa"/>
            <w:tcBorders>
              <w:top w:val="single" w:color="auto" w:sz="4" w:space="0"/>
              <w:left w:val="single" w:color="auto" w:sz="4" w:space="0"/>
              <w:bottom w:val="nil"/>
              <w:right w:val="single" w:color="auto" w:sz="4" w:space="0"/>
            </w:tcBorders>
            <w:vAlign w:val="center"/>
          </w:tcPr>
          <w:p>
            <w:pPr>
              <w:spacing w:line="400" w:lineRule="exact"/>
              <w:jc w:val="center"/>
              <w:rPr>
                <w:rFonts w:ascii="宋体" w:hAnsi="宋体"/>
                <w:sz w:val="24"/>
                <w:szCs w:val="22"/>
              </w:rPr>
            </w:pPr>
            <w:r>
              <w:rPr>
                <w:rFonts w:ascii="宋体" w:hAnsi="宋体"/>
                <w:sz w:val="24"/>
                <w:szCs w:val="22"/>
              </w:rPr>
              <w:t>10</w:t>
            </w:r>
            <w:r>
              <w:rPr>
                <w:rFonts w:hint="eastAsia" w:ascii="宋体" w:hAnsi="宋体"/>
                <w:sz w:val="24"/>
                <w:szCs w:val="22"/>
              </w:rPr>
              <w:t>分</w:t>
            </w:r>
          </w:p>
        </w:tc>
        <w:tc>
          <w:tcPr>
            <w:tcW w:w="7320" w:type="dxa"/>
            <w:tcBorders>
              <w:top w:val="single" w:color="auto" w:sz="4" w:space="0"/>
              <w:left w:val="nil"/>
              <w:bottom w:val="nil"/>
              <w:right w:val="single" w:color="auto" w:sz="4" w:space="0"/>
            </w:tcBorders>
            <w:vAlign w:val="center"/>
          </w:tcPr>
          <w:p>
            <w:pPr>
              <w:spacing w:line="400" w:lineRule="exact"/>
              <w:rPr>
                <w:rFonts w:ascii="宋体" w:hAnsi="宋体"/>
                <w:sz w:val="24"/>
              </w:rPr>
            </w:pPr>
            <w:r>
              <w:rPr>
                <w:rFonts w:hint="eastAsia" w:ascii="宋体" w:hAnsi="宋体"/>
                <w:sz w:val="24"/>
              </w:rPr>
              <w:t>根据投标人对项目的理解提供维保服务方案贴合用户需求程度及方案的完整性、可靠性、可行性进行横向比较，</w:t>
            </w:r>
            <w:r>
              <w:rPr>
                <w:rFonts w:hint="eastAsia" w:ascii="宋体" w:hAnsi="宋体"/>
                <w:sz w:val="24"/>
                <w:szCs w:val="22"/>
              </w:rPr>
              <w:t>优得</w:t>
            </w:r>
            <w:r>
              <w:rPr>
                <w:rFonts w:ascii="宋体" w:hAnsi="宋体"/>
                <w:sz w:val="24"/>
                <w:szCs w:val="22"/>
              </w:rPr>
              <w:t>10</w:t>
            </w:r>
            <w:r>
              <w:rPr>
                <w:rFonts w:hint="eastAsia" w:ascii="宋体" w:hAnsi="宋体"/>
                <w:sz w:val="24"/>
                <w:szCs w:val="22"/>
              </w:rPr>
              <w:t>-</w:t>
            </w:r>
            <w:r>
              <w:rPr>
                <w:rFonts w:ascii="宋体" w:hAnsi="宋体"/>
                <w:sz w:val="24"/>
                <w:szCs w:val="22"/>
              </w:rPr>
              <w:t>7</w:t>
            </w:r>
            <w:r>
              <w:rPr>
                <w:rFonts w:hint="eastAsia" w:ascii="宋体" w:hAnsi="宋体"/>
                <w:sz w:val="24"/>
                <w:szCs w:val="22"/>
              </w:rPr>
              <w:t xml:space="preserve"> 分，良得6-</w:t>
            </w:r>
            <w:r>
              <w:rPr>
                <w:rFonts w:ascii="宋体" w:hAnsi="宋体"/>
                <w:sz w:val="24"/>
                <w:szCs w:val="22"/>
              </w:rPr>
              <w:t>4</w:t>
            </w:r>
            <w:r>
              <w:rPr>
                <w:rFonts w:hint="eastAsia" w:ascii="宋体" w:hAnsi="宋体"/>
                <w:sz w:val="24"/>
                <w:szCs w:val="22"/>
              </w:rPr>
              <w:t xml:space="preserve"> 分，差得3-0分；</w:t>
            </w:r>
          </w:p>
        </w:tc>
      </w:tr>
      <w:tr>
        <w:tblPrEx>
          <w:tblCellMar>
            <w:top w:w="0" w:type="dxa"/>
            <w:left w:w="108" w:type="dxa"/>
            <w:bottom w:w="0" w:type="dxa"/>
            <w:right w:w="108" w:type="dxa"/>
          </w:tblCellMar>
        </w:tblPrEx>
        <w:trPr>
          <w:trHeight w:val="1360" w:hRule="atLeast"/>
          <w:jc w:val="center"/>
        </w:trPr>
        <w:tc>
          <w:tcPr>
            <w:tcW w:w="93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10分</w:t>
            </w:r>
          </w:p>
        </w:tc>
        <w:tc>
          <w:tcPr>
            <w:tcW w:w="7320" w:type="dxa"/>
            <w:tcBorders>
              <w:top w:val="single" w:color="auto" w:sz="4" w:space="0"/>
              <w:left w:val="nil"/>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系统的功能性、整体配套性、经济性、先进性、稳定性情况是否</w:t>
            </w:r>
            <w:r>
              <w:rPr>
                <w:rFonts w:hint="eastAsia" w:ascii="宋体" w:hAnsi="宋体" w:cs="Arial"/>
                <w:sz w:val="24"/>
                <w:szCs w:val="24"/>
              </w:rPr>
              <w:t>最佳化，且与买方现有环境一致，评审小组</w:t>
            </w:r>
            <w:r>
              <w:rPr>
                <w:rFonts w:hint="eastAsia" w:ascii="宋体" w:hAnsi="宋体"/>
                <w:sz w:val="24"/>
              </w:rPr>
              <w:t>进行横向比较，优得</w:t>
            </w:r>
            <w:r>
              <w:rPr>
                <w:rFonts w:ascii="宋体" w:hAnsi="宋体"/>
                <w:sz w:val="24"/>
                <w:szCs w:val="22"/>
              </w:rPr>
              <w:t>10</w:t>
            </w:r>
            <w:r>
              <w:rPr>
                <w:rFonts w:hint="eastAsia" w:ascii="宋体" w:hAnsi="宋体"/>
                <w:sz w:val="24"/>
                <w:szCs w:val="22"/>
              </w:rPr>
              <w:t>-</w:t>
            </w:r>
            <w:r>
              <w:rPr>
                <w:rFonts w:ascii="宋体" w:hAnsi="宋体"/>
                <w:sz w:val="24"/>
                <w:szCs w:val="22"/>
              </w:rPr>
              <w:t>7</w:t>
            </w:r>
            <w:r>
              <w:rPr>
                <w:rFonts w:hint="eastAsia" w:ascii="宋体" w:hAnsi="宋体"/>
                <w:sz w:val="24"/>
                <w:szCs w:val="22"/>
              </w:rPr>
              <w:t xml:space="preserve"> 分，良得6-</w:t>
            </w:r>
            <w:r>
              <w:rPr>
                <w:rFonts w:ascii="宋体" w:hAnsi="宋体"/>
                <w:sz w:val="24"/>
                <w:szCs w:val="22"/>
              </w:rPr>
              <w:t>4</w:t>
            </w:r>
            <w:r>
              <w:rPr>
                <w:rFonts w:hint="eastAsia" w:ascii="宋体" w:hAnsi="宋体"/>
                <w:sz w:val="24"/>
                <w:szCs w:val="22"/>
              </w:rPr>
              <w:t xml:space="preserve"> 分，差得3-0分；</w:t>
            </w:r>
          </w:p>
        </w:tc>
      </w:tr>
      <w:tr>
        <w:tblPrEx>
          <w:tblCellMar>
            <w:top w:w="0" w:type="dxa"/>
            <w:left w:w="108" w:type="dxa"/>
            <w:bottom w:w="0" w:type="dxa"/>
            <w:right w:w="108" w:type="dxa"/>
          </w:tblCellMar>
        </w:tblPrEx>
        <w:trPr>
          <w:trHeight w:val="1030" w:hRule="atLeast"/>
          <w:jc w:val="center"/>
        </w:trPr>
        <w:tc>
          <w:tcPr>
            <w:tcW w:w="93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szCs w:val="22"/>
              </w:rPr>
              <w:t>10</w:t>
            </w:r>
            <w:r>
              <w:rPr>
                <w:rFonts w:hint="eastAsia" w:ascii="宋体" w:hAnsi="宋体"/>
                <w:sz w:val="24"/>
                <w:szCs w:val="22"/>
              </w:rPr>
              <w:t>分</w:t>
            </w:r>
          </w:p>
        </w:tc>
        <w:tc>
          <w:tcPr>
            <w:tcW w:w="73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szCs w:val="22"/>
              </w:rPr>
            </w:pPr>
            <w:r>
              <w:rPr>
                <w:rFonts w:hint="eastAsia" w:ascii="宋体" w:hAnsi="宋体"/>
                <w:sz w:val="24"/>
                <w:szCs w:val="22"/>
              </w:rPr>
              <w:t>培训方案：包括培训计划、培训内容进行横向比较，优得</w:t>
            </w:r>
            <w:r>
              <w:rPr>
                <w:rFonts w:ascii="宋体" w:hAnsi="宋体"/>
                <w:sz w:val="24"/>
                <w:szCs w:val="22"/>
              </w:rPr>
              <w:t>10</w:t>
            </w:r>
            <w:r>
              <w:rPr>
                <w:rFonts w:hint="eastAsia" w:ascii="宋体" w:hAnsi="宋体"/>
                <w:sz w:val="24"/>
                <w:szCs w:val="22"/>
              </w:rPr>
              <w:t>-</w:t>
            </w:r>
            <w:r>
              <w:rPr>
                <w:rFonts w:ascii="宋体" w:hAnsi="宋体"/>
                <w:sz w:val="24"/>
                <w:szCs w:val="22"/>
              </w:rPr>
              <w:t>7</w:t>
            </w:r>
            <w:r>
              <w:rPr>
                <w:rFonts w:hint="eastAsia" w:ascii="宋体" w:hAnsi="宋体"/>
                <w:sz w:val="24"/>
                <w:szCs w:val="22"/>
              </w:rPr>
              <w:t xml:space="preserve"> 分，良得6-</w:t>
            </w:r>
            <w:r>
              <w:rPr>
                <w:rFonts w:ascii="宋体" w:hAnsi="宋体"/>
                <w:sz w:val="24"/>
                <w:szCs w:val="22"/>
              </w:rPr>
              <w:t>4</w:t>
            </w:r>
            <w:r>
              <w:rPr>
                <w:rFonts w:hint="eastAsia" w:ascii="宋体" w:hAnsi="宋体"/>
                <w:sz w:val="24"/>
                <w:szCs w:val="22"/>
              </w:rPr>
              <w:t xml:space="preserve"> 分，差得3-0分；</w:t>
            </w:r>
          </w:p>
        </w:tc>
      </w:tr>
      <w:tr>
        <w:tblPrEx>
          <w:tblCellMar>
            <w:top w:w="0" w:type="dxa"/>
            <w:left w:w="108" w:type="dxa"/>
            <w:bottom w:w="0" w:type="dxa"/>
            <w:right w:w="108" w:type="dxa"/>
          </w:tblCellMar>
        </w:tblPrEx>
        <w:trPr>
          <w:trHeight w:val="1150" w:hRule="atLeast"/>
          <w:jc w:val="center"/>
        </w:trPr>
        <w:tc>
          <w:tcPr>
            <w:tcW w:w="93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2"/>
              </w:rPr>
            </w:pPr>
            <w:r>
              <w:rPr>
                <w:rFonts w:hint="eastAsia" w:ascii="宋体" w:hAnsi="宋体"/>
                <w:sz w:val="24"/>
                <w:szCs w:val="22"/>
              </w:rPr>
              <w:t>5分</w:t>
            </w:r>
          </w:p>
        </w:tc>
        <w:tc>
          <w:tcPr>
            <w:tcW w:w="73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数据安全与保密：</w:t>
            </w:r>
          </w:p>
          <w:p>
            <w:pPr>
              <w:spacing w:line="400" w:lineRule="exact"/>
              <w:rPr>
                <w:rFonts w:ascii="宋体" w:hAnsi="宋体"/>
                <w:sz w:val="24"/>
              </w:rPr>
            </w:pPr>
            <w:r>
              <w:rPr>
                <w:rFonts w:hint="eastAsia" w:ascii="宋体" w:hAnsi="宋体"/>
                <w:sz w:val="24"/>
              </w:rPr>
              <w:t>1、投标人承诺数据安全保密并严格执行；</w:t>
            </w:r>
          </w:p>
          <w:p>
            <w:pPr>
              <w:spacing w:line="400" w:lineRule="exact"/>
              <w:rPr>
                <w:rFonts w:ascii="宋体" w:hAnsi="宋体"/>
                <w:sz w:val="24"/>
              </w:rPr>
            </w:pPr>
            <w:r>
              <w:rPr>
                <w:rFonts w:hint="eastAsia" w:ascii="宋体" w:hAnsi="宋体"/>
                <w:sz w:val="24"/>
              </w:rPr>
              <w:t>2、具有完善的安全保密制度；</w:t>
            </w:r>
          </w:p>
          <w:p>
            <w:pPr>
              <w:spacing w:line="400" w:lineRule="exact"/>
              <w:rPr>
                <w:rFonts w:ascii="宋体" w:hAnsi="宋体"/>
                <w:sz w:val="24"/>
              </w:rPr>
            </w:pPr>
            <w:r>
              <w:rPr>
                <w:rFonts w:hint="eastAsia" w:ascii="宋体" w:hAnsi="宋体"/>
                <w:sz w:val="24"/>
              </w:rPr>
              <w:t>同时满足上述两个条件的得</w:t>
            </w:r>
            <w:r>
              <w:rPr>
                <w:rFonts w:hint="eastAsia" w:ascii="宋体" w:hAnsi="宋体"/>
                <w:sz w:val="24"/>
                <w:lang w:val="en-US" w:eastAsia="zh-CN"/>
              </w:rPr>
              <w:t>5</w:t>
            </w:r>
            <w:r>
              <w:rPr>
                <w:rFonts w:hint="eastAsia" w:ascii="宋体" w:hAnsi="宋体"/>
                <w:sz w:val="24"/>
              </w:rPr>
              <w:t>分，缺1项</w:t>
            </w:r>
            <w:r>
              <w:rPr>
                <w:rFonts w:hint="eastAsia" w:ascii="宋体" w:hAnsi="宋体"/>
                <w:sz w:val="24"/>
                <w:lang w:eastAsia="zh-CN"/>
              </w:rPr>
              <w:t>扣</w:t>
            </w:r>
            <w:r>
              <w:rPr>
                <w:rFonts w:hint="eastAsia" w:ascii="宋体" w:hAnsi="宋体"/>
                <w:sz w:val="24"/>
                <w:lang w:val="en-US" w:eastAsia="zh-CN"/>
              </w:rPr>
              <w:t>2.5分</w:t>
            </w:r>
            <w:bookmarkStart w:id="109" w:name="_GoBack"/>
            <w:bookmarkEnd w:id="109"/>
            <w:r>
              <w:rPr>
                <w:rFonts w:hint="eastAsia" w:ascii="宋体" w:hAnsi="宋体"/>
                <w:sz w:val="24"/>
              </w:rPr>
              <w:t>。</w:t>
            </w:r>
          </w:p>
        </w:tc>
      </w:tr>
      <w:tr>
        <w:tblPrEx>
          <w:tblCellMar>
            <w:top w:w="0" w:type="dxa"/>
            <w:left w:w="108" w:type="dxa"/>
            <w:bottom w:w="0" w:type="dxa"/>
            <w:right w:w="108" w:type="dxa"/>
          </w:tblCellMar>
        </w:tblPrEx>
        <w:trPr>
          <w:trHeight w:val="841" w:hRule="atLeast"/>
          <w:jc w:val="center"/>
        </w:trPr>
        <w:tc>
          <w:tcPr>
            <w:tcW w:w="93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szCs w:val="22"/>
              </w:rPr>
              <w:t>10</w:t>
            </w:r>
            <w:r>
              <w:rPr>
                <w:rFonts w:hint="eastAsia" w:ascii="宋体" w:hAnsi="宋体"/>
                <w:sz w:val="24"/>
                <w:szCs w:val="22"/>
              </w:rPr>
              <w:t>分</w:t>
            </w:r>
          </w:p>
        </w:tc>
        <w:tc>
          <w:tcPr>
            <w:tcW w:w="7320" w:type="dxa"/>
            <w:tcBorders>
              <w:top w:val="single" w:color="auto" w:sz="4" w:space="0"/>
              <w:left w:val="nil"/>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投标人提供的《售后服务方案》 ：</w:t>
            </w:r>
          </w:p>
          <w:p>
            <w:pPr>
              <w:spacing w:line="400" w:lineRule="exact"/>
              <w:rPr>
                <w:rFonts w:ascii="宋体" w:hAnsi="宋体"/>
                <w:sz w:val="24"/>
              </w:rPr>
            </w:pPr>
            <w:r>
              <w:rPr>
                <w:rFonts w:hint="eastAsia" w:ascii="宋体" w:hAnsi="宋体"/>
                <w:sz w:val="24"/>
              </w:rPr>
              <w:t>（1）为了更好的提供本地化服务，投标方须提供承诺函；</w:t>
            </w:r>
          </w:p>
          <w:p>
            <w:pPr>
              <w:spacing w:line="400" w:lineRule="exact"/>
              <w:rPr>
                <w:rFonts w:ascii="宋体" w:hAnsi="宋体"/>
                <w:sz w:val="24"/>
              </w:rPr>
            </w:pPr>
            <w:r>
              <w:rPr>
                <w:rFonts w:hint="eastAsia" w:ascii="宋体" w:hAnsi="宋体"/>
                <w:sz w:val="24"/>
              </w:rPr>
              <w:t>（2）对服务方案进行综合评价，包含但不限于以下内容：</w:t>
            </w:r>
          </w:p>
          <w:p>
            <w:pPr>
              <w:spacing w:line="400" w:lineRule="exact"/>
              <w:rPr>
                <w:rFonts w:ascii="宋体" w:hAnsi="宋体"/>
                <w:sz w:val="24"/>
                <w:szCs w:val="22"/>
              </w:rPr>
            </w:pPr>
            <w:r>
              <w:rPr>
                <w:rFonts w:hint="eastAsia" w:ascii="宋体" w:hAnsi="宋体"/>
                <w:sz w:val="24"/>
              </w:rPr>
              <w:t>项目组人员配备、设备质量保证、服务承诺、培训、重大事件保障、故障处理、特殊情况处理，在满足招标服务要求的基础上，《售后服务方案》进行横向比较，</w:t>
            </w:r>
            <w:r>
              <w:rPr>
                <w:rFonts w:hint="eastAsia" w:ascii="宋体" w:hAnsi="宋体"/>
                <w:sz w:val="24"/>
                <w:szCs w:val="22"/>
              </w:rPr>
              <w:t>优得</w:t>
            </w:r>
            <w:r>
              <w:rPr>
                <w:rFonts w:ascii="宋体" w:hAnsi="宋体"/>
                <w:sz w:val="24"/>
                <w:szCs w:val="22"/>
              </w:rPr>
              <w:t>10</w:t>
            </w:r>
            <w:r>
              <w:rPr>
                <w:rFonts w:hint="eastAsia" w:ascii="宋体" w:hAnsi="宋体"/>
                <w:sz w:val="24"/>
                <w:szCs w:val="22"/>
              </w:rPr>
              <w:t>-</w:t>
            </w:r>
            <w:r>
              <w:rPr>
                <w:rFonts w:ascii="宋体" w:hAnsi="宋体"/>
                <w:sz w:val="24"/>
                <w:szCs w:val="22"/>
              </w:rPr>
              <w:t>7</w:t>
            </w:r>
            <w:r>
              <w:rPr>
                <w:rFonts w:hint="eastAsia" w:ascii="宋体" w:hAnsi="宋体"/>
                <w:sz w:val="24"/>
                <w:szCs w:val="22"/>
              </w:rPr>
              <w:t xml:space="preserve"> 分，良得6-</w:t>
            </w:r>
            <w:r>
              <w:rPr>
                <w:rFonts w:ascii="宋体" w:hAnsi="宋体"/>
                <w:sz w:val="24"/>
                <w:szCs w:val="22"/>
              </w:rPr>
              <w:t>4</w:t>
            </w:r>
            <w:r>
              <w:rPr>
                <w:rFonts w:hint="eastAsia" w:ascii="宋体" w:hAnsi="宋体"/>
                <w:sz w:val="24"/>
                <w:szCs w:val="22"/>
              </w:rPr>
              <w:t xml:space="preserve"> 分，差得3-0分；</w:t>
            </w:r>
          </w:p>
        </w:tc>
      </w:tr>
    </w:tbl>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szCs w:val="24"/>
          <w:shd w:val="clear" w:color="auto" w:fill="FFFFFF"/>
        </w:rPr>
      </w:pPr>
      <w:r>
        <w:rPr>
          <w:rFonts w:hint="eastAsia" w:ascii="Arial" w:hAnsi="Arial" w:cs="Arial"/>
          <w:bCs/>
          <w:sz w:val="24"/>
        </w:rPr>
        <w:t>26.4</w:t>
      </w:r>
      <w:r>
        <w:rPr>
          <w:rFonts w:ascii="宋体" w:hAnsi="宋体"/>
          <w:sz w:val="24"/>
          <w:szCs w:val="24"/>
          <w:shd w:val="clear" w:color="auto" w:fill="FFFFFF"/>
        </w:rPr>
        <w:t>磋商小组应当根据综合评分情况，按照评审得分由高到低顺序推荐3名以上成交候选供应商。评审得分相同的，按照最后报价由低到高的顺序推荐。评审得分且最后报价相同的，按照</w:t>
      </w:r>
      <w:r>
        <w:rPr>
          <w:rFonts w:hint="eastAsia" w:ascii="宋体" w:hAnsi="宋体"/>
          <w:sz w:val="24"/>
          <w:szCs w:val="24"/>
          <w:shd w:val="clear" w:color="auto" w:fill="FFFFFF"/>
        </w:rPr>
        <w:t>设计</w:t>
      </w:r>
      <w:r>
        <w:rPr>
          <w:rFonts w:ascii="宋体" w:hAnsi="宋体"/>
          <w:sz w:val="24"/>
          <w:szCs w:val="24"/>
          <w:shd w:val="clear" w:color="auto" w:fill="FFFFFF"/>
        </w:rPr>
        <w:t>指标优劣顺序推荐。</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bCs/>
          <w:sz w:val="24"/>
        </w:rPr>
      </w:pPr>
      <w:r>
        <w:rPr>
          <w:rFonts w:hint="eastAsia" w:ascii="Arial" w:hAnsi="Arial" w:cs="Arial"/>
          <w:bCs/>
          <w:sz w:val="24"/>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bCs/>
          <w:sz w:val="24"/>
        </w:rPr>
      </w:pPr>
      <w:r>
        <w:rPr>
          <w:rFonts w:hint="eastAsia" w:ascii="Arial" w:hAnsi="Arial" w:cs="Arial"/>
          <w:bCs/>
          <w:sz w:val="24"/>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27．</w:t>
      </w:r>
      <w:r>
        <w:rPr>
          <w:rFonts w:hint="eastAsia" w:ascii="Arial" w:hAnsi="Arial" w:cs="Arial"/>
          <w:sz w:val="24"/>
        </w:rPr>
        <w:t>磋商</w:t>
      </w:r>
      <w:r>
        <w:rPr>
          <w:rFonts w:ascii="Arial" w:hAnsi="Arial" w:cs="Arial"/>
          <w:sz w:val="24"/>
        </w:rPr>
        <w:t>过程的保密性</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27.1 </w:t>
      </w:r>
      <w:r>
        <w:rPr>
          <w:rFonts w:hint="eastAsia" w:ascii="Arial" w:hAnsi="Arial" w:cs="Arial"/>
          <w:sz w:val="24"/>
        </w:rPr>
        <w:t>磋商</w:t>
      </w:r>
      <w:r>
        <w:rPr>
          <w:rFonts w:ascii="Arial" w:hAnsi="Arial" w:cs="Arial"/>
          <w:sz w:val="24"/>
        </w:rPr>
        <w:t>后，直到授予合同为止，凡是属于审查、澄清、评价和比较的有关资料以及授</w:t>
      </w:r>
      <w:r>
        <w:rPr>
          <w:rFonts w:hint="eastAsia" w:ascii="Arial" w:hAnsi="Arial" w:cs="Arial"/>
          <w:sz w:val="24"/>
        </w:rPr>
        <w:t>予成交方的</w:t>
      </w:r>
      <w:r>
        <w:rPr>
          <w:rFonts w:ascii="Arial" w:hAnsi="Arial" w:cs="Arial"/>
          <w:sz w:val="24"/>
        </w:rPr>
        <w:t>建议等</w:t>
      </w:r>
      <w:r>
        <w:rPr>
          <w:rFonts w:hint="eastAsia" w:ascii="Arial" w:hAnsi="Arial" w:cs="Arial"/>
          <w:sz w:val="24"/>
        </w:rPr>
        <w:t>磋商小组成员</w:t>
      </w:r>
      <w:r>
        <w:rPr>
          <w:rFonts w:ascii="Arial" w:hAnsi="Arial" w:cs="Arial"/>
          <w:sz w:val="24"/>
        </w:rPr>
        <w:t>或参与</w:t>
      </w:r>
      <w:r>
        <w:rPr>
          <w:rFonts w:hint="eastAsia" w:ascii="Arial" w:hAnsi="Arial" w:cs="Arial"/>
          <w:sz w:val="24"/>
        </w:rPr>
        <w:t>磋商</w:t>
      </w:r>
      <w:r>
        <w:rPr>
          <w:rFonts w:ascii="Arial" w:hAnsi="Arial" w:cs="Arial"/>
          <w:sz w:val="24"/>
        </w:rPr>
        <w:t>的有关工作人员均不得向供应商或其他无关的人员透露，违者给予警告、取消担任</w:t>
      </w:r>
      <w:r>
        <w:rPr>
          <w:rFonts w:hint="eastAsia" w:ascii="Arial" w:hAnsi="Arial" w:cs="Arial"/>
          <w:sz w:val="24"/>
        </w:rPr>
        <w:t>磋商小组成员</w:t>
      </w:r>
      <w:r>
        <w:rPr>
          <w:rFonts w:ascii="Arial" w:hAnsi="Arial" w:cs="Arial"/>
          <w:sz w:val="24"/>
        </w:rPr>
        <w:t>的资格，不得再参加任何项目的</w:t>
      </w:r>
      <w:r>
        <w:rPr>
          <w:rFonts w:hint="eastAsia" w:ascii="Arial" w:hAnsi="Arial" w:cs="Arial"/>
          <w:sz w:val="24"/>
        </w:rPr>
        <w:t>磋商</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27.2 供应商在</w:t>
      </w:r>
      <w:r>
        <w:rPr>
          <w:rFonts w:hint="eastAsia" w:ascii="Arial" w:hAnsi="Arial" w:cs="Arial"/>
          <w:sz w:val="24"/>
        </w:rPr>
        <w:t>磋商</w:t>
      </w:r>
      <w:r>
        <w:rPr>
          <w:rFonts w:ascii="Arial" w:hAnsi="Arial" w:cs="Arial"/>
          <w:sz w:val="24"/>
        </w:rPr>
        <w:t>过程中，所进行的力图影响</w:t>
      </w:r>
      <w:r>
        <w:rPr>
          <w:rFonts w:hint="eastAsia" w:ascii="Arial" w:hAnsi="Arial" w:cs="Arial"/>
          <w:sz w:val="24"/>
        </w:rPr>
        <w:t>磋商</w:t>
      </w:r>
      <w:r>
        <w:rPr>
          <w:rFonts w:ascii="Arial" w:hAnsi="Arial" w:cs="Arial"/>
          <w:sz w:val="24"/>
        </w:rPr>
        <w:t>结果的</w:t>
      </w:r>
      <w:r>
        <w:rPr>
          <w:rFonts w:hint="eastAsia" w:ascii="Arial" w:hAnsi="Arial" w:cs="Arial"/>
          <w:sz w:val="24"/>
        </w:rPr>
        <w:t>，</w:t>
      </w:r>
      <w:r>
        <w:rPr>
          <w:rFonts w:ascii="Arial" w:hAnsi="Arial" w:cs="Arial"/>
          <w:sz w:val="24"/>
        </w:rPr>
        <w:t>不符合《政府采购法》及本次</w:t>
      </w:r>
      <w:r>
        <w:rPr>
          <w:rFonts w:hint="eastAsia" w:ascii="Arial" w:hAnsi="Arial" w:cs="Arial"/>
          <w:sz w:val="24"/>
        </w:rPr>
        <w:t>磋商</w:t>
      </w:r>
      <w:r>
        <w:rPr>
          <w:rFonts w:ascii="Arial" w:hAnsi="Arial" w:cs="Arial"/>
          <w:sz w:val="24"/>
        </w:rPr>
        <w:t>中有关规定的活动，将被取消其</w:t>
      </w:r>
      <w:r>
        <w:rPr>
          <w:rFonts w:hint="eastAsia" w:ascii="Arial" w:hAnsi="Arial" w:cs="Arial"/>
          <w:sz w:val="24"/>
        </w:rPr>
        <w:t>磋商</w:t>
      </w:r>
      <w:r>
        <w:rPr>
          <w:rFonts w:ascii="Arial" w:hAnsi="Arial" w:cs="Arial"/>
          <w:sz w:val="24"/>
        </w:rPr>
        <w:t>资格。</w:t>
      </w:r>
    </w:p>
    <w:p>
      <w:pPr>
        <w:pStyle w:val="4"/>
        <w:pageBreakBefore w:val="0"/>
        <w:kinsoku/>
        <w:wordWrap/>
        <w:topLinePunct w:val="0"/>
        <w:bidi w:val="0"/>
        <w:spacing w:before="0" w:beforeAutospacing="0" w:after="0" w:afterAutospacing="0" w:line="400" w:lineRule="exact"/>
        <w:ind w:left="0" w:leftChars="0" w:right="0" w:rightChars="0"/>
        <w:jc w:val="center"/>
        <w:rPr>
          <w:rFonts w:eastAsia="宋体" w:cs="Arial"/>
          <w:sz w:val="28"/>
          <w:szCs w:val="28"/>
        </w:rPr>
      </w:pPr>
      <w:bookmarkStart w:id="42" w:name="_Toc462223637"/>
      <w:bookmarkStart w:id="43" w:name="_Toc349573126"/>
      <w:bookmarkStart w:id="44" w:name="_Toc349637925"/>
      <w:bookmarkStart w:id="45" w:name="_Toc298240410"/>
      <w:bookmarkStart w:id="46" w:name="_Toc267301287"/>
      <w:r>
        <w:rPr>
          <w:rFonts w:hint="eastAsia" w:eastAsia="宋体" w:cs="Arial"/>
          <w:sz w:val="28"/>
          <w:szCs w:val="28"/>
        </w:rPr>
        <w:t>（六）</w:t>
      </w:r>
      <w:r>
        <w:rPr>
          <w:rFonts w:eastAsia="宋体" w:cs="Arial"/>
          <w:sz w:val="28"/>
          <w:szCs w:val="28"/>
        </w:rPr>
        <w:t>授予合同</w:t>
      </w:r>
      <w:bookmarkEnd w:id="42"/>
      <w:bookmarkEnd w:id="43"/>
      <w:bookmarkEnd w:id="44"/>
      <w:bookmarkEnd w:id="45"/>
      <w:bookmarkEnd w:id="46"/>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28</w:t>
      </w:r>
      <w:r>
        <w:rPr>
          <w:rFonts w:hint="eastAsia" w:ascii="Arial" w:hAnsi="Arial" w:cs="Arial"/>
          <w:sz w:val="24"/>
        </w:rPr>
        <w:t>、</w:t>
      </w:r>
      <w:r>
        <w:rPr>
          <w:rFonts w:ascii="Arial" w:hAnsi="Arial" w:cs="Arial"/>
          <w:sz w:val="24"/>
        </w:rPr>
        <w:t>合同授予标准</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28.1</w:t>
      </w:r>
      <w:r>
        <w:rPr>
          <w:rFonts w:ascii="Arial" w:hAnsi="Arial" w:cs="Arial"/>
          <w:bCs/>
          <w:sz w:val="24"/>
        </w:rPr>
        <w:t>合同将授予被确定为实质上响应</w:t>
      </w:r>
      <w:r>
        <w:rPr>
          <w:rFonts w:hint="eastAsia" w:ascii="Arial" w:hAnsi="Arial" w:cs="Arial"/>
          <w:bCs/>
          <w:sz w:val="24"/>
        </w:rPr>
        <w:t>磋商</w:t>
      </w:r>
      <w:r>
        <w:rPr>
          <w:rFonts w:ascii="Arial" w:hAnsi="Arial" w:cs="Arial"/>
          <w:bCs/>
          <w:sz w:val="24"/>
        </w:rPr>
        <w:t>文件要求，</w:t>
      </w:r>
      <w:r>
        <w:rPr>
          <w:rFonts w:hint="eastAsia" w:ascii="Arial" w:hAnsi="Arial" w:cs="Arial"/>
          <w:bCs/>
          <w:sz w:val="24"/>
        </w:rPr>
        <w:t>符合采购需求、质量和服务相等且报价最低的供应商</w:t>
      </w:r>
      <w:r>
        <w:rPr>
          <w:rFonts w:ascii="Arial" w:hAnsi="Arial" w:cs="Arial"/>
          <w:sz w:val="24"/>
        </w:rPr>
        <w:t>。</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28.2 最低</w:t>
      </w:r>
      <w:r>
        <w:rPr>
          <w:rFonts w:hint="eastAsia" w:ascii="Arial" w:hAnsi="Arial" w:cs="Arial"/>
          <w:sz w:val="24"/>
        </w:rPr>
        <w:t>报</w:t>
      </w:r>
      <w:r>
        <w:rPr>
          <w:rFonts w:ascii="Arial" w:hAnsi="Arial" w:cs="Arial"/>
          <w:sz w:val="24"/>
        </w:rPr>
        <w:t>价不一定是被授予合同的保证。</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28.3 如果确定该供应商无法圆满履行合同，招标</w:t>
      </w:r>
      <w:r>
        <w:rPr>
          <w:rFonts w:hint="eastAsia" w:ascii="Arial" w:hAnsi="Arial" w:cs="Arial"/>
          <w:sz w:val="24"/>
        </w:rPr>
        <w:t>代理</w:t>
      </w:r>
      <w:r>
        <w:rPr>
          <w:rFonts w:ascii="Arial" w:hAnsi="Arial" w:cs="Arial"/>
          <w:sz w:val="24"/>
        </w:rPr>
        <w:t>机构将对下一个可能中标的供应商资格作出类似的审查。</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29</w:t>
      </w:r>
      <w:r>
        <w:rPr>
          <w:rFonts w:hint="eastAsia" w:ascii="Arial" w:hAnsi="Arial" w:cs="Arial"/>
          <w:sz w:val="24"/>
        </w:rPr>
        <w:t>、</w:t>
      </w:r>
      <w:r>
        <w:rPr>
          <w:rFonts w:ascii="Arial" w:hAnsi="Arial" w:cs="Arial"/>
          <w:sz w:val="24"/>
        </w:rPr>
        <w:t>接受和拒绝任何或所有</w:t>
      </w:r>
      <w:r>
        <w:rPr>
          <w:rFonts w:hint="eastAsia" w:ascii="Arial" w:hAnsi="Arial" w:cs="Arial"/>
          <w:sz w:val="24"/>
        </w:rPr>
        <w:t>磋商</w:t>
      </w:r>
      <w:r>
        <w:rPr>
          <w:rFonts w:ascii="Arial" w:hAnsi="Arial" w:cs="Arial"/>
          <w:sz w:val="24"/>
        </w:rPr>
        <w:t>的权力</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29.1为维护国家利益，</w:t>
      </w:r>
      <w:r>
        <w:rPr>
          <w:rFonts w:hint="eastAsia" w:ascii="Arial" w:hAnsi="Arial" w:cs="Arial"/>
          <w:sz w:val="24"/>
        </w:rPr>
        <w:t>买方</w:t>
      </w:r>
      <w:r>
        <w:rPr>
          <w:rFonts w:ascii="Arial" w:hAnsi="Arial" w:cs="Arial"/>
          <w:sz w:val="24"/>
        </w:rPr>
        <w:t>在授予合同之前仍有选择或拒绝任何全部</w:t>
      </w:r>
      <w:r>
        <w:rPr>
          <w:rFonts w:hint="eastAsia" w:ascii="Arial" w:hAnsi="Arial" w:cs="Arial"/>
          <w:sz w:val="24"/>
        </w:rPr>
        <w:t>磋商</w:t>
      </w:r>
      <w:r>
        <w:rPr>
          <w:rFonts w:ascii="Arial" w:hAnsi="Arial" w:cs="Arial"/>
          <w:sz w:val="24"/>
        </w:rPr>
        <w:t>的权力，并对所采取的行为不作任何解释。</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30</w:t>
      </w:r>
      <w:r>
        <w:rPr>
          <w:rFonts w:hint="eastAsia" w:ascii="Arial" w:hAnsi="Arial" w:cs="Arial"/>
          <w:sz w:val="24"/>
        </w:rPr>
        <w:t>、</w:t>
      </w:r>
      <w:r>
        <w:rPr>
          <w:rFonts w:ascii="Arial" w:hAnsi="Arial" w:cs="Arial"/>
          <w:sz w:val="24"/>
        </w:rPr>
        <w:t>成交通知书</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 xml:space="preserve">30.1 </w:t>
      </w:r>
      <w:r>
        <w:rPr>
          <w:rFonts w:hint="eastAsia" w:ascii="Arial" w:hAnsi="Arial" w:cs="Arial"/>
          <w:sz w:val="24"/>
        </w:rPr>
        <w:t>成交公告期满后</w:t>
      </w:r>
      <w:r>
        <w:rPr>
          <w:rFonts w:ascii="Arial" w:hAnsi="Arial" w:cs="Arial"/>
          <w:sz w:val="24"/>
        </w:rPr>
        <w:t>，招标</w:t>
      </w:r>
      <w:r>
        <w:rPr>
          <w:rFonts w:hint="eastAsia" w:ascii="Arial" w:hAnsi="Arial" w:cs="Arial"/>
          <w:sz w:val="24"/>
        </w:rPr>
        <w:t>代理</w:t>
      </w:r>
      <w:r>
        <w:rPr>
          <w:rFonts w:ascii="Arial" w:hAnsi="Arial" w:cs="Arial"/>
          <w:sz w:val="24"/>
        </w:rPr>
        <w:t>机构将以书面形式发出《成交通知书》，但发出时间不超过</w:t>
      </w:r>
      <w:r>
        <w:rPr>
          <w:rFonts w:hint="eastAsia" w:ascii="Arial" w:hAnsi="Arial" w:cs="Arial"/>
          <w:sz w:val="24"/>
        </w:rPr>
        <w:t>磋商</w:t>
      </w:r>
      <w:r>
        <w:rPr>
          <w:rFonts w:ascii="Arial" w:hAnsi="Arial" w:cs="Arial"/>
          <w:sz w:val="24"/>
        </w:rPr>
        <w:t>有效期，《成交通知书》一经发出即发生法律效力。</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30.2 《成交通知书》将作为签订合同的依据。</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30.3 招标</w:t>
      </w:r>
      <w:r>
        <w:rPr>
          <w:rFonts w:hint="eastAsia" w:ascii="Arial" w:hAnsi="Arial" w:cs="Arial"/>
          <w:sz w:val="24"/>
        </w:rPr>
        <w:t>代理</w:t>
      </w:r>
      <w:r>
        <w:rPr>
          <w:rFonts w:ascii="Arial" w:hAnsi="Arial" w:cs="Arial"/>
          <w:sz w:val="24"/>
        </w:rPr>
        <w:t>机构将在成交方按规定签订合同并提交履约保证金（如适用）后退还其</w:t>
      </w:r>
      <w:r>
        <w:rPr>
          <w:rFonts w:hint="eastAsia" w:ascii="Arial" w:hAnsi="Arial" w:cs="Arial"/>
          <w:sz w:val="24"/>
        </w:rPr>
        <w:t>磋商</w:t>
      </w:r>
      <w:r>
        <w:rPr>
          <w:rFonts w:ascii="Arial" w:hAnsi="Arial" w:cs="Arial"/>
          <w:sz w:val="24"/>
        </w:rPr>
        <w:t>保证金。</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31</w:t>
      </w:r>
      <w:r>
        <w:rPr>
          <w:rFonts w:hint="eastAsia" w:ascii="Arial" w:hAnsi="Arial" w:cs="Arial"/>
          <w:sz w:val="24"/>
        </w:rPr>
        <w:t>、</w:t>
      </w:r>
      <w:r>
        <w:rPr>
          <w:rFonts w:ascii="Arial" w:hAnsi="Arial" w:cs="Arial"/>
          <w:sz w:val="24"/>
        </w:rPr>
        <w:t>签订合同</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31.1 供应商收到《成交通知书》后，按《成交通知书》中规定的时间地点与买方签订合同。买方和成交方不得再订立背离合同实质性内容的其他协议。</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31.2如成交方拒签合同，则按违约处理。招标</w:t>
      </w:r>
      <w:r>
        <w:rPr>
          <w:rFonts w:hint="eastAsia" w:ascii="Arial" w:hAnsi="Arial" w:cs="Arial"/>
          <w:sz w:val="24"/>
        </w:rPr>
        <w:t>代理</w:t>
      </w:r>
      <w:r>
        <w:rPr>
          <w:rFonts w:ascii="Arial" w:hAnsi="Arial" w:cs="Arial"/>
          <w:sz w:val="24"/>
        </w:rPr>
        <w:t>机构没收其</w:t>
      </w:r>
      <w:r>
        <w:rPr>
          <w:rFonts w:hint="eastAsia" w:ascii="Arial" w:hAnsi="Arial" w:cs="Arial"/>
          <w:sz w:val="24"/>
        </w:rPr>
        <w:t>磋商</w:t>
      </w:r>
      <w:r>
        <w:rPr>
          <w:rFonts w:ascii="Arial" w:hAnsi="Arial" w:cs="Arial"/>
          <w:sz w:val="24"/>
        </w:rPr>
        <w:t>保证金。</w:t>
      </w:r>
    </w:p>
    <w:p>
      <w:pPr>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31.3</w:t>
      </w:r>
      <w:r>
        <w:rPr>
          <w:rFonts w:hint="eastAsia" w:ascii="Arial" w:hAnsi="Arial" w:cs="Arial"/>
          <w:sz w:val="24"/>
        </w:rPr>
        <w:t>磋商</w:t>
      </w:r>
      <w:r>
        <w:rPr>
          <w:rFonts w:ascii="Arial" w:hAnsi="Arial" w:cs="Arial"/>
          <w:sz w:val="24"/>
        </w:rPr>
        <w:t>文件、成交方的</w:t>
      </w:r>
      <w:r>
        <w:rPr>
          <w:rFonts w:hint="eastAsia" w:ascii="Arial" w:hAnsi="Arial" w:cs="Arial"/>
          <w:sz w:val="24"/>
        </w:rPr>
        <w:t>磋商</w:t>
      </w:r>
      <w:r>
        <w:rPr>
          <w:rFonts w:ascii="Arial" w:hAnsi="Arial" w:cs="Arial"/>
          <w:sz w:val="24"/>
        </w:rPr>
        <w:t>响应文件及其澄清文件等，均为签订经济合同的依据。</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32</w:t>
      </w:r>
      <w:r>
        <w:rPr>
          <w:rFonts w:hint="eastAsia" w:ascii="Arial" w:hAnsi="Arial" w:cs="Arial"/>
          <w:sz w:val="24"/>
        </w:rPr>
        <w:t>、</w:t>
      </w:r>
      <w:r>
        <w:rPr>
          <w:rFonts w:ascii="Arial" w:hAnsi="Arial" w:cs="Arial"/>
          <w:sz w:val="24"/>
        </w:rPr>
        <w:t>履约保证金（如适用）</w:t>
      </w:r>
    </w:p>
    <w:p>
      <w:pPr>
        <w:pageBreakBefore w:val="0"/>
        <w:kinsoku/>
        <w:wordWrap/>
        <w:topLinePunct w:val="0"/>
        <w:bidi w:val="0"/>
        <w:spacing w:beforeAutospacing="0" w:afterAutospacing="0" w:line="400" w:lineRule="exact"/>
        <w:ind w:left="480" w:leftChars="0" w:right="0" w:rightChars="0" w:hanging="480" w:hangingChars="200"/>
        <w:rPr>
          <w:rFonts w:ascii="Arial" w:hAnsi="Arial" w:cs="Arial"/>
          <w:sz w:val="24"/>
        </w:rPr>
      </w:pPr>
      <w:r>
        <w:rPr>
          <w:rFonts w:ascii="Arial" w:hAnsi="Arial" w:cs="Arial"/>
          <w:sz w:val="24"/>
        </w:rPr>
        <w:t>32.1成交方应按合同规定的方式、时间和金额向买方提交履约保证金。</w:t>
      </w:r>
    </w:p>
    <w:p>
      <w:pPr>
        <w:pageBreakBefore w:val="0"/>
        <w:kinsoku/>
        <w:wordWrap/>
        <w:topLinePunct w:val="0"/>
        <w:bidi w:val="0"/>
        <w:spacing w:beforeAutospacing="0" w:afterAutospacing="0" w:line="400" w:lineRule="exact"/>
        <w:ind w:left="0" w:leftChars="0" w:right="0" w:rightChars="0"/>
        <w:rPr>
          <w:rFonts w:ascii="Arial" w:hAnsi="Arial" w:cs="Arial"/>
          <w:sz w:val="24"/>
        </w:rPr>
      </w:pPr>
      <w:r>
        <w:rPr>
          <w:rFonts w:ascii="Arial" w:hAnsi="Arial" w:cs="Arial"/>
          <w:sz w:val="24"/>
        </w:rPr>
        <w:t>33</w:t>
      </w:r>
      <w:r>
        <w:rPr>
          <w:rFonts w:hint="eastAsia" w:ascii="Arial" w:hAnsi="Arial" w:cs="Arial"/>
          <w:sz w:val="24"/>
        </w:rPr>
        <w:t>、招标代理</w:t>
      </w:r>
      <w:r>
        <w:rPr>
          <w:rFonts w:ascii="Arial" w:hAnsi="Arial" w:cs="Arial"/>
          <w:sz w:val="24"/>
        </w:rPr>
        <w:t>服务费</w:t>
      </w:r>
    </w:p>
    <w:p>
      <w:pPr>
        <w:pStyle w:val="20"/>
        <w:pageBreakBefore w:val="0"/>
        <w:kinsoku/>
        <w:wordWrap/>
        <w:topLinePunct w:val="0"/>
        <w:bidi w:val="0"/>
        <w:spacing w:beforeAutospacing="0" w:afterAutospacing="0" w:line="400" w:lineRule="exact"/>
        <w:ind w:left="0" w:leftChars="0" w:right="0" w:rightChars="0" w:firstLine="240" w:firstLineChars="100"/>
        <w:rPr>
          <w:rFonts w:ascii="Arial" w:hAnsi="Arial" w:cs="Arial"/>
          <w:sz w:val="24"/>
        </w:rPr>
      </w:pPr>
      <w:r>
        <w:rPr>
          <w:rFonts w:ascii="Arial" w:hAnsi="Arial" w:cs="Arial"/>
          <w:sz w:val="24"/>
        </w:rPr>
        <w:t>33.1成交方须向招标</w:t>
      </w:r>
      <w:r>
        <w:rPr>
          <w:rFonts w:hint="eastAsia" w:ascii="Arial" w:hAnsi="Arial" w:cs="Arial"/>
          <w:sz w:val="24"/>
        </w:rPr>
        <w:t>代理</w:t>
      </w:r>
      <w:r>
        <w:rPr>
          <w:rFonts w:ascii="Arial" w:hAnsi="Arial" w:cs="Arial"/>
          <w:sz w:val="24"/>
        </w:rPr>
        <w:t>机构按如下标准和期限交纳</w:t>
      </w:r>
      <w:r>
        <w:rPr>
          <w:rFonts w:hint="eastAsia" w:ascii="Arial" w:hAnsi="Arial" w:cs="Arial"/>
          <w:sz w:val="24"/>
        </w:rPr>
        <w:t>招标代理代理</w:t>
      </w:r>
      <w:r>
        <w:rPr>
          <w:rFonts w:ascii="Arial" w:hAnsi="Arial" w:cs="Arial"/>
          <w:sz w:val="24"/>
        </w:rPr>
        <w:t>服务费：</w:t>
      </w:r>
    </w:p>
    <w:p>
      <w:pPr>
        <w:pStyle w:val="20"/>
        <w:pageBreakBefore w:val="0"/>
        <w:kinsoku/>
        <w:wordWrap/>
        <w:topLinePunct w:val="0"/>
        <w:bidi w:val="0"/>
        <w:adjustRightInd w:val="0"/>
        <w:spacing w:beforeAutospacing="0" w:afterAutospacing="0" w:line="400" w:lineRule="exact"/>
        <w:ind w:left="480" w:leftChars="0" w:right="0" w:rightChars="0" w:hanging="480" w:hangingChars="200"/>
        <w:rPr>
          <w:rFonts w:ascii="Arial" w:hAnsi="Arial" w:cs="Arial"/>
          <w:sz w:val="24"/>
        </w:rPr>
      </w:pPr>
      <w:r>
        <w:rPr>
          <w:rFonts w:ascii="Arial" w:hAnsi="Arial" w:cs="Arial"/>
          <w:bCs/>
          <w:sz w:val="24"/>
        </w:rPr>
        <w:t>33.1.1</w:t>
      </w:r>
      <w:r>
        <w:rPr>
          <w:rFonts w:hint="eastAsia" w:ascii="Arial" w:hAnsi="Arial" w:cs="Arial"/>
          <w:sz w:val="24"/>
          <w:szCs w:val="24"/>
        </w:rPr>
        <w:t>成交方</w:t>
      </w:r>
      <w:r>
        <w:rPr>
          <w:rFonts w:ascii="Arial" w:hAnsi="Arial" w:cs="Arial"/>
          <w:sz w:val="24"/>
          <w:szCs w:val="24"/>
        </w:rPr>
        <w:t>须向</w:t>
      </w:r>
      <w:r>
        <w:rPr>
          <w:rFonts w:hint="eastAsia" w:ascii="Arial" w:hAnsi="Arial" w:cs="Arial"/>
          <w:sz w:val="24"/>
          <w:szCs w:val="24"/>
          <w:lang w:eastAsia="zh-CN"/>
        </w:rPr>
        <w:t>宏业国际项目管理有限公司</w:t>
      </w:r>
      <w:r>
        <w:rPr>
          <w:rFonts w:ascii="Arial" w:hAnsi="Arial" w:cs="Arial"/>
          <w:sz w:val="24"/>
          <w:szCs w:val="24"/>
        </w:rPr>
        <w:t>支付</w:t>
      </w:r>
      <w:r>
        <w:rPr>
          <w:rFonts w:hint="eastAsia" w:ascii="Arial" w:hAnsi="Arial" w:cs="Arial"/>
          <w:sz w:val="24"/>
        </w:rPr>
        <w:t>招标代理服务费</w:t>
      </w:r>
      <w:r>
        <w:rPr>
          <w:rFonts w:ascii="Arial" w:hAnsi="Arial" w:cs="Arial"/>
          <w:sz w:val="24"/>
        </w:rPr>
        <w:t>。</w:t>
      </w:r>
    </w:p>
    <w:p>
      <w:pPr>
        <w:pStyle w:val="20"/>
        <w:pageBreakBefore w:val="0"/>
        <w:kinsoku/>
        <w:wordWrap/>
        <w:topLinePunct w:val="0"/>
        <w:bidi w:val="0"/>
        <w:adjustRightInd w:val="0"/>
        <w:spacing w:beforeAutospacing="0" w:afterAutospacing="0" w:line="400" w:lineRule="exact"/>
        <w:ind w:left="0" w:leftChars="0" w:right="0" w:rightChars="0" w:firstLine="240" w:firstLineChars="100"/>
        <w:rPr>
          <w:rFonts w:ascii="Arial" w:hAnsi="Arial" w:cs="Arial"/>
          <w:bCs/>
          <w:sz w:val="24"/>
        </w:rPr>
      </w:pPr>
      <w:r>
        <w:rPr>
          <w:rFonts w:ascii="Arial" w:hAnsi="Arial" w:cs="Arial"/>
          <w:bCs/>
          <w:sz w:val="24"/>
        </w:rPr>
        <w:t>33.1.2 在</w:t>
      </w:r>
      <w:r>
        <w:rPr>
          <w:rFonts w:hint="eastAsia" w:ascii="Arial" w:hAnsi="Arial" w:cs="Arial"/>
          <w:bCs/>
          <w:sz w:val="24"/>
        </w:rPr>
        <w:t>合同签订</w:t>
      </w:r>
      <w:r>
        <w:rPr>
          <w:rFonts w:ascii="Arial" w:hAnsi="Arial" w:cs="Arial"/>
          <w:bCs/>
          <w:sz w:val="24"/>
        </w:rPr>
        <w:t>后一周内，成交方须按规定的标准以</w:t>
      </w:r>
      <w:r>
        <w:rPr>
          <w:rFonts w:hint="eastAsia" w:ascii="Arial" w:hAnsi="Arial" w:cs="Arial"/>
          <w:bCs/>
          <w:sz w:val="24"/>
        </w:rPr>
        <w:t>网银</w:t>
      </w:r>
      <w:r>
        <w:rPr>
          <w:rFonts w:ascii="Arial" w:hAnsi="Arial" w:cs="Arial"/>
          <w:bCs/>
          <w:sz w:val="24"/>
        </w:rPr>
        <w:t>或电汇的方式一次性向招标</w:t>
      </w:r>
      <w:r>
        <w:rPr>
          <w:rFonts w:hint="eastAsia" w:ascii="Arial" w:hAnsi="Arial" w:cs="Arial"/>
          <w:bCs/>
          <w:sz w:val="24"/>
        </w:rPr>
        <w:t>代理</w:t>
      </w:r>
      <w:r>
        <w:rPr>
          <w:rFonts w:ascii="Arial" w:hAnsi="Arial" w:cs="Arial"/>
          <w:bCs/>
          <w:sz w:val="24"/>
        </w:rPr>
        <w:t>机构缴纳</w:t>
      </w:r>
      <w:r>
        <w:rPr>
          <w:rFonts w:hint="eastAsia" w:ascii="Arial" w:hAnsi="Arial" w:cs="Arial"/>
          <w:bCs/>
          <w:sz w:val="24"/>
        </w:rPr>
        <w:t>磋商代理</w:t>
      </w:r>
      <w:r>
        <w:rPr>
          <w:rFonts w:ascii="Arial" w:hAnsi="Arial" w:cs="Arial"/>
          <w:bCs/>
          <w:sz w:val="24"/>
        </w:rPr>
        <w:t>服务费。</w:t>
      </w:r>
      <w:bookmarkStart w:id="47" w:name="_Toc267301288"/>
    </w:p>
    <w:p>
      <w:pPr>
        <w:pStyle w:val="4"/>
        <w:pageBreakBefore w:val="0"/>
        <w:kinsoku/>
        <w:wordWrap/>
        <w:topLinePunct w:val="0"/>
        <w:bidi w:val="0"/>
        <w:spacing w:before="0" w:beforeAutospacing="0" w:after="0" w:afterAutospacing="0" w:line="400" w:lineRule="exact"/>
        <w:ind w:left="0" w:leftChars="0" w:right="0" w:rightChars="0"/>
        <w:jc w:val="center"/>
        <w:rPr>
          <w:rFonts w:cs="Arial"/>
          <w:bCs/>
          <w:sz w:val="24"/>
        </w:rPr>
      </w:pPr>
      <w:bookmarkStart w:id="48" w:name="_Toc462223638"/>
      <w:r>
        <w:rPr>
          <w:rFonts w:hint="eastAsia" w:eastAsia="宋体" w:cs="Arial"/>
          <w:sz w:val="28"/>
          <w:szCs w:val="28"/>
        </w:rPr>
        <w:t>（七）磋商失败条件</w:t>
      </w:r>
      <w:bookmarkEnd w:id="48"/>
    </w:p>
    <w:p>
      <w:pPr>
        <w:pStyle w:val="20"/>
        <w:pageBreakBefore w:val="0"/>
        <w:tabs>
          <w:tab w:val="left" w:pos="720"/>
          <w:tab w:val="left" w:pos="900"/>
          <w:tab w:val="left" w:pos="1260"/>
        </w:tabs>
        <w:kinsoku/>
        <w:wordWrap/>
        <w:topLinePunct w:val="0"/>
        <w:bidi w:val="0"/>
        <w:adjustRightInd w:val="0"/>
        <w:spacing w:beforeAutospacing="0" w:afterAutospacing="0" w:line="400" w:lineRule="exact"/>
        <w:ind w:left="720" w:leftChars="0" w:right="0" w:rightChars="0" w:hanging="720" w:hangingChars="300"/>
        <w:rPr>
          <w:rFonts w:ascii="Arial" w:hAnsi="Arial" w:cs="Arial"/>
          <w:bCs/>
          <w:sz w:val="24"/>
        </w:rPr>
      </w:pPr>
      <w:r>
        <w:rPr>
          <w:rFonts w:hint="eastAsia" w:ascii="Arial" w:hAnsi="Arial" w:cs="Arial"/>
          <w:bCs/>
          <w:sz w:val="24"/>
        </w:rPr>
        <w:t>34、出现影响采购公正的违法、违规行为的；</w:t>
      </w:r>
    </w:p>
    <w:p>
      <w:pPr>
        <w:pStyle w:val="20"/>
        <w:pageBreakBefore w:val="0"/>
        <w:tabs>
          <w:tab w:val="left" w:pos="720"/>
          <w:tab w:val="left" w:pos="900"/>
          <w:tab w:val="left" w:pos="1260"/>
        </w:tabs>
        <w:kinsoku/>
        <w:wordWrap/>
        <w:topLinePunct w:val="0"/>
        <w:bidi w:val="0"/>
        <w:adjustRightInd w:val="0"/>
        <w:spacing w:beforeAutospacing="0" w:afterAutospacing="0" w:line="400" w:lineRule="exact"/>
        <w:ind w:left="720" w:leftChars="0" w:right="0" w:rightChars="0" w:hanging="720" w:hangingChars="300"/>
        <w:rPr>
          <w:rFonts w:ascii="Arial" w:hAnsi="Arial" w:cs="Arial"/>
          <w:bCs/>
          <w:sz w:val="24"/>
        </w:rPr>
      </w:pPr>
      <w:r>
        <w:rPr>
          <w:rFonts w:hint="eastAsia" w:ascii="Arial" w:hAnsi="Arial" w:cs="Arial"/>
          <w:bCs/>
          <w:sz w:val="24"/>
        </w:rPr>
        <w:t>35、因重大变故，采购任务取消的；</w:t>
      </w:r>
    </w:p>
    <w:p>
      <w:pPr>
        <w:pStyle w:val="20"/>
        <w:pageBreakBefore w:val="0"/>
        <w:tabs>
          <w:tab w:val="left" w:pos="720"/>
          <w:tab w:val="left" w:pos="900"/>
          <w:tab w:val="left" w:pos="1260"/>
        </w:tabs>
        <w:kinsoku/>
        <w:wordWrap/>
        <w:topLinePunct w:val="0"/>
        <w:bidi w:val="0"/>
        <w:adjustRightInd w:val="0"/>
        <w:spacing w:beforeAutospacing="0" w:afterAutospacing="0" w:line="400" w:lineRule="exact"/>
        <w:ind w:left="720" w:leftChars="0" w:right="0" w:rightChars="0" w:hanging="720" w:hangingChars="300"/>
        <w:rPr>
          <w:rFonts w:ascii="Arial" w:hAnsi="Arial" w:cs="Arial"/>
          <w:bCs/>
          <w:sz w:val="24"/>
        </w:rPr>
      </w:pPr>
      <w:r>
        <w:rPr>
          <w:rFonts w:hint="eastAsia" w:ascii="Arial" w:hAnsi="Arial" w:cs="Arial"/>
          <w:bCs/>
          <w:sz w:val="24"/>
        </w:rPr>
        <w:t>36、磋商响应文件截止时间后，实际参与的供应商不足法定家数的；</w:t>
      </w:r>
    </w:p>
    <w:p>
      <w:pPr>
        <w:pStyle w:val="20"/>
        <w:pageBreakBefore w:val="0"/>
        <w:tabs>
          <w:tab w:val="left" w:pos="720"/>
          <w:tab w:val="left" w:pos="900"/>
          <w:tab w:val="left" w:pos="1260"/>
        </w:tabs>
        <w:kinsoku/>
        <w:wordWrap/>
        <w:topLinePunct w:val="0"/>
        <w:bidi w:val="0"/>
        <w:adjustRightInd w:val="0"/>
        <w:spacing w:beforeAutospacing="0" w:afterAutospacing="0" w:line="400" w:lineRule="exact"/>
        <w:ind w:left="720" w:leftChars="0" w:right="0" w:rightChars="0" w:hanging="720" w:hangingChars="300"/>
        <w:rPr>
          <w:rFonts w:ascii="Arial" w:hAnsi="Arial" w:cs="Arial"/>
          <w:bCs/>
          <w:sz w:val="24"/>
        </w:rPr>
      </w:pPr>
      <w:r>
        <w:rPr>
          <w:rFonts w:hint="eastAsia" w:ascii="Arial" w:hAnsi="Arial" w:cs="Arial"/>
          <w:bCs/>
          <w:sz w:val="24"/>
        </w:rPr>
        <w:t>37、最终报价均超过采购预算的；</w:t>
      </w:r>
    </w:p>
    <w:p>
      <w:pPr>
        <w:pageBreakBefore w:val="0"/>
        <w:kinsoku/>
        <w:wordWrap/>
        <w:topLinePunct w:val="0"/>
        <w:bidi w:val="0"/>
        <w:spacing w:beforeAutospacing="0" w:afterAutospacing="0" w:line="400" w:lineRule="exact"/>
        <w:ind w:left="0" w:leftChars="0" w:right="0" w:rightChars="0"/>
        <w:rPr>
          <w:rFonts w:ascii="Arial" w:hAnsi="Arial" w:cs="Arial"/>
          <w:bCs/>
          <w:sz w:val="24"/>
          <w:szCs w:val="22"/>
        </w:rPr>
      </w:pPr>
      <w:r>
        <w:rPr>
          <w:rFonts w:hint="eastAsia" w:ascii="Arial" w:hAnsi="Arial" w:cs="Arial"/>
          <w:bCs/>
          <w:sz w:val="24"/>
          <w:szCs w:val="22"/>
        </w:rPr>
        <w:t>38、对磋商文件作出实质性响应的供应商不足法定家数的；</w:t>
      </w:r>
      <w:bookmarkStart w:id="49" w:name="_Toc298240411"/>
      <w:bookmarkStart w:id="50" w:name="_Toc349573127"/>
      <w:bookmarkStart w:id="51" w:name="_Toc349637926"/>
    </w:p>
    <w:p>
      <w:pPr>
        <w:pStyle w:val="2"/>
        <w:pageBreakBefore w:val="0"/>
        <w:kinsoku/>
        <w:wordWrap/>
        <w:topLinePunct w:val="0"/>
        <w:bidi w:val="0"/>
        <w:spacing w:beforeAutospacing="0" w:afterAutospacing="0" w:line="400" w:lineRule="exact"/>
        <w:ind w:left="0" w:leftChars="0" w:right="0" w:rightChars="0"/>
      </w:pPr>
    </w:p>
    <w:p>
      <w:pPr>
        <w:pageBreakBefore w:val="0"/>
        <w:kinsoku/>
        <w:wordWrap/>
        <w:topLinePunct w:val="0"/>
        <w:bidi w:val="0"/>
        <w:spacing w:beforeAutospacing="0" w:afterAutospacing="0" w:line="400" w:lineRule="exact"/>
        <w:ind w:left="0" w:leftChars="0" w:right="0" w:rightChars="0"/>
        <w:jc w:val="center"/>
        <w:rPr>
          <w:b/>
          <w:sz w:val="32"/>
          <w:szCs w:val="32"/>
        </w:rPr>
      </w:pPr>
    </w:p>
    <w:p>
      <w:pPr>
        <w:pageBreakBefore w:val="0"/>
        <w:kinsoku/>
        <w:wordWrap/>
        <w:topLinePunct w:val="0"/>
        <w:bidi w:val="0"/>
        <w:spacing w:beforeAutospacing="0" w:afterAutospacing="0" w:line="400" w:lineRule="exact"/>
        <w:ind w:left="0" w:leftChars="0" w:right="0" w:rightChars="0"/>
        <w:jc w:val="center"/>
        <w:rPr>
          <w:b/>
          <w:sz w:val="32"/>
          <w:szCs w:val="32"/>
        </w:rPr>
      </w:pPr>
    </w:p>
    <w:p>
      <w:pPr>
        <w:pStyle w:val="16"/>
        <w:rPr>
          <w:b/>
          <w:sz w:val="32"/>
          <w:szCs w:val="32"/>
        </w:rPr>
      </w:pPr>
    </w:p>
    <w:p/>
    <w:bookmarkEnd w:id="47"/>
    <w:bookmarkEnd w:id="49"/>
    <w:bookmarkEnd w:id="50"/>
    <w:bookmarkEnd w:id="51"/>
    <w:p>
      <w:pPr>
        <w:pageBreakBefore w:val="0"/>
        <w:numPr>
          <w:ilvl w:val="0"/>
          <w:numId w:val="3"/>
        </w:numPr>
        <w:kinsoku/>
        <w:wordWrap/>
        <w:topLinePunct w:val="0"/>
        <w:bidi w:val="0"/>
        <w:spacing w:beforeAutospacing="0" w:afterAutospacing="0" w:line="400" w:lineRule="exact"/>
        <w:ind w:left="0" w:leftChars="0" w:right="0" w:rightChars="0"/>
        <w:jc w:val="center"/>
        <w:outlineLvl w:val="0"/>
        <w:rPr>
          <w:rFonts w:hint="eastAsia"/>
          <w:b/>
          <w:sz w:val="32"/>
          <w:szCs w:val="32"/>
        </w:rPr>
      </w:pPr>
      <w:bookmarkStart w:id="52" w:name="_Toc16105"/>
      <w:r>
        <w:rPr>
          <w:rFonts w:hint="eastAsia"/>
          <w:b/>
          <w:sz w:val="32"/>
          <w:szCs w:val="32"/>
        </w:rPr>
        <w:t xml:space="preserve"> 项目需求</w:t>
      </w:r>
      <w:bookmarkEnd w:id="52"/>
    </w:p>
    <w:p>
      <w:pPr>
        <w:pStyle w:val="2"/>
        <w:rPr>
          <w:rFonts w:hint="eastAsia"/>
        </w:rPr>
      </w:pPr>
    </w:p>
    <w:tbl>
      <w:tblPr>
        <w:tblStyle w:val="33"/>
        <w:tblW w:w="9923" w:type="dxa"/>
        <w:tblInd w:w="-552" w:type="dxa"/>
        <w:tblLayout w:type="fixed"/>
        <w:tblCellMar>
          <w:top w:w="0" w:type="dxa"/>
          <w:left w:w="0" w:type="dxa"/>
          <w:bottom w:w="0" w:type="dxa"/>
          <w:right w:w="0" w:type="dxa"/>
        </w:tblCellMar>
      </w:tblPr>
      <w:tblGrid>
        <w:gridCol w:w="993"/>
        <w:gridCol w:w="2544"/>
        <w:gridCol w:w="1080"/>
        <w:gridCol w:w="1110"/>
        <w:gridCol w:w="1928"/>
        <w:gridCol w:w="2268"/>
      </w:tblGrid>
      <w:tr>
        <w:tblPrEx>
          <w:tblCellMar>
            <w:top w:w="0" w:type="dxa"/>
            <w:left w:w="0" w:type="dxa"/>
            <w:bottom w:w="0" w:type="dxa"/>
            <w:right w:w="0" w:type="dxa"/>
          </w:tblCellMar>
        </w:tblPrEx>
        <w:trPr>
          <w:trHeight w:val="440" w:hRule="atLeast"/>
        </w:trPr>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序号</w:t>
            </w:r>
          </w:p>
        </w:tc>
        <w:tc>
          <w:tcPr>
            <w:tcW w:w="254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名称</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数量</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质保期限</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交货日期</w:t>
            </w:r>
          </w:p>
        </w:tc>
        <w:tc>
          <w:tcPr>
            <w:tcW w:w="22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交货地点</w:t>
            </w:r>
          </w:p>
        </w:tc>
      </w:tr>
      <w:tr>
        <w:tblPrEx>
          <w:tblCellMar>
            <w:top w:w="0" w:type="dxa"/>
            <w:left w:w="0" w:type="dxa"/>
            <w:bottom w:w="0" w:type="dxa"/>
            <w:right w:w="0" w:type="dxa"/>
          </w:tblCellMar>
        </w:tblPrEx>
        <w:trPr>
          <w:trHeight w:val="860" w:hRule="atLeast"/>
        </w:trPr>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防火墙1</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22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01" w:hRule="atLeast"/>
        </w:trPr>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入侵防御系统（ips）</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22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13" w:hRule="atLeast"/>
        </w:trPr>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服务器密码机</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22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25" w:hRule="atLeast"/>
        </w:trPr>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数据库网关加密</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22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09" w:hRule="atLeast"/>
        </w:trPr>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数据库审计</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22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21" w:hRule="atLeast"/>
        </w:trPr>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异常流量管理与抗拒绝服务系统</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22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19" w:hRule="atLeast"/>
        </w:trPr>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防火墙2</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22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03" w:hRule="atLeast"/>
        </w:trPr>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安全隔离与信息单向导入系统</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22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r>
        <w:tblPrEx>
          <w:tblCellMar>
            <w:top w:w="0" w:type="dxa"/>
            <w:left w:w="0" w:type="dxa"/>
            <w:bottom w:w="0" w:type="dxa"/>
            <w:right w:w="0" w:type="dxa"/>
          </w:tblCellMar>
        </w:tblPrEx>
        <w:trPr>
          <w:trHeight w:val="815" w:hRule="atLeast"/>
        </w:trPr>
        <w:tc>
          <w:tcPr>
            <w:tcW w:w="9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w:t>
            </w:r>
          </w:p>
        </w:tc>
        <w:tc>
          <w:tcPr>
            <w:tcW w:w="254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轻量级激光雷达扫描系统</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19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中标后10个</w:t>
            </w:r>
          </w:p>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日历日</w:t>
            </w:r>
          </w:p>
        </w:tc>
        <w:tc>
          <w:tcPr>
            <w:tcW w:w="22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pPr>
              <w:jc w:val="center"/>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用户指定地点</w:t>
            </w:r>
          </w:p>
        </w:tc>
      </w:tr>
    </w:tbl>
    <w:p>
      <w:pPr>
        <w:pStyle w:val="16"/>
        <w:numPr>
          <w:ilvl w:val="0"/>
          <w:numId w:val="0"/>
        </w:numPr>
      </w:pPr>
    </w:p>
    <w:p>
      <w:pPr>
        <w:ind w:left="-424" w:leftChars="-20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1、防火墙1</w:t>
      </w:r>
    </w:p>
    <w:tbl>
      <w:tblPr>
        <w:tblStyle w:val="33"/>
        <w:tblpPr w:leftFromText="181" w:rightFromText="181" w:vertAnchor="text" w:horzAnchor="margin" w:tblpX="-459" w:tblpY="1"/>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526" w:type="dxa"/>
          </w:tcPr>
          <w:p>
            <w:pPr>
              <w:snapToGrid w:val="0"/>
              <w:jc w:val="center"/>
              <w:rPr>
                <w:rFonts w:ascii="宋体" w:hAnsi="宋体" w:cs="宋体"/>
                <w:b/>
                <w:color w:val="000000"/>
                <w:sz w:val="24"/>
                <w:szCs w:val="24"/>
              </w:rPr>
            </w:pPr>
            <w:r>
              <w:rPr>
                <w:rFonts w:hint="eastAsia" w:ascii="宋体" w:hAnsi="宋体" w:cs="宋体"/>
                <w:b/>
                <w:color w:val="000000"/>
                <w:sz w:val="24"/>
                <w:szCs w:val="24"/>
              </w:rPr>
              <w:t>技术指标</w:t>
            </w:r>
          </w:p>
        </w:tc>
        <w:tc>
          <w:tcPr>
            <w:tcW w:w="8255" w:type="dxa"/>
          </w:tcPr>
          <w:p>
            <w:pPr>
              <w:snapToGrid w:val="0"/>
              <w:jc w:val="center"/>
              <w:rPr>
                <w:rFonts w:ascii="宋体" w:hAnsi="宋体" w:cs="宋体"/>
                <w:b/>
                <w:color w:val="000000"/>
                <w:sz w:val="24"/>
                <w:szCs w:val="24"/>
              </w:rPr>
            </w:pPr>
            <w:r>
              <w:rPr>
                <w:rFonts w:hint="eastAsia" w:ascii="宋体" w:hAnsi="宋体" w:cs="宋体"/>
                <w:b/>
                <w:color w:val="00000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napToGrid w:val="0"/>
              <w:jc w:val="center"/>
              <w:rPr>
                <w:rFonts w:ascii="宋体" w:hAnsi="宋体" w:cs="宋体"/>
                <w:b/>
                <w:color w:val="000000"/>
                <w:sz w:val="24"/>
                <w:szCs w:val="24"/>
              </w:rPr>
            </w:pPr>
            <w:r>
              <w:rPr>
                <w:rFonts w:hint="eastAsia" w:ascii="宋体" w:hAnsi="宋体" w:cs="宋体"/>
                <w:b/>
                <w:color w:val="000000"/>
                <w:sz w:val="24"/>
                <w:szCs w:val="24"/>
              </w:rPr>
              <w:t>配置要求</w:t>
            </w:r>
          </w:p>
        </w:tc>
        <w:tc>
          <w:tcPr>
            <w:tcW w:w="8255" w:type="dxa"/>
          </w:tcPr>
          <w:p>
            <w:pPr>
              <w:snapToGrid w:val="0"/>
              <w:rPr>
                <w:rFonts w:ascii="宋体" w:hAnsi="宋体" w:cs="宋体"/>
                <w:color w:val="FF0000"/>
                <w:sz w:val="24"/>
                <w:szCs w:val="24"/>
              </w:rPr>
            </w:pPr>
            <w:r>
              <w:rPr>
                <w:rFonts w:hint="eastAsia" w:ascii="宋体" w:hAnsi="宋体" w:cs="宋体"/>
                <w:color w:val="000000"/>
                <w:sz w:val="24"/>
                <w:szCs w:val="24"/>
              </w:rPr>
              <w:t>网络层吞吐量≥25Gbps，应用层吞吐量≥9Gbps，并发连接数≥220万；硬件指标：</w:t>
            </w:r>
            <w:r>
              <w:rPr>
                <w:rFonts w:ascii="宋体" w:hAnsi="宋体" w:cs="宋体"/>
                <w:color w:val="000000"/>
                <w:sz w:val="24"/>
                <w:szCs w:val="24"/>
              </w:rPr>
              <w:t>2</w:t>
            </w:r>
            <w:r>
              <w:rPr>
                <w:rFonts w:hint="eastAsia" w:ascii="宋体" w:hAnsi="宋体" w:cs="宋体"/>
                <w:color w:val="000000"/>
                <w:sz w:val="24"/>
                <w:szCs w:val="24"/>
              </w:rPr>
              <w:t>U；冗余电源；产品支持不少于6千兆电口，2万兆光口SFP+，支持不少于2个扩展槽。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snapToGrid w:val="0"/>
              <w:jc w:val="center"/>
              <w:rPr>
                <w:rFonts w:ascii="宋体" w:hAnsi="宋体" w:cs="宋体"/>
                <w:b/>
                <w:color w:val="000000"/>
                <w:sz w:val="24"/>
                <w:szCs w:val="24"/>
              </w:rPr>
            </w:pPr>
          </w:p>
        </w:tc>
        <w:tc>
          <w:tcPr>
            <w:tcW w:w="8255" w:type="dxa"/>
          </w:tcPr>
          <w:p>
            <w:pPr>
              <w:snapToGrid w:val="0"/>
              <w:rPr>
                <w:rFonts w:ascii="宋体" w:hAnsi="宋体" w:cs="宋体"/>
                <w:color w:val="000000"/>
                <w:sz w:val="24"/>
                <w:szCs w:val="24"/>
              </w:rPr>
            </w:pPr>
            <w:r>
              <w:rPr>
                <w:rFonts w:hint="eastAsia" w:ascii="宋体" w:hAnsi="宋体" w:cs="宋体"/>
                <w:color w:val="000000"/>
                <w:sz w:val="24"/>
                <w:szCs w:val="24"/>
              </w:rPr>
              <w:t>产品采用自主知识产权的专用操作系统，应用多核并行处理技术保障产品处理性能，需提供公安部计算机信息系统安全产品质量监督检验中心、中国信息安全测评中心、中华人民共和国国家版权局、公安部信息安全产品检测中心之中任意一家检测机构出具关于“多核并行安全操作系统”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526" w:type="dxa"/>
            <w:vAlign w:val="center"/>
          </w:tcPr>
          <w:p>
            <w:pPr>
              <w:snapToGrid w:val="0"/>
              <w:jc w:val="center"/>
              <w:rPr>
                <w:rFonts w:ascii="宋体" w:hAnsi="宋体" w:cs="宋体"/>
                <w:b/>
                <w:color w:val="000000"/>
                <w:sz w:val="24"/>
                <w:szCs w:val="24"/>
              </w:rPr>
            </w:pPr>
            <w:r>
              <w:rPr>
                <w:rFonts w:hint="eastAsia" w:ascii="宋体" w:hAnsi="宋体" w:cs="宋体"/>
                <w:b/>
                <w:color w:val="000000"/>
                <w:sz w:val="24"/>
                <w:szCs w:val="24"/>
              </w:rPr>
              <w:t>部署方式</w:t>
            </w:r>
          </w:p>
        </w:tc>
        <w:tc>
          <w:tcPr>
            <w:tcW w:w="8255" w:type="dxa"/>
          </w:tcPr>
          <w:p>
            <w:pPr>
              <w:snapToGrid w:val="0"/>
              <w:rPr>
                <w:rFonts w:ascii="宋体" w:hAnsi="宋体" w:cs="宋体"/>
                <w:color w:val="000000"/>
                <w:sz w:val="24"/>
                <w:szCs w:val="24"/>
              </w:rPr>
            </w:pPr>
            <w:r>
              <w:rPr>
                <w:rFonts w:hint="eastAsia" w:ascii="宋体" w:hAnsi="宋体" w:cs="宋体"/>
                <w:color w:val="000000"/>
                <w:sz w:val="24"/>
                <w:szCs w:val="24"/>
              </w:rPr>
              <w:t>★支持路由，网桥，单臂，旁路，虚拟网线以及混合部署方式，必须与现有互联网防火墙系统双机热备（需提供相关功能截图证明并加盖厂商公章）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526" w:type="dxa"/>
            <w:vAlign w:val="center"/>
          </w:tcPr>
          <w:p>
            <w:pPr>
              <w:snapToGrid w:val="0"/>
              <w:jc w:val="center"/>
              <w:rPr>
                <w:rFonts w:ascii="宋体" w:hAnsi="宋体" w:cs="宋体"/>
                <w:b/>
                <w:color w:val="000000"/>
                <w:sz w:val="24"/>
                <w:szCs w:val="24"/>
              </w:rPr>
            </w:pPr>
            <w:r>
              <w:rPr>
                <w:rFonts w:hint="eastAsia" w:ascii="宋体" w:hAnsi="宋体" w:cs="宋体"/>
                <w:b/>
                <w:color w:val="000000"/>
                <w:sz w:val="24"/>
                <w:szCs w:val="24"/>
              </w:rPr>
              <w:t>路由支持</w:t>
            </w:r>
          </w:p>
        </w:tc>
        <w:tc>
          <w:tcPr>
            <w:tcW w:w="8255" w:type="dxa"/>
          </w:tcPr>
          <w:p>
            <w:pPr>
              <w:snapToGrid w:val="0"/>
              <w:rPr>
                <w:rFonts w:ascii="宋体" w:hAnsi="宋体" w:cs="宋体"/>
                <w:color w:val="000000"/>
                <w:sz w:val="24"/>
                <w:szCs w:val="24"/>
              </w:rPr>
            </w:pPr>
            <w:r>
              <w:rPr>
                <w:rFonts w:hint="eastAsia" w:ascii="宋体" w:hAnsi="宋体" w:cs="宋体"/>
                <w:color w:val="000000"/>
                <w:sz w:val="24"/>
                <w:szCs w:val="24"/>
              </w:rPr>
              <w:t>产品支持静态路由、策略路由和多播路由协议，并支持BGP、RIP、OSPF等动态路由协议。</w:t>
            </w:r>
          </w:p>
          <w:p>
            <w:pPr>
              <w:snapToGrid w:val="0"/>
              <w:rPr>
                <w:rFonts w:ascii="宋体" w:hAnsi="宋体" w:cs="宋体"/>
                <w:color w:val="000000"/>
                <w:sz w:val="24"/>
                <w:szCs w:val="24"/>
              </w:rPr>
            </w:pPr>
            <w:r>
              <w:rPr>
                <w:rFonts w:hint="eastAsia" w:ascii="宋体" w:hAnsi="宋体" w:cs="宋体"/>
                <w:color w:val="000000"/>
                <w:sz w:val="24"/>
                <w:szCs w:val="24"/>
              </w:rPr>
              <w:t>支持IPSec VPN智能选路功能，根据线路质量实现自动链路切换。（需提供相关功能截图证明并加盖厂商公章）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526" w:type="dxa"/>
            <w:vAlign w:val="center"/>
          </w:tcPr>
          <w:p>
            <w:pPr>
              <w:snapToGrid w:val="0"/>
              <w:jc w:val="center"/>
              <w:rPr>
                <w:rFonts w:ascii="宋体" w:hAnsi="宋体" w:cs="宋体"/>
                <w:b/>
                <w:color w:val="000000"/>
                <w:sz w:val="24"/>
                <w:szCs w:val="24"/>
              </w:rPr>
            </w:pPr>
            <w:r>
              <w:rPr>
                <w:rFonts w:hint="eastAsia" w:ascii="宋体" w:hAnsi="宋体" w:cs="宋体"/>
                <w:b/>
                <w:color w:val="000000"/>
                <w:sz w:val="24"/>
                <w:szCs w:val="24"/>
              </w:rPr>
              <w:t>基础功能</w:t>
            </w:r>
          </w:p>
        </w:tc>
        <w:tc>
          <w:tcPr>
            <w:tcW w:w="8255" w:type="dxa"/>
          </w:tcPr>
          <w:p>
            <w:pPr>
              <w:snapToGrid w:val="0"/>
              <w:rPr>
                <w:rFonts w:ascii="宋体" w:hAnsi="宋体" w:cs="宋体"/>
                <w:color w:val="000000"/>
                <w:sz w:val="24"/>
                <w:szCs w:val="24"/>
              </w:rPr>
            </w:pPr>
            <w:r>
              <w:rPr>
                <w:rFonts w:hint="eastAsia" w:ascii="宋体" w:hAnsi="宋体" w:cs="宋体"/>
                <w:color w:val="000000"/>
                <w:sz w:val="24"/>
                <w:szCs w:val="24"/>
              </w:rPr>
              <w:t>产品支持与终端安全软件联动管理，在防火墙产品完成终端安全策略设置和内网终端安全软件的统一管理。（需提供产品功能截图证明）</w:t>
            </w:r>
          </w:p>
          <w:p>
            <w:pPr>
              <w:snapToGrid w:val="0"/>
              <w:rPr>
                <w:rFonts w:ascii="宋体" w:hAnsi="宋体" w:cs="宋体"/>
                <w:color w:val="000000"/>
                <w:sz w:val="24"/>
                <w:szCs w:val="24"/>
              </w:rPr>
            </w:pPr>
            <w:r>
              <w:rPr>
                <w:rFonts w:hint="eastAsia" w:ascii="宋体" w:hAnsi="宋体" w:cs="宋体"/>
                <w:color w:val="000000"/>
                <w:sz w:val="24"/>
                <w:szCs w:val="24"/>
              </w:rPr>
              <w:t>★产品支持基于地区维度设置流控策略，实现多区域流量批量快速管控功能。所投产品必须提供具备CMA认证的第三方权威机构关于“国家/地区的流量管理”功能项的产品检测报告。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526" w:type="dxa"/>
            <w:vAlign w:val="center"/>
          </w:tcPr>
          <w:p>
            <w:pPr>
              <w:snapToGrid w:val="0"/>
              <w:jc w:val="center"/>
              <w:rPr>
                <w:rFonts w:ascii="宋体" w:hAnsi="宋体" w:cs="宋体"/>
                <w:b/>
                <w:color w:val="000000"/>
                <w:sz w:val="24"/>
                <w:szCs w:val="24"/>
              </w:rPr>
            </w:pPr>
            <w:r>
              <w:rPr>
                <w:rFonts w:hint="eastAsia" w:ascii="宋体" w:hAnsi="宋体" w:cs="宋体"/>
                <w:b/>
                <w:color w:val="000000"/>
                <w:sz w:val="24"/>
                <w:szCs w:val="24"/>
              </w:rPr>
              <w:t>攻击防护</w:t>
            </w:r>
          </w:p>
        </w:tc>
        <w:tc>
          <w:tcPr>
            <w:tcW w:w="8255" w:type="dxa"/>
          </w:tcPr>
          <w:p>
            <w:pPr>
              <w:snapToGrid w:val="0"/>
              <w:rPr>
                <w:rFonts w:ascii="宋体" w:hAnsi="宋体" w:cs="宋体"/>
                <w:color w:val="000000"/>
                <w:sz w:val="24"/>
                <w:szCs w:val="24"/>
              </w:rPr>
            </w:pPr>
            <w:r>
              <w:rPr>
                <w:rFonts w:hint="eastAsia" w:ascii="宋体" w:hAnsi="宋体" w:cs="宋体"/>
                <w:color w:val="000000"/>
                <w:sz w:val="24"/>
                <w:szCs w:val="24"/>
              </w:rPr>
              <w:t>产品支持对ICMP、UDP、DNS、SYN等协议进行DDOS防护，产品支持异常包攻击防御，异常包攻击类型至少包括Ping of Death、Teardrop、Smurf、Land、WinNuke等攻击类型，产品支持对HTTPS协议加密流量进行解密，支持配置基于区域、对象、业务类型、服务器IP/端口的解密策略，产品支持对文件传输行为进行安全过滤，支持基于上传、下载、双向的文件内容过滤，内容过滤类型至少支持网页、脚本、压缩文件、图片、可执行文件、适配、文本等常见文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526" w:type="dxa"/>
            <w:vAlign w:val="center"/>
          </w:tcPr>
          <w:p>
            <w:pPr>
              <w:snapToGrid w:val="0"/>
              <w:jc w:val="center"/>
              <w:rPr>
                <w:rFonts w:ascii="宋体" w:hAnsi="宋体" w:cs="宋体"/>
                <w:b/>
                <w:color w:val="000000"/>
                <w:sz w:val="24"/>
                <w:szCs w:val="24"/>
              </w:rPr>
            </w:pPr>
            <w:r>
              <w:rPr>
                <w:rFonts w:hint="eastAsia" w:ascii="宋体" w:hAnsi="宋体" w:cs="宋体"/>
                <w:b/>
                <w:color w:val="000000"/>
                <w:sz w:val="24"/>
                <w:szCs w:val="24"/>
              </w:rPr>
              <w:t>病毒防护</w:t>
            </w:r>
          </w:p>
        </w:tc>
        <w:tc>
          <w:tcPr>
            <w:tcW w:w="8255" w:type="dxa"/>
          </w:tcPr>
          <w:p>
            <w:pPr>
              <w:snapToGrid w:val="0"/>
              <w:rPr>
                <w:rFonts w:ascii="宋体" w:hAnsi="宋体" w:cs="宋体"/>
                <w:color w:val="000000"/>
                <w:sz w:val="24"/>
                <w:szCs w:val="24"/>
              </w:rPr>
            </w:pPr>
            <w:bookmarkStart w:id="53" w:name="OLE_LINK42"/>
            <w:bookmarkStart w:id="54" w:name="OLE_LINK41"/>
            <w:r>
              <w:rPr>
                <w:rFonts w:hint="eastAsia" w:ascii="宋体" w:hAnsi="宋体" w:cs="宋体"/>
                <w:color w:val="000000"/>
                <w:sz w:val="24"/>
                <w:szCs w:val="24"/>
              </w:rPr>
              <w:t>★</w:t>
            </w:r>
            <w:bookmarkEnd w:id="53"/>
            <w:bookmarkEnd w:id="54"/>
            <w:r>
              <w:rPr>
                <w:rFonts w:hint="eastAsia" w:ascii="宋体" w:hAnsi="宋体" w:cs="宋体"/>
                <w:color w:val="000000"/>
                <w:sz w:val="24"/>
                <w:szCs w:val="24"/>
              </w:rPr>
              <w:t>产品支持勒索病毒检测与防御功能，为保障勒索病毒的防御效果，所投产品必须提供具备CMA认证的第三方权威机构关于“勒索软件通信防护”功能项的产品检测报告。</w:t>
            </w:r>
            <w:bookmarkStart w:id="55" w:name="OLE_LINK46"/>
            <w:bookmarkStart w:id="56" w:name="OLE_LINK48"/>
            <w:bookmarkStart w:id="57" w:name="OLE_LINK47"/>
          </w:p>
          <w:p>
            <w:pPr>
              <w:rPr>
                <w:rFonts w:ascii="宋体" w:hAnsi="宋体" w:cs="宋体"/>
                <w:color w:val="000000"/>
                <w:sz w:val="24"/>
                <w:szCs w:val="24"/>
              </w:rPr>
            </w:pPr>
            <w:r>
              <w:rPr>
                <w:rFonts w:hint="eastAsia" w:ascii="宋体" w:hAnsi="宋体" w:cs="宋体"/>
                <w:color w:val="000000"/>
                <w:sz w:val="24"/>
                <w:szCs w:val="24"/>
              </w:rPr>
              <w:t>★</w:t>
            </w:r>
            <w:bookmarkEnd w:id="55"/>
            <w:bookmarkEnd w:id="56"/>
            <w:bookmarkEnd w:id="57"/>
            <w:r>
              <w:rPr>
                <w:rFonts w:hint="eastAsia" w:ascii="宋体" w:hAnsi="宋体" w:cs="宋体"/>
                <w:color w:val="000000"/>
                <w:sz w:val="24"/>
                <w:szCs w:val="24"/>
              </w:rPr>
              <w:t>产品支持CC攻击防护功能，为保障CC攻击的检测效果，所投产品必须提供具备CMA认证的第三方权威机构关于“CC攻击防护”功能项的产品检测报告。</w:t>
            </w:r>
          </w:p>
          <w:p>
            <w:pPr>
              <w:rPr>
                <w:rFonts w:ascii="宋体" w:hAnsi="宋体" w:cs="宋体"/>
                <w:color w:val="000000"/>
                <w:sz w:val="24"/>
                <w:szCs w:val="24"/>
              </w:rPr>
            </w:pPr>
            <w:r>
              <w:rPr>
                <w:rFonts w:hint="eastAsia" w:ascii="宋体" w:hAnsi="宋体" w:cs="宋体"/>
                <w:color w:val="000000"/>
                <w:sz w:val="24"/>
                <w:szCs w:val="24"/>
              </w:rPr>
              <w:t xml:space="preserve">★产品支持对请求报文头的X-Forward-For字段检测，并对非法源IP进行日志记录和联动封锁。（需提供产品功能截图证明） </w:t>
            </w:r>
          </w:p>
        </w:tc>
      </w:tr>
    </w:tbl>
    <w:p>
      <w:pPr>
        <w:rPr>
          <w:rFonts w:asciiTheme="minorEastAsia" w:hAnsiTheme="minorEastAsia" w:eastAsiaTheme="minorEastAsia"/>
          <w:b/>
          <w:bCs/>
          <w:sz w:val="28"/>
          <w:szCs w:val="28"/>
        </w:rPr>
      </w:pPr>
    </w:p>
    <w:p>
      <w:pPr>
        <w:pStyle w:val="2"/>
      </w:pPr>
    </w:p>
    <w:p/>
    <w:p>
      <w:pPr>
        <w:pStyle w:val="2"/>
        <w:rPr>
          <w:rFonts w:hint="eastAsia"/>
        </w:rPr>
      </w:pPr>
    </w:p>
    <w:p>
      <w:pPr>
        <w:rPr>
          <w:rFonts w:hint="eastAsia"/>
        </w:rPr>
      </w:pPr>
    </w:p>
    <w:p>
      <w:pPr>
        <w:pStyle w:val="2"/>
      </w:pP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2、入侵防御系统（IPS）</w:t>
      </w:r>
    </w:p>
    <w:tbl>
      <w:tblPr>
        <w:tblStyle w:val="33"/>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6" w:type="dxa"/>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技术指标</w:t>
            </w:r>
          </w:p>
        </w:tc>
        <w:tc>
          <w:tcPr>
            <w:tcW w:w="8221" w:type="dxa"/>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46" w:type="dxa"/>
            <w:vMerge w:val="restart"/>
            <w:vAlign w:val="center"/>
          </w:tcPr>
          <w:p>
            <w:pPr>
              <w:snapToGrid w:val="0"/>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配置要求</w:t>
            </w:r>
          </w:p>
        </w:tc>
        <w:tc>
          <w:tcPr>
            <w:tcW w:w="8221" w:type="dxa"/>
          </w:tcPr>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rPr>
              <w:t>网络层吞吐量≥20Gbps，并发连接数≥220W，新建连接数≥15W；硬件指标：1u不少于6个千兆电口，2个万兆光口，含2个高速USB2.0接口，1个RJ45串口；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46" w:type="dxa"/>
            <w:vMerge w:val="continue"/>
            <w:vAlign w:val="center"/>
          </w:tcPr>
          <w:p>
            <w:pPr>
              <w:snapToGrid w:val="0"/>
              <w:jc w:val="center"/>
              <w:rPr>
                <w:rFonts w:cs="宋体" w:asciiTheme="minorEastAsia" w:hAnsiTheme="minorEastAsia" w:eastAsiaTheme="minorEastAsia"/>
                <w:b/>
                <w:color w:val="000000"/>
                <w:sz w:val="24"/>
                <w:szCs w:val="24"/>
              </w:rPr>
            </w:pPr>
          </w:p>
        </w:tc>
        <w:tc>
          <w:tcPr>
            <w:tcW w:w="8221" w:type="dxa"/>
          </w:tcPr>
          <w:p>
            <w:pPr>
              <w:snapToGrid w:val="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产品采用多核并行处理架构，提供中国信息安全测评中心、公安部信息安全产品检测中心、中国软件评测中心、国家版权局之中任意一家机构出具的关于“多核并行安全操作系统”的证书或测试报告。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46" w:type="dxa"/>
            <w:vAlign w:val="center"/>
          </w:tcPr>
          <w:p>
            <w:pPr>
              <w:snapToGrid w:val="0"/>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部署方式</w:t>
            </w:r>
          </w:p>
        </w:tc>
        <w:tc>
          <w:tcPr>
            <w:tcW w:w="8221" w:type="dxa"/>
          </w:tcPr>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支持透明网桥部署、旁路部署、单臂部署以及混合部署等多种方式</w:t>
            </w:r>
            <w:r>
              <w:rPr>
                <w:rFonts w:hint="eastAsia" w:cs="宋体" w:asciiTheme="minorEastAsia" w:hAnsiTheme="minorEastAsia" w:eastAsiaTheme="minorEastAsia"/>
                <w:color w:val="000000"/>
                <w:sz w:val="24"/>
                <w:szCs w:val="24"/>
                <w:lang w:val="zh-TW"/>
              </w:rPr>
              <w:t>，</w:t>
            </w:r>
            <w:r>
              <w:rPr>
                <w:rFonts w:hint="eastAsia" w:ascii="宋体" w:hAnsi="宋体" w:cs="宋体"/>
                <w:color w:val="000000"/>
                <w:sz w:val="24"/>
                <w:szCs w:val="24"/>
              </w:rPr>
              <w:t>必须与现有互联网IPS系统双机热备（需提供相关功能截图证明并加盖厂商公章）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46" w:type="dxa"/>
            <w:vAlign w:val="center"/>
          </w:tcPr>
          <w:p>
            <w:pPr>
              <w:snapToGrid w:val="0"/>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网络特性</w:t>
            </w:r>
          </w:p>
        </w:tc>
        <w:tc>
          <w:tcPr>
            <w:tcW w:w="8221" w:type="dxa"/>
          </w:tcPr>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 xml:space="preserve">支持802.1Q VLAN Trunk、access接口类型，VLAN三层接口和子接口；             </w:t>
            </w:r>
          </w:p>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支持链路聚合功能，可将多条物理链路聚合成一条带宽更高的逻辑链路使用；</w:t>
            </w:r>
          </w:p>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支持端口联动功能，当上行/下行端口链路出现故障时，对应的另一端下行/上行端口自动切断链路；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46" w:type="dxa"/>
            <w:vAlign w:val="center"/>
          </w:tcPr>
          <w:p>
            <w:pPr>
              <w:snapToGrid w:val="0"/>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路由支持</w:t>
            </w:r>
          </w:p>
        </w:tc>
        <w:tc>
          <w:tcPr>
            <w:tcW w:w="8221" w:type="dxa"/>
          </w:tcPr>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支持静态路由协议；支持OSPF动态路由协议；支持路由异常告警功能；支持DHCP中继；</w:t>
            </w:r>
          </w:p>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★支持多链路出站负载，支持基于源/目的IP、源/目的端口、协议、ISP、应用类型以及国家地域来进行选路的策略路由选路功能；（需提供相关功能截图证明并加盖厂商公章）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446" w:type="dxa"/>
            <w:vAlign w:val="center"/>
          </w:tcPr>
          <w:p>
            <w:pPr>
              <w:snapToGrid w:val="0"/>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基础功能</w:t>
            </w:r>
          </w:p>
        </w:tc>
        <w:tc>
          <w:tcPr>
            <w:tcW w:w="8221" w:type="dxa"/>
          </w:tcPr>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支持连接会话展示，可针对具体的IP地址进行会话详情查询，支持封锁异常会话信息，并支持设置监听具体IP的会话记录；</w:t>
            </w:r>
          </w:p>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访问控制规则支持基于源／目的IP，源端口，源／目的区域，用户（组），应用/服务类型，时间组的细化控制方式；</w:t>
            </w:r>
          </w:p>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 xml:space="preserve">★访问控制规则支持基于源／目的IP，源端口，源／目的区域，用户（组），应用/服务类型，时间组的细化控制方式，支持长连接功能并可以配置连接时长；（需提供相关功能截图证明） </w:t>
            </w:r>
          </w:p>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 xml:space="preserve">★访问控制规则支持数据模拟匹配，输入源目的IP、端口、协议五元组信息，模拟策略匹配方式，给出最可能的匹配结果，方便排查故障，或环境部署前的调试；（需提供相关功能截图证明）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446" w:type="dxa"/>
            <w:vAlign w:val="center"/>
          </w:tcPr>
          <w:p>
            <w:pPr>
              <w:snapToGrid w:val="0"/>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入侵防护功能</w:t>
            </w:r>
          </w:p>
        </w:tc>
        <w:tc>
          <w:tcPr>
            <w:tcW w:w="8221" w:type="dxa"/>
          </w:tcPr>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设备具备独立的入侵防护漏洞规则特征库，特征总数在7000条以上； （需提供相关功能截图证明）</w:t>
            </w:r>
          </w:p>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支持对服务器和客户端的漏洞攻击防护，支持XSS攻击、SQL注入等WEB攻击行为进行有效防护；</w:t>
            </w:r>
          </w:p>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支持对常见应用服务（FTP、SSH、SMTP、IMAP、POP3、 RDP、Rlogin、SMB、Telnet、Weblogic、VNC）和数据库软件（MySQL、Oracle、MSSQL）的口令暴力破解防护功能；</w:t>
            </w:r>
          </w:p>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支持间谍软件、后门、蠕虫等恶意软件防护；</w:t>
            </w:r>
          </w:p>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★支持同访问控制规则进行联动，可以针对检测到的攻击源IP进行联动封锁，支持自定义封锁时间；（需提供相关功能截图证明）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446" w:type="dxa"/>
            <w:vAlign w:val="center"/>
          </w:tcPr>
          <w:p>
            <w:pPr>
              <w:snapToGrid w:val="0"/>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僵尸主机检测</w:t>
            </w:r>
          </w:p>
        </w:tc>
        <w:tc>
          <w:tcPr>
            <w:tcW w:w="8221" w:type="dxa"/>
          </w:tcPr>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设备具备独立的热门威胁库，支持木马、勒索软件、蠕虫、挖矿病毒等种类，特征总数在60万条以上；（需提供相关功能截图证明）</w:t>
            </w:r>
          </w:p>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★支持木马远控类、恶意链接类、移动安全类、异常流量类僵尸网络行为的检测；（需提供相关功能截图证明）</w:t>
            </w:r>
          </w:p>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★支持恶意域名重定向功能，用于DNS代理服务器场景下定位内网感染僵尸网络病毒的真实主机IP地址；（需提供相关功能截图证明）</w:t>
            </w:r>
          </w:p>
        </w:tc>
      </w:tr>
    </w:tbl>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3、服务器密码机</w:t>
      </w:r>
    </w:p>
    <w:tbl>
      <w:tblPr>
        <w:tblStyle w:val="3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60" w:type="dxa"/>
            <w:shd w:val="clear" w:color="auto" w:fill="FFFFFF" w:themeFill="background1"/>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指标项</w:t>
            </w:r>
          </w:p>
        </w:tc>
        <w:tc>
          <w:tcPr>
            <w:tcW w:w="7479" w:type="dxa"/>
            <w:shd w:val="clear" w:color="auto" w:fill="FFFFFF" w:themeFill="background1"/>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60" w:type="dxa"/>
            <w:vAlign w:val="center"/>
          </w:tcPr>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硬件规格</w:t>
            </w:r>
          </w:p>
        </w:tc>
        <w:tc>
          <w:tcPr>
            <w:tcW w:w="7479" w:type="dxa"/>
            <w:vAlign w:val="center"/>
          </w:tcPr>
          <w:p>
            <w:pPr>
              <w:snapToGrid w:val="0"/>
              <w:jc w:val="left"/>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标准机架式硬件设备。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60" w:type="dxa"/>
            <w:vAlign w:val="center"/>
          </w:tcPr>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接口要求</w:t>
            </w:r>
          </w:p>
        </w:tc>
        <w:tc>
          <w:tcPr>
            <w:tcW w:w="7479" w:type="dxa"/>
            <w:vAlign w:val="center"/>
          </w:tcPr>
          <w:p>
            <w:pPr>
              <w:widowControl/>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≥2个100/1000M自适应网。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60" w:type="dxa"/>
            <w:vMerge w:val="restart"/>
            <w:vAlign w:val="center"/>
          </w:tcPr>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性能要求</w:t>
            </w:r>
          </w:p>
        </w:tc>
        <w:tc>
          <w:tcPr>
            <w:tcW w:w="7479" w:type="dxa"/>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cs="宋体" w:asciiTheme="minorEastAsia" w:hAnsiTheme="minorEastAsia" w:eastAsiaTheme="minorEastAsia"/>
                <w:color w:val="000000"/>
                <w:sz w:val="24"/>
                <w:szCs w:val="24"/>
                <w:lang w:val="zh-TW" w:eastAsia="zh-TW"/>
              </w:rPr>
              <w:t>SM2算法</w:t>
            </w:r>
            <w:r>
              <w:rPr>
                <w:rFonts w:hint="eastAsia" w:cs="宋体" w:asciiTheme="minorEastAsia" w:hAnsiTheme="minorEastAsia" w:eastAsiaTheme="minorEastAsia"/>
                <w:color w:val="000000"/>
                <w:sz w:val="24"/>
                <w:szCs w:val="24"/>
                <w:lang w:val="zh-TW" w:eastAsia="zh-TW"/>
              </w:rPr>
              <w:t>：</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加密速度：≥</w:t>
            </w:r>
            <w:r>
              <w:rPr>
                <w:rFonts w:cs="宋体" w:asciiTheme="minorEastAsia" w:hAnsiTheme="minorEastAsia" w:eastAsiaTheme="minorEastAsia"/>
                <w:color w:val="000000"/>
                <w:sz w:val="24"/>
                <w:szCs w:val="24"/>
                <w:lang w:val="zh-TW" w:eastAsia="zh-TW"/>
              </w:rPr>
              <w:t>28000</w:t>
            </w:r>
            <w:r>
              <w:rPr>
                <w:rFonts w:hint="eastAsia" w:cs="宋体" w:asciiTheme="minorEastAsia" w:hAnsiTheme="minorEastAsia" w:eastAsiaTheme="minorEastAsia"/>
                <w:color w:val="000000"/>
                <w:sz w:val="24"/>
                <w:szCs w:val="24"/>
                <w:lang w:val="zh-TW" w:eastAsia="zh-TW"/>
              </w:rPr>
              <w:t>次/秒；解密速度：≥</w:t>
            </w:r>
            <w:r>
              <w:rPr>
                <w:rFonts w:cs="宋体" w:asciiTheme="minorEastAsia" w:hAnsiTheme="minorEastAsia" w:eastAsiaTheme="minorEastAsia"/>
                <w:color w:val="000000"/>
                <w:sz w:val="24"/>
                <w:szCs w:val="24"/>
                <w:lang w:val="zh-TW" w:eastAsia="zh-TW"/>
              </w:rPr>
              <w:t>460</w:t>
            </w:r>
            <w:r>
              <w:rPr>
                <w:rFonts w:hint="eastAsia" w:cs="宋体" w:asciiTheme="minorEastAsia" w:hAnsiTheme="minorEastAsia" w:eastAsiaTheme="minorEastAsia"/>
                <w:color w:val="000000"/>
                <w:sz w:val="24"/>
                <w:szCs w:val="24"/>
                <w:lang w:val="zh-TW" w:eastAsia="zh-TW"/>
              </w:rPr>
              <w:t>00次/秒；</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签名速度：≥</w:t>
            </w:r>
            <w:r>
              <w:rPr>
                <w:rFonts w:cs="宋体" w:asciiTheme="minorEastAsia" w:hAnsiTheme="minorEastAsia" w:eastAsiaTheme="minorEastAsia"/>
                <w:color w:val="000000"/>
                <w:sz w:val="24"/>
                <w:szCs w:val="24"/>
                <w:lang w:val="zh-TW" w:eastAsia="zh-TW"/>
              </w:rPr>
              <w:t>560</w:t>
            </w:r>
            <w:r>
              <w:rPr>
                <w:rFonts w:hint="eastAsia" w:cs="宋体" w:asciiTheme="minorEastAsia" w:hAnsiTheme="minorEastAsia" w:eastAsiaTheme="minorEastAsia"/>
                <w:color w:val="000000"/>
                <w:sz w:val="24"/>
                <w:szCs w:val="24"/>
                <w:lang w:val="zh-TW" w:eastAsia="zh-TW"/>
              </w:rPr>
              <w:t>00次/秒；验签速度：≥</w:t>
            </w:r>
            <w:r>
              <w:rPr>
                <w:rFonts w:cs="宋体" w:asciiTheme="minorEastAsia" w:hAnsiTheme="minorEastAsia" w:eastAsiaTheme="minorEastAsia"/>
                <w:color w:val="000000"/>
                <w:sz w:val="24"/>
                <w:szCs w:val="24"/>
                <w:lang w:val="zh-TW" w:eastAsia="zh-TW"/>
              </w:rPr>
              <w:t>410</w:t>
            </w:r>
            <w:r>
              <w:rPr>
                <w:rFonts w:hint="eastAsia" w:cs="宋体" w:asciiTheme="minorEastAsia" w:hAnsiTheme="minorEastAsia" w:eastAsiaTheme="minorEastAsia"/>
                <w:color w:val="000000"/>
                <w:sz w:val="24"/>
                <w:szCs w:val="24"/>
                <w:lang w:val="zh-TW" w:eastAsia="zh-TW"/>
              </w:rPr>
              <w:t>00次/秒；</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生成密钥：≥</w:t>
            </w:r>
            <w:r>
              <w:rPr>
                <w:rFonts w:cs="宋体" w:asciiTheme="minorEastAsia" w:hAnsiTheme="minorEastAsia" w:eastAsiaTheme="minorEastAsia"/>
                <w:color w:val="000000"/>
                <w:sz w:val="24"/>
                <w:szCs w:val="24"/>
                <w:lang w:val="zh-TW" w:eastAsia="zh-TW"/>
              </w:rPr>
              <w:t>560</w:t>
            </w:r>
            <w:r>
              <w:rPr>
                <w:rFonts w:hint="eastAsia" w:cs="宋体" w:asciiTheme="minorEastAsia" w:hAnsiTheme="minorEastAsia" w:eastAsiaTheme="minorEastAsia"/>
                <w:color w:val="000000"/>
                <w:sz w:val="24"/>
                <w:szCs w:val="24"/>
                <w:lang w:val="zh-TW" w:eastAsia="zh-TW"/>
              </w:rPr>
              <w:t>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60" w:type="dxa"/>
            <w:vMerge w:val="continue"/>
            <w:vAlign w:val="center"/>
          </w:tcPr>
          <w:p>
            <w:pPr>
              <w:snapToGrid w:val="0"/>
              <w:rPr>
                <w:rFonts w:cs="宋体" w:asciiTheme="minorEastAsia" w:hAnsiTheme="minorEastAsia" w:eastAsiaTheme="minorEastAsia"/>
                <w:color w:val="000000"/>
                <w:sz w:val="24"/>
                <w:szCs w:val="24"/>
                <w:lang w:val="zh-TW" w:eastAsia="zh-TW"/>
              </w:rPr>
            </w:pPr>
          </w:p>
        </w:tc>
        <w:tc>
          <w:tcPr>
            <w:tcW w:w="7479" w:type="dxa"/>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cs="宋体" w:asciiTheme="minorEastAsia" w:hAnsiTheme="minorEastAsia" w:eastAsiaTheme="minorEastAsia"/>
                <w:color w:val="000000"/>
                <w:sz w:val="24"/>
                <w:szCs w:val="24"/>
                <w:lang w:val="zh-TW" w:eastAsia="zh-TW"/>
              </w:rPr>
              <w:t>2048位RSA</w:t>
            </w:r>
            <w:r>
              <w:rPr>
                <w:rFonts w:hint="eastAsia" w:cs="宋体" w:asciiTheme="minorEastAsia" w:hAnsiTheme="minorEastAsia" w:eastAsiaTheme="minorEastAsia"/>
                <w:color w:val="000000"/>
                <w:sz w:val="24"/>
                <w:szCs w:val="24"/>
                <w:lang w:val="zh-TW" w:eastAsia="zh-TW"/>
              </w:rPr>
              <w:t>算法：</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cs="宋体" w:asciiTheme="minorEastAsia" w:hAnsiTheme="minorEastAsia" w:eastAsiaTheme="minorEastAsia"/>
                <w:color w:val="000000"/>
                <w:sz w:val="24"/>
                <w:szCs w:val="24"/>
                <w:lang w:val="zh-TW" w:eastAsia="zh-TW"/>
              </w:rPr>
              <w:t>密钥对生成速度</w:t>
            </w:r>
            <w:r>
              <w:rPr>
                <w:rFonts w:hint="eastAsia" w:cs="宋体" w:asciiTheme="minorEastAsia" w:hAnsiTheme="minorEastAsia" w:eastAsiaTheme="minorEastAsia"/>
                <w:color w:val="000000"/>
                <w:sz w:val="24"/>
                <w:szCs w:val="24"/>
                <w:lang w:val="zh-TW" w:eastAsia="zh-TW"/>
              </w:rPr>
              <w:t>：≥</w:t>
            </w:r>
            <w:r>
              <w:rPr>
                <w:rFonts w:cs="宋体" w:asciiTheme="minorEastAsia" w:hAnsiTheme="minorEastAsia" w:eastAsiaTheme="minorEastAsia"/>
                <w:color w:val="000000"/>
                <w:sz w:val="24"/>
                <w:szCs w:val="24"/>
                <w:lang w:val="zh-TW" w:eastAsia="zh-TW"/>
              </w:rPr>
              <w:t>20</w:t>
            </w:r>
            <w:r>
              <w:rPr>
                <w:rFonts w:hint="eastAsia" w:cs="宋体" w:asciiTheme="minorEastAsia" w:hAnsiTheme="minorEastAsia" w:eastAsiaTheme="minorEastAsia"/>
                <w:color w:val="000000"/>
                <w:sz w:val="24"/>
                <w:szCs w:val="24"/>
                <w:lang w:val="zh-TW" w:eastAsia="zh-TW"/>
              </w:rPr>
              <w:t>对/秒</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签名</w:t>
            </w:r>
            <w:r>
              <w:rPr>
                <w:rFonts w:cs="宋体" w:asciiTheme="minorEastAsia" w:hAnsiTheme="minorEastAsia" w:eastAsiaTheme="minorEastAsia"/>
                <w:color w:val="000000"/>
                <w:sz w:val="24"/>
                <w:szCs w:val="24"/>
                <w:lang w:val="zh-TW" w:eastAsia="zh-TW"/>
              </w:rPr>
              <w:t>速度</w:t>
            </w:r>
            <w:r>
              <w:rPr>
                <w:rFonts w:hint="eastAsia" w:cs="宋体" w:asciiTheme="minorEastAsia" w:hAnsiTheme="minorEastAsia" w:eastAsiaTheme="minorEastAsia"/>
                <w:color w:val="000000"/>
                <w:sz w:val="24"/>
                <w:szCs w:val="24"/>
                <w:lang w:val="zh-TW" w:eastAsia="zh-TW"/>
              </w:rPr>
              <w:t>：≥</w:t>
            </w:r>
            <w:r>
              <w:rPr>
                <w:rFonts w:cs="宋体" w:asciiTheme="minorEastAsia" w:hAnsiTheme="minorEastAsia" w:eastAsiaTheme="minorEastAsia"/>
                <w:color w:val="000000"/>
                <w:sz w:val="24"/>
                <w:szCs w:val="24"/>
                <w:lang w:val="zh-TW" w:eastAsia="zh-TW"/>
              </w:rPr>
              <w:t>75</w:t>
            </w:r>
            <w:r>
              <w:rPr>
                <w:rFonts w:hint="eastAsia" w:cs="宋体" w:asciiTheme="minorEastAsia" w:hAnsiTheme="minorEastAsia" w:eastAsiaTheme="minorEastAsia"/>
                <w:color w:val="000000"/>
                <w:sz w:val="24"/>
                <w:szCs w:val="24"/>
                <w:lang w:val="zh-TW" w:eastAsia="zh-TW"/>
              </w:rPr>
              <w:t>0次/秒</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验证</w:t>
            </w:r>
            <w:r>
              <w:rPr>
                <w:rFonts w:cs="宋体" w:asciiTheme="minorEastAsia" w:hAnsiTheme="minorEastAsia" w:eastAsiaTheme="minorEastAsia"/>
                <w:color w:val="000000"/>
                <w:sz w:val="24"/>
                <w:szCs w:val="24"/>
                <w:lang w:val="zh-TW" w:eastAsia="zh-TW"/>
              </w:rPr>
              <w:t>速度</w:t>
            </w:r>
            <w:r>
              <w:rPr>
                <w:rFonts w:hint="eastAsia" w:cs="宋体" w:asciiTheme="minorEastAsia" w:hAnsiTheme="minorEastAsia" w:eastAsiaTheme="minorEastAsia"/>
                <w:color w:val="000000"/>
                <w:sz w:val="24"/>
                <w:szCs w:val="24"/>
                <w:lang w:val="zh-TW" w:eastAsia="zh-TW"/>
              </w:rPr>
              <w:t>：≥</w:t>
            </w:r>
            <w:r>
              <w:rPr>
                <w:rFonts w:cs="宋体" w:asciiTheme="minorEastAsia" w:hAnsiTheme="minorEastAsia" w:eastAsiaTheme="minorEastAsia"/>
                <w:color w:val="000000"/>
                <w:sz w:val="24"/>
                <w:szCs w:val="24"/>
                <w:lang w:val="zh-TW" w:eastAsia="zh-TW"/>
              </w:rPr>
              <w:t>295</w:t>
            </w:r>
            <w:r>
              <w:rPr>
                <w:rFonts w:hint="eastAsia" w:cs="宋体" w:asciiTheme="minorEastAsia" w:hAnsiTheme="minorEastAsia" w:eastAsiaTheme="minorEastAsia"/>
                <w:color w:val="000000"/>
                <w:sz w:val="24"/>
                <w:szCs w:val="24"/>
                <w:lang w:val="zh-TW" w:eastAsia="zh-TW"/>
              </w:rPr>
              <w:t>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60" w:type="dxa"/>
            <w:vMerge w:val="continue"/>
            <w:vAlign w:val="center"/>
          </w:tcPr>
          <w:p>
            <w:pPr>
              <w:snapToGrid w:val="0"/>
              <w:rPr>
                <w:rFonts w:cs="宋体" w:asciiTheme="minorEastAsia" w:hAnsiTheme="minorEastAsia" w:eastAsiaTheme="minorEastAsia"/>
                <w:color w:val="000000"/>
                <w:sz w:val="24"/>
                <w:szCs w:val="24"/>
                <w:lang w:val="zh-TW" w:eastAsia="zh-TW"/>
              </w:rPr>
            </w:pPr>
          </w:p>
        </w:tc>
        <w:tc>
          <w:tcPr>
            <w:tcW w:w="7479" w:type="dxa"/>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cs="宋体" w:asciiTheme="minorEastAsia" w:hAnsiTheme="minorEastAsia" w:eastAsiaTheme="minorEastAsia"/>
                <w:color w:val="000000"/>
                <w:sz w:val="24"/>
                <w:szCs w:val="24"/>
                <w:lang w:val="zh-TW" w:eastAsia="zh-TW"/>
              </w:rPr>
              <w:t>SM1算法</w:t>
            </w:r>
            <w:r>
              <w:rPr>
                <w:rFonts w:hint="eastAsia" w:cs="宋体" w:asciiTheme="minorEastAsia" w:hAnsiTheme="minorEastAsia" w:eastAsiaTheme="minorEastAsia"/>
                <w:color w:val="000000"/>
                <w:sz w:val="24"/>
                <w:szCs w:val="24"/>
                <w:lang w:val="zh-TW" w:eastAsia="zh-TW"/>
              </w:rPr>
              <w:t>加解密</w:t>
            </w:r>
            <w:r>
              <w:rPr>
                <w:rFonts w:cs="宋体" w:asciiTheme="minorEastAsia" w:hAnsiTheme="minorEastAsia" w:eastAsiaTheme="minorEastAsia"/>
                <w:color w:val="000000"/>
                <w:sz w:val="24"/>
                <w:szCs w:val="24"/>
                <w:lang w:val="zh-TW" w:eastAsia="zh-TW"/>
              </w:rPr>
              <w:t>速度</w:t>
            </w:r>
            <w:r>
              <w:rPr>
                <w:rFonts w:hint="eastAsia" w:cs="宋体" w:asciiTheme="minorEastAsia" w:hAnsiTheme="minorEastAsia" w:eastAsiaTheme="minorEastAsia"/>
                <w:color w:val="000000"/>
                <w:sz w:val="24"/>
                <w:szCs w:val="24"/>
                <w:lang w:val="zh-TW" w:eastAsia="zh-TW"/>
              </w:rPr>
              <w:t>：900Mbps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60" w:type="dxa"/>
            <w:vMerge w:val="continue"/>
            <w:vAlign w:val="center"/>
          </w:tcPr>
          <w:p>
            <w:pPr>
              <w:snapToGrid w:val="0"/>
              <w:rPr>
                <w:rFonts w:cs="宋体" w:asciiTheme="minorEastAsia" w:hAnsiTheme="minorEastAsia" w:eastAsiaTheme="minorEastAsia"/>
                <w:color w:val="000000"/>
                <w:sz w:val="24"/>
                <w:szCs w:val="24"/>
                <w:lang w:val="zh-TW" w:eastAsia="zh-TW"/>
              </w:rPr>
            </w:pPr>
          </w:p>
        </w:tc>
        <w:tc>
          <w:tcPr>
            <w:tcW w:w="7479" w:type="dxa"/>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SM4算法加解密速度：≥90</w:t>
            </w:r>
            <w:r>
              <w:rPr>
                <w:rFonts w:cs="宋体" w:asciiTheme="minorEastAsia" w:hAnsiTheme="minorEastAsia" w:eastAsiaTheme="minorEastAsia"/>
                <w:color w:val="000000"/>
                <w:sz w:val="24"/>
                <w:szCs w:val="24"/>
                <w:lang w:val="zh-TW" w:eastAsia="zh-TW"/>
              </w:rPr>
              <w:t>0M</w:t>
            </w:r>
            <w:r>
              <w:rPr>
                <w:rFonts w:hint="eastAsia" w:cs="宋体" w:asciiTheme="minorEastAsia" w:hAnsiTheme="minorEastAsia" w:eastAsiaTheme="minorEastAsia"/>
                <w:color w:val="000000"/>
                <w:sz w:val="24"/>
                <w:szCs w:val="24"/>
                <w:lang w:val="zh-TW" w:eastAsia="zh-TW"/>
              </w:rPr>
              <w: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60" w:type="dxa"/>
            <w:vMerge w:val="continue"/>
            <w:vAlign w:val="center"/>
          </w:tcPr>
          <w:p>
            <w:pPr>
              <w:snapToGrid w:val="0"/>
              <w:rPr>
                <w:rFonts w:cs="宋体" w:asciiTheme="minorEastAsia" w:hAnsiTheme="minorEastAsia" w:eastAsiaTheme="minorEastAsia"/>
                <w:color w:val="000000"/>
                <w:sz w:val="24"/>
                <w:szCs w:val="24"/>
                <w:lang w:val="zh-TW" w:eastAsia="zh-TW"/>
              </w:rPr>
            </w:pPr>
          </w:p>
        </w:tc>
        <w:tc>
          <w:tcPr>
            <w:tcW w:w="7479" w:type="dxa"/>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SM3杂凑算法：≥</w:t>
            </w:r>
            <w:r>
              <w:rPr>
                <w:rFonts w:cs="宋体" w:asciiTheme="minorEastAsia" w:hAnsiTheme="minorEastAsia" w:eastAsiaTheme="minorEastAsia"/>
                <w:color w:val="000000"/>
                <w:sz w:val="24"/>
                <w:szCs w:val="24"/>
                <w:lang w:val="zh-TW" w:eastAsia="zh-TW"/>
              </w:rPr>
              <w:t>9</w:t>
            </w:r>
            <w:r>
              <w:rPr>
                <w:rFonts w:hint="eastAsia" w:cs="宋体" w:asciiTheme="minorEastAsia" w:hAnsiTheme="minorEastAsia" w:eastAsiaTheme="minorEastAsia"/>
                <w:color w:val="000000"/>
                <w:sz w:val="24"/>
                <w:szCs w:val="24"/>
                <w:lang w:val="zh-TW" w:eastAsia="zh-TW"/>
              </w:rPr>
              <w:t>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60" w:type="dxa"/>
            <w:vMerge w:val="continue"/>
            <w:vAlign w:val="center"/>
          </w:tcPr>
          <w:p>
            <w:pPr>
              <w:snapToGrid w:val="0"/>
              <w:rPr>
                <w:rFonts w:cs="宋体" w:asciiTheme="minorEastAsia" w:hAnsiTheme="minorEastAsia" w:eastAsiaTheme="minorEastAsia"/>
                <w:color w:val="000000"/>
                <w:sz w:val="24"/>
                <w:szCs w:val="24"/>
                <w:lang w:val="zh-TW" w:eastAsia="zh-TW"/>
              </w:rPr>
            </w:pPr>
          </w:p>
        </w:tc>
        <w:tc>
          <w:tcPr>
            <w:tcW w:w="7479" w:type="dxa"/>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随机数生成：≥2.5Mbps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6" w:hRule="atLeast"/>
        </w:trPr>
        <w:tc>
          <w:tcPr>
            <w:tcW w:w="1560" w:type="dxa"/>
            <w:vAlign w:val="center"/>
          </w:tcPr>
          <w:p>
            <w:pPr>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功能要求</w:t>
            </w:r>
          </w:p>
        </w:tc>
        <w:tc>
          <w:tcPr>
            <w:tcW w:w="7479" w:type="dxa"/>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对称密钥加/解密：提供国家标准的SM1算法和SM4算法，用于数据的加解密；支持ECB、CBC、OFB、CFB4种工作模式。</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支持多机热备和负载均衡；</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采用分级权限管理，管理人员身份凭证信息安全存储在USBKEY中。</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支持B/S和C/S两种设备配置管理方式。</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支持用户证书数据存储。</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支持用户自定义数据存储。</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★支持通过SNMP协议监控设备状态，反馈服务器密码机处理业务数量、当前业务并发连接数、CPU利用率、内存利用率。（提供功能截图证明）</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★支持keystore的配置和管理功能。（提供功能截图证明）</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★支持设备网口配置管理功能，可将网口设置为仅用于管理、仅用于提供服务或兼容三种状态。（提供功能截图证明）</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★支持多版本密钥数据备份恢复功能。（提供功能截图证明）</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★支持白名单功能。（提供功能截图证明）</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★采用密码技术对服务器密码机的日志进行完整性保护。（提供功能截图证明）</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支持指定算法类型、密钥号等信息，自动生成P10申请，以文件方式导出。</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支持P12证书生成、导入功能。</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支持密钥批处理功能，通过设置密钥号起止位置等信息，批量生成或删除密钥对。</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支持单个公钥导出功能。</w:t>
            </w:r>
          </w:p>
        </w:tc>
      </w:tr>
    </w:tbl>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4、数据库网关加密</w:t>
      </w:r>
    </w:p>
    <w:tbl>
      <w:tblPr>
        <w:tblStyle w:val="34"/>
        <w:tblW w:w="9419"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340" w:type="dxa"/>
            <w:shd w:val="clear" w:color="auto" w:fill="FFFFFF" w:themeFill="background1"/>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指标项</w:t>
            </w:r>
          </w:p>
        </w:tc>
        <w:tc>
          <w:tcPr>
            <w:tcW w:w="8079" w:type="dxa"/>
            <w:shd w:val="clear" w:color="auto" w:fill="FFFFFF" w:themeFill="background1"/>
            <w:vAlign w:val="center"/>
          </w:tcPr>
          <w:p>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0"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部署方式</w:t>
            </w:r>
          </w:p>
        </w:tc>
        <w:tc>
          <w:tcPr>
            <w:tcW w:w="8079" w:type="dxa"/>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支持旁路；</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支持加密设备分布式部署，提升整体加密处理性能；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性能要求</w:t>
            </w:r>
          </w:p>
        </w:tc>
        <w:tc>
          <w:tcPr>
            <w:tcW w:w="8079" w:type="dxa"/>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支持千万级表加密；</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实时加解密性能最高可达</w:t>
            </w:r>
            <w:r>
              <w:rPr>
                <w:rFonts w:cs="宋体" w:asciiTheme="minorEastAsia" w:hAnsiTheme="minorEastAsia" w:eastAsiaTheme="minorEastAsia"/>
                <w:color w:val="000000"/>
                <w:kern w:val="2"/>
                <w:sz w:val="24"/>
                <w:szCs w:val="24"/>
                <w:lang w:val="zh-TW" w:eastAsia="zh-TW"/>
              </w:rPr>
              <w:t>2</w:t>
            </w:r>
            <w:r>
              <w:rPr>
                <w:rFonts w:hint="eastAsia" w:cs="宋体" w:asciiTheme="minorEastAsia" w:hAnsiTheme="minorEastAsia" w:eastAsiaTheme="minorEastAsia"/>
                <w:color w:val="000000"/>
                <w:kern w:val="2"/>
                <w:sz w:val="24"/>
                <w:szCs w:val="24"/>
                <w:lang w:val="zh-TW" w:eastAsia="zh-TW"/>
              </w:rPr>
              <w:t>0000行/秒；</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支持对数据库表中指定行指定加密算法加密方式；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数据库兼容性支持</w:t>
            </w:r>
          </w:p>
        </w:tc>
        <w:tc>
          <w:tcPr>
            <w:tcW w:w="8079" w:type="dxa"/>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★支持：Oracle、SQLServer、MySQL、PostgreSQL、达梦、人大金仓、南大通用，浪潮KDB，GaussDB、DB2、</w:t>
            </w:r>
            <w:r>
              <w:rPr>
                <w:rFonts w:cs="宋体" w:asciiTheme="minorEastAsia" w:hAnsiTheme="minorEastAsia" w:eastAsiaTheme="minorEastAsia"/>
                <w:color w:val="000000"/>
                <w:kern w:val="2"/>
                <w:sz w:val="24"/>
                <w:szCs w:val="24"/>
                <w:lang w:val="zh-TW" w:eastAsia="zh-TW"/>
              </w:rPr>
              <w:t>RDS</w:t>
            </w:r>
            <w:r>
              <w:rPr>
                <w:rFonts w:hint="eastAsia" w:cs="宋体" w:asciiTheme="minorEastAsia" w:hAnsiTheme="minorEastAsia" w:eastAsiaTheme="minorEastAsia"/>
                <w:color w:val="000000"/>
                <w:kern w:val="2"/>
                <w:sz w:val="24"/>
                <w:szCs w:val="24"/>
                <w:lang w:val="zh-TW" w:eastAsia="zh-TW"/>
              </w:rPr>
              <w:t>等多种数据库类型；</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★支持支持vertica、hotdb、D</w:t>
            </w:r>
            <w:r>
              <w:rPr>
                <w:rFonts w:cs="宋体" w:asciiTheme="minorEastAsia" w:hAnsiTheme="minorEastAsia" w:eastAsiaTheme="minorEastAsia"/>
                <w:color w:val="000000"/>
                <w:kern w:val="2"/>
                <w:sz w:val="24"/>
                <w:szCs w:val="24"/>
                <w:lang w:val="zh-TW" w:eastAsia="zh-TW"/>
              </w:rPr>
              <w:t>RDS</w:t>
            </w:r>
            <w:r>
              <w:rPr>
                <w:rFonts w:hint="eastAsia" w:cs="宋体" w:asciiTheme="minorEastAsia" w:hAnsiTheme="minorEastAsia" w:eastAsiaTheme="minorEastAsia"/>
                <w:color w:val="000000"/>
                <w:kern w:val="2"/>
                <w:sz w:val="24"/>
                <w:szCs w:val="24"/>
                <w:lang w:val="zh-TW" w:eastAsia="zh-TW"/>
              </w:rPr>
              <w:t>、等分布式结构数据库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数据源管理</w:t>
            </w:r>
          </w:p>
        </w:tc>
        <w:tc>
          <w:tcPr>
            <w:tcW w:w="8079"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支持数据库的查看、添加、修改、删除；</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支持的主机系统包括（aix、centos,redhat,windows）</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支持对主机四个指标监控（CPU、内存、I/O、网络情况）（提供产品截图）</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支持数据库运行日志配置；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基本功能</w:t>
            </w:r>
          </w:p>
        </w:tc>
        <w:tc>
          <w:tcPr>
            <w:tcW w:w="8079" w:type="dxa"/>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★支持通过国密算法保障重要数据存储阶段的机密性。</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★支持国家密码局的SM1、SM4国密算法；</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支持国际标准算法3DES、AES等；</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★支持HMAC-SM3技术保证加密数据在解密前的完整性，能够识别加密数据是否被篡改</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★支持拓展硬件加密卡生成密钥，密钥在加密卡内不被调出，防止密钥被非授权访问或是篡改</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★支持标准的主密钥、库密钥、列密钥三级密钥管理技术保障密钥安全。</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★应避免在数据库、应用、终端设备安装插件、修改JDBC、劫持数据库进程等方式进行加解密操作。</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★支持基于QRNG技术的密钥源管理，用户可以选择使用常规方式、专用加密卡方式、QRNG方式生成密钥；（提供产品截图）</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支持自定义数据库表、列加解密；不同列选择不同的加密算法和密钥长度。支持盐值加密，能够保证同一明文加密生成不同密文。</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★支持在列加密的基础上扩展成行级加密，每行一个独立密钥，最大程度上保证数据的安全；（提供产品截图）</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★支持密文索引技术，不在索引中泄露敏感数据。</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支持通过web管理页面，对加密系统进行在线升级和回退。</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支持对数据库服务器的CPU、内存、I/O使用情况进行实时展现，保障加密过程的业务连续性。</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支持INT、VARCHAR、VARCHAR2、CHAR、RAW、NUMBER、DATE，LONG， integer， datetime等字段类型数据进行加密。</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支持自定义加密敏感数据列，不同数据列可以采用不同加密算法和密钥。</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支持实时加解密，已有数据加解密。</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支持加密解密队列管理（提供产品截图）</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支持不停机加解密，加密系统上架停机影响控制在分钟级</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发生异常时，支持密文数据秒级快速回滚成明文数据</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支持表空间/数据库级加密</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支持直接对密文表的表结构变更，如新加数据列</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支持对加密任务每批次加密数据行数配置</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★支持使用离线密文恢复工具将密文恢复成明文，防止不可预测原因导致系统宕机后数据库数据不可解密。</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★支持多表联合查询，子查询，嵌套查询，条件查询，组合查询，分组查询等复杂查询语句，对于增删改查操作，SQL语句透明。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访问控制</w:t>
            </w:r>
          </w:p>
        </w:tc>
        <w:tc>
          <w:tcPr>
            <w:tcW w:w="8079"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系统支持独立于数据库以外的授权系统，未经数据库加密系统授权的数据库用户不能读取、插入、修改、删除敏感字段数据；</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数据库加密系统的访问控制与数据库本身的访问控制独立。只经过DBA授权的用户无法以明文形式看到被加密过的数据，同时经过DBA和数据库加密系统联合授权的用户才能以明文形式看到的敏感字段数据。</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支持对数据库指定用户、客户端连接工具、到期时间及ip段授权；</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支持高危语句阻断，防止删库、删表等对数据的破坏性操作</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支持独立的密钥备份和密文还原工具，支持密钥丢失或损坏的情况下对密文进行恢复还原。</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密钥、加密策略可自动备份、手动备份，密钥、策略可备份到FTP</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★支持HA高可用方式部署。支持主、从互备，防止主机故障、网络故障、程序故障引起的业务损失。</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★支持与原有环境中数据库加密系统兼容配置，可实现</w:t>
            </w:r>
            <w:r>
              <w:rPr>
                <w:rFonts w:cs="宋体" w:asciiTheme="minorEastAsia" w:hAnsiTheme="minorEastAsia" w:eastAsiaTheme="minorEastAsia"/>
                <w:color w:val="000000"/>
                <w:kern w:val="2"/>
                <w:sz w:val="24"/>
                <w:szCs w:val="24"/>
                <w:lang w:val="zh-TW" w:eastAsia="zh-TW"/>
              </w:rPr>
              <w:t>HA</w:t>
            </w:r>
            <w:r>
              <w:rPr>
                <w:rFonts w:hint="eastAsia" w:cs="宋体" w:asciiTheme="minorEastAsia" w:hAnsiTheme="minorEastAsia" w:eastAsiaTheme="minorEastAsia"/>
                <w:color w:val="000000"/>
                <w:kern w:val="2"/>
                <w:sz w:val="24"/>
                <w:szCs w:val="24"/>
                <w:lang w:val="zh-TW" w:eastAsia="zh-TW"/>
              </w:rPr>
              <w:t>、主从互备，提升环境稳定性高可用</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支持密文防篡改</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支持密钥旋转，可设定旋转周期</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★支持基于量子密钥分发技术的密钥库管理，支持基于QKD的密钥传输、密钥备份，保证密钥安全。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系统管理</w:t>
            </w:r>
          </w:p>
        </w:tc>
        <w:tc>
          <w:tcPr>
            <w:tcW w:w="8079"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支持ping、tracert、nslookup、telnet的连通性检测。</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支持对系统自身审计，日志内容至少包括：用户名、来源IP、操作时间、操作内容等。</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支持加密过程中在线日志收集，日志种类至少包括：加密系统日志、数据库运行日志，方便巡检维护。</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支持对系统进行升级维护、恢复出厂设置等基础功能。</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支持时间设置、网络地址配置等功能。</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支持查看系统的CPU、内存使用负载。</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支持查看所有网卡的网络流量信息。</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支持查看所有网卡的网络流量信息。</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支持创建、编辑、删除帐号信息，支持帐号与角色关联。</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支持可视化的界面升级、回退操作。</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支持升级进度展示。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系统审计</w:t>
            </w:r>
          </w:p>
        </w:tc>
        <w:tc>
          <w:tcPr>
            <w:tcW w:w="8079"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支持查看系统管理员，安全管理员的操作记录</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包含操作员账号，行为描述，IP来源，操作时间等信息</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支持基于账号，IP，时间等条件的过滤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三权分立</w:t>
            </w:r>
          </w:p>
        </w:tc>
        <w:tc>
          <w:tcPr>
            <w:tcW w:w="8079"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支持三权分立，提供系统管理员、安全管理员、审计管理员，以满足合规要求。支持为角色自定义用户。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其他要求</w:t>
            </w:r>
          </w:p>
        </w:tc>
        <w:tc>
          <w:tcPr>
            <w:tcW w:w="8079" w:type="dxa"/>
            <w:vAlign w:val="center"/>
          </w:tcPr>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支持API接口，对全部功能进行接口开放，实现与第三方平台数据联动。</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支持对接第三方的密钥管理平台、加密平台</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★实施人员具备OCM认证，并提供社保单据作为证明。</w:t>
            </w:r>
          </w:p>
          <w:p>
            <w:pPr>
              <w:autoSpaceDE w:val="0"/>
              <w:autoSpaceDN w:val="0"/>
              <w:adjustRightInd w:val="0"/>
              <w:snapToGrid w:val="0"/>
              <w:rPr>
                <w:rFonts w:cs="宋体" w:asciiTheme="minorEastAsia" w:hAnsiTheme="minorEastAsia" w:eastAsiaTheme="minorEastAsia"/>
                <w:color w:val="000000"/>
                <w:kern w:val="2"/>
                <w:sz w:val="24"/>
                <w:szCs w:val="24"/>
                <w:lang w:val="zh-TW" w:eastAsia="zh-TW"/>
              </w:rPr>
            </w:pPr>
            <w:r>
              <w:rPr>
                <w:rFonts w:hint="eastAsia" w:cs="宋体" w:asciiTheme="minorEastAsia" w:hAnsiTheme="minorEastAsia" w:eastAsiaTheme="minorEastAsia"/>
                <w:color w:val="000000"/>
                <w:kern w:val="2"/>
                <w:sz w:val="24"/>
                <w:szCs w:val="24"/>
                <w:lang w:val="zh-TW" w:eastAsia="zh-TW"/>
              </w:rPr>
              <w:t>★提供加密产品新疆地区项目案例证明</w:t>
            </w:r>
          </w:p>
        </w:tc>
      </w:tr>
    </w:tbl>
    <w:p>
      <w:pPr>
        <w:pStyle w:val="2"/>
        <w:ind w:left="0" w:leftChars="0"/>
      </w:pP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5、数据库审计</w:t>
      </w:r>
    </w:p>
    <w:tbl>
      <w:tblPr>
        <w:tblStyle w:val="33"/>
        <w:tblW w:w="9327" w:type="dxa"/>
        <w:tblInd w:w="-235" w:type="dxa"/>
        <w:tblLayout w:type="fixed"/>
        <w:tblCellMar>
          <w:top w:w="0" w:type="dxa"/>
          <w:left w:w="0" w:type="dxa"/>
          <w:bottom w:w="0" w:type="dxa"/>
          <w:right w:w="0" w:type="dxa"/>
        </w:tblCellMar>
      </w:tblPr>
      <w:tblGrid>
        <w:gridCol w:w="1242"/>
        <w:gridCol w:w="8085"/>
      </w:tblGrid>
      <w:tr>
        <w:tblPrEx>
          <w:tblCellMar>
            <w:top w:w="0" w:type="dxa"/>
            <w:left w:w="0" w:type="dxa"/>
            <w:bottom w:w="0" w:type="dxa"/>
            <w:right w:w="0" w:type="dxa"/>
          </w:tblCellMar>
        </w:tblPrEx>
        <w:trPr>
          <w:trHeight w:val="408" w:hRule="atLeast"/>
        </w:trPr>
        <w:tc>
          <w:tcPr>
            <w:tcW w:w="124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15" w:type="dxa"/>
              <w:left w:w="15" w:type="dxa"/>
              <w:right w:w="15" w:type="dxa"/>
            </w:tcMa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指标项</w:t>
            </w:r>
          </w:p>
        </w:tc>
        <w:tc>
          <w:tcPr>
            <w:tcW w:w="8085" w:type="dxa"/>
            <w:tcBorders>
              <w:top w:val="single" w:color="000000" w:sz="8" w:space="0"/>
              <w:left w:val="nil"/>
              <w:bottom w:val="single" w:color="000000" w:sz="8" w:space="0"/>
              <w:right w:val="single" w:color="000000" w:sz="8" w:space="0"/>
            </w:tcBorders>
            <w:shd w:val="clear" w:color="auto" w:fill="FFFFFF" w:themeFill="background1"/>
            <w:tcMar>
              <w:top w:w="15" w:type="dxa"/>
              <w:left w:w="15" w:type="dxa"/>
              <w:right w:w="15" w:type="dxa"/>
            </w:tcMar>
          </w:tcPr>
          <w:p>
            <w:pPr>
              <w:autoSpaceDE w:val="0"/>
              <w:autoSpaceDN w:val="0"/>
              <w:adjustRightInd w:val="0"/>
              <w:snapToGrid w:val="0"/>
              <w:ind w:firstLine="480" w:firstLineChars="200"/>
              <w:jc w:val="center"/>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指标要求</w:t>
            </w:r>
          </w:p>
        </w:tc>
      </w:tr>
      <w:tr>
        <w:tblPrEx>
          <w:tblCellMar>
            <w:top w:w="0" w:type="dxa"/>
            <w:left w:w="0" w:type="dxa"/>
            <w:bottom w:w="0" w:type="dxa"/>
            <w:right w:w="0" w:type="dxa"/>
          </w:tblCellMar>
        </w:tblPrEx>
        <w:trPr>
          <w:trHeight w:val="1109" w:hRule="atLeast"/>
        </w:trPr>
        <w:tc>
          <w:tcPr>
            <w:tcW w:w="12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性能要求</w:t>
            </w: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数据库网络流量至少支持</w:t>
            </w:r>
            <w:r>
              <w:rPr>
                <w:rFonts w:cs="宋体" w:asciiTheme="minorEastAsia" w:hAnsiTheme="minorEastAsia" w:eastAsiaTheme="minorEastAsia"/>
                <w:color w:val="000000"/>
                <w:sz w:val="24"/>
                <w:szCs w:val="24"/>
                <w:lang w:val="zh-TW" w:eastAsia="zh-TW"/>
              </w:rPr>
              <w:t>4</w:t>
            </w:r>
            <w:r>
              <w:rPr>
                <w:rFonts w:hint="eastAsia" w:cs="宋体" w:asciiTheme="minorEastAsia" w:hAnsiTheme="minorEastAsia" w:eastAsiaTheme="minorEastAsia"/>
                <w:color w:val="000000"/>
                <w:sz w:val="24"/>
                <w:szCs w:val="24"/>
                <w:lang w:val="zh-TW" w:eastAsia="zh-TW"/>
              </w:rPr>
              <w:t>00Mbps</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★SQL峰值处理能力至少</w:t>
            </w:r>
            <w:r>
              <w:rPr>
                <w:rFonts w:cs="宋体" w:asciiTheme="minorEastAsia" w:hAnsiTheme="minorEastAsia" w:eastAsiaTheme="minorEastAsia"/>
                <w:color w:val="000000"/>
                <w:sz w:val="24"/>
                <w:szCs w:val="24"/>
                <w:lang w:val="zh-TW" w:eastAsia="zh-TW"/>
              </w:rPr>
              <w:t>4</w:t>
            </w:r>
            <w:r>
              <w:rPr>
                <w:rFonts w:hint="eastAsia" w:cs="宋体" w:asciiTheme="minorEastAsia" w:hAnsiTheme="minorEastAsia" w:eastAsiaTheme="minorEastAsia"/>
                <w:color w:val="000000"/>
                <w:sz w:val="24"/>
                <w:szCs w:val="24"/>
                <w:lang w:val="zh-TW" w:eastAsia="zh-TW"/>
              </w:rPr>
              <w:t>0000条/秒。SQL日志存储数量：</w:t>
            </w:r>
            <w:r>
              <w:rPr>
                <w:rFonts w:cs="宋体" w:asciiTheme="minorEastAsia" w:hAnsiTheme="minorEastAsia" w:eastAsiaTheme="minorEastAsia"/>
                <w:color w:val="000000"/>
                <w:sz w:val="24"/>
                <w:szCs w:val="24"/>
                <w:lang w:val="zh-TW" w:eastAsia="zh-TW"/>
              </w:rPr>
              <w:t>8</w:t>
            </w:r>
            <w:r>
              <w:rPr>
                <w:rFonts w:hint="eastAsia" w:cs="宋体" w:asciiTheme="minorEastAsia" w:hAnsiTheme="minorEastAsia" w:eastAsiaTheme="minorEastAsia"/>
                <w:color w:val="000000"/>
                <w:sz w:val="24"/>
                <w:szCs w:val="24"/>
                <w:lang w:val="zh-TW" w:eastAsia="zh-TW"/>
              </w:rPr>
              <w:t>0亿条；</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（提供截图证明并加盖公章）</w:t>
            </w:r>
          </w:p>
        </w:tc>
      </w:tr>
      <w:tr>
        <w:tblPrEx>
          <w:tblCellMar>
            <w:top w:w="0" w:type="dxa"/>
            <w:left w:w="0" w:type="dxa"/>
            <w:bottom w:w="0" w:type="dxa"/>
            <w:right w:w="0" w:type="dxa"/>
          </w:tblCellMar>
        </w:tblPrEx>
        <w:trPr>
          <w:trHeight w:val="285" w:hRule="atLeast"/>
        </w:trPr>
        <w:tc>
          <w:tcPr>
            <w:tcW w:w="12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部署要求</w:t>
            </w: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支持部署插件的方式获取虚拟机/云主机数据库的通讯流量，完成虚拟机/云主机数据库的监控与审计。</w:t>
            </w:r>
          </w:p>
        </w:tc>
      </w:tr>
      <w:tr>
        <w:tblPrEx>
          <w:tblCellMar>
            <w:top w:w="0" w:type="dxa"/>
            <w:left w:w="0" w:type="dxa"/>
            <w:bottom w:w="0" w:type="dxa"/>
            <w:right w:w="0" w:type="dxa"/>
          </w:tblCellMar>
        </w:tblPrEx>
        <w:trPr>
          <w:trHeight w:val="445" w:hRule="atLeast"/>
        </w:trPr>
        <w:tc>
          <w:tcPr>
            <w:tcW w:w="12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兼容性要求</w:t>
            </w: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支持Oracle、MySQL、SQLServer、DB2、Sybase、Informix、PostgreSQL等主流数据库协议的解析。</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支持SQLServer2005及以上版本的加密数据库账号的解析。</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★支持达梦、人大金仓、神通、高斯DB等国产数据库协议的解析。（提供截图证明并加盖公章）</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★支持主流大数据平台数据库/NoSQL库的解析与审计，包括HBase、Hive、MongoDB、Elasticsearch等。（提供功能截图证明并加盖公章）</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★支持Hive与Kerberos集成，Hive传输加密的解析。（提供功能截图证明并加盖公章）</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★支持智能识别数据库字符集编码。（提供功能截图证明并加盖公章）</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支持智能识别IPv6、IPv4地址。</w:t>
            </w:r>
          </w:p>
        </w:tc>
      </w:tr>
      <w:tr>
        <w:tblPrEx>
          <w:tblCellMar>
            <w:top w:w="0" w:type="dxa"/>
            <w:left w:w="0" w:type="dxa"/>
            <w:bottom w:w="0" w:type="dxa"/>
            <w:right w:w="0" w:type="dxa"/>
          </w:tblCellMar>
        </w:tblPrEx>
        <w:trPr>
          <w:trHeight w:val="510" w:hRule="atLeast"/>
        </w:trPr>
        <w:tc>
          <w:tcPr>
            <w:tcW w:w="124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审计结果要求</w:t>
            </w: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★支持实时展示当前活跃会话详情信息。包括：会话开始时间、持续时长、访问来源IP、目标服务端IP、数据库协议类型、数据库账户、SQL请求总数等。（提供功能截图证明并加盖公章）</w:t>
            </w:r>
          </w:p>
        </w:tc>
      </w:tr>
      <w:tr>
        <w:tblPrEx>
          <w:tblCellMar>
            <w:top w:w="0" w:type="dxa"/>
            <w:left w:w="0" w:type="dxa"/>
            <w:bottom w:w="0" w:type="dxa"/>
            <w:right w:w="0" w:type="dxa"/>
          </w:tblCellMar>
        </w:tblPrEx>
        <w:trPr>
          <w:trHeight w:val="525" w:hRule="atLeast"/>
        </w:trPr>
        <w:tc>
          <w:tcPr>
            <w:tcW w:w="124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审计记录完整的语句详情信息。包括：SQL执行时间、数据库账号、来源IP、来源端口、来源MAC、客户端工具名称、目标IP、目标端口、目标MAC、数据库实例名、SQL语句、执行耗时、SQL类型、SQL命令、对象名称、字段名称、SQL行数、SQL请求状态等至少18个条件进行审计。</w:t>
            </w:r>
          </w:p>
        </w:tc>
      </w:tr>
      <w:tr>
        <w:tblPrEx>
          <w:tblCellMar>
            <w:top w:w="0" w:type="dxa"/>
            <w:left w:w="0" w:type="dxa"/>
            <w:bottom w:w="0" w:type="dxa"/>
            <w:right w:w="0" w:type="dxa"/>
          </w:tblCellMar>
        </w:tblPrEx>
        <w:trPr>
          <w:trHeight w:val="285" w:hRule="atLeast"/>
        </w:trPr>
        <w:tc>
          <w:tcPr>
            <w:tcW w:w="124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★支持对超长SQL操作语句审计，可以正常记录单条长度超过3M字节的SQL语句内容。（提供截图证明并加盖公章）</w:t>
            </w:r>
          </w:p>
        </w:tc>
      </w:tr>
      <w:tr>
        <w:tblPrEx>
          <w:tblCellMar>
            <w:top w:w="0" w:type="dxa"/>
            <w:left w:w="0" w:type="dxa"/>
            <w:bottom w:w="0" w:type="dxa"/>
            <w:right w:w="0" w:type="dxa"/>
          </w:tblCellMar>
        </w:tblPrEx>
        <w:trPr>
          <w:trHeight w:val="285" w:hRule="atLeast"/>
        </w:trPr>
        <w:tc>
          <w:tcPr>
            <w:tcW w:w="124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★支持自动将SQL语句分为login、logout、DDL、DML、DCL、privilege等操作类型。（提供截图证明并加盖公章）</w:t>
            </w:r>
          </w:p>
        </w:tc>
      </w:tr>
      <w:tr>
        <w:tblPrEx>
          <w:tblCellMar>
            <w:top w:w="0" w:type="dxa"/>
            <w:left w:w="0" w:type="dxa"/>
            <w:bottom w:w="0" w:type="dxa"/>
            <w:right w:w="0" w:type="dxa"/>
          </w:tblCellMar>
        </w:tblPrEx>
        <w:trPr>
          <w:trHeight w:val="285" w:hRule="atLeast"/>
        </w:trPr>
        <w:tc>
          <w:tcPr>
            <w:tcW w:w="124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审计检索分析</w:t>
            </w: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支持审计检索并导出，导出内容包括客户端IP、客户端工具名、操作类型、操作命令、操作对象等数据库访问详细内容。</w:t>
            </w:r>
          </w:p>
        </w:tc>
      </w:tr>
      <w:tr>
        <w:tblPrEx>
          <w:tblCellMar>
            <w:top w:w="0" w:type="dxa"/>
            <w:left w:w="0" w:type="dxa"/>
            <w:bottom w:w="0" w:type="dxa"/>
            <w:right w:w="0" w:type="dxa"/>
          </w:tblCellMar>
        </w:tblPrEx>
        <w:trPr>
          <w:trHeight w:val="285" w:hRule="atLeast"/>
        </w:trPr>
        <w:tc>
          <w:tcPr>
            <w:tcW w:w="124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★支持对告警日志进行多维下钻分析、自定义选择图类型（饼图、柱状图），展示分析结果，支持自定义选择下级维度。（提供截图证明并加盖公章）</w:t>
            </w:r>
          </w:p>
        </w:tc>
      </w:tr>
      <w:tr>
        <w:tblPrEx>
          <w:tblCellMar>
            <w:top w:w="0" w:type="dxa"/>
            <w:left w:w="0" w:type="dxa"/>
            <w:bottom w:w="0" w:type="dxa"/>
            <w:right w:w="0" w:type="dxa"/>
          </w:tblCellMar>
        </w:tblPrEx>
        <w:trPr>
          <w:trHeight w:val="285" w:hRule="atLeast"/>
        </w:trPr>
        <w:tc>
          <w:tcPr>
            <w:tcW w:w="124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★支持一键保存多维分析模型，形成固定报表模版。（提供截图证明并加盖公章）</w:t>
            </w:r>
          </w:p>
        </w:tc>
      </w:tr>
      <w:tr>
        <w:tblPrEx>
          <w:tblCellMar>
            <w:top w:w="0" w:type="dxa"/>
            <w:left w:w="0" w:type="dxa"/>
            <w:bottom w:w="0" w:type="dxa"/>
            <w:right w:w="0" w:type="dxa"/>
          </w:tblCellMar>
        </w:tblPrEx>
        <w:trPr>
          <w:trHeight w:val="285" w:hRule="atLeast"/>
        </w:trPr>
        <w:tc>
          <w:tcPr>
            <w:tcW w:w="124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★支持自动生成可视化的用户行为模型，支持自由切换模型中基线节点，显示模型中的其他基线。（提供功能截图证明并加盖公章）</w:t>
            </w:r>
          </w:p>
        </w:tc>
      </w:tr>
      <w:tr>
        <w:tblPrEx>
          <w:tblCellMar>
            <w:top w:w="0" w:type="dxa"/>
            <w:left w:w="0" w:type="dxa"/>
            <w:bottom w:w="0" w:type="dxa"/>
            <w:right w:w="0" w:type="dxa"/>
          </w:tblCellMar>
        </w:tblPrEx>
        <w:trPr>
          <w:trHeight w:val="3647" w:hRule="atLeast"/>
        </w:trPr>
        <w:tc>
          <w:tcPr>
            <w:tcW w:w="12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安全策略要求</w:t>
            </w: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支持自定义黑白名单策略，匹配条件至少包括数据库账号、策略周期、来源IP、客户端工具、SQL命令、操作对象名、SQL语句等条件。白名单命中后识别为信任行为，黑名单命中后可识别为非法行为。</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支持自定义操作行为策略，可设置风险级别、策略动作、数据库账号、策略周期、来源IP、客户端工具、命令、操作对象、SQL关键字、执行结果、行数、执行时长、时间周期、SQL语句等条件。</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★支持将用户行为模型转化成数据库访问安全基线，实时识别偏离数据库访问安全基线的异常行为。（提供功能截图证明并加盖公章）</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对于非法行为、异常行为、风险行为，支持实时告警。</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★支持根据来源IP设定审计范围。包括：设定不审计指定来源IP的所有访问记录，其他IP均审计；设定仅审计指定来源IP的访问记录，其他IP均不审计。（提供功能截图证明并加盖公章）</w:t>
            </w:r>
          </w:p>
        </w:tc>
      </w:tr>
      <w:tr>
        <w:tblPrEx>
          <w:tblCellMar>
            <w:top w:w="0" w:type="dxa"/>
            <w:left w:w="0" w:type="dxa"/>
            <w:bottom w:w="0" w:type="dxa"/>
            <w:right w:w="0" w:type="dxa"/>
          </w:tblCellMar>
        </w:tblPrEx>
        <w:trPr>
          <w:trHeight w:val="495" w:hRule="atLeast"/>
        </w:trPr>
        <w:tc>
          <w:tcPr>
            <w:tcW w:w="12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智能发现要求</w:t>
            </w: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★支持自动发现镜像流量中的活跃数据库。支持自定义发现范围，包括数据库类型、IP地址、端口范围。（提供截图证明并加盖公章）</w:t>
            </w:r>
          </w:p>
        </w:tc>
      </w:tr>
      <w:tr>
        <w:tblPrEx>
          <w:tblCellMar>
            <w:top w:w="0" w:type="dxa"/>
            <w:left w:w="0" w:type="dxa"/>
            <w:bottom w:w="0" w:type="dxa"/>
            <w:right w:w="0" w:type="dxa"/>
          </w:tblCellMar>
        </w:tblPrEx>
        <w:trPr>
          <w:trHeight w:val="90" w:hRule="atLeast"/>
        </w:trPr>
        <w:tc>
          <w:tcPr>
            <w:tcW w:w="12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统计报表要求</w:t>
            </w: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内置丰富的统计报表模板，至少提供55种。至少包括：综合报表，等保报表、PCI报表、SOX-法案报表等类型。</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★支持自定义报表功能，可设置时间范围、来源IP、客户端工具、数据库账号、数据库IP、操作命令、操作对象、风险级别、TCP会话等至少9个条件。（提供截图证明并加盖公章）</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报表支持导出为PDF、CSV等报表格式。</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★支持报表预览，收藏功能。可对报表直接预览，对常用报表进行收藏，减少下次重复操作。（提供功能截图证明并加盖公章）</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支持按周期（时间细化到分钟）定时生成报表并且自动通过邮件发送给相关管理员。</w:t>
            </w:r>
          </w:p>
        </w:tc>
      </w:tr>
      <w:tr>
        <w:tblPrEx>
          <w:tblCellMar>
            <w:top w:w="0" w:type="dxa"/>
            <w:left w:w="0" w:type="dxa"/>
            <w:bottom w:w="0" w:type="dxa"/>
            <w:right w:w="0" w:type="dxa"/>
          </w:tblCellMar>
        </w:tblPrEx>
        <w:trPr>
          <w:trHeight w:val="2441" w:hRule="atLeast"/>
        </w:trPr>
        <w:tc>
          <w:tcPr>
            <w:tcW w:w="12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系统管理要求</w:t>
            </w: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支持自定义限定可访问审计系统的客户端IP地址。</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审计采集插件支持远程推送。</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审计采集插件支持自动休眠，当所在数据库服务器的CPU、内存消耗超过阈值时，临时暂停抓包工作，避免与数据库服务器抢占资源。</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支持对系统自身审计，日志内容至少包括：用户名、来源IP、操作时间、操作内容、操作结果等。</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支持对系统自身运行状态进行实时监测，包括：CPU使用率、内存使用率、磁盘使用率、网卡流量等。</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支持三权分立，默认提供系统管理员、安全管理员、审计管理员三个角色账户。</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支持时间设置、网络地址配置等功能。</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支持对系统进行升级维护、恢复出厂设置等基础功能。</w:t>
            </w:r>
          </w:p>
        </w:tc>
      </w:tr>
      <w:tr>
        <w:tblPrEx>
          <w:tblCellMar>
            <w:top w:w="0" w:type="dxa"/>
            <w:left w:w="0" w:type="dxa"/>
            <w:bottom w:w="0" w:type="dxa"/>
            <w:right w:w="0" w:type="dxa"/>
          </w:tblCellMar>
        </w:tblPrEx>
        <w:trPr>
          <w:trHeight w:val="525" w:hRule="atLeast"/>
        </w:trPr>
        <w:tc>
          <w:tcPr>
            <w:tcW w:w="124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其他要求</w:t>
            </w:r>
          </w:p>
        </w:tc>
        <w:tc>
          <w:tcPr>
            <w:tcW w:w="80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★为了保证产品可扩展性，投标产品软件平台支持API接口开放功能，外部程序可以通过接口调用全部功能，实现与第三方平台数据联动。（提供全套API接口参数说明文档）</w:t>
            </w:r>
          </w:p>
        </w:tc>
      </w:tr>
    </w:tbl>
    <w:p/>
    <w:p>
      <w:pPr>
        <w:pStyle w:val="2"/>
      </w:pPr>
    </w:p>
    <w:p/>
    <w:p>
      <w:pPr>
        <w:pStyle w:val="2"/>
      </w:pPr>
    </w:p>
    <w:p/>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6、</w:t>
      </w:r>
      <w:r>
        <w:rPr>
          <w:rFonts w:asciiTheme="minorEastAsia" w:hAnsiTheme="minorEastAsia" w:eastAsiaTheme="minorEastAsia"/>
          <w:b/>
          <w:bCs/>
          <w:sz w:val="28"/>
          <w:szCs w:val="28"/>
        </w:rPr>
        <w:t>异常流量管理与抗拒绝服务系统</w:t>
      </w:r>
    </w:p>
    <w:tbl>
      <w:tblPr>
        <w:tblStyle w:val="33"/>
        <w:tblpPr w:leftFromText="181" w:rightFromText="181" w:vertAnchor="text" w:horzAnchor="margin"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474" w:type="dxa"/>
          </w:tcPr>
          <w:p>
            <w:pPr>
              <w:snapToGrid w:val="0"/>
              <w:jc w:val="center"/>
              <w:rPr>
                <w:rFonts w:ascii="宋体" w:hAnsi="宋体" w:cs="宋体"/>
                <w:b/>
                <w:color w:val="000000"/>
                <w:sz w:val="24"/>
                <w:szCs w:val="24"/>
              </w:rPr>
            </w:pPr>
            <w:r>
              <w:rPr>
                <w:rFonts w:hint="eastAsia" w:ascii="宋体" w:hAnsi="宋体" w:cs="宋体"/>
                <w:b/>
                <w:color w:val="000000"/>
                <w:sz w:val="24"/>
                <w:szCs w:val="24"/>
              </w:rPr>
              <w:t>指标项</w:t>
            </w:r>
          </w:p>
        </w:tc>
        <w:tc>
          <w:tcPr>
            <w:tcW w:w="7848" w:type="dxa"/>
          </w:tcPr>
          <w:p>
            <w:pPr>
              <w:snapToGrid w:val="0"/>
              <w:jc w:val="center"/>
              <w:rPr>
                <w:rFonts w:ascii="宋体" w:hAnsi="宋体" w:cs="宋体"/>
                <w:b/>
                <w:color w:val="000000"/>
                <w:sz w:val="24"/>
                <w:szCs w:val="24"/>
              </w:rPr>
            </w:pPr>
            <w:r>
              <w:rPr>
                <w:rFonts w:hint="eastAsia" w:ascii="宋体" w:hAnsi="宋体" w:cs="宋体"/>
                <w:b/>
                <w:color w:val="00000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474" w:type="dxa"/>
            <w:vMerge w:val="restart"/>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配置要求</w:t>
            </w:r>
          </w:p>
        </w:tc>
        <w:tc>
          <w:tcPr>
            <w:tcW w:w="7848" w:type="dxa"/>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最大清洗能力≥</w:t>
            </w:r>
            <w:r>
              <w:rPr>
                <w:rFonts w:cs="宋体" w:asciiTheme="minorEastAsia" w:hAnsiTheme="minorEastAsia" w:eastAsiaTheme="minorEastAsia"/>
                <w:color w:val="000000"/>
                <w:sz w:val="24"/>
                <w:szCs w:val="24"/>
                <w:lang w:val="zh-TW" w:eastAsia="zh-TW"/>
              </w:rPr>
              <w:t>4</w:t>
            </w:r>
            <w:r>
              <w:rPr>
                <w:rFonts w:hint="eastAsia" w:cs="宋体" w:asciiTheme="minorEastAsia" w:hAnsiTheme="minorEastAsia" w:eastAsiaTheme="minorEastAsia"/>
                <w:color w:val="000000"/>
                <w:sz w:val="24"/>
                <w:szCs w:val="24"/>
                <w:lang w:val="zh-TW" w:eastAsia="zh-TW"/>
              </w:rPr>
              <w:t>Gbps、最大flow数据处理能力≥</w:t>
            </w:r>
            <w:r>
              <w:rPr>
                <w:rFonts w:cs="宋体" w:asciiTheme="minorEastAsia" w:hAnsiTheme="minorEastAsia" w:eastAsiaTheme="minorEastAsia"/>
                <w:color w:val="000000"/>
                <w:sz w:val="24"/>
                <w:szCs w:val="24"/>
                <w:lang w:val="zh-TW" w:eastAsia="zh-TW"/>
              </w:rPr>
              <w:t>30</w:t>
            </w:r>
            <w:r>
              <w:rPr>
                <w:rFonts w:hint="eastAsia" w:cs="宋体" w:asciiTheme="minorEastAsia" w:hAnsiTheme="minorEastAsia" w:eastAsiaTheme="minorEastAsia"/>
                <w:color w:val="000000"/>
                <w:sz w:val="24"/>
                <w:szCs w:val="24"/>
                <w:lang w:val="zh-TW" w:eastAsia="zh-TW"/>
              </w:rPr>
              <w:t>0,000Flow/秒、小包防御能力（64字节/pps）≥</w:t>
            </w:r>
            <w:r>
              <w:rPr>
                <w:rFonts w:cs="宋体" w:asciiTheme="minorEastAsia" w:hAnsiTheme="minorEastAsia" w:eastAsiaTheme="minorEastAsia"/>
                <w:color w:val="000000"/>
                <w:sz w:val="24"/>
                <w:szCs w:val="24"/>
                <w:lang w:val="zh-TW" w:eastAsia="zh-TW"/>
              </w:rPr>
              <w:t>592</w:t>
            </w:r>
            <w:r>
              <w:rPr>
                <w:rFonts w:hint="eastAsia" w:cs="宋体" w:asciiTheme="minorEastAsia" w:hAnsiTheme="minorEastAsia" w:eastAsiaTheme="minorEastAsia"/>
                <w:color w:val="000000"/>
                <w:sz w:val="24"/>
                <w:szCs w:val="24"/>
                <w:lang w:val="zh-TW" w:eastAsia="zh-TW"/>
              </w:rPr>
              <w:t>万pps、最大并发连接数&gt;</w:t>
            </w:r>
            <w:r>
              <w:rPr>
                <w:rFonts w:cs="宋体" w:asciiTheme="minorEastAsia" w:hAnsiTheme="minorEastAsia" w:eastAsiaTheme="minorEastAsia"/>
                <w:color w:val="000000"/>
                <w:sz w:val="24"/>
                <w:szCs w:val="24"/>
                <w:lang w:val="zh-TW" w:eastAsia="zh-TW"/>
              </w:rPr>
              <w:t>3</w:t>
            </w:r>
            <w:r>
              <w:rPr>
                <w:rFonts w:hint="eastAsia" w:cs="宋体" w:asciiTheme="minorEastAsia" w:hAnsiTheme="minorEastAsia" w:eastAsiaTheme="minorEastAsia"/>
                <w:color w:val="000000"/>
                <w:sz w:val="24"/>
                <w:szCs w:val="24"/>
                <w:lang w:val="zh-TW" w:eastAsia="zh-TW"/>
              </w:rPr>
              <w:t>00W；双电源、最大配置为26个接口，默认包括2个扩展槽位，2个作为HA口和管理口，6个10/100/1000BASE-T接口（支持Bypass）和4个SFP插槽，标配双冗余电源，自带液晶显示屏，硬盘1T。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p>
        </w:tc>
        <w:tc>
          <w:tcPr>
            <w:tcW w:w="7848" w:type="dxa"/>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cs="宋体" w:asciiTheme="minorEastAsia" w:hAnsiTheme="minorEastAsia" w:eastAsiaTheme="minorEastAsia"/>
                <w:color w:val="000000"/>
                <w:sz w:val="24"/>
                <w:szCs w:val="24"/>
                <w:lang w:val="zh-TW" w:eastAsia="zh-TW"/>
              </w:rPr>
              <w:t>采用专用</w:t>
            </w:r>
            <w:r>
              <w:rPr>
                <w:rFonts w:hint="eastAsia" w:cs="宋体" w:asciiTheme="minorEastAsia" w:hAnsiTheme="minorEastAsia" w:eastAsiaTheme="minorEastAsia"/>
                <w:color w:val="000000"/>
                <w:sz w:val="24"/>
                <w:szCs w:val="24"/>
                <w:lang w:val="zh-TW" w:eastAsia="zh-TW"/>
              </w:rPr>
              <w:t>的网络安全</w:t>
            </w:r>
            <w:r>
              <w:rPr>
                <w:rFonts w:cs="宋体" w:asciiTheme="minorEastAsia" w:hAnsiTheme="minorEastAsia" w:eastAsiaTheme="minorEastAsia"/>
                <w:color w:val="000000"/>
                <w:sz w:val="24"/>
                <w:szCs w:val="24"/>
                <w:lang w:val="zh-TW" w:eastAsia="zh-TW"/>
              </w:rPr>
              <w:t>硬件架构</w:t>
            </w:r>
            <w:r>
              <w:rPr>
                <w:rFonts w:hint="eastAsia" w:cs="宋体" w:asciiTheme="minorEastAsia" w:hAnsiTheme="minorEastAsia" w:eastAsiaTheme="minorEastAsia"/>
                <w:color w:val="000000"/>
                <w:sz w:val="24"/>
                <w:szCs w:val="24"/>
                <w:lang w:val="zh-TW" w:eastAsia="zh-TW"/>
              </w:rPr>
              <w:t>，采用自主知识产权的专用安全操作系统。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474" w:type="dxa"/>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部署方式</w:t>
            </w:r>
          </w:p>
        </w:tc>
        <w:tc>
          <w:tcPr>
            <w:tcW w:w="7848" w:type="dxa"/>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支持透明部署、旁路回注、旁路下注、主备模式、负载模式、集群及双活部署等；★支持在线串接、旁路检测和旁路清洗三种模式。（提供截图并加盖原厂商公章）；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74" w:type="dxa"/>
            <w:vAlign w:val="center"/>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基础功能</w:t>
            </w:r>
          </w:p>
        </w:tc>
        <w:tc>
          <w:tcPr>
            <w:tcW w:w="7848" w:type="dxa"/>
          </w:tcPr>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监控展示DIY，可根据客户需求选择查看频率较高或者比较关心的内容展示在首页，如：支持业务TopN、攻击实时地图展示、信誉源分布地图展示、防护对象流量TopN、防护对象攻击TopN、链路流量、接口流量、连接现状、设备状态信息（cpu利用率，内存利用率，磁盘利用率，并可以设置告警阈值）等图表按需选择展示（提供截图并加盖原厂商公章）</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cs="宋体" w:asciiTheme="minorEastAsia" w:hAnsiTheme="minorEastAsia" w:eastAsiaTheme="minorEastAsia"/>
                <w:color w:val="000000"/>
                <w:sz w:val="24"/>
                <w:szCs w:val="24"/>
                <w:lang w:val="zh-TW" w:eastAsia="zh-TW"/>
              </w:rPr>
              <w:t>★支持对land attack、tcp misuse、udp misuse、tcpsscan attack、targa3 attack、smurf ack、fraggle attack、rr attack、sr attack、ip option attack、tracert attack、ping of death attack、redirect attack、unreach attack、icmp large attack、protocol null attack等DoS攻击的清洗</w:t>
            </w:r>
            <w:r>
              <w:rPr>
                <w:rFonts w:hint="eastAsia" w:cs="宋体" w:asciiTheme="minorEastAsia" w:hAnsiTheme="minorEastAsia" w:eastAsiaTheme="minorEastAsia"/>
                <w:color w:val="000000"/>
                <w:sz w:val="24"/>
                <w:szCs w:val="24"/>
                <w:lang w:val="zh-TW" w:eastAsia="zh-TW"/>
              </w:rPr>
              <w:t>等</w:t>
            </w:r>
            <w:r>
              <w:rPr>
                <w:rFonts w:cs="宋体" w:asciiTheme="minorEastAsia" w:hAnsiTheme="minorEastAsia" w:eastAsiaTheme="minorEastAsia"/>
                <w:color w:val="000000"/>
                <w:sz w:val="24"/>
                <w:szCs w:val="24"/>
                <w:lang w:val="zh-TW" w:eastAsia="zh-TW"/>
              </w:rPr>
              <w:t>（提供截图并加盖原厂商公章）</w:t>
            </w:r>
            <w:r>
              <w:rPr>
                <w:rFonts w:hint="eastAsia" w:cs="宋体" w:asciiTheme="minorEastAsia" w:hAnsiTheme="minorEastAsia" w:eastAsiaTheme="minorEastAsia"/>
                <w:color w:val="000000"/>
                <w:sz w:val="24"/>
                <w:szCs w:val="24"/>
                <w:lang w:val="zh-TW" w:eastAsia="zh-TW"/>
              </w:rPr>
              <w:t>；</w:t>
            </w:r>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cs="宋体" w:asciiTheme="minorEastAsia" w:hAnsiTheme="minorEastAsia" w:eastAsiaTheme="minorEastAsia"/>
                <w:color w:val="000000"/>
                <w:sz w:val="24"/>
                <w:szCs w:val="24"/>
                <w:lang w:val="zh-TW" w:eastAsia="zh-TW"/>
              </w:rPr>
              <w:t>★</w:t>
            </w:r>
            <w:bookmarkStart w:id="58" w:name="_Hlk49439513"/>
            <w:r>
              <w:rPr>
                <w:rFonts w:cs="宋体" w:asciiTheme="minorEastAsia" w:hAnsiTheme="minorEastAsia" w:eastAsiaTheme="minorEastAsia"/>
                <w:color w:val="000000"/>
                <w:sz w:val="24"/>
                <w:szCs w:val="24"/>
                <w:lang w:val="zh-TW" w:eastAsia="zh-TW"/>
              </w:rPr>
              <w:t>支持对TCP flood、TCP FRAG flood、syn flood、ack flood、synack flood、fin flood、rst flood、TCP ABNORMAL FLAG FLOOD、新建SESSION FLOOD 、SESSION FLOOD、UDP Flood、UDP FRAG flood、UDP 反射 flood等传输层协议的清洗</w:t>
            </w:r>
            <w:r>
              <w:rPr>
                <w:rFonts w:hint="eastAsia" w:cs="宋体" w:asciiTheme="minorEastAsia" w:hAnsiTheme="minorEastAsia" w:eastAsiaTheme="minorEastAsia"/>
                <w:color w:val="000000"/>
                <w:sz w:val="24"/>
                <w:szCs w:val="24"/>
                <w:lang w:val="zh-TW" w:eastAsia="zh-TW"/>
              </w:rPr>
              <w:t>。支持对cldap反射端口攻击、memcached反射端口攻击、ssdp反射端口攻击等</w:t>
            </w:r>
            <w:r>
              <w:rPr>
                <w:rFonts w:cs="宋体" w:asciiTheme="minorEastAsia" w:hAnsiTheme="minorEastAsia" w:eastAsiaTheme="minorEastAsia"/>
                <w:color w:val="000000"/>
                <w:sz w:val="24"/>
                <w:szCs w:val="24"/>
                <w:lang w:val="zh-TW" w:eastAsia="zh-TW"/>
              </w:rPr>
              <w:t>（提供截图并加盖原厂商公章）</w:t>
            </w:r>
            <w:r>
              <w:rPr>
                <w:rFonts w:hint="eastAsia" w:cs="宋体" w:asciiTheme="minorEastAsia" w:hAnsiTheme="minorEastAsia" w:eastAsiaTheme="minorEastAsia"/>
                <w:color w:val="000000"/>
                <w:sz w:val="24"/>
                <w:szCs w:val="24"/>
                <w:lang w:val="zh-TW" w:eastAsia="zh-TW"/>
              </w:rPr>
              <w:t>；</w:t>
            </w:r>
            <w:bookmarkEnd w:id="58"/>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w:t>
            </w:r>
            <w:bookmarkStart w:id="59" w:name="_Hlk49432259"/>
            <w:r>
              <w:rPr>
                <w:rFonts w:hint="eastAsia" w:cs="宋体" w:asciiTheme="minorEastAsia" w:hAnsiTheme="minorEastAsia" w:eastAsiaTheme="minorEastAsia"/>
                <w:color w:val="000000"/>
                <w:sz w:val="24"/>
                <w:szCs w:val="24"/>
                <w:lang w:val="zh-TW" w:eastAsia="zh-TW"/>
              </w:rPr>
              <w:t>支持HTTPS协议的DDOS的防护，包括但不限于：HTTPS</w:t>
            </w:r>
            <w:r>
              <w:rPr>
                <w:rFonts w:cs="宋体" w:asciiTheme="minorEastAsia" w:hAnsiTheme="minorEastAsia" w:eastAsiaTheme="minorEastAsia"/>
                <w:color w:val="000000"/>
                <w:sz w:val="24"/>
                <w:szCs w:val="24"/>
                <w:lang w:val="zh-TW" w:eastAsia="zh-TW"/>
              </w:rPr>
              <w:t xml:space="preserve"> flood</w:t>
            </w:r>
            <w:r>
              <w:rPr>
                <w:rFonts w:hint="eastAsia" w:cs="宋体" w:asciiTheme="minorEastAsia" w:hAnsiTheme="minorEastAsia" w:eastAsiaTheme="minorEastAsia"/>
                <w:color w:val="000000"/>
                <w:sz w:val="24"/>
                <w:szCs w:val="24"/>
                <w:lang w:val="zh-TW" w:eastAsia="zh-TW"/>
              </w:rPr>
              <w:t>、HTTPS新建和并发连接、HTTPS</w:t>
            </w:r>
            <w:r>
              <w:rPr>
                <w:rFonts w:cs="宋体" w:asciiTheme="minorEastAsia" w:hAnsiTheme="minorEastAsia" w:eastAsiaTheme="minorEastAsia"/>
                <w:color w:val="000000"/>
                <w:sz w:val="24"/>
                <w:szCs w:val="24"/>
                <w:lang w:val="zh-TW" w:eastAsia="zh-TW"/>
              </w:rPr>
              <w:t xml:space="preserve"> SSL DOS</w:t>
            </w:r>
            <w:r>
              <w:rPr>
                <w:rFonts w:hint="eastAsia" w:cs="宋体" w:asciiTheme="minorEastAsia" w:hAnsiTheme="minorEastAsia" w:eastAsiaTheme="minorEastAsia"/>
                <w:color w:val="000000"/>
                <w:sz w:val="24"/>
                <w:szCs w:val="24"/>
                <w:lang w:val="zh-TW" w:eastAsia="zh-TW"/>
              </w:rPr>
              <w:t>、HTTPS SSL Key Exchange等。</w:t>
            </w:r>
            <w:r>
              <w:rPr>
                <w:rFonts w:cs="宋体" w:asciiTheme="minorEastAsia" w:hAnsiTheme="minorEastAsia" w:eastAsiaTheme="minorEastAsia"/>
                <w:color w:val="000000"/>
                <w:sz w:val="24"/>
                <w:szCs w:val="24"/>
                <w:lang w:val="zh-TW" w:eastAsia="zh-TW"/>
              </w:rPr>
              <w:t>最少支持6种认证算法</w:t>
            </w:r>
            <w:r>
              <w:rPr>
                <w:rFonts w:hint="eastAsia" w:cs="宋体" w:asciiTheme="minorEastAsia" w:hAnsiTheme="minorEastAsia" w:eastAsiaTheme="minorEastAsia"/>
                <w:color w:val="000000"/>
                <w:sz w:val="24"/>
                <w:szCs w:val="24"/>
                <w:lang w:val="zh-TW" w:eastAsia="zh-TW"/>
              </w:rPr>
              <w:t>，</w:t>
            </w:r>
            <w:r>
              <w:rPr>
                <w:rFonts w:cs="宋体" w:asciiTheme="minorEastAsia" w:hAnsiTheme="minorEastAsia" w:eastAsiaTheme="minorEastAsia"/>
                <w:color w:val="000000"/>
                <w:sz w:val="24"/>
                <w:szCs w:val="24"/>
                <w:lang w:val="zh-TW" w:eastAsia="zh-TW"/>
              </w:rPr>
              <w:t>包括</w:t>
            </w:r>
            <w:r>
              <w:rPr>
                <w:rFonts w:hint="eastAsia" w:cs="宋体" w:asciiTheme="minorEastAsia" w:hAnsiTheme="minorEastAsia" w:eastAsiaTheme="minorEastAsia"/>
                <w:color w:val="000000"/>
                <w:sz w:val="24"/>
                <w:szCs w:val="24"/>
                <w:lang w:val="zh-TW" w:eastAsia="zh-TW"/>
              </w:rPr>
              <w:t>但不限于</w:t>
            </w:r>
            <w:r>
              <w:rPr>
                <w:rFonts w:cs="宋体" w:asciiTheme="minorEastAsia" w:hAnsiTheme="minorEastAsia" w:eastAsiaTheme="minorEastAsia"/>
                <w:color w:val="000000"/>
                <w:sz w:val="24"/>
                <w:szCs w:val="24"/>
                <w:lang w:val="zh-TW" w:eastAsia="zh-TW"/>
              </w:rPr>
              <w:t>：</w:t>
            </w:r>
            <w:r>
              <w:rPr>
                <w:rFonts w:hint="eastAsia" w:cs="宋体" w:asciiTheme="minorEastAsia" w:hAnsiTheme="minorEastAsia" w:eastAsiaTheme="minorEastAsia"/>
                <w:color w:val="000000"/>
                <w:sz w:val="24"/>
                <w:szCs w:val="24"/>
                <w:lang w:val="zh-TW" w:eastAsia="zh-TW"/>
              </w:rPr>
              <w:t>基本模式、重定向、J</w:t>
            </w:r>
            <w:r>
              <w:rPr>
                <w:rFonts w:cs="宋体" w:asciiTheme="minorEastAsia" w:hAnsiTheme="minorEastAsia" w:eastAsiaTheme="minorEastAsia"/>
                <w:color w:val="000000"/>
                <w:sz w:val="24"/>
                <w:szCs w:val="24"/>
                <w:lang w:val="zh-TW" w:eastAsia="zh-TW"/>
              </w:rPr>
              <w:t>S</w:t>
            </w:r>
            <w:r>
              <w:rPr>
                <w:rFonts w:hint="eastAsia" w:cs="宋体" w:asciiTheme="minorEastAsia" w:hAnsiTheme="minorEastAsia" w:eastAsiaTheme="minorEastAsia"/>
                <w:color w:val="000000"/>
                <w:sz w:val="24"/>
                <w:szCs w:val="24"/>
                <w:lang w:val="zh-TW" w:eastAsia="zh-TW"/>
              </w:rPr>
              <w:t>重定向、表单重定向、验证码、流量限速等；支持S</w:t>
            </w:r>
            <w:r>
              <w:rPr>
                <w:rFonts w:cs="宋体" w:asciiTheme="minorEastAsia" w:hAnsiTheme="minorEastAsia" w:eastAsiaTheme="minorEastAsia"/>
                <w:color w:val="000000"/>
                <w:sz w:val="24"/>
                <w:szCs w:val="24"/>
                <w:lang w:val="zh-TW" w:eastAsia="zh-TW"/>
              </w:rPr>
              <w:t>SL</w:t>
            </w:r>
            <w:r>
              <w:rPr>
                <w:rFonts w:hint="eastAsia" w:cs="宋体" w:asciiTheme="minorEastAsia" w:hAnsiTheme="minorEastAsia" w:eastAsiaTheme="minorEastAsia"/>
                <w:color w:val="000000"/>
                <w:sz w:val="24"/>
                <w:szCs w:val="24"/>
                <w:lang w:val="zh-TW" w:eastAsia="zh-TW"/>
              </w:rPr>
              <w:t>证书导入功能（提供截图并加盖原厂商公章）；</w:t>
            </w:r>
            <w:bookmarkEnd w:id="59"/>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cs="宋体" w:asciiTheme="minorEastAsia" w:hAnsiTheme="minorEastAsia" w:eastAsiaTheme="minorEastAsia"/>
                <w:color w:val="000000"/>
                <w:sz w:val="24"/>
                <w:szCs w:val="24"/>
                <w:lang w:val="zh-TW" w:eastAsia="zh-TW"/>
              </w:rPr>
              <w:t>★</w:t>
            </w:r>
            <w:bookmarkStart w:id="60" w:name="_Hlk49432362"/>
            <w:r>
              <w:rPr>
                <w:rFonts w:cs="宋体" w:asciiTheme="minorEastAsia" w:hAnsiTheme="minorEastAsia" w:eastAsiaTheme="minorEastAsia"/>
                <w:color w:val="000000"/>
                <w:sz w:val="24"/>
                <w:szCs w:val="24"/>
                <w:lang w:val="zh-TW" w:eastAsia="zh-TW"/>
              </w:rPr>
              <w:t>支持HTTP协议的防护，包括但不限于：HTTP GET FLOOD、HTTP POST FLOOD、HTTP代理攻击，最少支持9种认证算法，包括</w:t>
            </w:r>
            <w:r>
              <w:rPr>
                <w:rFonts w:hint="eastAsia" w:cs="宋体" w:asciiTheme="minorEastAsia" w:hAnsiTheme="minorEastAsia" w:eastAsiaTheme="minorEastAsia"/>
                <w:color w:val="000000"/>
                <w:sz w:val="24"/>
                <w:szCs w:val="24"/>
                <w:lang w:val="zh-TW" w:eastAsia="zh-TW"/>
              </w:rPr>
              <w:t>但不限于</w:t>
            </w:r>
            <w:r>
              <w:rPr>
                <w:rFonts w:cs="宋体" w:asciiTheme="minorEastAsia" w:hAnsiTheme="minorEastAsia" w:eastAsiaTheme="minorEastAsia"/>
                <w:color w:val="000000"/>
                <w:sz w:val="24"/>
                <w:szCs w:val="24"/>
                <w:lang w:val="zh-TW" w:eastAsia="zh-TW"/>
              </w:rPr>
              <w:t>：重定向、js重定向、表单重定向、验证码、URI动态指纹、slow header和slow post防范、URI访问占比</w:t>
            </w:r>
            <w:r>
              <w:rPr>
                <w:rFonts w:hint="eastAsia" w:cs="宋体" w:asciiTheme="minorEastAsia" w:hAnsiTheme="minorEastAsia" w:eastAsiaTheme="minorEastAsia"/>
                <w:color w:val="000000"/>
                <w:sz w:val="24"/>
                <w:szCs w:val="24"/>
                <w:lang w:val="zh-TW" w:eastAsia="zh-TW"/>
              </w:rPr>
              <w:t>、流量限速</w:t>
            </w:r>
            <w:r>
              <w:rPr>
                <w:rFonts w:cs="宋体" w:asciiTheme="minorEastAsia" w:hAnsiTheme="minorEastAsia" w:eastAsiaTheme="minorEastAsia"/>
                <w:color w:val="000000"/>
                <w:sz w:val="24"/>
                <w:szCs w:val="24"/>
                <w:lang w:val="zh-TW" w:eastAsia="zh-TW"/>
              </w:rPr>
              <w:t>等。</w:t>
            </w:r>
            <w:bookmarkEnd w:id="60"/>
            <w:r>
              <w:rPr>
                <w:rFonts w:cs="宋体" w:asciiTheme="minorEastAsia" w:hAnsiTheme="minorEastAsia" w:eastAsiaTheme="minorEastAsia"/>
                <w:color w:val="000000"/>
                <w:sz w:val="24"/>
                <w:szCs w:val="24"/>
                <w:lang w:val="zh-TW" w:eastAsia="zh-TW"/>
              </w:rPr>
              <w:t>（提供截图并加盖原厂商公章）；</w:t>
            </w:r>
          </w:p>
          <w:p>
            <w:pPr>
              <w:autoSpaceDE w:val="0"/>
              <w:autoSpaceDN w:val="0"/>
              <w:adjustRightInd w:val="0"/>
              <w:snapToGrid w:val="0"/>
              <w:rPr>
                <w:rFonts w:cs="宋体" w:asciiTheme="minorEastAsia" w:hAnsiTheme="minorEastAsia" w:eastAsiaTheme="minorEastAsia"/>
                <w:color w:val="000000"/>
                <w:sz w:val="24"/>
                <w:szCs w:val="24"/>
                <w:lang w:val="zh-TW" w:eastAsia="zh-TW"/>
              </w:rPr>
            </w:pPr>
            <w:bookmarkStart w:id="61" w:name="_Hlk49439656"/>
            <w:r>
              <w:rPr>
                <w:rFonts w:hint="eastAsia" w:cs="宋体" w:asciiTheme="minorEastAsia" w:hAnsiTheme="minorEastAsia" w:eastAsiaTheme="minorEastAsia"/>
                <w:color w:val="000000"/>
                <w:sz w:val="24"/>
                <w:szCs w:val="24"/>
                <w:lang w:val="zh-TW" w:eastAsia="zh-TW"/>
              </w:rPr>
              <w:t>★</w:t>
            </w:r>
            <w:r>
              <w:rPr>
                <w:rFonts w:cs="宋体" w:asciiTheme="minorEastAsia" w:hAnsiTheme="minorEastAsia" w:eastAsiaTheme="minorEastAsia"/>
                <w:color w:val="000000"/>
                <w:sz w:val="24"/>
                <w:szCs w:val="24"/>
                <w:lang w:val="zh-TW" w:eastAsia="zh-TW"/>
              </w:rPr>
              <w:t>支持DNS协议防护的检测和清洗，如：DNS QUERY/REPLY FLOOD 、DNS 投毒攻击、DNS格式检查、DNS NX</w:t>
            </w:r>
            <w:r>
              <w:rPr>
                <w:rFonts w:hint="eastAsia" w:cs="宋体" w:asciiTheme="minorEastAsia" w:hAnsiTheme="minorEastAsia" w:eastAsiaTheme="minorEastAsia"/>
                <w:color w:val="000000"/>
                <w:sz w:val="24"/>
                <w:szCs w:val="24"/>
                <w:lang w:val="zh-TW" w:eastAsia="zh-TW"/>
              </w:rPr>
              <w:t>Domain FLOOD</w:t>
            </w:r>
            <w:r>
              <w:rPr>
                <w:rFonts w:cs="宋体" w:asciiTheme="minorEastAsia" w:hAnsiTheme="minorEastAsia" w:eastAsiaTheme="minorEastAsia"/>
                <w:color w:val="000000"/>
                <w:sz w:val="24"/>
                <w:szCs w:val="24"/>
                <w:lang w:val="zh-TW" w:eastAsia="zh-TW"/>
              </w:rPr>
              <w:t>、DNS资源分布检查。并且最少支持5种防护算法，包括但不限于：</w:t>
            </w:r>
            <w:r>
              <w:rPr>
                <w:rFonts w:hint="eastAsia" w:cs="宋体" w:asciiTheme="minorEastAsia" w:hAnsiTheme="minorEastAsia" w:eastAsiaTheme="minorEastAsia"/>
                <w:color w:val="000000"/>
                <w:sz w:val="24"/>
                <w:szCs w:val="24"/>
                <w:lang w:val="zh-TW" w:eastAsia="zh-TW"/>
              </w:rPr>
              <w:t>流量限速、</w:t>
            </w:r>
            <w:r>
              <w:rPr>
                <w:rFonts w:cs="宋体" w:asciiTheme="minorEastAsia" w:hAnsiTheme="minorEastAsia" w:eastAsiaTheme="minorEastAsia"/>
                <w:color w:val="000000"/>
                <w:sz w:val="24"/>
                <w:szCs w:val="24"/>
                <w:lang w:val="zh-TW" w:eastAsia="zh-TW"/>
              </w:rPr>
              <w:t>被动模式、基本源认证、cname认证、DNS域名资源缓存</w:t>
            </w:r>
            <w:r>
              <w:rPr>
                <w:rFonts w:hint="eastAsia" w:cs="宋体" w:asciiTheme="minorEastAsia" w:hAnsiTheme="minorEastAsia" w:eastAsiaTheme="minorEastAsia"/>
                <w:color w:val="000000"/>
                <w:sz w:val="24"/>
                <w:szCs w:val="24"/>
                <w:lang w:val="zh-TW" w:eastAsia="zh-TW"/>
              </w:rPr>
              <w:t>防御等</w:t>
            </w:r>
            <w:r>
              <w:rPr>
                <w:rFonts w:cs="宋体" w:asciiTheme="minorEastAsia" w:hAnsiTheme="minorEastAsia" w:eastAsiaTheme="minorEastAsia"/>
                <w:color w:val="000000"/>
                <w:sz w:val="24"/>
                <w:szCs w:val="24"/>
                <w:lang w:val="zh-TW" w:eastAsia="zh-TW"/>
              </w:rPr>
              <w:t>（提供截图并加盖原厂商公章）</w:t>
            </w:r>
            <w:r>
              <w:rPr>
                <w:rFonts w:hint="eastAsia" w:cs="宋体" w:asciiTheme="minorEastAsia" w:hAnsiTheme="minorEastAsia" w:eastAsiaTheme="minorEastAsia"/>
                <w:color w:val="000000"/>
                <w:sz w:val="24"/>
                <w:szCs w:val="24"/>
                <w:lang w:val="zh-TW" w:eastAsia="zh-TW"/>
              </w:rPr>
              <w:t>；</w:t>
            </w:r>
            <w:bookmarkEnd w:id="61"/>
          </w:p>
          <w:p>
            <w:pPr>
              <w:autoSpaceDE w:val="0"/>
              <w:autoSpaceDN w:val="0"/>
              <w:adjustRightInd w:val="0"/>
              <w:snapToGrid w:val="0"/>
              <w:rPr>
                <w:rFonts w:cs="宋体" w:asciiTheme="minorEastAsia" w:hAnsiTheme="minorEastAsia" w:eastAsiaTheme="minorEastAsia"/>
                <w:color w:val="000000"/>
                <w:sz w:val="24"/>
                <w:szCs w:val="24"/>
                <w:lang w:val="zh-TW" w:eastAsia="zh-TW"/>
              </w:rPr>
            </w:pPr>
            <w:r>
              <w:rPr>
                <w:rFonts w:hint="eastAsia" w:cs="宋体" w:asciiTheme="minorEastAsia" w:hAnsiTheme="minorEastAsia" w:eastAsiaTheme="minorEastAsia"/>
                <w:color w:val="000000"/>
                <w:sz w:val="24"/>
                <w:szCs w:val="24"/>
                <w:lang w:val="zh-TW" w:eastAsia="zh-TW"/>
              </w:rPr>
              <w:t>支持对annoymous攻击工具的防护；支持常见开源攻击工具的防护， Windows操作系统下、Unix/linux操作系统；支持对僵尸工具的防护；</w:t>
            </w:r>
          </w:p>
        </w:tc>
      </w:tr>
    </w:tbl>
    <w:tbl>
      <w:tblPr>
        <w:tblStyle w:val="3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481" w:type="dxa"/>
          </w:tcPr>
          <w:p>
            <w:pPr>
              <w:rPr>
                <w:sz w:val="24"/>
                <w:szCs w:val="24"/>
                <w:highlight w:val="none"/>
              </w:rPr>
            </w:pPr>
            <w:r>
              <w:rPr>
                <w:sz w:val="24"/>
                <w:szCs w:val="24"/>
                <w:highlight w:val="none"/>
              </w:rPr>
              <w:t>招标要求</w:t>
            </w:r>
          </w:p>
        </w:tc>
        <w:tc>
          <w:tcPr>
            <w:tcW w:w="8044" w:type="dxa"/>
          </w:tcPr>
          <w:p>
            <w:pPr>
              <w:rPr>
                <w:sz w:val="24"/>
                <w:szCs w:val="24"/>
                <w:highlight w:val="none"/>
              </w:rPr>
            </w:pPr>
            <w:r>
              <w:rPr>
                <w:rFonts w:hint="eastAsia" w:ascii="宋体" w:hAnsi="宋体" w:cs="宋体"/>
                <w:color w:val="000000"/>
                <w:kern w:val="0"/>
                <w:sz w:val="24"/>
                <w:szCs w:val="24"/>
                <w:highlight w:val="none"/>
              </w:rPr>
              <w:t>以上功能参数需要逐条满足，（提供截图证明文件）的并逐条测试功能，否则不予签署合同；须提供设备厂家原厂授权函，提供原厂商3年免费质保及升级服务。</w:t>
            </w:r>
          </w:p>
        </w:tc>
      </w:tr>
    </w:tbl>
    <w:p>
      <w:pPr>
        <w:autoSpaceDE w:val="0"/>
        <w:autoSpaceDN w:val="0"/>
        <w:adjustRightInd w:val="0"/>
        <w:snapToGrid w:val="0"/>
        <w:rPr>
          <w:rFonts w:cs="宋体" w:asciiTheme="minorEastAsia" w:hAnsiTheme="minorEastAsia" w:eastAsiaTheme="minorEastAsia"/>
          <w:color w:val="000000"/>
          <w:sz w:val="24"/>
          <w:szCs w:val="24"/>
          <w:lang w:val="zh-TW" w:eastAsia="zh-TW"/>
        </w:rPr>
      </w:pPr>
    </w:p>
    <w:p/>
    <w:p>
      <w:pPr>
        <w:pStyle w:val="2"/>
      </w:pP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7、防火墙2</w:t>
      </w:r>
    </w:p>
    <w:tbl>
      <w:tblPr>
        <w:tblStyle w:val="33"/>
        <w:tblpPr w:leftFromText="181" w:rightFromText="181" w:vertAnchor="text" w:horzAnchor="margin"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474" w:type="dxa"/>
          </w:tcPr>
          <w:p>
            <w:pPr>
              <w:snapToGrid w:val="0"/>
              <w:jc w:val="center"/>
              <w:rPr>
                <w:rFonts w:ascii="宋体" w:hAnsi="宋体" w:cs="宋体"/>
                <w:b/>
                <w:color w:val="000000"/>
                <w:sz w:val="24"/>
                <w:szCs w:val="24"/>
              </w:rPr>
            </w:pPr>
            <w:r>
              <w:rPr>
                <w:rFonts w:hint="eastAsia" w:ascii="宋体" w:hAnsi="宋体" w:cs="宋体"/>
                <w:b/>
                <w:color w:val="000000"/>
                <w:sz w:val="24"/>
                <w:szCs w:val="24"/>
              </w:rPr>
              <w:t>指标项</w:t>
            </w:r>
          </w:p>
        </w:tc>
        <w:tc>
          <w:tcPr>
            <w:tcW w:w="7848" w:type="dxa"/>
          </w:tcPr>
          <w:p>
            <w:pPr>
              <w:snapToGrid w:val="0"/>
              <w:jc w:val="center"/>
              <w:rPr>
                <w:rFonts w:ascii="宋体" w:hAnsi="宋体" w:cs="宋体"/>
                <w:b/>
                <w:color w:val="000000"/>
                <w:sz w:val="24"/>
                <w:szCs w:val="24"/>
              </w:rPr>
            </w:pPr>
            <w:r>
              <w:rPr>
                <w:rFonts w:hint="eastAsia" w:ascii="宋体" w:hAnsi="宋体" w:cs="宋体"/>
                <w:b/>
                <w:color w:val="00000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配置要求</w:t>
            </w:r>
          </w:p>
        </w:tc>
        <w:tc>
          <w:tcPr>
            <w:tcW w:w="7848" w:type="dxa"/>
          </w:tcPr>
          <w:p>
            <w:pPr>
              <w:snapToGrid w:val="0"/>
              <w:rPr>
                <w:rFonts w:ascii="宋体" w:hAnsi="宋体" w:cs="宋体"/>
                <w:color w:val="000000"/>
                <w:sz w:val="24"/>
                <w:szCs w:val="24"/>
              </w:rPr>
            </w:pPr>
            <w:r>
              <w:rPr>
                <w:rFonts w:hint="eastAsia" w:ascii="宋体" w:hAnsi="宋体" w:cs="宋体"/>
                <w:color w:val="000000"/>
                <w:sz w:val="24"/>
                <w:szCs w:val="24"/>
              </w:rPr>
              <w:t>吞吐量≥12Gbps，应用层吞吐量≥6Gbps，全威胁吞吐量：1Gbps，并发连接数≥300万；硬件指标：1U；冗余电源；产品支持8个10/100/1000BASE-T接口，2个SFP插槽和2个SFP+插槽，2个可插拔的扩展槽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vAlign w:val="center"/>
          </w:tcPr>
          <w:p>
            <w:pPr>
              <w:snapToGrid w:val="0"/>
              <w:jc w:val="center"/>
              <w:rPr>
                <w:rFonts w:ascii="宋体" w:hAnsi="宋体" w:cs="宋体"/>
                <w:color w:val="000000"/>
                <w:sz w:val="24"/>
                <w:szCs w:val="24"/>
              </w:rPr>
            </w:pPr>
          </w:p>
        </w:tc>
        <w:tc>
          <w:tcPr>
            <w:tcW w:w="7848" w:type="dxa"/>
          </w:tcPr>
          <w:p>
            <w:pPr>
              <w:snapToGrid w:val="0"/>
              <w:rPr>
                <w:rFonts w:ascii="宋体" w:hAnsi="宋体" w:cs="宋体"/>
                <w:color w:val="000000"/>
                <w:sz w:val="24"/>
                <w:szCs w:val="24"/>
              </w:rPr>
            </w:pPr>
            <w:r>
              <w:rPr>
                <w:rFonts w:hint="eastAsia" w:ascii="宋体" w:hAnsi="宋体" w:cs="宋体"/>
                <w:color w:val="000000"/>
                <w:sz w:val="24"/>
                <w:szCs w:val="24"/>
              </w:rPr>
              <w:t>产品由专用的硬件平台、安全操作系统及功能软件构成。设备采用自主知识产权的专用安全操作系统，采用多核多平台并行处理机制；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474" w:type="dxa"/>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工作模式</w:t>
            </w:r>
          </w:p>
        </w:tc>
        <w:tc>
          <w:tcPr>
            <w:tcW w:w="7848" w:type="dxa"/>
          </w:tcPr>
          <w:p>
            <w:pPr>
              <w:snapToGrid w:val="0"/>
              <w:rPr>
                <w:rFonts w:ascii="宋体" w:hAnsi="宋体" w:cs="宋体"/>
                <w:color w:val="000000"/>
                <w:sz w:val="24"/>
                <w:szCs w:val="24"/>
              </w:rPr>
            </w:pPr>
            <w:r>
              <w:rPr>
                <w:rFonts w:hint="eastAsia" w:ascii="宋体" w:hAnsi="宋体" w:cs="宋体"/>
                <w:color w:val="000000"/>
                <w:sz w:val="24"/>
                <w:szCs w:val="24"/>
              </w:rPr>
              <w:t>支持路由、交换、虚拟线、Listening、混合工作模式；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474" w:type="dxa"/>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路由支持</w:t>
            </w:r>
          </w:p>
        </w:tc>
        <w:tc>
          <w:tcPr>
            <w:tcW w:w="7848" w:type="dxa"/>
          </w:tcPr>
          <w:p>
            <w:pPr>
              <w:snapToGrid w:val="0"/>
              <w:rPr>
                <w:rFonts w:ascii="宋体" w:hAnsi="宋体" w:cs="宋体"/>
                <w:color w:val="000000"/>
                <w:sz w:val="24"/>
                <w:szCs w:val="24"/>
              </w:rPr>
            </w:pPr>
            <w:r>
              <w:rPr>
                <w:rFonts w:hint="eastAsia" w:ascii="宋体" w:hAnsi="宋体" w:cs="宋体"/>
                <w:color w:val="000000"/>
                <w:sz w:val="24"/>
                <w:szCs w:val="24"/>
              </w:rPr>
              <w:t>★支持RIP、OSPF、BGP4、QinQ、PIM-SM、PIM-DM；（提供截图并加盖原厂商公章并加盖原厂商公章并加盖原厂商公章）</w:t>
            </w:r>
          </w:p>
          <w:p>
            <w:pPr>
              <w:pStyle w:val="2"/>
              <w:ind w:left="0" w:leftChars="0"/>
              <w:rPr>
                <w:rFonts w:ascii="宋体" w:hAnsi="宋体" w:cs="宋体"/>
                <w:color w:val="000000"/>
                <w:sz w:val="24"/>
                <w:szCs w:val="24"/>
              </w:rPr>
            </w:pPr>
            <w:r>
              <w:rPr>
                <w:rFonts w:hint="eastAsia" w:ascii="宋体" w:hAnsi="宋体" w:cs="宋体"/>
                <w:color w:val="000000"/>
                <w:sz w:val="24"/>
                <w:szCs w:val="24"/>
              </w:rPr>
              <w:t>★支持策略略路由，支持根据入接口、源/目的IP地址、协议、用户、应用、选路算法、探测等多种条件设置策略路由；（提供截图并加盖原厂商公章并加盖原厂商公章）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474" w:type="dxa"/>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基础功能</w:t>
            </w:r>
          </w:p>
        </w:tc>
        <w:tc>
          <w:tcPr>
            <w:tcW w:w="7848" w:type="dxa"/>
          </w:tcPr>
          <w:p>
            <w:pPr>
              <w:snapToGrid w:val="0"/>
              <w:rPr>
                <w:rFonts w:ascii="宋体" w:hAnsi="宋体" w:cs="宋体"/>
                <w:color w:val="000000"/>
                <w:sz w:val="24"/>
                <w:szCs w:val="24"/>
              </w:rPr>
            </w:pPr>
            <w:r>
              <w:rPr>
                <w:rFonts w:hint="eastAsia" w:ascii="宋体" w:hAnsi="宋体" w:cs="宋体"/>
                <w:color w:val="000000"/>
                <w:sz w:val="24"/>
                <w:szCs w:val="24"/>
              </w:rPr>
              <w:t>★支持一体化安全策略配置，可以通过一条策略实现五元组、源MAC、源地区、目的地区、域名、应用、服务、时间、长连接、并发会话、WEB认证、IPS、AV、URL过滤、高级威胁防护、WAF、邮件安全、数据过滤、文件过滤、僵木蠕防御、审计、防代理、APT等功能配置,简化用户管理；（提供截图并加盖原厂商公章并加盖原厂商公章）</w:t>
            </w:r>
          </w:p>
          <w:p>
            <w:pPr>
              <w:autoSpaceDE w:val="0"/>
              <w:autoSpaceDN w:val="0"/>
              <w:adjustRightInd w:val="0"/>
              <w:snapToGrid w:val="0"/>
              <w:rPr>
                <w:rFonts w:ascii="宋体" w:hAnsi="宋体" w:cs="宋体"/>
                <w:color w:val="000000"/>
                <w:sz w:val="24"/>
                <w:szCs w:val="24"/>
              </w:rPr>
            </w:pPr>
            <w:r>
              <w:rPr>
                <w:rFonts w:hint="eastAsia" w:ascii="宋体" w:hAnsi="宋体" w:cs="宋体"/>
                <w:color w:val="000000"/>
                <w:sz w:val="24"/>
                <w:szCs w:val="24"/>
              </w:rPr>
              <w:t>★访问控制策略执行动作支持允许、禁止及认证，对符合条件的流量进行Web认证，在策略中可设置用户 Web 认证的门户地址；（提供截图并加盖原厂商公章并加盖原厂商公章）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74" w:type="dxa"/>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安全防御</w:t>
            </w:r>
          </w:p>
        </w:tc>
        <w:tc>
          <w:tcPr>
            <w:tcW w:w="7848" w:type="dxa"/>
          </w:tcPr>
          <w:p>
            <w:pPr>
              <w:snapToGrid w:val="0"/>
              <w:rPr>
                <w:rFonts w:ascii="宋体" w:hAnsi="宋体" w:cs="宋体"/>
                <w:color w:val="000000"/>
                <w:sz w:val="24"/>
                <w:szCs w:val="24"/>
              </w:rPr>
            </w:pPr>
            <w:r>
              <w:rPr>
                <w:rFonts w:hint="eastAsia" w:ascii="宋体" w:hAnsi="宋体" w:cs="宋体"/>
                <w:color w:val="000000"/>
                <w:sz w:val="24"/>
                <w:szCs w:val="24"/>
              </w:rPr>
              <w:t>规则库支持根据攻击类型、风险等级、流行程度、操作系统等进行分类，防护动作包括告警、阻断、记录攻击报文；（提供截图并加盖原厂商公章并加盖原厂商公章）</w:t>
            </w:r>
          </w:p>
          <w:p>
            <w:pPr>
              <w:pStyle w:val="2"/>
              <w:ind w:left="0" w:leftChars="0"/>
              <w:rPr>
                <w:rFonts w:ascii="宋体" w:hAnsi="宋体" w:cs="宋体"/>
                <w:color w:val="000000"/>
                <w:sz w:val="24"/>
                <w:szCs w:val="24"/>
              </w:rPr>
            </w:pPr>
            <w:r>
              <w:rPr>
                <w:rFonts w:hint="eastAsia" w:ascii="宋体" w:hAnsi="宋体" w:cs="宋体"/>
                <w:color w:val="000000"/>
                <w:sz w:val="24"/>
                <w:szCs w:val="24"/>
              </w:rPr>
              <w:t>支持针对IP、ICMP、TCP、UDP、DNS、HTTP、HTTPS、SIP、NTP等协议进行DDOS防护；支持预定义和自定义策略模板；（提供截图并加盖原厂商公章并加盖原厂商公章）</w:t>
            </w:r>
          </w:p>
          <w:p>
            <w:pPr>
              <w:rPr>
                <w:rFonts w:ascii="宋体" w:hAnsi="宋体" w:cs="宋体"/>
                <w:color w:val="000000"/>
                <w:sz w:val="24"/>
                <w:szCs w:val="24"/>
              </w:rPr>
            </w:pPr>
            <w:r>
              <w:rPr>
                <w:rFonts w:hint="eastAsia" w:ascii="宋体" w:hAnsi="宋体" w:cs="宋体"/>
                <w:color w:val="000000"/>
                <w:sz w:val="24"/>
                <w:szCs w:val="24"/>
              </w:rPr>
              <w:t>★内置内容过滤功能，支持基于http、ftp、telnet、smtp、pop3协议的内容过滤策略，可对FTP上传/下载的文件名进行过滤，同时支持过滤FTP信令：上传文件、下载文件、删除文件、重命名文件、创建目录、删除目录、列出目录等，邮件过滤支持对发件人、收件人、主题、内容、附件等进行过滤；（提供截图并加盖原厂商公章并加盖原厂商公章）</w:t>
            </w:r>
          </w:p>
          <w:p>
            <w:pPr>
              <w:pStyle w:val="2"/>
              <w:ind w:left="0" w:leftChars="0"/>
              <w:rPr>
                <w:rFonts w:ascii="宋体" w:hAnsi="宋体" w:cs="宋体"/>
                <w:color w:val="000000"/>
                <w:sz w:val="24"/>
                <w:szCs w:val="24"/>
              </w:rPr>
            </w:pPr>
            <w:r>
              <w:rPr>
                <w:rFonts w:hint="eastAsia" w:ascii="宋体" w:hAnsi="宋体" w:cs="宋体"/>
                <w:color w:val="000000"/>
                <w:sz w:val="24"/>
                <w:szCs w:val="24"/>
              </w:rPr>
              <w:t>★内置高级威胁防护，可对DGA、隐蔽信道、恶意加密流量进行检测，支持监控高级威胁检测数据，并进行可视化展示；</w:t>
            </w:r>
          </w:p>
          <w:p>
            <w:pPr>
              <w:rPr>
                <w:rFonts w:ascii="宋体" w:hAnsi="宋体" w:cs="宋体"/>
                <w:color w:val="000000"/>
                <w:sz w:val="24"/>
                <w:szCs w:val="24"/>
              </w:rPr>
            </w:pPr>
            <w:r>
              <w:rPr>
                <w:rFonts w:hint="eastAsia" w:ascii="宋体" w:hAnsi="宋体" w:cs="宋体"/>
                <w:color w:val="000000"/>
                <w:sz w:val="24"/>
                <w:szCs w:val="24"/>
              </w:rPr>
              <w:t>★内置行为分析功能，对新建连接数、并发连接数、流量等数据进行统计分析，建立业务行为基线，对异常行为进行告警；支持行为分析监控展示，可展示不同行为分析策略的实时数据和基线数据趋势；（提供截图并加盖原厂商公章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74" w:type="dxa"/>
            <w:vAlign w:val="center"/>
          </w:tcPr>
          <w:p>
            <w:pPr>
              <w:snapToGrid w:val="0"/>
              <w:jc w:val="center"/>
              <w:rPr>
                <w:rFonts w:ascii="宋体" w:hAnsi="宋体" w:cs="宋体"/>
                <w:color w:val="000000"/>
                <w:sz w:val="24"/>
                <w:szCs w:val="24"/>
              </w:rPr>
            </w:pPr>
            <w:r>
              <w:rPr>
                <w:rFonts w:hint="eastAsia" w:ascii="宋体" w:hAnsi="宋体" w:cs="宋体"/>
                <w:color w:val="000000"/>
                <w:sz w:val="24"/>
                <w:szCs w:val="24"/>
              </w:rPr>
              <w:t>病毒防护</w:t>
            </w:r>
          </w:p>
        </w:tc>
        <w:tc>
          <w:tcPr>
            <w:tcW w:w="7848" w:type="dxa"/>
          </w:tcPr>
          <w:p>
            <w:pPr>
              <w:rPr>
                <w:rFonts w:ascii="宋体" w:hAnsi="宋体" w:cs="宋体"/>
                <w:color w:val="000000"/>
                <w:sz w:val="24"/>
                <w:szCs w:val="24"/>
              </w:rPr>
            </w:pPr>
            <w:r>
              <w:rPr>
                <w:rFonts w:hint="eastAsia" w:ascii="宋体" w:hAnsi="宋体" w:cs="宋体"/>
                <w:color w:val="000000"/>
                <w:sz w:val="24"/>
                <w:szCs w:val="24"/>
              </w:rPr>
              <w:t>★支持对HTTP/SMTP/POP3/FTP/IM等协议进行病毒防御；（提供截图并加盖原厂商公章并加盖原厂商公章）</w:t>
            </w:r>
          </w:p>
          <w:p>
            <w:pPr>
              <w:rPr>
                <w:rFonts w:ascii="宋体" w:hAnsi="宋体" w:cs="宋体"/>
                <w:color w:val="000000"/>
                <w:sz w:val="24"/>
                <w:szCs w:val="24"/>
              </w:rPr>
            </w:pPr>
            <w:r>
              <w:rPr>
                <w:rFonts w:hint="eastAsia" w:ascii="宋体" w:hAnsi="宋体" w:cs="宋体"/>
                <w:color w:val="000000"/>
                <w:sz w:val="24"/>
                <w:szCs w:val="24"/>
              </w:rPr>
              <w:t>★支持针对地址、应用设置僵木蠕防护白名单，支持攻击规则搜索以及自定义规则，自定义规则支持导入导出；（提供截图并加盖原厂商公章并加盖原厂商公章）</w:t>
            </w:r>
          </w:p>
          <w:p>
            <w:pPr>
              <w:rPr>
                <w:rFonts w:ascii="宋体" w:hAnsi="宋体" w:cs="宋体"/>
                <w:color w:val="000000"/>
                <w:sz w:val="24"/>
                <w:szCs w:val="24"/>
              </w:rPr>
            </w:pPr>
            <w:r>
              <w:rPr>
                <w:rFonts w:hint="eastAsia" w:ascii="宋体" w:hAnsi="宋体" w:cs="宋体"/>
                <w:color w:val="000000"/>
                <w:sz w:val="24"/>
                <w:szCs w:val="24"/>
              </w:rPr>
              <w:t xml:space="preserve">★支持对威胁事件、攻击来源、受威胁主机、威胁趋势等进行监控统计，并可进行可视化展示；（提供截图并加盖原厂商公章并加盖原厂商公章） </w:t>
            </w:r>
          </w:p>
        </w:tc>
      </w:tr>
    </w:tbl>
    <w:tbl>
      <w:tblPr>
        <w:tblStyle w:val="33"/>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7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657" w:type="dxa"/>
          </w:tcPr>
          <w:p>
            <w:pPr>
              <w:rPr>
                <w:rFonts w:ascii="宋体" w:hAnsi="宋体" w:cs="宋体"/>
                <w:color w:val="000000"/>
                <w:sz w:val="24"/>
                <w:szCs w:val="24"/>
                <w:highlight w:val="none"/>
              </w:rPr>
            </w:pPr>
          </w:p>
          <w:p>
            <w:pPr>
              <w:rPr>
                <w:rFonts w:ascii="宋体" w:hAnsi="宋体" w:cs="宋体"/>
                <w:color w:val="000000"/>
                <w:sz w:val="24"/>
                <w:szCs w:val="24"/>
                <w:highlight w:val="none"/>
              </w:rPr>
            </w:pPr>
            <w:r>
              <w:rPr>
                <w:rFonts w:ascii="宋体" w:hAnsi="宋体" w:cs="宋体"/>
                <w:color w:val="000000"/>
                <w:sz w:val="24"/>
                <w:szCs w:val="24"/>
                <w:highlight w:val="none"/>
              </w:rPr>
              <w:t>招标要求</w:t>
            </w:r>
          </w:p>
        </w:tc>
        <w:tc>
          <w:tcPr>
            <w:tcW w:w="7640" w:type="dxa"/>
          </w:tcPr>
          <w:p>
            <w:pPr>
              <w:rPr>
                <w:rFonts w:ascii="宋体" w:hAnsi="宋体" w:cs="宋体"/>
                <w:color w:val="000000"/>
                <w:sz w:val="24"/>
                <w:szCs w:val="24"/>
                <w:highlight w:val="none"/>
              </w:rPr>
            </w:pPr>
            <w:r>
              <w:rPr>
                <w:rFonts w:hint="eastAsia" w:ascii="宋体" w:hAnsi="宋体" w:cs="宋体"/>
                <w:color w:val="000000"/>
                <w:sz w:val="24"/>
                <w:szCs w:val="24"/>
                <w:highlight w:val="none"/>
              </w:rPr>
              <w:t>以上功能参数需要逐条满足，（提供截图证明文件）的并逐条测试功能，否则不予签署合同；须提供设备厂家原厂授权函，提供原厂商3年免费质保及升级服务。</w:t>
            </w:r>
          </w:p>
        </w:tc>
      </w:tr>
    </w:tbl>
    <w:p>
      <w:pPr>
        <w:rPr>
          <w:rFonts w:hint="eastAsia" w:asciiTheme="minorEastAsia" w:hAnsiTheme="minorEastAsia" w:eastAsiaTheme="minorEastAsia"/>
          <w:b/>
          <w:bCs/>
          <w:sz w:val="28"/>
          <w:szCs w:val="28"/>
        </w:rPr>
      </w:pPr>
    </w:p>
    <w:p>
      <w:pPr>
        <w:rPr>
          <w:rFonts w:hint="eastAsia" w:asciiTheme="minorEastAsia" w:hAnsiTheme="minorEastAsia" w:eastAsiaTheme="minorEastAsia"/>
          <w:b/>
          <w:bCs/>
          <w:sz w:val="28"/>
          <w:szCs w:val="28"/>
        </w:rPr>
      </w:pP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8、安全隔离与信息单向导入系统</w:t>
      </w:r>
    </w:p>
    <w:tbl>
      <w:tblPr>
        <w:tblStyle w:val="3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rPr>
                <w:rFonts w:ascii="宋体" w:hAnsi="宋体" w:cs="宋体"/>
                <w:color w:val="000000"/>
                <w:kern w:val="0"/>
                <w:sz w:val="24"/>
                <w:szCs w:val="24"/>
              </w:rPr>
            </w:pPr>
            <w:r>
              <w:rPr>
                <w:rFonts w:hint="eastAsia" w:ascii="宋体" w:hAnsi="宋体" w:cs="宋体"/>
                <w:color w:val="000000"/>
                <w:kern w:val="0"/>
                <w:sz w:val="24"/>
                <w:szCs w:val="24"/>
              </w:rPr>
              <w:t>指标项</w:t>
            </w:r>
          </w:p>
        </w:tc>
        <w:tc>
          <w:tcPr>
            <w:tcW w:w="8080" w:type="dxa"/>
          </w:tcPr>
          <w:p>
            <w:pPr>
              <w:jc w:val="center"/>
              <w:rPr>
                <w:rFonts w:ascii="宋体" w:hAnsi="宋体" w:cs="宋体"/>
                <w:color w:val="000000"/>
                <w:kern w:val="0"/>
                <w:sz w:val="24"/>
                <w:szCs w:val="24"/>
              </w:rPr>
            </w:pPr>
            <w:r>
              <w:rPr>
                <w:rFonts w:hint="eastAsia" w:ascii="宋体" w:hAnsi="宋体" w:cs="宋体"/>
                <w:color w:val="000000"/>
                <w:kern w:val="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rPr>
                <w:rFonts w:ascii="宋体" w:hAnsi="宋体" w:cs="宋体"/>
                <w:color w:val="000000"/>
                <w:kern w:val="0"/>
                <w:sz w:val="24"/>
                <w:szCs w:val="24"/>
              </w:rPr>
            </w:pPr>
            <w:r>
              <w:rPr>
                <w:rFonts w:hint="eastAsia" w:ascii="宋体" w:hAnsi="宋体" w:cs="宋体"/>
                <w:color w:val="000000"/>
                <w:kern w:val="0"/>
                <w:sz w:val="24"/>
                <w:szCs w:val="24"/>
              </w:rPr>
              <w:t>硬件和接口</w:t>
            </w:r>
          </w:p>
        </w:tc>
        <w:tc>
          <w:tcPr>
            <w:tcW w:w="8080" w:type="dxa"/>
          </w:tcPr>
          <w:p>
            <w:pPr>
              <w:rPr>
                <w:rFonts w:ascii="宋体" w:hAns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采用2+1硬件</w:t>
            </w:r>
            <w:r>
              <w:rPr>
                <w:rFonts w:hint="eastAsia" w:ascii="宋体" w:hAnsi="宋体" w:cs="宋体"/>
                <w:color w:val="000000"/>
                <w:kern w:val="0"/>
                <w:sz w:val="24"/>
                <w:szCs w:val="24"/>
              </w:rPr>
              <w:t>架构</w:t>
            </w:r>
            <w:r>
              <w:rPr>
                <w:rFonts w:ascii="宋体" w:hAnsi="宋体" w:cs="宋体"/>
                <w:color w:val="000000"/>
                <w:kern w:val="0"/>
                <w:sz w:val="24"/>
                <w:szCs w:val="24"/>
              </w:rPr>
              <w:t>，具</w:t>
            </w:r>
            <w:r>
              <w:rPr>
                <w:rFonts w:hint="eastAsia" w:ascii="宋体" w:hAnsi="宋体" w:cs="宋体"/>
                <w:color w:val="000000"/>
                <w:kern w:val="0"/>
                <w:sz w:val="24"/>
                <w:szCs w:val="24"/>
              </w:rPr>
              <w:t>有</w:t>
            </w:r>
            <w:r>
              <w:rPr>
                <w:rFonts w:ascii="宋体" w:hAnsi="宋体" w:cs="宋体"/>
                <w:color w:val="000000"/>
                <w:kern w:val="0"/>
                <w:sz w:val="24"/>
                <w:szCs w:val="24"/>
              </w:rPr>
              <w:t>两</w:t>
            </w:r>
            <w:r>
              <w:rPr>
                <w:rFonts w:hint="eastAsia" w:ascii="宋体" w:hAnsi="宋体" w:cs="宋体"/>
                <w:color w:val="000000"/>
                <w:kern w:val="0"/>
                <w:sz w:val="24"/>
                <w:szCs w:val="24"/>
              </w:rPr>
              <w:t>个</w:t>
            </w:r>
            <w:r>
              <w:rPr>
                <w:rFonts w:ascii="宋体" w:hAnsi="宋体" w:cs="宋体"/>
                <w:color w:val="000000"/>
                <w:kern w:val="0"/>
                <w:sz w:val="24"/>
                <w:szCs w:val="24"/>
              </w:rPr>
              <w:t>独立主机</w:t>
            </w:r>
            <w:r>
              <w:rPr>
                <w:rFonts w:hint="eastAsia" w:ascii="宋体" w:hAnsi="宋体" w:cs="宋体"/>
                <w:color w:val="000000"/>
                <w:kern w:val="0"/>
                <w:sz w:val="24"/>
                <w:szCs w:val="24"/>
              </w:rPr>
              <w:t>，独立主机</w:t>
            </w:r>
            <w:r>
              <w:rPr>
                <w:rFonts w:ascii="宋体" w:hAnsi="宋体" w:cs="宋体"/>
                <w:color w:val="000000"/>
                <w:kern w:val="0"/>
                <w:sz w:val="24"/>
                <w:szCs w:val="24"/>
              </w:rPr>
              <w:t>之间，仅使用</w:t>
            </w:r>
            <w:r>
              <w:rPr>
                <w:rFonts w:hint="eastAsia" w:ascii="宋体" w:hAnsi="宋体" w:cs="宋体"/>
                <w:color w:val="000000"/>
                <w:kern w:val="0"/>
                <w:sz w:val="24"/>
                <w:szCs w:val="24"/>
              </w:rPr>
              <w:t>单个无源分光器进行单纤</w:t>
            </w:r>
            <w:r>
              <w:rPr>
                <w:rFonts w:ascii="宋体" w:hAnsi="宋体" w:cs="宋体"/>
                <w:color w:val="000000"/>
                <w:kern w:val="0"/>
                <w:sz w:val="24"/>
                <w:szCs w:val="24"/>
              </w:rPr>
              <w:t>连接，不存在</w:t>
            </w:r>
            <w:r>
              <w:rPr>
                <w:rFonts w:hint="eastAsia" w:ascii="宋体" w:hAnsi="宋体" w:cs="宋体"/>
                <w:color w:val="000000"/>
                <w:kern w:val="0"/>
                <w:sz w:val="24"/>
                <w:szCs w:val="24"/>
              </w:rPr>
              <w:t>反方向</w:t>
            </w:r>
            <w:r>
              <w:rPr>
                <w:rFonts w:ascii="宋体" w:hAnsi="宋体" w:cs="宋体"/>
                <w:color w:val="000000"/>
                <w:kern w:val="0"/>
                <w:sz w:val="24"/>
                <w:szCs w:val="24"/>
              </w:rPr>
              <w:t>的物理通道；</w:t>
            </w:r>
            <w:r>
              <w:rPr>
                <w:rFonts w:hint="eastAsia" w:ascii="宋体" w:hAnsi="宋体" w:cs="宋体"/>
                <w:color w:val="000000"/>
                <w:kern w:val="0"/>
                <w:sz w:val="24"/>
                <w:szCs w:val="24"/>
              </w:rPr>
              <w:t xml:space="preserve"> </w:t>
            </w:r>
          </w:p>
          <w:p>
            <w:pPr>
              <w:rPr>
                <w:rFonts w:ascii="宋体" w:hAnsi="宋体" w:cs="宋体"/>
                <w:color w:val="000000"/>
                <w:kern w:val="2"/>
                <w:sz w:val="24"/>
                <w:szCs w:val="24"/>
              </w:rPr>
            </w:pPr>
            <w:r>
              <w:rPr>
                <w:rFonts w:hint="eastAsia" w:ascii="宋体" w:hAnsi="宋体" w:cs="宋体"/>
                <w:color w:val="000000"/>
                <w:kern w:val="2"/>
                <w:sz w:val="24"/>
                <w:szCs w:val="24"/>
              </w:rPr>
              <w:t>标准机架式机箱，冗余电源，设备提供液晶面板，内外网硬盘各1T；</w:t>
            </w:r>
          </w:p>
          <w:p>
            <w:pPr>
              <w:rPr>
                <w:rFonts w:ascii="宋体" w:hAnsi="宋体" w:cs="宋体"/>
                <w:color w:val="000000"/>
                <w:kern w:val="2"/>
                <w:sz w:val="24"/>
                <w:szCs w:val="24"/>
              </w:rPr>
            </w:pPr>
            <w:r>
              <w:rPr>
                <w:rFonts w:hint="eastAsia" w:ascii="宋体" w:hAnsi="宋体" w:cs="宋体"/>
                <w:color w:val="000000"/>
                <w:kern w:val="2"/>
                <w:sz w:val="24"/>
                <w:szCs w:val="24"/>
              </w:rPr>
              <w:t>内网接口：不少于6个10M/100M/1000M自适应电口、2个SFP插槽、</w:t>
            </w:r>
            <w:r>
              <w:rPr>
                <w:rFonts w:ascii="宋体" w:hAnsi="宋体" w:cs="宋体"/>
                <w:color w:val="000000"/>
                <w:kern w:val="2"/>
                <w:sz w:val="24"/>
                <w:szCs w:val="24"/>
              </w:rPr>
              <w:t>1</w:t>
            </w:r>
            <w:r>
              <w:rPr>
                <w:rFonts w:hint="eastAsia" w:ascii="宋体" w:hAnsi="宋体" w:cs="宋体"/>
                <w:color w:val="000000"/>
                <w:kern w:val="2"/>
                <w:sz w:val="24"/>
                <w:szCs w:val="24"/>
              </w:rPr>
              <w:t>个</w:t>
            </w:r>
            <w:r>
              <w:rPr>
                <w:rFonts w:ascii="宋体" w:hAnsi="宋体" w:cs="宋体"/>
                <w:color w:val="000000"/>
                <w:kern w:val="2"/>
                <w:sz w:val="24"/>
                <w:szCs w:val="24"/>
              </w:rPr>
              <w:t>Console</w:t>
            </w:r>
            <w:r>
              <w:rPr>
                <w:rFonts w:hint="eastAsia" w:ascii="宋体" w:hAnsi="宋体" w:cs="宋体"/>
                <w:color w:val="000000"/>
                <w:kern w:val="2"/>
                <w:sz w:val="24"/>
                <w:szCs w:val="24"/>
              </w:rPr>
              <w:t>口和</w:t>
            </w:r>
            <w:r>
              <w:rPr>
                <w:rFonts w:ascii="宋体" w:hAnsi="宋体" w:cs="宋体"/>
                <w:color w:val="000000"/>
                <w:kern w:val="2"/>
                <w:sz w:val="24"/>
                <w:szCs w:val="24"/>
              </w:rPr>
              <w:t>2</w:t>
            </w:r>
            <w:r>
              <w:rPr>
                <w:rFonts w:hint="eastAsia" w:ascii="宋体" w:hAnsi="宋体" w:cs="宋体"/>
                <w:color w:val="000000"/>
                <w:kern w:val="2"/>
                <w:sz w:val="24"/>
                <w:szCs w:val="24"/>
              </w:rPr>
              <w:t>个</w:t>
            </w:r>
            <w:r>
              <w:rPr>
                <w:rFonts w:ascii="宋体" w:hAnsi="宋体" w:cs="宋体"/>
                <w:color w:val="000000"/>
                <w:kern w:val="2"/>
                <w:sz w:val="24"/>
                <w:szCs w:val="24"/>
              </w:rPr>
              <w:t>USB</w:t>
            </w:r>
            <w:r>
              <w:rPr>
                <w:rFonts w:hint="eastAsia" w:ascii="宋体" w:hAnsi="宋体" w:cs="宋体"/>
                <w:color w:val="000000"/>
                <w:kern w:val="2"/>
                <w:sz w:val="24"/>
                <w:szCs w:val="24"/>
              </w:rPr>
              <w:t>口。</w:t>
            </w:r>
          </w:p>
          <w:p>
            <w:pPr>
              <w:rPr>
                <w:rFonts w:ascii="宋体" w:hAnsi="宋体" w:cs="宋体"/>
                <w:color w:val="000000"/>
                <w:kern w:val="0"/>
                <w:sz w:val="24"/>
                <w:szCs w:val="24"/>
              </w:rPr>
            </w:pPr>
            <w:r>
              <w:rPr>
                <w:rFonts w:hint="eastAsia" w:ascii="宋体" w:hAnsi="宋体" w:cs="宋体"/>
                <w:color w:val="000000"/>
                <w:kern w:val="2"/>
                <w:sz w:val="24"/>
                <w:szCs w:val="24"/>
              </w:rPr>
              <w:t>外网接口：不少于6个10M/100M/1000M自适应电口、2个SFP插槽、</w:t>
            </w:r>
            <w:r>
              <w:rPr>
                <w:rFonts w:ascii="宋体" w:hAnsi="宋体" w:cs="宋体"/>
                <w:color w:val="000000"/>
                <w:kern w:val="2"/>
                <w:sz w:val="24"/>
                <w:szCs w:val="24"/>
              </w:rPr>
              <w:t>1</w:t>
            </w:r>
            <w:r>
              <w:rPr>
                <w:rFonts w:hint="eastAsia" w:ascii="宋体" w:hAnsi="宋体" w:cs="宋体"/>
                <w:color w:val="000000"/>
                <w:kern w:val="2"/>
                <w:sz w:val="24"/>
                <w:szCs w:val="24"/>
              </w:rPr>
              <w:t>个</w:t>
            </w:r>
            <w:r>
              <w:rPr>
                <w:rFonts w:ascii="宋体" w:hAnsi="宋体" w:cs="宋体"/>
                <w:color w:val="000000"/>
                <w:kern w:val="2"/>
                <w:sz w:val="24"/>
                <w:szCs w:val="24"/>
              </w:rPr>
              <w:t>Console</w:t>
            </w:r>
            <w:r>
              <w:rPr>
                <w:rFonts w:hint="eastAsia" w:ascii="宋体" w:hAnsi="宋体" w:cs="宋体"/>
                <w:color w:val="000000"/>
                <w:kern w:val="2"/>
                <w:sz w:val="24"/>
                <w:szCs w:val="24"/>
              </w:rPr>
              <w:t>口和</w:t>
            </w:r>
            <w:r>
              <w:rPr>
                <w:rFonts w:ascii="宋体" w:hAnsi="宋体" w:cs="宋体"/>
                <w:color w:val="000000"/>
                <w:kern w:val="2"/>
                <w:sz w:val="24"/>
                <w:szCs w:val="24"/>
              </w:rPr>
              <w:t>2</w:t>
            </w:r>
            <w:r>
              <w:rPr>
                <w:rFonts w:hint="eastAsia" w:ascii="宋体" w:hAnsi="宋体" w:cs="宋体"/>
                <w:color w:val="000000"/>
                <w:kern w:val="2"/>
                <w:sz w:val="24"/>
                <w:szCs w:val="24"/>
              </w:rPr>
              <w:t>个</w:t>
            </w:r>
            <w:r>
              <w:rPr>
                <w:rFonts w:ascii="宋体" w:hAnsi="宋体" w:cs="宋体"/>
                <w:color w:val="000000"/>
                <w:kern w:val="2"/>
                <w:sz w:val="24"/>
                <w:szCs w:val="24"/>
              </w:rPr>
              <w:t>USB</w:t>
            </w:r>
            <w:r>
              <w:rPr>
                <w:rFonts w:hint="eastAsia" w:ascii="宋体" w:hAnsi="宋体" w:cs="宋体"/>
                <w:color w:val="000000"/>
                <w:kern w:val="2"/>
                <w:sz w:val="24"/>
                <w:szCs w:val="24"/>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rPr>
                <w:rFonts w:ascii="宋体" w:hAnsi="宋体" w:cs="宋体"/>
                <w:color w:val="000000"/>
                <w:kern w:val="0"/>
                <w:sz w:val="24"/>
                <w:szCs w:val="24"/>
              </w:rPr>
            </w:pPr>
            <w:r>
              <w:rPr>
                <w:rFonts w:hint="eastAsia" w:ascii="宋体" w:hAnsi="宋体" w:cs="宋体"/>
                <w:color w:val="000000"/>
                <w:kern w:val="0"/>
                <w:sz w:val="24"/>
                <w:szCs w:val="24"/>
              </w:rPr>
              <w:t>性能参数</w:t>
            </w:r>
          </w:p>
        </w:tc>
        <w:tc>
          <w:tcPr>
            <w:tcW w:w="8080" w:type="dxa"/>
          </w:tcPr>
          <w:p>
            <w:pPr>
              <w:rPr>
                <w:rFonts w:ascii="宋体" w:hAnsi="宋体" w:cs="宋体"/>
                <w:color w:val="000000"/>
                <w:kern w:val="2"/>
                <w:sz w:val="24"/>
                <w:szCs w:val="24"/>
              </w:rPr>
            </w:pPr>
            <w:r>
              <w:rPr>
                <w:rFonts w:hint="eastAsia" w:ascii="宋体" w:hAnsi="宋体" w:cs="宋体"/>
                <w:color w:val="000000"/>
                <w:kern w:val="2"/>
                <w:sz w:val="24"/>
                <w:szCs w:val="24"/>
              </w:rPr>
              <w:t>数据库数据同步性能：≥1,000条/秒；</w:t>
            </w:r>
          </w:p>
          <w:p>
            <w:pPr>
              <w:rPr>
                <w:rFonts w:ascii="宋体" w:hAnsi="宋体" w:cs="宋体"/>
                <w:color w:val="000000"/>
                <w:kern w:val="2"/>
                <w:sz w:val="24"/>
                <w:szCs w:val="24"/>
              </w:rPr>
            </w:pPr>
            <w:r>
              <w:rPr>
                <w:rFonts w:hint="eastAsia" w:ascii="宋体" w:hAnsi="宋体" w:cs="宋体"/>
                <w:color w:val="000000"/>
                <w:kern w:val="2"/>
                <w:sz w:val="24"/>
                <w:szCs w:val="24"/>
              </w:rPr>
              <w:t>小文件数据同步性能：≥1,000个/秒；</w:t>
            </w:r>
          </w:p>
          <w:p>
            <w:pPr>
              <w:rPr>
                <w:rFonts w:ascii="宋体" w:hAnsi="宋体" w:cs="宋体"/>
                <w:color w:val="000000"/>
                <w:kern w:val="2"/>
                <w:sz w:val="24"/>
                <w:szCs w:val="24"/>
              </w:rPr>
            </w:pPr>
            <w:r>
              <w:rPr>
                <w:rFonts w:hint="eastAsia" w:ascii="宋体" w:hAnsi="宋体" w:cs="宋体"/>
                <w:color w:val="000000"/>
                <w:kern w:val="2"/>
                <w:sz w:val="24"/>
                <w:szCs w:val="24"/>
              </w:rPr>
              <w:t>最大传输延时：≤80ms；</w:t>
            </w:r>
          </w:p>
          <w:p>
            <w:pPr>
              <w:rPr>
                <w:rFonts w:ascii="宋体" w:hAnsi="宋体" w:cs="宋体"/>
                <w:color w:val="000000"/>
                <w:kern w:val="2"/>
                <w:sz w:val="24"/>
                <w:szCs w:val="24"/>
              </w:rPr>
            </w:pPr>
            <w:r>
              <w:rPr>
                <w:rFonts w:hint="eastAsia" w:ascii="宋体" w:hAnsi="宋体" w:cs="宋体"/>
                <w:color w:val="000000"/>
                <w:kern w:val="2"/>
                <w:sz w:val="24"/>
                <w:szCs w:val="24"/>
              </w:rPr>
              <w:t>系统吞吐量：≥320Mbps；</w:t>
            </w:r>
          </w:p>
          <w:p>
            <w:pPr>
              <w:rPr>
                <w:rFonts w:ascii="宋体" w:hAnsi="宋体" w:cs="宋体"/>
                <w:color w:val="000000"/>
                <w:kern w:val="2"/>
                <w:sz w:val="24"/>
                <w:szCs w:val="24"/>
              </w:rPr>
            </w:pPr>
            <w:r>
              <w:rPr>
                <w:rFonts w:hint="eastAsia" w:ascii="宋体" w:hAnsi="宋体" w:cs="宋体"/>
                <w:color w:val="000000"/>
                <w:kern w:val="2"/>
                <w:sz w:val="24"/>
                <w:szCs w:val="24"/>
              </w:rPr>
              <w:t>文件（大小1</w:t>
            </w:r>
            <w:r>
              <w:rPr>
                <w:rFonts w:ascii="宋体" w:hAnsi="宋体" w:cs="宋体"/>
                <w:color w:val="000000"/>
                <w:kern w:val="2"/>
                <w:sz w:val="24"/>
                <w:szCs w:val="24"/>
              </w:rPr>
              <w:t>0M</w:t>
            </w:r>
            <w:r>
              <w:rPr>
                <w:rFonts w:hint="eastAsia" w:ascii="宋体" w:hAnsi="宋体" w:cs="宋体"/>
                <w:color w:val="000000"/>
                <w:kern w:val="2"/>
                <w:sz w:val="24"/>
                <w:szCs w:val="24"/>
              </w:rPr>
              <w:t>）传输速率：≥320Mbps；</w:t>
            </w:r>
          </w:p>
          <w:p>
            <w:pPr>
              <w:rPr>
                <w:rFonts w:ascii="宋体" w:hAnsi="宋体" w:cs="宋体"/>
                <w:color w:val="000000"/>
                <w:kern w:val="2"/>
                <w:sz w:val="24"/>
                <w:szCs w:val="24"/>
              </w:rPr>
            </w:pPr>
            <w:r>
              <w:rPr>
                <w:rFonts w:hint="eastAsia" w:ascii="宋体" w:hAnsi="宋体" w:cs="宋体"/>
                <w:color w:val="000000"/>
                <w:kern w:val="2"/>
                <w:sz w:val="24"/>
                <w:szCs w:val="24"/>
              </w:rPr>
              <w:t>最大支持服务：≥30；</w:t>
            </w:r>
          </w:p>
          <w:p>
            <w:pPr>
              <w:rPr>
                <w:rFonts w:ascii="宋体" w:hAnsi="宋体" w:cs="宋体"/>
                <w:color w:val="000000"/>
                <w:kern w:val="0"/>
                <w:sz w:val="24"/>
                <w:szCs w:val="24"/>
              </w:rPr>
            </w:pPr>
            <w:r>
              <w:rPr>
                <w:rFonts w:hint="eastAsia" w:ascii="宋体" w:hAnsi="宋体" w:cs="宋体"/>
                <w:color w:val="000000"/>
                <w:kern w:val="2"/>
                <w:sz w:val="24"/>
                <w:szCs w:val="24"/>
              </w:rPr>
              <w:t>稳定性运行时间(MTBF)：&gt;50000小时。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2" w:type="dxa"/>
          </w:tcPr>
          <w:p>
            <w:pPr>
              <w:rPr>
                <w:rFonts w:ascii="宋体" w:hAnsi="宋体" w:cs="宋体"/>
                <w:color w:val="000000"/>
                <w:kern w:val="0"/>
                <w:sz w:val="24"/>
                <w:szCs w:val="24"/>
              </w:rPr>
            </w:pPr>
            <w:r>
              <w:rPr>
                <w:rFonts w:hint="eastAsia" w:ascii="宋体" w:hAnsi="宋体" w:cs="宋体"/>
                <w:color w:val="000000"/>
                <w:kern w:val="0"/>
                <w:sz w:val="24"/>
                <w:szCs w:val="24"/>
              </w:rPr>
              <w:t>主机系统</w:t>
            </w:r>
          </w:p>
        </w:tc>
        <w:tc>
          <w:tcPr>
            <w:tcW w:w="8080" w:type="dxa"/>
          </w:tcPr>
          <w:p>
            <w:pPr>
              <w:rPr>
                <w:rFonts w:ascii="宋体" w:hAnsi="宋体" w:cs="宋体"/>
                <w:color w:val="000000"/>
                <w:kern w:val="2"/>
                <w:sz w:val="24"/>
                <w:szCs w:val="24"/>
              </w:rPr>
            </w:pPr>
            <w:r>
              <w:rPr>
                <w:rFonts w:hint="eastAsia" w:ascii="宋体" w:hAnsi="宋体" w:cs="宋体"/>
                <w:color w:val="000000"/>
                <w:kern w:val="2"/>
                <w:sz w:val="24"/>
                <w:szCs w:val="24"/>
              </w:rPr>
              <w:t>系统要求：此次设备必须与原内、外网交互主机系统冗余备份开启双系统启动模式，当一个系统运行失败后，能从另一系统启动，且两个系统可互为备份；（提供第三方证明材料，加盖原厂公章）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242" w:type="dxa"/>
          </w:tcPr>
          <w:p>
            <w:pPr>
              <w:rPr>
                <w:rFonts w:ascii="宋体" w:hAnsi="宋体" w:cs="宋体"/>
                <w:color w:val="000000"/>
                <w:kern w:val="0"/>
                <w:sz w:val="24"/>
                <w:szCs w:val="24"/>
              </w:rPr>
            </w:pPr>
            <w:r>
              <w:rPr>
                <w:rFonts w:hint="eastAsia" w:ascii="宋体" w:hAnsi="宋体" w:cs="宋体"/>
                <w:color w:val="000000"/>
                <w:kern w:val="0"/>
                <w:sz w:val="24"/>
                <w:szCs w:val="24"/>
              </w:rPr>
              <w:t>数据单向传输</w:t>
            </w:r>
          </w:p>
        </w:tc>
        <w:tc>
          <w:tcPr>
            <w:tcW w:w="8080" w:type="dxa"/>
          </w:tcPr>
          <w:p>
            <w:pPr>
              <w:rPr>
                <w:rFonts w:ascii="宋体" w:hAnsi="宋体" w:cs="宋体"/>
                <w:color w:val="000000"/>
                <w:kern w:val="2"/>
                <w:sz w:val="24"/>
                <w:szCs w:val="24"/>
              </w:rPr>
            </w:pPr>
            <w:r>
              <w:rPr>
                <w:rFonts w:hint="eastAsia" w:ascii="宋体" w:hAnsi="宋体" w:cs="宋体"/>
                <w:color w:val="000000"/>
                <w:kern w:val="2"/>
                <w:sz w:val="24"/>
                <w:szCs w:val="24"/>
              </w:rPr>
              <w:t>支持静态文件的单向导入：要求支持Samba共享、</w:t>
            </w:r>
            <w:r>
              <w:rPr>
                <w:rFonts w:ascii="宋体" w:hAnsi="宋体" w:cs="宋体"/>
                <w:color w:val="000000"/>
                <w:kern w:val="2"/>
                <w:sz w:val="24"/>
                <w:szCs w:val="24"/>
              </w:rPr>
              <w:t>FTP</w:t>
            </w:r>
            <w:r>
              <w:rPr>
                <w:rFonts w:hint="eastAsia" w:ascii="宋体" w:hAnsi="宋体" w:cs="宋体"/>
                <w:color w:val="000000"/>
                <w:kern w:val="2"/>
                <w:sz w:val="24"/>
                <w:szCs w:val="24"/>
              </w:rPr>
              <w:t>、本地FTP、</w:t>
            </w:r>
            <w:r>
              <w:rPr>
                <w:rFonts w:ascii="宋体" w:hAnsi="宋体" w:cs="宋体"/>
                <w:color w:val="000000"/>
                <w:kern w:val="2"/>
                <w:sz w:val="24"/>
                <w:szCs w:val="24"/>
              </w:rPr>
              <w:t>NFS</w:t>
            </w:r>
            <w:r>
              <w:rPr>
                <w:rFonts w:hint="eastAsia" w:ascii="宋体" w:hAnsi="宋体" w:cs="宋体"/>
                <w:color w:val="000000"/>
                <w:kern w:val="2"/>
                <w:sz w:val="24"/>
                <w:szCs w:val="24"/>
              </w:rPr>
              <w:t>、客户端等多种方式的文件同步服务，支持不同操作系统上不同类型文件服务器的灵活搭配进行文件单向导入；</w:t>
            </w:r>
          </w:p>
          <w:p>
            <w:pPr>
              <w:rPr>
                <w:rFonts w:ascii="宋体" w:hAnsi="宋体" w:cs="宋体"/>
                <w:color w:val="000000"/>
                <w:kern w:val="2"/>
                <w:sz w:val="24"/>
                <w:szCs w:val="24"/>
              </w:rPr>
            </w:pPr>
            <w:r>
              <w:rPr>
                <w:rFonts w:hint="eastAsia" w:ascii="宋体" w:hAnsi="宋体" w:cs="宋体"/>
                <w:color w:val="000000"/>
                <w:kern w:val="2"/>
                <w:sz w:val="24"/>
                <w:szCs w:val="24"/>
              </w:rPr>
              <w:t>★支持文件快递功能，用户将自己的文件同时单向导入给多个用户，文件快递支持用户登录认证，内网用户可以拒接接收文件；支持FTPS加密传输，传输采用SSL加密方式；（提供功能截图，加盖原厂公章）</w:t>
            </w:r>
          </w:p>
          <w:p>
            <w:pPr>
              <w:rPr>
                <w:rFonts w:ascii="宋体" w:hAnsi="宋体" w:cs="宋体"/>
                <w:color w:val="000000"/>
                <w:kern w:val="2"/>
                <w:sz w:val="24"/>
                <w:szCs w:val="24"/>
              </w:rPr>
            </w:pPr>
            <w:r>
              <w:rPr>
                <w:rFonts w:hint="eastAsia" w:ascii="宋体" w:hAnsi="宋体" w:cs="宋体"/>
                <w:color w:val="000000"/>
                <w:kern w:val="2"/>
                <w:sz w:val="24"/>
                <w:szCs w:val="24"/>
              </w:rPr>
              <w:t>★支持从数据库表中获取需传输文件信息并进行文件单向导入（提供功能截图，加盖原厂公章）</w:t>
            </w:r>
          </w:p>
          <w:p>
            <w:pPr>
              <w:rPr>
                <w:rFonts w:ascii="宋体" w:hAnsi="宋体" w:cs="宋体"/>
                <w:color w:val="000000"/>
                <w:kern w:val="2"/>
                <w:sz w:val="24"/>
                <w:szCs w:val="24"/>
              </w:rPr>
            </w:pPr>
            <w:r>
              <w:rPr>
                <w:rFonts w:hint="eastAsia" w:ascii="宋体" w:hAnsi="宋体" w:cs="宋体"/>
                <w:color w:val="000000"/>
                <w:kern w:val="2"/>
                <w:sz w:val="24"/>
                <w:szCs w:val="24"/>
              </w:rPr>
              <w:t>支持数据库的单向导入：要求支持神州通用(oscar)、达梦、南大通用等多种国产数据库和常见的关系型数据库的单向导入；（提供功能截图，加盖原厂公章）</w:t>
            </w:r>
          </w:p>
          <w:p>
            <w:pPr>
              <w:rPr>
                <w:rFonts w:ascii="宋体" w:hAnsi="宋体" w:cs="宋体"/>
                <w:color w:val="000000"/>
                <w:kern w:val="2"/>
                <w:sz w:val="24"/>
                <w:szCs w:val="24"/>
              </w:rPr>
            </w:pPr>
            <w:r>
              <w:rPr>
                <w:rFonts w:hint="eastAsia" w:ascii="宋体" w:hAnsi="宋体" w:cs="宋体"/>
                <w:color w:val="000000"/>
                <w:kern w:val="2"/>
                <w:sz w:val="24"/>
                <w:szCs w:val="24"/>
              </w:rPr>
              <w:t>支持异构数据单向导入，包括数据库类型异构、表异构、字段异构；（提供功能截图，加盖原厂公章）</w:t>
            </w:r>
          </w:p>
          <w:p>
            <w:pPr>
              <w:rPr>
                <w:rFonts w:ascii="宋体" w:hAnsi="宋体" w:cs="宋体"/>
                <w:color w:val="000000"/>
                <w:kern w:val="2"/>
                <w:sz w:val="24"/>
                <w:szCs w:val="24"/>
              </w:rPr>
            </w:pPr>
            <w:r>
              <w:rPr>
                <w:rFonts w:hint="eastAsia" w:ascii="宋体" w:hAnsi="宋体" w:cs="宋体"/>
                <w:color w:val="000000"/>
                <w:kern w:val="2"/>
                <w:sz w:val="24"/>
                <w:szCs w:val="24"/>
              </w:rPr>
              <w:t>★支持数据内容审查，包括身份证审查、枚举值审查、数值范围审查、字段值长度审查等，支持列值转换和行过滤；（提供功能截图，加盖原厂公章）</w:t>
            </w:r>
          </w:p>
          <w:p>
            <w:pPr>
              <w:rPr>
                <w:rFonts w:ascii="宋体" w:hAnsi="宋体" w:cs="宋体"/>
                <w:color w:val="000000"/>
                <w:kern w:val="2"/>
                <w:sz w:val="24"/>
                <w:szCs w:val="24"/>
              </w:rPr>
            </w:pPr>
            <w:r>
              <w:rPr>
                <w:rFonts w:hint="eastAsia" w:ascii="宋体" w:hAnsi="宋体" w:cs="宋体"/>
                <w:color w:val="000000"/>
                <w:kern w:val="2"/>
                <w:sz w:val="24"/>
                <w:szCs w:val="24"/>
              </w:rPr>
              <w:t>★支持传输流量分析和流量控制功能，</w:t>
            </w:r>
            <w:r>
              <w:rPr>
                <w:rFonts w:ascii="宋体" w:hAnsi="宋体" w:cs="宋体"/>
                <w:color w:val="000000"/>
                <w:kern w:val="2"/>
                <w:sz w:val="24"/>
                <w:szCs w:val="24"/>
              </w:rPr>
              <w:t>流量分析</w:t>
            </w:r>
            <w:r>
              <w:rPr>
                <w:rFonts w:hint="eastAsia" w:ascii="宋体" w:hAnsi="宋体" w:cs="宋体"/>
                <w:color w:val="000000"/>
                <w:kern w:val="2"/>
                <w:sz w:val="24"/>
                <w:szCs w:val="24"/>
              </w:rPr>
              <w:t>提供分析</w:t>
            </w:r>
            <w:r>
              <w:rPr>
                <w:rFonts w:ascii="宋体" w:hAnsi="宋体" w:cs="宋体"/>
                <w:color w:val="000000"/>
                <w:kern w:val="2"/>
                <w:sz w:val="24"/>
                <w:szCs w:val="24"/>
              </w:rPr>
              <w:t>结果值</w:t>
            </w:r>
            <w:r>
              <w:rPr>
                <w:rFonts w:hint="eastAsia" w:ascii="宋体" w:hAnsi="宋体" w:cs="宋体"/>
                <w:color w:val="000000"/>
                <w:kern w:val="2"/>
                <w:sz w:val="24"/>
                <w:szCs w:val="24"/>
              </w:rPr>
              <w:t>；（提供功能截图，加盖原厂公章）</w:t>
            </w:r>
          </w:p>
          <w:p>
            <w:pPr>
              <w:rPr>
                <w:rFonts w:ascii="宋体" w:hAnsi="宋体" w:cs="宋体"/>
                <w:color w:val="000000"/>
                <w:kern w:val="2"/>
                <w:sz w:val="24"/>
                <w:szCs w:val="24"/>
              </w:rPr>
            </w:pPr>
            <w:r>
              <w:rPr>
                <w:rFonts w:hint="eastAsia" w:ascii="宋体" w:hAnsi="宋体" w:cs="宋体"/>
                <w:color w:val="000000"/>
                <w:kern w:val="2"/>
                <w:sz w:val="24"/>
                <w:szCs w:val="24"/>
              </w:rPr>
              <w:t>支持自主设置冗余校验（提供功能截图，加盖原厂公章）</w:t>
            </w:r>
          </w:p>
        </w:tc>
      </w:tr>
    </w:tbl>
    <w:p>
      <w:pPr>
        <w:pStyle w:val="2"/>
        <w:ind w:left="0" w:leftChars="0"/>
        <w:rPr>
          <w:rFonts w:hint="eastAsia" w:ascii="宋体" w:hAnsi="宋体" w:cs="宋体"/>
          <w:color w:val="000000"/>
          <w:sz w:val="24"/>
          <w:szCs w:val="24"/>
        </w:rPr>
      </w:pPr>
    </w:p>
    <w:p>
      <w:pPr>
        <w:rPr>
          <w:rFonts w:hint="eastAsia"/>
        </w:rPr>
      </w:pP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9、轻量级激光雷达扫描系统</w:t>
      </w:r>
    </w:p>
    <w:tbl>
      <w:tblPr>
        <w:tblStyle w:val="3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rPr>
                <w:rFonts w:ascii="宋体" w:hAnsi="宋体" w:cs="宋体"/>
                <w:color w:val="000000"/>
                <w:kern w:val="0"/>
                <w:sz w:val="24"/>
                <w:szCs w:val="24"/>
              </w:rPr>
            </w:pPr>
            <w:r>
              <w:rPr>
                <w:rFonts w:hint="eastAsia" w:ascii="宋体" w:hAnsi="宋体" w:cs="宋体"/>
                <w:color w:val="000000"/>
                <w:kern w:val="0"/>
                <w:sz w:val="24"/>
                <w:szCs w:val="24"/>
              </w:rPr>
              <w:t>指标项</w:t>
            </w:r>
          </w:p>
        </w:tc>
        <w:tc>
          <w:tcPr>
            <w:tcW w:w="8080" w:type="dxa"/>
          </w:tcPr>
          <w:p>
            <w:pPr>
              <w:jc w:val="center"/>
              <w:rPr>
                <w:rFonts w:ascii="宋体" w:hAnsi="宋体" w:cs="宋体"/>
                <w:color w:val="000000"/>
                <w:kern w:val="0"/>
                <w:sz w:val="24"/>
                <w:szCs w:val="24"/>
              </w:rPr>
            </w:pPr>
            <w:r>
              <w:rPr>
                <w:rFonts w:hint="eastAsia" w:ascii="宋体" w:hAnsi="宋体" w:cs="宋体"/>
                <w:color w:val="000000"/>
                <w:kern w:val="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rPr>
                <w:rFonts w:hint="eastAsia" w:ascii="宋体" w:hAnsi="宋体" w:cs="宋体"/>
                <w:color w:val="000000"/>
                <w:kern w:val="0"/>
                <w:sz w:val="24"/>
                <w:szCs w:val="24"/>
              </w:rPr>
            </w:pPr>
          </w:p>
          <w:p>
            <w:pPr>
              <w:pStyle w:val="2"/>
              <w:rPr>
                <w:rFonts w:hint="eastAsia"/>
                <w:kern w:val="0"/>
                <w:sz w:val="20"/>
              </w:rPr>
            </w:pPr>
          </w:p>
          <w:p>
            <w:pPr>
              <w:rPr>
                <w:rFonts w:hint="eastAsia"/>
                <w:kern w:val="0"/>
                <w:sz w:val="20"/>
              </w:rPr>
            </w:pPr>
          </w:p>
          <w:p>
            <w:pPr>
              <w:pStyle w:val="2"/>
              <w:rPr>
                <w:rFonts w:hint="eastAsia"/>
                <w:kern w:val="0"/>
                <w:sz w:val="20"/>
              </w:rPr>
            </w:pPr>
          </w:p>
          <w:p>
            <w:pPr>
              <w:rPr>
                <w:rFonts w:hint="eastAsia"/>
                <w:kern w:val="0"/>
                <w:sz w:val="20"/>
              </w:rPr>
            </w:pPr>
          </w:p>
          <w:p>
            <w:pPr>
              <w:pStyle w:val="2"/>
              <w:rPr>
                <w:rFonts w:hint="eastAsia"/>
                <w:kern w:val="0"/>
                <w:sz w:val="20"/>
              </w:rPr>
            </w:pPr>
          </w:p>
          <w:p>
            <w:pPr>
              <w:rPr>
                <w:rFonts w:hint="eastAsia"/>
                <w:kern w:val="0"/>
                <w:sz w:val="20"/>
              </w:rPr>
            </w:pPr>
          </w:p>
          <w:p>
            <w:pPr>
              <w:pStyle w:val="2"/>
              <w:rPr>
                <w:rFonts w:hint="eastAsia"/>
                <w:kern w:val="0"/>
                <w:sz w:val="20"/>
              </w:rPr>
            </w:pPr>
          </w:p>
          <w:p>
            <w:pPr>
              <w:rPr>
                <w:rFonts w:hint="eastAsia"/>
                <w:kern w:val="0"/>
                <w:sz w:val="20"/>
              </w:rPr>
            </w:pPr>
          </w:p>
          <w:p>
            <w:pPr>
              <w:pStyle w:val="2"/>
              <w:rPr>
                <w:rFonts w:hint="eastAsia"/>
                <w:kern w:val="0"/>
                <w:sz w:val="20"/>
              </w:rPr>
            </w:pPr>
          </w:p>
          <w:p>
            <w:pPr>
              <w:rPr>
                <w:rFonts w:hint="eastAsia"/>
                <w:kern w:val="0"/>
                <w:sz w:val="20"/>
              </w:rPr>
            </w:pPr>
          </w:p>
          <w:p>
            <w:pPr>
              <w:pStyle w:val="2"/>
              <w:rPr>
                <w:rFonts w:hint="eastAsia"/>
                <w:kern w:val="0"/>
                <w:sz w:val="20"/>
              </w:rPr>
            </w:pPr>
          </w:p>
          <w:p>
            <w:pPr>
              <w:rPr>
                <w:rFonts w:hint="eastAsia"/>
                <w:kern w:val="0"/>
                <w:sz w:val="20"/>
              </w:rPr>
            </w:pPr>
          </w:p>
          <w:p>
            <w:pPr>
              <w:rPr>
                <w:kern w:val="0"/>
                <w:sz w:val="20"/>
              </w:rPr>
            </w:pPr>
            <w:r>
              <w:rPr>
                <w:rFonts w:hint="eastAsia" w:ascii="宋体" w:hAnsi="宋体" w:cs="宋体"/>
                <w:color w:val="000000"/>
                <w:kern w:val="0"/>
                <w:sz w:val="24"/>
                <w:szCs w:val="24"/>
              </w:rPr>
              <w:t>基本功能</w:t>
            </w:r>
          </w:p>
        </w:tc>
        <w:tc>
          <w:tcPr>
            <w:tcW w:w="8080" w:type="dxa"/>
          </w:tcPr>
          <w:p>
            <w:pPr>
              <w:rPr>
                <w:rFonts w:hint="eastAsia" w:ascii="宋体" w:hAnsi="宋体" w:cs="宋体"/>
                <w:color w:val="000000"/>
                <w:kern w:val="0"/>
                <w:sz w:val="24"/>
                <w:szCs w:val="24"/>
              </w:rPr>
            </w:pPr>
            <w:r>
              <w:rPr>
                <w:rFonts w:hint="eastAsia" w:ascii="宋体" w:hAnsi="宋体" w:cs="宋体"/>
                <w:color w:val="000000"/>
                <w:kern w:val="0"/>
                <w:sz w:val="24"/>
                <w:szCs w:val="24"/>
              </w:rPr>
              <w:t>功耗</w:t>
            </w:r>
            <w:r>
              <w:rPr>
                <w:rFonts w:hint="eastAsia" w:ascii="宋体" w:hAnsi="宋体" w:cs="宋体"/>
                <w:color w:val="000000"/>
                <w:kern w:val="0"/>
                <w:sz w:val="24"/>
                <w:szCs w:val="24"/>
              </w:rPr>
              <w:tab/>
            </w:r>
            <w:r>
              <w:rPr>
                <w:rFonts w:hint="eastAsia" w:ascii="宋体" w:hAnsi="宋体" w:cs="宋体"/>
                <w:color w:val="000000"/>
                <w:kern w:val="0"/>
                <w:sz w:val="24"/>
                <w:szCs w:val="24"/>
              </w:rPr>
              <w:t>17W</w:t>
            </w:r>
          </w:p>
          <w:p>
            <w:pPr>
              <w:rPr>
                <w:rFonts w:hint="eastAsia" w:ascii="宋体" w:hAnsi="宋体" w:cs="宋体"/>
                <w:color w:val="000000"/>
                <w:kern w:val="0"/>
                <w:sz w:val="24"/>
                <w:szCs w:val="24"/>
              </w:rPr>
            </w:pPr>
            <w:r>
              <w:rPr>
                <w:rFonts w:hint="eastAsia" w:ascii="宋体" w:hAnsi="宋体" w:cs="宋体"/>
                <w:color w:val="000000"/>
                <w:kern w:val="0"/>
                <w:sz w:val="24"/>
                <w:szCs w:val="24"/>
              </w:rPr>
              <w:t>电压</w:t>
            </w:r>
            <w:r>
              <w:rPr>
                <w:rFonts w:hint="eastAsia" w:ascii="宋体" w:hAnsi="宋体" w:cs="宋体"/>
                <w:color w:val="000000"/>
                <w:kern w:val="0"/>
                <w:sz w:val="24"/>
                <w:szCs w:val="24"/>
              </w:rPr>
              <w:tab/>
            </w:r>
            <w:r>
              <w:rPr>
                <w:rFonts w:hint="eastAsia" w:ascii="宋体" w:hAnsi="宋体" w:cs="宋体"/>
                <w:color w:val="000000"/>
                <w:kern w:val="0"/>
                <w:sz w:val="24"/>
                <w:szCs w:val="24"/>
              </w:rPr>
              <w:t>12~24V，0.7A@24VDC</w:t>
            </w:r>
          </w:p>
          <w:p>
            <w:pPr>
              <w:rPr>
                <w:rFonts w:hint="eastAsia" w:ascii="宋体" w:hAnsi="宋体" w:cs="宋体"/>
                <w:color w:val="000000"/>
                <w:kern w:val="0"/>
                <w:sz w:val="24"/>
                <w:szCs w:val="24"/>
              </w:rPr>
            </w:pPr>
            <w:r>
              <w:rPr>
                <w:rFonts w:hint="eastAsia" w:ascii="宋体" w:hAnsi="宋体" w:cs="宋体"/>
                <w:color w:val="000000"/>
                <w:kern w:val="0"/>
                <w:sz w:val="24"/>
                <w:szCs w:val="24"/>
              </w:rPr>
              <w:t>工作温度</w:t>
            </w:r>
            <w:r>
              <w:rPr>
                <w:rFonts w:hint="eastAsia" w:ascii="宋体" w:hAnsi="宋体" w:cs="宋体"/>
                <w:color w:val="000000"/>
                <w:kern w:val="0"/>
                <w:sz w:val="24"/>
                <w:szCs w:val="24"/>
              </w:rPr>
              <w:tab/>
            </w:r>
            <w:r>
              <w:rPr>
                <w:rFonts w:hint="eastAsia" w:ascii="宋体" w:hAnsi="宋体" w:cs="宋体"/>
                <w:color w:val="000000"/>
                <w:kern w:val="0"/>
                <w:sz w:val="24"/>
                <w:szCs w:val="24"/>
              </w:rPr>
              <w:t>-20~40℃</w:t>
            </w:r>
          </w:p>
          <w:p>
            <w:pPr>
              <w:rPr>
                <w:rFonts w:hint="eastAsia" w:ascii="宋体" w:hAnsi="宋体" w:cs="宋体"/>
                <w:color w:val="000000"/>
                <w:kern w:val="0"/>
                <w:sz w:val="24"/>
                <w:szCs w:val="24"/>
              </w:rPr>
            </w:pPr>
            <w:r>
              <w:rPr>
                <w:rFonts w:hint="eastAsia" w:ascii="宋体" w:hAnsi="宋体" w:cs="宋体"/>
                <w:color w:val="000000"/>
                <w:kern w:val="0"/>
                <w:sz w:val="24"/>
                <w:szCs w:val="24"/>
              </w:rPr>
              <w:t>存储温度</w:t>
            </w:r>
            <w:r>
              <w:rPr>
                <w:rFonts w:hint="eastAsia" w:ascii="宋体" w:hAnsi="宋体" w:cs="宋体"/>
                <w:color w:val="000000"/>
                <w:kern w:val="0"/>
                <w:sz w:val="24"/>
                <w:szCs w:val="24"/>
              </w:rPr>
              <w:tab/>
            </w:r>
            <w:r>
              <w:rPr>
                <w:rFonts w:hint="eastAsia" w:ascii="宋体" w:hAnsi="宋体" w:cs="宋体"/>
                <w:color w:val="000000"/>
                <w:kern w:val="0"/>
                <w:sz w:val="24"/>
                <w:szCs w:val="24"/>
              </w:rPr>
              <w:t>-40~55℃</w:t>
            </w:r>
          </w:p>
          <w:p>
            <w:pPr>
              <w:rPr>
                <w:rFonts w:hint="eastAsia" w:ascii="宋体" w:hAnsi="宋体" w:cs="宋体"/>
                <w:color w:val="000000"/>
                <w:kern w:val="0"/>
                <w:sz w:val="24"/>
                <w:szCs w:val="24"/>
              </w:rPr>
            </w:pPr>
            <w:r>
              <w:rPr>
                <w:rFonts w:hint="eastAsia" w:ascii="宋体" w:hAnsi="宋体" w:cs="宋体"/>
                <w:color w:val="000000"/>
                <w:kern w:val="0"/>
                <w:sz w:val="24"/>
                <w:szCs w:val="24"/>
              </w:rPr>
              <w:t>激光雷达单元</w:t>
            </w:r>
            <w:r>
              <w:rPr>
                <w:rFonts w:hint="eastAsia" w:ascii="宋体" w:hAnsi="宋体" w:cs="宋体"/>
                <w:color w:val="000000"/>
                <w:kern w:val="0"/>
                <w:sz w:val="24"/>
                <w:szCs w:val="24"/>
              </w:rPr>
              <w:tab/>
            </w:r>
          </w:p>
          <w:p>
            <w:pPr>
              <w:rPr>
                <w:rFonts w:hint="eastAsia" w:ascii="宋体" w:hAnsi="宋体" w:cs="宋体"/>
                <w:color w:val="000000"/>
                <w:kern w:val="0"/>
                <w:sz w:val="24"/>
                <w:szCs w:val="24"/>
              </w:rPr>
            </w:pPr>
            <w:r>
              <w:rPr>
                <w:rFonts w:hint="eastAsia" w:ascii="宋体" w:hAnsi="宋体" w:cs="宋体"/>
                <w:color w:val="000000"/>
                <w:kern w:val="0"/>
                <w:sz w:val="24"/>
                <w:szCs w:val="24"/>
              </w:rPr>
              <w:t>波长</w:t>
            </w:r>
            <w:r>
              <w:rPr>
                <w:rFonts w:hint="eastAsia" w:ascii="宋体" w:hAnsi="宋体" w:cs="宋体"/>
                <w:color w:val="000000"/>
                <w:kern w:val="0"/>
                <w:sz w:val="24"/>
                <w:szCs w:val="24"/>
              </w:rPr>
              <w:tab/>
            </w:r>
            <w:r>
              <w:rPr>
                <w:rFonts w:hint="eastAsia" w:ascii="宋体" w:hAnsi="宋体" w:cs="宋体"/>
                <w:color w:val="000000"/>
                <w:kern w:val="0"/>
                <w:sz w:val="24"/>
                <w:szCs w:val="24"/>
              </w:rPr>
              <w:t>905nm</w:t>
            </w:r>
          </w:p>
          <w:p>
            <w:pPr>
              <w:rPr>
                <w:rFonts w:hint="eastAsia" w:ascii="宋体" w:hAnsi="宋体" w:cs="宋体"/>
                <w:color w:val="000000"/>
                <w:kern w:val="0"/>
                <w:sz w:val="24"/>
                <w:szCs w:val="24"/>
              </w:rPr>
            </w:pPr>
            <w:r>
              <w:rPr>
                <w:rFonts w:hint="eastAsia" w:ascii="宋体" w:hAnsi="宋体" w:cs="宋体"/>
                <w:color w:val="000000"/>
                <w:kern w:val="0"/>
                <w:sz w:val="24"/>
                <w:szCs w:val="24"/>
              </w:rPr>
              <w:t>测距精度</w:t>
            </w:r>
            <w:r>
              <w:rPr>
                <w:rFonts w:hint="eastAsia" w:ascii="宋体" w:hAnsi="宋体" w:cs="宋体"/>
                <w:color w:val="000000"/>
                <w:kern w:val="0"/>
                <w:sz w:val="24"/>
                <w:szCs w:val="24"/>
              </w:rPr>
              <w:tab/>
            </w:r>
            <w:r>
              <w:rPr>
                <w:rFonts w:hint="eastAsia" w:ascii="宋体" w:hAnsi="宋体" w:cs="宋体"/>
                <w:color w:val="000000"/>
                <w:kern w:val="0"/>
                <w:sz w:val="24"/>
                <w:szCs w:val="24"/>
              </w:rPr>
              <w:t>2cm（1σ@20m）</w:t>
            </w:r>
          </w:p>
          <w:p>
            <w:pPr>
              <w:rPr>
                <w:rFonts w:hint="eastAsia" w:ascii="宋体" w:hAnsi="宋体" w:cs="宋体"/>
                <w:color w:val="000000"/>
                <w:kern w:val="0"/>
                <w:sz w:val="24"/>
                <w:szCs w:val="24"/>
              </w:rPr>
            </w:pPr>
            <w:r>
              <w:rPr>
                <w:rFonts w:hint="eastAsia" w:ascii="宋体" w:hAnsi="宋体" w:cs="宋体"/>
                <w:color w:val="000000"/>
                <w:kern w:val="0"/>
                <w:sz w:val="24"/>
                <w:szCs w:val="24"/>
              </w:rPr>
              <w:t>扫描方式</w:t>
            </w:r>
            <w:r>
              <w:rPr>
                <w:rFonts w:hint="eastAsia" w:ascii="宋体" w:hAnsi="宋体" w:cs="宋体"/>
                <w:color w:val="000000"/>
                <w:kern w:val="0"/>
                <w:sz w:val="24"/>
                <w:szCs w:val="24"/>
              </w:rPr>
              <w:tab/>
            </w:r>
            <w:r>
              <w:rPr>
                <w:rFonts w:hint="eastAsia" w:ascii="宋体" w:hAnsi="宋体" w:cs="宋体"/>
                <w:color w:val="000000"/>
                <w:kern w:val="0"/>
                <w:sz w:val="24"/>
                <w:szCs w:val="24"/>
              </w:rPr>
              <w:t>重复扫描模式</w:t>
            </w:r>
          </w:p>
          <w:p>
            <w:pPr>
              <w:rPr>
                <w:rFonts w:hint="eastAsia" w:ascii="宋体" w:hAnsi="宋体" w:cs="宋体"/>
                <w:color w:val="000000"/>
                <w:kern w:val="0"/>
                <w:sz w:val="24"/>
                <w:szCs w:val="24"/>
              </w:rPr>
            </w:pPr>
            <w:r>
              <w:rPr>
                <w:rFonts w:hint="eastAsia" w:ascii="宋体" w:hAnsi="宋体" w:cs="宋体"/>
                <w:color w:val="000000"/>
                <w:kern w:val="0"/>
                <w:sz w:val="24"/>
                <w:szCs w:val="24"/>
              </w:rPr>
              <w:t>点频率</w:t>
            </w:r>
            <w:r>
              <w:rPr>
                <w:rFonts w:hint="eastAsia" w:ascii="宋体" w:hAnsi="宋体" w:cs="宋体"/>
                <w:color w:val="000000"/>
                <w:kern w:val="0"/>
                <w:sz w:val="24"/>
                <w:szCs w:val="24"/>
              </w:rPr>
              <w:tab/>
            </w:r>
            <w:r>
              <w:rPr>
                <w:rFonts w:hint="eastAsia" w:ascii="宋体" w:hAnsi="宋体" w:cs="宋体"/>
                <w:color w:val="000000"/>
                <w:kern w:val="0"/>
                <w:sz w:val="24"/>
                <w:szCs w:val="24"/>
              </w:rPr>
              <w:t>240,000 points/s ( 单回波 )</w:t>
            </w:r>
          </w:p>
          <w:p>
            <w:pPr>
              <w:rPr>
                <w:rFonts w:hint="eastAsia" w:ascii="宋体" w:hAnsi="宋体" w:cs="宋体"/>
                <w:color w:val="000000"/>
                <w:kern w:val="0"/>
                <w:sz w:val="24"/>
                <w:szCs w:val="24"/>
              </w:rPr>
            </w:pPr>
            <w:r>
              <w:rPr>
                <w:rFonts w:hint="eastAsia" w:ascii="宋体" w:hAnsi="宋体" w:cs="宋体"/>
                <w:color w:val="000000"/>
                <w:kern w:val="0"/>
                <w:sz w:val="24"/>
                <w:szCs w:val="24"/>
              </w:rPr>
              <w:t>测程</w:t>
            </w:r>
            <w:r>
              <w:rPr>
                <w:rFonts w:hint="eastAsia" w:ascii="宋体" w:hAnsi="宋体" w:cs="宋体"/>
                <w:color w:val="000000"/>
                <w:kern w:val="0"/>
                <w:sz w:val="24"/>
                <w:szCs w:val="24"/>
              </w:rPr>
              <w:tab/>
            </w:r>
            <w:r>
              <w:rPr>
                <w:rFonts w:hint="eastAsia" w:ascii="宋体" w:hAnsi="宋体" w:cs="宋体"/>
                <w:color w:val="000000"/>
                <w:kern w:val="0"/>
                <w:sz w:val="24"/>
                <w:szCs w:val="24"/>
              </w:rPr>
              <w:t>190m @ 10% 反射率   450m @ 80% 反射率</w:t>
            </w:r>
          </w:p>
          <w:p>
            <w:pPr>
              <w:rPr>
                <w:rFonts w:hint="eastAsia" w:ascii="宋体" w:hAnsi="宋体" w:cs="宋体"/>
                <w:color w:val="000000"/>
                <w:kern w:val="0"/>
                <w:sz w:val="24"/>
                <w:szCs w:val="24"/>
              </w:rPr>
            </w:pPr>
            <w:r>
              <w:rPr>
                <w:rFonts w:hint="eastAsia" w:ascii="宋体" w:hAnsi="宋体" w:cs="宋体"/>
                <w:color w:val="000000"/>
                <w:kern w:val="0"/>
                <w:sz w:val="24"/>
                <w:szCs w:val="24"/>
              </w:rPr>
              <w:t>精度（高程）</w:t>
            </w:r>
            <w:r>
              <w:rPr>
                <w:rFonts w:hint="eastAsia" w:ascii="宋体" w:hAnsi="宋体" w:cs="宋体"/>
                <w:color w:val="000000"/>
                <w:kern w:val="0"/>
                <w:sz w:val="24"/>
                <w:szCs w:val="24"/>
              </w:rPr>
              <w:tab/>
            </w:r>
            <w:r>
              <w:rPr>
                <w:rFonts w:hint="eastAsia" w:ascii="宋体" w:hAnsi="宋体" w:cs="宋体"/>
                <w:color w:val="000000"/>
                <w:kern w:val="0"/>
                <w:sz w:val="24"/>
                <w:szCs w:val="24"/>
              </w:rPr>
              <w:t>5 cm@70m</w:t>
            </w:r>
          </w:p>
          <w:p>
            <w:pPr>
              <w:rPr>
                <w:rFonts w:hint="eastAsia" w:ascii="宋体" w:hAnsi="宋体" w:cs="宋体"/>
                <w:color w:val="000000"/>
                <w:kern w:val="0"/>
                <w:sz w:val="24"/>
                <w:szCs w:val="24"/>
              </w:rPr>
            </w:pPr>
            <w:r>
              <w:rPr>
                <w:rFonts w:hint="eastAsia" w:ascii="宋体" w:hAnsi="宋体" w:cs="宋体"/>
                <w:color w:val="000000"/>
                <w:kern w:val="0"/>
                <w:sz w:val="24"/>
                <w:szCs w:val="24"/>
              </w:rPr>
              <w:t>建议作业最大高度</w:t>
            </w:r>
            <w:r>
              <w:rPr>
                <w:rFonts w:hint="eastAsia" w:ascii="宋体" w:hAnsi="宋体" w:cs="宋体"/>
                <w:color w:val="000000"/>
                <w:kern w:val="0"/>
                <w:sz w:val="24"/>
                <w:szCs w:val="24"/>
              </w:rPr>
              <w:tab/>
            </w:r>
            <w:r>
              <w:rPr>
                <w:rFonts w:hint="eastAsia" w:ascii="宋体" w:hAnsi="宋体" w:cs="宋体"/>
                <w:color w:val="000000"/>
                <w:kern w:val="0"/>
                <w:sz w:val="24"/>
                <w:szCs w:val="24"/>
              </w:rPr>
              <w:t>120 m</w:t>
            </w:r>
          </w:p>
          <w:p>
            <w:pPr>
              <w:rPr>
                <w:rFonts w:hint="eastAsia" w:ascii="宋体" w:hAnsi="宋体" w:cs="宋体"/>
                <w:color w:val="000000"/>
                <w:kern w:val="0"/>
                <w:sz w:val="24"/>
                <w:szCs w:val="24"/>
              </w:rPr>
            </w:pPr>
            <w:r>
              <w:rPr>
                <w:rFonts w:hint="eastAsia" w:ascii="宋体" w:hAnsi="宋体" w:cs="宋体"/>
                <w:color w:val="000000"/>
                <w:kern w:val="0"/>
                <w:sz w:val="24"/>
                <w:szCs w:val="24"/>
              </w:rPr>
              <w:t>典型作业速度</w:t>
            </w:r>
            <w:r>
              <w:rPr>
                <w:rFonts w:hint="eastAsia" w:ascii="宋体" w:hAnsi="宋体" w:cs="宋体"/>
                <w:color w:val="000000"/>
                <w:kern w:val="0"/>
                <w:sz w:val="24"/>
                <w:szCs w:val="24"/>
              </w:rPr>
              <w:tab/>
            </w:r>
            <w:r>
              <w:rPr>
                <w:rFonts w:hint="eastAsia" w:ascii="宋体" w:hAnsi="宋体" w:cs="宋体"/>
                <w:color w:val="000000"/>
                <w:kern w:val="0"/>
                <w:sz w:val="24"/>
                <w:szCs w:val="24"/>
              </w:rPr>
              <w:t>5 m/s-10m/s</w:t>
            </w:r>
          </w:p>
          <w:p>
            <w:pPr>
              <w:rPr>
                <w:rFonts w:hint="eastAsia" w:ascii="宋体" w:hAnsi="宋体" w:cs="宋体"/>
                <w:color w:val="000000"/>
                <w:kern w:val="0"/>
                <w:sz w:val="24"/>
                <w:szCs w:val="24"/>
              </w:rPr>
            </w:pPr>
            <w:r>
              <w:rPr>
                <w:rFonts w:hint="eastAsia" w:ascii="宋体" w:hAnsi="宋体" w:cs="宋体"/>
                <w:color w:val="000000"/>
                <w:kern w:val="0"/>
                <w:sz w:val="24"/>
                <w:szCs w:val="24"/>
              </w:rPr>
              <w:t>湿度</w:t>
            </w:r>
            <w:r>
              <w:rPr>
                <w:rFonts w:hint="eastAsia" w:ascii="宋体" w:hAnsi="宋体" w:cs="宋体"/>
                <w:color w:val="000000"/>
                <w:kern w:val="0"/>
                <w:sz w:val="24"/>
                <w:szCs w:val="24"/>
              </w:rPr>
              <w:tab/>
            </w:r>
            <w:r>
              <w:rPr>
                <w:rFonts w:hint="eastAsia" w:ascii="宋体" w:hAnsi="宋体" w:cs="宋体"/>
                <w:color w:val="000000"/>
                <w:kern w:val="0"/>
                <w:sz w:val="24"/>
                <w:szCs w:val="24"/>
              </w:rPr>
              <w:t>最大 80 %</w:t>
            </w:r>
          </w:p>
          <w:p>
            <w:pPr>
              <w:rPr>
                <w:rFonts w:hint="eastAsia" w:ascii="宋体" w:hAnsi="宋体" w:cs="宋体"/>
                <w:color w:val="000000"/>
                <w:kern w:val="0"/>
                <w:sz w:val="24"/>
                <w:szCs w:val="24"/>
              </w:rPr>
            </w:pPr>
            <w:r>
              <w:rPr>
                <w:rFonts w:hint="eastAsia" w:ascii="宋体" w:hAnsi="宋体" w:cs="宋体"/>
                <w:color w:val="000000"/>
                <w:kern w:val="0"/>
                <w:sz w:val="24"/>
                <w:szCs w:val="24"/>
              </w:rPr>
              <w:t>安全级别</w:t>
            </w:r>
            <w:r>
              <w:rPr>
                <w:rFonts w:hint="eastAsia" w:ascii="宋体" w:hAnsi="宋体" w:cs="宋体"/>
                <w:color w:val="000000"/>
                <w:kern w:val="0"/>
                <w:sz w:val="24"/>
                <w:szCs w:val="24"/>
              </w:rPr>
              <w:tab/>
            </w:r>
            <w:r>
              <w:rPr>
                <w:rFonts w:hint="eastAsia" w:ascii="宋体" w:hAnsi="宋体" w:cs="宋体"/>
                <w:color w:val="000000"/>
                <w:kern w:val="0"/>
                <w:sz w:val="24"/>
                <w:szCs w:val="24"/>
              </w:rPr>
              <w:t>Class1</w:t>
            </w:r>
          </w:p>
          <w:p>
            <w:pPr>
              <w:rPr>
                <w:rFonts w:hint="eastAsia" w:ascii="宋体" w:hAnsi="宋体" w:cs="宋体"/>
                <w:color w:val="000000"/>
                <w:kern w:val="0"/>
                <w:sz w:val="24"/>
                <w:szCs w:val="24"/>
              </w:rPr>
            </w:pPr>
            <w:r>
              <w:rPr>
                <w:rFonts w:hint="eastAsia" w:ascii="宋体" w:hAnsi="宋体" w:cs="宋体"/>
                <w:color w:val="000000"/>
                <w:kern w:val="0"/>
                <w:sz w:val="24"/>
                <w:szCs w:val="24"/>
              </w:rPr>
              <w:t>视场角</w:t>
            </w:r>
            <w:r>
              <w:rPr>
                <w:rFonts w:hint="eastAsia" w:ascii="宋体" w:hAnsi="宋体" w:cs="宋体"/>
                <w:color w:val="000000"/>
                <w:kern w:val="0"/>
                <w:sz w:val="24"/>
                <w:szCs w:val="24"/>
              </w:rPr>
              <w:tab/>
            </w:r>
            <w:r>
              <w:rPr>
                <w:rFonts w:hint="eastAsia" w:ascii="宋体" w:hAnsi="宋体" w:cs="宋体"/>
                <w:color w:val="000000"/>
                <w:kern w:val="0"/>
                <w:sz w:val="24"/>
                <w:szCs w:val="24"/>
              </w:rPr>
              <w:t>70.4° ( 水平 ) ×4.5° ( 垂直 )</w:t>
            </w:r>
          </w:p>
          <w:p>
            <w:pPr>
              <w:rPr>
                <w:rFonts w:hint="eastAsia" w:ascii="宋体" w:hAnsi="宋体" w:cs="宋体"/>
                <w:color w:val="000000"/>
                <w:kern w:val="0"/>
                <w:sz w:val="24"/>
                <w:szCs w:val="24"/>
              </w:rPr>
            </w:pPr>
            <w:r>
              <w:rPr>
                <w:rFonts w:hint="eastAsia" w:ascii="宋体" w:hAnsi="宋体" w:cs="宋体"/>
                <w:color w:val="000000"/>
                <w:kern w:val="0"/>
                <w:sz w:val="24"/>
                <w:szCs w:val="24"/>
              </w:rPr>
              <w:t>回波数</w:t>
            </w:r>
            <w:r>
              <w:rPr>
                <w:rFonts w:hint="eastAsia" w:ascii="宋体" w:hAnsi="宋体" w:cs="宋体"/>
                <w:color w:val="000000"/>
                <w:kern w:val="0"/>
                <w:sz w:val="24"/>
                <w:szCs w:val="24"/>
              </w:rPr>
              <w:tab/>
            </w:r>
            <w:r>
              <w:rPr>
                <w:rFonts w:hint="eastAsia" w:ascii="宋体" w:hAnsi="宋体" w:cs="宋体"/>
                <w:color w:val="000000"/>
                <w:kern w:val="0"/>
                <w:sz w:val="24"/>
                <w:szCs w:val="24"/>
              </w:rPr>
              <w:t>3</w:t>
            </w:r>
          </w:p>
          <w:p>
            <w:pPr>
              <w:rPr>
                <w:rFonts w:hint="eastAsia" w:ascii="宋体" w:hAnsi="宋体" w:cs="宋体"/>
                <w:color w:val="000000"/>
                <w:kern w:val="0"/>
                <w:sz w:val="24"/>
                <w:szCs w:val="24"/>
              </w:rPr>
            </w:pPr>
            <w:r>
              <w:rPr>
                <w:rFonts w:hint="eastAsia" w:ascii="宋体" w:hAnsi="宋体" w:cs="宋体"/>
                <w:color w:val="000000"/>
                <w:kern w:val="0"/>
                <w:sz w:val="24"/>
                <w:szCs w:val="24"/>
              </w:rPr>
              <w:t>GNSS</w:t>
            </w:r>
            <w:r>
              <w:rPr>
                <w:rFonts w:hint="eastAsia" w:ascii="宋体" w:hAnsi="宋体" w:cs="宋体"/>
                <w:color w:val="000000"/>
                <w:kern w:val="0"/>
                <w:sz w:val="24"/>
                <w:szCs w:val="24"/>
              </w:rPr>
              <w:tab/>
            </w:r>
            <w:r>
              <w:rPr>
                <w:rFonts w:hint="eastAsia" w:ascii="宋体" w:hAnsi="宋体" w:cs="宋体"/>
                <w:color w:val="000000"/>
                <w:kern w:val="0"/>
                <w:sz w:val="24"/>
                <w:szCs w:val="24"/>
              </w:rPr>
              <w:t>GPS，GLONASS，BeiDou</w:t>
            </w:r>
          </w:p>
          <w:p>
            <w:pPr>
              <w:rPr>
                <w:rFonts w:hint="eastAsia" w:ascii="宋体" w:hAnsi="宋体" w:cs="宋体"/>
                <w:color w:val="000000"/>
                <w:kern w:val="0"/>
                <w:sz w:val="24"/>
                <w:szCs w:val="24"/>
              </w:rPr>
            </w:pPr>
            <w:r>
              <w:rPr>
                <w:rFonts w:hint="eastAsia" w:ascii="宋体" w:hAnsi="宋体" w:cs="宋体"/>
                <w:color w:val="000000"/>
                <w:kern w:val="0"/>
                <w:sz w:val="24"/>
                <w:szCs w:val="24"/>
              </w:rPr>
              <w:t>姿态精度</w:t>
            </w:r>
            <w:r>
              <w:rPr>
                <w:rFonts w:hint="eastAsia" w:ascii="宋体" w:hAnsi="宋体" w:cs="宋体"/>
                <w:color w:val="000000"/>
                <w:kern w:val="0"/>
                <w:sz w:val="24"/>
                <w:szCs w:val="24"/>
              </w:rPr>
              <w:tab/>
            </w:r>
            <w:r>
              <w:rPr>
                <w:rFonts w:hint="eastAsia" w:ascii="宋体" w:hAnsi="宋体" w:cs="宋体"/>
                <w:color w:val="000000"/>
                <w:kern w:val="0"/>
                <w:sz w:val="24"/>
                <w:szCs w:val="24"/>
              </w:rPr>
              <w:t>0.008°</w:t>
            </w:r>
          </w:p>
          <w:p>
            <w:pPr>
              <w:rPr>
                <w:rFonts w:hint="eastAsia" w:ascii="宋体" w:hAnsi="宋体" w:cs="宋体"/>
                <w:color w:val="000000"/>
                <w:kern w:val="0"/>
                <w:sz w:val="24"/>
                <w:szCs w:val="24"/>
              </w:rPr>
            </w:pPr>
            <w:r>
              <w:rPr>
                <w:rFonts w:hint="eastAsia" w:ascii="宋体" w:hAnsi="宋体" w:cs="宋体"/>
                <w:color w:val="000000"/>
                <w:kern w:val="0"/>
                <w:sz w:val="24"/>
                <w:szCs w:val="24"/>
              </w:rPr>
              <w:t>相机</w:t>
            </w:r>
            <w:r>
              <w:rPr>
                <w:rFonts w:hint="eastAsia" w:ascii="宋体" w:hAnsi="宋体" w:cs="宋体"/>
                <w:color w:val="000000"/>
                <w:kern w:val="0"/>
                <w:sz w:val="24"/>
                <w:szCs w:val="24"/>
              </w:rPr>
              <w:tab/>
            </w:r>
            <w:r>
              <w:rPr>
                <w:rFonts w:hint="eastAsia" w:ascii="宋体" w:hAnsi="宋体" w:cs="宋体"/>
                <w:color w:val="000000"/>
                <w:kern w:val="0"/>
                <w:sz w:val="24"/>
                <w:szCs w:val="24"/>
              </w:rPr>
              <w:t>SONY 5100</w:t>
            </w:r>
          </w:p>
          <w:p>
            <w:pPr>
              <w:rPr>
                <w:rFonts w:hint="eastAsia" w:ascii="宋体" w:hAnsi="宋体" w:cs="宋体"/>
                <w:color w:val="000000"/>
                <w:kern w:val="0"/>
                <w:sz w:val="24"/>
                <w:szCs w:val="24"/>
              </w:rPr>
            </w:pPr>
            <w:r>
              <w:rPr>
                <w:rFonts w:hint="eastAsia" w:ascii="宋体" w:hAnsi="宋体" w:cs="宋体"/>
                <w:color w:val="000000"/>
                <w:kern w:val="0"/>
                <w:sz w:val="24"/>
                <w:szCs w:val="24"/>
              </w:rPr>
              <w:t>焦距</w:t>
            </w:r>
            <w:r>
              <w:rPr>
                <w:rFonts w:hint="eastAsia" w:ascii="宋体" w:hAnsi="宋体" w:cs="宋体"/>
                <w:color w:val="000000"/>
                <w:kern w:val="0"/>
                <w:sz w:val="24"/>
                <w:szCs w:val="24"/>
              </w:rPr>
              <w:tab/>
            </w:r>
            <w:r>
              <w:rPr>
                <w:rFonts w:hint="eastAsia" w:ascii="宋体" w:hAnsi="宋体" w:cs="宋体"/>
                <w:color w:val="000000"/>
                <w:kern w:val="0"/>
                <w:sz w:val="24"/>
                <w:szCs w:val="24"/>
              </w:rPr>
              <w:t>16mm/24mm 等效</w:t>
            </w:r>
          </w:p>
          <w:p>
            <w:pPr>
              <w:rPr>
                <w:rFonts w:hint="eastAsia" w:ascii="宋体" w:hAnsi="宋体" w:cs="宋体"/>
                <w:color w:val="000000"/>
                <w:kern w:val="0"/>
                <w:sz w:val="24"/>
                <w:szCs w:val="24"/>
              </w:rPr>
            </w:pPr>
            <w:r>
              <w:rPr>
                <w:rFonts w:hint="eastAsia" w:ascii="宋体" w:hAnsi="宋体" w:cs="宋体"/>
                <w:color w:val="000000"/>
                <w:kern w:val="0"/>
                <w:sz w:val="24"/>
                <w:szCs w:val="24"/>
              </w:rPr>
              <w:t>预处理软件</w:t>
            </w:r>
            <w:r>
              <w:rPr>
                <w:rFonts w:hint="eastAsia" w:ascii="宋体" w:hAnsi="宋体" w:cs="宋体"/>
                <w:color w:val="000000"/>
                <w:kern w:val="0"/>
                <w:sz w:val="24"/>
                <w:szCs w:val="24"/>
              </w:rPr>
              <w:tab/>
            </w:r>
            <w:r>
              <w:rPr>
                <w:rFonts w:hint="eastAsia" w:ascii="宋体" w:hAnsi="宋体" w:cs="宋体"/>
                <w:color w:val="000000"/>
                <w:kern w:val="0"/>
                <w:sz w:val="24"/>
                <w:szCs w:val="24"/>
              </w:rPr>
              <w:t>LiGeoreference</w:t>
            </w:r>
          </w:p>
          <w:p>
            <w:pPr>
              <w:rPr>
                <w:rFonts w:hint="eastAsia" w:ascii="宋体" w:hAnsi="宋体" w:cs="宋体"/>
                <w:color w:val="000000"/>
                <w:kern w:val="0"/>
                <w:sz w:val="24"/>
                <w:szCs w:val="24"/>
              </w:rPr>
            </w:pPr>
            <w:r>
              <w:rPr>
                <w:rFonts w:hint="eastAsia" w:ascii="宋体" w:hAnsi="宋体" w:cs="宋体"/>
                <w:color w:val="000000"/>
                <w:kern w:val="0"/>
                <w:sz w:val="24"/>
                <w:szCs w:val="24"/>
              </w:rPr>
              <w:t>后处理软件</w:t>
            </w:r>
            <w:r>
              <w:rPr>
                <w:rFonts w:hint="eastAsia" w:ascii="宋体" w:hAnsi="宋体" w:cs="宋体"/>
                <w:color w:val="000000"/>
                <w:kern w:val="0"/>
                <w:sz w:val="24"/>
                <w:szCs w:val="24"/>
              </w:rPr>
              <w:tab/>
            </w:r>
            <w:r>
              <w:rPr>
                <w:rFonts w:hint="eastAsia" w:ascii="宋体" w:hAnsi="宋体" w:cs="宋体"/>
                <w:color w:val="000000"/>
                <w:kern w:val="0"/>
                <w:sz w:val="24"/>
                <w:szCs w:val="24"/>
              </w:rPr>
              <w:t>LiDAR360 / LiPowerline</w:t>
            </w:r>
          </w:p>
          <w:p>
            <w:pPr>
              <w:rPr>
                <w:rFonts w:hint="eastAsia" w:ascii="宋体" w:hAnsi="宋体" w:cs="宋体"/>
                <w:color w:val="000000"/>
                <w:kern w:val="0"/>
                <w:sz w:val="24"/>
                <w:szCs w:val="24"/>
              </w:rPr>
            </w:pPr>
            <w:r>
              <w:rPr>
                <w:rFonts w:hint="eastAsia" w:ascii="宋体" w:hAnsi="宋体" w:cs="宋体"/>
                <w:color w:val="000000"/>
                <w:kern w:val="0"/>
                <w:sz w:val="24"/>
                <w:szCs w:val="24"/>
              </w:rPr>
              <w:t>航向精度</w:t>
            </w:r>
            <w:r>
              <w:rPr>
                <w:rFonts w:hint="eastAsia" w:ascii="宋体" w:hAnsi="宋体" w:cs="宋体"/>
                <w:color w:val="000000"/>
                <w:kern w:val="0"/>
                <w:sz w:val="24"/>
                <w:szCs w:val="24"/>
              </w:rPr>
              <w:tab/>
            </w:r>
            <w:r>
              <w:rPr>
                <w:rFonts w:hint="eastAsia" w:ascii="宋体" w:hAnsi="宋体" w:cs="宋体"/>
                <w:color w:val="000000"/>
                <w:kern w:val="0"/>
                <w:sz w:val="24"/>
                <w:szCs w:val="24"/>
              </w:rPr>
              <w:t>0.038 °</w:t>
            </w:r>
          </w:p>
          <w:p>
            <w:pPr>
              <w:rPr>
                <w:rFonts w:ascii="宋体" w:hAnsi="宋体" w:cs="宋体"/>
                <w:color w:val="000000"/>
                <w:kern w:val="0"/>
                <w:sz w:val="24"/>
                <w:szCs w:val="24"/>
              </w:rPr>
            </w:pPr>
            <w:r>
              <w:rPr>
                <w:rFonts w:hint="eastAsia" w:ascii="宋体" w:hAnsi="宋体" w:cs="宋体"/>
                <w:color w:val="000000"/>
                <w:kern w:val="0"/>
                <w:sz w:val="24"/>
                <w:szCs w:val="24"/>
              </w:rPr>
              <w:t>IMU 数据频率</w:t>
            </w:r>
            <w:r>
              <w:rPr>
                <w:rFonts w:hint="eastAsia" w:ascii="宋体" w:hAnsi="宋体" w:cs="宋体"/>
                <w:color w:val="000000"/>
                <w:kern w:val="0"/>
                <w:sz w:val="24"/>
                <w:szCs w:val="24"/>
              </w:rPr>
              <w:tab/>
            </w:r>
            <w:r>
              <w:rPr>
                <w:rFonts w:hint="eastAsia" w:ascii="宋体" w:hAnsi="宋体" w:cs="宋体"/>
                <w:color w:val="000000"/>
                <w:kern w:val="0"/>
                <w:sz w:val="24"/>
                <w:szCs w:val="24"/>
              </w:rPr>
              <w:t>200 HZ</w:t>
            </w:r>
          </w:p>
          <w:p>
            <w:pPr>
              <w:rPr>
                <w:rFonts w:hint="eastAsia" w:ascii="宋体" w:hAnsi="宋体" w:cs="宋体"/>
                <w:color w:val="000000"/>
                <w:kern w:val="0"/>
                <w:sz w:val="24"/>
                <w:szCs w:val="24"/>
              </w:rPr>
            </w:pPr>
            <w:r>
              <w:rPr>
                <w:rFonts w:hint="eastAsia" w:ascii="宋体" w:hAnsi="宋体" w:cs="宋体"/>
                <w:color w:val="000000"/>
                <w:kern w:val="0"/>
                <w:sz w:val="24"/>
                <w:szCs w:val="24"/>
              </w:rPr>
              <w:t>像素</w:t>
            </w:r>
            <w:r>
              <w:rPr>
                <w:rFonts w:hint="eastAsia" w:ascii="宋体" w:hAnsi="宋体" w:cs="宋体"/>
                <w:color w:val="000000"/>
                <w:kern w:val="0"/>
                <w:sz w:val="24"/>
                <w:szCs w:val="24"/>
              </w:rPr>
              <w:tab/>
            </w:r>
            <w:r>
              <w:rPr>
                <w:rFonts w:hint="eastAsia" w:ascii="宋体" w:hAnsi="宋体" w:cs="宋体"/>
                <w:color w:val="000000"/>
                <w:kern w:val="0"/>
                <w:sz w:val="24"/>
                <w:szCs w:val="24"/>
              </w:rPr>
              <w:t>2430 W</w:t>
            </w:r>
          </w:p>
          <w:p>
            <w:pPr>
              <w:rPr>
                <w:kern w:val="0"/>
                <w:sz w:val="20"/>
              </w:rPr>
            </w:pPr>
            <w:r>
              <w:rPr>
                <w:rFonts w:hint="eastAsia" w:ascii="宋体" w:hAnsi="宋体" w:cs="宋体"/>
                <w:color w:val="000000"/>
                <w:kern w:val="0"/>
                <w:sz w:val="24"/>
                <w:szCs w:val="24"/>
              </w:rPr>
              <w:t>图像尺寸</w:t>
            </w:r>
            <w:r>
              <w:rPr>
                <w:rFonts w:hint="eastAsia" w:ascii="宋体" w:hAnsi="宋体" w:cs="宋体"/>
                <w:color w:val="000000"/>
                <w:kern w:val="0"/>
                <w:sz w:val="24"/>
                <w:szCs w:val="24"/>
              </w:rPr>
              <w:tab/>
            </w:r>
            <w:r>
              <w:rPr>
                <w:rFonts w:hint="eastAsia" w:ascii="宋体" w:hAnsi="宋体" w:cs="宋体"/>
                <w:color w:val="000000"/>
                <w:kern w:val="0"/>
                <w:sz w:val="24"/>
                <w:szCs w:val="24"/>
              </w:rPr>
              <w:t>6000x4000</w:t>
            </w:r>
          </w:p>
        </w:tc>
      </w:tr>
    </w:tbl>
    <w:p>
      <w:pPr>
        <w:pStyle w:val="3"/>
        <w:pageBreakBefore w:val="0"/>
        <w:kinsoku/>
        <w:wordWrap/>
        <w:topLinePunct w:val="0"/>
        <w:bidi w:val="0"/>
        <w:spacing w:beforeAutospacing="0" w:afterAutospacing="0" w:line="400" w:lineRule="exact"/>
        <w:ind w:left="0" w:leftChars="0" w:right="0" w:rightChars="0" w:firstLine="0"/>
        <w:jc w:val="both"/>
        <w:rPr>
          <w:rFonts w:hint="eastAsia" w:ascii="仿宋" w:hAnsi="仿宋" w:eastAsia="仿宋"/>
          <w:sz w:val="32"/>
          <w:szCs w:val="32"/>
          <w:lang w:val="en-US" w:eastAsia="zh-CN"/>
        </w:rPr>
      </w:pPr>
    </w:p>
    <w:p>
      <w:pPr>
        <w:rPr>
          <w:rFonts w:hint="eastAsia"/>
          <w:lang w:val="en-US" w:eastAsia="zh-CN"/>
        </w:rPr>
      </w:pPr>
    </w:p>
    <w:p>
      <w:pPr>
        <w:pageBreakBefore w:val="0"/>
        <w:kinsoku/>
        <w:wordWrap/>
        <w:topLinePunct w:val="0"/>
        <w:autoSpaceDE w:val="0"/>
        <w:autoSpaceDN w:val="0"/>
        <w:bidi w:val="0"/>
        <w:adjustRightInd w:val="0"/>
        <w:spacing w:beforeAutospacing="0" w:afterAutospacing="0" w:line="400" w:lineRule="exact"/>
        <w:ind w:left="0" w:leftChars="0" w:right="0" w:rightChars="0"/>
        <w:jc w:val="center"/>
        <w:outlineLvl w:val="0"/>
        <w:rPr>
          <w:sz w:val="24"/>
        </w:rPr>
      </w:pPr>
      <w:bookmarkStart w:id="62" w:name="_Toc28434"/>
      <w:r>
        <w:rPr>
          <w:rFonts w:ascii="Arial" w:hAnsi="Arial" w:cs="Arial"/>
          <w:b/>
          <w:sz w:val="32"/>
          <w:szCs w:val="32"/>
        </w:rPr>
        <w:t>第四</w:t>
      </w:r>
      <w:r>
        <w:rPr>
          <w:rFonts w:hint="eastAsia" w:ascii="Arial" w:hAnsi="Arial" w:cs="Arial"/>
          <w:b/>
          <w:sz w:val="32"/>
          <w:szCs w:val="32"/>
        </w:rPr>
        <w:t xml:space="preserve">章  </w:t>
      </w:r>
      <w:r>
        <w:rPr>
          <w:rFonts w:ascii="Arial" w:hAnsi="Arial" w:cs="Arial"/>
          <w:b/>
          <w:sz w:val="32"/>
          <w:szCs w:val="32"/>
        </w:rPr>
        <w:t>合同条款</w:t>
      </w:r>
      <w:r>
        <w:rPr>
          <w:rFonts w:hint="eastAsia" w:ascii="Arial" w:hAnsi="Arial" w:cs="Arial"/>
          <w:b/>
          <w:sz w:val="32"/>
          <w:szCs w:val="32"/>
        </w:rPr>
        <w:t>（仅供参考）</w:t>
      </w:r>
      <w:bookmarkEnd w:id="62"/>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1、定义</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1.1 “合同”系指甲方和乙方(以下简称合同双方)已达成的协议，即由双方签订的合同格式文件，包括所有的招标文件、响应性文件、答疑纪录、澄清说明、附件、附录和组成合同的所有其他文件。</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1.2 “合同价格”系指根据合同规定，在乙方全面正确地履行合同义务时，甲方应支付给乙方的款项。</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1.3 “货物”系指乙方按合同要求相关设备。</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1.4 “服务”系指合同规定乙方必须承担的类似售后义务</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1.5 “甲方”、“买方”、“招标方”均系指通过招标采购，接受合同货物及服务的各行政事业单位、社会团体等采购单位及社会代理公司。</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1.6 “乙方”、“卖方”系指中标后提供合同货物和服务的经济实体。</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1.7 “现场”系指本次活动的服务地点。</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1.8 “验收”系指甲方依据技术规格规定接受合同货物所依据的程序和条件。</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2、适用范围</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2.1 本合同条款仅适用于本次招标活动。</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3、原产地</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3.1 原产地系指货物的生产地，或提供辅助服务的来源地。</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4、技术规格和标准</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4.1本合同项下所供货物的技术规格应与本招标文件技术规格规定的标准相一致。若技术规格中无相应规定，货物则应符合相应的国家标准或有关权威部门最新颁布的相应的正式标准。</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5、专利权</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6、包装</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6.2 每件包装应附有详细装箱单和质量证书各两套，一套在包装箱里，一套在包装箱外。</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7、保险</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7.1在合同价条件下，由乙方负责办理保险。</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8、合同价款的支付方式</w:t>
      </w:r>
    </w:p>
    <w:p>
      <w:pPr>
        <w:pageBreakBefore w:val="0"/>
        <w:kinsoku/>
        <w:wordWrap/>
        <w:overflowPunct w:val="0"/>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8.1 除另有规定者外，本合同价款将由采购人直接向乙方支付。</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9、质量保证</w:t>
      </w:r>
    </w:p>
    <w:p>
      <w:pPr>
        <w:pageBreakBefore w:val="0"/>
        <w:kinsoku/>
        <w:wordWrap/>
        <w:overflowPunct w:val="0"/>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9.1 在服务最终验收后的质量保证期之内，乙方应对自身缺陷而产生的任何不足或故障负责，费用由乙方负担。</w:t>
      </w:r>
    </w:p>
    <w:p>
      <w:pPr>
        <w:pageBreakBefore w:val="0"/>
        <w:kinsoku/>
        <w:wordWrap/>
        <w:overflowPunct w:val="0"/>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9.2上述内容以外的保修和售后服务内容为乙方在响应性文件中所承诺的内容。</w:t>
      </w:r>
    </w:p>
    <w:p>
      <w:pPr>
        <w:pageBreakBefore w:val="0"/>
        <w:kinsoku/>
        <w:wordWrap/>
        <w:topLinePunct w:val="0"/>
        <w:bidi w:val="0"/>
        <w:spacing w:beforeAutospacing="0" w:afterAutospacing="0" w:line="400" w:lineRule="exact"/>
        <w:ind w:left="0" w:leftChars="0" w:right="0" w:rightChars="0"/>
        <w:rPr>
          <w:rFonts w:ascii="宋体" w:hAnsi="宋体"/>
          <w:color w:val="000000"/>
          <w:sz w:val="24"/>
        </w:rPr>
      </w:pPr>
      <w:r>
        <w:rPr>
          <w:rFonts w:hint="eastAsia" w:ascii="宋体" w:hAnsi="宋体"/>
          <w:color w:val="000000"/>
          <w:sz w:val="24"/>
        </w:rPr>
        <w:t>10、履约保证金（无）</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11、延期交货与核定损失额</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11.1  乙方应按照“磋商响应报价表”规定提供服务，并交付甲方验收使用。</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 xml:space="preserve">  11.2 如果乙方无正当理由拖延交货，未得到甲方书面同意，将受到以下制裁：</w:t>
      </w:r>
      <w:r>
        <w:rPr>
          <w:rFonts w:hint="eastAsia" w:ascii="宋体" w:hAnsi="宋体"/>
          <w:bCs/>
          <w:sz w:val="24"/>
        </w:rPr>
        <w:t>不予退还履约保证金，加收误期赔偿或终止合同</w:t>
      </w:r>
      <w:r>
        <w:rPr>
          <w:rFonts w:hint="eastAsia" w:ascii="宋体" w:hAnsi="宋体"/>
          <w:sz w:val="24"/>
        </w:rPr>
        <w:t>。</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12、不可抗力</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13、仲裁</w:t>
      </w:r>
    </w:p>
    <w:p>
      <w:pPr>
        <w:pageBreakBefore w:val="0"/>
        <w:kinsoku/>
        <w:wordWrap/>
        <w:topLinePunct w:val="0"/>
        <w:bidi w:val="0"/>
        <w:spacing w:beforeAutospacing="0" w:afterAutospacing="0" w:line="400" w:lineRule="exact"/>
        <w:ind w:left="0" w:leftChars="0" w:right="0" w:rightChars="0" w:firstLine="480" w:firstLineChars="200"/>
        <w:rPr>
          <w:rFonts w:ascii="宋体" w:hAnsi="宋体"/>
          <w:sz w:val="24"/>
        </w:rPr>
      </w:pPr>
      <w:r>
        <w:rPr>
          <w:rFonts w:hint="eastAsia" w:ascii="宋体" w:hAnsi="宋体"/>
          <w:sz w:val="24"/>
        </w:rPr>
        <w:t>本项目如有合同争议，解决方式优先选择公安厅机关所在地人民法院，不施行仲裁。</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14、违约终止合同</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pageBreakBefore w:val="0"/>
        <w:kinsoku/>
        <w:wordWrap/>
        <w:topLinePunct w:val="0"/>
        <w:bidi w:val="0"/>
        <w:spacing w:beforeAutospacing="0" w:afterAutospacing="0" w:line="400" w:lineRule="exact"/>
        <w:ind w:left="0" w:leftChars="0" w:right="0" w:rightChars="0" w:firstLine="480" w:firstLineChars="200"/>
        <w:rPr>
          <w:rFonts w:ascii="宋体" w:hAnsi="宋体"/>
          <w:sz w:val="24"/>
        </w:rPr>
      </w:pPr>
      <w:r>
        <w:rPr>
          <w:rFonts w:hint="eastAsia" w:ascii="宋体" w:hAnsi="宋体"/>
          <w:sz w:val="24"/>
        </w:rPr>
        <w:t>(1)如果乙方未能在合同规定的期限内或甲方准许的任何延期内交付部分或全部货物。</w:t>
      </w:r>
    </w:p>
    <w:p>
      <w:pPr>
        <w:pageBreakBefore w:val="0"/>
        <w:kinsoku/>
        <w:wordWrap/>
        <w:topLinePunct w:val="0"/>
        <w:bidi w:val="0"/>
        <w:spacing w:beforeAutospacing="0" w:afterAutospacing="0" w:line="400" w:lineRule="exact"/>
        <w:ind w:left="0" w:leftChars="0" w:right="0" w:rightChars="0" w:firstLine="480" w:firstLineChars="200"/>
        <w:rPr>
          <w:rFonts w:ascii="宋体" w:hAnsi="宋体"/>
          <w:sz w:val="24"/>
        </w:rPr>
      </w:pPr>
      <w:r>
        <w:rPr>
          <w:rFonts w:hint="eastAsia" w:ascii="宋体" w:hAnsi="宋体"/>
          <w:sz w:val="24"/>
        </w:rPr>
        <w:t>(2)乙方未能履行合同项下的其它义务。</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15、变更指示</w:t>
      </w:r>
    </w:p>
    <w:p>
      <w:pPr>
        <w:pageBreakBefore w:val="0"/>
        <w:kinsoku/>
        <w:wordWrap/>
        <w:overflowPunct w:val="0"/>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15.1甲方可以随时向乙方发出书面指示，在合同总体范围内对如下一点或几点提出变更：</w:t>
      </w:r>
    </w:p>
    <w:p>
      <w:pPr>
        <w:pageBreakBefore w:val="0"/>
        <w:kinsoku/>
        <w:wordWrap/>
        <w:overflowPunct w:val="0"/>
        <w:topLinePunct w:val="0"/>
        <w:bidi w:val="0"/>
        <w:spacing w:beforeAutospacing="0" w:afterAutospacing="0" w:line="400" w:lineRule="exact"/>
        <w:ind w:left="0" w:leftChars="0" w:right="0" w:rightChars="0" w:firstLine="472" w:firstLineChars="200"/>
        <w:rPr>
          <w:rFonts w:ascii="宋体" w:hAnsi="宋体"/>
          <w:sz w:val="24"/>
        </w:rPr>
      </w:pPr>
      <w:r>
        <w:rPr>
          <w:rFonts w:hint="eastAsia" w:ascii="宋体" w:hAnsi="宋体"/>
          <w:spacing w:val="-2"/>
          <w:sz w:val="24"/>
        </w:rPr>
        <w:t>（1）</w:t>
      </w:r>
      <w:r>
        <w:rPr>
          <w:rFonts w:hint="eastAsia" w:ascii="宋体" w:hAnsi="宋体"/>
          <w:sz w:val="24"/>
        </w:rPr>
        <w:t>合同项下需为甲方特殊制定的服务项目；</w:t>
      </w:r>
    </w:p>
    <w:p>
      <w:pPr>
        <w:pageBreakBefore w:val="0"/>
        <w:kinsoku/>
        <w:wordWrap/>
        <w:overflowPunct w:val="0"/>
        <w:topLinePunct w:val="0"/>
        <w:bidi w:val="0"/>
        <w:spacing w:beforeAutospacing="0" w:afterAutospacing="0" w:line="400" w:lineRule="exact"/>
        <w:ind w:left="0" w:leftChars="0" w:right="0" w:rightChars="0" w:firstLine="472" w:firstLineChars="200"/>
        <w:rPr>
          <w:rFonts w:ascii="宋体" w:hAnsi="宋体"/>
          <w:sz w:val="24"/>
        </w:rPr>
      </w:pPr>
      <w:r>
        <w:rPr>
          <w:rFonts w:hint="eastAsia" w:ascii="宋体" w:hAnsi="宋体"/>
          <w:spacing w:val="-2"/>
          <w:sz w:val="24"/>
        </w:rPr>
        <w:t xml:space="preserve">（2） </w:t>
      </w:r>
      <w:r>
        <w:rPr>
          <w:rFonts w:hint="eastAsia" w:ascii="宋体" w:hAnsi="宋体"/>
          <w:sz w:val="24"/>
        </w:rPr>
        <w:t>服务地点；</w:t>
      </w:r>
    </w:p>
    <w:p>
      <w:pPr>
        <w:pageBreakBefore w:val="0"/>
        <w:kinsoku/>
        <w:wordWrap/>
        <w:overflowPunct w:val="0"/>
        <w:topLinePunct w:val="0"/>
        <w:bidi w:val="0"/>
        <w:spacing w:beforeAutospacing="0" w:afterAutospacing="0" w:line="400" w:lineRule="exact"/>
        <w:ind w:left="0" w:leftChars="0" w:right="0" w:rightChars="0" w:firstLine="472" w:firstLineChars="200"/>
        <w:rPr>
          <w:rFonts w:ascii="宋体" w:hAnsi="宋体"/>
          <w:sz w:val="24"/>
        </w:rPr>
      </w:pPr>
      <w:r>
        <w:rPr>
          <w:rFonts w:hint="eastAsia" w:ascii="宋体" w:hAnsi="宋体"/>
          <w:spacing w:val="-2"/>
          <w:sz w:val="24"/>
        </w:rPr>
        <w:t xml:space="preserve">（3） </w:t>
      </w:r>
      <w:r>
        <w:rPr>
          <w:rFonts w:hint="eastAsia" w:ascii="宋体" w:hAnsi="宋体"/>
          <w:sz w:val="24"/>
        </w:rPr>
        <w:t>乙方须提供的服务。</w:t>
      </w:r>
    </w:p>
    <w:p>
      <w:pPr>
        <w:pageBreakBefore w:val="0"/>
        <w:kinsoku/>
        <w:wordWrap/>
        <w:overflowPunct w:val="0"/>
        <w:topLinePunct w:val="0"/>
        <w:bidi w:val="0"/>
        <w:spacing w:beforeAutospacing="0" w:afterAutospacing="0" w:line="400" w:lineRule="exact"/>
        <w:ind w:left="0" w:leftChars="0" w:right="0" w:rightChars="0" w:firstLine="360" w:firstLineChars="150"/>
        <w:rPr>
          <w:rFonts w:ascii="宋体" w:hAnsi="宋体"/>
          <w:sz w:val="24"/>
        </w:rPr>
      </w:pPr>
      <w:r>
        <w:rPr>
          <w:rFonts w:hint="eastAsia" w:ascii="宋体" w:hAnsi="宋体"/>
          <w:sz w:val="24"/>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16、合同修改</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16.1　欲对合同条款做出任何改动或偏离，均须由甲乙双方签署书面的合同修改书。</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17、转让与分包</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17.1除甲方事先同意外，乙方不得部分转让或全部转让其应履行的合同项下的义务。</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17.2乙方应书面通知甲方本合同项下所授予的所有分包合同。但该通知不解除乙方承担的本合同项下的任何责任或义务。</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18、适用法律</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18.1　本合同应按中华人民共和国的相关法律解释。</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19、通知</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19.1本合同任何一方给另一方的通知都应以书面或电传、电报、传真的形式发送，而另一方应以书面形式确认并发送到对方明确的地址。</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20、合同文件及资料的使用</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20.2除非执行合同需要，在事先末得到甲方同意的情况下，乙方不得将与本合同有关的任何文件和资料给第三方使用。</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20.3除合同本身以外，若甲方要求，乙方应于其合同义务履行完毕以后将这些资料(包括所有副本)退还甲方。</w:t>
      </w:r>
    </w:p>
    <w:p>
      <w:pPr>
        <w:pageBreakBefore w:val="0"/>
        <w:kinsoku/>
        <w:wordWrap/>
        <w:topLinePunct w:val="0"/>
        <w:bidi w:val="0"/>
        <w:spacing w:beforeAutospacing="0" w:afterAutospacing="0" w:line="400" w:lineRule="exact"/>
        <w:ind w:left="0" w:leftChars="0" w:right="0" w:rightChars="0"/>
        <w:rPr>
          <w:rFonts w:ascii="宋体" w:hAnsi="宋体"/>
          <w:sz w:val="24"/>
        </w:rPr>
      </w:pPr>
      <w:r>
        <w:rPr>
          <w:rFonts w:hint="eastAsia" w:ascii="宋体" w:hAnsi="宋体"/>
          <w:sz w:val="24"/>
        </w:rPr>
        <w:t>21、合同生效及其他</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21.1　本合同应在甲方和乙方签字并加盖鉴证章后生效。</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21.2　乙方须按技术规格中的规定，向甲方提供与合同项下本次招标的相关服务。</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21.3　商务合同应包括甲方最后确认的价格条款和付款方式。</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pacing w:val="-6"/>
          <w:sz w:val="24"/>
        </w:rPr>
      </w:pPr>
      <w:r>
        <w:rPr>
          <w:rFonts w:hint="eastAsia" w:ascii="宋体" w:hAnsi="宋体"/>
          <w:sz w:val="24"/>
        </w:rPr>
        <w:t>21.4　</w:t>
      </w:r>
      <w:r>
        <w:rPr>
          <w:rFonts w:hint="eastAsia" w:ascii="宋体" w:hAnsi="宋体"/>
          <w:spacing w:val="-6"/>
          <w:sz w:val="24"/>
        </w:rPr>
        <w:t>下述文件将作为合同附件，为本合同不可分割的组成部分，并与本合具有同等效力：</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（1）</w:t>
      </w:r>
      <w:r>
        <w:rPr>
          <w:rFonts w:hint="eastAsia" w:ascii="宋体" w:hAnsi="宋体"/>
          <w:bCs/>
          <w:sz w:val="24"/>
        </w:rPr>
        <w:t>磋商文件</w:t>
      </w:r>
      <w:r>
        <w:rPr>
          <w:rFonts w:hint="eastAsia" w:ascii="宋体" w:hAnsi="宋体"/>
          <w:sz w:val="24"/>
        </w:rPr>
        <w:t>；</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（2）中标通知书；</w:t>
      </w:r>
    </w:p>
    <w:p>
      <w:pPr>
        <w:pageBreakBefore w:val="0"/>
        <w:kinsoku/>
        <w:wordWrap/>
        <w:topLinePunct w:val="0"/>
        <w:bidi w:val="0"/>
        <w:spacing w:beforeAutospacing="0" w:afterAutospacing="0" w:line="400" w:lineRule="exact"/>
        <w:ind w:left="0" w:leftChars="0" w:right="0" w:rightChars="0" w:firstLine="240" w:firstLineChars="100"/>
        <w:rPr>
          <w:rFonts w:ascii="宋体" w:hAnsi="宋体"/>
          <w:sz w:val="24"/>
        </w:rPr>
      </w:pPr>
      <w:r>
        <w:rPr>
          <w:rFonts w:hint="eastAsia" w:ascii="宋体" w:hAnsi="宋体"/>
          <w:sz w:val="24"/>
        </w:rPr>
        <w:t>（3）中标方的响应性文件及磋商过程中的书面答疑记录。</w:t>
      </w:r>
      <w:bookmarkStart w:id="63" w:name="_Toc381724074"/>
      <w:bookmarkStart w:id="64" w:name="_Toc455412770"/>
      <w:bookmarkStart w:id="65" w:name="_Toc462223649"/>
    </w:p>
    <w:bookmarkEnd w:id="63"/>
    <w:bookmarkEnd w:id="64"/>
    <w:bookmarkEnd w:id="65"/>
    <w:p>
      <w:pPr>
        <w:pageBreakBefore w:val="0"/>
        <w:kinsoku/>
        <w:wordWrap/>
        <w:topLinePunct w:val="0"/>
        <w:bidi w:val="0"/>
        <w:spacing w:beforeAutospacing="0" w:afterAutospacing="0" w:line="400" w:lineRule="exact"/>
        <w:ind w:left="0" w:leftChars="0" w:right="0" w:rightChars="0"/>
      </w:pPr>
      <w:bookmarkStart w:id="66" w:name="_Toc298240429"/>
      <w:bookmarkStart w:id="67" w:name="_Toc349637943"/>
      <w:bookmarkStart w:id="68" w:name="_Toc349573144"/>
      <w:bookmarkStart w:id="69" w:name="_Toc462223650"/>
    </w:p>
    <w:p>
      <w:pPr>
        <w:pageBreakBefore w:val="0"/>
        <w:kinsoku/>
        <w:wordWrap/>
        <w:topLinePunct w:val="0"/>
        <w:bidi w:val="0"/>
        <w:spacing w:beforeAutospacing="0" w:afterAutospacing="0" w:line="400" w:lineRule="exact"/>
        <w:ind w:left="0" w:leftChars="0" w:right="0" w:rightChars="0"/>
      </w:pPr>
    </w:p>
    <w:p>
      <w:pPr>
        <w:pageBreakBefore w:val="0"/>
        <w:kinsoku/>
        <w:wordWrap/>
        <w:topLinePunct w:val="0"/>
        <w:bidi w:val="0"/>
        <w:spacing w:beforeAutospacing="0" w:afterAutospacing="0" w:line="400" w:lineRule="exact"/>
        <w:ind w:left="0" w:leftChars="0" w:right="0" w:rightChars="0"/>
      </w:pPr>
    </w:p>
    <w:p>
      <w:pPr>
        <w:pageBreakBefore w:val="0"/>
        <w:kinsoku/>
        <w:wordWrap/>
        <w:topLinePunct w:val="0"/>
        <w:bidi w:val="0"/>
        <w:spacing w:beforeAutospacing="0" w:afterAutospacing="0" w:line="400" w:lineRule="exact"/>
        <w:ind w:left="0" w:leftChars="0" w:right="0" w:rightChars="0"/>
        <w:rPr>
          <w:rFonts w:ascii="Arial" w:hAnsi="Arial" w:cs="Arial"/>
          <w:b/>
          <w:sz w:val="32"/>
          <w:szCs w:val="32"/>
        </w:rPr>
      </w:pPr>
    </w:p>
    <w:p>
      <w:pPr>
        <w:pStyle w:val="2"/>
        <w:pageBreakBefore w:val="0"/>
        <w:kinsoku/>
        <w:wordWrap/>
        <w:topLinePunct w:val="0"/>
        <w:bidi w:val="0"/>
        <w:spacing w:beforeAutospacing="0" w:afterAutospacing="0" w:line="400" w:lineRule="exact"/>
        <w:ind w:left="0" w:leftChars="0" w:right="0" w:rightChars="0"/>
      </w:pPr>
    </w:p>
    <w:p>
      <w:pPr>
        <w:pageBreakBefore w:val="0"/>
        <w:kinsoku/>
        <w:wordWrap/>
        <w:topLinePunct w:val="0"/>
        <w:bidi w:val="0"/>
        <w:spacing w:line="400" w:lineRule="exact"/>
        <w:ind w:left="0" w:leftChars="0" w:right="0" w:rightChars="0"/>
        <w:rPr>
          <w:rFonts w:hint="eastAsia" w:ascii="Arial" w:hAnsi="Arial" w:cs="Arial"/>
          <w:sz w:val="32"/>
          <w:szCs w:val="32"/>
        </w:rPr>
      </w:pPr>
      <w:r>
        <w:rPr>
          <w:rFonts w:hint="eastAsia" w:ascii="Arial" w:hAnsi="Arial" w:cs="Arial"/>
          <w:sz w:val="32"/>
          <w:szCs w:val="32"/>
        </w:rPr>
        <w:br w:type="page"/>
      </w:r>
    </w:p>
    <w:p>
      <w:pPr>
        <w:pStyle w:val="3"/>
        <w:pageBreakBefore w:val="0"/>
        <w:kinsoku/>
        <w:wordWrap/>
        <w:topLinePunct w:val="0"/>
        <w:bidi w:val="0"/>
        <w:spacing w:beforeAutospacing="0" w:afterAutospacing="0" w:line="400" w:lineRule="exact"/>
        <w:ind w:left="0" w:leftChars="0" w:right="0" w:rightChars="0" w:firstLine="0"/>
        <w:jc w:val="center"/>
        <w:rPr>
          <w:rFonts w:hint="eastAsia" w:ascii="Arial" w:hAnsi="Arial" w:cs="Arial"/>
          <w:sz w:val="32"/>
          <w:szCs w:val="32"/>
        </w:rPr>
      </w:pPr>
      <w:bookmarkStart w:id="70" w:name="_Toc12367"/>
      <w:r>
        <w:rPr>
          <w:rFonts w:hint="eastAsia" w:ascii="Arial" w:hAnsi="Arial" w:cs="Arial"/>
          <w:sz w:val="32"/>
          <w:szCs w:val="32"/>
        </w:rPr>
        <w:t>第五章</w:t>
      </w:r>
      <w:bookmarkEnd w:id="66"/>
      <w:bookmarkEnd w:id="67"/>
      <w:bookmarkEnd w:id="68"/>
      <w:bookmarkEnd w:id="69"/>
      <w:r>
        <w:rPr>
          <w:rFonts w:hint="eastAsia" w:ascii="Arial" w:hAnsi="Arial" w:cs="Arial"/>
          <w:sz w:val="32"/>
          <w:szCs w:val="32"/>
        </w:rPr>
        <w:t xml:space="preserve">  附件</w:t>
      </w:r>
      <w:bookmarkEnd w:id="70"/>
    </w:p>
    <w:p>
      <w:pPr>
        <w:pageBreakBefore w:val="0"/>
        <w:kinsoku/>
        <w:wordWrap/>
        <w:topLinePunct w:val="0"/>
        <w:bidi w:val="0"/>
        <w:spacing w:line="400" w:lineRule="exact"/>
        <w:ind w:left="0" w:leftChars="0" w:right="0" w:rightChars="0"/>
        <w:jc w:val="center"/>
        <w:outlineLvl w:val="0"/>
        <w:rPr>
          <w:rFonts w:hint="eastAsia" w:ascii="宋体" w:hAnsi="宋体" w:eastAsia="宋体" w:cs="宋体"/>
          <w:b/>
          <w:bCs/>
          <w:color w:val="auto"/>
          <w:sz w:val="24"/>
          <w:szCs w:val="24"/>
          <w:highlight w:val="none"/>
        </w:rPr>
      </w:pPr>
      <w:bookmarkStart w:id="71" w:name="_Toc10875"/>
      <w:r>
        <w:rPr>
          <w:rFonts w:hint="eastAsia" w:ascii="宋体" w:hAnsi="宋体" w:eastAsia="宋体" w:cs="宋体"/>
          <w:b/>
          <w:bCs/>
          <w:color w:val="auto"/>
          <w:sz w:val="24"/>
          <w:szCs w:val="24"/>
          <w:highlight w:val="none"/>
          <w:lang w:eastAsia="zh-CN"/>
        </w:rPr>
        <w:t>开标</w:t>
      </w:r>
      <w:r>
        <w:rPr>
          <w:rFonts w:hint="eastAsia" w:ascii="宋体" w:hAnsi="宋体" w:eastAsia="宋体" w:cs="宋体"/>
          <w:b/>
          <w:bCs/>
          <w:color w:val="auto"/>
          <w:sz w:val="24"/>
          <w:szCs w:val="24"/>
          <w:highlight w:val="none"/>
        </w:rPr>
        <w:t>一览表</w:t>
      </w:r>
      <w:bookmarkEnd w:id="71"/>
    </w:p>
    <w:p>
      <w:pPr>
        <w:pageBreakBefore w:val="0"/>
        <w:kinsoku/>
        <w:wordWrap/>
        <w:overflowPunct/>
        <w:topLinePunct w:val="0"/>
        <w:bidi w:val="0"/>
        <w:spacing w:beforeAutospacing="0" w:line="400" w:lineRule="exact"/>
        <w:ind w:left="0" w:leftChars="0" w:right="0" w:rightChars="0"/>
        <w:outlineLvl w:val="9"/>
        <w:rPr>
          <w:rFonts w:hint="default" w:ascii="仿宋" w:hAnsi="仿宋" w:eastAsia="仿宋" w:cs="仿宋"/>
          <w:color w:val="auto"/>
          <w:sz w:val="24"/>
          <w:szCs w:val="24"/>
          <w:highlight w:val="none"/>
          <w:lang w:val="en-US" w:eastAsia="zh-CN"/>
        </w:rPr>
      </w:pPr>
      <w:r>
        <w:rPr>
          <w:rFonts w:hint="eastAsia" w:ascii="宋体" w:hAnsi="宋体"/>
          <w:color w:val="000000"/>
          <w:sz w:val="24"/>
        </w:rPr>
        <w:t>磋商供应商名称：</w:t>
      </w:r>
      <w:r>
        <w:rPr>
          <w:rFonts w:hint="eastAsia" w:ascii="仿宋" w:hAnsi="仿宋" w:eastAsia="仿宋" w:cs="仿宋"/>
          <w:bCs/>
          <w:color w:val="auto"/>
          <w:sz w:val="24"/>
          <w:szCs w:val="24"/>
          <w:highlight w:val="none"/>
        </w:rPr>
        <w:t xml:space="preserve">             </w:t>
      </w:r>
      <w:r>
        <w:rPr>
          <w:rFonts w:hint="eastAsia" w:ascii="宋体" w:hAnsi="宋体" w:eastAsia="宋体"/>
          <w:color w:val="000000"/>
          <w:sz w:val="24"/>
          <w:lang w:val="en-US" w:eastAsia="zh-CN"/>
        </w:rPr>
        <w:t xml:space="preserve"> </w:t>
      </w:r>
      <w:r>
        <w:rPr>
          <w:rFonts w:hint="eastAsia" w:ascii="宋体" w:hAnsi="宋体" w:eastAsia="宋体"/>
          <w:color w:val="000000"/>
          <w:sz w:val="24"/>
        </w:rPr>
        <w:t xml:space="preserve"> 项目编号：</w:t>
      </w:r>
      <w:r>
        <w:rPr>
          <w:rFonts w:hint="eastAsia" w:ascii="宋体" w:hAnsi="宋体" w:eastAsia="宋体"/>
          <w:color w:val="000000"/>
          <w:sz w:val="24"/>
          <w:lang w:val="en-US" w:eastAsia="zh-CN"/>
        </w:rPr>
        <w:t xml:space="preserve">    </w:t>
      </w:r>
      <w:r>
        <w:rPr>
          <w:rFonts w:hint="eastAsia" w:ascii="仿宋" w:hAnsi="仿宋" w:eastAsia="仿宋" w:cs="仿宋"/>
          <w:color w:val="auto"/>
          <w:sz w:val="24"/>
          <w:szCs w:val="24"/>
          <w:highlight w:val="none"/>
          <w:lang w:val="en-US" w:eastAsia="zh-CN"/>
        </w:rPr>
        <w:t xml:space="preserve">   </w:t>
      </w:r>
    </w:p>
    <w:tbl>
      <w:tblPr>
        <w:tblStyle w:val="33"/>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期</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bl>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1、投标总价应为各分项报价之和。报价须以元为单位，小数点后保留2位。</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2、投标报价包括投标人为实施本项目提供投标产品及服务内容所包括的全部含税价格的体现。</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3、投标人必须自行考虑本项目在实施期间的一切可能产生的费用。在合同执行过程中，招标人将不再另行支付与本项目相关的任何费用（非本项目要求的其它内容除外）。</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、本表须按采购文件要求，单独封装、标识后提交。</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b/>
          <w:bCs/>
          <w:color w:val="auto"/>
          <w:sz w:val="24"/>
          <w:szCs w:val="24"/>
          <w:highlight w:val="none"/>
        </w:rPr>
      </w:pPr>
    </w:p>
    <w:p>
      <w:pPr>
        <w:pStyle w:val="16"/>
        <w:pageBreakBefore w:val="0"/>
        <w:kinsoku/>
        <w:wordWrap/>
        <w:topLinePunct w:val="0"/>
        <w:bidi w:val="0"/>
        <w:spacing w:line="400" w:lineRule="exact"/>
        <w:ind w:left="0" w:leftChars="0" w:right="0" w:rightChars="0"/>
        <w:rPr>
          <w:rFonts w:hint="eastAsia" w:ascii="仿宋" w:hAnsi="仿宋" w:eastAsia="仿宋" w:cs="仿宋"/>
          <w:b/>
          <w:bCs/>
          <w:color w:val="auto"/>
          <w:sz w:val="24"/>
          <w:szCs w:val="24"/>
          <w:highlight w:val="none"/>
        </w:rPr>
      </w:pPr>
    </w:p>
    <w:p>
      <w:pPr>
        <w:pageBreakBefore w:val="0"/>
        <w:kinsoku/>
        <w:wordWrap/>
        <w:topLinePunct w:val="0"/>
        <w:bidi w:val="0"/>
        <w:spacing w:beforeAutospacing="0" w:afterAutospacing="0" w:line="400" w:lineRule="exact"/>
        <w:ind w:left="0" w:leftChars="0" w:right="0" w:rightChars="0" w:firstLine="480" w:firstLineChars="200"/>
        <w:jc w:val="center"/>
        <w:outlineLvl w:val="9"/>
        <w:rPr>
          <w:rFonts w:hint="eastAsia" w:ascii="仿宋" w:hAnsi="仿宋" w:eastAsia="仿宋" w:cs="仿宋"/>
          <w:color w:val="000000"/>
          <w:sz w:val="24"/>
          <w:szCs w:val="24"/>
          <w:u w:val="single"/>
        </w:rPr>
      </w:pPr>
      <w:bookmarkStart w:id="72" w:name="_Toc22719"/>
      <w:r>
        <w:rPr>
          <w:rFonts w:hint="eastAsia" w:ascii="仿宋" w:hAnsi="仿宋" w:eastAsia="仿宋" w:cs="仿宋"/>
          <w:color w:val="000000"/>
          <w:sz w:val="24"/>
          <w:szCs w:val="24"/>
          <w:lang w:eastAsia="zh-CN"/>
        </w:rPr>
        <w:t>投标</w:t>
      </w:r>
      <w:r>
        <w:rPr>
          <w:rFonts w:hint="eastAsia" w:ascii="仿宋" w:hAnsi="仿宋" w:eastAsia="仿宋" w:cs="仿宋"/>
          <w:color w:val="000000"/>
          <w:sz w:val="24"/>
          <w:szCs w:val="24"/>
        </w:rPr>
        <w:t>供应商名称（公章）：</w:t>
      </w:r>
      <w:bookmarkEnd w:id="72"/>
    </w:p>
    <w:p>
      <w:pPr>
        <w:pageBreakBefore w:val="0"/>
        <w:kinsoku/>
        <w:wordWrap/>
        <w:topLinePunct w:val="0"/>
        <w:bidi w:val="0"/>
        <w:spacing w:beforeAutospacing="0" w:afterAutospacing="0" w:line="400" w:lineRule="exact"/>
        <w:ind w:left="0" w:leftChars="0" w:right="0" w:rightChars="0" w:firstLine="480" w:firstLineChars="200"/>
        <w:jc w:val="center"/>
        <w:outlineLvl w:val="9"/>
        <w:rPr>
          <w:rFonts w:hint="eastAsia" w:ascii="仿宋" w:hAnsi="仿宋" w:eastAsia="仿宋" w:cs="仿宋"/>
          <w:color w:val="000000"/>
          <w:sz w:val="24"/>
          <w:szCs w:val="24"/>
          <w:u w:val="single"/>
        </w:rPr>
      </w:pPr>
      <w:bookmarkStart w:id="73" w:name="_Toc13389"/>
      <w:r>
        <w:rPr>
          <w:rFonts w:hint="eastAsia" w:ascii="仿宋" w:hAnsi="仿宋" w:eastAsia="仿宋" w:cs="仿宋"/>
          <w:color w:val="000000"/>
          <w:sz w:val="24"/>
          <w:szCs w:val="24"/>
        </w:rPr>
        <w:t>法定代表人或授权代表人（签字）：</w:t>
      </w:r>
      <w:bookmarkEnd w:id="73"/>
    </w:p>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32"/>
          <w:szCs w:val="32"/>
        </w:rPr>
      </w:pPr>
      <w:r>
        <w:rPr>
          <w:rFonts w:hint="eastAsia" w:ascii="仿宋" w:hAnsi="仿宋" w:eastAsia="仿宋" w:cs="仿宋"/>
          <w:bCs/>
          <w:color w:val="000000"/>
          <w:sz w:val="24"/>
          <w:szCs w:val="24"/>
        </w:rPr>
        <w:t>日期：</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Arial" w:hAnsi="Arial" w:cs="Arial"/>
          <w:sz w:val="32"/>
          <w:szCs w:val="32"/>
        </w:rPr>
        <w:br w:type="page"/>
      </w:r>
    </w:p>
    <w:p>
      <w:pPr>
        <w:pageBreakBefore w:val="0"/>
        <w:kinsoku/>
        <w:wordWrap/>
        <w:topLinePunct w:val="0"/>
        <w:bidi w:val="0"/>
        <w:spacing w:line="400" w:lineRule="exact"/>
        <w:ind w:left="0" w:leftChars="0" w:right="0" w:rightChars="0"/>
      </w:pPr>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4" w:name="_Toc30854"/>
      <w:r>
        <w:rPr>
          <w:rFonts w:hint="eastAsia" w:ascii="宋体" w:hAnsi="宋体"/>
          <w:color w:val="000000"/>
          <w:sz w:val="24"/>
        </w:rPr>
        <w:t>附件1: 磋 商 响 应 函</w:t>
      </w:r>
      <w:bookmarkEnd w:id="74"/>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5" w:name="_Toc18786"/>
      <w:r>
        <w:rPr>
          <w:rFonts w:hint="eastAsia" w:ascii="宋体" w:hAnsi="宋体"/>
          <w:color w:val="000000"/>
          <w:sz w:val="24"/>
        </w:rPr>
        <w:t>附件2：法定代表人身份证明</w:t>
      </w:r>
      <w:bookmarkEnd w:id="75"/>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6" w:name="_Toc22439"/>
      <w:r>
        <w:rPr>
          <w:rFonts w:hint="eastAsia" w:ascii="宋体" w:hAnsi="宋体"/>
          <w:color w:val="000000"/>
          <w:sz w:val="24"/>
        </w:rPr>
        <w:t>附件3：法定代表人授权委托书</w:t>
      </w:r>
      <w:bookmarkEnd w:id="76"/>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7" w:name="_Toc24061"/>
      <w:r>
        <w:rPr>
          <w:rFonts w:hint="eastAsia" w:ascii="宋体" w:hAnsi="宋体"/>
          <w:color w:val="000000"/>
          <w:sz w:val="24"/>
        </w:rPr>
        <w:t>附件4：磋商报价表（开标一览表）</w:t>
      </w:r>
      <w:bookmarkEnd w:id="77"/>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8" w:name="_Toc23676"/>
      <w:r>
        <w:rPr>
          <w:rFonts w:hint="eastAsia" w:ascii="宋体" w:hAnsi="宋体"/>
          <w:color w:val="000000"/>
          <w:sz w:val="24"/>
        </w:rPr>
        <w:t>附件5：商务偏离表</w:t>
      </w:r>
      <w:bookmarkEnd w:id="78"/>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79" w:name="_Toc32168"/>
      <w:r>
        <w:rPr>
          <w:rFonts w:hint="eastAsia" w:ascii="宋体" w:hAnsi="宋体"/>
          <w:color w:val="000000"/>
          <w:sz w:val="24"/>
        </w:rPr>
        <w:t>附件6：技术偏离表</w:t>
      </w:r>
      <w:bookmarkEnd w:id="79"/>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80" w:name="_Toc4252"/>
      <w:r>
        <w:rPr>
          <w:rFonts w:hint="eastAsia" w:ascii="宋体" w:hAnsi="宋体"/>
          <w:color w:val="000000"/>
          <w:sz w:val="24"/>
        </w:rPr>
        <w:t>附件7：公司业绩一览表</w:t>
      </w:r>
      <w:bookmarkEnd w:id="80"/>
    </w:p>
    <w:p>
      <w:pPr>
        <w:pageBreakBefore w:val="0"/>
        <w:kinsoku/>
        <w:wordWrap/>
        <w:topLinePunct w:val="0"/>
        <w:bidi w:val="0"/>
        <w:spacing w:beforeAutospacing="0" w:afterAutospacing="0" w:line="400" w:lineRule="exact"/>
        <w:ind w:left="0" w:leftChars="0" w:right="0" w:rightChars="0" w:firstLine="480" w:firstLineChars="200"/>
        <w:outlineLvl w:val="0"/>
        <w:rPr>
          <w:rFonts w:ascii="宋体" w:hAnsi="宋体"/>
          <w:color w:val="000000"/>
          <w:sz w:val="24"/>
        </w:rPr>
      </w:pPr>
      <w:bookmarkStart w:id="81" w:name="_Toc20234"/>
      <w:r>
        <w:rPr>
          <w:rFonts w:hint="eastAsia" w:ascii="宋体" w:hAnsi="宋体"/>
          <w:color w:val="000000"/>
          <w:sz w:val="24"/>
        </w:rPr>
        <w:t>附件8：优惠条件承诺书</w:t>
      </w:r>
      <w:bookmarkEnd w:id="81"/>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82" w:name="_Toc24015"/>
      <w:r>
        <w:rPr>
          <w:rFonts w:hint="eastAsia" w:ascii="宋体" w:hAnsi="宋体"/>
          <w:color w:val="000000"/>
          <w:sz w:val="24"/>
        </w:rPr>
        <w:t>附件9：售后服务承诺</w:t>
      </w:r>
      <w:bookmarkEnd w:id="82"/>
      <w:r>
        <w:rPr>
          <w:rFonts w:hint="eastAsia" w:ascii="宋体" w:hAnsi="宋体"/>
          <w:color w:val="000000"/>
          <w:sz w:val="24"/>
        </w:rPr>
        <w:t xml:space="preserve"> </w:t>
      </w:r>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83" w:name="_Toc901"/>
      <w:r>
        <w:rPr>
          <w:rFonts w:hint="eastAsia" w:ascii="宋体" w:hAnsi="宋体"/>
          <w:color w:val="000000"/>
          <w:sz w:val="24"/>
        </w:rPr>
        <w:t>附件10：无重大违法记录声明</w:t>
      </w:r>
      <w:bookmarkEnd w:id="83"/>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84" w:name="_Toc19396"/>
      <w:r>
        <w:rPr>
          <w:rFonts w:hint="eastAsia" w:ascii="宋体" w:hAnsi="宋体"/>
          <w:color w:val="000000"/>
          <w:sz w:val="24"/>
        </w:rPr>
        <w:t>附件 11：供应商反商业贿赂承诺书</w:t>
      </w:r>
      <w:bookmarkEnd w:id="84"/>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85" w:name="_Toc30867"/>
      <w:r>
        <w:rPr>
          <w:rFonts w:hint="eastAsia" w:ascii="宋体" w:hAnsi="宋体"/>
          <w:color w:val="000000"/>
          <w:sz w:val="24"/>
        </w:rPr>
        <w:t>附件12：中小微企业证明文件等（如有）</w:t>
      </w:r>
      <w:bookmarkEnd w:id="85"/>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0"/>
        <w:rPr>
          <w:rFonts w:ascii="宋体" w:hAnsi="宋体"/>
          <w:color w:val="000000"/>
          <w:sz w:val="24"/>
        </w:rPr>
      </w:pPr>
      <w:bookmarkStart w:id="86" w:name="_Toc3181"/>
      <w:r>
        <w:rPr>
          <w:rFonts w:hint="eastAsia" w:ascii="宋体" w:hAnsi="宋体"/>
          <w:color w:val="000000"/>
          <w:sz w:val="24"/>
        </w:rPr>
        <w:t>附件13：投标人认为有必要提交的其他相关证明材料</w:t>
      </w:r>
      <w:bookmarkEnd w:id="86"/>
    </w:p>
    <w:p>
      <w:pPr>
        <w:pageBreakBefore w:val="0"/>
        <w:kinsoku/>
        <w:wordWrap/>
        <w:topLinePunct w:val="0"/>
        <w:bidi w:val="0"/>
        <w:spacing w:beforeAutospacing="0" w:afterAutospacing="0" w:line="400" w:lineRule="exact"/>
        <w:ind w:left="0" w:leftChars="0" w:right="0" w:rightChars="0"/>
        <w:rPr>
          <w:rFonts w:ascii="Arial" w:hAnsi="Arial" w:cs="Arial"/>
          <w:sz w:val="24"/>
        </w:rPr>
        <w:sectPr>
          <w:footerReference r:id="rId7" w:type="first"/>
          <w:footerReference r:id="rId6" w:type="default"/>
          <w:pgSz w:w="11907" w:h="16840"/>
          <w:pgMar w:top="1440" w:right="1247" w:bottom="1440" w:left="1361" w:header="851" w:footer="799" w:gutter="0"/>
          <w:pgNumType w:fmt="decimal" w:start="1"/>
          <w:cols w:space="720" w:num="1"/>
          <w:titlePg/>
          <w:docGrid w:type="lines" w:linePitch="409" w:charSpace="0"/>
        </w:sectPr>
      </w:pPr>
    </w:p>
    <w:p>
      <w:pPr>
        <w:pageBreakBefore w:val="0"/>
        <w:kinsoku/>
        <w:wordWrap/>
        <w:topLinePunct w:val="0"/>
        <w:bidi w:val="0"/>
        <w:spacing w:beforeAutospacing="0" w:afterAutospacing="0" w:line="400" w:lineRule="exact"/>
        <w:ind w:left="0" w:leftChars="0" w:right="0" w:rightChars="0"/>
        <w:outlineLvl w:val="9"/>
        <w:rPr>
          <w:rFonts w:ascii="宋体" w:hAnsi="宋体"/>
          <w:b/>
          <w:color w:val="000000"/>
          <w:sz w:val="32"/>
          <w:szCs w:val="32"/>
        </w:rPr>
      </w:pPr>
      <w:bookmarkStart w:id="87" w:name="_Toc16702"/>
      <w:r>
        <w:rPr>
          <w:rFonts w:hint="eastAsia" w:ascii="宋体" w:hAnsi="宋体"/>
          <w:b/>
          <w:color w:val="000000"/>
          <w:sz w:val="32"/>
          <w:szCs w:val="32"/>
        </w:rPr>
        <w:t>附件1：</w:t>
      </w:r>
      <w:bookmarkEnd w:id="87"/>
    </w:p>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32"/>
          <w:szCs w:val="32"/>
        </w:rPr>
      </w:pPr>
      <w:r>
        <w:rPr>
          <w:rFonts w:hint="eastAsia" w:ascii="宋体" w:hAnsi="宋体"/>
          <w:b/>
          <w:color w:val="000000"/>
          <w:sz w:val="32"/>
          <w:szCs w:val="32"/>
        </w:rPr>
        <w:t>磋 商 响 应 函</w:t>
      </w:r>
    </w:p>
    <w:p>
      <w:pPr>
        <w:pageBreakBefore w:val="0"/>
        <w:kinsoku/>
        <w:wordWrap/>
        <w:topLinePunct w:val="0"/>
        <w:bidi w:val="0"/>
        <w:spacing w:beforeAutospacing="0" w:afterAutospacing="0" w:line="400" w:lineRule="exact"/>
        <w:ind w:left="0" w:leftChars="0" w:right="0" w:rightChars="0"/>
        <w:outlineLvl w:val="9"/>
        <w:rPr>
          <w:rFonts w:hint="eastAsia" w:ascii="宋体" w:hAnsi="宋体" w:eastAsia="宋体"/>
          <w:color w:val="000000"/>
          <w:sz w:val="24"/>
          <w:lang w:eastAsia="zh-CN"/>
        </w:rPr>
      </w:pPr>
      <w:r>
        <w:rPr>
          <w:rFonts w:hint="eastAsia" w:ascii="宋体" w:hAnsi="宋体"/>
          <w:bCs/>
          <w:color w:val="000000"/>
          <w:sz w:val="24"/>
        </w:rPr>
        <w:t>致：</w:t>
      </w:r>
      <w:r>
        <w:rPr>
          <w:rFonts w:hint="eastAsia" w:ascii="宋体" w:hAnsi="宋体"/>
          <w:color w:val="000000"/>
          <w:sz w:val="24"/>
          <w:lang w:eastAsia="zh-CN"/>
        </w:rPr>
        <w:t>宏业国际项目管理有限公司</w:t>
      </w:r>
    </w:p>
    <w:p>
      <w:pPr>
        <w:pageBreakBefore w:val="0"/>
        <w:kinsoku/>
        <w:wordWrap/>
        <w:topLinePunct w:val="0"/>
        <w:bidi w:val="0"/>
        <w:spacing w:beforeAutospacing="0" w:afterAutospacing="0" w:line="400" w:lineRule="exact"/>
        <w:ind w:left="0" w:leftChars="0" w:right="0" w:rightChars="0" w:firstLine="456" w:firstLineChars="200"/>
        <w:outlineLvl w:val="9"/>
        <w:rPr>
          <w:rFonts w:ascii="宋体" w:hAnsi="宋体"/>
          <w:color w:val="000000"/>
          <w:sz w:val="24"/>
        </w:rPr>
      </w:pPr>
      <w:r>
        <w:rPr>
          <w:rFonts w:hint="eastAsia" w:ascii="宋体" w:hAnsi="宋体"/>
          <w:color w:val="000000"/>
          <w:spacing w:val="-6"/>
          <w:sz w:val="24"/>
        </w:rPr>
        <w:t>根据贵方项目</w:t>
      </w:r>
      <w:r>
        <w:rPr>
          <w:rFonts w:hint="eastAsia" w:ascii="宋体" w:hAnsi="宋体"/>
          <w:color w:val="000000"/>
          <w:sz w:val="24"/>
        </w:rPr>
        <w:t>的</w:t>
      </w:r>
      <w:r>
        <w:rPr>
          <w:rFonts w:hint="eastAsia" w:ascii="宋体" w:hAnsi="宋体"/>
          <w:color w:val="000000"/>
          <w:spacing w:val="-6"/>
          <w:sz w:val="24"/>
        </w:rPr>
        <w:t>招标采购</w:t>
      </w:r>
      <w:r>
        <w:rPr>
          <w:rFonts w:hint="eastAsia" w:ascii="宋体" w:hAnsi="宋体"/>
          <w:color w:val="000000"/>
          <w:sz w:val="24"/>
        </w:rPr>
        <w:t>(项目编号:      )，正式授权的下述签字人</w:t>
      </w:r>
      <w:r>
        <w:rPr>
          <w:rFonts w:hint="eastAsia" w:ascii="宋体" w:hAnsi="宋体"/>
          <w:color w:val="000000"/>
          <w:sz w:val="24"/>
          <w:u w:val="single"/>
        </w:rPr>
        <w:t xml:space="preserve">    （</w:t>
      </w:r>
      <w:r>
        <w:rPr>
          <w:rFonts w:hint="eastAsia" w:ascii="宋体" w:hAnsi="宋体"/>
          <w:color w:val="000000"/>
          <w:sz w:val="24"/>
        </w:rPr>
        <w:t>姓名和职务）代表供应商</w:t>
      </w:r>
      <w:r>
        <w:rPr>
          <w:rFonts w:hint="eastAsia" w:ascii="宋体" w:hAnsi="宋体"/>
          <w:color w:val="000000"/>
          <w:sz w:val="24"/>
          <w:u w:val="single"/>
        </w:rPr>
        <w:t xml:space="preserve">        （</w:t>
      </w:r>
      <w:r>
        <w:rPr>
          <w:rFonts w:hint="eastAsia" w:ascii="宋体" w:hAnsi="宋体"/>
          <w:color w:val="000000"/>
          <w:sz w:val="24"/>
        </w:rPr>
        <w:t>磋商供应商名称），提交下述文件正本一份，副本三份， 开标一览表一份，电子U盘一份</w:t>
      </w:r>
      <w:r>
        <w:rPr>
          <w:rFonts w:hint="eastAsia" w:ascii="宋体" w:hAnsi="宋体"/>
          <w:color w:val="000000"/>
          <w:sz w:val="24"/>
          <w:lang w:eastAsia="zh-CN"/>
        </w:rPr>
        <w:t>，光盘一份</w:t>
      </w:r>
      <w:r>
        <w:rPr>
          <w:rFonts w:hint="eastAsia" w:ascii="宋体" w:hAnsi="宋体"/>
          <w:color w:val="000000"/>
          <w:sz w:val="24"/>
        </w:rPr>
        <w:t xml:space="preserve">。   </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1.磋商响应函</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2.开标一览表</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3.磋商报价表</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4.磋商保证金</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5.按磋商文件要求供应商提交的全部文件</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color w:val="000000"/>
          <w:sz w:val="24"/>
        </w:rPr>
        <w:t xml:space="preserve">    据此函，签字人兹宣布同意如下条款：</w:t>
      </w:r>
    </w:p>
    <w:p>
      <w:pPr>
        <w:pageBreakBefore w:val="0"/>
        <w:numPr>
          <w:ilvl w:val="0"/>
          <w:numId w:val="4"/>
        </w:numPr>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color w:val="000000"/>
          <w:sz w:val="24"/>
        </w:rPr>
        <w:t>所附磋商价格表中规定的应提供和交付的货物及服务磋商总价为</w:t>
      </w:r>
      <w:r>
        <w:rPr>
          <w:rFonts w:hint="eastAsia" w:ascii="宋体" w:hAnsi="宋体"/>
          <w:color w:val="000000"/>
          <w:sz w:val="24"/>
          <w:u w:val="single"/>
        </w:rPr>
        <w:t xml:space="preserve">      （</w:t>
      </w:r>
      <w:r>
        <w:rPr>
          <w:rFonts w:hint="eastAsia" w:ascii="宋体" w:hAnsi="宋体"/>
          <w:color w:val="000000"/>
          <w:sz w:val="24"/>
        </w:rPr>
        <w:t>大写）。</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⑵ 我们将按磋商文件的规定履行合同责任和义务。</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⑶ 我们已详细审查全部磋商文件，包括修改意见（如有则附）以及全部参考资料和有关附件。我们完全理解并同意放弃对这方面有不明及误解而要求招标方解释和承担责任的权利。</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⑷ 在供应商须知规定的磋商有效期内遵循本磋商响应性文件，并在磋商须知规定的磋商有效期期满之前具有约束力。</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⑸ 如果在规定的磋商有效期内撤回投标，我们的磋商保证金可被贵方没收。</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⑹ 同意提供贵方可能要求的与本投标有关的任何证据或资料。</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⑺ 我们同意提供按照招标单位可能出示的与其投标有关的一切数据或资料。</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rPr>
      </w:pPr>
      <w:r>
        <w:rPr>
          <w:rFonts w:hint="eastAsia" w:ascii="宋体" w:hAnsi="宋体"/>
          <w:color w:val="000000"/>
          <w:sz w:val="24"/>
        </w:rPr>
        <w:t>⑻ 我们理解贵方不一定要接受最低报价的投标或收到的任何投标。</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⑼ 与本投标有关的一切正式往来通讯请寄至：</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电话：</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传真：</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法定代表人或授权代表人（签字）：</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pacing w:line="400" w:lineRule="exact"/>
        <w:ind w:left="0" w:leftChars="0" w:right="0" w:rightChars="0"/>
        <w:outlineLvl w:val="9"/>
        <w:rPr>
          <w:rFonts w:hint="eastAsia" w:ascii="宋体" w:hAnsi="宋体"/>
          <w:b/>
          <w:sz w:val="32"/>
          <w:szCs w:val="32"/>
        </w:rPr>
      </w:pPr>
      <w:r>
        <w:rPr>
          <w:rFonts w:hint="eastAsia" w:ascii="宋体" w:hAnsi="宋体"/>
          <w:b/>
          <w:sz w:val="32"/>
          <w:szCs w:val="32"/>
        </w:rPr>
        <w:br w:type="page"/>
      </w: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bookmarkStart w:id="88" w:name="_Toc21536"/>
      <w:r>
        <w:rPr>
          <w:rFonts w:hint="eastAsia" w:ascii="宋体" w:hAnsi="宋体"/>
          <w:b/>
          <w:sz w:val="32"/>
          <w:szCs w:val="32"/>
        </w:rPr>
        <w:t>附件2：</w:t>
      </w:r>
      <w:bookmarkEnd w:id="88"/>
      <w:bookmarkStart w:id="89" w:name="_Toc139965362"/>
    </w:p>
    <w:p>
      <w:pPr>
        <w:pageBreakBefore w:val="0"/>
        <w:kinsoku/>
        <w:wordWrap/>
        <w:topLinePunct w:val="0"/>
        <w:bidi w:val="0"/>
        <w:spacing w:beforeAutospacing="0" w:afterAutospacing="0" w:line="400" w:lineRule="exact"/>
        <w:ind w:left="0" w:leftChars="0" w:right="0" w:rightChars="0"/>
        <w:jc w:val="center"/>
        <w:outlineLvl w:val="9"/>
        <w:rPr>
          <w:rFonts w:ascii="宋体"/>
          <w:b/>
          <w:sz w:val="32"/>
          <w:szCs w:val="32"/>
        </w:rPr>
      </w:pPr>
      <w:bookmarkStart w:id="90" w:name="_Toc327439494"/>
      <w:r>
        <w:rPr>
          <w:rFonts w:hint="eastAsia" w:ascii="宋体" w:hAnsi="宋体"/>
          <w:b/>
          <w:sz w:val="32"/>
          <w:szCs w:val="32"/>
        </w:rPr>
        <w:t>法定代表人身份证明</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磋商供应商名称：</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单位性质：</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地址：</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成立时间：年月日</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经营期限：</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姓名：性别：年龄：职务：</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身份证号码：</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sz w:val="24"/>
        </w:rPr>
      </w:pPr>
      <w:r>
        <w:rPr>
          <w:rFonts w:hint="eastAsia" w:ascii="宋体" w:hAnsi="宋体"/>
          <w:sz w:val="24"/>
        </w:rPr>
        <w:t>系（磋商供应商名称）的法定代表人。</w:t>
      </w:r>
    </w:p>
    <w:p>
      <w:pPr>
        <w:pageBreakBefore w:val="0"/>
        <w:kinsoku/>
        <w:wordWrap/>
        <w:topLinePunct w:val="0"/>
        <w:bidi w:val="0"/>
        <w:spacing w:beforeAutospacing="0" w:afterAutospacing="0" w:line="400" w:lineRule="exact"/>
        <w:ind w:left="0" w:leftChars="0" w:right="0" w:rightChars="0" w:firstLine="960" w:firstLineChars="400"/>
        <w:outlineLvl w:val="9"/>
        <w:rPr>
          <w:rFonts w:ascii="宋体"/>
          <w:sz w:val="24"/>
        </w:rPr>
      </w:pPr>
      <w:r>
        <w:rPr>
          <w:rFonts w:hint="eastAsia" w:ascii="宋体" w:hAnsi="宋体"/>
          <w:sz w:val="24"/>
        </w:rPr>
        <w:t>特此证明。</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tbl>
      <w:tblPr>
        <w:tblStyle w:val="33"/>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1" w:hRule="atLeast"/>
        </w:trPr>
        <w:tc>
          <w:tcPr>
            <w:tcW w:w="4498"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4"/>
              </w:rPr>
            </w:pPr>
            <w:r>
              <w:rPr>
                <w:rFonts w:hint="eastAsia" w:ascii="宋体" w:hAnsi="宋体"/>
                <w:b/>
                <w:sz w:val="24"/>
              </w:rPr>
              <w:t>法定代表人身份证</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4"/>
              </w:rPr>
            </w:pPr>
            <w:r>
              <w:rPr>
                <w:rFonts w:hint="eastAsia" w:ascii="宋体" w:hAnsi="宋体"/>
                <w:b/>
                <w:sz w:val="24"/>
              </w:rPr>
              <w:t>复印件正面</w:t>
            </w:r>
          </w:p>
        </w:tc>
        <w:tc>
          <w:tcPr>
            <w:tcW w:w="461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4"/>
              </w:rPr>
            </w:pPr>
            <w:r>
              <w:rPr>
                <w:rFonts w:hint="eastAsia" w:ascii="宋体" w:hAnsi="宋体"/>
                <w:b/>
                <w:sz w:val="24"/>
              </w:rPr>
              <w:t>法定代表人身份证</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4"/>
              </w:rPr>
            </w:pPr>
            <w:r>
              <w:rPr>
                <w:rFonts w:hint="eastAsia" w:ascii="宋体" w:hAnsi="宋体"/>
                <w:b/>
                <w:sz w:val="24"/>
              </w:rPr>
              <w:t>复印件反面</w:t>
            </w:r>
          </w:p>
        </w:tc>
      </w:tr>
    </w:tbl>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line="400" w:lineRule="exact"/>
        <w:ind w:left="0" w:leftChars="0" w:right="0" w:rightChars="0"/>
        <w:outlineLvl w:val="9"/>
        <w:rPr>
          <w:rFonts w:hint="eastAsia" w:ascii="宋体" w:hAnsi="宋体"/>
          <w:b/>
          <w:sz w:val="32"/>
          <w:szCs w:val="32"/>
        </w:rPr>
      </w:pPr>
      <w:r>
        <w:rPr>
          <w:rFonts w:hint="eastAsia" w:ascii="宋体" w:hAnsi="宋体"/>
          <w:b/>
          <w:sz w:val="32"/>
          <w:szCs w:val="32"/>
        </w:rPr>
        <w:br w:type="page"/>
      </w: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bookmarkStart w:id="91" w:name="_Toc16424"/>
      <w:r>
        <w:rPr>
          <w:rFonts w:hint="eastAsia" w:ascii="宋体" w:hAnsi="宋体"/>
          <w:b/>
          <w:sz w:val="32"/>
          <w:szCs w:val="32"/>
        </w:rPr>
        <w:t>附件3：</w:t>
      </w:r>
      <w:bookmarkEnd w:id="91"/>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r>
        <w:rPr>
          <w:rFonts w:hint="eastAsia" w:ascii="宋体" w:hAnsi="宋体"/>
          <w:b/>
          <w:sz w:val="32"/>
          <w:szCs w:val="32"/>
        </w:rPr>
        <w:t>法定代表人授权委托书</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p>
    <w:p>
      <w:pPr>
        <w:pageBreakBefore w:val="0"/>
        <w:kinsoku/>
        <w:wordWrap/>
        <w:topLinePunct w:val="0"/>
        <w:bidi w:val="0"/>
        <w:spacing w:beforeAutospacing="0" w:afterAutospacing="0" w:line="400" w:lineRule="exact"/>
        <w:ind w:left="0" w:leftChars="0" w:right="0" w:rightChars="0" w:firstLine="480" w:firstLineChars="200"/>
        <w:jc w:val="left"/>
        <w:outlineLvl w:val="9"/>
        <w:rPr>
          <w:rFonts w:ascii="宋体" w:hAnsi="宋体"/>
          <w:color w:val="000000"/>
          <w:sz w:val="24"/>
          <w:u w:val="single"/>
        </w:rPr>
      </w:pPr>
      <w:r>
        <w:rPr>
          <w:rFonts w:hint="eastAsia" w:ascii="宋体" w:hAnsi="宋体"/>
          <w:color w:val="000000"/>
          <w:sz w:val="24"/>
        </w:rPr>
        <w:t xml:space="preserve">本授权书声明：我单位的 </w:t>
      </w:r>
      <w:r>
        <w:rPr>
          <w:rFonts w:hint="eastAsia" w:ascii="宋体" w:hAnsi="宋体"/>
          <w:color w:val="000000"/>
          <w:sz w:val="24"/>
          <w:u w:val="single"/>
        </w:rPr>
        <w:t xml:space="preserve">    </w:t>
      </w:r>
      <w:r>
        <w:rPr>
          <w:rFonts w:hint="eastAsia" w:ascii="宋体" w:hAnsi="宋体"/>
          <w:color w:val="000000"/>
          <w:sz w:val="24"/>
        </w:rPr>
        <w:t>（法人代表姓名、职务）代表本单位授权</w:t>
      </w:r>
      <w:r>
        <w:rPr>
          <w:rFonts w:hint="eastAsia" w:ascii="宋体" w:hAnsi="宋体"/>
          <w:color w:val="000000"/>
          <w:sz w:val="24"/>
          <w:u w:val="single"/>
        </w:rPr>
        <w:t xml:space="preserve">  （</w:t>
      </w:r>
      <w:r>
        <w:rPr>
          <w:rFonts w:hint="eastAsia" w:ascii="宋体" w:hAnsi="宋体"/>
          <w:color w:val="000000"/>
          <w:sz w:val="24"/>
        </w:rPr>
        <w:t>被授权人的姓名、职务）为本单位的合法代理人，就</w:t>
      </w:r>
      <w:r>
        <w:rPr>
          <w:rFonts w:hint="eastAsia" w:ascii="宋体" w:hAnsi="宋体"/>
          <w:color w:val="000000"/>
          <w:sz w:val="24"/>
          <w:u w:val="single"/>
        </w:rPr>
        <w:t xml:space="preserve">    </w:t>
      </w:r>
      <w:r>
        <w:rPr>
          <w:rFonts w:hint="eastAsia" w:ascii="宋体" w:hAnsi="宋体"/>
          <w:color w:val="000000"/>
          <w:sz w:val="24"/>
        </w:rPr>
        <w:t>项目的投标及合同的执行、完成，以本单位的名义处理一切与之有关的事务。</w:t>
      </w:r>
    </w:p>
    <w:p>
      <w:pPr>
        <w:pageBreakBefore w:val="0"/>
        <w:kinsoku/>
        <w:wordWrap/>
        <w:topLinePunct w:val="0"/>
        <w:bidi w:val="0"/>
        <w:spacing w:beforeAutospacing="0" w:afterAutospacing="0" w:line="400" w:lineRule="exact"/>
        <w:ind w:left="0" w:leftChars="0" w:right="0" w:rightChars="0" w:firstLine="538"/>
        <w:jc w:val="left"/>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firstLine="538"/>
        <w:jc w:val="left"/>
        <w:outlineLvl w:val="9"/>
        <w:rPr>
          <w:rFonts w:ascii="宋体" w:hAnsi="宋体"/>
          <w:color w:val="000000"/>
          <w:sz w:val="24"/>
        </w:rPr>
      </w:pPr>
      <w:r>
        <w:rPr>
          <w:rFonts w:hint="eastAsia" w:ascii="宋体" w:hAnsi="宋体"/>
          <w:color w:val="000000"/>
          <w:sz w:val="24"/>
        </w:rPr>
        <w:t>本授权书于年月日签字生效，特此声明。</w:t>
      </w:r>
    </w:p>
    <w:p>
      <w:pPr>
        <w:pageBreakBefore w:val="0"/>
        <w:kinsoku/>
        <w:wordWrap/>
        <w:topLinePunct w:val="0"/>
        <w:bidi w:val="0"/>
        <w:spacing w:beforeAutospacing="0" w:afterAutospacing="0" w:line="400" w:lineRule="exact"/>
        <w:ind w:left="0" w:leftChars="0" w:right="0" w:rightChars="0" w:firstLine="538"/>
        <w:jc w:val="left"/>
        <w:outlineLvl w:val="9"/>
        <w:rPr>
          <w:rFonts w:ascii="宋体" w:hAnsi="宋体"/>
          <w:color w:val="000000"/>
          <w:sz w:val="24"/>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r>
        <w:rPr>
          <w:rFonts w:ascii="黑体" w:hAnsi="黑体" w:eastAsia="黑体" w:cstheme="minorEastAsia"/>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theme="minorEastAsia"/>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r>
        <w:rPr>
          <w:rFonts w:ascii="黑体" w:hAnsi="黑体" w:eastAsia="黑体" w:cstheme="minorEastAsia"/>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theme="minorEastAsia"/>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line="400" w:lineRule="exact"/>
        <w:ind w:left="0" w:leftChars="0" w:right="0" w:rightChars="0"/>
        <w:outlineLvl w:val="9"/>
        <w:rPr>
          <w:rFonts w:ascii="黑体" w:hAnsi="黑体" w:eastAsia="黑体" w:cstheme="minorEastAsia"/>
          <w:szCs w:val="21"/>
        </w:rPr>
      </w:pPr>
    </w:p>
    <w:p>
      <w:pPr>
        <w:pageBreakBefore w:val="0"/>
        <w:kinsoku/>
        <w:wordWrap/>
        <w:topLinePunct w:val="0"/>
        <w:bidi w:val="0"/>
        <w:spacing w:beforeAutospacing="0" w:afterAutospacing="0" w:line="400" w:lineRule="exact"/>
        <w:ind w:left="0" w:leftChars="0" w:right="0" w:rightChars="0" w:firstLine="437"/>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firstLine="437"/>
        <w:outlineLvl w:val="9"/>
        <w:rPr>
          <w:rFonts w:ascii="宋体" w:hAnsi="宋体"/>
          <w:color w:val="000000"/>
          <w:sz w:val="24"/>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firstLine="437"/>
        <w:outlineLvl w:val="9"/>
        <w:rPr>
          <w:rFonts w:ascii="宋体" w:hAnsi="宋体"/>
          <w:color w:val="000000"/>
          <w:sz w:val="24"/>
          <w:u w:val="single"/>
        </w:rPr>
      </w:pPr>
      <w:r>
        <w:rPr>
          <w:rFonts w:hint="eastAsia" w:ascii="宋体" w:hAnsi="宋体"/>
          <w:color w:val="000000"/>
          <w:sz w:val="24"/>
        </w:rPr>
        <w:t>授权代表人签字：</w:t>
      </w:r>
    </w:p>
    <w:p>
      <w:pPr>
        <w:pageBreakBefore w:val="0"/>
        <w:kinsoku/>
        <w:wordWrap/>
        <w:topLinePunct w:val="0"/>
        <w:bidi w:val="0"/>
        <w:spacing w:beforeAutospacing="0" w:afterAutospacing="0" w:line="400" w:lineRule="exact"/>
        <w:ind w:left="0" w:leftChars="0" w:right="0" w:rightChars="0" w:firstLine="470" w:firstLineChars="196"/>
        <w:outlineLvl w:val="9"/>
        <w:rPr>
          <w:rFonts w:ascii="宋体" w:hAnsi="宋体"/>
          <w:sz w:val="24"/>
        </w:rPr>
      </w:pPr>
      <w:r>
        <w:rPr>
          <w:rFonts w:hint="eastAsia" w:ascii="宋体" w:hAnsi="宋体"/>
          <w:color w:val="000000"/>
          <w:sz w:val="24"/>
        </w:rPr>
        <w:t>日期：  年   月   日</w:t>
      </w:r>
    </w:p>
    <w:p>
      <w:pPr>
        <w:pageBreakBefore w:val="0"/>
        <w:kinsoku/>
        <w:wordWrap/>
        <w:topLinePunct w:val="0"/>
        <w:bidi w:val="0"/>
        <w:spacing w:beforeAutospacing="0" w:afterAutospacing="0" w:line="400" w:lineRule="exact"/>
        <w:ind w:left="0" w:leftChars="0" w:right="0" w:rightChars="0"/>
        <w:jc w:val="right"/>
        <w:outlineLvl w:val="9"/>
        <w:rPr>
          <w:rFonts w:ascii="宋体" w:hAnsi="宋体"/>
          <w:sz w:val="24"/>
        </w:rPr>
      </w:pPr>
    </w:p>
    <w:p>
      <w:pPr>
        <w:pageBreakBefore w:val="0"/>
        <w:kinsoku/>
        <w:wordWrap/>
        <w:topLinePunct w:val="0"/>
        <w:bidi w:val="0"/>
        <w:spacing w:before="0" w:beforeAutospacing="0" w:after="0" w:afterAutospacing="0" w:line="400" w:lineRule="exact"/>
        <w:ind w:left="0" w:leftChars="0" w:right="0" w:rightChars="0"/>
        <w:outlineLvl w:val="9"/>
        <w:rPr>
          <w:rFonts w:ascii="宋体" w:hAnsi="宋体" w:eastAsia="宋体"/>
          <w:spacing w:val="10"/>
          <w:sz w:val="24"/>
          <w:szCs w:val="24"/>
        </w:rPr>
      </w:pPr>
    </w:p>
    <w:p>
      <w:pPr>
        <w:pageBreakBefore w:val="0"/>
        <w:kinsoku/>
        <w:wordWrap/>
        <w:topLinePunct w:val="0"/>
        <w:bidi w:val="0"/>
        <w:spacing w:beforeAutospacing="0" w:afterAutospacing="0" w:line="400" w:lineRule="exact"/>
        <w:ind w:left="0" w:leftChars="0" w:right="0" w:rightChars="0"/>
        <w:outlineLvl w:val="9"/>
      </w:pPr>
    </w:p>
    <w:p>
      <w:pPr>
        <w:pageBreakBefore w:val="0"/>
        <w:kinsoku/>
        <w:wordWrap/>
        <w:topLinePunct w:val="0"/>
        <w:bidi w:val="0"/>
        <w:spacing w:beforeAutospacing="0" w:afterAutospacing="0" w:line="400" w:lineRule="exact"/>
        <w:ind w:left="0" w:leftChars="0" w:right="0" w:rightChars="0"/>
        <w:jc w:val="left"/>
        <w:outlineLvl w:val="9"/>
        <w:rPr>
          <w:rFonts w:ascii="宋体" w:hAnsi="宋体"/>
          <w:b/>
          <w:color w:val="000000"/>
          <w:sz w:val="32"/>
          <w:szCs w:val="32"/>
        </w:rPr>
      </w:pPr>
      <w:bookmarkStart w:id="92" w:name="_Toc9209"/>
      <w:r>
        <w:rPr>
          <w:rFonts w:hint="eastAsia" w:ascii="宋体" w:hAnsi="宋体"/>
          <w:b/>
          <w:color w:val="000000"/>
          <w:sz w:val="32"/>
          <w:szCs w:val="32"/>
        </w:rPr>
        <w:t>附件4：</w:t>
      </w:r>
      <w:bookmarkEnd w:id="92"/>
    </w:p>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eastAsia="宋体"/>
          <w:b/>
          <w:sz w:val="32"/>
          <w:szCs w:val="32"/>
          <w:lang w:eastAsia="zh-CN"/>
        </w:rPr>
      </w:pPr>
      <w:r>
        <w:rPr>
          <w:rFonts w:hint="eastAsia" w:ascii="宋体" w:hAnsi="宋体" w:eastAsia="宋体"/>
          <w:b/>
          <w:sz w:val="32"/>
          <w:szCs w:val="32"/>
          <w:lang w:eastAsia="zh-CN"/>
        </w:rPr>
        <w:t>报价一览表</w:t>
      </w:r>
    </w:p>
    <w:p>
      <w:pPr>
        <w:pageBreakBefore w:val="0"/>
        <w:kinsoku/>
        <w:wordWrap/>
        <w:overflowPunct/>
        <w:topLinePunct w:val="0"/>
        <w:bidi w:val="0"/>
        <w:spacing w:beforeAutospacing="0" w:line="400" w:lineRule="exact"/>
        <w:ind w:left="0" w:leftChars="0" w:right="0" w:rightChars="0"/>
        <w:outlineLvl w:val="9"/>
        <w:rPr>
          <w:rFonts w:hint="default" w:ascii="仿宋" w:hAnsi="仿宋" w:eastAsia="仿宋" w:cs="仿宋"/>
          <w:color w:val="auto"/>
          <w:sz w:val="24"/>
          <w:szCs w:val="24"/>
          <w:highlight w:val="none"/>
          <w:lang w:val="en-US" w:eastAsia="zh-CN"/>
        </w:rPr>
      </w:pPr>
      <w:r>
        <w:rPr>
          <w:rFonts w:hint="eastAsia" w:ascii="宋体" w:hAnsi="宋体"/>
          <w:color w:val="000000"/>
          <w:sz w:val="24"/>
        </w:rPr>
        <w:t>磋商供应商名称：</w:t>
      </w:r>
      <w:r>
        <w:rPr>
          <w:rFonts w:hint="eastAsia" w:ascii="仿宋" w:hAnsi="仿宋" w:eastAsia="仿宋" w:cs="仿宋"/>
          <w:bCs/>
          <w:color w:val="auto"/>
          <w:sz w:val="24"/>
          <w:szCs w:val="24"/>
          <w:highlight w:val="none"/>
        </w:rPr>
        <w:t xml:space="preserve">             </w:t>
      </w:r>
      <w:r>
        <w:rPr>
          <w:rFonts w:hint="eastAsia" w:ascii="宋体" w:hAnsi="宋体" w:eastAsia="宋体"/>
          <w:color w:val="000000"/>
          <w:sz w:val="24"/>
          <w:lang w:val="en-US" w:eastAsia="zh-CN"/>
        </w:rPr>
        <w:t xml:space="preserve"> </w:t>
      </w:r>
      <w:r>
        <w:rPr>
          <w:rFonts w:hint="eastAsia" w:ascii="宋体" w:hAnsi="宋体" w:eastAsia="宋体"/>
          <w:color w:val="000000"/>
          <w:sz w:val="24"/>
        </w:rPr>
        <w:t xml:space="preserve"> 项目编号：</w:t>
      </w:r>
      <w:r>
        <w:rPr>
          <w:rFonts w:hint="eastAsia" w:ascii="宋体" w:hAnsi="宋体" w:eastAsia="宋体"/>
          <w:color w:val="000000"/>
          <w:sz w:val="24"/>
          <w:lang w:val="en-US" w:eastAsia="zh-CN"/>
        </w:rPr>
        <w:t xml:space="preserve">    </w:t>
      </w:r>
      <w:r>
        <w:rPr>
          <w:rFonts w:hint="eastAsia" w:ascii="仿宋" w:hAnsi="仿宋" w:eastAsia="仿宋" w:cs="仿宋"/>
          <w:color w:val="auto"/>
          <w:sz w:val="24"/>
          <w:szCs w:val="24"/>
          <w:highlight w:val="none"/>
          <w:lang w:val="en-US" w:eastAsia="zh-CN"/>
        </w:rPr>
        <w:t xml:space="preserve">   </w:t>
      </w:r>
    </w:p>
    <w:tbl>
      <w:tblPr>
        <w:tblStyle w:val="33"/>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期</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418"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tc>
        <w:tc>
          <w:tcPr>
            <w:tcW w:w="6801" w:type="dxa"/>
            <w:vAlign w:val="center"/>
          </w:tcPr>
          <w:p>
            <w:pPr>
              <w:keepNext w:val="0"/>
              <w:keepLines w:val="0"/>
              <w:pageBreakBefore w:val="0"/>
              <w:suppressLineNumbers w:val="0"/>
              <w:kinsoku/>
              <w:wordWrap/>
              <w:overflowPunct/>
              <w:topLinePunct w:val="0"/>
              <w:bidi w:val="0"/>
              <w:spacing w:beforeAutospacing="0" w:afterAutospacing="0" w:line="400" w:lineRule="exact"/>
              <w:ind w:left="0" w:leftChars="0" w:right="0" w:rightChars="0"/>
              <w:outlineLvl w:val="9"/>
              <w:rPr>
                <w:rFonts w:hint="eastAsia" w:ascii="仿宋" w:hAnsi="仿宋" w:eastAsia="仿宋" w:cs="仿宋"/>
                <w:color w:val="auto"/>
                <w:sz w:val="24"/>
                <w:szCs w:val="24"/>
                <w:highlight w:val="none"/>
              </w:rPr>
            </w:pPr>
          </w:p>
        </w:tc>
      </w:tr>
    </w:tbl>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1、投标总价应为各分项报价之和。报价须以元为单位，小数点后保留2位。</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2、投标报价包括投标人为实施本项目提供投标产品及服务内容所包括的全部含税价格的体现。</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3、投标人必须自行考虑本项目在实施期间的一切可能产生的费用。在合同执行过程中，招标人将不再另行支付与本项目相关的任何费用（非本项目要求的其它内容除外）。</w:t>
      </w: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b/>
          <w:bCs/>
          <w:color w:val="auto"/>
          <w:sz w:val="24"/>
          <w:szCs w:val="24"/>
          <w:highlight w:val="none"/>
          <w:lang w:val="en-US" w:eastAsia="zh-CN"/>
        </w:rPr>
      </w:pPr>
    </w:p>
    <w:p>
      <w:pPr>
        <w:pageBreakBefore w:val="0"/>
        <w:kinsoku/>
        <w:wordWrap/>
        <w:overflowPunct/>
        <w:topLinePunct w:val="0"/>
        <w:bidi w:val="0"/>
        <w:spacing w:beforeAutospacing="0" w:line="400" w:lineRule="exact"/>
        <w:ind w:left="0" w:leftChars="0" w:right="0" w:rightChars="0"/>
        <w:outlineLvl w:val="9"/>
        <w:rPr>
          <w:rFonts w:hint="eastAsia" w:ascii="仿宋" w:hAnsi="仿宋" w:eastAsia="仿宋" w:cs="仿宋"/>
          <w:b/>
          <w:bCs/>
          <w:color w:val="auto"/>
          <w:sz w:val="24"/>
          <w:szCs w:val="24"/>
          <w:highlight w:val="none"/>
        </w:rPr>
      </w:pPr>
    </w:p>
    <w:p>
      <w:pPr>
        <w:pStyle w:val="16"/>
        <w:pageBreakBefore w:val="0"/>
        <w:kinsoku/>
        <w:wordWrap/>
        <w:topLinePunct w:val="0"/>
        <w:bidi w:val="0"/>
        <w:spacing w:line="400" w:lineRule="exact"/>
        <w:ind w:left="0" w:leftChars="0" w:right="0" w:rightChars="0"/>
        <w:outlineLvl w:val="9"/>
        <w:rPr>
          <w:rFonts w:hint="eastAsia" w:ascii="仿宋" w:hAnsi="仿宋" w:eastAsia="仿宋" w:cs="仿宋"/>
          <w:b/>
          <w:bCs/>
          <w:color w:val="auto"/>
          <w:sz w:val="24"/>
          <w:szCs w:val="24"/>
          <w:highlight w:val="none"/>
        </w:rPr>
      </w:pPr>
    </w:p>
    <w:p>
      <w:pPr>
        <w:pageBreakBefore w:val="0"/>
        <w:kinsoku/>
        <w:wordWrap/>
        <w:topLinePunct w:val="0"/>
        <w:bidi w:val="0"/>
        <w:spacing w:beforeAutospacing="0" w:afterAutospacing="0" w:line="400" w:lineRule="exact"/>
        <w:ind w:left="0" w:leftChars="0" w:right="0" w:rightChars="0" w:firstLine="480" w:firstLineChars="200"/>
        <w:jc w:val="center"/>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投标</w:t>
      </w:r>
      <w:r>
        <w:rPr>
          <w:rFonts w:hint="eastAsia" w:ascii="仿宋" w:hAnsi="仿宋" w:eastAsia="仿宋" w:cs="仿宋"/>
          <w:color w:val="000000"/>
          <w:sz w:val="24"/>
          <w:szCs w:val="24"/>
        </w:rPr>
        <w:t>供应商名称（公章）：</w:t>
      </w:r>
    </w:p>
    <w:p>
      <w:pPr>
        <w:pageBreakBefore w:val="0"/>
        <w:kinsoku/>
        <w:wordWrap/>
        <w:topLinePunct w:val="0"/>
        <w:bidi w:val="0"/>
        <w:spacing w:beforeAutospacing="0" w:afterAutospacing="0" w:line="400" w:lineRule="exact"/>
        <w:ind w:left="0" w:leftChars="0" w:right="0" w:rightChars="0" w:firstLine="480" w:firstLineChars="200"/>
        <w:jc w:val="center"/>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法定代表人或授权代表人（签字）：</w:t>
      </w:r>
    </w:p>
    <w:p>
      <w:pPr>
        <w:pageBreakBefore w:val="0"/>
        <w:kinsoku/>
        <w:wordWrap/>
        <w:topLinePunct w:val="0"/>
        <w:bidi w:val="0"/>
        <w:spacing w:beforeAutospacing="0" w:afterAutospacing="0" w:line="400" w:lineRule="exact"/>
        <w:ind w:left="0" w:leftChars="0" w:right="0" w:rightChars="0"/>
        <w:jc w:val="center"/>
        <w:outlineLvl w:val="9"/>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日期：</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p>
    <w:p>
      <w:pPr>
        <w:pageBreakBefore w:val="0"/>
        <w:kinsoku/>
        <w:wordWrap/>
        <w:topLinePunct w:val="0"/>
        <w:bidi w:val="0"/>
        <w:spacing w:line="400" w:lineRule="exact"/>
        <w:ind w:left="0" w:leftChars="0" w:right="0" w:rightChars="0"/>
        <w:outlineLvl w:val="9"/>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u w:val="single"/>
        </w:rPr>
        <w:br w:type="page"/>
      </w:r>
    </w:p>
    <w:p>
      <w:pPr>
        <w:pageBreakBefore w:val="0"/>
        <w:kinsoku/>
        <w:wordWrap/>
        <w:topLinePunct w:val="0"/>
        <w:bidi w:val="0"/>
        <w:spacing w:beforeAutospacing="0" w:afterAutospacing="0" w:line="400" w:lineRule="exact"/>
        <w:ind w:left="0" w:leftChars="0" w:right="0" w:rightChars="0"/>
        <w:jc w:val="center"/>
        <w:outlineLvl w:val="9"/>
        <w:rPr>
          <w:rFonts w:hint="eastAsia" w:ascii="Arial" w:hAnsi="Arial" w:cs="Arial"/>
          <w:sz w:val="32"/>
          <w:szCs w:val="32"/>
        </w:rPr>
      </w:pPr>
    </w:p>
    <w:p>
      <w:pPr>
        <w:pageBreakBefore w:val="0"/>
        <w:kinsoku/>
        <w:wordWrap/>
        <w:topLinePunct w:val="0"/>
        <w:bidi w:val="0"/>
        <w:spacing w:beforeAutospacing="0" w:afterAutospacing="0" w:line="400" w:lineRule="exact"/>
        <w:ind w:left="0" w:leftChars="0" w:right="0" w:rightChars="0"/>
        <w:jc w:val="center"/>
        <w:outlineLvl w:val="9"/>
        <w:rPr>
          <w:rFonts w:hint="eastAsia" w:ascii="Arial" w:hAnsi="Arial" w:cs="Arial"/>
          <w:sz w:val="32"/>
          <w:szCs w:val="32"/>
          <w:lang w:eastAsia="zh-CN"/>
        </w:rPr>
      </w:pPr>
      <w:r>
        <w:rPr>
          <w:rFonts w:hint="eastAsia" w:ascii="Arial" w:hAnsi="Arial" w:cs="Arial"/>
          <w:sz w:val="32"/>
          <w:szCs w:val="32"/>
          <w:lang w:eastAsia="zh-CN"/>
        </w:rPr>
        <w:t>报价明细表</w:t>
      </w:r>
    </w:p>
    <w:p>
      <w:pPr>
        <w:pStyle w:val="32"/>
        <w:pageBreakBefore w:val="0"/>
        <w:kinsoku/>
        <w:wordWrap/>
        <w:topLinePunct w:val="0"/>
        <w:bidi w:val="0"/>
        <w:spacing w:line="400" w:lineRule="exact"/>
        <w:ind w:left="0" w:leftChars="0" w:right="0" w:rightChars="0"/>
        <w:outlineLvl w:val="9"/>
        <w:rPr>
          <w:rFonts w:hint="eastAsia"/>
          <w:lang w:eastAsia="zh-CN"/>
        </w:rPr>
      </w:pPr>
      <w:r>
        <w:rPr>
          <w:rFonts w:hint="eastAsia" w:ascii="宋体" w:hAnsi="宋体"/>
          <w:color w:val="000000"/>
          <w:sz w:val="24"/>
        </w:rPr>
        <w:t>磋商供应商名称：</w:t>
      </w:r>
      <w:r>
        <w:rPr>
          <w:rFonts w:hint="eastAsia" w:ascii="仿宋" w:hAnsi="仿宋" w:eastAsia="仿宋" w:cs="仿宋"/>
          <w:bCs/>
          <w:color w:val="auto"/>
          <w:sz w:val="24"/>
          <w:szCs w:val="24"/>
          <w:highlight w:val="none"/>
        </w:rPr>
        <w:t xml:space="preserve">             </w:t>
      </w:r>
      <w:r>
        <w:rPr>
          <w:rFonts w:hint="eastAsia" w:ascii="宋体" w:hAnsi="宋体" w:eastAsia="宋体"/>
          <w:color w:val="000000"/>
          <w:sz w:val="24"/>
          <w:lang w:val="en-US" w:eastAsia="zh-CN"/>
        </w:rPr>
        <w:t xml:space="preserve"> </w:t>
      </w:r>
      <w:r>
        <w:rPr>
          <w:rFonts w:hint="eastAsia" w:ascii="宋体" w:hAnsi="宋体" w:eastAsia="宋体"/>
          <w:color w:val="000000"/>
          <w:sz w:val="24"/>
        </w:rPr>
        <w:t xml:space="preserve"> 项目编号：</w:t>
      </w:r>
    </w:p>
    <w:tbl>
      <w:tblPr>
        <w:tblStyle w:val="33"/>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00"/>
        <w:gridCol w:w="2415"/>
        <w:gridCol w:w="198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序号</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招标内容</w:t>
            </w: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单价（元）</w:t>
            </w:r>
          </w:p>
        </w:tc>
        <w:tc>
          <w:tcPr>
            <w:tcW w:w="198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数量</w:t>
            </w:r>
          </w:p>
        </w:tc>
        <w:tc>
          <w:tcPr>
            <w:tcW w:w="1842"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eastAsia="宋体"/>
                <w:color w:val="000000"/>
                <w:sz w:val="24"/>
                <w:lang w:val="en-US" w:eastAsia="zh-CN"/>
              </w:rPr>
            </w:pPr>
            <w:r>
              <w:rPr>
                <w:rFonts w:hint="eastAsia" w:ascii="宋体" w:hAnsi="宋体"/>
                <w:color w:val="000000"/>
                <w:sz w:val="24"/>
                <w:lang w:val="en-US" w:eastAsia="zh-CN"/>
              </w:rPr>
              <w:t>1</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eastAsia="宋体"/>
                <w:color w:val="000000"/>
                <w:sz w:val="24"/>
                <w:lang w:val="en-US" w:eastAsia="zh-CN"/>
              </w:rPr>
            </w:pPr>
            <w:r>
              <w:rPr>
                <w:rFonts w:hint="eastAsia" w:ascii="宋体" w:hAnsi="宋体"/>
                <w:color w:val="000000"/>
                <w:sz w:val="24"/>
                <w:lang w:val="en-US" w:eastAsia="zh-CN"/>
              </w:rPr>
              <w:t>3</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left"/>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eastAsia="宋体"/>
                <w:color w:val="000000"/>
                <w:sz w:val="24"/>
                <w:lang w:val="en-US" w:eastAsia="zh-CN"/>
              </w:rPr>
            </w:pPr>
            <w:r>
              <w:rPr>
                <w:rFonts w:hint="eastAsia" w:ascii="宋体" w:hAnsi="宋体"/>
                <w:color w:val="000000"/>
                <w:sz w:val="24"/>
                <w:lang w:val="en-US" w:eastAsia="zh-CN"/>
              </w:rPr>
              <w:t>4</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eastAsia="宋体"/>
                <w:color w:val="000000"/>
                <w:sz w:val="24"/>
                <w:lang w:val="en-US" w:eastAsia="zh-CN"/>
              </w:rPr>
            </w:pPr>
            <w:r>
              <w:rPr>
                <w:rFonts w:hint="eastAsia" w:ascii="宋体" w:hAnsi="宋体"/>
                <w:color w:val="000000"/>
                <w:sz w:val="24"/>
                <w:lang w:val="en-US" w:eastAsia="zh-CN"/>
              </w:rPr>
              <w:t>5</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eastAsia" w:ascii="宋体" w:hAnsi="宋体"/>
                <w:color w:val="000000"/>
                <w:sz w:val="24"/>
                <w:lang w:val="en-US" w:eastAsia="zh-CN"/>
              </w:rPr>
            </w:pPr>
            <w:r>
              <w:rPr>
                <w:rFonts w:hint="eastAsia" w:ascii="宋体" w:hAnsi="宋体"/>
                <w:color w:val="000000"/>
                <w:sz w:val="24"/>
                <w:lang w:val="en-US" w:eastAsia="zh-CN"/>
              </w:rPr>
              <w:t>...</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hint="default" w:ascii="宋体" w:hAnsi="宋体" w:eastAsia="宋体"/>
                <w:color w:val="000000"/>
                <w:sz w:val="24"/>
                <w:lang w:val="en-US" w:eastAsia="zh-CN"/>
              </w:rPr>
            </w:pPr>
            <w:r>
              <w:rPr>
                <w:rFonts w:hint="eastAsia" w:ascii="宋体" w:hAnsi="宋体"/>
                <w:color w:val="000000"/>
                <w:sz w:val="24"/>
                <w:lang w:val="en-US" w:eastAsia="zh-CN"/>
              </w:rPr>
              <w:t>合计</w:t>
            </w:r>
          </w:p>
        </w:tc>
        <w:tc>
          <w:tcPr>
            <w:tcW w:w="1900"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41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985"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c>
          <w:tcPr>
            <w:tcW w:w="1842" w:type="dxa"/>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
                <w:color w:val="000000"/>
                <w:sz w:val="24"/>
                <w:u w:val="single"/>
              </w:rPr>
            </w:pPr>
          </w:p>
        </w:tc>
      </w:tr>
    </w:tbl>
    <w:p>
      <w:pPr>
        <w:pageBreakBefore w:val="0"/>
        <w:kinsoku/>
        <w:wordWrap/>
        <w:topLinePunct w:val="0"/>
        <w:bidi w:val="0"/>
        <w:spacing w:beforeAutospacing="0" w:afterAutospacing="0" w:line="400" w:lineRule="exact"/>
        <w:ind w:left="0" w:leftChars="0" w:right="0" w:rightChars="0"/>
        <w:jc w:val="center"/>
        <w:outlineLvl w:val="9"/>
      </w:pPr>
      <w:r>
        <w:rPr>
          <w:rFonts w:hint="eastAsia" w:ascii="Arial" w:hAnsi="Arial" w:cs="Arial"/>
          <w:sz w:val="32"/>
          <w:szCs w:val="32"/>
        </w:rPr>
        <w:br w:type="page"/>
      </w:r>
    </w:p>
    <w:bookmarkEnd w:id="89"/>
    <w:bookmarkEnd w:id="90"/>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bookmarkStart w:id="93" w:name="_Toc32506"/>
      <w:r>
        <w:rPr>
          <w:rFonts w:hint="eastAsia" w:ascii="宋体" w:hAnsi="宋体"/>
          <w:b/>
          <w:sz w:val="32"/>
          <w:szCs w:val="32"/>
        </w:rPr>
        <w:t>附件5：</w:t>
      </w:r>
      <w:bookmarkEnd w:id="93"/>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r>
        <w:rPr>
          <w:rFonts w:hint="eastAsia" w:ascii="宋体" w:hAnsi="宋体"/>
          <w:b/>
          <w:sz w:val="32"/>
          <w:szCs w:val="32"/>
        </w:rPr>
        <w:t>商务偏离表</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4"/>
        </w:rPr>
      </w:pPr>
    </w:p>
    <w:tbl>
      <w:tblPr>
        <w:tblStyle w:val="33"/>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r>
              <w:rPr>
                <w:rFonts w:hint="eastAsia" w:ascii="宋体" w:hAnsi="宋体"/>
                <w:bCs/>
                <w:color w:val="000000"/>
                <w:sz w:val="24"/>
              </w:rPr>
              <w:t>序号</w:t>
            </w: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r>
              <w:rPr>
                <w:rFonts w:hint="eastAsia" w:ascii="宋体" w:hAnsi="宋体"/>
                <w:bCs/>
                <w:color w:val="000000"/>
                <w:sz w:val="24"/>
              </w:rPr>
              <w:t>招标文件条目号</w:t>
            </w: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r>
              <w:rPr>
                <w:rFonts w:hint="eastAsia" w:ascii="宋体" w:hAnsi="宋体"/>
                <w:bCs/>
                <w:color w:val="000000"/>
                <w:sz w:val="24"/>
              </w:rPr>
              <w:t>招标文件的商务条款</w:t>
            </w: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r>
              <w:rPr>
                <w:rFonts w:hint="eastAsia" w:ascii="宋体" w:hAnsi="宋体"/>
                <w:bCs/>
                <w:color w:val="000000"/>
                <w:sz w:val="24"/>
              </w:rPr>
              <w:t>投标文件的商务条款</w:t>
            </w: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r>
              <w:rPr>
                <w:rFonts w:hint="eastAsia" w:ascii="宋体" w:hAnsi="宋体"/>
                <w:bCs/>
                <w:color w:val="000000"/>
                <w:sz w:val="24"/>
              </w:rPr>
              <w:t>偏离情况</w:t>
            </w: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r>
              <w:rPr>
                <w:rFonts w:hint="eastAsia" w:ascii="宋体" w:hAnsi="宋体"/>
                <w:bCs/>
                <w:color w:val="00000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983"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8" w:type="dxa"/>
            <w:tcMar>
              <w:top w:w="15" w:type="dxa"/>
              <w:left w:w="15" w:type="dxa"/>
              <w:bottom w:w="0"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2345" w:type="dxa"/>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1274" w:type="dxa"/>
            <w:tcBorders>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c>
          <w:tcPr>
            <w:tcW w:w="900" w:type="dxa"/>
            <w:tcBorders>
              <w:lef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bCs/>
                <w:color w:val="000000"/>
                <w:sz w:val="24"/>
              </w:rPr>
            </w:pPr>
          </w:p>
        </w:tc>
      </w:tr>
    </w:tbl>
    <w:p>
      <w:pPr>
        <w:pageBreakBefore w:val="0"/>
        <w:kinsoku/>
        <w:wordWrap/>
        <w:topLinePunct w:val="0"/>
        <w:bidi w:val="0"/>
        <w:spacing w:beforeAutospacing="0" w:afterAutospacing="0" w:line="400" w:lineRule="exact"/>
        <w:ind w:left="0" w:leftChars="0" w:right="0" w:rightChars="0"/>
        <w:outlineLvl w:val="9"/>
        <w:rPr>
          <w:rFonts w:ascii="宋体" w:hAnsi="宋体"/>
          <w:sz w:val="24"/>
        </w:rPr>
      </w:pPr>
      <w:r>
        <w:rPr>
          <w:rFonts w:hint="eastAsia" w:ascii="宋体" w:hAnsi="宋体"/>
          <w:sz w:val="24"/>
        </w:rPr>
        <w:t>注：除本商务偏离表中所列的偏离内容外，其他所有商务条款均应完全响应“磋商文件”中的要求。</w:t>
      </w:r>
    </w:p>
    <w:p>
      <w:pPr>
        <w:pageBreakBefore w:val="0"/>
        <w:kinsoku/>
        <w:wordWrap/>
        <w:topLinePunct w:val="0"/>
        <w:bidi w:val="0"/>
        <w:spacing w:beforeAutospacing="0" w:afterAutospacing="0" w:line="400" w:lineRule="exact"/>
        <w:ind w:left="0" w:leftChars="0" w:right="0" w:rightChars="0"/>
        <w:outlineLvl w:val="9"/>
        <w:rPr>
          <w:rFonts w:ascii="宋体" w:hAnsi="宋体"/>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bookmarkStart w:id="94" w:name="_Toc327439493"/>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napToGrid w:val="0"/>
        <w:spacing w:beforeAutospacing="0" w:afterAutospacing="0" w:line="400" w:lineRule="exact"/>
        <w:ind w:left="0" w:leftChars="0" w:right="0" w:rightChars="0" w:firstLine="5880" w:firstLineChars="2450"/>
        <w:outlineLvl w:val="9"/>
        <w:rPr>
          <w:rFonts w:ascii="宋体" w:hAnsi="宋体"/>
          <w:bCs/>
          <w:sz w:val="24"/>
          <w:u w:val="single"/>
        </w:rPr>
      </w:pPr>
    </w:p>
    <w:p>
      <w:pPr>
        <w:pageBreakBefore w:val="0"/>
        <w:kinsoku/>
        <w:wordWrap/>
        <w:topLinePunct w:val="0"/>
        <w:bidi w:val="0"/>
        <w:snapToGrid w:val="0"/>
        <w:spacing w:beforeAutospacing="0" w:afterAutospacing="0" w:line="400" w:lineRule="exact"/>
        <w:ind w:left="0" w:leftChars="0" w:right="0" w:rightChars="0" w:firstLine="5880" w:firstLineChars="2450"/>
        <w:outlineLvl w:val="9"/>
        <w:rPr>
          <w:rFonts w:ascii="宋体" w:hAnsi="宋体"/>
          <w:bCs/>
          <w:sz w:val="24"/>
          <w:u w:val="single"/>
        </w:rPr>
      </w:pPr>
    </w:p>
    <w:p>
      <w:pPr>
        <w:pageBreakBefore w:val="0"/>
        <w:kinsoku/>
        <w:wordWrap/>
        <w:topLinePunct w:val="0"/>
        <w:bidi w:val="0"/>
        <w:snapToGrid w:val="0"/>
        <w:spacing w:beforeAutospacing="0" w:afterAutospacing="0" w:line="400" w:lineRule="exact"/>
        <w:ind w:left="0" w:leftChars="0" w:right="0" w:rightChars="0" w:firstLine="5880" w:firstLineChars="2450"/>
        <w:outlineLvl w:val="9"/>
        <w:rPr>
          <w:rFonts w:ascii="宋体" w:hAnsi="宋体"/>
          <w:bCs/>
          <w:sz w:val="24"/>
          <w:u w:val="single"/>
        </w:rPr>
      </w:pPr>
    </w:p>
    <w:p>
      <w:pPr>
        <w:pageBreakBefore w:val="0"/>
        <w:kinsoku/>
        <w:wordWrap/>
        <w:topLinePunct w:val="0"/>
        <w:bidi w:val="0"/>
        <w:snapToGrid w:val="0"/>
        <w:spacing w:beforeAutospacing="0" w:afterAutospacing="0" w:line="400" w:lineRule="exact"/>
        <w:ind w:left="0" w:leftChars="0" w:right="0" w:rightChars="0" w:firstLine="5880" w:firstLineChars="2450"/>
        <w:outlineLvl w:val="9"/>
        <w:rPr>
          <w:rFonts w:ascii="宋体" w:hAnsi="宋体"/>
          <w:bCs/>
          <w:sz w:val="24"/>
          <w:u w:val="single"/>
        </w:rPr>
      </w:pPr>
    </w:p>
    <w:p>
      <w:pPr>
        <w:pageBreakBefore w:val="0"/>
        <w:kinsoku/>
        <w:wordWrap/>
        <w:topLinePunct w:val="0"/>
        <w:bidi w:val="0"/>
        <w:snapToGrid w:val="0"/>
        <w:spacing w:beforeAutospacing="0" w:afterAutospacing="0" w:line="400" w:lineRule="exact"/>
        <w:ind w:left="0" w:leftChars="0" w:right="0" w:rightChars="0" w:firstLine="5880" w:firstLineChars="2450"/>
        <w:outlineLvl w:val="9"/>
        <w:rPr>
          <w:rFonts w:ascii="宋体" w:hAnsi="宋体"/>
          <w:bCs/>
          <w:sz w:val="24"/>
          <w:u w:val="single"/>
        </w:rPr>
      </w:pPr>
    </w:p>
    <w:p>
      <w:pPr>
        <w:pageBreakBefore w:val="0"/>
        <w:kinsoku/>
        <w:wordWrap/>
        <w:topLinePunct w:val="0"/>
        <w:bidi w:val="0"/>
        <w:snapToGrid w:val="0"/>
        <w:spacing w:beforeAutospacing="0" w:afterAutospacing="0" w:line="400" w:lineRule="exact"/>
        <w:ind w:left="0" w:leftChars="0" w:right="0" w:rightChars="0" w:firstLine="5880" w:firstLineChars="2450"/>
        <w:outlineLvl w:val="9"/>
        <w:rPr>
          <w:rFonts w:ascii="宋体" w:hAnsi="宋体"/>
          <w:bCs/>
          <w:sz w:val="24"/>
          <w:u w:val="single"/>
        </w:rPr>
      </w:pPr>
    </w:p>
    <w:p>
      <w:pPr>
        <w:pageBreakBefore w:val="0"/>
        <w:kinsoku/>
        <w:wordWrap/>
        <w:topLinePunct w:val="0"/>
        <w:bidi w:val="0"/>
        <w:snapToGrid w:val="0"/>
        <w:spacing w:beforeAutospacing="0" w:afterAutospacing="0" w:line="400" w:lineRule="exact"/>
        <w:ind w:left="0" w:leftChars="0" w:right="0" w:rightChars="0"/>
        <w:outlineLvl w:val="9"/>
        <w:rPr>
          <w:rFonts w:ascii="宋体" w:hAnsi="宋体"/>
          <w:bCs/>
          <w:sz w:val="24"/>
          <w:u w:val="single"/>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line="400" w:lineRule="exact"/>
        <w:ind w:left="0" w:leftChars="0" w:right="0" w:rightChars="0"/>
        <w:outlineLvl w:val="9"/>
        <w:rPr>
          <w:rFonts w:ascii="宋体" w:hAnsi="宋体"/>
          <w:b/>
          <w:sz w:val="24"/>
        </w:rPr>
      </w:pPr>
      <w:r>
        <w:rPr>
          <w:rFonts w:ascii="宋体" w:hAnsi="宋体"/>
          <w:b/>
          <w:sz w:val="24"/>
        </w:rPr>
        <w:br w:type="page"/>
      </w: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bookmarkStart w:id="95" w:name="_Toc8206"/>
      <w:r>
        <w:rPr>
          <w:rFonts w:hint="eastAsia" w:ascii="宋体" w:hAnsi="宋体"/>
          <w:b/>
          <w:sz w:val="32"/>
          <w:szCs w:val="32"/>
        </w:rPr>
        <w:t>附件6：</w:t>
      </w:r>
      <w:bookmarkEnd w:id="95"/>
    </w:p>
    <w:p>
      <w:pPr>
        <w:pageBreakBefore w:val="0"/>
        <w:kinsoku/>
        <w:wordWrap/>
        <w:topLinePunct w:val="0"/>
        <w:bidi w:val="0"/>
        <w:snapToGrid w:val="0"/>
        <w:spacing w:beforeAutospacing="0" w:afterAutospacing="0" w:line="400" w:lineRule="exact"/>
        <w:ind w:left="0" w:leftChars="0" w:right="0" w:rightChars="0"/>
        <w:jc w:val="center"/>
        <w:outlineLvl w:val="9"/>
        <w:rPr>
          <w:rFonts w:ascii="宋体" w:hAnsi="宋体"/>
          <w:b/>
          <w:sz w:val="32"/>
          <w:szCs w:val="32"/>
        </w:rPr>
      </w:pPr>
      <w:r>
        <w:rPr>
          <w:rFonts w:hint="eastAsia" w:ascii="宋体" w:hAnsi="宋体"/>
          <w:b/>
          <w:sz w:val="32"/>
          <w:szCs w:val="32"/>
        </w:rPr>
        <w:t>技术偏离表</w:t>
      </w:r>
    </w:p>
    <w:tbl>
      <w:tblPr>
        <w:tblStyle w:val="33"/>
        <w:tblW w:w="8496" w:type="dxa"/>
        <w:jc w:val="center"/>
        <w:tblLayout w:type="fixed"/>
        <w:tblCellMar>
          <w:top w:w="0" w:type="dxa"/>
          <w:left w:w="0" w:type="dxa"/>
          <w:bottom w:w="0" w:type="dxa"/>
          <w:right w:w="0" w:type="dxa"/>
        </w:tblCellMar>
      </w:tblPr>
      <w:tblGrid>
        <w:gridCol w:w="1427"/>
        <w:gridCol w:w="1440"/>
        <w:gridCol w:w="2160"/>
        <w:gridCol w:w="2340"/>
        <w:gridCol w:w="1129"/>
      </w:tblGrid>
      <w:tr>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ascii="宋体" w:hAnsi="宋体"/>
                <w:color w:val="000000"/>
                <w:sz w:val="24"/>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0"/>
              <w:pageBreakBefore w:val="0"/>
              <w:kinsoku/>
              <w:wordWrap/>
              <w:topLinePunct w:val="0"/>
              <w:bidi w:val="0"/>
              <w:spacing w:beforeAutospacing="0" w:afterAutospacing="0" w:line="400" w:lineRule="exact"/>
              <w:ind w:left="0" w:leftChars="0" w:right="0" w:rightChars="0"/>
              <w:jc w:val="center"/>
              <w:outlineLvl w:val="9"/>
              <w:rPr>
                <w:rFonts w:hAnsi="宋体"/>
                <w:color w:val="000000"/>
                <w:sz w:val="24"/>
              </w:rPr>
            </w:pPr>
            <w:r>
              <w:rPr>
                <w:rFonts w:hint="eastAsia" w:hAnsi="宋体"/>
                <w:color w:val="000000"/>
                <w:sz w:val="24"/>
              </w:rPr>
              <w:t>磋商文件技术要求</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hAnsi="宋体"/>
                <w:color w:val="000000"/>
                <w:sz w:val="24"/>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0"/>
              <w:pageBreakBefore w:val="0"/>
              <w:kinsoku/>
              <w:wordWrap/>
              <w:topLinePunct w:val="0"/>
              <w:bidi w:val="0"/>
              <w:spacing w:beforeAutospacing="0" w:afterAutospacing="0" w:line="400" w:lineRule="exact"/>
              <w:ind w:left="0" w:leftChars="0" w:right="0" w:rightChars="0"/>
              <w:jc w:val="center"/>
              <w:outlineLvl w:val="9"/>
              <w:rPr>
                <w:rFonts w:hAnsi="宋体"/>
                <w:color w:val="000000"/>
                <w:sz w:val="24"/>
              </w:rPr>
            </w:pPr>
            <w:r>
              <w:rPr>
                <w:rFonts w:hint="eastAsia" w:hAnsi="宋体"/>
                <w:color w:val="000000"/>
                <w:sz w:val="24"/>
              </w:rPr>
              <w:t>磋商供应商的技术响</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r>
              <w:rPr>
                <w:rFonts w:hint="eastAsia" w:hAnsi="宋体"/>
                <w:color w:val="000000"/>
                <w:sz w:val="24"/>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r>
      <w:tr>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r>
      <w:tr>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r>
      <w:tr>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r>
      <w:tr>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r>
      <w:tr>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jc w:val="center"/>
              <w:outlineLvl w:val="9"/>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tc>
      </w:tr>
    </w:tbl>
    <w:p>
      <w:pPr>
        <w:pageBreakBefore w:val="0"/>
        <w:kinsoku/>
        <w:wordWrap/>
        <w:topLinePunct w:val="0"/>
        <w:bidi w:val="0"/>
        <w:snapToGrid w:val="0"/>
        <w:spacing w:beforeAutospacing="0" w:afterAutospacing="0" w:line="400" w:lineRule="exact"/>
        <w:ind w:left="0" w:leftChars="0" w:right="0" w:rightChars="0"/>
        <w:jc w:val="center"/>
        <w:outlineLvl w:val="9"/>
        <w:rPr>
          <w:rFonts w:ascii="宋体" w:hAnsi="宋体"/>
          <w:b/>
          <w:sz w:val="30"/>
          <w:szCs w:val="30"/>
        </w:rPr>
      </w:pPr>
    </w:p>
    <w:p>
      <w:pPr>
        <w:pStyle w:val="20"/>
        <w:pageBreakBefore w:val="0"/>
        <w:kinsoku/>
        <w:wordWrap/>
        <w:topLinePunct w:val="0"/>
        <w:bidi w:val="0"/>
        <w:spacing w:beforeAutospacing="0" w:afterAutospacing="0" w:line="400" w:lineRule="exact"/>
        <w:ind w:left="0" w:leftChars="0" w:right="0" w:rightChars="0"/>
        <w:jc w:val="center"/>
        <w:outlineLvl w:val="9"/>
        <w:rPr>
          <w:rFonts w:hAnsi="宋体"/>
          <w:b/>
          <w:sz w:val="18"/>
        </w:rPr>
      </w:pPr>
    </w:p>
    <w:p>
      <w:pPr>
        <w:pStyle w:val="27"/>
        <w:pageBreakBefore w:val="0"/>
        <w:kinsoku/>
        <w:wordWrap/>
        <w:topLinePunct w:val="0"/>
        <w:bidi w:val="0"/>
        <w:spacing w:beforeAutospacing="0" w:afterAutospacing="0" w:line="400" w:lineRule="exact"/>
        <w:ind w:left="480" w:leftChars="0" w:right="0" w:rightChars="0" w:hanging="480"/>
        <w:outlineLvl w:val="9"/>
        <w:rPr>
          <w:rFonts w:ascii="宋体" w:hAnsi="宋体"/>
          <w:b w:val="0"/>
        </w:rPr>
      </w:pPr>
    </w:p>
    <w:p>
      <w:pPr>
        <w:pStyle w:val="27"/>
        <w:pageBreakBefore w:val="0"/>
        <w:kinsoku/>
        <w:wordWrap/>
        <w:topLinePunct w:val="0"/>
        <w:bidi w:val="0"/>
        <w:spacing w:beforeAutospacing="0" w:afterAutospacing="0" w:line="400" w:lineRule="exact"/>
        <w:ind w:left="480" w:leftChars="0" w:right="0" w:rightChars="0" w:hanging="480"/>
        <w:outlineLvl w:val="9"/>
        <w:rPr>
          <w:rFonts w:ascii="宋体" w:hAnsi="宋体"/>
          <w:b w:val="0"/>
        </w:rPr>
      </w:pPr>
    </w:p>
    <w:p>
      <w:pPr>
        <w:pageBreakBefore w:val="0"/>
        <w:kinsoku/>
        <w:wordWrap/>
        <w:topLinePunct w:val="0"/>
        <w:bidi w:val="0"/>
        <w:spacing w:beforeAutospacing="0" w:afterAutospacing="0" w:line="400" w:lineRule="exact"/>
        <w:ind w:left="0" w:leftChars="0" w:right="0" w:rightChars="0"/>
        <w:outlineLvl w:val="9"/>
        <w:rPr>
          <w:rFonts w:ascii="宋体" w:hAnsi="宋体"/>
          <w:bCs/>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Cs/>
          <w:sz w:val="24"/>
        </w:rPr>
      </w:pP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firstLine="480" w:firstLineChars="20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pacing w:beforeAutospacing="0" w:afterAutospacing="0" w:line="400" w:lineRule="exact"/>
        <w:ind w:left="0" w:leftChars="0" w:right="0" w:rightChars="0"/>
        <w:outlineLvl w:val="9"/>
        <w:rPr>
          <w:rFonts w:ascii="宋体" w:hAnsi="宋体"/>
          <w:b/>
          <w:bCs/>
        </w:rPr>
      </w:pPr>
    </w:p>
    <w:bookmarkEnd w:id="94"/>
    <w:p>
      <w:pPr>
        <w:pageBreakBefore w:val="0"/>
        <w:kinsoku/>
        <w:wordWrap/>
        <w:topLinePunct w:val="0"/>
        <w:bidi w:val="0"/>
        <w:spacing w:before="0" w:beforeAutospacing="0" w:after="0" w:afterAutospacing="0" w:line="400" w:lineRule="exact"/>
        <w:ind w:left="0" w:leftChars="0" w:right="0" w:rightChars="0"/>
        <w:outlineLvl w:val="9"/>
        <w:rPr>
          <w:rFonts w:ascii="宋体" w:hAnsi="宋体"/>
        </w:rPr>
        <w:sectPr>
          <w:headerReference r:id="rId8" w:type="default"/>
          <w:pgSz w:w="11906" w:h="16838"/>
          <w:pgMar w:top="1304" w:right="1247" w:bottom="1418" w:left="1247" w:header="851" w:footer="992" w:gutter="0"/>
          <w:pgNumType w:fmt="decimal"/>
          <w:cols w:space="720" w:num="1"/>
          <w:docGrid w:linePitch="312" w:charSpace="0"/>
        </w:sectPr>
      </w:pPr>
      <w:bookmarkStart w:id="96" w:name="_Toc400536597"/>
      <w:bookmarkStart w:id="97" w:name="_Toc258923314"/>
    </w:p>
    <w:p>
      <w:pPr>
        <w:pageBreakBefore w:val="0"/>
        <w:kinsoku/>
        <w:wordWrap/>
        <w:topLinePunct w:val="0"/>
        <w:bidi w:val="0"/>
        <w:spacing w:beforeAutospacing="0" w:afterAutospacing="0" w:line="400" w:lineRule="exact"/>
        <w:ind w:left="0" w:leftChars="0" w:right="0" w:rightChars="0"/>
        <w:outlineLvl w:val="9"/>
        <w:rPr>
          <w:b/>
          <w:sz w:val="32"/>
          <w:szCs w:val="32"/>
        </w:rPr>
      </w:pPr>
      <w:bookmarkStart w:id="98" w:name="_Toc5690"/>
      <w:r>
        <w:rPr>
          <w:rFonts w:hint="eastAsia" w:ascii="宋体" w:hAnsi="宋体"/>
          <w:b/>
          <w:sz w:val="32"/>
          <w:szCs w:val="32"/>
        </w:rPr>
        <w:t>附件7：</w:t>
      </w:r>
      <w:bookmarkEnd w:id="98"/>
    </w:p>
    <w:p>
      <w:pPr>
        <w:pageBreakBefore w:val="0"/>
        <w:kinsoku/>
        <w:wordWrap/>
        <w:topLinePunct w:val="0"/>
        <w:bidi w:val="0"/>
        <w:spacing w:beforeAutospacing="0" w:afterAutospacing="0" w:line="400" w:lineRule="exact"/>
        <w:ind w:left="0" w:leftChars="0" w:right="0" w:rightChars="0"/>
        <w:jc w:val="center"/>
        <w:outlineLvl w:val="9"/>
        <w:rPr>
          <w:b/>
          <w:sz w:val="32"/>
          <w:szCs w:val="32"/>
        </w:rPr>
      </w:pPr>
      <w:r>
        <w:rPr>
          <w:rFonts w:hint="eastAsia"/>
          <w:b/>
          <w:sz w:val="32"/>
          <w:szCs w:val="32"/>
        </w:rPr>
        <w:t>公司业绩一览表</w:t>
      </w:r>
      <w:bookmarkEnd w:id="96"/>
      <w:bookmarkEnd w:id="97"/>
    </w:p>
    <w:p>
      <w:pPr>
        <w:pageBreakBefore w:val="0"/>
        <w:kinsoku/>
        <w:wordWrap/>
        <w:topLinePunct w:val="0"/>
        <w:bidi w:val="0"/>
        <w:spacing w:beforeAutospacing="0" w:afterAutospacing="0" w:line="400" w:lineRule="exact"/>
        <w:ind w:left="0" w:leftChars="0" w:right="0" w:rightChars="0"/>
        <w:jc w:val="center"/>
        <w:outlineLvl w:val="9"/>
        <w:rPr>
          <w:rFonts w:ascii="宋体" w:hAnsi="宋体"/>
        </w:rPr>
      </w:pPr>
    </w:p>
    <w:tbl>
      <w:tblPr>
        <w:tblStyle w:val="33"/>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r>
              <w:rPr>
                <w:rFonts w:hint="eastAsia" w:ascii="宋体" w:hAnsi="宋体"/>
                <w:sz w:val="24"/>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r>
              <w:rPr>
                <w:rFonts w:hint="eastAsia" w:ascii="宋体" w:hAnsi="宋体"/>
                <w:sz w:val="24"/>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r>
              <w:rPr>
                <w:rFonts w:hint="eastAsia" w:ascii="宋体" w:hAnsi="宋体"/>
                <w:sz w:val="24"/>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r>
              <w:rPr>
                <w:rFonts w:hint="eastAsia" w:ascii="宋体" w:hAnsi="宋体"/>
                <w:sz w:val="24"/>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r>
              <w:rPr>
                <w:rFonts w:hint="eastAsia" w:ascii="宋体" w:hAnsi="宋体"/>
                <w:sz w:val="24"/>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400" w:lineRule="exact"/>
              <w:ind w:left="0" w:leftChars="0" w:right="0" w:rightChars="0"/>
              <w:jc w:val="center"/>
              <w:outlineLvl w:val="9"/>
              <w:rPr>
                <w:rFonts w:ascii="宋体" w:hAnsi="宋体"/>
                <w:sz w:val="24"/>
              </w:rPr>
            </w:pPr>
            <w:r>
              <w:rPr>
                <w:rFonts w:hint="eastAsia" w:ascii="宋体" w:hAnsi="宋体"/>
                <w:sz w:val="24"/>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wordWrap/>
              <w:topLinePunct w:val="0"/>
              <w:bidi w:val="0"/>
              <w:spacing w:beforeAutospacing="0" w:afterAutospacing="0" w:line="400" w:lineRule="exact"/>
              <w:ind w:left="0" w:leftChars="0" w:right="0" w:rightChars="0"/>
              <w:outlineLvl w:val="9"/>
              <w:rPr>
                <w:rFonts w:ascii="宋体" w:hAnsi="宋体"/>
              </w:rPr>
            </w:pPr>
          </w:p>
        </w:tc>
      </w:tr>
    </w:tbl>
    <w:p>
      <w:pPr>
        <w:pageBreakBefore w:val="0"/>
        <w:kinsoku/>
        <w:wordWrap/>
        <w:topLinePunct w:val="0"/>
        <w:bidi w:val="0"/>
        <w:spacing w:beforeAutospacing="0" w:afterAutospacing="0" w:line="400" w:lineRule="exact"/>
        <w:ind w:left="0" w:leftChars="0" w:right="0" w:rightChars="0"/>
        <w:outlineLvl w:val="9"/>
        <w:rPr>
          <w:rFonts w:ascii="宋体" w:hAnsi="宋体"/>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8"/>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8"/>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pacing w:beforeAutospacing="0" w:afterAutospacing="0" w:line="400" w:lineRule="exact"/>
        <w:ind w:left="0" w:leftChars="0" w:right="0" w:rightChars="0"/>
        <w:outlineLvl w:val="9"/>
        <w:rPr>
          <w:rFonts w:ascii="宋体" w:hAnsi="宋体"/>
          <w:b/>
          <w:bCs/>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line="400" w:lineRule="exact"/>
        <w:ind w:left="0" w:leftChars="0" w:right="0" w:rightChars="0"/>
        <w:outlineLvl w:val="9"/>
        <w:rPr>
          <w:rFonts w:ascii="宋体" w:hAnsi="宋体"/>
          <w:b/>
          <w:sz w:val="24"/>
        </w:rPr>
      </w:pPr>
      <w:r>
        <w:rPr>
          <w:rFonts w:ascii="宋体" w:hAnsi="宋体"/>
          <w:b/>
          <w:sz w:val="24"/>
        </w:rPr>
        <w:br w:type="page"/>
      </w: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bookmarkStart w:id="99" w:name="_Toc6256"/>
      <w:r>
        <w:rPr>
          <w:rFonts w:hint="eastAsia" w:ascii="宋体" w:hAnsi="宋体"/>
          <w:b/>
          <w:sz w:val="32"/>
          <w:szCs w:val="32"/>
        </w:rPr>
        <w:t>附件8：</w:t>
      </w:r>
      <w:bookmarkEnd w:id="99"/>
    </w:p>
    <w:p>
      <w:pPr>
        <w:pageBreakBefore w:val="0"/>
        <w:kinsoku/>
        <w:wordWrap/>
        <w:topLinePunct w:val="0"/>
        <w:bidi w:val="0"/>
        <w:spacing w:beforeAutospacing="0" w:afterAutospacing="0" w:line="400" w:lineRule="exact"/>
        <w:ind w:left="0" w:leftChars="0" w:right="0" w:rightChars="0"/>
        <w:jc w:val="center"/>
        <w:outlineLvl w:val="9"/>
        <w:rPr>
          <w:b/>
          <w:sz w:val="32"/>
          <w:szCs w:val="32"/>
        </w:rPr>
      </w:pPr>
      <w:bookmarkStart w:id="100" w:name="_Toc258923315"/>
      <w:bookmarkStart w:id="101" w:name="_Toc400536598"/>
      <w:r>
        <w:rPr>
          <w:rFonts w:hint="eastAsia"/>
          <w:b/>
          <w:sz w:val="32"/>
          <w:szCs w:val="32"/>
        </w:rPr>
        <w:t>优惠条件承诺书</w:t>
      </w:r>
      <w:bookmarkEnd w:id="100"/>
      <w:bookmarkEnd w:id="101"/>
    </w:p>
    <w:p>
      <w:pPr>
        <w:pageBreakBefore w:val="0"/>
        <w:kinsoku/>
        <w:wordWrap/>
        <w:topLinePunct w:val="0"/>
        <w:bidi w:val="0"/>
        <w:spacing w:beforeAutospacing="0" w:afterAutospacing="0" w:line="400" w:lineRule="exact"/>
        <w:ind w:left="0" w:leftChars="0" w:right="0" w:rightChars="0"/>
        <w:jc w:val="center"/>
        <w:outlineLvl w:val="9"/>
        <w:rPr>
          <w:b/>
          <w:sz w:val="30"/>
          <w:szCs w:val="30"/>
        </w:rPr>
      </w:pPr>
    </w:p>
    <w:p>
      <w:pPr>
        <w:pageBreakBefore w:val="0"/>
        <w:kinsoku/>
        <w:wordWrap/>
        <w:topLinePunct w:val="0"/>
        <w:bidi w:val="0"/>
        <w:spacing w:beforeAutospacing="0" w:afterAutospacing="0" w:line="400" w:lineRule="exact"/>
        <w:ind w:left="0" w:leftChars="0" w:right="0" w:rightChars="0"/>
        <w:outlineLvl w:val="9"/>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宏业国际项目管理有限公司</w:t>
      </w:r>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9"/>
        <w:rPr>
          <w:rFonts w:ascii="宋体" w:hAnsi="宋体"/>
          <w:color w:val="000000"/>
          <w:sz w:val="24"/>
        </w:rPr>
      </w:pPr>
      <w:r>
        <w:rPr>
          <w:rFonts w:hint="eastAsia" w:ascii="宋体" w:hAnsi="宋体"/>
          <w:color w:val="000000"/>
          <w:sz w:val="24"/>
        </w:rPr>
        <w:t>经仔细阅读你们的磋商文件，对所投标项目向贵单位特作如下优惠条件承诺：</w:t>
      </w:r>
    </w:p>
    <w:p>
      <w:pPr>
        <w:pageBreakBefore w:val="0"/>
        <w:kinsoku/>
        <w:wordWrap/>
        <w:topLinePunct w:val="0"/>
        <w:bidi w:val="0"/>
        <w:spacing w:beforeAutospacing="0" w:afterAutospacing="0" w:line="400" w:lineRule="exact"/>
        <w:ind w:left="0" w:leftChars="0" w:right="0" w:rightChars="0" w:firstLine="360" w:firstLineChars="150"/>
        <w:textAlignment w:val="baseline"/>
        <w:outlineLvl w:val="9"/>
        <w:rPr>
          <w:rFonts w:ascii="宋体" w:hAnsi="宋体"/>
          <w:color w:val="000000"/>
          <w:sz w:val="24"/>
        </w:rPr>
      </w:pPr>
      <w:r>
        <w:rPr>
          <w:rFonts w:hint="eastAsia" w:ascii="宋体" w:hAnsi="宋体"/>
          <w:color w:val="000000"/>
          <w:sz w:val="24"/>
        </w:rPr>
        <w:t>（1）</w:t>
      </w:r>
      <w:r>
        <w:rPr>
          <w:rFonts w:ascii="宋体" w:hAnsi="宋体"/>
          <w:color w:val="000000"/>
          <w:sz w:val="24"/>
        </w:rPr>
        <w:t>．．．．．．</w:t>
      </w:r>
    </w:p>
    <w:p>
      <w:pPr>
        <w:pageBreakBefore w:val="0"/>
        <w:kinsoku/>
        <w:wordWrap/>
        <w:topLinePunct w:val="0"/>
        <w:bidi w:val="0"/>
        <w:spacing w:beforeAutospacing="0" w:afterAutospacing="0" w:line="400" w:lineRule="exact"/>
        <w:ind w:left="0" w:leftChars="0" w:right="0" w:rightChars="0" w:firstLine="360" w:firstLineChars="150"/>
        <w:textAlignment w:val="baseline"/>
        <w:outlineLvl w:val="9"/>
        <w:rPr>
          <w:rFonts w:ascii="宋体" w:hAnsi="宋体"/>
          <w:color w:val="000000"/>
          <w:sz w:val="24"/>
        </w:rPr>
      </w:pPr>
      <w:r>
        <w:rPr>
          <w:rFonts w:hint="eastAsia" w:ascii="宋体" w:hAnsi="宋体"/>
          <w:color w:val="000000"/>
          <w:sz w:val="24"/>
        </w:rPr>
        <w:t>（2）．．．．．．</w:t>
      </w:r>
    </w:p>
    <w:p>
      <w:pPr>
        <w:pageBreakBefore w:val="0"/>
        <w:kinsoku/>
        <w:wordWrap/>
        <w:topLinePunct w:val="0"/>
        <w:bidi w:val="0"/>
        <w:spacing w:beforeAutospacing="0" w:afterAutospacing="0" w:line="400" w:lineRule="exact"/>
        <w:ind w:left="0" w:leftChars="0" w:right="0" w:rightChars="0" w:firstLine="360" w:firstLineChars="150"/>
        <w:textAlignment w:val="baseline"/>
        <w:outlineLvl w:val="9"/>
        <w:rPr>
          <w:rFonts w:ascii="宋体" w:hAnsi="宋体"/>
          <w:color w:val="000000"/>
          <w:sz w:val="24"/>
        </w:rPr>
      </w:pPr>
      <w:r>
        <w:rPr>
          <w:rFonts w:hint="eastAsia" w:ascii="宋体" w:hAnsi="宋体"/>
          <w:color w:val="000000"/>
          <w:sz w:val="24"/>
        </w:rPr>
        <w:t>（3）．．．．．．</w:t>
      </w:r>
    </w:p>
    <w:p>
      <w:pPr>
        <w:pageBreakBefore w:val="0"/>
        <w:kinsoku/>
        <w:wordWrap/>
        <w:topLinePunct w:val="0"/>
        <w:bidi w:val="0"/>
        <w:spacing w:beforeAutospacing="0" w:afterAutospacing="0" w:line="400" w:lineRule="exact"/>
        <w:ind w:left="0" w:leftChars="0" w:right="0" w:rightChars="0" w:firstLine="480" w:firstLineChars="200"/>
        <w:textAlignment w:val="baseline"/>
        <w:outlineLvl w:val="9"/>
        <w:rPr>
          <w:rFonts w:ascii="宋体" w:hAnsi="宋体"/>
          <w:color w:val="000000"/>
          <w:sz w:val="24"/>
        </w:rPr>
      </w:pPr>
      <w:r>
        <w:rPr>
          <w:rFonts w:hint="eastAsia" w:ascii="宋体" w:hAnsi="宋体"/>
          <w:color w:val="000000"/>
          <w:sz w:val="24"/>
        </w:rPr>
        <w:t>．．．．．．</w:t>
      </w:r>
    </w:p>
    <w:p>
      <w:pPr>
        <w:pageBreakBefore w:val="0"/>
        <w:kinsoku/>
        <w:wordWrap/>
        <w:topLinePunct w:val="0"/>
        <w:bidi w:val="0"/>
        <w:spacing w:beforeAutospacing="0" w:afterAutospacing="0" w:line="400" w:lineRule="exact"/>
        <w:ind w:left="0" w:leftChars="0" w:right="0" w:rightChars="0"/>
        <w:textAlignment w:val="baseline"/>
        <w:outlineLvl w:val="9"/>
        <w:rPr>
          <w:rFonts w:ascii="宋体" w:hAnsi="宋体"/>
          <w:color w:val="000000"/>
          <w:sz w:val="24"/>
        </w:rPr>
      </w:pPr>
      <w:r>
        <w:rPr>
          <w:rFonts w:hint="eastAsia" w:ascii="宋体" w:hAnsi="宋体"/>
          <w:color w:val="000000"/>
          <w:sz w:val="24"/>
        </w:rPr>
        <w:t>特此承诺！</w:t>
      </w:r>
    </w:p>
    <w:p>
      <w:pPr>
        <w:pageBreakBefore w:val="0"/>
        <w:kinsoku/>
        <w:wordWrap/>
        <w:topLinePunct w:val="0"/>
        <w:bidi w:val="0"/>
        <w:spacing w:beforeAutospacing="0" w:afterAutospacing="0" w:line="400" w:lineRule="exact"/>
        <w:ind w:left="0" w:leftChars="0" w:right="0" w:rightChars="0"/>
        <w:textAlignment w:val="baseline"/>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bCs/>
          <w:color w:val="000000"/>
          <w:sz w:val="24"/>
        </w:rPr>
        <w:t>法定代表人或授权代表人（签字）：</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color w:val="000000"/>
          <w:sz w:val="24"/>
        </w:rPr>
        <w:t>职务：</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color w:val="000000"/>
          <w:sz w:val="24"/>
        </w:rPr>
        <w:t>地址：</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color w:val="000000"/>
          <w:sz w:val="24"/>
        </w:rPr>
        <w:t>电话：</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传真：</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rPr>
      </w:pPr>
      <w:r>
        <w:rPr>
          <w:rFonts w:hint="eastAsia" w:ascii="宋体" w:hAnsi="宋体"/>
          <w:color w:val="000000"/>
          <w:sz w:val="24"/>
        </w:rPr>
        <w:t>日期：   年   月   日</w:t>
      </w: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r>
        <w:rPr>
          <w:rFonts w:ascii="宋体" w:hAnsi="宋体"/>
          <w:b/>
        </w:rPr>
        <w:br w:type="page"/>
      </w:r>
      <w:bookmarkStart w:id="102" w:name="_Toc20690"/>
      <w:r>
        <w:rPr>
          <w:rFonts w:hint="eastAsia" w:ascii="宋体" w:hAnsi="宋体"/>
          <w:b/>
          <w:sz w:val="32"/>
          <w:szCs w:val="32"/>
        </w:rPr>
        <w:t>附件9：</w:t>
      </w:r>
      <w:bookmarkEnd w:id="102"/>
    </w:p>
    <w:p>
      <w:pPr>
        <w:pageBreakBefore w:val="0"/>
        <w:kinsoku/>
        <w:wordWrap/>
        <w:topLinePunct w:val="0"/>
        <w:bidi w:val="0"/>
        <w:spacing w:beforeAutospacing="0" w:afterAutospacing="0" w:line="400" w:lineRule="exact"/>
        <w:ind w:left="0" w:leftChars="0" w:right="0" w:rightChars="0"/>
        <w:jc w:val="center"/>
        <w:outlineLvl w:val="9"/>
        <w:rPr>
          <w:b/>
          <w:sz w:val="32"/>
          <w:szCs w:val="32"/>
        </w:rPr>
      </w:pPr>
      <w:bookmarkStart w:id="103" w:name="_Toc258923316"/>
      <w:bookmarkStart w:id="104" w:name="_Toc400536599"/>
      <w:r>
        <w:rPr>
          <w:rFonts w:hint="eastAsia"/>
          <w:b/>
          <w:sz w:val="32"/>
          <w:szCs w:val="32"/>
        </w:rPr>
        <w:t>售后服务承诺</w:t>
      </w:r>
      <w:bookmarkEnd w:id="103"/>
      <w:bookmarkEnd w:id="104"/>
    </w:p>
    <w:p>
      <w:pPr>
        <w:pageBreakBefore w:val="0"/>
        <w:kinsoku/>
        <w:wordWrap/>
        <w:topLinePunct w:val="0"/>
        <w:bidi w:val="0"/>
        <w:spacing w:beforeAutospacing="0" w:afterAutospacing="0" w:line="400" w:lineRule="exact"/>
        <w:ind w:left="0" w:leftChars="0" w:right="0" w:rightChars="0"/>
        <w:outlineLvl w:val="9"/>
        <w:rPr>
          <w:rFonts w:ascii="宋体" w:hAnsi="宋体"/>
        </w:rPr>
      </w:pPr>
    </w:p>
    <w:p>
      <w:pPr>
        <w:pageBreakBefore w:val="0"/>
        <w:kinsoku/>
        <w:wordWrap/>
        <w:topLinePunct w:val="0"/>
        <w:bidi w:val="0"/>
        <w:spacing w:beforeAutospacing="0" w:afterAutospacing="0" w:line="400" w:lineRule="exact"/>
        <w:ind w:left="0" w:leftChars="0" w:right="0" w:rightChars="0" w:firstLine="960" w:firstLineChars="400"/>
        <w:outlineLvl w:val="9"/>
        <w:rPr>
          <w:rFonts w:ascii="宋体" w:hAnsi="宋体"/>
          <w:sz w:val="24"/>
        </w:rPr>
      </w:pPr>
    </w:p>
    <w:p>
      <w:pPr>
        <w:pageBreakBefore w:val="0"/>
        <w:kinsoku/>
        <w:wordWrap/>
        <w:topLinePunct w:val="0"/>
        <w:bidi w:val="0"/>
        <w:spacing w:beforeAutospacing="0" w:afterAutospacing="0" w:line="400" w:lineRule="exact"/>
        <w:ind w:left="0" w:leftChars="0" w:right="0" w:rightChars="0" w:firstLine="3220" w:firstLineChars="1150"/>
        <w:outlineLvl w:val="9"/>
        <w:rPr>
          <w:rFonts w:ascii="宋体" w:hAnsi="宋体"/>
          <w:sz w:val="28"/>
          <w:szCs w:val="28"/>
        </w:rPr>
      </w:pPr>
    </w:p>
    <w:p>
      <w:pPr>
        <w:pageBreakBefore w:val="0"/>
        <w:kinsoku/>
        <w:wordWrap/>
        <w:topLinePunct w:val="0"/>
        <w:bidi w:val="0"/>
        <w:spacing w:beforeAutospacing="0" w:afterAutospacing="0" w:line="400" w:lineRule="exact"/>
        <w:ind w:left="0" w:leftChars="0" w:right="0" w:rightChars="0" w:firstLine="3220" w:firstLineChars="1150"/>
        <w:outlineLvl w:val="9"/>
        <w:rPr>
          <w:rFonts w:ascii="宋体" w:hAnsi="宋体"/>
          <w:sz w:val="28"/>
          <w:szCs w:val="28"/>
        </w:rPr>
      </w:pPr>
    </w:p>
    <w:p>
      <w:pPr>
        <w:pageBreakBefore w:val="0"/>
        <w:kinsoku/>
        <w:wordWrap/>
        <w:topLinePunct w:val="0"/>
        <w:bidi w:val="0"/>
        <w:spacing w:beforeAutospacing="0" w:afterAutospacing="0" w:line="400" w:lineRule="exact"/>
        <w:ind w:left="0" w:leftChars="0" w:right="0" w:rightChars="0" w:firstLine="3360" w:firstLineChars="1200"/>
        <w:outlineLvl w:val="9"/>
        <w:rPr>
          <w:rFonts w:ascii="宋体" w:hAnsi="宋体"/>
          <w:b/>
          <w:sz w:val="28"/>
          <w:szCs w:val="28"/>
        </w:rPr>
      </w:pPr>
      <w:r>
        <w:rPr>
          <w:rFonts w:hint="eastAsia" w:ascii="宋体" w:hAnsi="宋体"/>
          <w:sz w:val="28"/>
          <w:szCs w:val="28"/>
        </w:rPr>
        <w:t>格式自拟</w:t>
      </w: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line="400" w:lineRule="exact"/>
        <w:ind w:left="0" w:leftChars="0" w:right="0" w:rightChars="0"/>
        <w:outlineLvl w:val="9"/>
        <w:rPr>
          <w:rFonts w:hint="eastAsia" w:ascii="宋体" w:hAnsi="宋体"/>
          <w:b/>
          <w:sz w:val="32"/>
          <w:szCs w:val="32"/>
        </w:rPr>
      </w:pPr>
      <w:r>
        <w:rPr>
          <w:rFonts w:hint="eastAsia" w:ascii="宋体" w:hAnsi="宋体"/>
          <w:b/>
          <w:sz w:val="32"/>
          <w:szCs w:val="32"/>
        </w:rPr>
        <w:br w:type="page"/>
      </w:r>
    </w:p>
    <w:p>
      <w:pPr>
        <w:pageBreakBefore w:val="0"/>
        <w:kinsoku/>
        <w:wordWrap/>
        <w:topLinePunct w:val="0"/>
        <w:bidi w:val="0"/>
        <w:spacing w:beforeAutospacing="0" w:afterAutospacing="0" w:line="400" w:lineRule="exact"/>
        <w:ind w:left="0" w:leftChars="0" w:right="0" w:rightChars="0"/>
        <w:outlineLvl w:val="9"/>
        <w:rPr>
          <w:rFonts w:ascii="宋体" w:hAnsi="宋体"/>
          <w:b/>
          <w:bCs/>
          <w:sz w:val="32"/>
          <w:szCs w:val="32"/>
        </w:rPr>
      </w:pPr>
      <w:bookmarkStart w:id="105" w:name="_Toc25362"/>
      <w:r>
        <w:rPr>
          <w:rFonts w:hint="eastAsia" w:ascii="宋体" w:hAnsi="宋体"/>
          <w:b/>
          <w:sz w:val="32"/>
          <w:szCs w:val="32"/>
        </w:rPr>
        <w:t>附件10：</w:t>
      </w:r>
      <w:bookmarkEnd w:id="105"/>
    </w:p>
    <w:p>
      <w:pPr>
        <w:pageBreakBefore w:val="0"/>
        <w:kinsoku/>
        <w:wordWrap/>
        <w:topLinePunct w:val="0"/>
        <w:bidi w:val="0"/>
        <w:spacing w:beforeAutospacing="0" w:afterAutospacing="0" w:line="400" w:lineRule="exact"/>
        <w:ind w:left="0" w:leftChars="0" w:right="0" w:rightChars="0"/>
        <w:jc w:val="center"/>
        <w:outlineLvl w:val="9"/>
        <w:rPr>
          <w:rFonts w:ascii="宋体" w:hAnsi="宋体"/>
          <w:b/>
          <w:bCs/>
          <w:sz w:val="32"/>
          <w:szCs w:val="32"/>
        </w:rPr>
      </w:pPr>
      <w:r>
        <w:rPr>
          <w:rFonts w:hint="eastAsia" w:ascii="宋体" w:hAnsi="宋体"/>
          <w:b/>
          <w:bCs/>
          <w:sz w:val="32"/>
          <w:szCs w:val="32"/>
        </w:rPr>
        <w:t>无重大违法记录声明</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bCs/>
          <w:sz w:val="30"/>
          <w:szCs w:val="30"/>
        </w:rPr>
      </w:pPr>
    </w:p>
    <w:p>
      <w:pPr>
        <w:pageBreakBefore w:val="0"/>
        <w:kinsoku/>
        <w:wordWrap/>
        <w:topLinePunct w:val="0"/>
        <w:bidi w:val="0"/>
        <w:spacing w:beforeAutospacing="0" w:afterAutospacing="0" w:line="400" w:lineRule="exact"/>
        <w:ind w:left="0" w:leftChars="0" w:right="0" w:rightChars="0"/>
        <w:outlineLvl w:val="9"/>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宏业国际项目管理有限公司</w:t>
      </w:r>
    </w:p>
    <w:p>
      <w:pPr>
        <w:pageBreakBefore w:val="0"/>
        <w:kinsoku/>
        <w:wordWrap/>
        <w:topLinePunct w:val="0"/>
        <w:bidi w:val="0"/>
        <w:spacing w:beforeAutospacing="0" w:afterAutospacing="0" w:line="400" w:lineRule="exact"/>
        <w:ind w:left="0" w:leftChars="0" w:right="0" w:rightChars="0" w:firstLine="480"/>
        <w:outlineLvl w:val="9"/>
        <w:rPr>
          <w:rFonts w:ascii="宋体" w:hAnsi="宋体"/>
          <w:bCs/>
          <w:sz w:val="24"/>
        </w:rPr>
      </w:pPr>
      <w:r>
        <w:rPr>
          <w:rFonts w:hint="eastAsia" w:ascii="宋体" w:hAnsi="宋体"/>
          <w:bCs/>
          <w:sz w:val="24"/>
        </w:rPr>
        <w:t>我单位参加政府采购活动前三年内，在经营活动中没有重大违法记录。</w:t>
      </w:r>
    </w:p>
    <w:p>
      <w:pPr>
        <w:pageBreakBefore w:val="0"/>
        <w:kinsoku/>
        <w:wordWrap/>
        <w:topLinePunct w:val="0"/>
        <w:bidi w:val="0"/>
        <w:spacing w:beforeAutospacing="0" w:afterAutospacing="0" w:line="400" w:lineRule="exact"/>
        <w:ind w:left="0" w:leftChars="0" w:right="0" w:rightChars="0" w:firstLine="480"/>
        <w:outlineLvl w:val="9"/>
        <w:rPr>
          <w:rFonts w:ascii="宋体" w:hAnsi="宋体"/>
          <w:bCs/>
          <w:sz w:val="24"/>
        </w:rPr>
      </w:pPr>
      <w:r>
        <w:rPr>
          <w:rFonts w:hint="eastAsia" w:ascii="宋体" w:hAnsi="宋体"/>
          <w:bCs/>
          <w:sz w:val="24"/>
        </w:rPr>
        <w:t>若采购单位在本项目采购过程中发现我单位近三年内在经营活动中有重大违法记录，我单位将无条件地退出本项目的招标，并承担因此引起的一切后果。</w:t>
      </w:r>
    </w:p>
    <w:p>
      <w:pPr>
        <w:pageBreakBefore w:val="0"/>
        <w:kinsoku/>
        <w:wordWrap/>
        <w:topLinePunct w:val="0"/>
        <w:bidi w:val="0"/>
        <w:spacing w:beforeAutospacing="0" w:afterAutospacing="0" w:line="400" w:lineRule="exact"/>
        <w:ind w:left="0" w:leftChars="0" w:right="0" w:rightChars="0" w:firstLine="480"/>
        <w:outlineLvl w:val="9"/>
        <w:rPr>
          <w:rFonts w:ascii="宋体" w:hAnsi="宋体"/>
          <w:bCs/>
          <w:sz w:val="24"/>
        </w:rPr>
      </w:pPr>
    </w:p>
    <w:p>
      <w:pPr>
        <w:pageBreakBefore w:val="0"/>
        <w:kinsoku/>
        <w:wordWrap/>
        <w:topLinePunct w:val="0"/>
        <w:bidi w:val="0"/>
        <w:spacing w:beforeAutospacing="0" w:afterAutospacing="0" w:line="400" w:lineRule="exact"/>
        <w:ind w:left="0" w:leftChars="0" w:right="0" w:rightChars="0" w:firstLine="480"/>
        <w:outlineLvl w:val="9"/>
        <w:rPr>
          <w:rFonts w:ascii="宋体" w:hAnsi="宋体"/>
          <w:bCs/>
          <w:sz w:val="24"/>
        </w:rPr>
      </w:pPr>
    </w:p>
    <w:p>
      <w:pPr>
        <w:pageBreakBefore w:val="0"/>
        <w:kinsoku/>
        <w:wordWrap/>
        <w:topLinePunct w:val="0"/>
        <w:bidi w:val="0"/>
        <w:spacing w:beforeAutospacing="0" w:afterAutospacing="0" w:line="400" w:lineRule="exact"/>
        <w:ind w:left="0" w:leftChars="0" w:right="0" w:rightChars="0" w:firstLine="480"/>
        <w:outlineLvl w:val="9"/>
        <w:rPr>
          <w:rFonts w:ascii="宋体" w:hAnsi="宋体"/>
          <w:bCs/>
          <w:sz w:val="24"/>
        </w:rPr>
      </w:pPr>
      <w:r>
        <w:rPr>
          <w:rFonts w:hint="eastAsia" w:ascii="宋体" w:hAnsi="宋体"/>
          <w:bCs/>
          <w:sz w:val="24"/>
        </w:rPr>
        <w:t>特此声明!</w:t>
      </w:r>
    </w:p>
    <w:p>
      <w:pPr>
        <w:pageBreakBefore w:val="0"/>
        <w:kinsoku/>
        <w:wordWrap/>
        <w:topLinePunct w:val="0"/>
        <w:bidi w:val="0"/>
        <w:spacing w:beforeAutospacing="0" w:afterAutospacing="0" w:line="400" w:lineRule="exact"/>
        <w:ind w:left="0" w:leftChars="0" w:right="0" w:rightChars="0" w:firstLine="480"/>
        <w:outlineLvl w:val="9"/>
        <w:rPr>
          <w:rFonts w:ascii="宋体" w:hAnsi="宋体"/>
          <w:bCs/>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bCs/>
          <w:sz w:val="36"/>
          <w:szCs w:val="36"/>
        </w:rPr>
      </w:pPr>
    </w:p>
    <w:p>
      <w:pPr>
        <w:pageBreakBefore w:val="0"/>
        <w:kinsoku/>
        <w:wordWrap/>
        <w:topLinePunct w:val="0"/>
        <w:bidi w:val="0"/>
        <w:spacing w:beforeAutospacing="0" w:afterAutospacing="0" w:line="400" w:lineRule="exact"/>
        <w:ind w:left="0" w:leftChars="0" w:right="0" w:rightChars="0"/>
        <w:outlineLvl w:val="9"/>
        <w:rPr>
          <w:rFonts w:ascii="宋体" w:hAnsi="宋体"/>
          <w:bCs/>
          <w:sz w:val="36"/>
          <w:szCs w:val="36"/>
        </w:rPr>
      </w:pPr>
    </w:p>
    <w:p>
      <w:pPr>
        <w:pageBreakBefore w:val="0"/>
        <w:kinsoku/>
        <w:wordWrap/>
        <w:topLinePunct w:val="0"/>
        <w:bidi w:val="0"/>
        <w:spacing w:beforeAutospacing="0" w:afterAutospacing="0" w:line="400" w:lineRule="exact"/>
        <w:ind w:left="0" w:leftChars="0" w:right="0" w:rightChars="0"/>
        <w:outlineLvl w:val="9"/>
        <w:rPr>
          <w:rFonts w:ascii="宋体" w:hAnsi="宋体"/>
          <w:bCs/>
          <w:sz w:val="36"/>
          <w:szCs w:val="36"/>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28"/>
          <w:szCs w:val="28"/>
        </w:rPr>
      </w:pPr>
    </w:p>
    <w:p>
      <w:pPr>
        <w:pageBreakBefore w:val="0"/>
        <w:kinsoku/>
        <w:wordWrap/>
        <w:topLinePunct w:val="0"/>
        <w:bidi w:val="0"/>
        <w:spacing w:beforeAutospacing="0" w:afterAutospacing="0" w:line="400" w:lineRule="exact"/>
        <w:ind w:left="0" w:leftChars="0" w:right="0" w:rightChars="0"/>
        <w:outlineLvl w:val="9"/>
        <w:rPr>
          <w:rFonts w:ascii="宋体" w:hAnsi="宋体"/>
          <w:b/>
          <w:sz w:val="32"/>
          <w:szCs w:val="32"/>
        </w:rPr>
      </w:pPr>
    </w:p>
    <w:p>
      <w:pPr>
        <w:pageBreakBefore w:val="0"/>
        <w:kinsoku/>
        <w:wordWrap/>
        <w:topLinePunct w:val="0"/>
        <w:bidi w:val="0"/>
        <w:spacing w:line="400" w:lineRule="exact"/>
        <w:ind w:left="0" w:leftChars="0" w:right="0" w:rightChars="0"/>
        <w:outlineLvl w:val="9"/>
        <w:rPr>
          <w:rFonts w:hint="eastAsia" w:ascii="宋体" w:hAnsi="宋体"/>
          <w:b/>
          <w:sz w:val="32"/>
          <w:szCs w:val="32"/>
        </w:rPr>
      </w:pPr>
      <w:r>
        <w:rPr>
          <w:rFonts w:hint="eastAsia" w:ascii="宋体" w:hAnsi="宋体"/>
          <w:b/>
          <w:sz w:val="32"/>
          <w:szCs w:val="32"/>
        </w:rPr>
        <w:br w:type="page"/>
      </w:r>
    </w:p>
    <w:p>
      <w:pPr>
        <w:pageBreakBefore w:val="0"/>
        <w:kinsoku/>
        <w:wordWrap/>
        <w:topLinePunct w:val="0"/>
        <w:bidi w:val="0"/>
        <w:spacing w:beforeAutospacing="0" w:afterAutospacing="0" w:line="400" w:lineRule="exact"/>
        <w:ind w:left="0" w:leftChars="0" w:right="0" w:rightChars="0"/>
        <w:outlineLvl w:val="9"/>
        <w:rPr>
          <w:rFonts w:ascii="宋体" w:hAnsi="宋体"/>
          <w:b/>
          <w:bCs/>
          <w:sz w:val="32"/>
          <w:szCs w:val="32"/>
        </w:rPr>
      </w:pPr>
      <w:bookmarkStart w:id="106" w:name="_Toc20687"/>
      <w:r>
        <w:rPr>
          <w:rFonts w:hint="eastAsia" w:ascii="宋体" w:hAnsi="宋体"/>
          <w:b/>
          <w:sz w:val="32"/>
          <w:szCs w:val="32"/>
        </w:rPr>
        <w:t>附件11：</w:t>
      </w:r>
      <w:bookmarkEnd w:id="106"/>
    </w:p>
    <w:p>
      <w:pPr>
        <w:pageBreakBefore w:val="0"/>
        <w:kinsoku/>
        <w:wordWrap/>
        <w:topLinePunct w:val="0"/>
        <w:bidi w:val="0"/>
        <w:spacing w:beforeAutospacing="0" w:afterAutospacing="0" w:line="400" w:lineRule="exact"/>
        <w:ind w:left="0" w:leftChars="0" w:right="0" w:rightChars="0"/>
        <w:jc w:val="center"/>
        <w:outlineLvl w:val="9"/>
        <w:rPr>
          <w:rFonts w:ascii="宋体" w:hAnsi="宋体"/>
          <w:b/>
          <w:sz w:val="32"/>
          <w:szCs w:val="32"/>
        </w:rPr>
      </w:pPr>
      <w:r>
        <w:rPr>
          <w:rFonts w:ascii="宋体" w:hAnsi="宋体"/>
          <w:b/>
          <w:sz w:val="32"/>
          <w:szCs w:val="32"/>
        </w:rPr>
        <w:t>供应商反商业贿赂承诺书</w:t>
      </w:r>
    </w:p>
    <w:p>
      <w:pPr>
        <w:pageBreakBefore w:val="0"/>
        <w:kinsoku/>
        <w:wordWrap/>
        <w:topLinePunct w:val="0"/>
        <w:autoSpaceDE w:val="0"/>
        <w:autoSpaceDN w:val="0"/>
        <w:bidi w:val="0"/>
        <w:adjustRightInd w:val="0"/>
        <w:spacing w:beforeAutospacing="0" w:afterAutospacing="0" w:line="400" w:lineRule="exact"/>
        <w:ind w:left="0" w:leftChars="0" w:right="0" w:rightChars="0"/>
        <w:jc w:val="left"/>
        <w:outlineLvl w:val="9"/>
        <w:rPr>
          <w:rFonts w:ascii="宋体" w:hAnsi="宋体"/>
          <w:kern w:val="0"/>
          <w:sz w:val="24"/>
        </w:rPr>
      </w:pPr>
    </w:p>
    <w:p>
      <w:pPr>
        <w:pageBreakBefore w:val="0"/>
        <w:kinsoku/>
        <w:wordWrap/>
        <w:topLinePunct w:val="0"/>
        <w:autoSpaceDE w:val="0"/>
        <w:autoSpaceDN w:val="0"/>
        <w:bidi w:val="0"/>
        <w:adjustRightInd w:val="0"/>
        <w:spacing w:beforeAutospacing="0" w:afterAutospacing="0" w:line="400" w:lineRule="exact"/>
        <w:ind w:left="0" w:leftChars="0" w:right="0" w:rightChars="0" w:firstLine="432"/>
        <w:jc w:val="left"/>
        <w:outlineLvl w:val="9"/>
        <w:rPr>
          <w:rFonts w:hint="eastAsia" w:ascii="宋体" w:hAnsi="宋体" w:eastAsia="宋体" w:cs="Courier New"/>
          <w:b/>
          <w:bCs/>
          <w:kern w:val="0"/>
          <w:sz w:val="24"/>
          <w:szCs w:val="24"/>
          <w:lang w:eastAsia="zh-CN"/>
        </w:rPr>
      </w:pPr>
      <w:r>
        <w:rPr>
          <w:rFonts w:ascii="宋体" w:hAnsi="宋体"/>
          <w:kern w:val="0"/>
          <w:sz w:val="24"/>
          <w:szCs w:val="24"/>
        </w:rPr>
        <w:t>我公司承诺在</w:t>
      </w:r>
      <w:r>
        <w:rPr>
          <w:rFonts w:ascii="宋体" w:hAnsi="宋体"/>
          <w:kern w:val="0"/>
          <w:sz w:val="24"/>
          <w:szCs w:val="24"/>
          <w:u w:val="single"/>
        </w:rPr>
        <w:t>（项目编号、项目名称）</w:t>
      </w:r>
      <w:r>
        <w:rPr>
          <w:rFonts w:ascii="宋体" w:hAnsi="宋体"/>
          <w:kern w:val="0"/>
          <w:sz w:val="24"/>
          <w:szCs w:val="24"/>
        </w:rPr>
        <w:t>招标活动中，不给予国家工作人员以及中介机构工作人员及其亲属各种形式的商业贿（包括送礼金礼品、有价证券、购物券、回扣、佣金、咨询费、</w:t>
      </w:r>
      <w:r>
        <w:rPr>
          <w:rFonts w:hint="eastAsia" w:ascii="宋体" w:hAnsi="宋体" w:cs="Courier New"/>
          <w:kern w:val="0"/>
          <w:sz w:val="24"/>
          <w:szCs w:val="24"/>
        </w:rPr>
        <w:t>劳</w:t>
      </w:r>
      <w:r>
        <w:rPr>
          <w:rFonts w:ascii="宋体" w:hAnsi="宋体"/>
          <w:kern w:val="0"/>
          <w:sz w:val="24"/>
          <w:szCs w:val="24"/>
        </w:rPr>
        <w:t>务费、赞助费、宣传费、支付旅游费用、报销各种消费凭证、宴请、娱乐等），如有上述行为，我公司及项目参与人员愿意按照《反不正当竞争法》的有关规定接受处罚</w:t>
      </w:r>
      <w:r>
        <w:rPr>
          <w:rFonts w:hint="eastAsia" w:ascii="宋体" w:hAnsi="宋体"/>
          <w:kern w:val="0"/>
          <w:sz w:val="24"/>
          <w:szCs w:val="24"/>
          <w:lang w:eastAsia="zh-CN"/>
        </w:rPr>
        <w:t>。</w:t>
      </w:r>
    </w:p>
    <w:p>
      <w:pPr>
        <w:pageBreakBefore w:val="0"/>
        <w:kinsoku/>
        <w:wordWrap/>
        <w:topLinePunct w:val="0"/>
        <w:autoSpaceDE w:val="0"/>
        <w:autoSpaceDN w:val="0"/>
        <w:bidi w:val="0"/>
        <w:adjustRightInd w:val="0"/>
        <w:spacing w:beforeAutospacing="0" w:afterAutospacing="0" w:line="400" w:lineRule="exact"/>
        <w:ind w:left="0" w:leftChars="0" w:right="0" w:rightChars="0"/>
        <w:jc w:val="left"/>
        <w:outlineLvl w:val="9"/>
        <w:rPr>
          <w:rFonts w:ascii="宋体" w:hAnsi="宋体"/>
          <w:kern w:val="0"/>
          <w:sz w:val="24"/>
          <w:szCs w:val="24"/>
        </w:rPr>
      </w:pPr>
    </w:p>
    <w:p>
      <w:pPr>
        <w:pageBreakBefore w:val="0"/>
        <w:kinsoku/>
        <w:wordWrap/>
        <w:topLinePunct w:val="0"/>
        <w:autoSpaceDE w:val="0"/>
        <w:autoSpaceDN w:val="0"/>
        <w:bidi w:val="0"/>
        <w:adjustRightInd w:val="0"/>
        <w:spacing w:beforeAutospacing="0" w:afterAutospacing="0" w:line="400" w:lineRule="exact"/>
        <w:ind w:left="0" w:leftChars="0" w:right="0" w:rightChars="0" w:firstLine="897"/>
        <w:jc w:val="left"/>
        <w:outlineLvl w:val="9"/>
        <w:rPr>
          <w:rFonts w:ascii="宋体" w:hAnsi="宋体" w:cs="Courier New"/>
          <w:b/>
          <w:bCs/>
          <w:kern w:val="0"/>
          <w:sz w:val="24"/>
          <w:szCs w:val="24"/>
        </w:rPr>
      </w:pPr>
      <w:r>
        <w:rPr>
          <w:rFonts w:ascii="宋体" w:hAnsi="宋体"/>
          <w:kern w:val="0"/>
          <w:sz w:val="24"/>
          <w:szCs w:val="24"/>
        </w:rPr>
        <w:t>法定代表人：</w:t>
      </w:r>
    </w:p>
    <w:p>
      <w:pPr>
        <w:pageBreakBefore w:val="0"/>
        <w:kinsoku/>
        <w:wordWrap/>
        <w:topLinePunct w:val="0"/>
        <w:autoSpaceDE w:val="0"/>
        <w:autoSpaceDN w:val="0"/>
        <w:bidi w:val="0"/>
        <w:adjustRightInd w:val="0"/>
        <w:spacing w:beforeAutospacing="0" w:afterAutospacing="0" w:line="400" w:lineRule="exact"/>
        <w:ind w:left="0" w:leftChars="0" w:right="0" w:rightChars="0" w:firstLine="897"/>
        <w:jc w:val="left"/>
        <w:outlineLvl w:val="9"/>
        <w:rPr>
          <w:rFonts w:ascii="宋体" w:hAnsi="宋体" w:cs="Courier New"/>
          <w:b/>
          <w:bCs/>
          <w:kern w:val="0"/>
          <w:sz w:val="24"/>
          <w:szCs w:val="24"/>
        </w:rPr>
      </w:pPr>
      <w:r>
        <w:rPr>
          <w:rFonts w:ascii="宋体" w:hAnsi="宋体"/>
          <w:kern w:val="0"/>
          <w:sz w:val="24"/>
          <w:szCs w:val="24"/>
        </w:rPr>
        <w:t>法人授权代表：</w:t>
      </w:r>
    </w:p>
    <w:p>
      <w:pPr>
        <w:pageBreakBefore w:val="0"/>
        <w:kinsoku/>
        <w:wordWrap/>
        <w:topLinePunct w:val="0"/>
        <w:autoSpaceDE w:val="0"/>
        <w:autoSpaceDN w:val="0"/>
        <w:bidi w:val="0"/>
        <w:adjustRightInd w:val="0"/>
        <w:spacing w:beforeAutospacing="0" w:afterAutospacing="0" w:line="400" w:lineRule="exact"/>
        <w:ind w:left="0" w:leftChars="0" w:right="0" w:rightChars="0" w:firstLine="897"/>
        <w:jc w:val="left"/>
        <w:outlineLvl w:val="9"/>
        <w:rPr>
          <w:rFonts w:ascii="宋体" w:hAnsi="宋体" w:cs="Courier New"/>
          <w:b/>
          <w:bCs/>
          <w:kern w:val="0"/>
          <w:sz w:val="24"/>
          <w:szCs w:val="24"/>
        </w:rPr>
      </w:pPr>
      <w:r>
        <w:rPr>
          <w:rFonts w:ascii="宋体" w:hAnsi="宋体"/>
          <w:kern w:val="0"/>
          <w:sz w:val="24"/>
          <w:szCs w:val="24"/>
        </w:rPr>
        <w:t>项目经办人：</w:t>
      </w:r>
    </w:p>
    <w:p>
      <w:pPr>
        <w:pageBreakBefore w:val="0"/>
        <w:kinsoku/>
        <w:wordWrap/>
        <w:topLinePunct w:val="0"/>
        <w:autoSpaceDE w:val="0"/>
        <w:autoSpaceDN w:val="0"/>
        <w:bidi w:val="0"/>
        <w:adjustRightInd w:val="0"/>
        <w:spacing w:beforeAutospacing="0" w:afterAutospacing="0" w:line="400" w:lineRule="exact"/>
        <w:ind w:left="0" w:leftChars="0" w:right="0" w:rightChars="0"/>
        <w:jc w:val="left"/>
        <w:outlineLvl w:val="9"/>
        <w:rPr>
          <w:rFonts w:ascii="宋体" w:hAnsi="宋体"/>
          <w:kern w:val="0"/>
          <w:sz w:val="24"/>
          <w:szCs w:val="24"/>
        </w:rPr>
      </w:pPr>
    </w:p>
    <w:p>
      <w:pPr>
        <w:pageBreakBefore w:val="0"/>
        <w:kinsoku/>
        <w:wordWrap/>
        <w:topLinePunct w:val="0"/>
        <w:autoSpaceDE w:val="0"/>
        <w:autoSpaceDN w:val="0"/>
        <w:bidi w:val="0"/>
        <w:adjustRightInd w:val="0"/>
        <w:spacing w:beforeAutospacing="0" w:afterAutospacing="0" w:line="400" w:lineRule="exact"/>
        <w:ind w:left="0" w:leftChars="0" w:right="0" w:rightChars="0" w:firstLine="480"/>
        <w:jc w:val="left"/>
        <w:outlineLvl w:val="9"/>
        <w:rPr>
          <w:rFonts w:ascii="宋体" w:hAnsi="宋体" w:cs="Courier New"/>
          <w:b/>
          <w:bCs/>
          <w:kern w:val="0"/>
          <w:sz w:val="24"/>
          <w:szCs w:val="24"/>
        </w:rPr>
      </w:pPr>
      <w:r>
        <w:rPr>
          <w:rFonts w:ascii="宋体" w:hAnsi="宋体"/>
          <w:kern w:val="0"/>
          <w:sz w:val="24"/>
          <w:szCs w:val="24"/>
        </w:rPr>
        <w:t>我公司承诺在参加本次投标前三年内，无以下行为：</w:t>
      </w:r>
    </w:p>
    <w:p>
      <w:pPr>
        <w:pageBreakBefore w:val="0"/>
        <w:kinsoku/>
        <w:wordWrap/>
        <w:topLinePunct w:val="0"/>
        <w:autoSpaceDE w:val="0"/>
        <w:autoSpaceDN w:val="0"/>
        <w:bidi w:val="0"/>
        <w:adjustRightInd w:val="0"/>
        <w:spacing w:beforeAutospacing="0" w:afterAutospacing="0" w:line="400" w:lineRule="exact"/>
        <w:ind w:left="0" w:leftChars="0" w:right="0" w:rightChars="0" w:firstLine="480"/>
        <w:jc w:val="left"/>
        <w:outlineLvl w:val="9"/>
        <w:rPr>
          <w:rFonts w:ascii="宋体" w:hAnsi="宋体" w:cs="Courier New"/>
          <w:b/>
          <w:bCs/>
          <w:kern w:val="0"/>
          <w:sz w:val="24"/>
          <w:szCs w:val="24"/>
        </w:rPr>
      </w:pPr>
      <w:r>
        <w:rPr>
          <w:rFonts w:ascii="宋体" w:hAnsi="宋体"/>
          <w:kern w:val="0"/>
          <w:sz w:val="24"/>
          <w:szCs w:val="24"/>
        </w:rPr>
        <w:t>重大违法行为；</w:t>
      </w:r>
    </w:p>
    <w:p>
      <w:pPr>
        <w:pageBreakBefore w:val="0"/>
        <w:kinsoku/>
        <w:wordWrap/>
        <w:topLinePunct w:val="0"/>
        <w:autoSpaceDE w:val="0"/>
        <w:autoSpaceDN w:val="0"/>
        <w:bidi w:val="0"/>
        <w:adjustRightInd w:val="0"/>
        <w:spacing w:beforeAutospacing="0" w:afterAutospacing="0" w:line="400" w:lineRule="exact"/>
        <w:ind w:left="0" w:leftChars="0" w:right="0" w:rightChars="0" w:firstLine="480"/>
        <w:jc w:val="left"/>
        <w:outlineLvl w:val="9"/>
        <w:rPr>
          <w:rFonts w:ascii="宋体" w:hAnsi="宋体" w:cs="Courier New"/>
          <w:b/>
          <w:bCs/>
          <w:kern w:val="0"/>
          <w:sz w:val="24"/>
          <w:szCs w:val="24"/>
        </w:rPr>
      </w:pPr>
      <w:r>
        <w:rPr>
          <w:rFonts w:ascii="宋体" w:hAnsi="宋体"/>
          <w:kern w:val="0"/>
          <w:sz w:val="24"/>
          <w:szCs w:val="24"/>
        </w:rPr>
        <w:t>商业贿行为；</w:t>
      </w:r>
    </w:p>
    <w:p>
      <w:pPr>
        <w:pageBreakBefore w:val="0"/>
        <w:kinsoku/>
        <w:wordWrap/>
        <w:topLinePunct w:val="0"/>
        <w:autoSpaceDE w:val="0"/>
        <w:autoSpaceDN w:val="0"/>
        <w:bidi w:val="0"/>
        <w:adjustRightInd w:val="0"/>
        <w:spacing w:beforeAutospacing="0" w:afterAutospacing="0" w:line="400" w:lineRule="exact"/>
        <w:ind w:left="0" w:leftChars="0" w:right="0" w:rightChars="0" w:firstLine="480"/>
        <w:jc w:val="left"/>
        <w:outlineLvl w:val="9"/>
        <w:rPr>
          <w:rFonts w:ascii="宋体" w:hAnsi="宋体" w:cs="Courier New"/>
          <w:b/>
          <w:bCs/>
          <w:kern w:val="0"/>
          <w:sz w:val="24"/>
          <w:szCs w:val="24"/>
        </w:rPr>
      </w:pPr>
      <w:r>
        <w:rPr>
          <w:rFonts w:ascii="宋体" w:hAnsi="宋体"/>
          <w:kern w:val="0"/>
          <w:sz w:val="24"/>
          <w:szCs w:val="24"/>
        </w:rPr>
        <w:t>政府采购法《第七十七条》，列入不良行为记录名单的各种行为；</w:t>
      </w:r>
    </w:p>
    <w:p>
      <w:pPr>
        <w:pageBreakBefore w:val="0"/>
        <w:kinsoku/>
        <w:wordWrap/>
        <w:topLinePunct w:val="0"/>
        <w:autoSpaceDE w:val="0"/>
        <w:autoSpaceDN w:val="0"/>
        <w:bidi w:val="0"/>
        <w:adjustRightInd w:val="0"/>
        <w:spacing w:beforeAutospacing="0" w:afterAutospacing="0" w:line="400" w:lineRule="exact"/>
        <w:ind w:left="0" w:leftChars="0" w:right="0" w:rightChars="0"/>
        <w:jc w:val="left"/>
        <w:outlineLvl w:val="9"/>
        <w:rPr>
          <w:rFonts w:ascii="宋体" w:hAnsi="宋体"/>
          <w:kern w:val="0"/>
          <w:sz w:val="24"/>
          <w:szCs w:val="24"/>
        </w:rPr>
      </w:pPr>
    </w:p>
    <w:p>
      <w:pPr>
        <w:pageBreakBefore w:val="0"/>
        <w:kinsoku/>
        <w:wordWrap/>
        <w:topLinePunct w:val="0"/>
        <w:autoSpaceDE w:val="0"/>
        <w:autoSpaceDN w:val="0"/>
        <w:bidi w:val="0"/>
        <w:adjustRightInd w:val="0"/>
        <w:spacing w:beforeAutospacing="0" w:afterAutospacing="0" w:line="400" w:lineRule="exact"/>
        <w:ind w:left="0" w:leftChars="0" w:right="0" w:rightChars="0"/>
        <w:jc w:val="left"/>
        <w:outlineLvl w:val="9"/>
        <w:rPr>
          <w:rFonts w:ascii="宋体" w:hAnsi="宋体" w:cs="Courier New"/>
          <w:b/>
          <w:bCs/>
          <w:kern w:val="0"/>
          <w:sz w:val="24"/>
          <w:szCs w:val="24"/>
        </w:rPr>
      </w:pPr>
      <w:r>
        <w:rPr>
          <w:rFonts w:ascii="宋体" w:hAnsi="宋体"/>
          <w:kern w:val="0"/>
          <w:sz w:val="24"/>
          <w:szCs w:val="24"/>
        </w:rPr>
        <w:t>如有上述行为，我公司及项目参与人员自愿放弃本次项目的投标、报价资格，若为预中标、成交人，也自愿放弃中标、成交资格</w:t>
      </w:r>
    </w:p>
    <w:p>
      <w:pPr>
        <w:pageBreakBefore w:val="0"/>
        <w:kinsoku/>
        <w:wordWrap/>
        <w:topLinePunct w:val="0"/>
        <w:autoSpaceDE w:val="0"/>
        <w:autoSpaceDN w:val="0"/>
        <w:bidi w:val="0"/>
        <w:adjustRightInd w:val="0"/>
        <w:spacing w:beforeAutospacing="0" w:afterAutospacing="0" w:line="400" w:lineRule="exact"/>
        <w:ind w:left="0" w:leftChars="0" w:right="0" w:rightChars="0" w:firstLine="480"/>
        <w:jc w:val="left"/>
        <w:outlineLvl w:val="9"/>
        <w:rPr>
          <w:rFonts w:ascii="宋体" w:hAnsi="宋体" w:cs="Courier New"/>
          <w:b/>
          <w:bCs/>
          <w:kern w:val="0"/>
          <w:sz w:val="24"/>
          <w:szCs w:val="24"/>
        </w:rPr>
      </w:pPr>
    </w:p>
    <w:p>
      <w:pPr>
        <w:pageBreakBefore w:val="0"/>
        <w:kinsoku/>
        <w:wordWrap/>
        <w:topLinePunct w:val="0"/>
        <w:bidi w:val="0"/>
        <w:spacing w:beforeAutospacing="0" w:afterAutospacing="0" w:line="400" w:lineRule="exact"/>
        <w:ind w:left="0" w:leftChars="0" w:right="0" w:rightChars="0"/>
        <w:outlineLvl w:val="9"/>
        <w:rPr>
          <w:rFonts w:ascii="宋体" w:hAnsi="宋体"/>
          <w:sz w:val="24"/>
          <w:szCs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磋商供应商名称（公章）：</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color w:val="000000"/>
          <w:sz w:val="24"/>
        </w:rPr>
        <w:t>法定代表人（签字）：</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u w:val="single"/>
        </w:rPr>
      </w:pPr>
      <w:r>
        <w:rPr>
          <w:rFonts w:hint="eastAsia" w:ascii="宋体" w:hAnsi="宋体"/>
          <w:bCs/>
          <w:color w:val="000000"/>
          <w:sz w:val="24"/>
        </w:rPr>
        <w:t>日期：  年   月   日</w:t>
      </w:r>
    </w:p>
    <w:p>
      <w:pPr>
        <w:pageBreakBefore w:val="0"/>
        <w:kinsoku/>
        <w:wordWrap/>
        <w:topLinePunct w:val="0"/>
        <w:bidi w:val="0"/>
        <w:spacing w:beforeAutospacing="0" w:afterAutospacing="0" w:line="400" w:lineRule="exact"/>
        <w:ind w:left="0" w:leftChars="0" w:right="0" w:rightChars="0"/>
        <w:outlineLvl w:val="9"/>
        <w:rPr>
          <w:rFonts w:ascii="Arial" w:hAnsi="Arial" w:cs="Arial"/>
          <w:sz w:val="24"/>
        </w:rPr>
      </w:pPr>
    </w:p>
    <w:p>
      <w:pPr>
        <w:pageBreakBefore w:val="0"/>
        <w:kinsoku/>
        <w:wordWrap/>
        <w:topLinePunct w:val="0"/>
        <w:bidi w:val="0"/>
        <w:spacing w:beforeAutospacing="0" w:afterAutospacing="0" w:line="400" w:lineRule="exact"/>
        <w:ind w:left="0" w:leftChars="0" w:right="0" w:rightChars="0"/>
        <w:outlineLvl w:val="9"/>
        <w:rPr>
          <w:rFonts w:ascii="Arial" w:hAnsi="Arial" w:cs="Arial"/>
          <w:sz w:val="24"/>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8"/>
          <w:szCs w:val="28"/>
        </w:rPr>
      </w:pPr>
    </w:p>
    <w:p>
      <w:pPr>
        <w:pageBreakBefore w:val="0"/>
        <w:kinsoku/>
        <w:wordWrap/>
        <w:topLinePunct w:val="0"/>
        <w:bidi w:val="0"/>
        <w:spacing w:line="400" w:lineRule="exact"/>
        <w:ind w:left="0" w:leftChars="0" w:right="0" w:rightChars="0"/>
        <w:outlineLvl w:val="9"/>
        <w:rPr>
          <w:rFonts w:hint="eastAsia" w:ascii="宋体" w:hAnsi="宋体"/>
          <w:b/>
          <w:sz w:val="32"/>
          <w:szCs w:val="32"/>
        </w:rPr>
      </w:pPr>
      <w:r>
        <w:rPr>
          <w:rFonts w:hint="eastAsia" w:ascii="宋体" w:hAnsi="宋体"/>
          <w:b/>
          <w:sz w:val="32"/>
          <w:szCs w:val="32"/>
        </w:rPr>
        <w:br w:type="page"/>
      </w:r>
    </w:p>
    <w:p>
      <w:pPr>
        <w:pageBreakBefore w:val="0"/>
        <w:widowControl/>
        <w:kinsoku/>
        <w:wordWrap/>
        <w:topLinePunct w:val="0"/>
        <w:bidi w:val="0"/>
        <w:spacing w:beforeAutospacing="0" w:afterAutospacing="0" w:line="400" w:lineRule="exact"/>
        <w:ind w:left="0" w:leftChars="0" w:right="0" w:rightChars="0"/>
        <w:outlineLvl w:val="9"/>
        <w:rPr>
          <w:rFonts w:ascii="宋体" w:hAnsi="宋体"/>
          <w:b/>
          <w:sz w:val="30"/>
          <w:szCs w:val="30"/>
        </w:rPr>
      </w:pPr>
      <w:bookmarkStart w:id="107" w:name="_Toc22028"/>
      <w:r>
        <w:rPr>
          <w:rFonts w:hint="eastAsia" w:ascii="宋体" w:hAnsi="宋体"/>
          <w:b/>
          <w:sz w:val="32"/>
          <w:szCs w:val="32"/>
        </w:rPr>
        <w:t>附件12：</w:t>
      </w:r>
      <w:bookmarkEnd w:id="107"/>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cs="宋体"/>
          <w:color w:val="000000"/>
          <w:kern w:val="0"/>
          <w:sz w:val="24"/>
          <w:szCs w:val="24"/>
        </w:rPr>
      </w:pPr>
      <w:r>
        <w:rPr>
          <w:rFonts w:hint="eastAsia" w:ascii="宋体" w:hAnsi="宋体" w:cs="宋体"/>
          <w:b/>
          <w:bCs/>
          <w:color w:val="000000"/>
          <w:kern w:val="0"/>
          <w:sz w:val="36"/>
          <w:szCs w:val="36"/>
        </w:rPr>
        <w:t>中小企业声明函</w:t>
      </w:r>
    </w:p>
    <w:p>
      <w:pPr>
        <w:pageBreakBefore w:val="0"/>
        <w:widowControl/>
        <w:kinsoku/>
        <w:wordWrap/>
        <w:topLinePunct w:val="0"/>
        <w:bidi w:val="0"/>
        <w:spacing w:beforeAutospacing="0" w:afterAutospacing="0" w:line="400" w:lineRule="exact"/>
        <w:ind w:left="0" w:leftChars="0" w:right="0" w:rightChars="0"/>
        <w:jc w:val="left"/>
        <w:outlineLvl w:val="9"/>
        <w:rPr>
          <w:rFonts w:ascii="宋体" w:hAnsi="宋体" w:cs="宋体"/>
          <w:color w:val="000000"/>
          <w:kern w:val="0"/>
          <w:sz w:val="24"/>
          <w:szCs w:val="24"/>
        </w:rPr>
      </w:pP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rFonts w:ascii="宋体" w:hAnsi="宋体" w:cs="宋体"/>
          <w:sz w:val="24"/>
          <w:szCs w:val="24"/>
        </w:rPr>
      </w:pPr>
      <w:r>
        <w:rPr>
          <w:rFonts w:hint="eastAsia" w:ascii="宋体" w:hAnsi="宋体" w:cs="宋体"/>
          <w:color w:val="000000"/>
          <w:kern w:val="0"/>
          <w:sz w:val="24"/>
          <w:szCs w:val="24"/>
        </w:rPr>
        <w:t>本公司（联合体）郑重声明，根据《政府采购促进中小企业发展管理办法》（财库﹝2020﹞46 号）的规定，本公司（联合体）参加</w:t>
      </w:r>
      <w:r>
        <w:rPr>
          <w:rFonts w:hint="eastAsia" w:ascii="宋体" w:hAnsi="宋体" w:cs="宋体"/>
          <w:color w:val="000000"/>
          <w:kern w:val="0"/>
          <w:sz w:val="24"/>
          <w:szCs w:val="24"/>
          <w:u w:val="single"/>
        </w:rPr>
        <w:t>（单位名称）</w:t>
      </w:r>
      <w:r>
        <w:rPr>
          <w:rFonts w:hint="eastAsia" w:ascii="宋体" w:hAnsi="宋体" w:cs="宋体"/>
          <w:color w:val="000000"/>
          <w:kern w:val="0"/>
          <w:sz w:val="24"/>
          <w:szCs w:val="24"/>
        </w:rPr>
        <w:t>的</w:t>
      </w:r>
      <w:r>
        <w:rPr>
          <w:rFonts w:hint="eastAsia" w:ascii="宋体" w:hAnsi="宋体" w:cs="宋体"/>
          <w:color w:val="000000"/>
          <w:kern w:val="0"/>
          <w:sz w:val="24"/>
          <w:szCs w:val="24"/>
          <w:u w:val="single"/>
        </w:rPr>
        <w:t>（项目名称）</w:t>
      </w:r>
      <w:r>
        <w:rPr>
          <w:rFonts w:hint="eastAsia" w:ascii="宋体" w:hAnsi="宋体" w:cs="宋体"/>
          <w:color w:val="000000"/>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rFonts w:ascii="宋体" w:hAnsi="宋体" w:cs="宋体"/>
          <w:sz w:val="24"/>
          <w:szCs w:val="24"/>
        </w:rPr>
      </w:pPr>
      <w:r>
        <w:rPr>
          <w:rFonts w:hint="eastAsia" w:ascii="宋体" w:hAnsi="宋体" w:cs="宋体"/>
          <w:color w:val="000000"/>
          <w:kern w:val="0"/>
          <w:sz w:val="24"/>
          <w:szCs w:val="24"/>
        </w:rPr>
        <w:t xml:space="preserve">1. </w:t>
      </w:r>
      <w:r>
        <w:rPr>
          <w:rFonts w:hint="eastAsia" w:ascii="宋体" w:hAnsi="宋体" w:cs="宋体"/>
          <w:color w:val="000000"/>
          <w:kern w:val="0"/>
          <w:sz w:val="24"/>
          <w:szCs w:val="24"/>
          <w:u w:val="single"/>
        </w:rPr>
        <w:t>（标的名称）</w:t>
      </w:r>
      <w:r>
        <w:rPr>
          <w:rFonts w:hint="eastAsia" w:ascii="宋体" w:hAnsi="宋体" w:cs="宋体"/>
          <w:color w:val="000000"/>
          <w:kern w:val="0"/>
          <w:sz w:val="24"/>
          <w:szCs w:val="24"/>
        </w:rPr>
        <w:t xml:space="preserve"> ，属于</w:t>
      </w:r>
      <w:r>
        <w:rPr>
          <w:rFonts w:hint="eastAsia" w:ascii="宋体" w:hAnsi="宋体" w:cs="宋体"/>
          <w:color w:val="000000"/>
          <w:kern w:val="0"/>
          <w:sz w:val="24"/>
          <w:szCs w:val="24"/>
          <w:u w:val="single"/>
        </w:rPr>
        <w:t>（采购文件中明确的所属行业）</w:t>
      </w:r>
      <w:r>
        <w:rPr>
          <w:rFonts w:hint="eastAsia" w:ascii="宋体" w:hAnsi="宋体" w:cs="宋体"/>
          <w:color w:val="000000"/>
          <w:kern w:val="0"/>
          <w:sz w:val="24"/>
          <w:szCs w:val="24"/>
        </w:rPr>
        <w:t>；承建（承接）企业为</w:t>
      </w:r>
      <w:r>
        <w:rPr>
          <w:rFonts w:hint="eastAsia" w:ascii="宋体" w:hAnsi="宋体" w:cs="宋体"/>
          <w:color w:val="000000"/>
          <w:kern w:val="0"/>
          <w:sz w:val="24"/>
          <w:szCs w:val="24"/>
          <w:u w:val="single"/>
        </w:rPr>
        <w:t>（企业名称）</w:t>
      </w:r>
      <w:r>
        <w:rPr>
          <w:rFonts w:hint="eastAsia" w:ascii="宋体" w:hAnsi="宋体" w:cs="宋体"/>
          <w:color w:val="000000"/>
          <w:kern w:val="0"/>
          <w:sz w:val="24"/>
          <w:szCs w:val="24"/>
        </w:rPr>
        <w:t>，从业人员人，营业收入为万元，资产总额为万元，属于</w:t>
      </w:r>
      <w:r>
        <w:rPr>
          <w:rFonts w:hint="eastAsia" w:ascii="宋体" w:hAnsi="宋体" w:cs="宋体"/>
          <w:color w:val="000000"/>
          <w:kern w:val="0"/>
          <w:sz w:val="24"/>
          <w:szCs w:val="24"/>
          <w:u w:val="single"/>
        </w:rPr>
        <w:t>（中型企业、小型企业、微型企业）</w:t>
      </w:r>
      <w:r>
        <w:rPr>
          <w:rFonts w:hint="eastAsia" w:ascii="宋体" w:hAnsi="宋体" w:cs="宋体"/>
          <w:color w:val="000000"/>
          <w:kern w:val="0"/>
          <w:sz w:val="24"/>
          <w:szCs w:val="24"/>
        </w:rPr>
        <w:t xml:space="preserve">； </w:t>
      </w: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rFonts w:ascii="宋体" w:hAnsi="宋体" w:cs="宋体"/>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u w:val="single"/>
        </w:rPr>
        <w:t xml:space="preserve"> （标的名称）</w:t>
      </w:r>
      <w:r>
        <w:rPr>
          <w:rFonts w:hint="eastAsia" w:ascii="宋体" w:hAnsi="宋体" w:cs="宋体"/>
          <w:color w:val="000000"/>
          <w:kern w:val="0"/>
          <w:sz w:val="24"/>
          <w:szCs w:val="24"/>
        </w:rPr>
        <w:t xml:space="preserve"> ，属于</w:t>
      </w:r>
      <w:r>
        <w:rPr>
          <w:rFonts w:hint="eastAsia" w:ascii="宋体" w:hAnsi="宋体" w:cs="宋体"/>
          <w:color w:val="000000"/>
          <w:kern w:val="0"/>
          <w:sz w:val="24"/>
          <w:szCs w:val="24"/>
          <w:u w:val="single"/>
        </w:rPr>
        <w:t>（采购文件中明确的所属行业）</w:t>
      </w:r>
      <w:r>
        <w:rPr>
          <w:rFonts w:hint="eastAsia" w:ascii="宋体" w:hAnsi="宋体" w:cs="宋体"/>
          <w:color w:val="000000"/>
          <w:kern w:val="0"/>
          <w:sz w:val="24"/>
          <w:szCs w:val="24"/>
        </w:rPr>
        <w:t>；承建（承接）企业为</w:t>
      </w:r>
      <w:r>
        <w:rPr>
          <w:rFonts w:hint="eastAsia" w:ascii="宋体" w:hAnsi="宋体" w:cs="宋体"/>
          <w:color w:val="000000"/>
          <w:kern w:val="0"/>
          <w:sz w:val="24"/>
          <w:szCs w:val="24"/>
          <w:u w:val="single"/>
        </w:rPr>
        <w:t>（企业名称）</w:t>
      </w:r>
      <w:r>
        <w:rPr>
          <w:rFonts w:hint="eastAsia" w:ascii="宋体" w:hAnsi="宋体" w:cs="宋体"/>
          <w:color w:val="000000"/>
          <w:kern w:val="0"/>
          <w:sz w:val="24"/>
          <w:szCs w:val="24"/>
        </w:rPr>
        <w:t>，从业人员人，营业收入为万元，资产总额为万元，属于</w:t>
      </w:r>
      <w:r>
        <w:rPr>
          <w:rFonts w:hint="eastAsia" w:ascii="宋体" w:hAnsi="宋体" w:cs="宋体"/>
          <w:color w:val="000000"/>
          <w:kern w:val="0"/>
          <w:sz w:val="24"/>
          <w:szCs w:val="24"/>
          <w:u w:val="single"/>
        </w:rPr>
        <w:t>（中型企业、小型企业、微型企业）</w:t>
      </w:r>
      <w:r>
        <w:rPr>
          <w:rFonts w:hint="eastAsia" w:ascii="宋体" w:hAnsi="宋体" w:cs="宋体"/>
          <w:color w:val="000000"/>
          <w:kern w:val="0"/>
          <w:sz w:val="24"/>
          <w:szCs w:val="24"/>
        </w:rPr>
        <w:t xml:space="preserve">； </w:t>
      </w: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rFonts w:ascii="宋体" w:hAnsi="宋体" w:cs="宋体"/>
          <w:sz w:val="24"/>
          <w:szCs w:val="24"/>
        </w:rPr>
      </w:pPr>
      <w:r>
        <w:rPr>
          <w:rFonts w:hint="eastAsia" w:ascii="宋体" w:hAnsi="宋体" w:cs="宋体"/>
          <w:color w:val="000000"/>
          <w:kern w:val="0"/>
          <w:sz w:val="24"/>
          <w:szCs w:val="24"/>
        </w:rPr>
        <w:t>……</w:t>
      </w: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rFonts w:ascii="宋体" w:hAnsi="宋体" w:cs="宋体"/>
          <w:sz w:val="24"/>
          <w:szCs w:val="24"/>
        </w:rPr>
      </w:pPr>
      <w:r>
        <w:rPr>
          <w:rFonts w:hint="eastAsia" w:ascii="宋体" w:hAnsi="宋体" w:cs="宋体"/>
          <w:color w:val="000000"/>
          <w:kern w:val="0"/>
          <w:sz w:val="24"/>
          <w:szCs w:val="24"/>
        </w:rPr>
        <w:t>以上企业，不属于大企业的分支机构，不存在控股股东为大企业的情形，也不存在与大企业的负责人为同一人的情形。</w:t>
      </w: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rFonts w:ascii="宋体" w:hAnsi="宋体" w:cs="宋体"/>
          <w:sz w:val="24"/>
          <w:szCs w:val="24"/>
        </w:rPr>
      </w:pPr>
      <w:r>
        <w:rPr>
          <w:rFonts w:hint="eastAsia" w:ascii="宋体" w:hAnsi="宋体" w:cs="宋体"/>
          <w:color w:val="000000"/>
          <w:kern w:val="0"/>
          <w:sz w:val="24"/>
          <w:szCs w:val="24"/>
        </w:rPr>
        <w:t xml:space="preserve">本企业对上述声明内容的真实性负责。如有虚假，将依法承担相应责任。 </w:t>
      </w:r>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cs="宋体"/>
          <w:color w:val="000000"/>
          <w:kern w:val="0"/>
          <w:sz w:val="24"/>
          <w:szCs w:val="24"/>
        </w:rPr>
      </w:pPr>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cs="宋体"/>
          <w:color w:val="000000"/>
          <w:kern w:val="0"/>
          <w:sz w:val="24"/>
          <w:szCs w:val="24"/>
        </w:rPr>
      </w:pPr>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cs="宋体"/>
          <w:sz w:val="24"/>
          <w:szCs w:val="24"/>
        </w:rPr>
      </w:pPr>
      <w:r>
        <w:rPr>
          <w:rFonts w:hint="eastAsia" w:ascii="宋体" w:hAnsi="宋体" w:cs="宋体"/>
          <w:color w:val="000000"/>
          <w:kern w:val="0"/>
          <w:sz w:val="24"/>
          <w:szCs w:val="24"/>
        </w:rPr>
        <w:t>企业名称（盖章）：</w:t>
      </w:r>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cs="宋体"/>
          <w:sz w:val="24"/>
          <w:szCs w:val="24"/>
        </w:rPr>
      </w:pPr>
      <w:r>
        <w:rPr>
          <w:rFonts w:hint="eastAsia" w:ascii="宋体" w:hAnsi="宋体" w:cs="宋体"/>
          <w:color w:val="000000"/>
          <w:kern w:val="0"/>
          <w:sz w:val="24"/>
          <w:szCs w:val="24"/>
        </w:rPr>
        <w:t>日 期：</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4"/>
          <w:szCs w:val="24"/>
        </w:rPr>
      </w:pPr>
    </w:p>
    <w:p>
      <w:pPr>
        <w:pageBreakBefore w:val="0"/>
        <w:widowControl/>
        <w:kinsoku/>
        <w:wordWrap/>
        <w:topLinePunct w:val="0"/>
        <w:bidi w:val="0"/>
        <w:spacing w:beforeAutospacing="0" w:afterAutospacing="0" w:line="400" w:lineRule="exact"/>
        <w:ind w:left="0" w:leftChars="0" w:right="0" w:rightChars="0" w:firstLine="480" w:firstLineChars="200"/>
        <w:jc w:val="left"/>
        <w:outlineLvl w:val="9"/>
        <w:rPr>
          <w:sz w:val="24"/>
          <w:szCs w:val="24"/>
        </w:rPr>
      </w:pPr>
      <w:r>
        <w:rPr>
          <w:rFonts w:hint="eastAsia" w:ascii="宋体" w:hAnsi="宋体" w:cs="宋体"/>
          <w:color w:val="000000"/>
          <w:kern w:val="0"/>
          <w:sz w:val="24"/>
          <w:szCs w:val="24"/>
        </w:rPr>
        <w:t>从业人员、营业收入、资产总额填报上一年度数据，无上一年度数据的新成立企业可不填报。</w:t>
      </w: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8"/>
          <w:szCs w:val="28"/>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8"/>
          <w:szCs w:val="28"/>
        </w:rPr>
      </w:pPr>
    </w:p>
    <w:p>
      <w:pPr>
        <w:pageBreakBefore w:val="0"/>
        <w:kinsoku/>
        <w:wordWrap/>
        <w:topLinePunct w:val="0"/>
        <w:bidi w:val="0"/>
        <w:spacing w:beforeAutospacing="0" w:afterAutospacing="0" w:line="400" w:lineRule="exact"/>
        <w:ind w:left="0" w:leftChars="0" w:right="0" w:rightChars="0"/>
        <w:outlineLvl w:val="9"/>
        <w:rPr>
          <w:rFonts w:ascii="宋体" w:hAnsi="宋体"/>
          <w:color w:val="000000"/>
          <w:sz w:val="28"/>
          <w:szCs w:val="28"/>
        </w:rPr>
      </w:pPr>
    </w:p>
    <w:p>
      <w:pPr>
        <w:pageBreakBefore w:val="0"/>
        <w:kinsoku/>
        <w:wordWrap/>
        <w:topLinePunct w:val="0"/>
        <w:bidi w:val="0"/>
        <w:spacing w:line="400" w:lineRule="exact"/>
        <w:ind w:left="0" w:leftChars="0" w:right="0" w:rightChars="0"/>
        <w:outlineLvl w:val="9"/>
        <w:rPr>
          <w:rFonts w:hint="eastAsia" w:ascii="宋体" w:hAnsi="宋体"/>
          <w:b/>
          <w:sz w:val="32"/>
          <w:szCs w:val="32"/>
        </w:rPr>
      </w:pPr>
      <w:r>
        <w:rPr>
          <w:rFonts w:hint="eastAsia" w:ascii="宋体" w:hAnsi="宋体"/>
          <w:b/>
          <w:sz w:val="32"/>
          <w:szCs w:val="32"/>
        </w:rPr>
        <w:br w:type="page"/>
      </w:r>
    </w:p>
    <w:p>
      <w:pPr>
        <w:pageBreakBefore w:val="0"/>
        <w:kinsoku/>
        <w:wordWrap/>
        <w:topLinePunct w:val="0"/>
        <w:bidi w:val="0"/>
        <w:snapToGrid w:val="0"/>
        <w:spacing w:beforeAutospacing="0" w:afterAutospacing="0" w:line="400" w:lineRule="exact"/>
        <w:ind w:left="0" w:leftChars="0" w:right="0" w:rightChars="0"/>
        <w:jc w:val="left"/>
        <w:outlineLvl w:val="9"/>
        <w:rPr>
          <w:rFonts w:ascii="宋体" w:hAnsi="宋体"/>
          <w:b/>
          <w:sz w:val="24"/>
          <w:szCs w:val="24"/>
        </w:rPr>
      </w:pPr>
    </w:p>
    <w:p>
      <w:pPr>
        <w:pageBreakBefore w:val="0"/>
        <w:kinsoku/>
        <w:wordWrap/>
        <w:topLinePunct w:val="0"/>
        <w:bidi w:val="0"/>
        <w:spacing w:beforeAutospacing="0" w:afterAutospacing="0" w:line="400" w:lineRule="exact"/>
        <w:ind w:left="0" w:leftChars="0" w:right="0" w:rightChars="0"/>
        <w:outlineLvl w:val="9"/>
      </w:pPr>
    </w:p>
    <w:p>
      <w:pPr>
        <w:pageBreakBefore w:val="0"/>
        <w:widowControl/>
        <w:kinsoku/>
        <w:wordWrap/>
        <w:topLinePunct w:val="0"/>
        <w:bidi w:val="0"/>
        <w:spacing w:beforeAutospacing="0" w:afterAutospacing="0" w:line="400" w:lineRule="exact"/>
        <w:ind w:left="0" w:leftChars="0" w:right="0" w:rightChars="0"/>
        <w:outlineLvl w:val="9"/>
        <w:rPr>
          <w:rFonts w:ascii="宋体" w:hAnsi="宋体"/>
          <w:b/>
          <w:sz w:val="32"/>
          <w:szCs w:val="32"/>
        </w:rPr>
      </w:pPr>
      <w:bookmarkStart w:id="108" w:name="_Toc26407"/>
      <w:r>
        <w:rPr>
          <w:rFonts w:hint="eastAsia" w:ascii="宋体" w:hAnsi="宋体"/>
          <w:b/>
          <w:sz w:val="32"/>
          <w:szCs w:val="32"/>
        </w:rPr>
        <w:t>附件1</w:t>
      </w:r>
      <w:r>
        <w:rPr>
          <w:rFonts w:hint="eastAsia" w:ascii="宋体" w:hAnsi="宋体"/>
          <w:b/>
          <w:sz w:val="32"/>
          <w:szCs w:val="32"/>
          <w:lang w:val="en-US" w:eastAsia="zh-CN"/>
        </w:rPr>
        <w:t>3</w:t>
      </w:r>
      <w:r>
        <w:rPr>
          <w:rFonts w:hint="eastAsia" w:ascii="宋体" w:hAnsi="宋体"/>
          <w:b/>
          <w:sz w:val="32"/>
          <w:szCs w:val="32"/>
        </w:rPr>
        <w:t>：</w:t>
      </w:r>
      <w:bookmarkEnd w:id="108"/>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b/>
          <w:sz w:val="32"/>
          <w:szCs w:val="32"/>
        </w:rPr>
      </w:pPr>
    </w:p>
    <w:p>
      <w:pPr>
        <w:pageBreakBefore w:val="0"/>
        <w:widowControl/>
        <w:kinsoku/>
        <w:wordWrap/>
        <w:topLinePunct w:val="0"/>
        <w:bidi w:val="0"/>
        <w:spacing w:beforeAutospacing="0" w:afterAutospacing="0" w:line="400" w:lineRule="exact"/>
        <w:ind w:left="0" w:leftChars="0" w:right="0" w:rightChars="0"/>
        <w:jc w:val="center"/>
        <w:outlineLvl w:val="9"/>
        <w:rPr>
          <w:rFonts w:ascii="宋体" w:hAnsi="宋体"/>
          <w:b/>
          <w:sz w:val="32"/>
          <w:szCs w:val="32"/>
        </w:rPr>
      </w:pPr>
      <w:r>
        <w:rPr>
          <w:rFonts w:hint="eastAsia" w:ascii="宋体" w:hAnsi="宋体"/>
          <w:b/>
          <w:sz w:val="32"/>
          <w:szCs w:val="32"/>
        </w:rPr>
        <w:t>投标人认为有必要提交的其他相关证明材料</w:t>
      </w:r>
    </w:p>
    <w:p>
      <w:pPr>
        <w:pageBreakBefore w:val="0"/>
        <w:kinsoku/>
        <w:wordWrap/>
        <w:topLinePunct w:val="0"/>
        <w:bidi w:val="0"/>
        <w:spacing w:beforeAutospacing="0" w:afterAutospacing="0" w:line="400" w:lineRule="exact"/>
        <w:ind w:left="0" w:leftChars="0" w:right="0" w:rightChars="0"/>
        <w:outlineLvl w:val="9"/>
      </w:pPr>
    </w:p>
    <w:p>
      <w:pPr>
        <w:pageBreakBefore w:val="0"/>
        <w:kinsoku/>
        <w:wordWrap/>
        <w:topLinePunct w:val="0"/>
        <w:bidi w:val="0"/>
        <w:spacing w:beforeAutospacing="0" w:afterAutospacing="0" w:line="400" w:lineRule="exact"/>
        <w:ind w:left="0" w:leftChars="0" w:right="0" w:rightChars="0"/>
        <w:outlineLvl w:val="9"/>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fldChar w:fldCharType="begin"/>
    </w:r>
    <w:r>
      <w:rPr>
        <w:rStyle w:val="37"/>
      </w:rPr>
      <w:instrText xml:space="preserve">PAGE  </w:instrText>
    </w:r>
    <w:r>
      <w:fldChar w:fldCharType="end"/>
    </w:r>
  </w:p>
  <w:p>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ind w:firstLine="0"/>
      <w:jc w:val="center"/>
      <w:rPr>
        <w:rFonts w:hint="eastAsia" w:asciiTheme="majorHAnsi" w:hAnsiTheme="majorHAnsi" w:eastAsiaTheme="majorEastAsia" w:cstheme="majorBidi"/>
        <w:sz w:val="32"/>
        <w:szCs w:val="32"/>
        <w:lang w:eastAsia="zh-CN"/>
      </w:rPr>
    </w:pPr>
    <w:r>
      <w:rPr>
        <w:rFonts w:hint="eastAsia" w:ascii="仿宋" w:hAnsi="仿宋" w:eastAsia="仿宋" w:cs="仿宋"/>
        <w:b w:val="0"/>
        <w:bCs w:val="0"/>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ind w:firstLine="0"/>
      <w:jc w:val="center"/>
    </w:pPr>
    <w:r>
      <w:rPr>
        <w:rFonts w:hint="eastAsia" w:ascii="仿宋" w:hAnsi="仿宋" w:eastAsia="仿宋" w:cs="仿宋"/>
        <w:b w:val="0"/>
        <w:bCs w:val="0"/>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741A3"/>
    <w:multiLevelType w:val="multilevel"/>
    <w:tmpl w:val="04E741A3"/>
    <w:lvl w:ilvl="0" w:tentative="0">
      <w:start w:val="1"/>
      <w:numFmt w:val="decimal"/>
      <w:lvlText w:val="%1、"/>
      <w:lvlJc w:val="left"/>
      <w:pPr>
        <w:ind w:left="2422" w:hanging="720"/>
      </w:pPr>
      <w:rPr>
        <w:rFonts w:hint="default"/>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1">
    <w:nsid w:val="05C70C48"/>
    <w:multiLevelType w:val="singleLevel"/>
    <w:tmpl w:val="05C70C48"/>
    <w:lvl w:ilvl="0" w:tentative="0">
      <w:start w:val="1"/>
      <w:numFmt w:val="decimal"/>
      <w:suff w:val="nothing"/>
      <w:lvlText w:val="（%1）"/>
      <w:lvlJc w:val="left"/>
    </w:lvl>
  </w:abstractNum>
  <w:abstractNum w:abstractNumId="2">
    <w:nsid w:val="1B39B345"/>
    <w:multiLevelType w:val="singleLevel"/>
    <w:tmpl w:val="1B39B345"/>
    <w:lvl w:ilvl="0" w:tentative="0">
      <w:start w:val="3"/>
      <w:numFmt w:val="chineseCounting"/>
      <w:suff w:val="space"/>
      <w:lvlText w:val="第%1章"/>
      <w:lvlJc w:val="left"/>
      <w:rPr>
        <w:rFonts w:hint="eastAsia"/>
      </w:rPr>
    </w:lvl>
  </w:abstractNum>
  <w:abstractNum w:abstractNumId="3">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ZTdkMTcyNThmNTQxNmY5Mzc2Njk0YWQwNDg5ZmYifQ=="/>
  </w:docVars>
  <w:rsids>
    <w:rsidRoot w:val="0010740B"/>
    <w:rsid w:val="00002FBC"/>
    <w:rsid w:val="00025A80"/>
    <w:rsid w:val="000313A0"/>
    <w:rsid w:val="00032346"/>
    <w:rsid w:val="0003553E"/>
    <w:rsid w:val="00045F15"/>
    <w:rsid w:val="00057DB8"/>
    <w:rsid w:val="00091890"/>
    <w:rsid w:val="000A523F"/>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2384"/>
    <w:rsid w:val="00242897"/>
    <w:rsid w:val="00246883"/>
    <w:rsid w:val="002534B6"/>
    <w:rsid w:val="00271014"/>
    <w:rsid w:val="002749C6"/>
    <w:rsid w:val="00285158"/>
    <w:rsid w:val="002861E4"/>
    <w:rsid w:val="00287C22"/>
    <w:rsid w:val="002A0CDC"/>
    <w:rsid w:val="002A2DC3"/>
    <w:rsid w:val="002B4D0A"/>
    <w:rsid w:val="002E3D09"/>
    <w:rsid w:val="002F7C41"/>
    <w:rsid w:val="00305861"/>
    <w:rsid w:val="00312170"/>
    <w:rsid w:val="0031283E"/>
    <w:rsid w:val="00335070"/>
    <w:rsid w:val="003359B3"/>
    <w:rsid w:val="003419E6"/>
    <w:rsid w:val="00343DC8"/>
    <w:rsid w:val="00347D65"/>
    <w:rsid w:val="00366A84"/>
    <w:rsid w:val="00374849"/>
    <w:rsid w:val="003755E3"/>
    <w:rsid w:val="00382866"/>
    <w:rsid w:val="00395F17"/>
    <w:rsid w:val="00397C09"/>
    <w:rsid w:val="003A3718"/>
    <w:rsid w:val="003D7F8D"/>
    <w:rsid w:val="003F4B3A"/>
    <w:rsid w:val="003F4BC7"/>
    <w:rsid w:val="00415DC4"/>
    <w:rsid w:val="0043197C"/>
    <w:rsid w:val="0043462D"/>
    <w:rsid w:val="0044554B"/>
    <w:rsid w:val="004634FA"/>
    <w:rsid w:val="004745B1"/>
    <w:rsid w:val="004825FB"/>
    <w:rsid w:val="0049372E"/>
    <w:rsid w:val="0049778E"/>
    <w:rsid w:val="004A03D5"/>
    <w:rsid w:val="004B0B75"/>
    <w:rsid w:val="004D6394"/>
    <w:rsid w:val="004E724F"/>
    <w:rsid w:val="004E7A34"/>
    <w:rsid w:val="004F1973"/>
    <w:rsid w:val="00500357"/>
    <w:rsid w:val="005021C5"/>
    <w:rsid w:val="0051606D"/>
    <w:rsid w:val="005175EE"/>
    <w:rsid w:val="00521A3B"/>
    <w:rsid w:val="00527B97"/>
    <w:rsid w:val="00543826"/>
    <w:rsid w:val="00586FCC"/>
    <w:rsid w:val="005A136A"/>
    <w:rsid w:val="005A5866"/>
    <w:rsid w:val="006278D6"/>
    <w:rsid w:val="00636F3E"/>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1D64"/>
    <w:rsid w:val="007666F7"/>
    <w:rsid w:val="007712C9"/>
    <w:rsid w:val="00771816"/>
    <w:rsid w:val="007968BF"/>
    <w:rsid w:val="007A4EF4"/>
    <w:rsid w:val="007A6F7C"/>
    <w:rsid w:val="007C16EA"/>
    <w:rsid w:val="007C4BEC"/>
    <w:rsid w:val="007E389F"/>
    <w:rsid w:val="00810930"/>
    <w:rsid w:val="008176F9"/>
    <w:rsid w:val="00821731"/>
    <w:rsid w:val="00822AA1"/>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B04A98"/>
    <w:rsid w:val="00B36003"/>
    <w:rsid w:val="00B41320"/>
    <w:rsid w:val="00B56FB7"/>
    <w:rsid w:val="00B60EFC"/>
    <w:rsid w:val="00B77C06"/>
    <w:rsid w:val="00BA3579"/>
    <w:rsid w:val="00BC35E1"/>
    <w:rsid w:val="00BD03E0"/>
    <w:rsid w:val="00BF3A20"/>
    <w:rsid w:val="00C0061B"/>
    <w:rsid w:val="00C018D5"/>
    <w:rsid w:val="00C04890"/>
    <w:rsid w:val="00CA1488"/>
    <w:rsid w:val="00CC0CB6"/>
    <w:rsid w:val="00CC1D1D"/>
    <w:rsid w:val="00CE6AE3"/>
    <w:rsid w:val="00D0445D"/>
    <w:rsid w:val="00D12242"/>
    <w:rsid w:val="00D17727"/>
    <w:rsid w:val="00D26E55"/>
    <w:rsid w:val="00D32C9B"/>
    <w:rsid w:val="00D4074E"/>
    <w:rsid w:val="00D445E8"/>
    <w:rsid w:val="00D45111"/>
    <w:rsid w:val="00D71ED5"/>
    <w:rsid w:val="00D86C68"/>
    <w:rsid w:val="00DB0A78"/>
    <w:rsid w:val="00DD1822"/>
    <w:rsid w:val="00DE1029"/>
    <w:rsid w:val="00DE26A0"/>
    <w:rsid w:val="00DF2FA6"/>
    <w:rsid w:val="00E203BA"/>
    <w:rsid w:val="00E22D43"/>
    <w:rsid w:val="00E30820"/>
    <w:rsid w:val="00E36362"/>
    <w:rsid w:val="00E42C15"/>
    <w:rsid w:val="00E4627C"/>
    <w:rsid w:val="00E67544"/>
    <w:rsid w:val="00E85203"/>
    <w:rsid w:val="00E86886"/>
    <w:rsid w:val="00E93FAB"/>
    <w:rsid w:val="00E95150"/>
    <w:rsid w:val="00E951B1"/>
    <w:rsid w:val="00EA5020"/>
    <w:rsid w:val="00EA58B2"/>
    <w:rsid w:val="00EC4163"/>
    <w:rsid w:val="00EE60CD"/>
    <w:rsid w:val="00EF3062"/>
    <w:rsid w:val="00F03F1F"/>
    <w:rsid w:val="00F45575"/>
    <w:rsid w:val="00F77BEC"/>
    <w:rsid w:val="00F9171E"/>
    <w:rsid w:val="00F91C0F"/>
    <w:rsid w:val="00FB1FEF"/>
    <w:rsid w:val="00FB4B91"/>
    <w:rsid w:val="00FC4125"/>
    <w:rsid w:val="00FE6FED"/>
    <w:rsid w:val="00FF5479"/>
    <w:rsid w:val="032C17E0"/>
    <w:rsid w:val="05551D4C"/>
    <w:rsid w:val="05ED58B4"/>
    <w:rsid w:val="0C456161"/>
    <w:rsid w:val="0DEB1BBD"/>
    <w:rsid w:val="0FC23828"/>
    <w:rsid w:val="10A1579F"/>
    <w:rsid w:val="10D93C93"/>
    <w:rsid w:val="15367EF7"/>
    <w:rsid w:val="1C131EBB"/>
    <w:rsid w:val="1C493F61"/>
    <w:rsid w:val="1F9C084C"/>
    <w:rsid w:val="288A4CC3"/>
    <w:rsid w:val="2A1711BC"/>
    <w:rsid w:val="2E5844D8"/>
    <w:rsid w:val="2FB15C4D"/>
    <w:rsid w:val="2FFA78BA"/>
    <w:rsid w:val="335334BF"/>
    <w:rsid w:val="3B2C5316"/>
    <w:rsid w:val="3BA63A7F"/>
    <w:rsid w:val="3E554590"/>
    <w:rsid w:val="3EE94C76"/>
    <w:rsid w:val="3F3E5881"/>
    <w:rsid w:val="41295675"/>
    <w:rsid w:val="41E22DC7"/>
    <w:rsid w:val="41F51C9B"/>
    <w:rsid w:val="44BE1153"/>
    <w:rsid w:val="45CF6B25"/>
    <w:rsid w:val="47584B4F"/>
    <w:rsid w:val="478B4A59"/>
    <w:rsid w:val="480B2C86"/>
    <w:rsid w:val="483D3A2C"/>
    <w:rsid w:val="4A370ACA"/>
    <w:rsid w:val="4B450FC6"/>
    <w:rsid w:val="4C3B7513"/>
    <w:rsid w:val="4CC4526E"/>
    <w:rsid w:val="4D1F008B"/>
    <w:rsid w:val="4EB33338"/>
    <w:rsid w:val="511B4946"/>
    <w:rsid w:val="54687E3F"/>
    <w:rsid w:val="546B0B19"/>
    <w:rsid w:val="54C85664"/>
    <w:rsid w:val="5A2025D7"/>
    <w:rsid w:val="5DA24E17"/>
    <w:rsid w:val="5F086B95"/>
    <w:rsid w:val="63F57FF1"/>
    <w:rsid w:val="67C223E6"/>
    <w:rsid w:val="6800454F"/>
    <w:rsid w:val="687B3C27"/>
    <w:rsid w:val="687D3777"/>
    <w:rsid w:val="6AF905B4"/>
    <w:rsid w:val="6D201C56"/>
    <w:rsid w:val="6ED04B50"/>
    <w:rsid w:val="6F2B6D0F"/>
    <w:rsid w:val="703B4AE4"/>
    <w:rsid w:val="710F35DD"/>
    <w:rsid w:val="765E2E38"/>
    <w:rsid w:val="78EE0B2B"/>
    <w:rsid w:val="79FA77BE"/>
    <w:rsid w:val="7B186783"/>
    <w:rsid w:val="7B674B1C"/>
    <w:rsid w:val="7C2B55CD"/>
    <w:rsid w:val="7E8059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3"/>
    <w:qFormat/>
    <w:uiPriority w:val="9"/>
    <w:pPr>
      <w:keepNext/>
      <w:tabs>
        <w:tab w:val="left" w:pos="360"/>
      </w:tabs>
      <w:ind w:left="360" w:hanging="360"/>
      <w:outlineLvl w:val="0"/>
    </w:pPr>
    <w:rPr>
      <w:b/>
    </w:rPr>
  </w:style>
  <w:style w:type="paragraph" w:styleId="4">
    <w:name w:val="heading 2"/>
    <w:basedOn w:val="1"/>
    <w:next w:val="1"/>
    <w:link w:val="44"/>
    <w:qFormat/>
    <w:uiPriority w:val="9"/>
    <w:pPr>
      <w:keepNext/>
      <w:keepLines/>
      <w:spacing w:before="260" w:after="260" w:line="416" w:lineRule="auto"/>
      <w:outlineLvl w:val="1"/>
    </w:pPr>
    <w:rPr>
      <w:rFonts w:ascii="Arial" w:hAnsi="Arial" w:eastAsia="黑体"/>
      <w:b/>
      <w:sz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7"/>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48"/>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49"/>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0"/>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1"/>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12">
    <w:name w:val="Normal Indent"/>
    <w:basedOn w:val="1"/>
    <w:link w:val="76"/>
    <w:qFormat/>
    <w:uiPriority w:val="99"/>
    <w:pPr>
      <w:ind w:firstLine="420" w:firstLineChars="200"/>
    </w:pPr>
    <w:rPr>
      <w:rFonts w:asciiTheme="minorHAnsi" w:hAnsiTheme="minorHAnsi" w:eastAsiaTheme="minorEastAsia" w:cstheme="minorBidi"/>
      <w:szCs w:val="24"/>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89"/>
    <w:qFormat/>
    <w:uiPriority w:val="0"/>
    <w:pPr>
      <w:shd w:val="clear" w:color="auto" w:fill="000080"/>
    </w:pPr>
    <w:rPr>
      <w:rFonts w:asciiTheme="minorHAnsi" w:hAnsiTheme="minorHAnsi" w:eastAsiaTheme="minorEastAsia" w:cstheme="minorBidi"/>
      <w:szCs w:val="22"/>
    </w:rPr>
  </w:style>
  <w:style w:type="paragraph" w:styleId="15">
    <w:name w:val="Salutation"/>
    <w:basedOn w:val="1"/>
    <w:next w:val="1"/>
    <w:link w:val="53"/>
    <w:qFormat/>
    <w:uiPriority w:val="0"/>
    <w:rPr>
      <w:rFonts w:ascii="宋体"/>
      <w:b/>
      <w:sz w:val="28"/>
    </w:rPr>
  </w:style>
  <w:style w:type="paragraph" w:styleId="16">
    <w:name w:val="Body Text"/>
    <w:basedOn w:val="1"/>
    <w:next w:val="1"/>
    <w:link w:val="93"/>
    <w:qFormat/>
    <w:uiPriority w:val="0"/>
    <w:rPr>
      <w:rFonts w:ascii="Arial" w:hAnsi="Arial" w:cs="Arial" w:eastAsiaTheme="minorEastAsia"/>
      <w:sz w:val="24"/>
      <w:szCs w:val="22"/>
    </w:rPr>
  </w:style>
  <w:style w:type="paragraph" w:styleId="17">
    <w:name w:val="Body Text Indent"/>
    <w:basedOn w:val="1"/>
    <w:next w:val="18"/>
    <w:link w:val="55"/>
    <w:qFormat/>
    <w:uiPriority w:val="0"/>
    <w:pPr>
      <w:ind w:firstLine="480"/>
    </w:pPr>
    <w:rPr>
      <w:rFonts w:ascii="宋体" w:hAnsi="宋体"/>
      <w:sz w:val="24"/>
    </w:rPr>
  </w:style>
  <w:style w:type="paragraph" w:styleId="18">
    <w:name w:val="envelope return"/>
    <w:basedOn w:val="1"/>
    <w:qFormat/>
    <w:uiPriority w:val="0"/>
    <w:pPr>
      <w:topLinePunct/>
      <w:snapToGrid w:val="0"/>
      <w:spacing w:line="240" w:lineRule="auto"/>
      <w:ind w:firstLine="0" w:firstLineChars="0"/>
    </w:pPr>
    <w:rPr>
      <w:rFonts w:ascii="Arial" w:hAnsi="Arial" w:cs="Arial"/>
      <w:sz w:val="21"/>
    </w:rPr>
  </w:style>
  <w:style w:type="paragraph" w:styleId="19">
    <w:name w:val="toc 3"/>
    <w:basedOn w:val="1"/>
    <w:next w:val="1"/>
    <w:qFormat/>
    <w:uiPriority w:val="39"/>
    <w:pPr>
      <w:ind w:left="840" w:leftChars="400"/>
    </w:pPr>
  </w:style>
  <w:style w:type="paragraph" w:styleId="20">
    <w:name w:val="Plain Text"/>
    <w:basedOn w:val="1"/>
    <w:link w:val="95"/>
    <w:qFormat/>
    <w:uiPriority w:val="0"/>
    <w:rPr>
      <w:rFonts w:ascii="宋体" w:hAnsi="Courier New" w:cstheme="minorBidi"/>
      <w:szCs w:val="22"/>
    </w:rPr>
  </w:style>
  <w:style w:type="paragraph" w:styleId="21">
    <w:name w:val="Date"/>
    <w:basedOn w:val="1"/>
    <w:next w:val="1"/>
    <w:link w:val="57"/>
    <w:qFormat/>
    <w:uiPriority w:val="0"/>
    <w:pPr>
      <w:ind w:left="100"/>
    </w:pPr>
    <w:rPr>
      <w:sz w:val="24"/>
    </w:rPr>
  </w:style>
  <w:style w:type="paragraph" w:styleId="22">
    <w:name w:val="Body Text Indent 2"/>
    <w:basedOn w:val="1"/>
    <w:link w:val="88"/>
    <w:qFormat/>
    <w:uiPriority w:val="0"/>
    <w:pPr>
      <w:ind w:firstLine="435"/>
    </w:pPr>
    <w:rPr>
      <w:rFonts w:ascii="宋体" w:hAnsi="宋体" w:eastAsiaTheme="minorEastAsia" w:cstheme="minorBidi"/>
      <w:sz w:val="24"/>
      <w:szCs w:val="22"/>
    </w:rPr>
  </w:style>
  <w:style w:type="paragraph" w:styleId="23">
    <w:name w:val="Balloon Text"/>
    <w:basedOn w:val="1"/>
    <w:link w:val="59"/>
    <w:semiHidden/>
    <w:qFormat/>
    <w:uiPriority w:val="99"/>
    <w:rPr>
      <w:sz w:val="18"/>
      <w:szCs w:val="18"/>
    </w:rPr>
  </w:style>
  <w:style w:type="paragraph" w:styleId="24">
    <w:name w:val="footer"/>
    <w:basedOn w:val="1"/>
    <w:link w:val="60"/>
    <w:unhideWhenUsed/>
    <w:qFormat/>
    <w:uiPriority w:val="99"/>
    <w:pPr>
      <w:tabs>
        <w:tab w:val="center" w:pos="4153"/>
        <w:tab w:val="right" w:pos="8306"/>
      </w:tabs>
      <w:snapToGrid w:val="0"/>
      <w:jc w:val="left"/>
    </w:pPr>
    <w:rPr>
      <w:sz w:val="18"/>
      <w:szCs w:val="18"/>
    </w:rPr>
  </w:style>
  <w:style w:type="paragraph" w:styleId="25">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Body Text Indent 3"/>
    <w:basedOn w:val="1"/>
    <w:link w:val="62"/>
    <w:qFormat/>
    <w:uiPriority w:val="0"/>
    <w:pPr>
      <w:ind w:left="471" w:hanging="471" w:hangingChars="200"/>
    </w:pPr>
    <w:rPr>
      <w:rFonts w:ascii="Arial" w:hAnsi="Arial" w:cs="Arial"/>
      <w:b/>
      <w:bCs/>
      <w:sz w:val="24"/>
    </w:rPr>
  </w:style>
  <w:style w:type="paragraph" w:styleId="28">
    <w:name w:val="toc 2"/>
    <w:basedOn w:val="1"/>
    <w:next w:val="1"/>
    <w:qFormat/>
    <w:uiPriority w:val="39"/>
    <w:pPr>
      <w:ind w:left="420" w:leftChars="200"/>
    </w:pPr>
  </w:style>
  <w:style w:type="paragraph" w:styleId="29">
    <w:name w:val="Body Text 2"/>
    <w:basedOn w:val="1"/>
    <w:link w:val="63"/>
    <w:qFormat/>
    <w:uiPriority w:val="0"/>
    <w:pPr>
      <w:spacing w:line="360" w:lineRule="auto"/>
    </w:pPr>
    <w:rPr>
      <w:b/>
      <w:sz w:val="28"/>
      <w:szCs w:val="21"/>
    </w:rPr>
  </w:style>
  <w:style w:type="paragraph" w:styleId="30">
    <w:name w:val="Normal (Web)"/>
    <w:basedOn w:val="1"/>
    <w:link w:val="105"/>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1">
    <w:name w:val="Body Text First Indent"/>
    <w:basedOn w:val="16"/>
    <w:next w:val="32"/>
    <w:link w:val="100"/>
    <w:qFormat/>
    <w:uiPriority w:val="0"/>
    <w:pPr>
      <w:spacing w:after="120"/>
      <w:ind w:firstLine="420" w:firstLineChars="100"/>
    </w:pPr>
  </w:style>
  <w:style w:type="paragraph" w:styleId="32">
    <w:name w:val="Body Text First Indent 2"/>
    <w:basedOn w:val="17"/>
    <w:next w:val="1"/>
    <w:unhideWhenUsed/>
    <w:qFormat/>
    <w:uiPriority w:val="99"/>
    <w:pPr>
      <w:ind w:firstLine="420"/>
    </w:pPr>
    <w:rPr>
      <w:rFonts w:ascii="Arial" w:hAnsi="Arial" w:eastAsia="仿宋_GB2312"/>
      <w:sz w:val="28"/>
    </w:rPr>
  </w:style>
  <w:style w:type="table" w:styleId="34">
    <w:name w:val="Table Grid"/>
    <w:basedOn w:val="33"/>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Emphasis"/>
    <w:qFormat/>
    <w:uiPriority w:val="0"/>
    <w:rPr>
      <w:color w:val="CC0033"/>
    </w:rPr>
  </w:style>
  <w:style w:type="character" w:styleId="40">
    <w:name w:val="Hyperlink"/>
    <w:basedOn w:val="35"/>
    <w:qFormat/>
    <w:uiPriority w:val="99"/>
    <w:rPr>
      <w:color w:val="0000FF"/>
      <w:u w:val="single"/>
    </w:rPr>
  </w:style>
  <w:style w:type="character" w:styleId="41">
    <w:name w:val="annotation reference"/>
    <w:basedOn w:val="35"/>
    <w:semiHidden/>
    <w:unhideWhenUsed/>
    <w:qFormat/>
    <w:uiPriority w:val="99"/>
    <w:rPr>
      <w:sz w:val="21"/>
      <w:szCs w:val="21"/>
    </w:rPr>
  </w:style>
  <w:style w:type="character" w:styleId="42">
    <w:name w:val="HTML Sample"/>
    <w:basedOn w:val="35"/>
    <w:semiHidden/>
    <w:unhideWhenUsed/>
    <w:qFormat/>
    <w:uiPriority w:val="99"/>
    <w:rPr>
      <w:rFonts w:ascii="宋体" w:hAnsi="宋体" w:eastAsia="宋体" w:cs="宋体"/>
    </w:rPr>
  </w:style>
  <w:style w:type="character" w:customStyle="1" w:styleId="43">
    <w:name w:val="标题 1 Char"/>
    <w:basedOn w:val="35"/>
    <w:link w:val="3"/>
    <w:qFormat/>
    <w:uiPriority w:val="9"/>
    <w:rPr>
      <w:rFonts w:ascii="Times New Roman" w:hAnsi="Times New Roman" w:eastAsia="宋体" w:cs="Times New Roman"/>
      <w:b/>
      <w:szCs w:val="20"/>
    </w:rPr>
  </w:style>
  <w:style w:type="character" w:customStyle="1" w:styleId="44">
    <w:name w:val="标题 2 Char"/>
    <w:basedOn w:val="35"/>
    <w:link w:val="4"/>
    <w:qFormat/>
    <w:uiPriority w:val="9"/>
    <w:rPr>
      <w:rFonts w:ascii="Arial" w:hAnsi="Arial" w:eastAsia="黑体" w:cs="Times New Roman"/>
      <w:b/>
      <w:sz w:val="32"/>
      <w:szCs w:val="20"/>
    </w:rPr>
  </w:style>
  <w:style w:type="character" w:customStyle="1" w:styleId="45">
    <w:name w:val="标题 3 Char"/>
    <w:basedOn w:val="35"/>
    <w:link w:val="5"/>
    <w:qFormat/>
    <w:uiPriority w:val="9"/>
    <w:rPr>
      <w:rFonts w:ascii="Times New Roman" w:hAnsi="Times New Roman" w:eastAsia="宋体" w:cs="Times New Roman"/>
      <w:b/>
      <w:bCs/>
      <w:sz w:val="32"/>
      <w:szCs w:val="32"/>
    </w:rPr>
  </w:style>
  <w:style w:type="character" w:customStyle="1" w:styleId="46">
    <w:name w:val="标题 4 Char"/>
    <w:basedOn w:val="35"/>
    <w:link w:val="6"/>
    <w:qFormat/>
    <w:uiPriority w:val="0"/>
    <w:rPr>
      <w:rFonts w:ascii="Arial" w:hAnsi="Arial" w:eastAsia="黑体" w:cs="Times New Roman"/>
      <w:b/>
      <w:bCs/>
      <w:sz w:val="28"/>
      <w:szCs w:val="28"/>
    </w:rPr>
  </w:style>
  <w:style w:type="character" w:customStyle="1" w:styleId="47">
    <w:name w:val="标题 5 Char"/>
    <w:basedOn w:val="35"/>
    <w:link w:val="7"/>
    <w:qFormat/>
    <w:uiPriority w:val="0"/>
    <w:rPr>
      <w:rFonts w:ascii="Times New Roman" w:hAnsi="Times New Roman" w:eastAsia="宋体" w:cs="Times New Roman"/>
      <w:b/>
      <w:sz w:val="28"/>
      <w:szCs w:val="20"/>
    </w:rPr>
  </w:style>
  <w:style w:type="character" w:customStyle="1" w:styleId="48">
    <w:name w:val="标题 6 Char"/>
    <w:basedOn w:val="35"/>
    <w:link w:val="8"/>
    <w:qFormat/>
    <w:uiPriority w:val="0"/>
    <w:rPr>
      <w:rFonts w:ascii="Arial" w:hAnsi="Arial" w:eastAsia="黑体" w:cs="Times New Roman"/>
      <w:b/>
      <w:sz w:val="24"/>
      <w:szCs w:val="20"/>
    </w:rPr>
  </w:style>
  <w:style w:type="character" w:customStyle="1" w:styleId="49">
    <w:name w:val="标题 7 Char"/>
    <w:basedOn w:val="35"/>
    <w:link w:val="9"/>
    <w:qFormat/>
    <w:uiPriority w:val="0"/>
    <w:rPr>
      <w:rFonts w:ascii="Times New Roman" w:hAnsi="Times New Roman" w:eastAsia="宋体" w:cs="Times New Roman"/>
      <w:b/>
      <w:sz w:val="24"/>
      <w:szCs w:val="20"/>
    </w:rPr>
  </w:style>
  <w:style w:type="character" w:customStyle="1" w:styleId="50">
    <w:name w:val="标题 8 Char"/>
    <w:basedOn w:val="35"/>
    <w:link w:val="10"/>
    <w:qFormat/>
    <w:uiPriority w:val="0"/>
    <w:rPr>
      <w:rFonts w:ascii="Arial" w:hAnsi="Arial" w:eastAsia="黑体" w:cs="Times New Roman"/>
      <w:sz w:val="24"/>
      <w:szCs w:val="20"/>
    </w:rPr>
  </w:style>
  <w:style w:type="character" w:customStyle="1" w:styleId="51">
    <w:name w:val="标题 9 Char"/>
    <w:basedOn w:val="35"/>
    <w:link w:val="11"/>
    <w:qFormat/>
    <w:uiPriority w:val="0"/>
    <w:rPr>
      <w:rFonts w:ascii="Arial" w:hAnsi="Arial" w:eastAsia="黑体" w:cs="Times New Roman"/>
      <w:szCs w:val="20"/>
    </w:rPr>
  </w:style>
  <w:style w:type="character" w:customStyle="1" w:styleId="52">
    <w:name w:val="文档结构图 Char"/>
    <w:basedOn w:val="35"/>
    <w:qFormat/>
    <w:uiPriority w:val="0"/>
    <w:rPr>
      <w:rFonts w:ascii="宋体" w:hAnsi="Times New Roman" w:eastAsia="宋体" w:cs="Times New Roman"/>
      <w:sz w:val="18"/>
      <w:szCs w:val="18"/>
    </w:rPr>
  </w:style>
  <w:style w:type="character" w:customStyle="1" w:styleId="53">
    <w:name w:val="称呼 Char"/>
    <w:basedOn w:val="35"/>
    <w:link w:val="15"/>
    <w:qFormat/>
    <w:uiPriority w:val="0"/>
    <w:rPr>
      <w:rFonts w:ascii="宋体" w:hAnsi="Times New Roman" w:eastAsia="宋体" w:cs="Times New Roman"/>
      <w:b/>
      <w:sz w:val="28"/>
      <w:szCs w:val="20"/>
    </w:rPr>
  </w:style>
  <w:style w:type="character" w:customStyle="1" w:styleId="54">
    <w:name w:val="正文文本 Char"/>
    <w:basedOn w:val="35"/>
    <w:qFormat/>
    <w:uiPriority w:val="0"/>
    <w:rPr>
      <w:rFonts w:ascii="Times New Roman" w:hAnsi="Times New Roman" w:eastAsia="宋体" w:cs="Times New Roman"/>
      <w:szCs w:val="20"/>
    </w:rPr>
  </w:style>
  <w:style w:type="character" w:customStyle="1" w:styleId="55">
    <w:name w:val="正文文本缩进 Char"/>
    <w:basedOn w:val="35"/>
    <w:link w:val="17"/>
    <w:qFormat/>
    <w:uiPriority w:val="0"/>
    <w:rPr>
      <w:rFonts w:ascii="宋体" w:hAnsi="宋体" w:eastAsia="宋体" w:cs="Times New Roman"/>
      <w:sz w:val="24"/>
      <w:szCs w:val="20"/>
    </w:rPr>
  </w:style>
  <w:style w:type="character" w:customStyle="1" w:styleId="56">
    <w:name w:val="纯文本 Char"/>
    <w:basedOn w:val="35"/>
    <w:qFormat/>
    <w:uiPriority w:val="0"/>
    <w:rPr>
      <w:rFonts w:ascii="宋体" w:hAnsi="Courier New" w:eastAsia="宋体" w:cs="Courier New"/>
      <w:szCs w:val="21"/>
    </w:rPr>
  </w:style>
  <w:style w:type="character" w:customStyle="1" w:styleId="57">
    <w:name w:val="日期 Char"/>
    <w:basedOn w:val="35"/>
    <w:link w:val="21"/>
    <w:qFormat/>
    <w:uiPriority w:val="0"/>
    <w:rPr>
      <w:rFonts w:ascii="Times New Roman" w:hAnsi="Times New Roman" w:eastAsia="宋体" w:cs="Times New Roman"/>
      <w:sz w:val="24"/>
      <w:szCs w:val="20"/>
    </w:rPr>
  </w:style>
  <w:style w:type="character" w:customStyle="1" w:styleId="58">
    <w:name w:val="正文文本缩进 2 Char"/>
    <w:basedOn w:val="35"/>
    <w:qFormat/>
    <w:uiPriority w:val="0"/>
    <w:rPr>
      <w:rFonts w:ascii="Times New Roman" w:hAnsi="Times New Roman" w:eastAsia="宋体" w:cs="Times New Roman"/>
      <w:szCs w:val="20"/>
    </w:rPr>
  </w:style>
  <w:style w:type="character" w:customStyle="1" w:styleId="59">
    <w:name w:val="批注框文本 Char"/>
    <w:basedOn w:val="35"/>
    <w:link w:val="23"/>
    <w:semiHidden/>
    <w:qFormat/>
    <w:uiPriority w:val="99"/>
    <w:rPr>
      <w:rFonts w:ascii="Times New Roman" w:hAnsi="Times New Roman" w:eastAsia="宋体" w:cs="Times New Roman"/>
      <w:sz w:val="18"/>
      <w:szCs w:val="18"/>
    </w:rPr>
  </w:style>
  <w:style w:type="character" w:customStyle="1" w:styleId="60">
    <w:name w:val="页脚 Char"/>
    <w:basedOn w:val="35"/>
    <w:link w:val="24"/>
    <w:qFormat/>
    <w:uiPriority w:val="99"/>
    <w:rPr>
      <w:rFonts w:ascii="Times New Roman" w:hAnsi="Times New Roman" w:eastAsia="宋体" w:cs="Times New Roman"/>
      <w:sz w:val="18"/>
      <w:szCs w:val="18"/>
    </w:rPr>
  </w:style>
  <w:style w:type="character" w:customStyle="1" w:styleId="61">
    <w:name w:val="页眉 Char"/>
    <w:basedOn w:val="35"/>
    <w:link w:val="25"/>
    <w:qFormat/>
    <w:uiPriority w:val="99"/>
    <w:rPr>
      <w:rFonts w:ascii="Times New Roman" w:hAnsi="Times New Roman" w:eastAsia="宋体" w:cs="Times New Roman"/>
      <w:sz w:val="18"/>
      <w:szCs w:val="18"/>
    </w:rPr>
  </w:style>
  <w:style w:type="character" w:customStyle="1" w:styleId="62">
    <w:name w:val="正文文本缩进 3 Char"/>
    <w:basedOn w:val="35"/>
    <w:link w:val="27"/>
    <w:qFormat/>
    <w:uiPriority w:val="0"/>
    <w:rPr>
      <w:rFonts w:ascii="Arial" w:hAnsi="Arial" w:eastAsia="宋体" w:cs="Arial"/>
      <w:b/>
      <w:bCs/>
      <w:sz w:val="24"/>
      <w:szCs w:val="20"/>
    </w:rPr>
  </w:style>
  <w:style w:type="character" w:customStyle="1" w:styleId="63">
    <w:name w:val="正文文本 2 Char"/>
    <w:basedOn w:val="35"/>
    <w:link w:val="29"/>
    <w:qFormat/>
    <w:uiPriority w:val="0"/>
    <w:rPr>
      <w:rFonts w:ascii="Times New Roman" w:hAnsi="Times New Roman" w:eastAsia="宋体" w:cs="Times New Roman"/>
      <w:b/>
      <w:sz w:val="28"/>
      <w:szCs w:val="21"/>
    </w:rPr>
  </w:style>
  <w:style w:type="character" w:customStyle="1" w:styleId="64">
    <w:name w:val="正文首行缩进 Char"/>
    <w:basedOn w:val="54"/>
    <w:qFormat/>
    <w:uiPriority w:val="0"/>
    <w:rPr>
      <w:rFonts w:ascii="Times New Roman" w:hAnsi="Times New Roman" w:eastAsia="宋体" w:cs="Times New Roman"/>
      <w:szCs w:val="20"/>
    </w:rPr>
  </w:style>
  <w:style w:type="character" w:customStyle="1" w:styleId="65">
    <w:name w:val="p21"/>
    <w:qFormat/>
    <w:uiPriority w:val="0"/>
    <w:rPr>
      <w:rFonts w:hint="default" w:ascii="Arial" w:hAnsi="Arial" w:cs="Arial"/>
      <w:color w:val="333333"/>
      <w:sz w:val="18"/>
      <w:szCs w:val="18"/>
      <w:u w:val="none"/>
    </w:rPr>
  </w:style>
  <w:style w:type="character" w:customStyle="1" w:styleId="66">
    <w:name w:val="font21"/>
    <w:basedOn w:val="35"/>
    <w:qFormat/>
    <w:uiPriority w:val="0"/>
    <w:rPr>
      <w:rFonts w:hint="eastAsia" w:ascii="宋体" w:hAnsi="宋体" w:eastAsia="宋体" w:cs="宋体"/>
      <w:color w:val="000000"/>
      <w:sz w:val="22"/>
      <w:szCs w:val="22"/>
      <w:u w:val="none"/>
    </w:rPr>
  </w:style>
  <w:style w:type="character" w:customStyle="1" w:styleId="67">
    <w:name w:val="所标正文 Char Char"/>
    <w:link w:val="68"/>
    <w:qFormat/>
    <w:uiPriority w:val="0"/>
    <w:rPr>
      <w:rFonts w:ascii="仿宋_GB2312" w:hAnsi="Calibri" w:eastAsia="仿宋_GB2312"/>
      <w:sz w:val="30"/>
      <w:szCs w:val="28"/>
    </w:rPr>
  </w:style>
  <w:style w:type="paragraph" w:customStyle="1" w:styleId="68">
    <w:name w:val="所标正文"/>
    <w:basedOn w:val="1"/>
    <w:link w:val="67"/>
    <w:qFormat/>
    <w:uiPriority w:val="0"/>
    <w:pPr>
      <w:spacing w:line="360" w:lineRule="auto"/>
      <w:ind w:firstLine="200" w:firstLineChars="200"/>
    </w:pPr>
    <w:rPr>
      <w:rFonts w:ascii="仿宋_GB2312" w:hAnsi="Calibri" w:eastAsia="仿宋_GB2312" w:cstheme="minorBidi"/>
      <w:sz w:val="30"/>
      <w:szCs w:val="28"/>
    </w:rPr>
  </w:style>
  <w:style w:type="character" w:customStyle="1" w:styleId="69">
    <w:name w:val="正文文字 Char1"/>
    <w:link w:val="70"/>
    <w:qFormat/>
    <w:uiPriority w:val="0"/>
    <w:rPr>
      <w:rFonts w:ascii="宋体" w:eastAsia="宋体"/>
      <w:color w:val="000000"/>
      <w:sz w:val="28"/>
      <w:u w:color="000000"/>
    </w:rPr>
  </w:style>
  <w:style w:type="paragraph" w:customStyle="1" w:styleId="70">
    <w:name w:val="正文文字"/>
    <w:basedOn w:val="1"/>
    <w:link w:val="69"/>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1">
    <w:name w:val="marklong"/>
    <w:basedOn w:val="35"/>
    <w:qFormat/>
    <w:uiPriority w:val="0"/>
  </w:style>
  <w:style w:type="character" w:customStyle="1" w:styleId="72">
    <w:name w:val="unnamed1"/>
    <w:basedOn w:val="35"/>
    <w:qFormat/>
    <w:uiPriority w:val="0"/>
  </w:style>
  <w:style w:type="character" w:customStyle="1" w:styleId="73">
    <w:name w:val="css21"/>
    <w:qFormat/>
    <w:uiPriority w:val="0"/>
    <w:rPr>
      <w:sz w:val="18"/>
      <w:szCs w:val="18"/>
    </w:rPr>
  </w:style>
  <w:style w:type="character" w:customStyle="1" w:styleId="74">
    <w:name w:val="font01"/>
    <w:basedOn w:val="35"/>
    <w:qFormat/>
    <w:uiPriority w:val="0"/>
    <w:rPr>
      <w:rFonts w:hint="eastAsia" w:ascii="宋体" w:hAnsi="宋体" w:eastAsia="宋体" w:cs="宋体"/>
      <w:color w:val="000000"/>
      <w:sz w:val="22"/>
      <w:szCs w:val="22"/>
      <w:u w:val="none"/>
    </w:rPr>
  </w:style>
  <w:style w:type="character" w:customStyle="1" w:styleId="75">
    <w:name w:val="纯文本 Char Char Char Char Char Char"/>
    <w:qFormat/>
    <w:locked/>
    <w:uiPriority w:val="0"/>
    <w:rPr>
      <w:rFonts w:ascii="宋体" w:hAnsi="Courier New" w:eastAsia="宋体"/>
      <w:kern w:val="2"/>
      <w:sz w:val="21"/>
      <w:lang w:val="en-US" w:eastAsia="zh-CN" w:bidi="ar-SA"/>
    </w:rPr>
  </w:style>
  <w:style w:type="character" w:customStyle="1" w:styleId="76">
    <w:name w:val="正文缩进 Char"/>
    <w:link w:val="12"/>
    <w:qFormat/>
    <w:uiPriority w:val="99"/>
    <w:rPr>
      <w:szCs w:val="24"/>
    </w:rPr>
  </w:style>
  <w:style w:type="character" w:customStyle="1" w:styleId="77">
    <w:name w:val="样式 正文缩进 + 首行缩进:  2 字符 Char"/>
    <w:link w:val="78"/>
    <w:qFormat/>
    <w:uiPriority w:val="0"/>
    <w:rPr>
      <w:sz w:val="24"/>
    </w:rPr>
  </w:style>
  <w:style w:type="paragraph" w:customStyle="1" w:styleId="78">
    <w:name w:val="样式 正文缩进 + 首行缩进:  2 字符"/>
    <w:basedOn w:val="12"/>
    <w:link w:val="77"/>
    <w:qFormat/>
    <w:uiPriority w:val="0"/>
    <w:pPr>
      <w:spacing w:line="360" w:lineRule="auto"/>
      <w:ind w:firstLine="200"/>
    </w:pPr>
    <w:rPr>
      <w:sz w:val="24"/>
      <w:szCs w:val="22"/>
    </w:rPr>
  </w:style>
  <w:style w:type="character" w:customStyle="1" w:styleId="79">
    <w:name w:val="标准段落正文 Char"/>
    <w:link w:val="80"/>
    <w:qFormat/>
    <w:uiPriority w:val="0"/>
    <w:rPr>
      <w:rFonts w:cs="宋体"/>
      <w:sz w:val="24"/>
    </w:rPr>
  </w:style>
  <w:style w:type="paragraph" w:customStyle="1" w:styleId="80">
    <w:name w:val="标准段落正文"/>
    <w:basedOn w:val="1"/>
    <w:link w:val="79"/>
    <w:qFormat/>
    <w:uiPriority w:val="0"/>
    <w:pPr>
      <w:spacing w:line="360" w:lineRule="auto"/>
      <w:ind w:firstLine="482"/>
    </w:pPr>
    <w:rPr>
      <w:rFonts w:cs="宋体" w:asciiTheme="minorHAnsi" w:hAnsiTheme="minorHAnsi" w:eastAsiaTheme="minorEastAsia"/>
      <w:sz w:val="24"/>
      <w:szCs w:val="22"/>
    </w:rPr>
  </w:style>
  <w:style w:type="character" w:customStyle="1" w:styleId="81">
    <w:name w:val="正文文字 Char"/>
    <w:qFormat/>
    <w:uiPriority w:val="0"/>
    <w:rPr>
      <w:rFonts w:ascii="Arial" w:hAnsi="Arial" w:eastAsia="宋体" w:cs="Arial"/>
      <w:kern w:val="2"/>
      <w:sz w:val="24"/>
      <w:lang w:val="en-US" w:eastAsia="zh-CN" w:bidi="ar-SA"/>
    </w:rPr>
  </w:style>
  <w:style w:type="character" w:customStyle="1" w:styleId="82">
    <w:name w:val="书籍标题1"/>
    <w:qFormat/>
    <w:uiPriority w:val="0"/>
    <w:rPr>
      <w:b/>
      <w:bCs/>
      <w:smallCaps/>
      <w:spacing w:val="5"/>
    </w:rPr>
  </w:style>
  <w:style w:type="character" w:customStyle="1" w:styleId="83">
    <w:name w:val="con"/>
    <w:qFormat/>
    <w:uiPriority w:val="0"/>
  </w:style>
  <w:style w:type="character" w:customStyle="1" w:styleId="84">
    <w:name w:val="明显参考1"/>
    <w:qFormat/>
    <w:uiPriority w:val="0"/>
    <w:rPr>
      <w:b/>
      <w:bCs/>
      <w:smallCaps/>
      <w:color w:val="C0504D"/>
      <w:spacing w:val="5"/>
      <w:u w:val="single"/>
    </w:rPr>
  </w:style>
  <w:style w:type="character" w:customStyle="1" w:styleId="85">
    <w:name w:val="grame"/>
    <w:basedOn w:val="35"/>
    <w:qFormat/>
    <w:uiPriority w:val="0"/>
  </w:style>
  <w:style w:type="paragraph" w:customStyle="1" w:styleId="86">
    <w:name w:val="列出段落1"/>
    <w:basedOn w:val="1"/>
    <w:qFormat/>
    <w:uiPriority w:val="34"/>
    <w:pPr>
      <w:ind w:firstLine="420" w:firstLineChars="200"/>
    </w:pPr>
    <w:rPr>
      <w:rFonts w:ascii="Calibri" w:hAnsi="Calibri"/>
      <w:szCs w:val="22"/>
    </w:rPr>
  </w:style>
  <w:style w:type="paragraph" w:customStyle="1" w:styleId="87">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88">
    <w:name w:val="正文文本缩进 2 Char1"/>
    <w:basedOn w:val="35"/>
    <w:link w:val="22"/>
    <w:qFormat/>
    <w:uiPriority w:val="0"/>
    <w:rPr>
      <w:rFonts w:ascii="宋体" w:hAnsi="宋体"/>
      <w:sz w:val="24"/>
    </w:rPr>
  </w:style>
  <w:style w:type="character" w:customStyle="1" w:styleId="89">
    <w:name w:val="文档结构图 Char1"/>
    <w:basedOn w:val="35"/>
    <w:link w:val="14"/>
    <w:qFormat/>
    <w:uiPriority w:val="0"/>
    <w:rPr>
      <w:shd w:val="clear" w:color="auto" w:fill="000080"/>
    </w:rPr>
  </w:style>
  <w:style w:type="paragraph" w:customStyle="1" w:styleId="90">
    <w:name w:val="Char"/>
    <w:basedOn w:val="1"/>
    <w:semiHidden/>
    <w:qFormat/>
    <w:uiPriority w:val="0"/>
    <w:rPr>
      <w:rFonts w:ascii="Tahoma" w:hAnsi="Tahoma" w:cs="仿宋_GB2312"/>
      <w:sz w:val="24"/>
      <w:szCs w:val="28"/>
    </w:rPr>
  </w:style>
  <w:style w:type="paragraph" w:customStyle="1" w:styleId="91">
    <w:name w:val="正文缩进1"/>
    <w:basedOn w:val="1"/>
    <w:qFormat/>
    <w:uiPriority w:val="0"/>
    <w:pPr>
      <w:ind w:firstLine="420" w:firstLineChars="200"/>
    </w:pPr>
    <w:rPr>
      <w:rFonts w:ascii="Calibri" w:hAnsi="Calibri"/>
    </w:rPr>
  </w:style>
  <w:style w:type="paragraph" w:customStyle="1" w:styleId="92">
    <w:name w:val="条目3"/>
    <w:basedOn w:val="20"/>
    <w:qFormat/>
    <w:uiPriority w:val="0"/>
  </w:style>
  <w:style w:type="character" w:customStyle="1" w:styleId="93">
    <w:name w:val="正文文本 Char1"/>
    <w:basedOn w:val="35"/>
    <w:link w:val="16"/>
    <w:qFormat/>
    <w:uiPriority w:val="0"/>
    <w:rPr>
      <w:rFonts w:ascii="Arial" w:hAnsi="Arial" w:cs="Arial"/>
      <w:sz w:val="24"/>
    </w:rPr>
  </w:style>
  <w:style w:type="paragraph" w:customStyle="1" w:styleId="9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5">
    <w:name w:val="纯文本 Char1"/>
    <w:basedOn w:val="35"/>
    <w:link w:val="20"/>
    <w:qFormat/>
    <w:uiPriority w:val="0"/>
    <w:rPr>
      <w:rFonts w:ascii="宋体" w:hAnsi="Courier New" w:eastAsia="宋体"/>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
    <w:name w:val="列出段落11"/>
    <w:basedOn w:val="1"/>
    <w:qFormat/>
    <w:uiPriority w:val="0"/>
    <w:pPr>
      <w:ind w:firstLine="420" w:firstLineChars="200"/>
    </w:pPr>
  </w:style>
  <w:style w:type="paragraph" w:customStyle="1" w:styleId="98">
    <w:name w:val="Char1"/>
    <w:basedOn w:val="1"/>
    <w:qFormat/>
    <w:uiPriority w:val="0"/>
    <w:pPr>
      <w:widowControl/>
      <w:spacing w:after="160" w:line="240" w:lineRule="exact"/>
      <w:jc w:val="left"/>
    </w:pPr>
    <w:rPr>
      <w:rFonts w:ascii="Verdana" w:hAnsi="Verdana"/>
      <w:kern w:val="0"/>
      <w:sz w:val="20"/>
      <w:lang w:eastAsia="en-US"/>
    </w:rPr>
  </w:style>
  <w:style w:type="paragraph" w:customStyle="1" w:styleId="99">
    <w:name w:val="首页大标题"/>
    <w:basedOn w:val="68"/>
    <w:qFormat/>
    <w:uiPriority w:val="0"/>
    <w:pPr>
      <w:ind w:firstLine="0" w:firstLineChars="0"/>
      <w:jc w:val="center"/>
    </w:pPr>
    <w:rPr>
      <w:rFonts w:ascii="黑体" w:eastAsia="黑体"/>
      <w:b/>
      <w:sz w:val="52"/>
    </w:rPr>
  </w:style>
  <w:style w:type="character" w:customStyle="1" w:styleId="100">
    <w:name w:val="正文首行缩进 Char1"/>
    <w:basedOn w:val="93"/>
    <w:link w:val="31"/>
    <w:qFormat/>
    <w:uiPriority w:val="0"/>
    <w:rPr>
      <w:rFonts w:ascii="Arial" w:hAnsi="Arial" w:cs="Arial"/>
      <w:sz w:val="24"/>
    </w:rPr>
  </w:style>
  <w:style w:type="paragraph" w:customStyle="1" w:styleId="10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p0"/>
    <w:basedOn w:val="1"/>
    <w:qFormat/>
    <w:uiPriority w:val="0"/>
    <w:pPr>
      <w:widowControl/>
    </w:pPr>
    <w:rPr>
      <w:kern w:val="0"/>
      <w:szCs w:val="21"/>
    </w:rPr>
  </w:style>
  <w:style w:type="paragraph" w:customStyle="1" w:styleId="103">
    <w:name w:val="条目2"/>
    <w:basedOn w:val="20"/>
    <w:qFormat/>
    <w:uiPriority w:val="0"/>
    <w:pPr>
      <w:tabs>
        <w:tab w:val="left" w:pos="420"/>
      </w:tabs>
      <w:spacing w:line="360" w:lineRule="auto"/>
      <w:ind w:left="420" w:hanging="420"/>
    </w:pPr>
    <w:rPr>
      <w:color w:val="000000"/>
      <w:sz w:val="30"/>
    </w:rPr>
  </w:style>
  <w:style w:type="paragraph" w:customStyle="1" w:styleId="104">
    <w:name w:val="1 Char Char Char Char"/>
    <w:basedOn w:val="1"/>
    <w:qFormat/>
    <w:uiPriority w:val="0"/>
    <w:rPr>
      <w:rFonts w:ascii="Tahoma" w:hAnsi="Tahoma"/>
      <w:sz w:val="24"/>
    </w:rPr>
  </w:style>
  <w:style w:type="character" w:customStyle="1" w:styleId="105">
    <w:name w:val="普通(网站) Char"/>
    <w:link w:val="30"/>
    <w:qFormat/>
    <w:uiPriority w:val="99"/>
    <w:rPr>
      <w:rFonts w:ascii="Arial Unicode MS" w:hAnsi="Arial Unicode MS" w:eastAsia="Arial Unicode MS" w:cs="Arial Unicode MS"/>
      <w:kern w:val="0"/>
      <w:sz w:val="24"/>
      <w:szCs w:val="24"/>
    </w:rPr>
  </w:style>
  <w:style w:type="paragraph" w:styleId="106">
    <w:name w:val="List Paragraph"/>
    <w:basedOn w:val="1"/>
    <w:link w:val="115"/>
    <w:qFormat/>
    <w:uiPriority w:val="34"/>
    <w:pPr>
      <w:ind w:firstLine="420" w:firstLineChars="200"/>
    </w:pPr>
    <w:rPr>
      <w:rFonts w:asciiTheme="minorHAnsi" w:hAnsiTheme="minorHAnsi" w:eastAsiaTheme="minorEastAsia" w:cstheme="minorBidi"/>
      <w:szCs w:val="22"/>
    </w:rPr>
  </w:style>
  <w:style w:type="paragraph" w:customStyle="1" w:styleId="107">
    <w:name w:val="宋体小四"/>
    <w:basedOn w:val="1"/>
    <w:qFormat/>
    <w:uiPriority w:val="0"/>
    <w:pPr>
      <w:spacing w:line="360" w:lineRule="auto"/>
      <w:ind w:firstLine="480" w:firstLineChars="200"/>
    </w:pPr>
    <w:rPr>
      <w:rFonts w:ascii="Arial" w:hAnsi="Arial"/>
      <w:sz w:val="24"/>
    </w:rPr>
  </w:style>
  <w:style w:type="paragraph" w:customStyle="1" w:styleId="108">
    <w:name w:val="列出段落2"/>
    <w:basedOn w:val="1"/>
    <w:qFormat/>
    <w:uiPriority w:val="34"/>
    <w:pPr>
      <w:ind w:firstLine="420" w:firstLineChars="200"/>
    </w:pPr>
    <w:rPr>
      <w:rFonts w:asciiTheme="minorHAnsi" w:hAnsiTheme="minorHAnsi" w:cstheme="minorBidi"/>
      <w:szCs w:val="24"/>
    </w:rPr>
  </w:style>
  <w:style w:type="paragraph" w:customStyle="1" w:styleId="109">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0">
    <w:name w:val="样式1"/>
    <w:basedOn w:val="5"/>
    <w:qFormat/>
    <w:uiPriority w:val="0"/>
    <w:pPr>
      <w:spacing w:before="0" w:after="0" w:line="240" w:lineRule="auto"/>
    </w:pPr>
    <w:rPr>
      <w:rFonts w:ascii="宋体" w:hAnsi="宋体"/>
      <w:szCs w:val="21"/>
    </w:rPr>
  </w:style>
  <w:style w:type="paragraph" w:customStyle="1" w:styleId="111">
    <w:name w:val="验收文档-首页主标题"/>
    <w:basedOn w:val="1"/>
    <w:qFormat/>
    <w:uiPriority w:val="0"/>
    <w:pPr>
      <w:jc w:val="center"/>
    </w:pPr>
    <w:rPr>
      <w:rFonts w:ascii="黑体" w:eastAsia="黑体"/>
      <w:sz w:val="52"/>
      <w:szCs w:val="52"/>
    </w:rPr>
  </w:style>
  <w:style w:type="paragraph" w:customStyle="1" w:styleId="112">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3">
    <w:name w:val="正文1125"/>
    <w:basedOn w:val="1"/>
    <w:qFormat/>
    <w:uiPriority w:val="0"/>
    <w:pPr>
      <w:adjustRightInd w:val="0"/>
      <w:snapToGrid w:val="0"/>
      <w:spacing w:afterLines="50"/>
      <w:ind w:firstLine="560" w:firstLineChars="200"/>
    </w:pPr>
    <w:rPr>
      <w:szCs w:val="28"/>
    </w:rPr>
  </w:style>
  <w:style w:type="paragraph" w:customStyle="1" w:styleId="114">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15">
    <w:name w:val="列出段落 Char"/>
    <w:link w:val="106"/>
    <w:qFormat/>
    <w:uiPriority w:val="34"/>
    <w:rPr>
      <w:kern w:val="2"/>
      <w:sz w:val="21"/>
      <w:szCs w:val="22"/>
    </w:rPr>
  </w:style>
  <w:style w:type="character" w:customStyle="1" w:styleId="116">
    <w:name w:val="bookmark-item"/>
    <w:basedOn w:val="35"/>
    <w:qFormat/>
    <w:uiPriority w:val="0"/>
  </w:style>
  <w:style w:type="paragraph" w:customStyle="1" w:styleId="11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18">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19">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F544C-236D-4283-A6BE-823F235C27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29267</Words>
  <Characters>32127</Characters>
  <Lines>173</Lines>
  <Paragraphs>48</Paragraphs>
  <TotalTime>3</TotalTime>
  <ScaleCrop>false</ScaleCrop>
  <LinksUpToDate>false</LinksUpToDate>
  <CharactersWithSpaces>32939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2021-05-10T12:36:00Z</dcterms:created>
  <dc:creator>Administrator</dc:creator>
  <cp:lastModifiedBy>Administrator</cp:lastModifiedBy>
  <cp:lastPrinted>2021-06-18T02:14:00Z</cp:lastPrinted>
  <dcterms:modified xsi:type="dcterms:W3CDTF">2022-05-10T10:22:15Z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4ED4E6B3C1C443E29DF6E4B180210CA2</vt:lpwstr>
  </property>
</Properties>
</file>