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bidi w:val="0"/>
      </w:pPr>
    </w:p>
    <w:p>
      <w:pPr>
        <w:spacing w:beforeLines="50" w:beforeAutospacing="0" w:afterLines="50" w:afterAutospacing="0" w:line="240" w:lineRule="auto"/>
        <w:jc w:val="center"/>
        <w:rPr>
          <w:rFonts w:asciiTheme="minorEastAsia" w:hAnsiTheme="minorEastAsia" w:eastAsiaTheme="minorEastAsia" w:cstheme="minorEastAsia"/>
          <w:spacing w:val="20"/>
          <w:sz w:val="44"/>
          <w:szCs w:val="44"/>
          <w:highlight w:val="green"/>
        </w:rPr>
      </w:pPr>
      <w:r>
        <w:rPr>
          <w:rFonts w:hint="eastAsia" w:asciiTheme="minorEastAsia" w:hAnsiTheme="minorEastAsia" w:eastAsiaTheme="minorEastAsia" w:cstheme="minorEastAsia"/>
          <w:spacing w:val="20"/>
          <w:sz w:val="44"/>
          <w:szCs w:val="44"/>
        </w:rPr>
        <w:t>新疆维吾尔自治区妇幼保健院（新疆维吾尔自治区第八人民医院）妇幼综合楼工程可行性研究报告编制及初步设计服务采购项目采购文件</w:t>
      </w: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z w:val="24"/>
        </w:rPr>
        <w:t>（2022年4月）</w:t>
      </w:r>
    </w:p>
    <w:p>
      <w:pPr>
        <w:jc w:val="center"/>
        <w:rPr>
          <w:rFonts w:asciiTheme="minorEastAsia" w:hAnsiTheme="minorEastAsia" w:eastAsiaTheme="minorEastAsia" w:cstheme="minorEastAsia"/>
          <w:spacing w:val="20"/>
          <w:sz w:val="24"/>
        </w:rPr>
      </w:pPr>
    </w:p>
    <w:tbl>
      <w:tblPr>
        <w:tblStyle w:val="35"/>
        <w:tblW w:w="7262" w:type="dxa"/>
        <w:jc w:val="center"/>
        <w:tblLayout w:type="fixed"/>
        <w:tblCellMar>
          <w:top w:w="0" w:type="dxa"/>
          <w:left w:w="108" w:type="dxa"/>
          <w:bottom w:w="0" w:type="dxa"/>
          <w:right w:w="108" w:type="dxa"/>
        </w:tblCellMar>
      </w:tblPr>
      <w:tblGrid>
        <w:gridCol w:w="1659"/>
        <w:gridCol w:w="1834"/>
        <w:gridCol w:w="1558"/>
        <w:gridCol w:w="2211"/>
      </w:tblGrid>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603"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新疆维吾尔自治区妇幼保健院（新疆维吾尔自治区第八人民医院）妇幼综合楼工程可行性研究报告编制及初步设计服务采购项目</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w:t>
            </w:r>
          </w:p>
        </w:tc>
        <w:tc>
          <w:tcPr>
            <w:tcW w:w="1834"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w:t>
            </w:r>
          </w:p>
        </w:tc>
        <w:tc>
          <w:tcPr>
            <w:tcW w:w="1558" w:type="dxa"/>
            <w:tcBorders>
              <w:top w:val="single" w:color="auto" w:sz="4" w:space="0"/>
            </w:tcBorders>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采购类别：</w:t>
            </w:r>
          </w:p>
        </w:tc>
        <w:tc>
          <w:tcPr>
            <w:tcW w:w="2211"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5603" w:type="dxa"/>
            <w:gridSpan w:val="3"/>
            <w:tcBorders>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2022-ZFCG-0012</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tc>
        <w:tc>
          <w:tcPr>
            <w:tcW w:w="5603"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新疆维吾尔自治区妇幼保健院（新疆维吾尔自治区第八人民医院）</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详细地址：</w:t>
            </w:r>
          </w:p>
        </w:tc>
        <w:tc>
          <w:tcPr>
            <w:tcW w:w="5603"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新疆维吾尔自治区乌鲁木齐市沙依巴克区友好北路789号</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w:t>
            </w:r>
          </w:p>
        </w:tc>
        <w:tc>
          <w:tcPr>
            <w:tcW w:w="1834"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陈峰</w:t>
            </w:r>
          </w:p>
        </w:tc>
        <w:tc>
          <w:tcPr>
            <w:tcW w:w="1558" w:type="dxa"/>
            <w:tcBorders>
              <w:top w:val="single" w:color="auto" w:sz="4" w:space="0"/>
            </w:tcBorders>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2211"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0991-7518753</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w:t>
            </w:r>
          </w:p>
        </w:tc>
        <w:tc>
          <w:tcPr>
            <w:tcW w:w="5603" w:type="dxa"/>
            <w:gridSpan w:val="3"/>
            <w:tcBorders>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新疆正禾招投标有限公司</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详细地址：</w:t>
            </w:r>
          </w:p>
        </w:tc>
        <w:tc>
          <w:tcPr>
            <w:tcW w:w="5603"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新疆乌鲁木齐高新技术产业开发区（新市区）鲤鱼山北路199号集电港A座511室</w:t>
            </w:r>
          </w:p>
        </w:tc>
      </w:tr>
      <w:tr>
        <w:tblPrEx>
          <w:tblCellMar>
            <w:top w:w="0" w:type="dxa"/>
            <w:left w:w="108" w:type="dxa"/>
            <w:bottom w:w="0" w:type="dxa"/>
            <w:right w:w="108" w:type="dxa"/>
          </w:tblCellMar>
        </w:tblPrEx>
        <w:trPr>
          <w:jc w:val="center"/>
        </w:trPr>
        <w:tc>
          <w:tcPr>
            <w:tcW w:w="1659" w:type="dxa"/>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w:t>
            </w:r>
          </w:p>
        </w:tc>
        <w:tc>
          <w:tcPr>
            <w:tcW w:w="1834"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杨慧、许光辉</w:t>
            </w:r>
          </w:p>
        </w:tc>
        <w:tc>
          <w:tcPr>
            <w:tcW w:w="1558" w:type="dxa"/>
            <w:tcBorders>
              <w:top w:val="single" w:color="auto" w:sz="4" w:space="0"/>
            </w:tcBorders>
            <w:vAlign w:val="bottom"/>
          </w:tcPr>
          <w:p>
            <w:pPr>
              <w:spacing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2211"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0991-6660570</w:t>
            </w:r>
          </w:p>
        </w:tc>
      </w:tr>
    </w:tbl>
    <w:p>
      <w:pPr>
        <w:widowControl/>
        <w:spacing w:before="0" w:beforeAutospacing="0" w:after="0" w:afterAutospacing="0" w:line="240" w:lineRule="auto"/>
        <w:jc w:val="left"/>
        <w:rPr>
          <w:rFonts w:asciiTheme="minorEastAsia" w:hAnsiTheme="minorEastAsia" w:eastAsiaTheme="minorEastAsia" w:cstheme="minorEastAsia"/>
          <w:bCs/>
          <w:sz w:val="44"/>
          <w:szCs w:val="44"/>
        </w:rPr>
      </w:pPr>
      <w:bookmarkStart w:id="0" w:name="_Toc406671082"/>
      <w:bookmarkStart w:id="1" w:name="_Toc406671674"/>
      <w:bookmarkStart w:id="2" w:name="_Toc406672380"/>
      <w:bookmarkStart w:id="3" w:name="_Toc406670710"/>
      <w:r>
        <w:rPr>
          <w:rFonts w:hint="eastAsia" w:asciiTheme="minorEastAsia" w:hAnsiTheme="minorEastAsia" w:eastAsiaTheme="minorEastAsia" w:cstheme="minorEastAsia"/>
          <w:bCs/>
          <w:sz w:val="44"/>
          <w:szCs w:val="44"/>
        </w:rPr>
        <w:br w:type="page"/>
      </w:r>
    </w:p>
    <w:sdt>
      <w:sdtPr>
        <w:rPr>
          <w:rFonts w:ascii="宋体" w:hAnsi="宋体" w:eastAsia="宋体" w:cs="Times New Roman"/>
          <w:kern w:val="2"/>
          <w:sz w:val="21"/>
          <w:szCs w:val="24"/>
          <w:lang w:val="en-US" w:eastAsia="zh-CN" w:bidi="ar-SA"/>
        </w:rPr>
        <w:id w:val="147477866"/>
        <w15:color w:val="DBDBDB"/>
        <w:docPartObj>
          <w:docPartGallery w:val="Table of Contents"/>
          <w:docPartUnique/>
        </w:docPartObj>
      </w:sdtPr>
      <w:sdtEndPr>
        <w:rPr>
          <w:rFonts w:asciiTheme="minorEastAsia" w:hAnsiTheme="minorEastAsia" w:eastAsiaTheme="minorEastAsia" w:cstheme="minorEastAsia"/>
          <w:kern w:val="2"/>
          <w:sz w:val="21"/>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46"/>
              <w:rFonts w:hint="eastAsia" w:ascii="黑体" w:hAnsi="黑体" w:eastAsia="黑体" w:cs="黑体"/>
              <w:b/>
              <w:bCs w:val="0"/>
              <w:sz w:val="24"/>
              <w:szCs w:val="24"/>
            </w:rPr>
          </w:pPr>
          <w:r>
            <w:rPr>
              <w:rStyle w:val="46"/>
              <w:rFonts w:hint="eastAsia" w:ascii="黑体" w:hAnsi="黑体" w:eastAsia="黑体" w:cs="黑体"/>
              <w:b/>
              <w:bCs w:val="0"/>
              <w:sz w:val="24"/>
              <w:szCs w:val="24"/>
            </w:rPr>
            <w:t>目</w:t>
          </w:r>
          <w:r>
            <w:rPr>
              <w:rStyle w:val="46"/>
              <w:rFonts w:hint="eastAsia" w:ascii="黑体" w:hAnsi="黑体" w:eastAsia="黑体" w:cs="黑体"/>
              <w:b/>
              <w:bCs w:val="0"/>
              <w:sz w:val="24"/>
              <w:szCs w:val="24"/>
              <w:lang w:val="en-US" w:eastAsia="zh-CN"/>
            </w:rPr>
            <w:t xml:space="preserve">   </w:t>
          </w:r>
          <w:r>
            <w:rPr>
              <w:rStyle w:val="46"/>
              <w:rFonts w:hint="eastAsia" w:ascii="黑体" w:hAnsi="黑体" w:eastAsia="黑体" w:cs="黑体"/>
              <w:b/>
              <w:bCs w:val="0"/>
              <w:sz w:val="24"/>
              <w:szCs w:val="24"/>
            </w:rPr>
            <w:t>录</w:t>
          </w:r>
        </w:p>
        <w:p>
          <w:pPr>
            <w:pStyle w:val="229"/>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"1-3"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_Toc24860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第一部分  专用部分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_Toc24860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_Toc5633 </w:instrText>
          </w:r>
          <w:r>
            <w:rPr>
              <w:rFonts w:hint="eastAsia" w:ascii="黑体" w:hAnsi="黑体" w:eastAsia="黑体" w:cs="黑体"/>
              <w:sz w:val="21"/>
              <w:szCs w:val="21"/>
            </w:rPr>
            <w:fldChar w:fldCharType="separate"/>
          </w:r>
          <w:r>
            <w:rPr>
              <w:rFonts w:hint="eastAsia" w:ascii="黑体" w:hAnsi="黑体" w:eastAsia="黑体" w:cs="黑体"/>
              <w:sz w:val="21"/>
              <w:szCs w:val="21"/>
            </w:rPr>
            <w:t>第一章　采购范围</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_Toc5633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_Toc26960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采购项目概述</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_Toc26960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_Toc25180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货物/服务要求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_Toc25180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_Toc896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供应商资格条件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_Toc896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_Toc2984 </w:instrText>
          </w:r>
          <w:r>
            <w:rPr>
              <w:rFonts w:hint="eastAsia" w:ascii="黑体" w:hAnsi="黑体" w:eastAsia="黑体" w:cs="黑体"/>
              <w:sz w:val="21"/>
              <w:szCs w:val="21"/>
            </w:rPr>
            <w:fldChar w:fldCharType="separate"/>
          </w:r>
          <w:r>
            <w:rPr>
              <w:rFonts w:hint="eastAsia" w:ascii="黑体" w:hAnsi="黑体" w:eastAsia="黑体" w:cs="黑体"/>
              <w:sz w:val="21"/>
              <w:szCs w:val="21"/>
            </w:rPr>
            <w:t>第二章 采购清单、技术参数及商务要求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_Toc2984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_Toc16165 </w:instrText>
          </w:r>
          <w:r>
            <w:rPr>
              <w:rFonts w:hint="eastAsia" w:ascii="黑体" w:hAnsi="黑体" w:eastAsia="黑体" w:cs="黑体"/>
              <w:sz w:val="21"/>
              <w:szCs w:val="21"/>
            </w:rPr>
            <w:fldChar w:fldCharType="separate"/>
          </w:r>
          <w:r>
            <w:rPr>
              <w:rFonts w:hint="eastAsia" w:ascii="黑体" w:hAnsi="黑体" w:eastAsia="黑体" w:cs="黑体"/>
              <w:sz w:val="21"/>
              <w:szCs w:val="21"/>
            </w:rPr>
            <w:t>第</w:t>
          </w:r>
          <w:r>
            <w:rPr>
              <w:rFonts w:hint="eastAsia" w:ascii="黑体" w:hAnsi="黑体" w:eastAsia="黑体" w:cs="黑体"/>
              <w:sz w:val="21"/>
              <w:szCs w:val="21"/>
              <w:lang w:eastAsia="zh-CN"/>
            </w:rPr>
            <w:t>一</w:t>
          </w:r>
          <w:r>
            <w:rPr>
              <w:rFonts w:hint="eastAsia" w:ascii="黑体" w:hAnsi="黑体" w:eastAsia="黑体" w:cs="黑体"/>
              <w:sz w:val="21"/>
              <w:szCs w:val="21"/>
            </w:rPr>
            <w:t xml:space="preserve">节 </w:t>
          </w:r>
          <w:r>
            <w:rPr>
              <w:rFonts w:hint="eastAsia" w:ascii="黑体" w:hAnsi="黑体" w:eastAsia="黑体" w:cs="黑体"/>
              <w:sz w:val="21"/>
              <w:szCs w:val="21"/>
              <w:lang w:eastAsia="zh-CN"/>
            </w:rPr>
            <w:t>采购清单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_Toc16165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_Toc21696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_Toc21696 \h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_Toc2022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图纸附件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_Toc2022 \h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_Toc17923 </w:instrText>
          </w:r>
          <w:r>
            <w:rPr>
              <w:rFonts w:hint="eastAsia" w:ascii="黑体" w:hAnsi="黑体" w:eastAsia="黑体" w:cs="黑体"/>
              <w:sz w:val="21"/>
              <w:szCs w:val="21"/>
            </w:rPr>
            <w:fldChar w:fldCharType="separate"/>
          </w:r>
          <w:r>
            <w:rPr>
              <w:rFonts w:hint="eastAsia" w:ascii="黑体" w:hAnsi="黑体" w:eastAsia="黑体" w:cs="黑体"/>
              <w:sz w:val="21"/>
              <w:szCs w:val="21"/>
            </w:rPr>
            <w:t>第三章　评标办法及评分标准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_Toc17923 \h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_Toc10929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评标办法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_Toc10929 \h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_Toc28291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_Toc28291 \h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_Toc8364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废标条款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_Toc8364 \h </w:instrText>
          </w:r>
          <w:r>
            <w:rPr>
              <w:rFonts w:hint="eastAsia" w:ascii="黑体" w:hAnsi="黑体" w:eastAsia="黑体" w:cs="黑体"/>
              <w:sz w:val="21"/>
              <w:szCs w:val="21"/>
            </w:rPr>
            <w:fldChar w:fldCharType="separate"/>
          </w:r>
          <w:r>
            <w:rPr>
              <w:rFonts w:hint="eastAsia" w:ascii="黑体" w:hAnsi="黑体" w:eastAsia="黑体" w:cs="黑体"/>
              <w:sz w:val="21"/>
              <w:szCs w:val="21"/>
            </w:rPr>
            <w:t>25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_Toc22467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无效标条款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_Toc22467 \h </w:instrText>
          </w:r>
          <w:r>
            <w:rPr>
              <w:rFonts w:hint="eastAsia" w:ascii="黑体" w:hAnsi="黑体" w:eastAsia="黑体" w:cs="黑体"/>
              <w:sz w:val="21"/>
              <w:szCs w:val="21"/>
            </w:rPr>
            <w:fldChar w:fldCharType="separate"/>
          </w:r>
          <w:r>
            <w:rPr>
              <w:rFonts w:hint="eastAsia" w:ascii="黑体" w:hAnsi="黑体" w:eastAsia="黑体" w:cs="黑体"/>
              <w:sz w:val="21"/>
              <w:szCs w:val="21"/>
            </w:rPr>
            <w:t>25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29"/>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_Toc13941 </w:instrText>
          </w:r>
          <w:r>
            <w:rPr>
              <w:rFonts w:hint="eastAsia" w:ascii="黑体" w:hAnsi="黑体" w:eastAsia="黑体" w:cs="黑体"/>
              <w:sz w:val="21"/>
              <w:szCs w:val="21"/>
            </w:rPr>
            <w:fldChar w:fldCharType="separate"/>
          </w:r>
          <w:r>
            <w:rPr>
              <w:rFonts w:hint="eastAsia" w:ascii="黑体" w:hAnsi="黑体" w:eastAsia="黑体" w:cs="黑体"/>
              <w:sz w:val="21"/>
              <w:szCs w:val="21"/>
            </w:rPr>
            <w:t>第二部分  通用部分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_Toc13941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_Toc2158 </w:instrText>
          </w:r>
          <w:r>
            <w:rPr>
              <w:rFonts w:hint="eastAsia" w:ascii="黑体" w:hAnsi="黑体" w:eastAsia="黑体" w:cs="黑体"/>
              <w:sz w:val="21"/>
              <w:szCs w:val="21"/>
            </w:rPr>
            <w:fldChar w:fldCharType="separate"/>
          </w:r>
          <w:r>
            <w:rPr>
              <w:rFonts w:hint="eastAsia" w:ascii="黑体" w:hAnsi="黑体" w:eastAsia="黑体" w:cs="黑体"/>
              <w:sz w:val="21"/>
              <w:szCs w:val="21"/>
            </w:rPr>
            <w:t>第四章  政府采购程序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_Toc2158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_Toc6789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发布采购公告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_Toc6789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_Toc5542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获取采购文件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_Toc5542 \h </w:instrText>
          </w:r>
          <w:r>
            <w:rPr>
              <w:rFonts w:hint="eastAsia" w:ascii="黑体" w:hAnsi="黑体" w:eastAsia="黑体" w:cs="黑体"/>
              <w:sz w:val="21"/>
              <w:szCs w:val="21"/>
            </w:rPr>
            <w:fldChar w:fldCharType="separate"/>
          </w:r>
          <w:r>
            <w:rPr>
              <w:rFonts w:hint="eastAsia" w:ascii="黑体" w:hAnsi="黑体" w:eastAsia="黑体" w:cs="黑体"/>
              <w:sz w:val="21"/>
              <w:szCs w:val="21"/>
            </w:rPr>
            <w:t>27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_Toc29637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交纳投标保证金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_Toc29637 \h </w:instrText>
          </w:r>
          <w:r>
            <w:rPr>
              <w:rFonts w:hint="eastAsia" w:ascii="黑体" w:hAnsi="黑体" w:eastAsia="黑体" w:cs="黑体"/>
              <w:sz w:val="21"/>
              <w:szCs w:val="21"/>
            </w:rPr>
            <w:fldChar w:fldCharType="separate"/>
          </w:r>
          <w:r>
            <w:rPr>
              <w:rFonts w:hint="eastAsia" w:ascii="黑体" w:hAnsi="黑体" w:eastAsia="黑体" w:cs="黑体"/>
              <w:sz w:val="21"/>
              <w:szCs w:val="21"/>
            </w:rPr>
            <w:t>28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_Toc32727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递交响应文件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_Toc32727 \h </w:instrText>
          </w:r>
          <w:r>
            <w:rPr>
              <w:rFonts w:hint="eastAsia" w:ascii="黑体" w:hAnsi="黑体" w:eastAsia="黑体" w:cs="黑体"/>
              <w:sz w:val="21"/>
              <w:szCs w:val="21"/>
            </w:rPr>
            <w:fldChar w:fldCharType="separate"/>
          </w:r>
          <w:r>
            <w:rPr>
              <w:rFonts w:hint="eastAsia" w:ascii="黑体" w:hAnsi="黑体" w:eastAsia="黑体" w:cs="黑体"/>
              <w:sz w:val="21"/>
              <w:szCs w:val="21"/>
            </w:rPr>
            <w:t>28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_Toc27013 </w:instrText>
          </w:r>
          <w:r>
            <w:rPr>
              <w:rFonts w:hint="eastAsia" w:ascii="黑体" w:hAnsi="黑体" w:eastAsia="黑体" w:cs="黑体"/>
              <w:sz w:val="21"/>
              <w:szCs w:val="21"/>
            </w:rPr>
            <w:fldChar w:fldCharType="separate"/>
          </w:r>
          <w:r>
            <w:rPr>
              <w:rFonts w:hint="eastAsia" w:ascii="黑体" w:hAnsi="黑体" w:eastAsia="黑体" w:cs="黑体"/>
              <w:sz w:val="21"/>
              <w:szCs w:val="21"/>
            </w:rPr>
            <w:t>第五节 竞争性磋商程序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_Toc27013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_Toc16189 </w:instrText>
          </w:r>
          <w:r>
            <w:rPr>
              <w:rFonts w:hint="eastAsia" w:ascii="黑体" w:hAnsi="黑体" w:eastAsia="黑体" w:cs="黑体"/>
              <w:sz w:val="21"/>
              <w:szCs w:val="21"/>
            </w:rPr>
            <w:fldChar w:fldCharType="separate"/>
          </w:r>
          <w:r>
            <w:rPr>
              <w:rFonts w:hint="eastAsia" w:ascii="黑体" w:hAnsi="黑体" w:eastAsia="黑体" w:cs="黑体"/>
              <w:sz w:val="21"/>
              <w:szCs w:val="21"/>
            </w:rPr>
            <w:t>第六节 发布成交公告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_Toc16189 \h </w:instrText>
          </w:r>
          <w:r>
            <w:rPr>
              <w:rFonts w:hint="eastAsia" w:ascii="黑体" w:hAnsi="黑体" w:eastAsia="黑体" w:cs="黑体"/>
              <w:sz w:val="21"/>
              <w:szCs w:val="21"/>
            </w:rPr>
            <w:fldChar w:fldCharType="separate"/>
          </w:r>
          <w:r>
            <w:rPr>
              <w:rFonts w:hint="eastAsia" w:ascii="黑体" w:hAnsi="黑体" w:eastAsia="黑体" w:cs="黑体"/>
              <w:sz w:val="21"/>
              <w:szCs w:val="21"/>
            </w:rPr>
            <w:t>34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_Toc4219 </w:instrText>
          </w:r>
          <w:r>
            <w:rPr>
              <w:rFonts w:hint="eastAsia" w:ascii="黑体" w:hAnsi="黑体" w:eastAsia="黑体" w:cs="黑体"/>
              <w:sz w:val="21"/>
              <w:szCs w:val="21"/>
            </w:rPr>
            <w:fldChar w:fldCharType="separate"/>
          </w:r>
          <w:r>
            <w:rPr>
              <w:rFonts w:hint="eastAsia" w:ascii="黑体" w:hAnsi="黑体" w:eastAsia="黑体" w:cs="黑体"/>
              <w:sz w:val="21"/>
              <w:szCs w:val="21"/>
            </w:rPr>
            <w:t>第七节 支付代理服务费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_Toc4219 \h </w:instrText>
          </w:r>
          <w:r>
            <w:rPr>
              <w:rFonts w:hint="eastAsia" w:ascii="黑体" w:hAnsi="黑体" w:eastAsia="黑体" w:cs="黑体"/>
              <w:sz w:val="21"/>
              <w:szCs w:val="21"/>
            </w:rPr>
            <w:fldChar w:fldCharType="separate"/>
          </w:r>
          <w:r>
            <w:rPr>
              <w:rFonts w:hint="eastAsia" w:ascii="黑体" w:hAnsi="黑体" w:eastAsia="黑体" w:cs="黑体"/>
              <w:sz w:val="21"/>
              <w:szCs w:val="21"/>
            </w:rPr>
            <w:t>36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_Toc17789 </w:instrText>
          </w:r>
          <w:r>
            <w:rPr>
              <w:rFonts w:hint="eastAsia" w:ascii="黑体" w:hAnsi="黑体" w:eastAsia="黑体" w:cs="黑体"/>
              <w:sz w:val="21"/>
              <w:szCs w:val="21"/>
            </w:rPr>
            <w:fldChar w:fldCharType="separate"/>
          </w:r>
          <w:r>
            <w:rPr>
              <w:rFonts w:hint="eastAsia" w:ascii="黑体" w:hAnsi="黑体" w:eastAsia="黑体" w:cs="黑体"/>
              <w:sz w:val="21"/>
              <w:szCs w:val="21"/>
            </w:rPr>
            <w:t>第八节 签订政府采购合同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_Toc17789 \h </w:instrText>
          </w:r>
          <w:r>
            <w:rPr>
              <w:rFonts w:hint="eastAsia" w:ascii="黑体" w:hAnsi="黑体" w:eastAsia="黑体" w:cs="黑体"/>
              <w:sz w:val="21"/>
              <w:szCs w:val="21"/>
            </w:rPr>
            <w:fldChar w:fldCharType="separate"/>
          </w:r>
          <w:r>
            <w:rPr>
              <w:rFonts w:hint="eastAsia" w:ascii="黑体" w:hAnsi="黑体" w:eastAsia="黑体" w:cs="黑体"/>
              <w:sz w:val="21"/>
              <w:szCs w:val="21"/>
            </w:rPr>
            <w:t>37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_Toc3192 </w:instrText>
          </w:r>
          <w:r>
            <w:rPr>
              <w:rFonts w:hint="eastAsia" w:ascii="黑体" w:hAnsi="黑体" w:eastAsia="黑体" w:cs="黑体"/>
              <w:sz w:val="21"/>
              <w:szCs w:val="21"/>
            </w:rPr>
            <w:fldChar w:fldCharType="separate"/>
          </w:r>
          <w:r>
            <w:rPr>
              <w:rFonts w:hint="eastAsia" w:ascii="黑体" w:hAnsi="黑体" w:eastAsia="黑体" w:cs="黑体"/>
              <w:sz w:val="21"/>
              <w:szCs w:val="21"/>
            </w:rPr>
            <w:t>第九节 退还投标保证金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_Toc3192 \h </w:instrText>
          </w:r>
          <w:r>
            <w:rPr>
              <w:rFonts w:hint="eastAsia" w:ascii="黑体" w:hAnsi="黑体" w:eastAsia="黑体" w:cs="黑体"/>
              <w:sz w:val="21"/>
              <w:szCs w:val="21"/>
            </w:rPr>
            <w:fldChar w:fldCharType="separate"/>
          </w:r>
          <w:r>
            <w:rPr>
              <w:rFonts w:hint="eastAsia" w:ascii="黑体" w:hAnsi="黑体" w:eastAsia="黑体" w:cs="黑体"/>
              <w:sz w:val="21"/>
              <w:szCs w:val="21"/>
            </w:rPr>
            <w:t>37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_Toc9459 </w:instrText>
          </w:r>
          <w:r>
            <w:rPr>
              <w:rFonts w:hint="eastAsia" w:ascii="黑体" w:hAnsi="黑体" w:eastAsia="黑体" w:cs="黑体"/>
              <w:sz w:val="21"/>
              <w:szCs w:val="21"/>
            </w:rPr>
            <w:fldChar w:fldCharType="separate"/>
          </w:r>
          <w:r>
            <w:rPr>
              <w:rFonts w:hint="eastAsia" w:ascii="黑体" w:hAnsi="黑体" w:eastAsia="黑体" w:cs="黑体"/>
              <w:sz w:val="21"/>
              <w:szCs w:val="21"/>
            </w:rPr>
            <w:t>第五章  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_Toc9459 \h </w:instrText>
          </w:r>
          <w:r>
            <w:rPr>
              <w:rFonts w:hint="eastAsia" w:ascii="黑体" w:hAnsi="黑体" w:eastAsia="黑体" w:cs="黑体"/>
              <w:sz w:val="21"/>
              <w:szCs w:val="21"/>
            </w:rPr>
            <w:fldChar w:fldCharType="separate"/>
          </w:r>
          <w:r>
            <w:rPr>
              <w:rFonts w:hint="eastAsia" w:ascii="黑体" w:hAnsi="黑体" w:eastAsia="黑体" w:cs="黑体"/>
              <w:sz w:val="21"/>
              <w:szCs w:val="21"/>
            </w:rPr>
            <w:t>40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_Toc29932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主要条款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_Toc29932 \h </w:instrText>
          </w:r>
          <w:r>
            <w:rPr>
              <w:rFonts w:hint="eastAsia" w:ascii="黑体" w:hAnsi="黑体" w:eastAsia="黑体" w:cs="黑体"/>
              <w:sz w:val="21"/>
              <w:szCs w:val="21"/>
            </w:rPr>
            <w:fldChar w:fldCharType="separate"/>
          </w:r>
          <w:r>
            <w:rPr>
              <w:rFonts w:hint="eastAsia" w:ascii="黑体" w:hAnsi="黑体" w:eastAsia="黑体" w:cs="黑体"/>
              <w:sz w:val="21"/>
              <w:szCs w:val="21"/>
            </w:rPr>
            <w:t>40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_Toc27497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拟签订的政府采购合同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_Toc27497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29"/>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_Toc10285 </w:instrText>
          </w:r>
          <w:r>
            <w:rPr>
              <w:rFonts w:hint="eastAsia" w:ascii="黑体" w:hAnsi="黑体" w:eastAsia="黑体" w:cs="黑体"/>
              <w:sz w:val="21"/>
              <w:szCs w:val="21"/>
            </w:rPr>
            <w:fldChar w:fldCharType="separate"/>
          </w:r>
          <w:r>
            <w:rPr>
              <w:rFonts w:hint="eastAsia" w:ascii="黑体" w:hAnsi="黑体" w:eastAsia="黑体" w:cs="黑体"/>
              <w:sz w:val="21"/>
              <w:szCs w:val="21"/>
            </w:rPr>
            <w:t>第三部分  响应文件编制规范</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_Toc10285 \h </w:instrText>
          </w:r>
          <w:r>
            <w:rPr>
              <w:rFonts w:hint="eastAsia" w:ascii="黑体" w:hAnsi="黑体" w:eastAsia="黑体" w:cs="黑体"/>
              <w:sz w:val="21"/>
              <w:szCs w:val="21"/>
            </w:rPr>
            <w:fldChar w:fldCharType="separate"/>
          </w:r>
          <w:r>
            <w:rPr>
              <w:rFonts w:hint="eastAsia" w:ascii="黑体" w:hAnsi="黑体" w:eastAsia="黑体" w:cs="黑体"/>
              <w:sz w:val="21"/>
              <w:szCs w:val="21"/>
            </w:rPr>
            <w:t>46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_Toc23175 </w:instrText>
          </w:r>
          <w:r>
            <w:rPr>
              <w:rFonts w:hint="eastAsia" w:ascii="黑体" w:hAnsi="黑体" w:eastAsia="黑体" w:cs="黑体"/>
              <w:sz w:val="21"/>
              <w:szCs w:val="21"/>
            </w:rPr>
            <w:fldChar w:fldCharType="separate"/>
          </w:r>
          <w:r>
            <w:rPr>
              <w:rFonts w:hint="eastAsia" w:ascii="黑体" w:hAnsi="黑体" w:eastAsia="黑体" w:cs="黑体"/>
              <w:sz w:val="21"/>
              <w:szCs w:val="21"/>
            </w:rPr>
            <w:t>第六章 响应文件的编制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_Toc23175 \h </w:instrText>
          </w:r>
          <w:r>
            <w:rPr>
              <w:rFonts w:hint="eastAsia" w:ascii="黑体" w:hAnsi="黑体" w:eastAsia="黑体" w:cs="黑体"/>
              <w:sz w:val="21"/>
              <w:szCs w:val="21"/>
            </w:rPr>
            <w:fldChar w:fldCharType="separate"/>
          </w:r>
          <w:r>
            <w:rPr>
              <w:rFonts w:hint="eastAsia" w:ascii="黑体" w:hAnsi="黑体" w:eastAsia="黑体" w:cs="黑体"/>
              <w:sz w:val="21"/>
              <w:szCs w:val="21"/>
            </w:rPr>
            <w:t>46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_Toc9913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编制要求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_Toc9913 \h </w:instrText>
          </w:r>
          <w:r>
            <w:rPr>
              <w:rFonts w:hint="eastAsia" w:ascii="黑体" w:hAnsi="黑体" w:eastAsia="黑体" w:cs="黑体"/>
              <w:sz w:val="21"/>
              <w:szCs w:val="21"/>
            </w:rPr>
            <w:fldChar w:fldCharType="separate"/>
          </w:r>
          <w:r>
            <w:rPr>
              <w:rFonts w:hint="eastAsia" w:ascii="黑体" w:hAnsi="黑体" w:eastAsia="黑体" w:cs="黑体"/>
              <w:sz w:val="21"/>
              <w:szCs w:val="21"/>
            </w:rPr>
            <w:t>46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响应文件组成</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_Toc212 \h </w:instrText>
          </w:r>
          <w:r>
            <w:rPr>
              <w:rFonts w:hint="eastAsia" w:ascii="黑体" w:hAnsi="黑体" w:eastAsia="黑体" w:cs="黑体"/>
              <w:sz w:val="21"/>
              <w:szCs w:val="21"/>
            </w:rPr>
            <w:fldChar w:fldCharType="separate"/>
          </w:r>
          <w:r>
            <w:rPr>
              <w:rFonts w:hint="eastAsia" w:ascii="黑体" w:hAnsi="黑体" w:eastAsia="黑体" w:cs="黑体"/>
              <w:sz w:val="21"/>
              <w:szCs w:val="21"/>
            </w:rPr>
            <w:t>47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_Toc15645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响应文件格式范本</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_Toc15645 \h </w:instrText>
          </w:r>
          <w:r>
            <w:rPr>
              <w:rFonts w:hint="eastAsia" w:ascii="黑体" w:hAnsi="黑体" w:eastAsia="黑体" w:cs="黑体"/>
              <w:sz w:val="21"/>
              <w:szCs w:val="21"/>
            </w:rPr>
            <w:fldChar w:fldCharType="separate"/>
          </w:r>
          <w:r>
            <w:rPr>
              <w:rFonts w:hint="eastAsia" w:ascii="黑体" w:hAnsi="黑体" w:eastAsia="黑体" w:cs="黑体"/>
              <w:sz w:val="21"/>
              <w:szCs w:val="21"/>
            </w:rPr>
            <w:t>48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asciiTheme="minorEastAsia" w:hAnsiTheme="minorEastAsia" w:eastAsiaTheme="minorEastAsia" w:cstheme="minorEastAsia"/>
              <w:sz w:val="32"/>
              <w:szCs w:val="32"/>
            </w:rPr>
            <w:sectPr>
              <w:headerReference r:id="rId7" w:type="first"/>
              <w:headerReference r:id="rId5" w:type="default"/>
              <w:footerReference r:id="rId8" w:type="default"/>
              <w:headerReference r:id="rId6" w:type="even"/>
              <w:pgSz w:w="11907" w:h="16840"/>
              <w:pgMar w:top="911" w:right="1418" w:bottom="1009" w:left="1418" w:header="720" w:footer="63" w:gutter="0"/>
              <w:pgNumType w:start="1"/>
              <w:cols w:space="425" w:num="1"/>
              <w:docGrid w:linePitch="285" w:charSpace="0"/>
            </w:sectPr>
          </w:pPr>
          <w:r>
            <w:rPr>
              <w:rFonts w:hint="eastAsia" w:ascii="黑体" w:hAnsi="黑体" w:eastAsia="黑体" w:cs="黑体"/>
              <w:sz w:val="21"/>
              <w:szCs w:val="21"/>
            </w:rPr>
            <w:fldChar w:fldCharType="end"/>
          </w:r>
        </w:p>
      </w:sdtContent>
    </w:sdt>
    <w:p>
      <w:pPr>
        <w:pStyle w:val="3"/>
        <w:rPr>
          <w:rFonts w:asciiTheme="minorEastAsia" w:hAnsiTheme="minorEastAsia" w:eastAsiaTheme="minorEastAsia" w:cstheme="minorEastAsia"/>
        </w:rPr>
      </w:pPr>
      <w:bookmarkStart w:id="4" w:name="_Toc24860"/>
      <w:bookmarkStart w:id="5" w:name="_Toc424213008"/>
      <w:r>
        <w:rPr>
          <w:rFonts w:hint="eastAsia" w:asciiTheme="minorEastAsia" w:hAnsiTheme="minorEastAsia" w:eastAsiaTheme="minorEastAsia" w:cstheme="minorEastAsia"/>
        </w:rPr>
        <w:t>第一部分  专用部分</w:t>
      </w:r>
      <w:bookmarkEnd w:id="0"/>
      <w:bookmarkEnd w:id="1"/>
      <w:bookmarkEnd w:id="2"/>
      <w:bookmarkEnd w:id="3"/>
      <w:bookmarkEnd w:id="4"/>
      <w:bookmarkEnd w:id="5"/>
    </w:p>
    <w:p>
      <w:pPr>
        <w:pStyle w:val="80"/>
        <w:spacing w:line="360" w:lineRule="auto"/>
        <w:jc w:val="center"/>
        <w:rPr>
          <w:b/>
          <w:bCs/>
          <w:sz w:val="28"/>
          <w:szCs w:val="28"/>
        </w:rPr>
      </w:pPr>
      <w:r>
        <w:rPr>
          <w:rFonts w:hint="eastAsia"/>
          <w:b/>
          <w:bCs/>
          <w:sz w:val="28"/>
          <w:szCs w:val="28"/>
        </w:rPr>
        <w:t>新疆正禾招投标有限公司关于新疆维吾尔自治区妇幼保健院（新疆维吾尔自治区第八人民医院）妇幼综合楼工程可行性研究报告编制及初步设计服务采购项目的竞争性磋商公告</w:t>
      </w:r>
    </w:p>
    <w:p>
      <w:pPr>
        <w:pStyle w:val="32"/>
        <w:keepNext w:val="0"/>
        <w:keepLines w:val="0"/>
        <w:widowControl/>
        <w:suppressLineNumbers w:val="0"/>
        <w:spacing w:before="75" w:beforeAutospacing="0" w:after="150" w:afterAutospacing="0"/>
        <w:ind w:left="0" w:right="0"/>
      </w:pPr>
      <w:bookmarkStart w:id="6" w:name="_Toc481083794"/>
      <w:bookmarkStart w:id="7" w:name="_Toc479871106"/>
      <w:r>
        <w:rPr>
          <w:rFonts w:ascii="仿宋" w:hAnsi="仿宋" w:eastAsia="仿宋" w:cs="仿宋"/>
          <w:sz w:val="27"/>
          <w:szCs w:val="27"/>
        </w:rPr>
        <w:t> </w:t>
      </w:r>
      <w:r>
        <w:rPr>
          <w:rFonts w:hint="eastAsia" w:ascii="仿宋" w:hAnsi="仿宋" w:eastAsia="仿宋" w:cs="仿宋"/>
          <w:sz w:val="27"/>
          <w:szCs w:val="27"/>
        </w:rPr>
        <w:t xml:space="preserve">  </w:t>
      </w:r>
      <w:r>
        <w:rPr>
          <w:rFonts w:hint="eastAsia" w:asciiTheme="minorEastAsia" w:hAnsiTheme="minorEastAsia" w:eastAsiaTheme="minorEastAsia" w:cstheme="minorEastAsia"/>
          <w:sz w:val="24"/>
          <w:szCs w:val="24"/>
        </w:rPr>
        <w:t>项目概况</w:t>
      </w:r>
      <w:r>
        <w:rPr>
          <w:rFonts w:hint="eastAsia" w:ascii="仿宋" w:hAnsi="仿宋" w:eastAsia="仿宋" w:cs="仿宋"/>
        </w:rPr>
        <w:t>                                                    </w:t>
      </w:r>
    </w:p>
    <w:p>
      <w:pPr>
        <w:pStyle w:val="32"/>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w:t>
      </w:r>
      <w:r>
        <w:rPr>
          <w:rFonts w:hint="eastAsia" w:asciiTheme="minorEastAsia" w:hAnsiTheme="minorEastAsia" w:eastAsiaTheme="minorEastAsia" w:cstheme="minorEastAsia"/>
          <w:sz w:val="24"/>
          <w:szCs w:val="24"/>
        </w:rPr>
        <w:t> 新疆维吾尔自治区妇幼保健院（新疆维吾尔自治区第八人民医院）妇幼综合楼工程可行性研究报告编制及初步设计服务采购项目采购项目的潜在供应商应在新疆乌鲁木齐高新技术产业开发区（新市区）鲤鱼山北路199号集电港A座511室标书发售室获取采购文件，并于2022年05月07日 11:00（北京时间）前提交响应文件。     </w:t>
      </w:r>
      <w:r>
        <w:rPr>
          <w:rFonts w:hint="eastAsia" w:ascii="仿宋" w:hAnsi="仿宋" w:eastAsia="仿宋" w:cs="仿宋"/>
        </w:rPr>
        <w:t xml:space="preserve">                       </w:t>
      </w:r>
    </w:p>
    <w:p>
      <w:pPr>
        <w:pStyle w:val="32"/>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38"/>
          <w:rFonts w:ascii="黑体" w:hAnsi="宋体" w:eastAsia="黑体" w:cs="黑体"/>
          <w:sz w:val="27"/>
          <w:szCs w:val="27"/>
        </w:rPr>
        <w:t>一、项目基本情况</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仿宋" w:hAnsi="仿宋" w:eastAsia="仿宋" w:cs="仿宋"/>
          <w:sz w:val="27"/>
          <w:szCs w:val="27"/>
        </w:rPr>
        <w:t xml:space="preserve">    </w:t>
      </w:r>
      <w:r>
        <w:rPr>
          <w:rFonts w:hint="eastAsia" w:asciiTheme="minorEastAsia" w:hAnsiTheme="minorEastAsia" w:eastAsiaTheme="minorEastAsia" w:cstheme="minorEastAsia"/>
          <w:sz w:val="24"/>
          <w:szCs w:val="24"/>
        </w:rPr>
        <w:t>项目编号：2022-ZFCG-0012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项目名称：新疆维吾尔自治区妇幼保健院（新疆维吾尔自治区第八人民医院）妇幼综合楼工程可行性研究报告编制及初步设计服务采购项目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采购方式：竞争性磋商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预算金额（元）：1600000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最高限价（元）：1600000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7F7F7"/>
        </w:rPr>
        <w:t>   标项名称： </w:t>
      </w:r>
      <w:r>
        <w:rPr>
          <w:rStyle w:val="43"/>
          <w:rFonts w:hint="eastAsia" w:asciiTheme="minorEastAsia" w:hAnsiTheme="minorEastAsia" w:eastAsiaTheme="minorEastAsia" w:cstheme="minorEastAsia"/>
          <w:sz w:val="24"/>
          <w:szCs w:val="24"/>
          <w:shd w:val="clear" w:fill="F7F7F7"/>
        </w:rPr>
        <w:t>新疆维吾尔自治区第八人民医院新疆维吾尔自治区妇幼保健院（新疆维吾尔自治区第八人民医院）妇幼综合楼工程可行性研究报告编制及初步设计服务采购项目</w:t>
      </w:r>
      <w:r>
        <w:rPr>
          <w:rFonts w:hint="eastAsia" w:asciiTheme="minorEastAsia" w:hAnsiTheme="minorEastAsia" w:eastAsiaTheme="minorEastAsia" w:cstheme="minorEastAsia"/>
          <w:sz w:val="24"/>
          <w:szCs w:val="24"/>
          <w:shd w:val="clear" w:fill="F7F7F7"/>
        </w:rPr>
        <w:t>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   数量：不限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预算金额（元）：1600000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单位：批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简要规格描述：选取1家设计服务商按照《投资项目可行性研究编制指南》（试用本）和《建筑工程设计文件编制深度规定（2016版）等标准规范进行新疆维吾尔自治区妇幼保健院（新疆维吾尔自治区第八人民医院）妇幼综合楼工程建设项目可行性研究报告编制及初步设计，要求提供全套设计成果资料，按照双方认可的标准进行验收并通过委托方及上级主管部门组织的专家评审会。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备注：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合同履约期限：标项 1，可行性研究报告编制为签订合同后15个自然日内交付，初步设计为签订合同后30个自然日内交付。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本项目（否）接受联合体投标。  </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二、申请人的资格要求：</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1.满足《中华人民共和国政府采购法》第二十二条规定；</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2.落实政府采购政策需满足的资格要求：无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本项目的特定资格要求：标项1：3.1供应商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3.2需具备工程设计综合资质甲级或建筑行业(建筑工程)资质甲级，在人员、资金、等方面应具有相应的能力。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三、获取采购文件</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u w:val="none"/>
        </w:rPr>
        <w:t>时间：2022年04月22日至2022年04月28日，每天上午10:00至13:30，下午15:00至19:00（北京时间，法定节假日除外）</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地点：新疆乌鲁木齐高新技术产业开发区（新市区）鲤鱼山北路199号集电港A座511室标书发售室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方式：线下获取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四、响应文件提交</w:t>
      </w: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截止时间：2022年05月07日 11:00（北京时间）</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地点：新疆乌鲁木齐高新技术产业开发区（新市区）鲤鱼山北路199号集电港A座511室 </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五、响应文件开启</w:t>
      </w: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开启时间：2022年05月07日 11:00 （北京时间）</w:t>
      </w:r>
    </w:p>
    <w:p>
      <w:pPr>
        <w:pStyle w:val="32"/>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地点：新疆乌鲁木齐高新技术产业开发区（新市区）鲤鱼山北路199号集电港A座511室 </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六、公告期限</w:t>
      </w:r>
    </w:p>
    <w:p>
      <w:pPr>
        <w:pStyle w:val="3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自本公告发布之日起3个工作日。</w:t>
      </w:r>
    </w:p>
    <w:p>
      <w:pPr>
        <w:pStyle w:val="32"/>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七、其他补充事宜</w:t>
      </w: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75" w:beforeAutospacing="0" w:after="75" w:afterAutospacing="0" w:line="315"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 需落实的政府采购政策：促进中小企业发展、支持监狱企业发展、支持残疾人福利性单位发展、采购节能产品、环境标志产品相关政策等。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 投标文件递交方式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（1）现场送达（须严格按照国家、地区防疫要求配合出示健康码等相关证明资料）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说明：为新冠肺炎疫情防控需要，尽量减少人员聚集，鼓励无接触或少接触投标，投标文件于 2022 年 5 月 7 日 10 点 00 分开始接收，接收现场投标人至少保持 2 米间隔。请各授权代表预留足够的排队时间，并佩戴口罩、持绿色健康码参加。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p>
    <w:p>
      <w:pPr>
        <w:pStyle w:val="32"/>
        <w:keepNext w:val="0"/>
        <w:keepLines w:val="0"/>
        <w:widowControl/>
        <w:suppressLineNumbers w:val="0"/>
        <w:spacing w:before="255" w:beforeAutospacing="0" w:after="255" w:afterAutospacing="0" w:line="480" w:lineRule="atLeast"/>
        <w:ind w:left="0" w:right="0"/>
        <w:jc w:val="both"/>
        <w:rPr>
          <w:rFonts w:hint="eastAsia" w:asciiTheme="minorEastAsia" w:hAnsiTheme="minorEastAsia" w:eastAsiaTheme="minorEastAsia" w:cstheme="minorEastAsia"/>
          <w:sz w:val="24"/>
          <w:szCs w:val="24"/>
        </w:rPr>
      </w:pPr>
      <w:r>
        <w:rPr>
          <w:rStyle w:val="38"/>
          <w:rFonts w:hint="eastAsia" w:asciiTheme="minorEastAsia" w:hAnsiTheme="minorEastAsia" w:eastAsiaTheme="minorEastAsia" w:cstheme="minorEastAsia"/>
          <w:sz w:val="24"/>
          <w:szCs w:val="24"/>
        </w:rPr>
        <w:t>八、凡对本次招标提出询问，请按以下方式联系</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Style w:val="43"/>
          <w:rFonts w:hint="eastAsia" w:asciiTheme="minorEastAsia" w:hAnsiTheme="minorEastAsia" w:eastAsiaTheme="minorEastAsia" w:cstheme="minorEastAsia"/>
          <w:sz w:val="24"/>
          <w:szCs w:val="24"/>
        </w:rPr>
        <w:t>新疆维吾尔自治区第八人民医院</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址：乌鲁木齐市友好北路789号</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联系方式：0991-7518753</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称：新疆正禾招投标有限公司</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址：新疆乌鲁木齐高新技术产业开发区（新市区）鲤鱼山北路199号驰达-高新区（新市区）电子信息产业加速器1栋511室</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联系方式：0991-6660570</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Style w:val="43"/>
          <w:rFonts w:hint="eastAsia" w:asciiTheme="minorEastAsia" w:hAnsiTheme="minorEastAsia" w:eastAsiaTheme="minorEastAsia" w:cstheme="minorEastAsia"/>
          <w:sz w:val="24"/>
          <w:szCs w:val="24"/>
        </w:rPr>
        <w:t>杨慧、许光辉</w:t>
      </w:r>
    </w:p>
    <w:p>
      <w:pPr>
        <w:pStyle w:val="32"/>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Style w:val="43"/>
          <w:rFonts w:hint="eastAsia" w:asciiTheme="minorEastAsia" w:hAnsiTheme="minorEastAsia" w:eastAsiaTheme="minorEastAsia" w:cstheme="minorEastAsia"/>
          <w:sz w:val="24"/>
          <w:szCs w:val="24"/>
        </w:rPr>
        <w:t>0991-6660570</w:t>
      </w:r>
    </w:p>
    <w:p>
      <w:pPr>
        <w:pStyle w:val="32"/>
        <w:keepNext w:val="0"/>
        <w:keepLines w:val="0"/>
        <w:widowControl/>
        <w:suppressLineNumbers w:val="0"/>
        <w:spacing w:before="75" w:beforeAutospacing="0" w:after="75" w:afterAutospacing="0"/>
        <w:ind w:left="0" w:right="0"/>
      </w:pPr>
    </w:p>
    <w:p>
      <w:pPr>
        <w:widowControl/>
        <w:spacing w:before="0" w:beforeAutospacing="0" w:after="0" w:afterAutospacing="0" w:line="240" w:lineRule="auto"/>
        <w:jc w:val="left"/>
        <w:rPr>
          <w:rFonts w:ascii="仿宋" w:hAnsi="仿宋"/>
          <w:b/>
          <w:szCs w:val="30"/>
        </w:rPr>
      </w:pPr>
      <w:r>
        <w:rPr>
          <w:rFonts w:ascii="仿宋" w:hAnsi="仿宋"/>
          <w:b/>
          <w:szCs w:val="30"/>
        </w:rPr>
        <w:br w:type="page"/>
      </w:r>
    </w:p>
    <w:p>
      <w:pPr>
        <w:jc w:val="center"/>
        <w:rPr>
          <w:rFonts w:ascii="仿宋" w:hAnsi="仿宋"/>
          <w:b/>
          <w:szCs w:val="30"/>
        </w:rPr>
      </w:pPr>
      <w:r>
        <w:rPr>
          <w:rFonts w:hint="eastAsia" w:ascii="仿宋" w:hAnsi="仿宋"/>
          <w:b/>
          <w:szCs w:val="30"/>
        </w:rPr>
        <w:t>供应商须知前附表</w:t>
      </w:r>
      <w:bookmarkEnd w:id="6"/>
      <w:bookmarkEnd w:id="7"/>
    </w:p>
    <w:tbl>
      <w:tblPr>
        <w:tblStyle w:val="35"/>
        <w:tblW w:w="5020" w:type="pct"/>
        <w:tblInd w:w="0" w:type="dxa"/>
        <w:tblLayout w:type="autofit"/>
        <w:tblCellMar>
          <w:top w:w="0" w:type="dxa"/>
          <w:left w:w="0" w:type="dxa"/>
          <w:bottom w:w="0" w:type="dxa"/>
          <w:right w:w="0" w:type="dxa"/>
        </w:tblCellMar>
      </w:tblPr>
      <w:tblGrid>
        <w:gridCol w:w="1051"/>
        <w:gridCol w:w="2011"/>
        <w:gridCol w:w="6556"/>
      </w:tblGrid>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内容</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说明与要求</w:t>
            </w:r>
          </w:p>
        </w:tc>
      </w:tr>
      <w:tr>
        <w:tblPrEx>
          <w:tblCellMar>
            <w:top w:w="0" w:type="dxa"/>
            <w:left w:w="0" w:type="dxa"/>
            <w:bottom w:w="0" w:type="dxa"/>
            <w:right w:w="0" w:type="dxa"/>
          </w:tblCellMar>
        </w:tblPrEx>
        <w:trPr>
          <w:trHeight w:val="495"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项目</w:t>
            </w:r>
            <w:r>
              <w:rPr>
                <w:rFonts w:hint="eastAsia" w:asciiTheme="minorEastAsia" w:hAnsiTheme="minorEastAsia" w:eastAsiaTheme="minorEastAsia" w:cstheme="minorEastAsia"/>
                <w:sz w:val="24"/>
              </w:rPr>
              <w:t>名称</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新疆维吾尔自治区妇幼保健院（新疆维吾尔自治区第八人民医院）妇幼综合楼工程可行性研究报告编制及初步设计服务采购项目</w:t>
            </w:r>
          </w:p>
        </w:tc>
      </w:tr>
      <w:tr>
        <w:tblPrEx>
          <w:tblCellMar>
            <w:top w:w="0" w:type="dxa"/>
            <w:left w:w="0" w:type="dxa"/>
            <w:bottom w:w="0" w:type="dxa"/>
            <w:right w:w="0" w:type="dxa"/>
          </w:tblCellMar>
        </w:tblPrEx>
        <w:trPr>
          <w:trHeight w:val="495"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2022-ZFCG-0012</w:t>
            </w:r>
          </w:p>
        </w:tc>
      </w:tr>
      <w:tr>
        <w:tblPrEx>
          <w:tblCellMar>
            <w:top w:w="0" w:type="dxa"/>
            <w:left w:w="0" w:type="dxa"/>
            <w:bottom w:w="0" w:type="dxa"/>
            <w:right w:w="0" w:type="dxa"/>
          </w:tblCellMar>
        </w:tblPrEx>
        <w:trPr>
          <w:trHeight w:val="495"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1.采购人信息</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称：新疆维吾尔自治区妇幼保健院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地址：新疆维吾尔自治区乌鲁木齐市沙依巴克区友好北路789号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联系人：陈峰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联系方式：0991-7518753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2.采购代理机构信息</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名 称：新疆正禾招投标有限公司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址：新疆乌鲁木齐高新技术产业开发区（新市区）鲤鱼山北路199号集电港A座511室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联系人：杨慧、许光辉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联系方式：0991-6660570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邮箱号：zh6660570@qq.com　　　</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是否接受联合体投标</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本项目不接受联合体投标。</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选取1家设计服务商按照《投资项目可行性研究编制指南》（试用本）和《建筑工程设计文件编制深度规定（2016版）等标准规范进行新疆维吾尔自治区妇幼保健院（新疆维吾尔自治区第八人民医院）</w:t>
            </w:r>
            <w:bookmarkStart w:id="8" w:name="_Hlk101475054"/>
            <w:r>
              <w:rPr>
                <w:rFonts w:hint="eastAsia" w:asciiTheme="minorEastAsia" w:hAnsiTheme="minorEastAsia" w:eastAsiaTheme="minorEastAsia" w:cstheme="minorEastAsia"/>
                <w:sz w:val="24"/>
              </w:rPr>
              <w:t>妇幼综合楼工程建设项目</w:t>
            </w:r>
            <w:bookmarkEnd w:id="8"/>
            <w:r>
              <w:rPr>
                <w:rFonts w:hint="eastAsia" w:asciiTheme="minorEastAsia" w:hAnsiTheme="minorEastAsia" w:eastAsiaTheme="minorEastAsia" w:cstheme="minorEastAsia"/>
                <w:sz w:val="24"/>
              </w:rPr>
              <w:t>可行性研究报告编制及初步设计，要求提供全套设计成果资料，按照双方认可的标准进行验收并通过委托方及上级主管部门组织的专家评审会。</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供应商资格要求</w:t>
            </w:r>
          </w:p>
        </w:tc>
        <w:tc>
          <w:tcPr>
            <w:tcW w:w="3407" w:type="pct"/>
            <w:tcBorders>
              <w:top w:val="nil"/>
              <w:left w:val="nil"/>
              <w:bottom w:val="single" w:color="auto" w:sz="4" w:space="0"/>
              <w:right w:val="single" w:color="auto" w:sz="4" w:space="0"/>
            </w:tcBorders>
            <w:shd w:val="clear" w:color="auto" w:fill="auto"/>
            <w:vAlign w:val="center"/>
          </w:tcPr>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3.2需具备工程设计综合资质甲级或建筑行业(建筑工程)资质甲级，在人员、资金、等方面应具有相应的能力。</w:t>
            </w:r>
          </w:p>
          <w:p>
            <w:pPr>
              <w:pStyle w:val="80"/>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3.3本项目不接受联合体投标。</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投标前答疑会</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90天</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本次投标保证金为人民币</w:t>
            </w:r>
            <w:r>
              <w:rPr>
                <w:rFonts w:hint="eastAsia" w:asciiTheme="minorEastAsia" w:hAnsiTheme="minorEastAsia" w:eastAsiaTheme="minorEastAsia" w:cstheme="minorEastAsia"/>
                <w:sz w:val="24"/>
                <w:highlight w:val="none"/>
              </w:rPr>
              <w:t>16000</w:t>
            </w:r>
            <w:r>
              <w:rPr>
                <w:rFonts w:hint="eastAsia" w:asciiTheme="minorEastAsia" w:hAnsiTheme="minorEastAsia" w:eastAsiaTheme="minorEastAsia" w:cstheme="minorEastAsia"/>
                <w:sz w:val="24"/>
              </w:rPr>
              <w:t>元（壹万陆仟），投标保证金应当采用支票、电汇等非现金形式交纳；由供应商在供应商截至日前提交至如下账户。</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帐户名称：新疆正禾招投标有限公司</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帐    号：107682142279</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行    号：104881004153</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供应商汇投标保证金时，请在电汇单附言中备注“保证金0012”</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供应商要求澄清招标文件的截止时间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报名截止后48小时内</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采购人补遗澄清截止时间</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提交响应文件截止时间前</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供应商确认收到采购文件澄清的时间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收到澄清后24小时内（以发出时间为准）</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供应商确认收到采购文件修改的时间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收到修改后24小时内（以发出时间为准）</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响应文件份数</w:t>
            </w:r>
          </w:p>
        </w:tc>
        <w:tc>
          <w:tcPr>
            <w:tcW w:w="3407" w:type="pct"/>
            <w:tcBorders>
              <w:top w:val="nil"/>
              <w:left w:val="nil"/>
              <w:bottom w:val="single" w:color="auto" w:sz="4" w:space="0"/>
              <w:right w:val="single" w:color="auto" w:sz="4" w:space="0"/>
            </w:tcBorders>
            <w:shd w:val="clear" w:color="auto" w:fill="auto"/>
            <w:vAlign w:val="center"/>
          </w:tcPr>
          <w:p>
            <w:pPr>
              <w:pStyle w:val="79"/>
              <w:spacing w:beforeLines="50" w:beforeAutospacing="0" w:afterLines="50" w:afterAutospacing="0" w:line="276"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1.正本份数：一（1）份；副本份数：</w:t>
            </w:r>
            <w:r>
              <w:rPr>
                <w:rFonts w:hint="eastAsia" w:asciiTheme="minorEastAsia" w:hAnsiTheme="minorEastAsia" w:eastAsiaTheme="minorEastAsia" w:cstheme="minorEastAsia"/>
                <w:sz w:val="24"/>
                <w:highlight w:val="yellow"/>
                <w:lang w:eastAsia="zh-CN"/>
              </w:rPr>
              <w:t>两</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highlight w:val="yellow"/>
                <w:lang w:val="en-US" w:eastAsia="zh-CN"/>
              </w:rPr>
              <w:t>2</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rPr>
              <w:t>份；</w:t>
            </w:r>
          </w:p>
          <w:p>
            <w:pPr>
              <w:pStyle w:val="79"/>
              <w:spacing w:beforeLines="50" w:beforeAutospacing="0" w:afterLines="50" w:afterAutospacing="0" w:line="276"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2.开标一览表：一（1）份。</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3.响应文件电子版（U盘）份数：一（1）份，电子版U盘上应清晰标记出项目名称及供应商名称。</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响应文件的签字和盖章</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1.所有要求法定代表人和其委托代理人签字或印章的地方都应用不褪色的黑色墨水签字笔由本人亲笔手写签字（包括姓和名）或印章。</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响应文件的密封</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交的文件至少包括三个密封件，分别是：响应文件密封件、开标一览表及电子版文件（包括响应文件电子版，响应文件电子版需标注供应商名称）；一个密封件确实无法密封的，可分开密封，但须按顺序编号，例如“1/3、2/3…”。</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2.响应文件密封件、开标一览表及电子版文件均须在封套的所有封口标注供应商的明细、地址和电话等内容并加盖公章。</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9</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响应文件的标识</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在响应文件的封套上应清楚地标记“响应文件”等字样，封套还应标明项目名称以及供应商名称、供应商地址等；在所有封签处标注“请勿在</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年</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月</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日</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时00分（北京时间）之前启封”字样（上述时间为提交响应文件的截止时间）。</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装订要求</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正本、副本分册装订，胶装；电子文件用U盘储存。</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2022年5月7日11:00（北京时间）</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响应文件递交截止时间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2022年5月7日11:00（北京时间）</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响应文件提交地点</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新疆乌鲁木齐高新技术产业开发区（新市区）鲤鱼山北路199号集电港A座511室</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是否退还响应文件</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响应文件开启时间</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2022年5月7日11:00（北京时间）</w:t>
            </w:r>
          </w:p>
        </w:tc>
      </w:tr>
      <w:tr>
        <w:tblPrEx>
          <w:tblCellMar>
            <w:top w:w="0" w:type="dxa"/>
            <w:left w:w="0" w:type="dxa"/>
            <w:bottom w:w="0" w:type="dxa"/>
            <w:right w:w="0" w:type="dxa"/>
          </w:tblCellMar>
        </w:tblPrEx>
        <w:trPr>
          <w:trHeight w:val="20" w:hRule="atLeast"/>
        </w:trPr>
        <w:tc>
          <w:tcPr>
            <w:tcW w:w="546"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1045" w:type="pct"/>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响应文件开启地点</w:t>
            </w:r>
          </w:p>
        </w:tc>
        <w:tc>
          <w:tcPr>
            <w:tcW w:w="3407" w:type="pct"/>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新疆乌鲁木齐高新技术产业开发区（新市区）鲤鱼山北路199号集电港A座511室</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签署合同时间</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中标通知书发出后30日内，中标人与采购人签署《政府采购合同》</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招标代理服务费</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代理机构参考国家发改委发改办价格[2003]857号、国家计委计价格[2002]1980号等文件规定，向中标供应商收取代理服务费。</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1"/>
              <w:spacing w:line="276" w:lineRule="auto"/>
              <w:jc w:val="center"/>
              <w:rPr>
                <w:rFonts w:ascii="仿宋" w:hAnsi="仿宋"/>
                <w:sz w:val="24"/>
                <w:szCs w:val="24"/>
              </w:rPr>
            </w:pPr>
            <w:r>
              <w:rPr>
                <w:rFonts w:hint="eastAsia" w:ascii="仿宋" w:hAnsi="仿宋"/>
                <w:sz w:val="24"/>
                <w:szCs w:val="24"/>
              </w:rPr>
              <w:t>29</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仿宋" w:hAnsi="仿宋"/>
                <w:sz w:val="24"/>
              </w:rPr>
            </w:pPr>
            <w:r>
              <w:rPr>
                <w:rFonts w:hint="eastAsia" w:asciiTheme="minorEastAsia" w:hAnsiTheme="minorEastAsia" w:eastAsiaTheme="minorEastAsia" w:cstheme="minorEastAsia"/>
                <w:sz w:val="24"/>
              </w:rPr>
              <w:t>其他</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一、加★号的条款均被视为重要的指标要求，必须一一响应。若有一项带“★”的指标要求未响应或不满足，将按投标无效处理。</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二、供应商报价低于最高限价40%的，必须在响应文件中说明报价理由。</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三、供应商的报价明显低于其他通过符合性审查供应商的报价，有可能影响产品质量或者不能诚信履约的，应当按评标委员会的要求，在评标现场合理的时间内提供书面说明，必要时提交相关证明材料；供应商不能证明其报价合理性的，将被作为无效投标处理。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五、供应商一旦依法被确认为中标人，其响应文件中的相关内容（主要中标标的的名称、规格型号、数量、单价、服务要求等），将会随中标结果公告一并发布在采购信息发布网上，接受社会监督。</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六、采购代理机构不对供应商报名时提交的相关资料的真实性负责，如供应商发现相关资料被盗用或复制，应遵循法律途径解决，追究侵权者责任。</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本提示内容非招标文件的组成部分，仅为善意提醒。如有不一致，以招标文件为准。）</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中标单位领取中标通知书前需向新疆维吾尔自治区妇幼保健院（新疆维吾尔自治区第八人民医院）交履约保证金（中标金额的10%）</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设计周期</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可行性研究报告编制为签订合同后15个自然日内交付，初步设计为签订合同后30个自然日内交付。</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交付地点</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甲方指定地点</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服务要求</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其他主要人员要求：由于项目时间紧，所配备人员必须为业务能力强，能够满足本项目需求。</w:t>
            </w:r>
          </w:p>
          <w:p>
            <w:pPr>
              <w:spacing w:beforeLines="50" w:beforeAutospacing="0" w:afterLines="50" w:afterAutospacing="0" w:line="276"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其他要求：具有本项目业务所需的技术人员与仪器（软件）设备，有完善的质量保证体系和成果管理制度，技术、经营、人事、财务、档案等管理制度健全。中标人在收到中标通知书后7日内，设计方项目负责人和响应文件约定的相关管理人员必须到达发包人项目所在地，与发包人开展项目对接及组织项目设计准备工作。未能按期到场的，招标人有权取消中标人中标资格。</w:t>
            </w:r>
          </w:p>
        </w:tc>
      </w:tr>
      <w:tr>
        <w:tblPrEx>
          <w:tblCellMar>
            <w:top w:w="0" w:type="dxa"/>
            <w:left w:w="0" w:type="dxa"/>
            <w:bottom w:w="0" w:type="dxa"/>
            <w:right w:w="0" w:type="dxa"/>
          </w:tblCellMar>
        </w:tblPrEx>
        <w:trPr>
          <w:trHeight w:val="2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其他</w:t>
            </w:r>
          </w:p>
        </w:tc>
        <w:tc>
          <w:tcPr>
            <w:tcW w:w="3407" w:type="pct"/>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供应商不得提供虚假资料，一经发现，其投标被拒绝，并上报相关监管部门</w:t>
            </w:r>
          </w:p>
        </w:tc>
      </w:tr>
    </w:tbl>
    <w:p>
      <w:pPr>
        <w:spacing w:beforeLines="50" w:beforeAutospacing="0" w:afterLines="50" w:afterAutospacing="0" w:line="24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注：本前附表中的内容是对供应商须知的具体补充和修改，如果有矛盾，应以本前附表内容为准</w:t>
      </w:r>
    </w:p>
    <w:p/>
    <w:p/>
    <w:p/>
    <w:p>
      <w:pPr>
        <w:widowControl/>
        <w:spacing w:before="0" w:beforeAutospacing="0" w:after="0" w:afterAutospacing="0" w:line="240" w:lineRule="auto"/>
        <w:jc w:val="left"/>
      </w:pPr>
      <w:r>
        <w:br w:type="page"/>
      </w:r>
    </w:p>
    <w:p/>
    <w:p>
      <w:pPr>
        <w:pStyle w:val="4"/>
        <w:rPr>
          <w:rFonts w:asciiTheme="minorEastAsia" w:hAnsiTheme="minorEastAsia" w:eastAsiaTheme="minorEastAsia" w:cstheme="minorEastAsia"/>
        </w:rPr>
      </w:pPr>
      <w:bookmarkStart w:id="9" w:name="_Toc406672381"/>
      <w:bookmarkStart w:id="10" w:name="_Toc406671675"/>
      <w:bookmarkStart w:id="11" w:name="_Toc424213009"/>
      <w:bookmarkStart w:id="12" w:name="_Toc406670711"/>
      <w:bookmarkStart w:id="13" w:name="_Toc406671083"/>
      <w:bookmarkStart w:id="14" w:name="_Toc5633"/>
      <w:r>
        <w:rPr>
          <w:rFonts w:hint="eastAsia" w:asciiTheme="minorEastAsia" w:hAnsiTheme="minorEastAsia" w:eastAsiaTheme="minorEastAsia" w:cstheme="minorEastAsia"/>
        </w:rPr>
        <w:t>第一章　采购范围</w:t>
      </w:r>
      <w:bookmarkEnd w:id="9"/>
      <w:bookmarkEnd w:id="10"/>
      <w:bookmarkEnd w:id="11"/>
      <w:bookmarkEnd w:id="12"/>
      <w:bookmarkEnd w:id="13"/>
      <w:bookmarkEnd w:id="14"/>
    </w:p>
    <w:p>
      <w:pPr>
        <w:pStyle w:val="5"/>
        <w:rPr>
          <w:rFonts w:asciiTheme="minorEastAsia" w:hAnsiTheme="minorEastAsia" w:eastAsiaTheme="minorEastAsia" w:cstheme="minorEastAsia"/>
        </w:rPr>
      </w:pPr>
      <w:bookmarkStart w:id="15" w:name="_Toc424213010"/>
      <w:bookmarkStart w:id="16" w:name="_Toc406670712"/>
      <w:bookmarkStart w:id="17" w:name="_Toc406671676"/>
      <w:bookmarkStart w:id="18" w:name="_Toc406672382"/>
      <w:bookmarkStart w:id="19" w:name="_Toc406671084"/>
      <w:bookmarkStart w:id="20" w:name="_Toc26960"/>
      <w:r>
        <w:rPr>
          <w:rFonts w:hint="eastAsia" w:asciiTheme="minorEastAsia" w:hAnsiTheme="minorEastAsia" w:eastAsiaTheme="minorEastAsia" w:cstheme="minorEastAsia"/>
        </w:rPr>
        <w:t>第一节  采购项目概述</w:t>
      </w:r>
      <w:bookmarkEnd w:id="15"/>
      <w:bookmarkEnd w:id="16"/>
      <w:bookmarkEnd w:id="17"/>
      <w:bookmarkEnd w:id="18"/>
      <w:bookmarkEnd w:id="19"/>
      <w:bookmarkEnd w:id="20"/>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21" w:name="_Toc406670713"/>
      <w:r>
        <w:rPr>
          <w:rFonts w:hint="eastAsia" w:asciiTheme="minorEastAsia" w:hAnsiTheme="minorEastAsia" w:eastAsiaTheme="minorEastAsia" w:cstheme="minorEastAsia"/>
          <w:sz w:val="24"/>
        </w:rPr>
        <w:t>一、项目概述</w:t>
      </w:r>
      <w:bookmarkEnd w:id="21"/>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22" w:name="_Toc406670714"/>
      <w:bookmarkStart w:id="23" w:name="_Toc406671085"/>
      <w:r>
        <w:rPr>
          <w:rFonts w:hint="eastAsia" w:asciiTheme="minorEastAsia" w:hAnsiTheme="minorEastAsia" w:eastAsiaTheme="minorEastAsia" w:cstheme="minorEastAsia"/>
          <w:sz w:val="24"/>
        </w:rPr>
        <w:t>新疆维吾尔自治区妇幼保健院妇幼综合楼工程可行性研究报告编制及初步设计服务采购招标项目的潜在供应商应在（新疆乌鲁木齐高新技术产业开发区（新市区）鲤鱼山北路199号集电港A座511室）获取招标文件，并于2022年5月7日11:00（北京时间）（北京时间）前递交响应文件。</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bookmarkEnd w:id="22"/>
      <w:bookmarkEnd w:id="23"/>
      <w:r>
        <w:rPr>
          <w:rFonts w:hint="eastAsia" w:asciiTheme="minorEastAsia" w:hAnsiTheme="minorEastAsia" w:eastAsiaTheme="minorEastAsia" w:cstheme="minorEastAsia"/>
          <w:sz w:val="24"/>
        </w:rPr>
        <w:t>采购预算</w:t>
      </w:r>
    </w:p>
    <w:p>
      <w:pPr>
        <w:pageBreakBefore w:val="0"/>
        <w:widowControl w:val="0"/>
        <w:kinsoku/>
        <w:wordWrap/>
        <w:overflowPunct/>
        <w:topLinePunct w:val="0"/>
        <w:autoSpaceDE/>
        <w:autoSpaceDN/>
        <w:bidi w:val="0"/>
        <w:adjustRightInd/>
        <w:snapToGrid/>
        <w:spacing w:beforeLines="10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本项目资金来源为财政性资金。</w:t>
      </w:r>
    </w:p>
    <w:p>
      <w:pPr>
        <w:pageBreakBefore w:val="0"/>
        <w:widowControl w:val="0"/>
        <w:kinsoku/>
        <w:wordWrap/>
        <w:overflowPunct/>
        <w:topLinePunct w:val="0"/>
        <w:autoSpaceDE/>
        <w:autoSpaceDN/>
        <w:bidi w:val="0"/>
        <w:adjustRightInd/>
        <w:snapToGrid/>
        <w:spacing w:beforeLines="10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本项目的最高限价为：160万元；</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24" w:name="_Toc406671086"/>
      <w:bookmarkStart w:id="25" w:name="_Toc406670715"/>
      <w:r>
        <w:rPr>
          <w:rFonts w:hint="eastAsia" w:asciiTheme="minorEastAsia" w:hAnsiTheme="minorEastAsia" w:eastAsiaTheme="minorEastAsia" w:cstheme="minorEastAsia"/>
          <w:sz w:val="24"/>
        </w:rPr>
        <w:t>三、招标文件解释权</w:t>
      </w:r>
    </w:p>
    <w:p>
      <w:pPr>
        <w:pageBreakBefore w:val="0"/>
        <w:widowControl w:val="0"/>
        <w:kinsoku/>
        <w:wordWrap/>
        <w:overflowPunct/>
        <w:topLinePunct w:val="0"/>
        <w:autoSpaceDE/>
        <w:autoSpaceDN/>
        <w:bidi w:val="0"/>
        <w:adjustRightInd/>
        <w:snapToGrid/>
        <w:spacing w:beforeLines="10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本项目招标文件的最终解释权归采购人。</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w:t>
      </w:r>
      <w:bookmarkEnd w:id="24"/>
      <w:bookmarkEnd w:id="25"/>
      <w:r>
        <w:rPr>
          <w:rFonts w:hint="eastAsia" w:asciiTheme="minorEastAsia" w:hAnsiTheme="minorEastAsia" w:eastAsiaTheme="minorEastAsia" w:cstheme="minorEastAsia"/>
          <w:sz w:val="24"/>
        </w:rPr>
        <w:t>采购人</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26" w:name="_Toc406671087"/>
      <w:bookmarkStart w:id="27" w:name="_Toc406671677"/>
      <w:bookmarkStart w:id="28" w:name="_Toc406670716"/>
      <w:r>
        <w:rPr>
          <w:rFonts w:hint="eastAsia" w:asciiTheme="minorEastAsia" w:hAnsiTheme="minorEastAsia" w:eastAsiaTheme="minorEastAsia" w:cstheme="minorEastAsia"/>
          <w:sz w:val="24"/>
        </w:rPr>
        <w:t>名 称：新疆维吾尔自治区妇幼保健院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地址：新疆维吾尔自治区乌鲁木齐市沙依巴克区友好北路789号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联系人：陈峰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联系方式：0991-7518753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五、代理机构</w:t>
      </w:r>
      <w:bookmarkEnd w:id="26"/>
      <w:bookmarkEnd w:id="27"/>
      <w:bookmarkEnd w:id="28"/>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29" w:name="_Toc406671678"/>
      <w:bookmarkStart w:id="30" w:name="_Toc406672383"/>
      <w:bookmarkStart w:id="31" w:name="_Toc406671088"/>
      <w:bookmarkStart w:id="32" w:name="_Toc406670717"/>
      <w:r>
        <w:rPr>
          <w:rFonts w:hint="eastAsia" w:asciiTheme="minorEastAsia" w:hAnsiTheme="minorEastAsia" w:eastAsiaTheme="minorEastAsia" w:cstheme="minorEastAsia"/>
          <w:sz w:val="24"/>
        </w:rPr>
        <w:t xml:space="preserve">名称：新疆正禾招投标有限公司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地址：新疆乌鲁木齐高新技术产业开发区（新市区）鲤鱼山北路199号集电港A座511室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联系人：杨慧、许光辉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联系方式：0991-6660570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邮箱号：zh6660570@qq.com　　</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六、监督部门</w:t>
      </w:r>
      <w:bookmarkStart w:id="33" w:name="_Toc424213011"/>
      <w:r>
        <w:rPr>
          <w:rFonts w:hint="eastAsia" w:asciiTheme="minorEastAsia" w:hAnsiTheme="minorEastAsia" w:eastAsiaTheme="minorEastAsia" w:cstheme="minorEastAsia"/>
          <w:sz w:val="24"/>
        </w:rPr>
        <w:t>：财政监督电话：0991-2822689</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p>
    <w:p>
      <w:pPr>
        <w:pStyle w:val="5"/>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rPr>
      </w:pPr>
      <w:bookmarkStart w:id="34" w:name="_Toc25180"/>
      <w:r>
        <w:rPr>
          <w:rFonts w:hint="eastAsia" w:asciiTheme="minorEastAsia" w:hAnsiTheme="minorEastAsia" w:eastAsiaTheme="minorEastAsia" w:cstheme="minorEastAsia"/>
        </w:rPr>
        <w:t>第二节  货物/服务要求</w:t>
      </w:r>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35" w:name="_Toc406671089"/>
      <w:bookmarkStart w:id="36" w:name="_Toc406670718"/>
      <w:r>
        <w:rPr>
          <w:rFonts w:hint="eastAsia" w:asciiTheme="minorEastAsia" w:hAnsiTheme="minorEastAsia" w:eastAsiaTheme="minorEastAsia" w:cstheme="minorEastAsia"/>
          <w:sz w:val="24"/>
        </w:rPr>
        <w:t>一、服务范围</w:t>
      </w:r>
      <w:bookmarkEnd w:id="35"/>
      <w:bookmarkEnd w:id="36"/>
      <w:r>
        <w:rPr>
          <w:rFonts w:hint="eastAsia" w:asciiTheme="minorEastAsia" w:hAnsiTheme="minorEastAsia" w:eastAsiaTheme="minorEastAsia" w:cstheme="minorEastAsia"/>
          <w:sz w:val="24"/>
        </w:rPr>
        <w:t>：新疆维吾尔自治区妇幼保健院（新疆维吾尔自治区第八人民医院）妇幼综合楼工程可行性研究报告编制及初步设计服务采购项目。</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37" w:name="_Toc406671090"/>
      <w:bookmarkStart w:id="38" w:name="_Toc406670719"/>
      <w:r>
        <w:rPr>
          <w:rFonts w:hint="eastAsia" w:asciiTheme="minorEastAsia" w:hAnsiTheme="minorEastAsia" w:eastAsiaTheme="minorEastAsia" w:cstheme="minorEastAsia"/>
          <w:sz w:val="24"/>
        </w:rPr>
        <w:t>二、服务须满足的规范、标准</w:t>
      </w:r>
      <w:bookmarkEnd w:id="37"/>
      <w:bookmarkEnd w:id="38"/>
      <w:r>
        <w:rPr>
          <w:rFonts w:hint="eastAsia" w:asciiTheme="minorEastAsia" w:hAnsiTheme="minorEastAsia" w:eastAsiaTheme="minorEastAsia" w:cstheme="minorEastAsia"/>
          <w:sz w:val="24"/>
        </w:rPr>
        <w:t>：国家对设计服务单位要求。</w:t>
      </w:r>
    </w:p>
    <w:p>
      <w:pPr>
        <w:pStyle w:val="5"/>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rPr>
      </w:pPr>
      <w:bookmarkStart w:id="39" w:name="_Toc406672384"/>
      <w:bookmarkStart w:id="40" w:name="_Toc406671091"/>
      <w:bookmarkStart w:id="41" w:name="_Toc406671679"/>
      <w:bookmarkStart w:id="42" w:name="_Toc406670720"/>
      <w:bookmarkStart w:id="43" w:name="_Toc424213012"/>
      <w:bookmarkStart w:id="44" w:name="_Toc896"/>
      <w:r>
        <w:rPr>
          <w:rFonts w:hint="eastAsia" w:asciiTheme="minorEastAsia" w:hAnsiTheme="minorEastAsia" w:eastAsiaTheme="minorEastAsia" w:cstheme="minorEastAsia"/>
        </w:rPr>
        <w:t>第三节  供应商资格条件</w:t>
      </w:r>
      <w:bookmarkEnd w:id="39"/>
      <w:bookmarkEnd w:id="40"/>
      <w:bookmarkEnd w:id="41"/>
      <w:bookmarkEnd w:id="42"/>
      <w:bookmarkEnd w:id="43"/>
      <w:bookmarkEnd w:id="44"/>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bookmarkStart w:id="45" w:name="_Toc406671092"/>
      <w:bookmarkStart w:id="46" w:name="_Toc406672385"/>
      <w:bookmarkStart w:id="47" w:name="_Toc406670721"/>
      <w:bookmarkStart w:id="48" w:name="_Toc406671680"/>
      <w:r>
        <w:rPr>
          <w:rFonts w:hint="eastAsia" w:asciiTheme="minorEastAsia" w:hAnsiTheme="minorEastAsia" w:eastAsiaTheme="minorEastAsia" w:cstheme="minorEastAsia"/>
          <w:sz w:val="24"/>
        </w:rPr>
        <w:t>本项目供应商资格条件要求如下：</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2.落实政府采购政策需满足的资格要求：/</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3.2需具备工程设计综合资质甲级或建筑行业(建筑工程)资质甲级，在人员、资金、等方面应具有相应的能力。</w:t>
      </w:r>
    </w:p>
    <w:p>
      <w:pPr>
        <w:pageBreakBefore w:val="0"/>
        <w:widowControl w:val="0"/>
        <w:kinsoku/>
        <w:wordWrap/>
        <w:overflowPunct/>
        <w:topLinePunct w:val="0"/>
        <w:autoSpaceDE/>
        <w:autoSpaceDN/>
        <w:bidi w:val="0"/>
        <w:adjustRightInd/>
        <w:snapToGrid/>
        <w:spacing w:beforeLines="50" w:beforeAutospacing="0" w:afterLines="50" w:afterAutospacing="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3.3本项目不接受联合体投标。</w:t>
      </w:r>
    </w:p>
    <w:p>
      <w:pPr>
        <w:spacing w:beforeLines="50" w:beforeAutospacing="0" w:afterLines="50" w:afterAutospacing="0"/>
        <w:ind w:firstLine="480" w:firstLineChars="200"/>
        <w:rPr>
          <w:rFonts w:asciiTheme="minorEastAsia" w:hAnsiTheme="minorEastAsia" w:eastAsiaTheme="minorEastAsia" w:cstheme="minorEastAsia"/>
          <w:sz w:val="24"/>
        </w:rPr>
      </w:pPr>
    </w:p>
    <w:p>
      <w:pPr>
        <w:pStyle w:val="4"/>
        <w:numPr>
          <w:ilvl w:val="0"/>
          <w:numId w:val="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49" w:name="_Toc424213013"/>
      <w:bookmarkStart w:id="50" w:name="_Toc2984"/>
      <w:r>
        <w:rPr>
          <w:rFonts w:hint="eastAsia" w:asciiTheme="minorEastAsia" w:hAnsiTheme="minorEastAsia" w:eastAsiaTheme="minorEastAsia" w:cstheme="minorEastAsia"/>
        </w:rPr>
        <w:t>采购清单、技术参数及商务要求</w:t>
      </w:r>
      <w:bookmarkEnd w:id="45"/>
      <w:bookmarkEnd w:id="46"/>
      <w:bookmarkEnd w:id="47"/>
      <w:bookmarkEnd w:id="48"/>
      <w:bookmarkEnd w:id="49"/>
      <w:bookmarkEnd w:id="50"/>
    </w:p>
    <w:p>
      <w:pPr>
        <w:pStyle w:val="5"/>
        <w:rPr>
          <w:rFonts w:hint="eastAsia" w:asciiTheme="minorEastAsia" w:hAnsiTheme="minorEastAsia" w:eastAsiaTheme="minorEastAsia" w:cstheme="minorEastAsia"/>
          <w:lang w:eastAsia="zh-CN"/>
        </w:rPr>
      </w:pPr>
      <w:bookmarkStart w:id="51" w:name="_Toc16165"/>
      <w:bookmarkStart w:id="52" w:name="_Toc406671682"/>
      <w:bookmarkStart w:id="53" w:name="_Toc424213015"/>
      <w:bookmarkStart w:id="54" w:name="_Toc406671094"/>
      <w:bookmarkStart w:id="55" w:name="_Toc406672387"/>
      <w:bookmarkStart w:id="56" w:name="_Toc406670723"/>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eastAsia="zh-CN"/>
        </w:rPr>
        <w:t>采购清单</w:t>
      </w:r>
      <w:bookmarkEnd w:id="51"/>
    </w:p>
    <w:p>
      <w:pPr>
        <w:ind w:firstLine="480" w:firstLineChars="200"/>
        <w:rPr>
          <w:rFonts w:ascii="宋体" w:hAnsi="宋体" w:cs="宋体"/>
          <w:sz w:val="24"/>
        </w:rPr>
      </w:pPr>
      <w:r>
        <w:rPr>
          <w:rFonts w:hint="eastAsia" w:ascii="宋体" w:hAnsi="宋体" w:cs="宋体"/>
          <w:sz w:val="24"/>
        </w:rPr>
        <w:t>选取1家设计服务商按照《投资项目可行性研究编制指南》（试用本）和《建筑工程设计文件编制深度规定（2016版）等标准规范进行新疆维吾尔自治区妇幼保健院（新疆维吾尔自治区第八人民医院）妇幼综合楼工程建设项目可行性研究报告编制及初步设计，要求提供全套设计成果资料，按照双方认可的标准进行验收并通过委托方及上级主管部门组织的专家评审会。</w:t>
      </w:r>
    </w:p>
    <w:p>
      <w:pPr>
        <w:ind w:firstLine="480" w:firstLineChars="200"/>
        <w:rPr>
          <w:rFonts w:ascii="宋体" w:hAnsi="宋体" w:cs="宋体"/>
          <w:sz w:val="24"/>
        </w:rPr>
      </w:pPr>
      <w:r>
        <w:rPr>
          <w:rFonts w:hint="eastAsia" w:ascii="宋体" w:hAnsi="宋体" w:cs="宋体"/>
          <w:sz w:val="24"/>
        </w:rPr>
        <w:t>一、项目概况：</w:t>
      </w:r>
    </w:p>
    <w:p>
      <w:pPr>
        <w:ind w:firstLine="480" w:firstLineChars="200"/>
        <w:rPr>
          <w:rFonts w:ascii="宋体" w:hAnsi="宋体" w:cs="宋体"/>
          <w:sz w:val="24"/>
        </w:rPr>
      </w:pPr>
      <w:r>
        <w:rPr>
          <w:rFonts w:hint="eastAsia" w:ascii="宋体" w:hAnsi="宋体" w:cs="宋体"/>
          <w:sz w:val="24"/>
        </w:rPr>
        <w:t>本项目主要建设内容及规模为：新疆维吾尔自治区妇幼保健院妇幼综合楼工程建设项目占地面积</w:t>
      </w:r>
      <w:r>
        <w:rPr>
          <w:rFonts w:ascii="宋体" w:hAnsi="宋体" w:cs="宋体"/>
          <w:sz w:val="24"/>
        </w:rPr>
        <w:t>1.1</w:t>
      </w:r>
      <w:r>
        <w:rPr>
          <w:rFonts w:hint="eastAsia" w:ascii="宋体" w:hAnsi="宋体" w:cs="宋体"/>
          <w:sz w:val="24"/>
        </w:rPr>
        <w:t>万平方米，建筑面积</w:t>
      </w:r>
      <w:r>
        <w:rPr>
          <w:rFonts w:ascii="宋体" w:hAnsi="宋体" w:cs="宋体"/>
          <w:sz w:val="24"/>
        </w:rPr>
        <w:t>2.09</w:t>
      </w:r>
      <w:r>
        <w:rPr>
          <w:rFonts w:hint="eastAsia" w:ascii="宋体" w:hAnsi="宋体" w:cs="宋体"/>
          <w:sz w:val="24"/>
        </w:rPr>
        <w:t>万平方米，规划拟建建筑面积2.89万平方米（具体数据以与甲方签订合同为准），并配套室外基础设施给水管网、排水管网、供暖管线、电力管线、消防设施、化粪池及污水处理系统、道路地坪硬化及室外绿化等。</w:t>
      </w:r>
    </w:p>
    <w:p>
      <w:pPr>
        <w:rPr>
          <w:rFonts w:ascii="宋体" w:hAnsi="宋体" w:cs="宋体"/>
          <w:sz w:val="24"/>
        </w:rPr>
      </w:pPr>
      <w:r>
        <w:rPr>
          <w:rFonts w:hint="eastAsia" w:ascii="宋体" w:hAnsi="宋体" w:cs="宋体"/>
          <w:sz w:val="24"/>
        </w:rPr>
        <w:t>二、采购需求：按照《投资项目可行性研究编制指南》（试用本）和《建筑工程设计文件编制深度规定（2016版）等标准规范进行新疆维吾尔自治区妇幼保健院（新疆维吾尔自治区第八人民医院）妇幼综合楼工程建设项目可行性研究报告编制及初步设计。</w:t>
      </w:r>
    </w:p>
    <w:p>
      <w:pPr>
        <w:rPr>
          <w:rFonts w:ascii="宋体" w:hAnsi="宋体" w:cs="宋体"/>
          <w:sz w:val="24"/>
        </w:rPr>
      </w:pPr>
      <w:r>
        <w:rPr>
          <w:rFonts w:hint="eastAsia" w:ascii="宋体" w:hAnsi="宋体" w:cs="宋体"/>
          <w:sz w:val="24"/>
        </w:rPr>
        <w:t>三、服务要求：</w:t>
      </w:r>
    </w:p>
    <w:p>
      <w:pPr>
        <w:rPr>
          <w:rFonts w:ascii="宋体" w:hAnsi="宋体" w:cs="宋体"/>
          <w:sz w:val="24"/>
        </w:rPr>
      </w:pPr>
      <w:r>
        <w:rPr>
          <w:rFonts w:hint="eastAsia" w:ascii="宋体" w:hAnsi="宋体" w:cs="宋体"/>
          <w:sz w:val="24"/>
        </w:rPr>
        <w:t>1、成交人在执行本项目期限内，必须按投标时所报的人员进行作业，业务人员要按甲方要求提供业务服务等相关工作；如有特殊情况需要更换业务人员（业务人员需具备相应的资质），必须经采购人及监管部门同意后方可更换。初步设计编制的内容必须有可靠的依据，详细的计算数据、确定的标准及准确的结论，应能满足编制和审批结果的要求，满足作为项目投资决策的基础和重要依据的要求。所有最终成果资料需以经主管部门审批通过之后为准。</w:t>
      </w:r>
    </w:p>
    <w:p>
      <w:pPr>
        <w:rPr>
          <w:rFonts w:ascii="宋体" w:hAnsi="宋体" w:cs="宋体"/>
          <w:sz w:val="24"/>
        </w:rPr>
      </w:pPr>
      <w:r>
        <w:rPr>
          <w:rFonts w:hint="eastAsia" w:ascii="宋体" w:hAnsi="宋体" w:cs="宋体"/>
          <w:sz w:val="24"/>
        </w:rPr>
        <w:t>2、设计深度应符合国家建设项目初步设计深度要求，最终以主管部门审批通过为准。</w:t>
      </w:r>
    </w:p>
    <w:p>
      <w:pPr>
        <w:rPr>
          <w:rFonts w:ascii="宋体" w:hAnsi="宋体" w:cs="宋体"/>
          <w:sz w:val="24"/>
        </w:rPr>
      </w:pPr>
      <w:r>
        <w:rPr>
          <w:rFonts w:hint="eastAsia" w:ascii="宋体" w:hAnsi="宋体" w:cs="宋体"/>
          <w:sz w:val="24"/>
        </w:rPr>
        <w:t>3、按照采购人要求的形式、份数提供初步设计资料。提交的设计成果包括、但不限于：设计说明、设计图纸文件。</w:t>
      </w:r>
    </w:p>
    <w:p>
      <w:pPr>
        <w:rPr>
          <w:rFonts w:ascii="宋体" w:hAnsi="宋体" w:cs="宋体"/>
          <w:sz w:val="24"/>
        </w:rPr>
      </w:pPr>
      <w:r>
        <w:rPr>
          <w:rFonts w:hint="eastAsia" w:ascii="宋体" w:hAnsi="宋体" w:cs="宋体"/>
          <w:sz w:val="24"/>
        </w:rPr>
        <w:t>4、服务期：自合同签订后开始，至乙方向甲方交付正式成果文件并通过相关单位评审为止。</w:t>
      </w:r>
    </w:p>
    <w:p>
      <w:pPr>
        <w:rPr>
          <w:rFonts w:ascii="宋体" w:hAnsi="宋体" w:cs="宋体"/>
          <w:b/>
        </w:rPr>
      </w:pPr>
      <w:r>
        <w:rPr>
          <w:rFonts w:hint="eastAsia" w:ascii="宋体" w:hAnsi="宋体" w:cs="宋体"/>
          <w:b/>
        </w:rPr>
        <w:t>以上均为重点要求。</w:t>
      </w:r>
    </w:p>
    <w:p>
      <w:pPr>
        <w:ind w:firstLine="480" w:firstLineChars="200"/>
        <w:rPr>
          <w:rFonts w:hint="eastAsia" w:ascii="宋体" w:hAnsi="宋体" w:cs="宋体"/>
          <w:sz w:val="24"/>
        </w:rPr>
      </w:pPr>
      <w:r>
        <w:rPr>
          <w:rFonts w:hint="eastAsia" w:ascii="宋体" w:hAnsi="宋体" w:cs="宋体"/>
          <w:sz w:val="24"/>
        </w:rPr>
        <w:t>按《关于印发中小企业划型标准规定的通知》（工信部联企业〔2011〕300号），本项目属于</w:t>
      </w:r>
      <w:r>
        <w:rPr>
          <w:rFonts w:hint="eastAsia" w:ascii="宋体" w:hAnsi="宋体" w:cs="宋体"/>
          <w:b/>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sz w:val="24"/>
        </w:rPr>
        <w:t>。</w:t>
      </w:r>
    </w:p>
    <w:p>
      <w:pPr>
        <w:ind w:firstLine="480" w:firstLineChars="200"/>
        <w:rPr>
          <w:rFonts w:hint="eastAsia" w:ascii="宋体" w:hAnsi="宋体" w:eastAsia="宋体" w:cs="宋体"/>
          <w:sz w:val="24"/>
          <w:lang w:eastAsia="zh-CN"/>
        </w:rPr>
      </w:pPr>
      <w:r>
        <w:rPr>
          <w:rFonts w:hint="eastAsia" w:ascii="宋体" w:hAnsi="宋体" w:eastAsia="宋体" w:cs="宋体"/>
          <w:bCs/>
          <w:sz w:val="24"/>
          <w:szCs w:val="24"/>
          <w:highlight w:val="none"/>
        </w:rPr>
        <w:t>根据《政府采购促进中小企业发展管理办法》（财库〔2020〕46号，以下简称46号文）的规定</w:t>
      </w:r>
      <w:r>
        <w:rPr>
          <w:rFonts w:hint="eastAsia" w:ascii="宋体" w:hAnsi="宋体" w:eastAsia="宋体" w:cs="宋体"/>
          <w:sz w:val="24"/>
          <w:szCs w:val="24"/>
          <w:highlight w:val="none"/>
        </w:rPr>
        <w:t>，评标时将给予此类企业进行价格6%的优惠，监狱企业、残疾人福利性单位视同为小微企业，用优惠后的价格参与评审</w:t>
      </w:r>
      <w:r>
        <w:rPr>
          <w:rFonts w:hint="eastAsia" w:ascii="宋体" w:hAnsi="宋体" w:eastAsia="宋体" w:cs="宋体"/>
          <w:sz w:val="24"/>
          <w:szCs w:val="24"/>
          <w:highlight w:val="none"/>
          <w:lang w:eastAsia="zh-CN"/>
        </w:rPr>
        <w:t>。</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t>特别要求：请采购人或采购代理机构用“★”对采购清单中数量较多金额较大或者技术要求较高的主要产品进行标注。</w:t>
      </w:r>
    </w:p>
    <w:p>
      <w:pPr>
        <w:pStyle w:val="5"/>
        <w:rPr>
          <w:rFonts w:asciiTheme="minorEastAsia" w:hAnsiTheme="minorEastAsia" w:eastAsiaTheme="minorEastAsia" w:cstheme="minorEastAsia"/>
        </w:rPr>
      </w:pPr>
      <w:bookmarkStart w:id="57" w:name="_Toc21696"/>
      <w:r>
        <w:rPr>
          <w:rFonts w:hint="eastAsia" w:asciiTheme="minorEastAsia" w:hAnsiTheme="minorEastAsia" w:eastAsiaTheme="minorEastAsia" w:cstheme="minorEastAsia"/>
        </w:rPr>
        <w:t>第二节 商务要求</w:t>
      </w:r>
      <w:bookmarkEnd w:id="52"/>
      <w:bookmarkEnd w:id="53"/>
      <w:bookmarkEnd w:id="54"/>
      <w:bookmarkEnd w:id="55"/>
      <w:bookmarkEnd w:id="56"/>
      <w:bookmarkEnd w:id="57"/>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一、设计周期及服务地点</w:t>
      </w:r>
    </w:p>
    <w:p>
      <w:pPr>
        <w:spacing w:beforeLines="100" w:beforeAutospacing="0" w:afterLines="50" w:afterAutospacing="0"/>
        <w:ind w:firstLine="480" w:firstLineChars="200"/>
        <w:rPr>
          <w:rFonts w:ascii="宋体" w:hAnsi="宋体" w:cstheme="minorEastAsia"/>
          <w:sz w:val="24"/>
        </w:rPr>
      </w:pPr>
      <w:r>
        <w:rPr>
          <w:rFonts w:hint="eastAsia" w:ascii="宋体" w:hAnsi="宋体" w:cstheme="minorEastAsia"/>
          <w:sz w:val="24"/>
        </w:rPr>
        <w:t>设计周期：可行性研究报告编制为签订合同后15个自然日内交付，初步设计为签订合同后30个自然日内交付。</w:t>
      </w:r>
    </w:p>
    <w:p>
      <w:pPr>
        <w:spacing w:beforeLines="100" w:beforeAutospacing="0" w:afterLines="50" w:afterAutospacing="0"/>
        <w:ind w:firstLine="480" w:firstLineChars="200"/>
        <w:rPr>
          <w:rFonts w:ascii="宋体" w:hAnsi="宋体" w:cstheme="minorEastAsia"/>
          <w:sz w:val="24"/>
        </w:rPr>
      </w:pPr>
      <w:r>
        <w:rPr>
          <w:rFonts w:hint="eastAsia" w:ascii="宋体" w:hAnsi="宋体" w:cstheme="minorEastAsia"/>
          <w:sz w:val="24"/>
        </w:rPr>
        <w:t>服务地点：新疆维吾尔自治区妇幼保健院（新疆维吾尔自治区第八人民医院）辖区内</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二、验收标准、规范：响应甲方要求。</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三、售后服务：响应甲方要求。</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四、付款方式：以与甲方商定为准。</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五、履约保证金：中标单位签订合同前需向新疆维吾尔自治区妇幼保健院（新疆维吾尔自治区第八人民医院）交履约保证金。</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六、投标有效期：90天</w:t>
      </w:r>
    </w:p>
    <w:p>
      <w:pPr>
        <w:spacing w:beforeLines="100" w:beforeAutospacing="0" w:afterLines="50" w:afterAutospacing="0"/>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特别提醒：若招标采购文件评分标准中需对业绩进行评价，采购人及采购代理机构对同类或类似项目业绩进行准确的定义，避免供应商误解采购人对业绩的要求，而有损双方利益。</w:t>
      </w:r>
    </w:p>
    <w:p>
      <w:pPr>
        <w:widowControl/>
        <w:spacing w:before="0" w:beforeAutospacing="0" w:after="0" w:afterAutospacing="0" w:line="240" w:lineRule="auto"/>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spacing w:beforeLines="100" w:beforeAutospacing="0" w:afterLines="50" w:afterAutospacing="0"/>
        <w:ind w:firstLine="482" w:firstLineChars="200"/>
        <w:rPr>
          <w:rFonts w:asciiTheme="minorEastAsia" w:hAnsiTheme="minorEastAsia" w:eastAsiaTheme="minorEastAsia" w:cstheme="minorEastAsia"/>
          <w:b/>
          <w:sz w:val="24"/>
        </w:rPr>
      </w:pPr>
    </w:p>
    <w:p>
      <w:pPr>
        <w:pStyle w:val="5"/>
        <w:rPr>
          <w:rFonts w:asciiTheme="minorEastAsia" w:hAnsiTheme="minorEastAsia" w:eastAsiaTheme="minorEastAsia" w:cstheme="minorEastAsia"/>
        </w:rPr>
      </w:pPr>
      <w:bookmarkStart w:id="58" w:name="_Toc406670724"/>
      <w:bookmarkStart w:id="59" w:name="_Toc406671683"/>
      <w:bookmarkStart w:id="60" w:name="_Toc406672388"/>
      <w:bookmarkStart w:id="61" w:name="_Toc424213016"/>
      <w:bookmarkStart w:id="62" w:name="_Toc406671095"/>
      <w:bookmarkStart w:id="63" w:name="_Toc2022"/>
      <w:r>
        <w:rPr>
          <w:rFonts w:hint="eastAsia" w:asciiTheme="minorEastAsia" w:hAnsiTheme="minorEastAsia" w:eastAsiaTheme="minorEastAsia" w:cstheme="minorEastAsia"/>
        </w:rPr>
        <w:t>第三节 图纸附件</w:t>
      </w:r>
      <w:bookmarkEnd w:id="58"/>
      <w:bookmarkEnd w:id="59"/>
      <w:bookmarkEnd w:id="60"/>
      <w:bookmarkEnd w:id="61"/>
      <w:bookmarkEnd w:id="62"/>
      <w:bookmarkEnd w:id="63"/>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第四节 实质性要求明细表</w:t>
      </w:r>
    </w:p>
    <w:tbl>
      <w:tblPr>
        <w:tblStyle w:val="3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6"/>
        <w:gridCol w:w="25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826"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商务实质性条款</w:t>
            </w:r>
          </w:p>
        </w:tc>
        <w:tc>
          <w:tcPr>
            <w:tcW w:w="255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技术实质性要求</w:t>
            </w:r>
          </w:p>
        </w:tc>
        <w:tc>
          <w:tcPr>
            <w:tcW w:w="2410"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826"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商务要求内所有要求</w:t>
            </w:r>
          </w:p>
        </w:tc>
        <w:tc>
          <w:tcPr>
            <w:tcW w:w="255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采购清单、技术参数内所有要求</w:t>
            </w: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bl>
    <w:p>
      <w:pPr>
        <w:bidi w:val="0"/>
        <w:rPr>
          <w:rFonts w:hint="eastAsia"/>
        </w:rPr>
      </w:pPr>
      <w:bookmarkStart w:id="64" w:name="_Toc406671684"/>
      <w:bookmarkStart w:id="65" w:name="_Toc406671096"/>
      <w:bookmarkStart w:id="66" w:name="_Toc406670725"/>
      <w:bookmarkStart w:id="67" w:name="_Toc406672389"/>
      <w:r>
        <w:rPr>
          <w:rFonts w:hint="eastAsia"/>
        </w:rPr>
        <w:t>说明：采购人或采购代理机构将采购项目中关注的必须响应的实质性条款在上表中一一列明，便于供应商及评标委员会理解招标采购文件。</w:t>
      </w:r>
    </w:p>
    <w:p>
      <w:pPr>
        <w:ind w:firstLine="3570" w:firstLineChars="1700"/>
        <w:rPr>
          <w:rFonts w:hint="eastAsia" w:asciiTheme="minorEastAsia" w:hAnsiTheme="minorEastAsia" w:eastAsiaTheme="minorEastAsia" w:cstheme="minorEastAsia"/>
          <w:bCs/>
          <w:kern w:val="0"/>
          <w:sz w:val="28"/>
          <w:szCs w:val="32"/>
          <w:lang w:val="en-US" w:eastAsia="zh-CN" w:bidi="ar-SA"/>
        </w:rPr>
      </w:pPr>
      <w:r>
        <w:rPr>
          <w:rFonts w:hint="eastAsia" w:asciiTheme="minorEastAsia" w:hAnsiTheme="minorEastAsia" w:eastAsiaTheme="minorEastAsia" w:cstheme="minorEastAsia"/>
        </w:rPr>
        <w:br w:type="page"/>
      </w:r>
      <w:bookmarkStart w:id="68" w:name="_Toc424213017"/>
      <w:bookmarkStart w:id="69" w:name="_Toc17923"/>
      <w:r>
        <w:rPr>
          <w:rFonts w:hint="eastAsia" w:asciiTheme="minorEastAsia" w:hAnsiTheme="minorEastAsia" w:eastAsiaTheme="minorEastAsia" w:cstheme="minorEastAsia"/>
          <w:bCs/>
          <w:kern w:val="0"/>
          <w:sz w:val="28"/>
          <w:szCs w:val="32"/>
          <w:lang w:val="en-US" w:eastAsia="zh-CN" w:bidi="ar-SA"/>
        </w:rPr>
        <w:t>第三章　评标办法及评分标准</w:t>
      </w:r>
      <w:bookmarkEnd w:id="64"/>
      <w:bookmarkEnd w:id="65"/>
      <w:bookmarkEnd w:id="66"/>
      <w:bookmarkEnd w:id="67"/>
      <w:bookmarkEnd w:id="68"/>
      <w:bookmarkEnd w:id="69"/>
      <w:bookmarkStart w:id="277" w:name="_GoBack"/>
      <w:bookmarkEnd w:id="277"/>
    </w:p>
    <w:p>
      <w:pPr>
        <w:pStyle w:val="5"/>
        <w:rPr>
          <w:rFonts w:asciiTheme="minorEastAsia" w:hAnsiTheme="minorEastAsia" w:eastAsiaTheme="minorEastAsia" w:cstheme="minorEastAsia"/>
        </w:rPr>
      </w:pPr>
      <w:bookmarkStart w:id="70" w:name="_Toc406671097"/>
      <w:bookmarkStart w:id="71" w:name="_Toc406670726"/>
      <w:bookmarkStart w:id="72" w:name="_Toc424213018"/>
      <w:bookmarkStart w:id="73" w:name="_Toc406672390"/>
      <w:bookmarkStart w:id="74" w:name="_Toc406671685"/>
      <w:bookmarkStart w:id="75" w:name="_Toc10929"/>
      <w:r>
        <w:rPr>
          <w:rFonts w:hint="eastAsia" w:asciiTheme="minorEastAsia" w:hAnsiTheme="minorEastAsia" w:eastAsiaTheme="minorEastAsia" w:cstheme="minorEastAsia"/>
        </w:rPr>
        <w:t>第一节 评标办法</w:t>
      </w:r>
      <w:bookmarkEnd w:id="70"/>
      <w:bookmarkEnd w:id="71"/>
      <w:bookmarkEnd w:id="72"/>
      <w:bookmarkEnd w:id="73"/>
      <w:bookmarkEnd w:id="74"/>
      <w:bookmarkEnd w:id="75"/>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w:t>
      </w:r>
      <w:r>
        <w:rPr>
          <w:rFonts w:hint="eastAsia" w:asciiTheme="minorEastAsia" w:hAnsiTheme="minorEastAsia" w:eastAsiaTheme="minorEastAsia" w:cstheme="minorEastAsia"/>
          <w:sz w:val="24"/>
          <w:u w:val="single"/>
        </w:rPr>
        <w:t>综合评分法</w:t>
      </w:r>
      <w:r>
        <w:rPr>
          <w:rFonts w:hint="eastAsia" w:asciiTheme="minorEastAsia" w:hAnsiTheme="minorEastAsia" w:eastAsiaTheme="minorEastAsia" w:cstheme="minorEastAsia"/>
          <w:sz w:val="24"/>
        </w:rPr>
        <w:t>进行评审。</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综合评分法，是指在满足</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中规定的各项评审因素及其分值进行综合评分后，以评分从高到低的顺序推荐1至3家供应商作为中标候选供应商的评标方法。</w:t>
      </w:r>
    </w:p>
    <w:p>
      <w:pPr>
        <w:pStyle w:val="5"/>
        <w:rPr>
          <w:rFonts w:asciiTheme="minorEastAsia" w:hAnsiTheme="minorEastAsia" w:eastAsiaTheme="minorEastAsia" w:cstheme="minorEastAsia"/>
        </w:rPr>
      </w:pPr>
      <w:bookmarkStart w:id="76" w:name="_Toc406671686"/>
      <w:bookmarkStart w:id="77" w:name="_Toc406671098"/>
      <w:bookmarkStart w:id="78" w:name="_Toc424213019"/>
      <w:bookmarkStart w:id="79" w:name="_Toc406670727"/>
      <w:bookmarkStart w:id="80" w:name="_Toc406672391"/>
      <w:bookmarkStart w:id="81" w:name="_Toc28291"/>
      <w:r>
        <w:rPr>
          <w:rFonts w:hint="eastAsia" w:asciiTheme="minorEastAsia" w:hAnsiTheme="minorEastAsia" w:eastAsiaTheme="minorEastAsia" w:cstheme="minorEastAsia"/>
        </w:rPr>
        <w:t>第二节 评分标准</w:t>
      </w:r>
      <w:bookmarkEnd w:id="76"/>
      <w:bookmarkEnd w:id="77"/>
      <w:bookmarkEnd w:id="78"/>
      <w:bookmarkEnd w:id="79"/>
      <w:bookmarkEnd w:id="80"/>
      <w:bookmarkEnd w:id="81"/>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一、评分因素</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评分的主要因素分为价格因素、技术因素（如项目团队、</w:t>
      </w:r>
      <w:r>
        <w:rPr>
          <w:rFonts w:hint="eastAsia" w:ascii="宋体" w:hAnsi="宋体"/>
          <w:kern w:val="0"/>
          <w:sz w:val="24"/>
        </w:rPr>
        <w:t>可行性研究编制方案</w:t>
      </w:r>
      <w:r>
        <w:rPr>
          <w:rFonts w:hint="eastAsia" w:asciiTheme="minorEastAsia" w:hAnsiTheme="minorEastAsia" w:eastAsiaTheme="minorEastAsia" w:cstheme="minorEastAsia"/>
          <w:sz w:val="24"/>
        </w:rPr>
        <w:t>、</w:t>
      </w:r>
      <w:r>
        <w:rPr>
          <w:rFonts w:hint="eastAsia" w:ascii="宋体" w:hAnsi="宋体"/>
          <w:kern w:val="0"/>
          <w:sz w:val="24"/>
        </w:rPr>
        <w:t>初步设计编制方案</w:t>
      </w:r>
      <w:r>
        <w:rPr>
          <w:rFonts w:hint="eastAsia" w:asciiTheme="minorEastAsia" w:hAnsiTheme="minorEastAsia" w:eastAsiaTheme="minorEastAsia" w:cstheme="minorEastAsia"/>
          <w:sz w:val="24"/>
        </w:rPr>
        <w:t>等）和商务因素（如财务状况、信誉、业绩、服务期、质保期等）。评分因素详见评分表。评标分值保留至两位小数。评标时，评标专家依照评分表对每个有效供应商的响应文件进行独立评审、打分。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二、评分标准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1.资格审查表</w:t>
      </w:r>
    </w:p>
    <w:tbl>
      <w:tblPr>
        <w:tblStyle w:val="35"/>
        <w:tblW w:w="5000" w:type="pct"/>
        <w:tblInd w:w="0" w:type="dxa"/>
        <w:tblLayout w:type="autofit"/>
        <w:tblCellMar>
          <w:top w:w="0" w:type="dxa"/>
          <w:left w:w="108" w:type="dxa"/>
          <w:bottom w:w="0" w:type="dxa"/>
          <w:right w:w="108" w:type="dxa"/>
        </w:tblCellMar>
      </w:tblPr>
      <w:tblGrid>
        <w:gridCol w:w="644"/>
        <w:gridCol w:w="1280"/>
        <w:gridCol w:w="4867"/>
        <w:gridCol w:w="750"/>
        <w:gridCol w:w="750"/>
        <w:gridCol w:w="750"/>
        <w:gridCol w:w="745"/>
      </w:tblGrid>
      <w:tr>
        <w:tblPrEx>
          <w:tblCellMar>
            <w:top w:w="0" w:type="dxa"/>
            <w:left w:w="108" w:type="dxa"/>
            <w:bottom w:w="0" w:type="dxa"/>
            <w:right w:w="108" w:type="dxa"/>
          </w:tblCellMar>
        </w:tblPrEx>
        <w:trPr>
          <w:trHeight w:val="454" w:hRule="atLeast"/>
        </w:trPr>
        <w:tc>
          <w:tcPr>
            <w:tcW w:w="5000" w:type="pct"/>
            <w:gridSpan w:val="7"/>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资格审查表</w:t>
            </w:r>
          </w:p>
        </w:tc>
      </w:tr>
      <w:tr>
        <w:tblPrEx>
          <w:tblCellMar>
            <w:top w:w="0" w:type="dxa"/>
            <w:left w:w="108" w:type="dxa"/>
            <w:bottom w:w="0" w:type="dxa"/>
            <w:right w:w="108" w:type="dxa"/>
          </w:tblCellMar>
        </w:tblPrEx>
        <w:trPr>
          <w:trHeight w:val="798" w:hRule="atLeast"/>
        </w:trPr>
        <w:tc>
          <w:tcPr>
            <w:tcW w:w="5000" w:type="pct"/>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项目名称：新疆维吾尔自治区妇幼保健院（新疆维吾尔自治区第八人民医院）妇幼综合楼工程可行性研究报告编制及初步设计服务采购项目</w:t>
            </w:r>
          </w:p>
        </w:tc>
      </w:tr>
      <w:tr>
        <w:tblPrEx>
          <w:tblCellMar>
            <w:top w:w="0" w:type="dxa"/>
            <w:left w:w="108" w:type="dxa"/>
            <w:bottom w:w="0" w:type="dxa"/>
            <w:right w:w="108" w:type="dxa"/>
          </w:tblCellMar>
        </w:tblPrEx>
        <w:trPr>
          <w:trHeight w:val="454" w:hRule="atLeast"/>
        </w:trPr>
        <w:tc>
          <w:tcPr>
            <w:tcW w:w="5000" w:type="pct"/>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项目编号：2022-ZFCG-0012</w:t>
            </w:r>
          </w:p>
        </w:tc>
      </w:tr>
      <w:tr>
        <w:tblPrEx>
          <w:tblCellMar>
            <w:top w:w="0" w:type="dxa"/>
            <w:left w:w="108" w:type="dxa"/>
            <w:bottom w:w="0" w:type="dxa"/>
            <w:right w:w="108" w:type="dxa"/>
          </w:tblCellMar>
        </w:tblPrEx>
        <w:trPr>
          <w:trHeight w:val="454" w:hRule="atLeast"/>
        </w:trPr>
        <w:tc>
          <w:tcPr>
            <w:tcW w:w="5000" w:type="pct"/>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采购内容：妇幼综合楼工程可行性研究报告编制及初步设计服务采购（采购预算：1600000元）</w:t>
            </w:r>
          </w:p>
        </w:tc>
      </w:tr>
      <w:tr>
        <w:tblPrEx>
          <w:tblCellMar>
            <w:top w:w="0" w:type="dxa"/>
            <w:left w:w="108" w:type="dxa"/>
            <w:bottom w:w="0" w:type="dxa"/>
            <w:right w:w="108" w:type="dxa"/>
          </w:tblCellMar>
        </w:tblPrEx>
        <w:trPr>
          <w:trHeight w:val="454" w:hRule="atLeast"/>
        </w:trPr>
        <w:tc>
          <w:tcPr>
            <w:tcW w:w="4271" w:type="pct"/>
            <w:gridSpan w:val="5"/>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开标地点：新疆乌鲁木齐高新技术产业开发区（新市区）鲤鱼山北路199号集电港A座511室</w:t>
            </w:r>
          </w:p>
        </w:tc>
        <w:tc>
          <w:tcPr>
            <w:tcW w:w="729" w:type="pct"/>
            <w:gridSpan w:val="2"/>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p>
        </w:tc>
      </w:tr>
      <w:tr>
        <w:tblPrEx>
          <w:tblCellMar>
            <w:top w:w="0" w:type="dxa"/>
            <w:left w:w="108" w:type="dxa"/>
            <w:bottom w:w="0" w:type="dxa"/>
            <w:right w:w="108" w:type="dxa"/>
          </w:tblCellMar>
        </w:tblPrEx>
        <w:trPr>
          <w:trHeight w:val="454" w:hRule="atLeast"/>
        </w:trPr>
        <w:tc>
          <w:tcPr>
            <w:tcW w:w="3539" w:type="pct"/>
            <w:gridSpan w:val="3"/>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开标时间：2022年5月7日11点00分（北京时间）</w:t>
            </w:r>
          </w:p>
        </w:tc>
        <w:tc>
          <w:tcPr>
            <w:tcW w:w="366" w:type="pct"/>
            <w:tcBorders>
              <w:top w:val="nil"/>
              <w:left w:val="nil"/>
              <w:bottom w:val="nil"/>
              <w:right w:val="nil"/>
            </w:tcBorders>
            <w:shd w:val="clear" w:color="auto" w:fill="auto"/>
            <w:noWrap/>
            <w:vAlign w:val="center"/>
          </w:tcPr>
          <w:p>
            <w:pPr>
              <w:spacing w:beforeLines="100" w:beforeAutospacing="0" w:afterLines="50" w:afterAutospacing="0"/>
              <w:ind w:firstLine="440" w:firstLineChars="200"/>
              <w:rPr>
                <w:rFonts w:hint="eastAsia" w:ascii="宋体" w:hAnsi="宋体" w:eastAsia="宋体" w:cs="宋体"/>
                <w:sz w:val="22"/>
                <w:szCs w:val="22"/>
              </w:rPr>
            </w:pPr>
          </w:p>
        </w:tc>
        <w:tc>
          <w:tcPr>
            <w:tcW w:w="366" w:type="pct"/>
            <w:tcBorders>
              <w:top w:val="nil"/>
              <w:left w:val="nil"/>
              <w:bottom w:val="nil"/>
              <w:right w:val="nil"/>
            </w:tcBorders>
            <w:shd w:val="clear" w:color="auto" w:fill="auto"/>
            <w:noWrap/>
            <w:vAlign w:val="center"/>
          </w:tcPr>
          <w:p>
            <w:pPr>
              <w:spacing w:beforeLines="100" w:beforeAutospacing="0" w:afterLines="50" w:afterAutospacing="0"/>
              <w:ind w:firstLine="440" w:firstLineChars="200"/>
              <w:rPr>
                <w:rFonts w:hint="eastAsia" w:ascii="宋体" w:hAnsi="宋体" w:eastAsia="宋体" w:cs="宋体"/>
                <w:sz w:val="22"/>
                <w:szCs w:val="22"/>
              </w:rPr>
            </w:pPr>
          </w:p>
        </w:tc>
        <w:tc>
          <w:tcPr>
            <w:tcW w:w="366" w:type="pct"/>
            <w:tcBorders>
              <w:top w:val="nil"/>
              <w:left w:val="nil"/>
              <w:bottom w:val="nil"/>
              <w:right w:val="nil"/>
            </w:tcBorders>
            <w:shd w:val="clear" w:color="auto" w:fill="auto"/>
            <w:noWrap/>
            <w:vAlign w:val="center"/>
          </w:tcPr>
          <w:p>
            <w:pPr>
              <w:spacing w:beforeLines="100" w:beforeAutospacing="0" w:afterLines="50" w:afterAutospacing="0"/>
              <w:ind w:firstLine="440" w:firstLineChars="200"/>
              <w:rPr>
                <w:rFonts w:hint="eastAsia" w:ascii="宋体" w:hAnsi="宋体" w:eastAsia="宋体" w:cs="宋体"/>
                <w:sz w:val="22"/>
                <w:szCs w:val="22"/>
              </w:rPr>
            </w:pPr>
          </w:p>
        </w:tc>
        <w:tc>
          <w:tcPr>
            <w:tcW w:w="362" w:type="pct"/>
            <w:tcBorders>
              <w:top w:val="nil"/>
              <w:left w:val="nil"/>
              <w:bottom w:val="nil"/>
              <w:right w:val="nil"/>
            </w:tcBorders>
            <w:shd w:val="clear" w:color="auto" w:fill="auto"/>
            <w:noWrap/>
            <w:vAlign w:val="center"/>
          </w:tcPr>
          <w:p>
            <w:pPr>
              <w:spacing w:beforeLines="100" w:beforeAutospacing="0" w:afterLines="50" w:afterAutospacing="0"/>
              <w:ind w:firstLine="440" w:firstLineChars="200"/>
              <w:rPr>
                <w:rFonts w:hint="eastAsia" w:ascii="宋体" w:hAnsi="宋体" w:eastAsia="宋体" w:cs="宋体"/>
                <w:sz w:val="22"/>
                <w:szCs w:val="22"/>
              </w:rPr>
            </w:pPr>
          </w:p>
        </w:tc>
      </w:tr>
      <w:tr>
        <w:tblPrEx>
          <w:tblCellMar>
            <w:top w:w="0" w:type="dxa"/>
            <w:left w:w="108" w:type="dxa"/>
            <w:bottom w:w="0" w:type="dxa"/>
            <w:right w:w="108" w:type="dxa"/>
          </w:tblCellMar>
        </w:tblPrEx>
        <w:trPr>
          <w:trHeight w:val="454" w:hRule="atLeast"/>
        </w:trPr>
        <w:tc>
          <w:tcPr>
            <w:tcW w:w="3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65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257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评审内容</w:t>
            </w:r>
          </w:p>
        </w:tc>
        <w:tc>
          <w:tcPr>
            <w:tcW w:w="146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tc>
      </w:tr>
      <w:tr>
        <w:tblPrEx>
          <w:tblCellMar>
            <w:top w:w="0" w:type="dxa"/>
            <w:left w:w="108" w:type="dxa"/>
            <w:bottom w:w="0" w:type="dxa"/>
            <w:right w:w="108" w:type="dxa"/>
          </w:tblCellMar>
        </w:tblPrEx>
        <w:trPr>
          <w:trHeight w:val="454" w:hRule="atLeast"/>
        </w:trPr>
        <w:tc>
          <w:tcPr>
            <w:tcW w:w="31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651"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2577"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62"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具有独立承担民事责任的能力</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（1）投标人是企业（包括合伙企业），提供有效的营业执照。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（2）投标人是事业单位，提供有效的事业单位法人证书。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（3）投标人是非企业专业服务机构的，提供有效的执业许可证等证明文件。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（4）投标人是个体工商户，提供有效的个体工商户营业执照。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（5）投标人是自然人，提供有效的自然人身份证明。</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具有良好的商业信誉和健全的财务会计制度</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（2）无法按第（1）条提供财务报告的投标人可 以提供银行出具的资信证明。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（3）投标人也可以提供财政部门认可的政府采购专业担保机构出具的投标担保函（原件），代替财务状况报告。</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具有履行合同所必需的设备和专业技术能力</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提供具备足够数量的设施设备及技术人员的证明材料或承诺。</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有依法缴纳税收和社会保障资金的良好记录，由投标人对以下内容提供书面承诺及声明，或提供相应证明材料。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投标人依法交纳税收的证明材料：本项目公告发布时间前 6 个月内（至少提供 1 个月）交纳增值税、企业所得税的凭据（完税证、缴款书、印花税票、银行代扣（代缴）转账凭证等均可）；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投标人依法交纳社会保障资金的证明材料： 本项目公告发布时间前6 个月内（至少提供1 个月） 交纳社会保险的凭据（专用收据或社会保险交纳清单）；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投标人为其他组织或自然人的，也需要按此项规定提供交纳税收的凭据和交纳社会保险的凭据；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依法免税或不需要交纳社会保障资金的投标人，应提供相应文件证明其依法免税或不需要交纳社会保障资金。</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参加政府采购活动前三年内，在经营活动中没有重大违法记录</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按照招标文件投标文件格式附件的格式要求，根据相关法规规定，提交书面声明。</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法律、行政法规规定的其他条件</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如国家对生产和销售相关产品或提供相关服务有专门法律、行政法规规定的，须提供相关许可的证明材料。</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1"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未被列入失信被执行人、重大税收违法案件当事人名单，未被列入政府采购严重违法失信行为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记录名单</w:t>
            </w:r>
          </w:p>
        </w:tc>
        <w:tc>
          <w:tcPr>
            <w:tcW w:w="257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51"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2577"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需具备工程设计综合资质甲级或建筑行业(建筑工程)资质甲级，在人员、资金、等方面应具有相应的能力。</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p>
        </w:tc>
        <w:tc>
          <w:tcPr>
            <w:tcW w:w="651"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投标保证金</w:t>
            </w:r>
          </w:p>
        </w:tc>
        <w:tc>
          <w:tcPr>
            <w:tcW w:w="2577"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保证金按招标文件要求递交</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31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p>
        </w:tc>
        <w:tc>
          <w:tcPr>
            <w:tcW w:w="651"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法定代表人身份证明或法人授权委托书</w:t>
            </w:r>
          </w:p>
        </w:tc>
        <w:tc>
          <w:tcPr>
            <w:tcW w:w="2577"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按要求提供法定代表人身份证明或法定代表人授权委托书；</w:t>
            </w: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362"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35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结论：是否通过评审（注：投标人有一项未通过不得参与下阶段评审，视为废标。）</w:t>
            </w: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2"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审核人员签字：</w:t>
            </w:r>
          </w:p>
        </w:tc>
      </w:tr>
    </w:tbl>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备注：</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①、</w:t>
      </w:r>
      <w:r>
        <w:rPr>
          <w:rFonts w:ascii="宋体" w:hAnsi="宋体" w:cs="宋体"/>
          <w:color w:val="000000"/>
          <w:kern w:val="0"/>
          <w:sz w:val="24"/>
          <w:szCs w:val="24"/>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供应商自负。如发现弄虚作假将按照有关规定严肃处理。</w:t>
      </w:r>
    </w:p>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证明材料仅限于投标单位本身，参股或控股单位及独立法人子公司的材料不能作为证明材料，但投标单位兼并的企业的材料可作为证明材料。</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②</w:t>
      </w:r>
      <w:r>
        <w:rPr>
          <w:rFonts w:ascii="宋体" w:hAnsi="宋体" w:cs="宋体"/>
          <w:color w:val="000000"/>
          <w:kern w:val="0"/>
          <w:sz w:val="24"/>
          <w:szCs w:val="24"/>
        </w:rPr>
        <w:t>对于投标文件中有任意一条不满足上表要求的将导致其投标无效，不进入下一项评审。</w:t>
      </w:r>
    </w:p>
    <w:p>
      <w:pPr>
        <w:widowControl/>
        <w:spacing w:before="0" w:beforeAutospacing="0" w:after="0" w:afterAutospacing="0" w:line="240" w:lineRule="auto"/>
        <w:jc w:val="left"/>
        <w:rPr>
          <w:rFonts w:ascii="宋体" w:hAnsi="宋体" w:cs="宋体"/>
          <w:color w:val="000000"/>
          <w:kern w:val="0"/>
          <w:sz w:val="20"/>
          <w:szCs w:val="20"/>
        </w:rPr>
        <w:sectPr>
          <w:pgSz w:w="11910" w:h="16840"/>
          <w:pgMar w:top="1420" w:right="820" w:bottom="1180" w:left="1520" w:header="794" w:footer="794" w:gutter="0"/>
          <w:cols w:space="720" w:num="1"/>
        </w:sectPr>
      </w:pP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二、符合性审查表</w:t>
      </w:r>
    </w:p>
    <w:tbl>
      <w:tblPr>
        <w:tblStyle w:val="35"/>
        <w:tblW w:w="5000" w:type="pct"/>
        <w:tblInd w:w="0" w:type="dxa"/>
        <w:tblLayout w:type="autofit"/>
        <w:tblCellMar>
          <w:top w:w="0" w:type="dxa"/>
          <w:left w:w="108" w:type="dxa"/>
          <w:bottom w:w="0" w:type="dxa"/>
          <w:right w:w="108" w:type="dxa"/>
        </w:tblCellMar>
      </w:tblPr>
      <w:tblGrid>
        <w:gridCol w:w="530"/>
        <w:gridCol w:w="5645"/>
        <w:gridCol w:w="693"/>
        <w:gridCol w:w="693"/>
        <w:gridCol w:w="693"/>
        <w:gridCol w:w="693"/>
      </w:tblGrid>
      <w:tr>
        <w:tblPrEx>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符合性检查表</w:t>
            </w:r>
          </w:p>
        </w:tc>
      </w:tr>
      <w:tr>
        <w:tblPrEx>
          <w:tblCellMar>
            <w:top w:w="0" w:type="dxa"/>
            <w:left w:w="108" w:type="dxa"/>
            <w:bottom w:w="0" w:type="dxa"/>
            <w:right w:w="108" w:type="dxa"/>
          </w:tblCellMar>
        </w:tblPrEx>
        <w:trPr>
          <w:trHeight w:val="400" w:hRule="atLeast"/>
        </w:trPr>
        <w:tc>
          <w:tcPr>
            <w:tcW w:w="5000" w:type="pct"/>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项目名称：新疆维吾尔自治区妇幼保健院（新疆维吾尔自治区第八人民医院）妇幼综合楼工程可行性研究报告编制及初步设计服务采购项目</w:t>
            </w:r>
          </w:p>
        </w:tc>
      </w:tr>
      <w:tr>
        <w:tblPrEx>
          <w:tblCellMar>
            <w:top w:w="0" w:type="dxa"/>
            <w:left w:w="108" w:type="dxa"/>
            <w:bottom w:w="0" w:type="dxa"/>
            <w:right w:w="108" w:type="dxa"/>
          </w:tblCellMar>
        </w:tblPrEx>
        <w:trPr>
          <w:trHeight w:val="400" w:hRule="atLeast"/>
        </w:trPr>
        <w:tc>
          <w:tcPr>
            <w:tcW w:w="5000" w:type="pct"/>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项目编号：2022-ZFCG-0012</w:t>
            </w:r>
          </w:p>
        </w:tc>
      </w:tr>
      <w:tr>
        <w:tblPrEx>
          <w:tblCellMar>
            <w:top w:w="0" w:type="dxa"/>
            <w:left w:w="108" w:type="dxa"/>
            <w:bottom w:w="0" w:type="dxa"/>
            <w:right w:w="108" w:type="dxa"/>
          </w:tblCellMar>
        </w:tblPrEx>
        <w:trPr>
          <w:trHeight w:val="400" w:hRule="atLeast"/>
        </w:trPr>
        <w:tc>
          <w:tcPr>
            <w:tcW w:w="5000" w:type="pct"/>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采购内容：妇幼综合楼工程可行性研究报告编制及初步设计服务采购（采购预算：1600000元）</w:t>
            </w:r>
          </w:p>
        </w:tc>
      </w:tr>
      <w:tr>
        <w:tblPrEx>
          <w:tblCellMar>
            <w:top w:w="0" w:type="dxa"/>
            <w:left w:w="108" w:type="dxa"/>
            <w:bottom w:w="0" w:type="dxa"/>
            <w:right w:w="108" w:type="dxa"/>
          </w:tblCellMar>
        </w:tblPrEx>
        <w:trPr>
          <w:trHeight w:val="400" w:hRule="atLeast"/>
        </w:trPr>
        <w:tc>
          <w:tcPr>
            <w:tcW w:w="4285" w:type="pct"/>
            <w:gridSpan w:val="4"/>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开标地点：新疆乌鲁木齐高新技术产业开发区（新市区）鲤鱼山北路199号集电港A座511室</w:t>
            </w:r>
          </w:p>
        </w:tc>
        <w:tc>
          <w:tcPr>
            <w:tcW w:w="715" w:type="pct"/>
            <w:gridSpan w:val="2"/>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0" w:hRule="atLeast"/>
        </w:trPr>
        <w:tc>
          <w:tcPr>
            <w:tcW w:w="3571" w:type="pct"/>
            <w:gridSpan w:val="2"/>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开标时间：2022年5月7日11点00分（北京时间）</w:t>
            </w:r>
          </w:p>
        </w:tc>
        <w:tc>
          <w:tcPr>
            <w:tcW w:w="357" w:type="pct"/>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p>
        </w:tc>
        <w:tc>
          <w:tcPr>
            <w:tcW w:w="357" w:type="pct"/>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eastAsia="Times New Roman"/>
                <w:kern w:val="0"/>
                <w:sz w:val="24"/>
                <w:szCs w:val="24"/>
              </w:rPr>
            </w:pPr>
          </w:p>
        </w:tc>
        <w:tc>
          <w:tcPr>
            <w:tcW w:w="357" w:type="pct"/>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eastAsia="Times New Roman"/>
                <w:kern w:val="0"/>
                <w:sz w:val="24"/>
                <w:szCs w:val="24"/>
              </w:rPr>
            </w:pPr>
          </w:p>
        </w:tc>
        <w:tc>
          <w:tcPr>
            <w:tcW w:w="357" w:type="pct"/>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eastAsia="Times New Roman"/>
                <w:kern w:val="0"/>
                <w:sz w:val="24"/>
                <w:szCs w:val="24"/>
              </w:rPr>
            </w:pPr>
          </w:p>
        </w:tc>
      </w:tr>
      <w:tr>
        <w:tblPrEx>
          <w:tblCellMar>
            <w:top w:w="0" w:type="dxa"/>
            <w:left w:w="108" w:type="dxa"/>
            <w:bottom w:w="0" w:type="dxa"/>
            <w:right w:w="108" w:type="dxa"/>
          </w:tblCellMar>
        </w:tblPrEx>
        <w:trPr>
          <w:trHeight w:val="550" w:hRule="atLeast"/>
        </w:trPr>
        <w:tc>
          <w:tcPr>
            <w:tcW w:w="26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33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审核内容</w:t>
            </w:r>
          </w:p>
        </w:tc>
        <w:tc>
          <w:tcPr>
            <w:tcW w:w="1429"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投标人名称</w:t>
            </w:r>
          </w:p>
        </w:tc>
      </w:tr>
      <w:tr>
        <w:tblPrEx>
          <w:tblCellMar>
            <w:top w:w="0" w:type="dxa"/>
            <w:left w:w="108" w:type="dxa"/>
            <w:bottom w:w="0" w:type="dxa"/>
            <w:right w:w="108" w:type="dxa"/>
          </w:tblCellMar>
        </w:tblPrEx>
        <w:trPr>
          <w:trHeight w:val="550" w:hRule="atLeast"/>
        </w:trPr>
        <w:tc>
          <w:tcPr>
            <w:tcW w:w="26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331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108" w:type="dxa"/>
            <w:bottom w:w="0" w:type="dxa"/>
            <w:right w:w="108" w:type="dxa"/>
          </w:tblCellMar>
        </w:tblPrEx>
        <w:trPr>
          <w:trHeight w:val="440" w:hRule="atLeast"/>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按照招标文件规定要求签署、盖章</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00" w:hRule="atLeast"/>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按照招标文件要求进行有效报价，不存在高于最高限价或低于成本价，不存在恶意报价损害采购人利益的行为；</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投标有效期满足招标文件规定</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投标文件中未附有采购人不能接受条件</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投标文件满足招标文件商务、技术等实质性要求（标注“*” 号的条款）</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26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投标人未出现招标文件中规定无效投标的其它条款</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1690" w:hRule="atLeast"/>
        </w:trPr>
        <w:tc>
          <w:tcPr>
            <w:tcW w:w="26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投标人未有下列任一情形：</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（1） 不同投标人的投标文件由同一单位或者个人编制</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（2） 不同投标人委托同一单位或者个人办理投标事宜</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（3） 不同投标人的投标文件载明的项目管理成员或者联系人员为同一人</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（4） 不同投标人的投标文件异常一致或者投标报价呈规律性差异</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（5） 不同投标人的投标文件相互混装</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00" w:hRule="atLeast"/>
        </w:trPr>
        <w:tc>
          <w:tcPr>
            <w:tcW w:w="260"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3310"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按要求递交正本1份，</w:t>
            </w:r>
            <w:r>
              <w:rPr>
                <w:rFonts w:hint="eastAsia" w:asciiTheme="minorEastAsia" w:hAnsiTheme="minorEastAsia" w:eastAsiaTheme="minorEastAsia" w:cstheme="minorEastAsia"/>
                <w:color w:val="000000"/>
                <w:kern w:val="0"/>
                <w:sz w:val="24"/>
                <w:szCs w:val="24"/>
                <w:highlight w:val="yellow"/>
              </w:rPr>
              <w:t>副本</w:t>
            </w:r>
            <w:r>
              <w:rPr>
                <w:rFonts w:hint="eastAsia" w:asciiTheme="minorEastAsia" w:hAnsiTheme="minorEastAsia" w:eastAsiaTheme="minorEastAsia" w:cstheme="minorEastAsia"/>
                <w:color w:val="000000"/>
                <w:kern w:val="0"/>
                <w:sz w:val="24"/>
                <w:szCs w:val="24"/>
                <w:highlight w:val="yellow"/>
                <w:lang w:val="en-US" w:eastAsia="zh-CN"/>
              </w:rPr>
              <w:t>2</w:t>
            </w:r>
            <w:r>
              <w:rPr>
                <w:rFonts w:hint="eastAsia" w:asciiTheme="minorEastAsia" w:hAnsiTheme="minorEastAsia" w:eastAsiaTheme="minorEastAsia" w:cstheme="minorEastAsia"/>
                <w:color w:val="000000"/>
                <w:kern w:val="0"/>
                <w:sz w:val="24"/>
                <w:szCs w:val="24"/>
              </w:rPr>
              <w:t>份，且响应文件对招标文件的实质性要求作出响应；</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80" w:hRule="atLeast"/>
        </w:trPr>
        <w:tc>
          <w:tcPr>
            <w:tcW w:w="35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结论：是否通过评审（注：投标人有一项未通过不得参与下阶段评审，视为废标。）</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57"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6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评审小组签字：</w:t>
            </w:r>
          </w:p>
        </w:tc>
      </w:tr>
    </w:tbl>
    <w:p>
      <w:pPr>
        <w:pStyle w:val="80"/>
        <w:spacing w:line="360" w:lineRule="auto"/>
        <w:rPr>
          <w:rFonts w:hint="eastAsia" w:asciiTheme="minorEastAsia" w:hAnsiTheme="minorEastAsia" w:eastAsiaTheme="minorEastAsia" w:cstheme="minorEastAsia"/>
          <w:sz w:val="24"/>
          <w:szCs w:val="24"/>
        </w:rPr>
      </w:pP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①评标委员会分别对每一投标文件依据上表进行检查。</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②评标委员会决定投标的响应性只根据投标文件本身的真实无误的内容，而不依据外部的证据，但投标文件有不真实不正确的内容时除外。</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③满足要求的条款打“√”，否则为“×”。</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④对于投标文件中有任意一条不满足要求将导致其投标无效，不进入下一项评审。</w:t>
      </w:r>
    </w:p>
    <w:p>
      <w:pPr>
        <w:pStyle w:val="2"/>
        <w:ind w:firstLine="400"/>
      </w:pPr>
      <w:r>
        <w:rPr>
          <w:rFonts w:hint="eastAsia" w:asciiTheme="minorEastAsia" w:hAnsiTheme="minorEastAsia" w:eastAsiaTheme="minorEastAsia" w:cstheme="minorEastAsia"/>
          <w:sz w:val="24"/>
          <w:szCs w:val="24"/>
        </w:rPr>
        <w:br w:type="page"/>
      </w: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三、评分标准</w:t>
      </w:r>
    </w:p>
    <w:tbl>
      <w:tblPr>
        <w:tblStyle w:val="35"/>
        <w:tblW w:w="9043" w:type="dxa"/>
        <w:jc w:val="center"/>
        <w:tblLayout w:type="fixed"/>
        <w:tblCellMar>
          <w:top w:w="0" w:type="dxa"/>
          <w:left w:w="108" w:type="dxa"/>
          <w:bottom w:w="0" w:type="dxa"/>
          <w:right w:w="108" w:type="dxa"/>
        </w:tblCellMar>
      </w:tblPr>
      <w:tblGrid>
        <w:gridCol w:w="789"/>
        <w:gridCol w:w="1305"/>
        <w:gridCol w:w="915"/>
        <w:gridCol w:w="6034"/>
      </w:tblGrid>
      <w:tr>
        <w:tblPrEx>
          <w:tblCellMar>
            <w:top w:w="0" w:type="dxa"/>
            <w:left w:w="108" w:type="dxa"/>
            <w:bottom w:w="0" w:type="dxa"/>
            <w:right w:w="108" w:type="dxa"/>
          </w:tblCellMar>
        </w:tblPrEx>
        <w:trPr>
          <w:trHeight w:val="989" w:hRule="atLeast"/>
          <w:jc w:val="center"/>
        </w:trPr>
        <w:tc>
          <w:tcPr>
            <w:tcW w:w="3009"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pStyle w:val="191"/>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评分细则</w:t>
            </w:r>
          </w:p>
          <w:p>
            <w:pPr>
              <w:pStyle w:val="191"/>
              <w:rPr>
                <w:rFonts w:hint="eastAsia" w:ascii="宋体" w:hAnsi="宋体" w:cs="宋体"/>
                <w:sz w:val="24"/>
                <w:szCs w:val="24"/>
              </w:rPr>
            </w:pPr>
          </w:p>
          <w:p>
            <w:pPr>
              <w:pStyle w:val="191"/>
              <w:rPr>
                <w:rFonts w:ascii="宋体" w:hAnsi="宋体" w:cs="宋体"/>
                <w:sz w:val="24"/>
                <w:szCs w:val="24"/>
              </w:rPr>
            </w:pPr>
            <w:r>
              <w:rPr>
                <w:rFonts w:hint="eastAsia" w:ascii="宋体" w:hAnsi="宋体" w:cs="宋体"/>
                <w:sz w:val="24"/>
                <w:szCs w:val="24"/>
              </w:rPr>
              <w:t>评分项及评分标准</w:t>
            </w:r>
          </w:p>
        </w:tc>
        <w:tc>
          <w:tcPr>
            <w:tcW w:w="6034" w:type="dxa"/>
            <w:tcBorders>
              <w:top w:val="single" w:color="auto" w:sz="4" w:space="0"/>
              <w:left w:val="nil"/>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评分细则</w:t>
            </w:r>
          </w:p>
        </w:tc>
      </w:tr>
      <w:tr>
        <w:tblPrEx>
          <w:tblCellMar>
            <w:top w:w="0" w:type="dxa"/>
            <w:left w:w="108" w:type="dxa"/>
            <w:bottom w:w="0" w:type="dxa"/>
            <w:right w:w="108" w:type="dxa"/>
          </w:tblCellMar>
        </w:tblPrEx>
        <w:trPr>
          <w:trHeight w:val="810" w:hRule="atLeast"/>
          <w:jc w:val="center"/>
        </w:trPr>
        <w:tc>
          <w:tcPr>
            <w:tcW w:w="789" w:type="dxa"/>
            <w:tcBorders>
              <w:top w:val="nil"/>
              <w:left w:val="single" w:color="auto" w:sz="4" w:space="0"/>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 xml:space="preserve">价格分 </w:t>
            </w:r>
            <w:r>
              <w:rPr>
                <w:rFonts w:hint="eastAsia" w:ascii="宋体" w:hAnsi="宋体" w:cs="宋体"/>
                <w:sz w:val="24"/>
                <w:szCs w:val="24"/>
              </w:rPr>
              <w:br w:type="textWrapping"/>
            </w:r>
            <w:r>
              <w:rPr>
                <w:rFonts w:hint="eastAsia" w:ascii="宋体" w:hAnsi="宋体" w:cs="宋体"/>
                <w:sz w:val="24"/>
                <w:szCs w:val="24"/>
              </w:rPr>
              <w:t>（10分）</w:t>
            </w:r>
          </w:p>
        </w:tc>
        <w:tc>
          <w:tcPr>
            <w:tcW w:w="1305" w:type="dxa"/>
            <w:tcBorders>
              <w:top w:val="nil"/>
              <w:left w:val="nil"/>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设计费报价</w:t>
            </w:r>
          </w:p>
        </w:tc>
        <w:tc>
          <w:tcPr>
            <w:tcW w:w="915" w:type="dxa"/>
            <w:tcBorders>
              <w:top w:val="nil"/>
              <w:left w:val="nil"/>
              <w:bottom w:val="single" w:color="auto" w:sz="4" w:space="0"/>
              <w:right w:val="single" w:color="auto" w:sz="4" w:space="0"/>
            </w:tcBorders>
            <w:shd w:val="clear" w:color="000000" w:fill="FFFFFF"/>
            <w:vAlign w:val="center"/>
          </w:tcPr>
          <w:p>
            <w:pPr>
              <w:pStyle w:val="191"/>
              <w:jc w:val="center"/>
              <w:rPr>
                <w:rFonts w:ascii="宋体" w:hAnsi="宋体" w:cs="宋体"/>
                <w:sz w:val="24"/>
                <w:szCs w:val="24"/>
              </w:rPr>
            </w:pPr>
            <w:r>
              <w:rPr>
                <w:rFonts w:hint="eastAsia" w:ascii="宋体" w:hAnsi="宋体" w:cs="宋体"/>
                <w:sz w:val="24"/>
                <w:szCs w:val="24"/>
              </w:rPr>
              <w:t>10</w:t>
            </w:r>
          </w:p>
        </w:tc>
        <w:tc>
          <w:tcPr>
            <w:tcW w:w="6034" w:type="dxa"/>
            <w:tcBorders>
              <w:top w:val="nil"/>
              <w:left w:val="nil"/>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在价格评分时，满足招标文件要求且投标价格最低的投标报价为评标基准价，其价格分为满分。其他供应商的价格分统一按照下列公式计算：</w:t>
            </w:r>
          </w:p>
          <w:p>
            <w:pPr>
              <w:pStyle w:val="191"/>
              <w:rPr>
                <w:rFonts w:ascii="宋体" w:hAnsi="宋体" w:cs="宋体"/>
                <w:sz w:val="24"/>
                <w:szCs w:val="24"/>
              </w:rPr>
            </w:pPr>
            <w:r>
              <w:rPr>
                <w:rFonts w:hint="eastAsia" w:ascii="宋体" w:hAnsi="宋体" w:cs="宋体"/>
                <w:sz w:val="24"/>
                <w:szCs w:val="24"/>
              </w:rPr>
              <w:t>投标报价得分=(评标基准价／投标报价)×10%×100</w:t>
            </w:r>
          </w:p>
          <w:p>
            <w:pPr>
              <w:pStyle w:val="191"/>
              <w:rPr>
                <w:rFonts w:ascii="宋体" w:hAnsi="宋体" w:cs="宋体"/>
                <w:sz w:val="24"/>
                <w:szCs w:val="24"/>
              </w:rPr>
            </w:pPr>
            <w:r>
              <w:rPr>
                <w:rFonts w:hint="eastAsia" w:ascii="宋体" w:hAnsi="宋体" w:cs="宋体"/>
                <w:sz w:val="24"/>
                <w:szCs w:val="24"/>
              </w:rPr>
              <w:t>注：a、以按照招标文件规定修正后的所有合格供应商的最低价为评分基准价；b、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tc>
      </w:tr>
      <w:tr>
        <w:tblPrEx>
          <w:tblCellMar>
            <w:top w:w="0" w:type="dxa"/>
            <w:left w:w="108" w:type="dxa"/>
            <w:bottom w:w="0" w:type="dxa"/>
            <w:right w:w="108" w:type="dxa"/>
          </w:tblCellMar>
        </w:tblPrEx>
        <w:trPr>
          <w:trHeight w:val="285" w:hRule="atLeast"/>
          <w:jc w:val="center"/>
        </w:trPr>
        <w:tc>
          <w:tcPr>
            <w:tcW w:w="789" w:type="dxa"/>
            <w:vMerge w:val="restart"/>
            <w:tcBorders>
              <w:top w:val="nil"/>
              <w:left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商务评审（40分）</w:t>
            </w: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业绩</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14</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1、2017年1月1日起至今五年内具有类似的公共建筑项目可行性研究报告或初步设计业绩三项。每提供一项获得2分，满分6分。（附合同或中标通知书或竣工验收报告或其他同等效力证明材料。）未提供的不得分。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2017年1月1日起至今五年有两项公共建筑类总面积12000㎡及以上或总投资2亿元及以上初步设计业绩。每提供一项获得2分，满分4分。（附合同或中标通知书或竣工验收报告或其他同等效力证明材料。）未提供的不得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2017年1月1日起至今五年有两项公共建筑类总面积12000㎡及以上或总投资2亿元及以上可行性研究报告项目工程业绩。每提供一项获得2分，满分4分。（附合同或中标通知书或竣工验收报告或其他同等效力证明材料。）未提供的不得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4、证明材料均不得涂改遮挡，如有因与该项目案例甲方签有保密协议而确需遮挡关键信息的情况，须同时提交该项目保密协议复印件，否则不予认定加分。所有证明材料需加盖公章；没有加盖公章，不予认定。</w:t>
            </w:r>
          </w:p>
        </w:tc>
      </w:tr>
      <w:tr>
        <w:tblPrEx>
          <w:tblCellMar>
            <w:top w:w="0" w:type="dxa"/>
            <w:left w:w="108" w:type="dxa"/>
            <w:bottom w:w="0" w:type="dxa"/>
            <w:right w:w="108" w:type="dxa"/>
          </w:tblCellMar>
        </w:tblPrEx>
        <w:trPr>
          <w:trHeight w:val="285" w:hRule="atLeast"/>
          <w:jc w:val="center"/>
        </w:trPr>
        <w:tc>
          <w:tcPr>
            <w:tcW w:w="789" w:type="dxa"/>
            <w:vMerge w:val="continue"/>
            <w:tcBorders>
              <w:top w:val="nil"/>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设计周期</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设计周期，每提前1天加0</w:t>
            </w:r>
            <w:r>
              <w:rPr>
                <w:rFonts w:ascii="宋体" w:hAnsi="宋体" w:cs="宋体"/>
                <w:kern w:val="0"/>
                <w:sz w:val="24"/>
                <w:szCs w:val="24"/>
              </w:rPr>
              <w:t>.5</w:t>
            </w:r>
            <w:r>
              <w:rPr>
                <w:rFonts w:hint="eastAsia" w:ascii="宋体" w:hAnsi="宋体" w:cs="宋体"/>
                <w:kern w:val="0"/>
                <w:sz w:val="24"/>
                <w:szCs w:val="24"/>
              </w:rPr>
              <w:t>分，满分3分。提供设计周期声明函，及详细的设计周期计划。未提供的不得分。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项目团队</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21</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初步设计项目负责人须具有一级注册建筑师执业证书或建筑工程类中级工程师及以上职称；符合得2分。可行性研究报告项目负责人须具有建筑工程类注册咨询工程师（投资）执业证书或建筑工程类中级工程师及以上职称；符合得2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（本项满分4分，提供</w:t>
            </w:r>
            <w:r>
              <w:rPr>
                <w:rFonts w:hint="eastAsia" w:ascii="宋体" w:hAnsi="宋体" w:cs="宋体"/>
                <w:kern w:val="0"/>
                <w:sz w:val="24"/>
                <w:szCs w:val="24"/>
                <w:lang w:eastAsia="zh-CN"/>
              </w:rPr>
              <w:t>人员身份证、社保证明或劳动合同、</w:t>
            </w:r>
            <w:r>
              <w:rPr>
                <w:rFonts w:hint="eastAsia" w:ascii="宋体" w:hAnsi="宋体" w:cs="宋体"/>
                <w:kern w:val="0"/>
                <w:sz w:val="24"/>
                <w:szCs w:val="24"/>
              </w:rPr>
              <w:t>执业证书或者职称证书</w:t>
            </w:r>
            <w:r>
              <w:rPr>
                <w:rFonts w:hint="eastAsia" w:ascii="宋体" w:hAnsi="宋体" w:cs="宋体"/>
                <w:kern w:val="0"/>
                <w:sz w:val="24"/>
                <w:szCs w:val="24"/>
                <w:lang w:eastAsia="zh-CN"/>
              </w:rPr>
              <w:t>等</w:t>
            </w:r>
            <w:r>
              <w:rPr>
                <w:rFonts w:hint="eastAsia" w:ascii="宋体" w:hAnsi="宋体" w:cs="宋体"/>
                <w:kern w:val="0"/>
                <w:sz w:val="24"/>
                <w:szCs w:val="24"/>
              </w:rPr>
              <w:t>）</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2、初步设计项目负责人2017年1月1日起至今五年类似的公共建筑项目担任项目负责人，每提供一项获得2分，满分4分。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（附合同或中标通知书或竣工验收报告或其他同等效力证明材料，需体现项目负责人姓名）</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可行性研究报告项目负责人2017年1月1日起至今五年在类似的公共建筑项目中担任项目负责人，每提供一项获得2分，满分4分。（附合同或中标通知书或竣工验收报告或其他同等效力证明材料，需体现项目负责人姓名）</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4、项目主要设计人员必须提供简历，项目团队其他人员有相关证书，如注册咨询工程师（投资）或相关专业的中级工程师等，有1名得1分，满分8分（需提供</w:t>
            </w:r>
            <w:r>
              <w:rPr>
                <w:rFonts w:hint="eastAsia" w:ascii="宋体" w:hAnsi="宋体" w:cs="宋体"/>
                <w:kern w:val="0"/>
                <w:sz w:val="24"/>
                <w:szCs w:val="24"/>
                <w:lang w:eastAsia="zh-CN"/>
              </w:rPr>
              <w:t>人员身份证、社保证明或劳动合同、</w:t>
            </w:r>
            <w:r>
              <w:rPr>
                <w:rFonts w:hint="eastAsia" w:ascii="宋体" w:hAnsi="宋体" w:cs="宋体"/>
                <w:kern w:val="0"/>
                <w:sz w:val="24"/>
                <w:szCs w:val="24"/>
              </w:rPr>
              <w:t>证书复印件</w:t>
            </w:r>
            <w:r>
              <w:rPr>
                <w:rFonts w:hint="eastAsia" w:ascii="宋体" w:hAnsi="宋体" w:cs="宋体"/>
                <w:kern w:val="0"/>
                <w:sz w:val="24"/>
                <w:szCs w:val="24"/>
                <w:lang w:eastAsia="zh-CN"/>
              </w:rPr>
              <w:t>等</w:t>
            </w:r>
            <w:r>
              <w:rPr>
                <w:rFonts w:hint="eastAsia" w:ascii="宋体" w:hAnsi="宋体" w:cs="宋体"/>
                <w:kern w:val="0"/>
                <w:sz w:val="24"/>
                <w:szCs w:val="24"/>
              </w:rPr>
              <w:t>）</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5、项目主要设计人员2017年1月1日起至今五年有、类似的公共建筑项目可行性研究报告或初步设计业绩的，每提供一个得0.5分，满分1分。（提供证明材料）</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以上内容，未提供的不得分。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获得奖项</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2</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2017年1月1日起至今五年</w:t>
            </w:r>
            <w:r>
              <w:rPr>
                <w:rFonts w:hint="eastAsia" w:ascii="宋体" w:hAnsi="宋体" w:cs="宋体"/>
                <w:kern w:val="0"/>
                <w:sz w:val="24"/>
                <w:szCs w:val="24"/>
                <w:lang w:eastAsia="zh-CN"/>
              </w:rPr>
              <w:t>供应商所</w:t>
            </w:r>
            <w:r>
              <w:rPr>
                <w:rFonts w:hint="eastAsia" w:ascii="宋体" w:hAnsi="宋体" w:cs="宋体"/>
                <w:kern w:val="0"/>
                <w:sz w:val="24"/>
                <w:szCs w:val="24"/>
              </w:rPr>
              <w:t>编制的可行性研究报告或者相关设计项目获得过国家级奖项的每</w:t>
            </w:r>
            <w:r>
              <w:rPr>
                <w:rFonts w:hint="eastAsia" w:ascii="宋体" w:hAnsi="宋体" w:cs="宋体"/>
                <w:kern w:val="0"/>
                <w:sz w:val="24"/>
                <w:szCs w:val="24"/>
                <w:lang w:eastAsia="zh-CN"/>
              </w:rPr>
              <w:t>一个得</w:t>
            </w:r>
            <w:r>
              <w:rPr>
                <w:rFonts w:hint="eastAsia" w:ascii="宋体" w:hAnsi="宋体" w:cs="宋体"/>
                <w:kern w:val="0"/>
                <w:sz w:val="24"/>
                <w:szCs w:val="24"/>
              </w:rPr>
              <w:t>1分，满分2分</w:t>
            </w:r>
            <w:r>
              <w:rPr>
                <w:rFonts w:hint="eastAsia" w:ascii="宋体" w:hAnsi="宋体" w:cs="宋体"/>
                <w:kern w:val="0"/>
                <w:sz w:val="24"/>
                <w:szCs w:val="24"/>
                <w:lang w:eastAsia="zh-CN"/>
              </w:rPr>
              <w:t>。</w:t>
            </w:r>
            <w:r>
              <w:rPr>
                <w:rFonts w:hint="eastAsia" w:ascii="宋体" w:hAnsi="宋体" w:cs="宋体"/>
                <w:kern w:val="0"/>
                <w:sz w:val="24"/>
                <w:szCs w:val="24"/>
              </w:rPr>
              <w:t>提供证明材料</w:t>
            </w:r>
            <w:r>
              <w:rPr>
                <w:rFonts w:hint="eastAsia" w:ascii="宋体" w:hAnsi="宋体" w:cs="宋体"/>
                <w:kern w:val="0"/>
                <w:sz w:val="24"/>
                <w:szCs w:val="24"/>
                <w:lang w:eastAsia="zh-CN"/>
              </w:rPr>
              <w:t>，</w:t>
            </w:r>
            <w:r>
              <w:rPr>
                <w:rFonts w:hint="eastAsia" w:ascii="宋体" w:hAnsi="宋体" w:cs="宋体"/>
                <w:kern w:val="0"/>
                <w:sz w:val="24"/>
                <w:szCs w:val="24"/>
              </w:rPr>
              <w:t>未提供的不得分。</w:t>
            </w:r>
          </w:p>
        </w:tc>
      </w:tr>
      <w:tr>
        <w:tblPrEx>
          <w:tblCellMar>
            <w:top w:w="0" w:type="dxa"/>
            <w:left w:w="108" w:type="dxa"/>
            <w:bottom w:w="0" w:type="dxa"/>
            <w:right w:w="108" w:type="dxa"/>
          </w:tblCellMar>
        </w:tblPrEx>
        <w:trPr>
          <w:trHeight w:val="285" w:hRule="atLeast"/>
          <w:jc w:val="center"/>
        </w:trPr>
        <w:tc>
          <w:tcPr>
            <w:tcW w:w="789" w:type="dxa"/>
            <w:vMerge w:val="restart"/>
            <w:tcBorders>
              <w:top w:val="nil"/>
              <w:left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技术评审（50分）</w:t>
            </w: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可研报告编制方案</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12</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说明可研报告编制方案工作范围和主要内容，内容充实详尽且对工作范围理解准确的得12分，内容较充实且对工作范围理解基本准确的得8分，内容空洞不够具体或对工作范围理解有偏差的得4分。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初步设计编制方案</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18</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1、设计思路表述情况：方案设计的论据和依据的合理性，形成的结论与成果逻辑性，设计思路的清晰、完整、严谨、合理性。</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1）对问题分析完整、准确，设计思路清晰、严谨：8分；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2）对问题分析较为完整、准确，设计思路较清晰、严谨： 6分；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3）对问题分析不完整、较准确，设计思路较混乱： 3分；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4）设计思路差，不准确：得0分。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2、对项目的理解，方案设计情况（是否充分理解项目，设计方案是否清晰、完整合理，系统间衔接是否合理）。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1）充分理解项目要求，方案设计完整合理：得8分；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2）较为理解项目要求，方案设计较为完整合理：得6分；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3）未充分理解项目要求，方案设计欠完整：得3分；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4）理解有明显偏差，方案设计差：得0分。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3、评价整体设计说明的编制深度及完整性措施，工程概算合理性的保证措施。</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1）措施完整合理，得2分；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2）措施较为完整合理，得1分；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3）措施欠缺不合理，得0分。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服务团队职责分工</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5</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项目团队分工岗位划分明确，责任分工清晰，得5分，从整体看岗位划分混乱，责任不明确，或缺乏经验根据情况相应酌情扣分，扣完为止。</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内部管理制度</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有健全的项目管理制度、质量管理制度、财务管理制度、风险管理制度、经营管理制度和廉政管理制度的得3分，每缺一项扣0.5分。未提供的不得分。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textAlignment w:val="center"/>
              <w:rPr>
                <w:rFonts w:ascii="宋体" w:hAnsi="宋体" w:cs="宋体"/>
                <w:kern w:val="0"/>
                <w:sz w:val="24"/>
                <w:szCs w:val="24"/>
              </w:rPr>
            </w:pPr>
            <w:r>
              <w:rPr>
                <w:rFonts w:hint="eastAsia" w:ascii="宋体" w:hAnsi="宋体" w:cs="宋体"/>
                <w:kern w:val="0"/>
                <w:sz w:val="24"/>
                <w:szCs w:val="24"/>
              </w:rPr>
              <w:t>服务承诺</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6</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1、承诺细致、服务完备、满足用户要求，得2分，否则0分；</w:t>
            </w:r>
            <w:r>
              <w:rPr>
                <w:rFonts w:hint="eastAsia" w:ascii="宋体" w:hAnsi="宋体" w:cs="宋体"/>
                <w:kern w:val="0"/>
                <w:sz w:val="24"/>
                <w:szCs w:val="24"/>
              </w:rPr>
              <w:br w:type="textWrapping"/>
            </w:r>
            <w:r>
              <w:rPr>
                <w:rFonts w:hint="eastAsia" w:ascii="宋体" w:hAnsi="宋体" w:cs="宋体"/>
                <w:kern w:val="0"/>
                <w:sz w:val="24"/>
                <w:szCs w:val="24"/>
              </w:rPr>
              <w:t>2.承诺能够严格执行各种专业规范，积极配合方案及相关勘察、设计成果审批时的各项修改，得2分，否则0分；</w:t>
            </w:r>
            <w:r>
              <w:rPr>
                <w:rFonts w:hint="eastAsia" w:ascii="宋体" w:hAnsi="宋体" w:cs="宋体"/>
                <w:kern w:val="0"/>
                <w:sz w:val="24"/>
                <w:szCs w:val="24"/>
              </w:rPr>
              <w:br w:type="textWrapping"/>
            </w:r>
            <w:r>
              <w:rPr>
                <w:rFonts w:hint="eastAsia" w:ascii="宋体" w:hAnsi="宋体" w:cs="宋体"/>
                <w:kern w:val="0"/>
                <w:sz w:val="24"/>
                <w:szCs w:val="24"/>
              </w:rPr>
              <w:t>3.承诺后期施工时的技术交底和设计变更等相关配合，得1分，否则0分。</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4.针对本次设计任务有具体的明确</w:t>
            </w:r>
            <w:r>
              <w:rPr>
                <w:rFonts w:hint="eastAsia" w:ascii="宋体" w:hAnsi="宋体" w:cs="宋体"/>
                <w:color w:val="000000"/>
                <w:kern w:val="0"/>
                <w:sz w:val="24"/>
                <w:szCs w:val="24"/>
              </w:rPr>
              <w:t>项目实施进度</w:t>
            </w:r>
            <w:r>
              <w:rPr>
                <w:rFonts w:hint="eastAsia" w:ascii="宋体" w:hAnsi="宋体" w:cs="宋体"/>
                <w:kern w:val="0"/>
                <w:sz w:val="24"/>
                <w:szCs w:val="24"/>
              </w:rPr>
              <w:t>，能够在承诺的时间内完成验收。针对本次设计任务有具体的明确项目实施进度，进度控制保证措施完整、可行，能够在承诺的时间内完成验收得1分。</w:t>
            </w:r>
          </w:p>
          <w:p>
            <w:pPr>
              <w:spacing w:before="0" w:beforeAutospacing="0" w:after="0" w:afterAutospacing="0" w:line="240" w:lineRule="auto"/>
              <w:rPr>
                <w:rFonts w:ascii="宋体" w:hAnsi="宋体" w:cs="宋体"/>
                <w:kern w:val="0"/>
                <w:sz w:val="24"/>
                <w:szCs w:val="24"/>
              </w:rPr>
            </w:pPr>
            <w:r>
              <w:rPr>
                <w:rFonts w:hint="eastAsia" w:ascii="宋体" w:hAnsi="宋体" w:cs="宋体"/>
                <w:sz w:val="24"/>
                <w:szCs w:val="24"/>
              </w:rPr>
              <w:t>本项未提供的不得分。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后期服务</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协助建设单位完成建设项目设计评审和相关立项工作。对提供的方案和措施进行综合评价。</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1）方案合理，措施全面，提出合理建议：得3分；</w:t>
            </w:r>
          </w:p>
          <w:p>
            <w:pPr>
              <w:spacing w:before="0" w:beforeAutospacing="0" w:after="0" w:afterAutospacing="0" w:line="240" w:lineRule="auto"/>
              <w:rPr>
                <w:rFonts w:hint="eastAsia" w:ascii="宋体" w:hAnsi="宋体" w:cs="宋体"/>
                <w:kern w:val="0"/>
                <w:sz w:val="24"/>
                <w:szCs w:val="24"/>
              </w:rPr>
            </w:pPr>
            <w:r>
              <w:rPr>
                <w:rFonts w:hint="eastAsia" w:ascii="宋体" w:hAnsi="宋体" w:cs="宋体"/>
                <w:kern w:val="0"/>
                <w:sz w:val="24"/>
                <w:szCs w:val="24"/>
              </w:rPr>
              <w:t>2）方案较为合理，提出措施及建议：得2分；</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3）方案和措施无系统性，较为混乱：0分。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bottom w:val="single" w:color="auto" w:sz="4" w:space="0"/>
              <w:right w:val="single" w:color="auto" w:sz="4" w:space="0"/>
            </w:tcBorders>
            <w:shd w:val="clear" w:color="000000" w:fill="FFFFFF"/>
            <w:vAlign w:val="center"/>
          </w:tcPr>
          <w:p>
            <w:pPr>
              <w:pStyle w:val="191"/>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sz w:val="24"/>
                <w:szCs w:val="24"/>
              </w:rPr>
              <w:t>执行标准</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sz w:val="24"/>
                <w:szCs w:val="24"/>
              </w:rPr>
            </w:pPr>
            <w:r>
              <w:rPr>
                <w:rFonts w:hint="eastAsia" w:ascii="宋体" w:hAnsi="宋体" w:cs="宋体"/>
                <w:sz w:val="24"/>
                <w:szCs w:val="24"/>
              </w:rPr>
              <w:t>说明初设等相关报告编制采用法规、标准的原则，能列出执行的主要法规和标准清单的，每提供一个主要法规或标准加0</w:t>
            </w:r>
            <w:r>
              <w:rPr>
                <w:rFonts w:ascii="宋体" w:hAnsi="宋体" w:cs="宋体"/>
                <w:sz w:val="24"/>
                <w:szCs w:val="24"/>
              </w:rPr>
              <w:t>.5</w:t>
            </w:r>
            <w:r>
              <w:rPr>
                <w:rFonts w:hint="eastAsia" w:ascii="宋体" w:hAnsi="宋体" w:cs="宋体"/>
                <w:sz w:val="24"/>
                <w:szCs w:val="24"/>
              </w:rPr>
              <w:t>分，本项最高得3分。</w:t>
            </w:r>
          </w:p>
          <w:p>
            <w:pPr>
              <w:spacing w:before="0" w:beforeAutospacing="0" w:after="0" w:afterAutospacing="0" w:line="240" w:lineRule="auto"/>
              <w:rPr>
                <w:rFonts w:ascii="宋体" w:hAnsi="宋体" w:cs="宋体"/>
                <w:kern w:val="0"/>
                <w:sz w:val="24"/>
                <w:szCs w:val="24"/>
              </w:rPr>
            </w:pPr>
            <w:r>
              <w:rPr>
                <w:rFonts w:hint="eastAsia" w:ascii="宋体" w:hAnsi="宋体" w:cs="宋体"/>
                <w:sz w:val="24"/>
                <w:szCs w:val="24"/>
              </w:rPr>
              <w:t>未提供的不得分。</w:t>
            </w:r>
          </w:p>
        </w:tc>
      </w:tr>
      <w:tr>
        <w:tblPrEx>
          <w:tblCellMar>
            <w:top w:w="0" w:type="dxa"/>
            <w:left w:w="108" w:type="dxa"/>
            <w:bottom w:w="0" w:type="dxa"/>
            <w:right w:w="108" w:type="dxa"/>
          </w:tblCellMar>
        </w:tblPrEx>
        <w:trPr>
          <w:trHeight w:val="465" w:hRule="atLeast"/>
          <w:jc w:val="center"/>
        </w:trPr>
        <w:tc>
          <w:tcPr>
            <w:tcW w:w="2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得分</w:t>
            </w:r>
          </w:p>
        </w:tc>
        <w:tc>
          <w:tcPr>
            <w:tcW w:w="6949" w:type="dxa"/>
            <w:gridSpan w:val="2"/>
            <w:tcBorders>
              <w:top w:val="nil"/>
              <w:left w:val="nil"/>
              <w:bottom w:val="single" w:color="auto" w:sz="4" w:space="0"/>
              <w:right w:val="single" w:color="auto" w:sz="4" w:space="0"/>
            </w:tcBorders>
            <w:shd w:val="clear" w:color="000000" w:fill="FFFFFF"/>
            <w:vAlign w:val="center"/>
          </w:tcPr>
          <w:p>
            <w:pPr>
              <w:pStyle w:val="191"/>
              <w:rPr>
                <w:rFonts w:ascii="宋体" w:hAnsi="宋体" w:cs="宋体"/>
                <w:sz w:val="24"/>
                <w:szCs w:val="24"/>
              </w:rPr>
            </w:pPr>
            <w:r>
              <w:rPr>
                <w:rFonts w:hint="eastAsia" w:ascii="宋体" w:hAnsi="宋体" w:cs="宋体"/>
                <w:sz w:val="24"/>
                <w:szCs w:val="24"/>
              </w:rPr>
              <w:t>100分</w:t>
            </w:r>
          </w:p>
        </w:tc>
      </w:tr>
    </w:tbl>
    <w:p>
      <w:pPr>
        <w:pStyle w:val="5"/>
        <w:rPr>
          <w:rFonts w:asciiTheme="minorEastAsia" w:hAnsiTheme="minorEastAsia" w:eastAsiaTheme="minorEastAsia" w:cstheme="minorEastAsia"/>
        </w:rPr>
      </w:pPr>
      <w:bookmarkStart w:id="82" w:name="_Toc406671101"/>
      <w:bookmarkStart w:id="83" w:name="_Toc424213020"/>
      <w:bookmarkStart w:id="84" w:name="_Toc406670730"/>
      <w:bookmarkStart w:id="85" w:name="_Toc406672392"/>
      <w:bookmarkStart w:id="86" w:name="_Toc406671689"/>
      <w:bookmarkStart w:id="87" w:name="_Toc8364"/>
      <w:r>
        <w:rPr>
          <w:rFonts w:hint="eastAsia" w:asciiTheme="minorEastAsia" w:hAnsiTheme="minorEastAsia" w:eastAsiaTheme="minorEastAsia" w:cstheme="minorEastAsia"/>
        </w:rPr>
        <w:t>第三节 废标条款</w:t>
      </w:r>
      <w:bookmarkEnd w:id="82"/>
      <w:bookmarkEnd w:id="83"/>
      <w:bookmarkEnd w:id="84"/>
      <w:bookmarkEnd w:id="85"/>
      <w:bookmarkEnd w:id="86"/>
      <w:bookmarkEnd w:id="87"/>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出现下列情形之一的，本项目/品目作废标处理,项目/品目评审终止：</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1.符合专业条件的或对采购文件作实质响应的有效投标供应商不足三家的；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2.出现影响采购公正的违法、违规行为的；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3.供应商报价均超过了采购预算，采购人不能支付的；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4.因重大变故，采购任务取消的；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5.法律法规规定的其他情形</w:t>
      </w:r>
    </w:p>
    <w:p>
      <w:pPr>
        <w:pStyle w:val="5"/>
        <w:rPr>
          <w:rFonts w:asciiTheme="minorEastAsia" w:hAnsiTheme="minorEastAsia" w:eastAsiaTheme="minorEastAsia" w:cstheme="minorEastAsia"/>
        </w:rPr>
      </w:pPr>
      <w:bookmarkStart w:id="88" w:name="_Toc406670731"/>
      <w:bookmarkStart w:id="89" w:name="_Toc406671102"/>
      <w:bookmarkStart w:id="90" w:name="_Toc406672393"/>
      <w:bookmarkStart w:id="91" w:name="_Toc406671690"/>
      <w:bookmarkStart w:id="92" w:name="_Toc424213021"/>
      <w:bookmarkStart w:id="93" w:name="_Toc22467"/>
      <w:r>
        <w:rPr>
          <w:rFonts w:hint="eastAsia" w:asciiTheme="minorEastAsia" w:hAnsiTheme="minorEastAsia" w:eastAsiaTheme="minorEastAsia" w:cstheme="minorEastAsia"/>
        </w:rPr>
        <w:t>第四节 无效标条款</w:t>
      </w:r>
      <w:bookmarkEnd w:id="88"/>
      <w:bookmarkEnd w:id="89"/>
      <w:bookmarkEnd w:id="90"/>
      <w:bookmarkEnd w:id="91"/>
      <w:bookmarkEnd w:id="92"/>
      <w:bookmarkEnd w:id="93"/>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出现下列情形之一的，供应商递交的响应文件作无效标处理，该供应商的响应文件不参与评审，且不计算入投标供应商家数：</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1.递交的响应文件不完整或未按采购文件要求加盖公章及签字的；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2.供应商不符合国家及招标文件规定的资格条件的；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3.项目接受联合体投标时，投标联合体未提交联合投标协议的；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4.投标报价被评审委员会认定低于成本价的；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5.投标报价高于财政采购预算采购人无法支付的；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6.响应文件对采购文件的实质性要求和条件未作出响应的；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7.供应商有串通投标、弄虚作假、行贿等违法行为的；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有下列情形之一的，视为</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串通投标，其投标无效：</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（一）不同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由同一单位或者个人编制；</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（二）不同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委托同一单位或者个人办理投标事宜；</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（三）不同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载明的项目管理成员或者联系人员为同一人；</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（四）不同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异常一致或者投标报价呈规律性差异；</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（五）不同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相互混装；</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（六）不同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的投标保证金从同一单位或者个人的账户转出。</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9.响应文件未胶装成册的（采用打孔装订、活页夹等方式装订的响应文件作为无效投标处理）；</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10.未交纳投标保证金的；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11.投标有效期不满足采购文件要求的；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12.单位负责人为同一人或者存在直接控股、管理关系的不同供应商，不得参加同一合同项下的政府采购活动。</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13.为本项目提供整体设计、规范编制或者项目管理、监理、检测等服务的供应商参加本采购项目的。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14.违反政府采购法律法规,足以导致响应文件无效的情形。</w:t>
      </w:r>
    </w:p>
    <w:p>
      <w:pPr>
        <w:pStyle w:val="3"/>
        <w:rPr>
          <w:rFonts w:asciiTheme="minorEastAsia" w:hAnsiTheme="minorEastAsia" w:eastAsiaTheme="minorEastAsia" w:cstheme="minorEastAsia"/>
        </w:rPr>
      </w:pPr>
      <w:bookmarkStart w:id="94" w:name="_Toc406671691"/>
      <w:bookmarkStart w:id="95" w:name="_Toc406670732"/>
      <w:bookmarkStart w:id="96" w:name="_Toc406671103"/>
      <w:bookmarkStart w:id="97" w:name="_Toc406672394"/>
      <w:bookmarkStart w:id="98" w:name="_Toc424213022"/>
      <w:bookmarkStart w:id="99" w:name="_Toc13941"/>
      <w:r>
        <w:rPr>
          <w:rFonts w:hint="eastAsia" w:asciiTheme="minorEastAsia" w:hAnsiTheme="minorEastAsia" w:eastAsiaTheme="minorEastAsia" w:cstheme="minorEastAsia"/>
        </w:rPr>
        <w:t>第二部分  通用部分</w:t>
      </w:r>
      <w:bookmarkEnd w:id="94"/>
      <w:bookmarkEnd w:id="95"/>
      <w:bookmarkEnd w:id="96"/>
      <w:bookmarkEnd w:id="97"/>
      <w:bookmarkEnd w:id="98"/>
      <w:bookmarkEnd w:id="99"/>
    </w:p>
    <w:p>
      <w:pPr>
        <w:pStyle w:val="4"/>
        <w:rPr>
          <w:rFonts w:ascii="宋体" w:hAnsi="宋体" w:eastAsia="宋体" w:cs="宋体"/>
          <w:sz w:val="24"/>
          <w:szCs w:val="24"/>
        </w:rPr>
      </w:pPr>
      <w:bookmarkStart w:id="100" w:name="_Toc406672395"/>
      <w:bookmarkStart w:id="101" w:name="_Toc406670733"/>
      <w:bookmarkStart w:id="102" w:name="_Toc406671104"/>
      <w:bookmarkStart w:id="103" w:name="_Toc406671692"/>
      <w:bookmarkStart w:id="104" w:name="_Toc424213023"/>
      <w:bookmarkStart w:id="105" w:name="_Toc2158"/>
      <w:r>
        <w:rPr>
          <w:rFonts w:hint="eastAsia" w:ascii="宋体" w:hAnsi="宋体" w:eastAsia="宋体" w:cs="宋体"/>
          <w:sz w:val="24"/>
          <w:szCs w:val="24"/>
        </w:rPr>
        <w:t xml:space="preserve">第四章  </w:t>
      </w:r>
      <w:bookmarkEnd w:id="100"/>
      <w:bookmarkEnd w:id="101"/>
      <w:bookmarkEnd w:id="102"/>
      <w:bookmarkEnd w:id="103"/>
      <w:bookmarkStart w:id="106" w:name="_Toc406671105"/>
      <w:bookmarkStart w:id="107" w:name="_Toc406670734"/>
      <w:bookmarkStart w:id="108" w:name="_Toc406672396"/>
      <w:bookmarkStart w:id="109" w:name="_Toc406671693"/>
      <w:r>
        <w:rPr>
          <w:rFonts w:hint="eastAsia" w:ascii="宋体" w:hAnsi="宋体" w:eastAsia="宋体" w:cs="宋体"/>
          <w:sz w:val="24"/>
          <w:szCs w:val="24"/>
        </w:rPr>
        <w:t>政府采购程序</w:t>
      </w:r>
      <w:bookmarkEnd w:id="104"/>
      <w:bookmarkEnd w:id="105"/>
    </w:p>
    <w:bookmarkEnd w:id="106"/>
    <w:bookmarkEnd w:id="107"/>
    <w:bookmarkEnd w:id="108"/>
    <w:bookmarkEnd w:id="109"/>
    <w:p>
      <w:pPr>
        <w:pStyle w:val="5"/>
        <w:rPr>
          <w:rFonts w:hint="eastAsia" w:asciiTheme="minorEastAsia" w:hAnsiTheme="minorEastAsia" w:eastAsiaTheme="minorEastAsia" w:cstheme="minorEastAsia"/>
        </w:rPr>
      </w:pPr>
      <w:bookmarkStart w:id="110" w:name="_Toc407182675"/>
      <w:bookmarkStart w:id="111" w:name="_Toc16022"/>
      <w:bookmarkStart w:id="112" w:name="_Toc18745"/>
      <w:bookmarkStart w:id="113" w:name="_Toc6789"/>
      <w:bookmarkStart w:id="114" w:name="_Toc406672406"/>
      <w:bookmarkStart w:id="115" w:name="_Toc406671703"/>
      <w:bookmarkStart w:id="116" w:name="_Toc406671115"/>
      <w:bookmarkStart w:id="117" w:name="_Toc424213034"/>
      <w:bookmarkStart w:id="118" w:name="_Toc406670744"/>
      <w:r>
        <w:rPr>
          <w:rFonts w:hint="eastAsia" w:asciiTheme="minorEastAsia" w:hAnsiTheme="minorEastAsia" w:eastAsiaTheme="minorEastAsia" w:cstheme="minorEastAsia"/>
        </w:rPr>
        <w:t>第一节 发布采购公告</w:t>
      </w:r>
      <w:bookmarkEnd w:id="110"/>
      <w:bookmarkEnd w:id="111"/>
      <w:bookmarkEnd w:id="112"/>
      <w:bookmarkEnd w:id="113"/>
    </w:p>
    <w:p>
      <w:pPr>
        <w:rPr>
          <w:rStyle w:val="38"/>
          <w:rFonts w:ascii="宋体" w:hAnsi="宋体" w:eastAsia="宋体" w:cs="宋体"/>
          <w:sz w:val="24"/>
        </w:rPr>
      </w:pPr>
      <w:r>
        <w:rPr>
          <w:rStyle w:val="38"/>
          <w:rFonts w:hint="eastAsia" w:ascii="宋体" w:hAnsi="宋体" w:eastAsia="宋体" w:cs="宋体"/>
          <w:sz w:val="24"/>
        </w:rPr>
        <w:t>一、公告发布媒体</w:t>
      </w:r>
    </w:p>
    <w:p>
      <w:pPr>
        <w:ind w:firstLine="480"/>
        <w:rPr>
          <w:rFonts w:ascii="宋体" w:hAnsi="宋体" w:cs="宋体"/>
          <w:sz w:val="24"/>
        </w:rPr>
      </w:pPr>
      <w:bookmarkStart w:id="119" w:name="_Hlk44944007"/>
      <w:r>
        <w:rPr>
          <w:rFonts w:hint="eastAsia" w:ascii="宋体" w:hAnsi="宋体" w:cs="宋体"/>
          <w:sz w:val="24"/>
        </w:rPr>
        <w:t>新疆政府采购网（http://www.ccgp-xinjiang.gov.cn/）</w:t>
      </w:r>
      <w:bookmarkEnd w:id="119"/>
      <w:r>
        <w:rPr>
          <w:rFonts w:hint="eastAsia" w:ascii="宋体" w:hAnsi="宋体" w:cs="宋体"/>
          <w:sz w:val="24"/>
        </w:rPr>
        <w:t>及法律法规规定的相关媒体。</w:t>
      </w:r>
    </w:p>
    <w:p>
      <w:pPr>
        <w:spacing w:beforeLines="50" w:afterLines="50" w:line="240" w:lineRule="auto"/>
        <w:rPr>
          <w:rFonts w:ascii="宋体" w:hAnsi="宋体" w:cs="宋体"/>
          <w:sz w:val="24"/>
        </w:rPr>
      </w:pPr>
      <w:r>
        <w:rPr>
          <w:rFonts w:hint="eastAsia" w:ascii="宋体" w:hAnsi="宋体" w:cs="宋体"/>
          <w:sz w:val="24"/>
        </w:rPr>
        <w:t>二、变更公告</w:t>
      </w:r>
    </w:p>
    <w:p>
      <w:pPr>
        <w:ind w:firstLine="480"/>
        <w:rPr>
          <w:rFonts w:ascii="宋体" w:hAnsi="宋体" w:cs="宋体"/>
          <w:sz w:val="24"/>
        </w:rPr>
      </w:pPr>
      <w:r>
        <w:rPr>
          <w:rFonts w:hint="eastAsia" w:ascii="宋体" w:hAnsi="宋体" w:cs="宋体"/>
          <w:sz w:val="24"/>
        </w:rPr>
        <w:t>本项目将根据实际情况及需要，发布技术参数、开评标时间调整等有关内容的变更公告。供应商须关注新疆政府采购网（http://www.ccgp-xinjiang.gov.cn/）变更公告栏及其他有关网站和媒体发布的关于本项目的变更公告。变更公告是采购文件的组成部分，与采购文件具有同等法律效力。</w:t>
      </w:r>
    </w:p>
    <w:p>
      <w:pPr>
        <w:pStyle w:val="5"/>
        <w:tabs>
          <w:tab w:val="left" w:pos="3402"/>
        </w:tabs>
        <w:spacing w:before="240" w:after="240"/>
        <w:rPr>
          <w:rFonts w:ascii="宋体" w:hAnsi="宋体" w:eastAsia="宋体" w:cs="宋体"/>
          <w:szCs w:val="24"/>
        </w:rPr>
      </w:pPr>
      <w:bookmarkStart w:id="120" w:name="_Toc22195"/>
      <w:bookmarkStart w:id="121" w:name="_Toc407182676"/>
      <w:bookmarkStart w:id="122" w:name="_Toc24237"/>
      <w:bookmarkStart w:id="123" w:name="_Toc5542"/>
      <w:r>
        <w:rPr>
          <w:rFonts w:hint="eastAsia" w:ascii="宋体" w:hAnsi="宋体" w:eastAsia="宋体" w:cs="宋体"/>
          <w:szCs w:val="24"/>
        </w:rPr>
        <w:t>第二节 获取采购文件</w:t>
      </w:r>
      <w:bookmarkEnd w:id="120"/>
      <w:bookmarkEnd w:id="121"/>
      <w:bookmarkEnd w:id="122"/>
      <w:bookmarkEnd w:id="123"/>
    </w:p>
    <w:p>
      <w:pPr>
        <w:pStyle w:val="66"/>
        <w:ind w:firstLine="0" w:firstLineChars="0"/>
        <w:rPr>
          <w:rStyle w:val="38"/>
          <w:rFonts w:ascii="宋体" w:hAnsi="宋体" w:eastAsia="宋体" w:cs="宋体"/>
          <w:sz w:val="24"/>
        </w:rPr>
      </w:pPr>
      <w:r>
        <w:rPr>
          <w:rStyle w:val="38"/>
          <w:rFonts w:hint="eastAsia" w:ascii="宋体" w:hAnsi="宋体" w:eastAsia="宋体" w:cs="宋体"/>
          <w:sz w:val="24"/>
        </w:rPr>
        <w:t>一、购买时间</w:t>
      </w:r>
    </w:p>
    <w:p>
      <w:pPr>
        <w:ind w:firstLine="480"/>
        <w:rPr>
          <w:rFonts w:ascii="宋体" w:hAnsi="宋体" w:cs="宋体"/>
          <w:b/>
          <w:sz w:val="24"/>
        </w:rPr>
      </w:pPr>
      <w:r>
        <w:rPr>
          <w:rFonts w:hint="eastAsia" w:ascii="宋体" w:hAnsi="宋体" w:cs="宋体"/>
          <w:sz w:val="24"/>
        </w:rPr>
        <w:t>以本项目公告时间为准。</w:t>
      </w:r>
    </w:p>
    <w:p>
      <w:pPr>
        <w:rPr>
          <w:rStyle w:val="38"/>
          <w:rFonts w:ascii="宋体" w:hAnsi="宋体" w:eastAsia="宋体" w:cs="宋体"/>
          <w:sz w:val="24"/>
        </w:rPr>
      </w:pPr>
      <w:r>
        <w:rPr>
          <w:rStyle w:val="38"/>
          <w:rFonts w:hint="eastAsia" w:ascii="宋体" w:hAnsi="宋体" w:eastAsia="宋体" w:cs="宋体"/>
          <w:sz w:val="24"/>
        </w:rPr>
        <w:t>二、购买方式</w:t>
      </w:r>
    </w:p>
    <w:p>
      <w:pPr>
        <w:rPr>
          <w:rFonts w:ascii="宋体" w:hAnsi="宋体" w:cs="宋体"/>
          <w:sz w:val="24"/>
        </w:rPr>
      </w:pPr>
      <w:r>
        <w:rPr>
          <w:rFonts w:hint="eastAsia" w:ascii="宋体" w:hAnsi="宋体" w:cs="宋体"/>
          <w:sz w:val="24"/>
        </w:rPr>
        <w:t>按本项目公告确定的方式进行购买。</w:t>
      </w:r>
    </w:p>
    <w:p>
      <w:pPr>
        <w:rPr>
          <w:rStyle w:val="38"/>
          <w:rFonts w:ascii="宋体" w:hAnsi="宋体" w:eastAsia="宋体" w:cs="宋体"/>
          <w:sz w:val="24"/>
        </w:rPr>
      </w:pPr>
      <w:r>
        <w:rPr>
          <w:rStyle w:val="38"/>
          <w:rFonts w:hint="eastAsia" w:ascii="宋体" w:hAnsi="宋体" w:eastAsia="宋体" w:cs="宋体"/>
          <w:sz w:val="24"/>
        </w:rPr>
        <w:t>三、文件售价</w:t>
      </w:r>
    </w:p>
    <w:p>
      <w:pPr>
        <w:spacing w:beforeLines="100" w:afterLines="50"/>
        <w:ind w:firstLine="480"/>
        <w:rPr>
          <w:rFonts w:ascii="宋体" w:hAnsi="宋体" w:cs="宋体"/>
          <w:sz w:val="24"/>
        </w:rPr>
      </w:pPr>
      <w:r>
        <w:rPr>
          <w:rFonts w:hint="eastAsia" w:ascii="宋体" w:hAnsi="宋体" w:cs="宋体"/>
          <w:sz w:val="24"/>
        </w:rPr>
        <w:t>人民币</w:t>
      </w:r>
      <w:r>
        <w:rPr>
          <w:rFonts w:hint="eastAsia" w:ascii="宋体" w:hAnsi="宋体" w:cs="宋体"/>
          <w:sz w:val="24"/>
          <w:u w:val="single"/>
        </w:rPr>
        <w:t>300.00元整</w:t>
      </w:r>
      <w:r>
        <w:rPr>
          <w:rFonts w:hint="eastAsia" w:ascii="宋体" w:hAnsi="宋体" w:cs="宋体"/>
          <w:sz w:val="24"/>
        </w:rPr>
        <w:t>（售后不退）。购买采购文件的发票待项目开标后到</w:t>
      </w:r>
      <w:r>
        <w:rPr>
          <w:rFonts w:hint="eastAsia" w:ascii="宋体" w:hAnsi="宋体" w:cs="宋体"/>
          <w:sz w:val="24"/>
          <w:u w:val="single"/>
        </w:rPr>
        <w:t>新疆正禾招投标有限公司</w:t>
      </w:r>
      <w:r>
        <w:rPr>
          <w:rFonts w:hint="eastAsia" w:ascii="宋体" w:hAnsi="宋体" w:cs="宋体"/>
          <w:sz w:val="24"/>
        </w:rPr>
        <w:t>开具，详细地址：</w:t>
      </w:r>
      <w:r>
        <w:rPr>
          <w:rFonts w:hint="eastAsia" w:ascii="宋体" w:hAnsi="宋体" w:cs="宋体"/>
          <w:sz w:val="24"/>
          <w:u w:val="single"/>
        </w:rPr>
        <w:t>新疆乌鲁木齐高新技术产业开发区（新市区）鲤鱼山北路199号集电港A座511室　</w:t>
      </w:r>
      <w:r>
        <w:rPr>
          <w:rFonts w:hint="eastAsia" w:ascii="宋体" w:hAnsi="宋体" w:cs="宋体"/>
          <w:sz w:val="24"/>
        </w:rPr>
        <w:t>，联系人：</w:t>
      </w:r>
      <w:r>
        <w:rPr>
          <w:rFonts w:hint="eastAsia" w:ascii="宋体" w:hAnsi="宋体" w:cs="宋体"/>
          <w:sz w:val="24"/>
          <w:u w:val="single"/>
        </w:rPr>
        <w:t>杨慧</w:t>
      </w:r>
      <w:r>
        <w:rPr>
          <w:rFonts w:hint="eastAsia" w:ascii="宋体" w:hAnsi="宋体" w:cs="宋体"/>
          <w:sz w:val="24"/>
        </w:rPr>
        <w:t>，联系电话：</w:t>
      </w:r>
      <w:r>
        <w:rPr>
          <w:rFonts w:hint="eastAsia" w:ascii="宋体" w:hAnsi="宋体" w:cs="宋体"/>
          <w:sz w:val="24"/>
          <w:u w:val="single"/>
        </w:rPr>
        <w:t xml:space="preserve"> 0991-6660570</w:t>
      </w:r>
      <w:r>
        <w:rPr>
          <w:rFonts w:hint="eastAsia" w:ascii="宋体" w:hAnsi="宋体" w:cs="宋体"/>
          <w:sz w:val="24"/>
        </w:rPr>
        <w:t>。</w:t>
      </w:r>
    </w:p>
    <w:p>
      <w:pPr>
        <w:spacing w:beforeLines="50" w:afterLines="50" w:line="240" w:lineRule="auto"/>
        <w:ind w:firstLine="480"/>
        <w:rPr>
          <w:rFonts w:ascii="宋体" w:hAnsi="宋体" w:cs="宋体"/>
          <w:sz w:val="24"/>
        </w:rPr>
      </w:pPr>
      <w:r>
        <w:rPr>
          <w:rFonts w:hint="eastAsia" w:ascii="宋体" w:hAnsi="宋体" w:cs="宋体"/>
          <w:sz w:val="24"/>
        </w:rPr>
        <w:t>四、采购文件的澄清和修改</w:t>
      </w:r>
    </w:p>
    <w:p>
      <w:pPr>
        <w:spacing w:beforeLines="100" w:afterLines="50"/>
        <w:ind w:firstLine="491" w:firstLineChars="205"/>
        <w:rPr>
          <w:rFonts w:ascii="宋体" w:hAnsi="宋体" w:cs="宋体"/>
          <w:sz w:val="24"/>
        </w:rPr>
      </w:pPr>
      <w:r>
        <w:rPr>
          <w:rFonts w:hint="eastAsia" w:ascii="宋体" w:hAnsi="宋体" w:cs="宋体"/>
          <w:sz w:val="24"/>
        </w:rPr>
        <w:t>（一）、采购文件的澄清和修改：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补充变更文件是采购文件的组成部分，对所有供应商均具有约束力。所有采购文件的补充、变更将以变更公告形式发布。</w:t>
      </w:r>
    </w:p>
    <w:p>
      <w:pPr>
        <w:spacing w:beforeLines="100" w:afterLines="50"/>
        <w:ind w:firstLine="491" w:firstLineChars="205"/>
        <w:rPr>
          <w:rFonts w:ascii="宋体" w:hAnsi="宋体" w:cs="宋体"/>
          <w:sz w:val="24"/>
        </w:rPr>
      </w:pPr>
      <w:r>
        <w:rPr>
          <w:rFonts w:hint="eastAsia" w:ascii="宋体" w:hAnsi="宋体" w:cs="宋体"/>
          <w:sz w:val="24"/>
        </w:rPr>
        <w:t>（二）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向采购人或代理机构提出书面质疑，对采购人或采购代理机构质疑回复不满意的可向主管财政部门进行投诉。未递交质疑函的视为充分理解并认可采购文件及补充变更的所有内容。</w:t>
      </w:r>
    </w:p>
    <w:p>
      <w:pPr>
        <w:spacing w:beforeLines="50" w:afterLines="50" w:line="240" w:lineRule="auto"/>
        <w:ind w:firstLine="494" w:firstLineChars="205"/>
        <w:rPr>
          <w:rFonts w:ascii="宋体" w:hAnsi="宋体" w:cs="宋体"/>
          <w:sz w:val="24"/>
          <w:u w:val="single"/>
        </w:rPr>
      </w:pPr>
      <w:r>
        <w:rPr>
          <w:rFonts w:hint="eastAsia" w:ascii="宋体" w:hAnsi="宋体" w:cs="宋体"/>
          <w:b/>
          <w:sz w:val="24"/>
        </w:rPr>
        <w:t>采购文件质疑、投诉的具体要求和流程详见磋商采购文件第四章第六节：发布成交结果公告，第二点：政府采购活动的质疑投诉。</w:t>
      </w:r>
    </w:p>
    <w:p>
      <w:pPr>
        <w:ind w:firstLine="480"/>
        <w:rPr>
          <w:rFonts w:ascii="宋体" w:hAnsi="宋体" w:cs="宋体"/>
          <w:sz w:val="24"/>
        </w:rPr>
      </w:pPr>
    </w:p>
    <w:p>
      <w:pPr>
        <w:pStyle w:val="5"/>
        <w:tabs>
          <w:tab w:val="left" w:pos="3402"/>
        </w:tabs>
        <w:spacing w:before="240" w:after="240"/>
        <w:rPr>
          <w:rFonts w:ascii="宋体" w:hAnsi="宋体" w:eastAsia="宋体" w:cs="宋体"/>
          <w:szCs w:val="24"/>
        </w:rPr>
      </w:pPr>
      <w:bookmarkStart w:id="124" w:name="_Toc11806"/>
      <w:bookmarkStart w:id="125" w:name="_Toc14523"/>
      <w:bookmarkStart w:id="126" w:name="_Toc407182677"/>
      <w:bookmarkStart w:id="127" w:name="_Toc29637"/>
      <w:r>
        <w:rPr>
          <w:rFonts w:hint="eastAsia" w:ascii="宋体" w:hAnsi="宋体" w:eastAsia="宋体" w:cs="宋体"/>
          <w:szCs w:val="24"/>
        </w:rPr>
        <w:t>第三节 交纳投标保证金</w:t>
      </w:r>
      <w:bookmarkEnd w:id="124"/>
      <w:bookmarkEnd w:id="125"/>
      <w:bookmarkEnd w:id="126"/>
      <w:bookmarkEnd w:id="127"/>
    </w:p>
    <w:p>
      <w:pPr>
        <w:spacing w:beforeLines="100" w:afterLines="50"/>
        <w:rPr>
          <w:rFonts w:ascii="宋体" w:hAnsi="宋体" w:cs="宋体"/>
          <w:sz w:val="24"/>
        </w:rPr>
      </w:pPr>
      <w:r>
        <w:rPr>
          <w:rStyle w:val="38"/>
          <w:rFonts w:hint="eastAsia" w:ascii="宋体" w:hAnsi="宋体" w:eastAsia="宋体" w:cs="宋体"/>
          <w:sz w:val="24"/>
        </w:rPr>
        <w:t>一、交纳金额</w:t>
      </w:r>
      <w:r>
        <w:rPr>
          <w:rFonts w:hint="eastAsia" w:ascii="宋体" w:hAnsi="宋体" w:cs="宋体"/>
          <w:sz w:val="24"/>
        </w:rPr>
        <w:t>：16000.00元整。</w:t>
      </w:r>
    </w:p>
    <w:p>
      <w:pPr>
        <w:rPr>
          <w:rFonts w:ascii="宋体" w:hAnsi="宋体" w:cs="宋体"/>
          <w:sz w:val="24"/>
        </w:rPr>
      </w:pPr>
      <w:r>
        <w:rPr>
          <w:rStyle w:val="38"/>
          <w:rFonts w:hint="eastAsia" w:ascii="宋体" w:hAnsi="宋体" w:eastAsia="宋体" w:cs="宋体"/>
          <w:sz w:val="24"/>
        </w:rPr>
        <w:t>二、交纳方式</w:t>
      </w:r>
      <w:r>
        <w:rPr>
          <w:rFonts w:hint="eastAsia" w:ascii="宋体" w:hAnsi="宋体" w:cs="宋体"/>
          <w:sz w:val="24"/>
        </w:rPr>
        <w:t>：对公转账或者电汇</w:t>
      </w:r>
    </w:p>
    <w:p>
      <w:pPr>
        <w:rPr>
          <w:rStyle w:val="38"/>
          <w:rFonts w:ascii="宋体" w:hAnsi="宋体" w:eastAsia="宋体" w:cs="宋体"/>
          <w:sz w:val="24"/>
        </w:rPr>
      </w:pPr>
      <w:r>
        <w:rPr>
          <w:rStyle w:val="38"/>
          <w:rFonts w:hint="eastAsia" w:ascii="宋体" w:hAnsi="宋体" w:eastAsia="宋体" w:cs="宋体"/>
          <w:sz w:val="24"/>
        </w:rPr>
        <w:t>三、交纳要求</w:t>
      </w:r>
    </w:p>
    <w:p>
      <w:pPr>
        <w:ind w:firstLine="480"/>
        <w:rPr>
          <w:rStyle w:val="38"/>
          <w:rFonts w:ascii="宋体" w:hAnsi="宋体" w:eastAsia="宋体" w:cs="宋体"/>
          <w:sz w:val="24"/>
        </w:rPr>
      </w:pPr>
      <w:r>
        <w:rPr>
          <w:rStyle w:val="38"/>
          <w:rFonts w:hint="eastAsia" w:ascii="宋体" w:hAnsi="宋体" w:eastAsia="宋体" w:cs="宋体"/>
          <w:sz w:val="24"/>
        </w:rPr>
        <w:t>投标保证金须按磋商文件规定的递交响应文件截止时间前完成交纳，并将投标保证金线上缴纳截图（见响应文件格式），编制在响应文件相应位置。投标保证金须从供应商/供应商基本账户或一般账户转出，不得由他人账户代交。保证金交纳须按项目名称、品目进行交纳。供应商为联合体的，可由联合体中的一方或者多方共同交纳保证金，其交纳的投标保证金对联合体各方均具有约束力。</w:t>
      </w:r>
    </w:p>
    <w:p>
      <w:pPr>
        <w:rPr>
          <w:rStyle w:val="38"/>
          <w:rFonts w:ascii="宋体" w:hAnsi="宋体" w:eastAsia="宋体" w:cs="宋体"/>
          <w:sz w:val="24"/>
        </w:rPr>
      </w:pPr>
      <w:r>
        <w:rPr>
          <w:rStyle w:val="38"/>
          <w:rFonts w:hint="eastAsia" w:ascii="宋体" w:hAnsi="宋体" w:eastAsia="宋体" w:cs="宋体"/>
          <w:sz w:val="24"/>
        </w:rPr>
        <w:t>四、保证金有效期</w:t>
      </w:r>
    </w:p>
    <w:p>
      <w:pPr>
        <w:ind w:firstLine="480"/>
        <w:rPr>
          <w:rFonts w:ascii="宋体" w:hAnsi="宋体" w:cs="宋体"/>
          <w:sz w:val="24"/>
        </w:rPr>
      </w:pPr>
      <w:r>
        <w:rPr>
          <w:rFonts w:hint="eastAsia" w:ascii="宋体" w:hAnsi="宋体" w:cs="宋体"/>
          <w:sz w:val="24"/>
        </w:rPr>
        <w:t>同投标有效期。</w:t>
      </w:r>
    </w:p>
    <w:p>
      <w:pPr>
        <w:pStyle w:val="5"/>
        <w:tabs>
          <w:tab w:val="left" w:pos="3402"/>
        </w:tabs>
        <w:spacing w:before="240" w:after="240"/>
        <w:rPr>
          <w:rFonts w:ascii="宋体" w:hAnsi="宋体" w:eastAsia="宋体" w:cs="宋体"/>
          <w:szCs w:val="24"/>
        </w:rPr>
      </w:pPr>
      <w:bookmarkStart w:id="128" w:name="_Toc407182678"/>
      <w:bookmarkStart w:id="129" w:name="_Toc12925"/>
      <w:bookmarkStart w:id="130" w:name="_Toc18575"/>
      <w:bookmarkStart w:id="131" w:name="_Toc32727"/>
      <w:r>
        <w:rPr>
          <w:rFonts w:hint="eastAsia" w:ascii="宋体" w:hAnsi="宋体" w:eastAsia="宋体" w:cs="宋体"/>
          <w:szCs w:val="24"/>
        </w:rPr>
        <w:t>第四节 递交响应文件</w:t>
      </w:r>
      <w:bookmarkEnd w:id="128"/>
      <w:bookmarkEnd w:id="129"/>
      <w:bookmarkEnd w:id="130"/>
      <w:bookmarkEnd w:id="131"/>
    </w:p>
    <w:p>
      <w:pPr>
        <w:rPr>
          <w:rStyle w:val="38"/>
          <w:rFonts w:ascii="宋体" w:hAnsi="宋体" w:eastAsia="宋体" w:cs="宋体"/>
          <w:sz w:val="24"/>
        </w:rPr>
      </w:pPr>
      <w:r>
        <w:rPr>
          <w:rStyle w:val="38"/>
          <w:rFonts w:hint="eastAsia" w:ascii="宋体" w:hAnsi="宋体" w:eastAsia="宋体" w:cs="宋体"/>
          <w:sz w:val="24"/>
        </w:rPr>
        <w:t>一、递交时间</w:t>
      </w:r>
    </w:p>
    <w:p>
      <w:pPr>
        <w:ind w:firstLine="480"/>
        <w:rPr>
          <w:rFonts w:ascii="宋体" w:hAnsi="宋体" w:cs="宋体"/>
          <w:sz w:val="24"/>
        </w:rPr>
      </w:pPr>
      <w:r>
        <w:rPr>
          <w:rFonts w:hint="eastAsia" w:ascii="宋体" w:hAnsi="宋体" w:cs="宋体"/>
          <w:sz w:val="24"/>
        </w:rPr>
        <w:t>以本项目公告时间为准，如本项目有变更公告的，以变更公告时间为准（供应商须在递交文件截止时间前递交密封的响应文件，代理机构工作人员对递交的响应文件进行登记。不接受逾时的响应文件）。</w:t>
      </w:r>
    </w:p>
    <w:p>
      <w:pPr>
        <w:rPr>
          <w:rStyle w:val="38"/>
          <w:rFonts w:ascii="宋体" w:hAnsi="宋体" w:eastAsia="宋体" w:cs="宋体"/>
          <w:sz w:val="24"/>
        </w:rPr>
      </w:pPr>
      <w:r>
        <w:rPr>
          <w:rStyle w:val="38"/>
          <w:rFonts w:hint="eastAsia" w:ascii="宋体" w:hAnsi="宋体" w:eastAsia="宋体" w:cs="宋体"/>
          <w:sz w:val="24"/>
        </w:rPr>
        <w:t>二、递交地点</w:t>
      </w:r>
    </w:p>
    <w:p>
      <w:pPr>
        <w:rPr>
          <w:rFonts w:ascii="宋体" w:hAnsi="宋体" w:cs="宋体"/>
          <w:sz w:val="24"/>
        </w:rPr>
      </w:pPr>
      <w:r>
        <w:rPr>
          <w:rFonts w:hint="eastAsia" w:ascii="宋体" w:hAnsi="宋体" w:cs="宋体"/>
          <w:sz w:val="24"/>
        </w:rPr>
        <w:t>截止时间：2022年05月07日11点00分（北京时间）</w:t>
      </w:r>
    </w:p>
    <w:p>
      <w:pPr>
        <w:rPr>
          <w:rFonts w:ascii="宋体" w:hAnsi="宋体" w:cs="宋体"/>
          <w:sz w:val="24"/>
        </w:rPr>
      </w:pPr>
      <w:r>
        <w:rPr>
          <w:rFonts w:hint="eastAsia" w:ascii="宋体" w:hAnsi="宋体" w:cs="宋体"/>
          <w:sz w:val="24"/>
        </w:rPr>
        <w:t>地点：新疆乌鲁木齐高新技术产业开发区（新市区）鲤鱼山北路199号集电港A座511室</w:t>
      </w:r>
    </w:p>
    <w:p>
      <w:pPr>
        <w:rPr>
          <w:rFonts w:ascii="宋体" w:hAnsi="宋体" w:cs="宋体"/>
          <w:sz w:val="24"/>
        </w:rPr>
      </w:pPr>
      <w:r>
        <w:rPr>
          <w:rFonts w:hint="eastAsia" w:ascii="宋体" w:hAnsi="宋体" w:cs="宋体"/>
          <w:sz w:val="24"/>
        </w:rPr>
        <w:t>开启（竞争性磋商方式必须填写）</w:t>
      </w:r>
    </w:p>
    <w:p>
      <w:pPr>
        <w:rPr>
          <w:rFonts w:ascii="宋体" w:hAnsi="宋体" w:cs="宋体"/>
          <w:sz w:val="24"/>
        </w:rPr>
      </w:pPr>
      <w:r>
        <w:rPr>
          <w:rFonts w:hint="eastAsia" w:ascii="宋体" w:hAnsi="宋体" w:cs="宋体"/>
          <w:sz w:val="24"/>
        </w:rPr>
        <w:t>时间： 2022年05月07日11点00分（北京时间）</w:t>
      </w:r>
    </w:p>
    <w:p>
      <w:pPr>
        <w:rPr>
          <w:rFonts w:ascii="宋体" w:hAnsi="宋体" w:cs="宋体"/>
          <w:sz w:val="24"/>
        </w:rPr>
      </w:pPr>
      <w:r>
        <w:rPr>
          <w:rFonts w:hint="eastAsia" w:ascii="宋体" w:hAnsi="宋体" w:cs="宋体"/>
          <w:sz w:val="24"/>
        </w:rPr>
        <w:t>地点：新疆乌鲁木齐高新技术产业开发区（新市区）鲤鱼山北路199号集电港A座511室</w:t>
      </w:r>
    </w:p>
    <w:p>
      <w:pPr>
        <w:ind w:firstLine="480"/>
        <w:rPr>
          <w:rStyle w:val="38"/>
          <w:rFonts w:ascii="宋体" w:hAnsi="宋体" w:eastAsia="宋体" w:cs="宋体"/>
          <w:sz w:val="24"/>
        </w:rPr>
      </w:pPr>
      <w:r>
        <w:rPr>
          <w:rStyle w:val="38"/>
          <w:rFonts w:hint="eastAsia" w:ascii="宋体" w:hAnsi="宋体" w:eastAsia="宋体" w:cs="宋体"/>
          <w:sz w:val="24"/>
        </w:rPr>
        <w:t>三、递交要求</w:t>
      </w:r>
    </w:p>
    <w:p>
      <w:pPr>
        <w:ind w:firstLine="480"/>
        <w:rPr>
          <w:rFonts w:ascii="宋体" w:hAnsi="宋体" w:cs="宋体"/>
          <w:sz w:val="24"/>
        </w:rPr>
      </w:pPr>
      <w:r>
        <w:rPr>
          <w:rFonts w:hint="eastAsia" w:ascii="宋体" w:hAnsi="宋体" w:cs="宋体"/>
          <w:sz w:val="24"/>
        </w:rPr>
        <w:t>响应文件正本一份、副本</w:t>
      </w:r>
      <w:r>
        <w:rPr>
          <w:rFonts w:hint="eastAsia" w:ascii="宋体" w:hAnsi="宋体" w:cs="宋体"/>
          <w:sz w:val="24"/>
          <w:highlight w:val="yellow"/>
          <w:lang w:eastAsia="zh-CN"/>
        </w:rPr>
        <w:t>两</w:t>
      </w:r>
      <w:r>
        <w:rPr>
          <w:rFonts w:hint="eastAsia" w:ascii="宋体" w:hAnsi="宋体" w:cs="宋体"/>
          <w:sz w:val="24"/>
          <w:highlight w:val="yellow"/>
        </w:rPr>
        <w:t>份</w:t>
      </w:r>
      <w:r>
        <w:rPr>
          <w:rFonts w:hint="eastAsia" w:ascii="宋体" w:hAnsi="宋体" w:cs="宋体"/>
          <w:sz w:val="24"/>
        </w:rPr>
        <w:t>，响应文件电子文档</w:t>
      </w:r>
      <w:r>
        <w:rPr>
          <w:rFonts w:hint="eastAsia" w:ascii="宋体" w:hAnsi="宋体" w:cs="宋体"/>
          <w:sz w:val="24"/>
          <w:u w:val="single"/>
        </w:rPr>
        <w:t>1</w:t>
      </w:r>
      <w:r>
        <w:rPr>
          <w:rFonts w:hint="eastAsia" w:ascii="宋体" w:hAnsi="宋体" w:cs="宋体"/>
          <w:sz w:val="24"/>
        </w:rPr>
        <w:t>份（电子文档用U盘制作，不加密，须注明项目名称和供应商名称）。递交文件不完整的作无效投标处理。</w:t>
      </w:r>
    </w:p>
    <w:p>
      <w:pPr>
        <w:spacing w:beforeLines="100" w:afterLines="50"/>
        <w:ind w:firstLine="491" w:firstLineChars="205"/>
        <w:rPr>
          <w:rFonts w:ascii="宋体" w:hAnsi="宋体" w:cs="宋体"/>
          <w:sz w:val="24"/>
        </w:rPr>
      </w:pPr>
      <w:r>
        <w:rPr>
          <w:rFonts w:hint="eastAsia" w:ascii="宋体" w:hAnsi="宋体" w:cs="宋体"/>
          <w:sz w:val="24"/>
        </w:rPr>
        <w:t>四、投标响应文件的补充、修改和撤回</w:t>
      </w:r>
    </w:p>
    <w:p>
      <w:pPr>
        <w:spacing w:beforeLines="100" w:afterLines="50"/>
        <w:ind w:firstLine="491" w:firstLineChars="205"/>
        <w:rPr>
          <w:rFonts w:ascii="宋体" w:hAnsi="宋体" w:cs="宋体"/>
          <w:sz w:val="24"/>
        </w:rPr>
      </w:pPr>
      <w:r>
        <w:rPr>
          <w:rFonts w:hint="eastAsia" w:ascii="宋体" w:hAnsi="宋体" w:cs="宋体"/>
          <w:sz w:val="24"/>
        </w:rPr>
        <w:t>（1）供应商在提交投标响应文件后，在响应截止时间前可对其响应文件进行补充、修改或撤回。</w:t>
      </w:r>
    </w:p>
    <w:p>
      <w:pPr>
        <w:spacing w:beforeLines="100" w:afterLines="50"/>
        <w:ind w:firstLine="491" w:firstLineChars="205"/>
        <w:rPr>
          <w:rFonts w:ascii="宋体" w:hAnsi="宋体" w:cs="宋体"/>
          <w:sz w:val="24"/>
        </w:rPr>
      </w:pPr>
      <w:r>
        <w:rPr>
          <w:rFonts w:hint="eastAsia" w:ascii="宋体" w:hAnsi="宋体" w:cs="宋体"/>
          <w:sz w:val="24"/>
        </w:rPr>
        <w:t>（2）投标补充或修改文件必须加盖供应商单位公章并注明“补充或修改响应文件”字样和标识项目名称、品目名称、交易编号、单位名称信息，要求密封递交。</w:t>
      </w:r>
    </w:p>
    <w:p>
      <w:pPr>
        <w:spacing w:beforeLines="100" w:afterLines="50"/>
        <w:ind w:firstLine="491" w:firstLineChars="205"/>
        <w:rPr>
          <w:rFonts w:ascii="宋体" w:hAnsi="宋体" w:cs="宋体"/>
          <w:sz w:val="24"/>
        </w:rPr>
      </w:pPr>
      <w:r>
        <w:rPr>
          <w:rFonts w:hint="eastAsia" w:ascii="宋体" w:hAnsi="宋体" w:cs="宋体"/>
          <w:sz w:val="24"/>
        </w:rPr>
        <w:t>（3）响应文件撤回必须在投标截止时间前提交由项目授权代表签署的撤回响应文件的通知，采购代理机构可以退回其响应文件。</w:t>
      </w:r>
    </w:p>
    <w:p>
      <w:pPr>
        <w:rPr>
          <w:rFonts w:ascii="宋体" w:hAnsi="宋体" w:cs="宋体"/>
          <w:sz w:val="24"/>
        </w:rPr>
      </w:pPr>
      <w:r>
        <w:rPr>
          <w:rFonts w:hint="eastAsia" w:ascii="宋体" w:hAnsi="宋体" w:cs="宋体"/>
          <w:sz w:val="24"/>
        </w:rPr>
        <w:t>（4）投标截止时间以后不得补充、修改或撤回响应文件。</w:t>
      </w:r>
    </w:p>
    <w:p>
      <w:pPr>
        <w:pStyle w:val="5"/>
        <w:tabs>
          <w:tab w:val="left" w:pos="3402"/>
        </w:tabs>
        <w:spacing w:before="240" w:after="240"/>
        <w:rPr>
          <w:rFonts w:ascii="宋体" w:hAnsi="宋体" w:eastAsia="宋体" w:cs="宋体"/>
          <w:szCs w:val="24"/>
        </w:rPr>
      </w:pPr>
      <w:bookmarkStart w:id="132" w:name="_Toc26596"/>
      <w:bookmarkStart w:id="133" w:name="_Toc22357"/>
      <w:bookmarkStart w:id="134" w:name="_Toc407182679"/>
      <w:bookmarkStart w:id="135" w:name="_Toc27013"/>
      <w:r>
        <w:rPr>
          <w:rFonts w:hint="eastAsia" w:ascii="宋体" w:hAnsi="宋体" w:eastAsia="宋体" w:cs="宋体"/>
          <w:szCs w:val="24"/>
        </w:rPr>
        <w:t>第五节 竞争性磋商程序</w:t>
      </w:r>
      <w:bookmarkEnd w:id="132"/>
      <w:bookmarkEnd w:id="133"/>
      <w:bookmarkEnd w:id="134"/>
      <w:bookmarkEnd w:id="135"/>
    </w:p>
    <w:p>
      <w:pPr>
        <w:rPr>
          <w:rStyle w:val="38"/>
          <w:rFonts w:ascii="宋体" w:hAnsi="宋体" w:eastAsia="宋体" w:cs="宋体"/>
          <w:sz w:val="24"/>
        </w:rPr>
      </w:pPr>
      <w:r>
        <w:rPr>
          <w:rStyle w:val="38"/>
          <w:rFonts w:hint="eastAsia" w:ascii="宋体" w:hAnsi="宋体" w:eastAsia="宋体" w:cs="宋体"/>
          <w:sz w:val="24"/>
        </w:rPr>
        <w:t>一、磋商时间</w:t>
      </w:r>
    </w:p>
    <w:p>
      <w:pPr>
        <w:spacing w:beforeLines="100" w:afterLines="50"/>
        <w:ind w:firstLine="491" w:firstLineChars="205"/>
        <w:rPr>
          <w:rFonts w:ascii="宋体" w:hAnsi="宋体" w:cs="宋体"/>
          <w:sz w:val="24"/>
        </w:rPr>
      </w:pPr>
      <w:r>
        <w:rPr>
          <w:rFonts w:hint="eastAsia" w:ascii="宋体" w:hAnsi="宋体" w:cs="宋体"/>
          <w:sz w:val="24"/>
        </w:rPr>
        <w:t>以本项目公告时间为准。如发布变更公告的，以变更公告时间为准。</w:t>
      </w:r>
    </w:p>
    <w:p>
      <w:pPr>
        <w:rPr>
          <w:rStyle w:val="38"/>
          <w:rFonts w:ascii="宋体" w:hAnsi="宋体" w:eastAsia="宋体" w:cs="宋体"/>
          <w:sz w:val="24"/>
        </w:rPr>
      </w:pPr>
      <w:r>
        <w:rPr>
          <w:rStyle w:val="38"/>
          <w:rFonts w:hint="eastAsia" w:ascii="宋体" w:hAnsi="宋体" w:eastAsia="宋体" w:cs="宋体"/>
          <w:sz w:val="24"/>
        </w:rPr>
        <w:t>二、磋商地点</w:t>
      </w:r>
    </w:p>
    <w:p>
      <w:pPr>
        <w:ind w:firstLine="480"/>
        <w:rPr>
          <w:rFonts w:ascii="宋体" w:hAnsi="宋体" w:cs="宋体"/>
          <w:sz w:val="24"/>
        </w:rPr>
      </w:pPr>
      <w:r>
        <w:rPr>
          <w:rFonts w:hint="eastAsia" w:ascii="宋体" w:hAnsi="宋体" w:cs="宋体"/>
          <w:sz w:val="24"/>
        </w:rPr>
        <w:t>新疆正禾招投标有限公司，地址：新疆乌鲁木齐高新技术产业开发区（新市区）鲤鱼山北路199号集电港A座511室。</w:t>
      </w:r>
    </w:p>
    <w:p>
      <w:pPr>
        <w:rPr>
          <w:rStyle w:val="38"/>
          <w:rFonts w:ascii="宋体" w:hAnsi="宋体" w:eastAsia="宋体" w:cs="宋体"/>
          <w:sz w:val="24"/>
        </w:rPr>
      </w:pPr>
      <w:r>
        <w:rPr>
          <w:rStyle w:val="38"/>
          <w:rFonts w:hint="eastAsia" w:ascii="宋体" w:hAnsi="宋体" w:eastAsia="宋体" w:cs="宋体"/>
          <w:sz w:val="24"/>
        </w:rPr>
        <w:t>三、磋商流程</w:t>
      </w:r>
    </w:p>
    <w:p>
      <w:pPr>
        <w:ind w:firstLine="482"/>
        <w:rPr>
          <w:rFonts w:ascii="宋体" w:hAnsi="宋体" w:cs="宋体"/>
          <w:sz w:val="24"/>
        </w:rPr>
      </w:pPr>
      <w:r>
        <w:rPr>
          <w:rFonts w:hint="eastAsia" w:ascii="宋体" w:hAnsi="宋体" w:cs="宋体"/>
          <w:b/>
          <w:sz w:val="24"/>
        </w:rPr>
        <w:t>1.会议签到：</w:t>
      </w:r>
      <w:r>
        <w:rPr>
          <w:rFonts w:hint="eastAsia" w:ascii="宋体" w:hAnsi="宋体" w:cs="宋体"/>
          <w:sz w:val="24"/>
        </w:rPr>
        <w:t>采购人或代理机构工作人员于投标截止时间前30分钟到开标室组织采购人、供应商、监督部门相关人员签到。并将开评标环节所需表格文档资料填写、准备齐全。供应商签到并递交响应文件后在新疆乌鲁木齐高新技术产业开发区（新市区）鲤鱼山北路199号集电港A座511室等候区等候，工作人员按照提交响应文件的先后顺序安排参加磋商。</w:t>
      </w:r>
    </w:p>
    <w:p>
      <w:pPr>
        <w:ind w:firstLine="482"/>
        <w:rPr>
          <w:rFonts w:ascii="宋体" w:hAnsi="宋体" w:cs="宋体"/>
          <w:sz w:val="24"/>
        </w:rPr>
      </w:pPr>
      <w:r>
        <w:rPr>
          <w:rFonts w:hint="eastAsia" w:ascii="宋体" w:hAnsi="宋体" w:cs="宋体"/>
          <w:b/>
          <w:sz w:val="24"/>
        </w:rPr>
        <w:t>2.专家签到：</w:t>
      </w:r>
      <w:r>
        <w:rPr>
          <w:rFonts w:hint="eastAsia" w:ascii="宋体" w:hAnsi="宋体" w:cs="宋体"/>
          <w:sz w:val="24"/>
        </w:rPr>
        <w:t>磋商专家需在磋商时间前到新疆乌鲁木齐高新技术产业开发区（新市区）鲤鱼山北路199号集电港A座511室专家签到处，出示身份证、专家证等资料进行核验签到，并将手机等各种通信工具锁入指定位置。</w:t>
      </w:r>
    </w:p>
    <w:p>
      <w:pPr>
        <w:ind w:firstLine="482"/>
        <w:rPr>
          <w:rFonts w:ascii="宋体" w:hAnsi="宋体" w:cs="宋体"/>
          <w:sz w:val="24"/>
        </w:rPr>
      </w:pPr>
      <w:r>
        <w:rPr>
          <w:rFonts w:hint="eastAsia" w:ascii="宋体" w:hAnsi="宋体" w:cs="宋体"/>
          <w:b/>
          <w:sz w:val="24"/>
        </w:rPr>
        <w:t>3.宣读纪律：</w:t>
      </w:r>
      <w:r>
        <w:rPr>
          <w:rFonts w:hint="eastAsia" w:ascii="宋体" w:hAnsi="宋体" w:cs="宋体"/>
          <w:sz w:val="24"/>
        </w:rPr>
        <w:t>截止时间到，工作人员宣布竞争性磋商会开始，并宣读会场纪律和注意事项。</w:t>
      </w:r>
    </w:p>
    <w:p>
      <w:pPr>
        <w:ind w:firstLine="482"/>
        <w:rPr>
          <w:rFonts w:ascii="宋体" w:hAnsi="宋体" w:cs="宋体"/>
          <w:sz w:val="24"/>
        </w:rPr>
      </w:pPr>
      <w:r>
        <w:rPr>
          <w:rFonts w:hint="eastAsia" w:ascii="宋体" w:hAnsi="宋体" w:cs="宋体"/>
          <w:b/>
          <w:sz w:val="24"/>
        </w:rPr>
        <w:t>4.</w:t>
      </w:r>
      <w:r>
        <w:rPr>
          <w:rFonts w:hint="eastAsia"/>
        </w:rPr>
        <w:t xml:space="preserve"> </w:t>
      </w:r>
      <w:r>
        <w:rPr>
          <w:rFonts w:hint="eastAsia" w:ascii="宋体" w:hAnsi="宋体" w:cs="宋体"/>
          <w:b/>
          <w:sz w:val="24"/>
        </w:rPr>
        <w:t>投标文件初审：</w:t>
      </w:r>
      <w:r>
        <w:rPr>
          <w:rFonts w:hint="eastAsia" w:ascii="宋体" w:hAnsi="宋体" w:cs="宋体"/>
          <w:sz w:val="24"/>
        </w:rPr>
        <w:t>严格依据响应文件所提供的资料，对照招标文件所列内容对供应商进行资格性审查及符合性审查，审查通过的供应商进入磋商环节。未通过初步审查的响应文件不参与最后报价。通过初步审查的供应商不足三家的，本项目废标，磋商工作结束。</w:t>
      </w:r>
    </w:p>
    <w:p>
      <w:pPr>
        <w:ind w:firstLine="482"/>
        <w:rPr>
          <w:rFonts w:ascii="宋体" w:hAnsi="宋体" w:cs="宋体"/>
          <w:sz w:val="24"/>
        </w:rPr>
      </w:pPr>
      <w:r>
        <w:rPr>
          <w:rFonts w:hint="eastAsia" w:ascii="宋体" w:hAnsi="宋体" w:cs="宋体"/>
          <w:b/>
          <w:sz w:val="24"/>
        </w:rPr>
        <w:t>(1)资格性检查：</w:t>
      </w:r>
      <w:r>
        <w:rPr>
          <w:rFonts w:hint="eastAsia" w:ascii="宋体" w:hAnsi="宋体" w:cs="宋体"/>
          <w:sz w:val="24"/>
        </w:rPr>
        <w:t>采购人或采购代理机构依据法律法规和招标文件的规定，对投标文件中的资格证明等进行审查，以确定投标供应商是否具备投标资格，具体评审因素详见《资格性检查表》。</w:t>
      </w:r>
    </w:p>
    <w:p>
      <w:pPr>
        <w:ind w:firstLine="482"/>
        <w:rPr>
          <w:rFonts w:ascii="宋体" w:hAnsi="宋体" w:cs="宋体"/>
          <w:sz w:val="24"/>
        </w:rPr>
      </w:pPr>
      <w:r>
        <w:rPr>
          <w:rFonts w:hint="eastAsia" w:ascii="宋体" w:hAnsi="宋体" w:cs="宋体"/>
          <w:b/>
          <w:sz w:val="24"/>
        </w:rPr>
        <w:t>(2)符合性检查：</w:t>
      </w:r>
      <w:r>
        <w:rPr>
          <w:rFonts w:hint="eastAsia" w:ascii="宋体" w:hAnsi="宋体" w:cs="宋体"/>
          <w:sz w:val="24"/>
        </w:rPr>
        <w:t>磋商小组依据招标文件的规定，从投标文件的有效性、完整性和对招标文件的响应程度进行审查，以确定是否对招标文件的实质性要求作出响应，具体评审因素详见《符合性检查表》。</w:t>
      </w:r>
    </w:p>
    <w:p>
      <w:pPr>
        <w:ind w:firstLine="482"/>
        <w:rPr>
          <w:rFonts w:ascii="宋体" w:hAnsi="宋体" w:cs="宋体"/>
          <w:sz w:val="24"/>
        </w:rPr>
      </w:pPr>
      <w:r>
        <w:rPr>
          <w:rFonts w:hint="eastAsia" w:ascii="宋体" w:hAnsi="宋体" w:cs="宋体"/>
          <w:b/>
          <w:sz w:val="24"/>
        </w:rPr>
        <w:t>5.磋商、澄清有关问题：</w:t>
      </w:r>
      <w:r>
        <w:rPr>
          <w:rFonts w:hint="eastAsia" w:ascii="宋体" w:hAnsi="宋体" w:cs="宋体"/>
          <w:sz w:val="24"/>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ind w:firstLine="482"/>
        <w:rPr>
          <w:rFonts w:ascii="宋体" w:hAnsi="宋体" w:cs="宋体"/>
          <w:sz w:val="24"/>
        </w:rPr>
      </w:pPr>
      <w:r>
        <w:rPr>
          <w:rFonts w:hint="eastAsia" w:ascii="宋体" w:hAnsi="宋体" w:cs="宋体"/>
          <w:sz w:val="24"/>
        </w:rPr>
        <w:t>磋商小组对投标文件中含义不明确、同类问题表述不一致或者有明显文字和计算错误的内容，以书面形式（应当由评标委员会专家签字）要求投标供应商做出必要的澄清、说明或者纠正。投标供应商的澄清、说明或者补正应当采用书面形式，由其授权的代表签字，并不得超出投标文件的范围或者改变投标文件的实质性内容。</w:t>
      </w:r>
    </w:p>
    <w:p>
      <w:pPr>
        <w:ind w:firstLine="482"/>
        <w:rPr>
          <w:rFonts w:ascii="宋体" w:hAnsi="宋体" w:cs="宋体"/>
          <w:sz w:val="24"/>
        </w:rPr>
      </w:pPr>
      <w:r>
        <w:rPr>
          <w:rFonts w:hint="eastAsia" w:ascii="宋体" w:hAnsi="宋体" w:cs="宋体"/>
          <w:sz w:val="24"/>
        </w:rPr>
        <w:t>磋商小组认为供应商的报价明显低于其他通过符合性审查供应商的报价， 有可能影响产品质量或者不能诚信履约的，应当要求其在评标现场合理的时间内提供书面说明，必要时提交相关证明材料；供应商不能证明其报价合理性的，评标委员会应当将其作为无效投标处理。</w:t>
      </w:r>
    </w:p>
    <w:p>
      <w:pPr>
        <w:ind w:firstLine="482"/>
        <w:rPr>
          <w:rFonts w:ascii="宋体" w:hAnsi="宋体" w:cs="宋体"/>
          <w:sz w:val="24"/>
        </w:rPr>
      </w:pPr>
      <w:r>
        <w:rPr>
          <w:rFonts w:hint="eastAsia" w:ascii="宋体" w:hAnsi="宋体" w:cs="宋体"/>
          <w:b/>
          <w:sz w:val="24"/>
        </w:rPr>
        <w:t>6.最后报价：</w:t>
      </w:r>
      <w:r>
        <w:rPr>
          <w:rFonts w:hint="eastAsia" w:ascii="宋体" w:hAnsi="宋体" w:cs="宋体"/>
          <w:sz w:val="24"/>
        </w:rPr>
        <w:t>磋商结束后，磋商小组要求所有参加磋商的供应商按照磋商文件的变动情况和磋商小组的要求在规定时间内进行最后报价</w:t>
      </w:r>
      <w:r>
        <w:rPr>
          <w:rFonts w:hint="eastAsia" w:ascii="宋体" w:hAnsi="宋体" w:cs="宋体"/>
          <w:b/>
          <w:sz w:val="24"/>
        </w:rPr>
        <w:t>（最终报价要求供应商写出最终报价的下浮率，然后自行计算出最终报价，便于项目业主新增某样标的产品、服务或工程量为价格提供指导依据。）</w:t>
      </w:r>
      <w:r>
        <w:rPr>
          <w:rFonts w:hint="eastAsia" w:ascii="宋体" w:hAnsi="宋体" w:cs="宋体"/>
          <w:sz w:val="24"/>
        </w:rPr>
        <w:t>并由其法定代表人或授权代表签字或者加盖公章。最后报价是供应商响应文件的有效组成部分。</w:t>
      </w:r>
    </w:p>
    <w:p>
      <w:pPr>
        <w:ind w:firstLine="482"/>
        <w:rPr>
          <w:rFonts w:ascii="宋体" w:hAnsi="宋体" w:cs="宋体"/>
          <w:sz w:val="24"/>
        </w:rPr>
      </w:pPr>
      <w:r>
        <w:rPr>
          <w:rFonts w:hint="eastAsia" w:ascii="宋体" w:hAnsi="宋体" w:cs="宋体"/>
          <w:b/>
          <w:sz w:val="24"/>
        </w:rPr>
        <w:t>7.综合评分</w:t>
      </w:r>
      <w:r>
        <w:rPr>
          <w:rFonts w:hint="eastAsia" w:ascii="宋体" w:hAnsi="宋体" w:cs="宋体"/>
          <w:sz w:val="24"/>
        </w:rPr>
        <w:t>：磋商专家严格按照评分表逐项对响应文件进行评分。评分依据为响应文件提供的有效资料。响应文件中未提供的资料、未明确的内容，磋商专家不得以个人的意愿、猜想、推测等方式得出的结论作为评分依据。磋商专家须独立评分，不得相互抄袭评分分值（价格分除外）。</w:t>
      </w:r>
    </w:p>
    <w:p>
      <w:pPr>
        <w:ind w:firstLine="482"/>
        <w:rPr>
          <w:rFonts w:ascii="宋体" w:hAnsi="宋体" w:cs="宋体"/>
          <w:sz w:val="24"/>
        </w:rPr>
      </w:pPr>
      <w:r>
        <w:rPr>
          <w:rFonts w:hint="eastAsia" w:ascii="宋体" w:hAnsi="宋体" w:cs="宋体"/>
          <w:b/>
          <w:sz w:val="24"/>
        </w:rPr>
        <w:t>8.评分汇总：</w:t>
      </w:r>
      <w:r>
        <w:rPr>
          <w:rFonts w:hint="eastAsia" w:ascii="宋体" w:hAnsi="宋体" w:cs="宋体"/>
          <w:sz w:val="24"/>
        </w:rPr>
        <w:t>磋商小组组长将各评审专家的评分表汇总到评分汇总表，评分汇总表保留两位小数，按最终得分由高至低依次对供应商进行推荐排序。得分相同的，按投标报价由低到高顺序排列，得分且投标报价相同的，按技术和商务优劣顺序排列。评分表交由磋商小组组长汇总后，评审专家不得再更改各项打分分值（价格分及总分计算错误除外）。</w:t>
      </w:r>
    </w:p>
    <w:p>
      <w:pPr>
        <w:ind w:firstLine="482"/>
        <w:rPr>
          <w:rFonts w:ascii="宋体" w:hAnsi="宋体" w:cs="宋体"/>
          <w:sz w:val="24"/>
        </w:rPr>
      </w:pPr>
      <w:r>
        <w:rPr>
          <w:rFonts w:hint="eastAsia" w:ascii="宋体" w:hAnsi="宋体" w:cs="宋体"/>
          <w:b/>
          <w:sz w:val="24"/>
        </w:rPr>
        <w:t>9.评审报告：</w:t>
      </w:r>
      <w:r>
        <w:rPr>
          <w:rFonts w:hint="eastAsia" w:ascii="宋体" w:hAnsi="宋体" w:cs="宋体"/>
          <w:sz w:val="24"/>
        </w:rPr>
        <w:t>评标组长根据评分汇总情况及排序情况，主持编写评标报告。评标报告按规定需涵盖公告发布情况、开评标情况、推荐排序及有关需要说明的情况等。评标委员会成员须在评标报告上签字确认。</w:t>
      </w:r>
    </w:p>
    <w:p>
      <w:pPr>
        <w:ind w:firstLine="482"/>
        <w:rPr>
          <w:rFonts w:ascii="宋体" w:hAnsi="宋体" w:cs="宋体"/>
          <w:sz w:val="24"/>
        </w:rPr>
      </w:pPr>
      <w:r>
        <w:rPr>
          <w:rFonts w:hint="eastAsia" w:ascii="宋体" w:hAnsi="宋体" w:cs="宋体"/>
          <w:b/>
          <w:sz w:val="24"/>
        </w:rPr>
        <w:t>10.评审复核：</w:t>
      </w:r>
      <w:r>
        <w:rPr>
          <w:rFonts w:hint="eastAsia" w:ascii="宋体" w:hAnsi="宋体" w:cs="宋体"/>
          <w:sz w:val="24"/>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482"/>
        <w:rPr>
          <w:rFonts w:ascii="宋体" w:hAnsi="宋体" w:cs="宋体"/>
          <w:sz w:val="24"/>
        </w:rPr>
      </w:pPr>
      <w:r>
        <w:rPr>
          <w:rFonts w:hint="eastAsia" w:ascii="宋体" w:hAnsi="宋体" w:cs="宋体"/>
          <w:b/>
          <w:sz w:val="24"/>
        </w:rPr>
        <w:t>11.磋商结束：</w:t>
      </w:r>
      <w:r>
        <w:rPr>
          <w:rFonts w:hint="eastAsia" w:ascii="宋体" w:hAnsi="宋体" w:cs="宋体"/>
          <w:sz w:val="24"/>
        </w:rPr>
        <w:t>磋商小组出具评审报告并复核无误后，磋商工作结束。待代理机构工作人员收理好响应文件资料，并发放评审费用后磋商专家方可离开磋商区。磋商过程中磋商专家不得擅自离开磋商室或进入其他开评标室。</w:t>
      </w:r>
    </w:p>
    <w:p>
      <w:pPr>
        <w:ind w:firstLine="482"/>
        <w:rPr>
          <w:rFonts w:ascii="宋体" w:hAnsi="宋体" w:cs="宋体"/>
          <w:sz w:val="24"/>
        </w:rPr>
      </w:pPr>
      <w:r>
        <w:rPr>
          <w:rFonts w:hint="eastAsia" w:ascii="宋体" w:hAnsi="宋体" w:cs="宋体"/>
          <w:b/>
          <w:sz w:val="24"/>
        </w:rPr>
        <w:t>注1：</w:t>
      </w:r>
      <w:r>
        <w:rPr>
          <w:rFonts w:hint="eastAsia" w:ascii="宋体" w:hAnsi="宋体" w:cs="宋体"/>
          <w:sz w:val="24"/>
        </w:rPr>
        <w:t>当初步审查结果确定有效供应商不足三家，或出现影响采购公正的违法违规行为，或供应商的报价均超过了采购预算采购人不能支付，或因重大变故采购任务取消的，或磋商文件存在重大歧义、重大缺陷导致评审工作无法进行时，或磋商文件内容违反国家有关规定的，评标程序终止。</w:t>
      </w:r>
    </w:p>
    <w:p>
      <w:pPr>
        <w:ind w:firstLine="482"/>
        <w:rPr>
          <w:rFonts w:ascii="宋体" w:hAnsi="宋体" w:cs="宋体"/>
          <w:sz w:val="24"/>
        </w:rPr>
      </w:pPr>
      <w:r>
        <w:rPr>
          <w:rFonts w:hint="eastAsia" w:ascii="宋体" w:hAnsi="宋体" w:cs="宋体"/>
          <w:b/>
          <w:sz w:val="24"/>
        </w:rPr>
        <w:t>注2：</w:t>
      </w:r>
      <w:r>
        <w:rPr>
          <w:rFonts w:hint="eastAsia" w:ascii="宋体" w:hAnsi="宋体" w:cs="宋体"/>
          <w:sz w:val="24"/>
        </w:rPr>
        <w:t>磋商之后，至成交公告发布之前，凡涉及响应文件的澄清、评价、推荐排序等需保密的信息，磋商小组成员、采购人和招标代理机构等人员均不得向供应商人或其他人员透露。</w:t>
      </w:r>
    </w:p>
    <w:p>
      <w:pPr>
        <w:ind w:firstLine="482"/>
        <w:rPr>
          <w:rFonts w:ascii="宋体" w:hAnsi="宋体" w:cs="宋体"/>
          <w:sz w:val="24"/>
        </w:rPr>
      </w:pPr>
      <w:r>
        <w:rPr>
          <w:rFonts w:hint="eastAsia" w:ascii="宋体" w:hAnsi="宋体" w:cs="宋体"/>
          <w:b/>
          <w:sz w:val="24"/>
        </w:rPr>
        <w:t>注3：</w:t>
      </w:r>
      <w:r>
        <w:rPr>
          <w:rFonts w:hint="eastAsia" w:ascii="宋体" w:hAnsi="宋体" w:cs="宋体"/>
          <w:sz w:val="24"/>
        </w:rPr>
        <w:t>磋商过程由新疆正禾招投标有限公司全程录音录像，相关录音录像资料由新疆正禾招投标有限公司存档，以便为财政、纪检监察等有关部门处理项目相关事宜提供资料。</w:t>
      </w:r>
    </w:p>
    <w:p>
      <w:pPr>
        <w:rPr>
          <w:rStyle w:val="38"/>
          <w:rFonts w:ascii="宋体" w:hAnsi="宋体" w:eastAsia="宋体" w:cs="宋体"/>
          <w:sz w:val="24"/>
        </w:rPr>
      </w:pPr>
      <w:r>
        <w:rPr>
          <w:rStyle w:val="38"/>
          <w:rFonts w:hint="eastAsia" w:ascii="宋体" w:hAnsi="宋体" w:eastAsia="宋体" w:cs="宋体"/>
          <w:sz w:val="24"/>
        </w:rPr>
        <w:t>四、磋商小组</w:t>
      </w:r>
    </w:p>
    <w:p>
      <w:pPr>
        <w:ind w:firstLine="480"/>
        <w:rPr>
          <w:rFonts w:ascii="宋体" w:hAnsi="宋体" w:cs="宋体"/>
          <w:sz w:val="24"/>
        </w:rPr>
      </w:pPr>
      <w:r>
        <w:rPr>
          <w:rFonts w:hint="eastAsia" w:ascii="宋体" w:hAnsi="宋体" w:cs="宋体"/>
          <w:sz w:val="24"/>
        </w:rPr>
        <w:t>竞争性磋商小组由采购人代表和评审专家共3人以上单数组成，其中评审专家人数不少于竞争性磋商小组成员总数的2/3。达到公开招标数额标准的货物或者服务采购项目，或者达到招标规模标准的政府采购工程，竞争性磋商小组由5人以上单数组成。技术复杂、专业性强的竞争性磋商采购项目，评审专家中应当包含1名法律专家。磋商小组成员应以科学、公正的态度参加政府采购的评审工作，在评审过程中不受任何干扰，独立、负责地提出评审意见，并对自己的评审意见承担责任。</w:t>
      </w:r>
    </w:p>
    <w:p>
      <w:pPr>
        <w:ind w:firstLine="482"/>
        <w:rPr>
          <w:rFonts w:ascii="宋体" w:hAnsi="宋体" w:cs="宋体"/>
          <w:b/>
          <w:sz w:val="24"/>
        </w:rPr>
      </w:pPr>
      <w:r>
        <w:rPr>
          <w:rFonts w:hint="eastAsia" w:ascii="宋体" w:hAnsi="宋体" w:cs="宋体"/>
          <w:b/>
          <w:sz w:val="24"/>
        </w:rPr>
        <w:t>1.磋商小组在采购活动过程中应当履行下列职责：</w:t>
      </w:r>
    </w:p>
    <w:p>
      <w:pPr>
        <w:ind w:firstLine="480"/>
        <w:rPr>
          <w:rFonts w:ascii="宋体" w:hAnsi="宋体" w:cs="宋体"/>
          <w:sz w:val="24"/>
        </w:rPr>
      </w:pPr>
      <w:r>
        <w:rPr>
          <w:rFonts w:hint="eastAsia" w:ascii="宋体" w:hAnsi="宋体" w:cs="宋体"/>
          <w:sz w:val="24"/>
        </w:rPr>
        <w:t xml:space="preserve">（1）确认或者制定磋商文件； </w:t>
      </w:r>
    </w:p>
    <w:p>
      <w:pPr>
        <w:ind w:firstLine="480"/>
        <w:rPr>
          <w:rFonts w:ascii="宋体" w:hAnsi="宋体" w:cs="宋体"/>
          <w:sz w:val="24"/>
        </w:rPr>
      </w:pPr>
      <w:r>
        <w:rPr>
          <w:rFonts w:hint="eastAsia" w:ascii="宋体" w:hAnsi="宋体" w:cs="宋体"/>
          <w:sz w:val="24"/>
        </w:rPr>
        <w:t>（2）从符合相应资格条件的供应商名单中确定不少于3家的供应商参加磋商；</w:t>
      </w:r>
    </w:p>
    <w:p>
      <w:pPr>
        <w:ind w:firstLine="480"/>
        <w:rPr>
          <w:rFonts w:ascii="宋体" w:hAnsi="宋体" w:cs="宋体"/>
          <w:sz w:val="24"/>
        </w:rPr>
      </w:pPr>
      <w:r>
        <w:rPr>
          <w:rFonts w:hint="eastAsia" w:ascii="宋体" w:hAnsi="宋体" w:cs="宋体"/>
          <w:sz w:val="24"/>
        </w:rPr>
        <w:t>（3）审查供应商的响应文件并作出评价；</w:t>
      </w:r>
    </w:p>
    <w:p>
      <w:pPr>
        <w:ind w:firstLine="480"/>
        <w:rPr>
          <w:rFonts w:ascii="宋体" w:hAnsi="宋体" w:cs="宋体"/>
          <w:sz w:val="24"/>
        </w:rPr>
      </w:pPr>
      <w:r>
        <w:rPr>
          <w:rFonts w:hint="eastAsia" w:ascii="宋体" w:hAnsi="宋体" w:cs="宋体"/>
          <w:sz w:val="24"/>
        </w:rPr>
        <w:t>（4）要求供应商解释或者澄清其响应文件；</w:t>
      </w:r>
    </w:p>
    <w:p>
      <w:pPr>
        <w:ind w:firstLine="480"/>
        <w:rPr>
          <w:rFonts w:ascii="宋体" w:hAnsi="宋体" w:cs="宋体"/>
          <w:sz w:val="24"/>
        </w:rPr>
      </w:pPr>
      <w:r>
        <w:rPr>
          <w:rFonts w:hint="eastAsia" w:ascii="宋体" w:hAnsi="宋体" w:cs="宋体"/>
          <w:sz w:val="24"/>
        </w:rPr>
        <w:t xml:space="preserve">（5）编写评审报告； </w:t>
      </w:r>
    </w:p>
    <w:p>
      <w:pPr>
        <w:ind w:firstLine="480"/>
        <w:rPr>
          <w:rFonts w:ascii="宋体" w:hAnsi="宋体" w:cs="宋体"/>
          <w:sz w:val="24"/>
        </w:rPr>
      </w:pPr>
      <w:r>
        <w:rPr>
          <w:rFonts w:hint="eastAsia" w:ascii="宋体" w:hAnsi="宋体" w:cs="宋体"/>
          <w:sz w:val="24"/>
        </w:rPr>
        <w:t>（6）告知采购人、采购代理机构在评审过程中发现的供应商的违法违规行为。</w:t>
      </w:r>
    </w:p>
    <w:p>
      <w:pPr>
        <w:ind w:firstLine="482"/>
        <w:rPr>
          <w:rFonts w:ascii="宋体" w:hAnsi="宋体" w:cs="宋体"/>
          <w:b/>
          <w:sz w:val="24"/>
        </w:rPr>
      </w:pPr>
      <w:r>
        <w:rPr>
          <w:rFonts w:hint="eastAsia" w:ascii="宋体" w:hAnsi="宋体" w:cs="宋体"/>
          <w:b/>
          <w:sz w:val="24"/>
        </w:rPr>
        <w:t>2.磋商小组成员应当履行下列义务：</w:t>
      </w:r>
    </w:p>
    <w:p>
      <w:pPr>
        <w:ind w:firstLine="480"/>
        <w:rPr>
          <w:rFonts w:ascii="宋体" w:hAnsi="宋体" w:cs="宋体"/>
          <w:sz w:val="24"/>
        </w:rPr>
      </w:pPr>
      <w:r>
        <w:rPr>
          <w:rFonts w:hint="eastAsia" w:ascii="宋体" w:hAnsi="宋体" w:cs="宋体"/>
          <w:sz w:val="24"/>
        </w:rPr>
        <w:t>（1）遵纪守法，客观、公正、廉洁地履行职责；</w:t>
      </w:r>
    </w:p>
    <w:p>
      <w:pPr>
        <w:ind w:firstLine="480"/>
        <w:rPr>
          <w:rFonts w:ascii="宋体" w:hAnsi="宋体" w:cs="宋体"/>
          <w:sz w:val="24"/>
        </w:rPr>
      </w:pPr>
      <w:r>
        <w:rPr>
          <w:rFonts w:hint="eastAsia" w:ascii="宋体" w:hAnsi="宋体" w:cs="宋体"/>
          <w:sz w:val="24"/>
        </w:rPr>
        <w:t>（2）根据采购文件的规定独立进行评审，对个人的评审意见承担法律责任；</w:t>
      </w:r>
    </w:p>
    <w:p>
      <w:pPr>
        <w:ind w:firstLine="480"/>
        <w:rPr>
          <w:rFonts w:ascii="宋体" w:hAnsi="宋体" w:cs="宋体"/>
          <w:sz w:val="24"/>
        </w:rPr>
      </w:pPr>
      <w:r>
        <w:rPr>
          <w:rFonts w:hint="eastAsia" w:ascii="宋体" w:hAnsi="宋体" w:cs="宋体"/>
          <w:sz w:val="24"/>
        </w:rPr>
        <w:t>（3）参与评审报告的起草；</w:t>
      </w:r>
    </w:p>
    <w:p>
      <w:pPr>
        <w:ind w:firstLine="480"/>
        <w:rPr>
          <w:rFonts w:ascii="宋体" w:hAnsi="宋体" w:cs="宋体"/>
          <w:sz w:val="24"/>
        </w:rPr>
      </w:pPr>
      <w:r>
        <w:rPr>
          <w:rFonts w:hint="eastAsia" w:ascii="宋体" w:hAnsi="宋体" w:cs="宋体"/>
          <w:sz w:val="24"/>
        </w:rPr>
        <w:t>（4）配合采购人、采购代理机构答复供应商提出的质疑；</w:t>
      </w:r>
    </w:p>
    <w:p>
      <w:pPr>
        <w:ind w:firstLine="480"/>
        <w:rPr>
          <w:rFonts w:ascii="宋体" w:hAnsi="宋体" w:cs="宋体"/>
          <w:sz w:val="24"/>
        </w:rPr>
      </w:pPr>
      <w:r>
        <w:rPr>
          <w:rFonts w:hint="eastAsia" w:ascii="宋体" w:hAnsi="宋体" w:cs="宋体"/>
          <w:sz w:val="24"/>
        </w:rPr>
        <w:t>（5）配合财政部门的投诉处理和监督检查工作。</w:t>
      </w:r>
    </w:p>
    <w:p>
      <w:pPr>
        <w:ind w:firstLine="480"/>
        <w:rPr>
          <w:rFonts w:ascii="宋体" w:hAnsi="宋体" w:cs="宋体"/>
          <w:sz w:val="24"/>
        </w:rPr>
      </w:pPr>
    </w:p>
    <w:p>
      <w:pPr>
        <w:pStyle w:val="5"/>
        <w:tabs>
          <w:tab w:val="left" w:pos="3402"/>
        </w:tabs>
        <w:spacing w:before="240" w:after="240"/>
        <w:rPr>
          <w:rFonts w:ascii="宋体" w:hAnsi="宋体" w:eastAsia="宋体" w:cs="宋体"/>
          <w:szCs w:val="24"/>
        </w:rPr>
      </w:pPr>
      <w:bookmarkStart w:id="136" w:name="_Toc407182680"/>
      <w:bookmarkStart w:id="137" w:name="_Toc28763"/>
      <w:bookmarkStart w:id="138" w:name="_Toc4136"/>
      <w:bookmarkStart w:id="139" w:name="_Toc16189"/>
      <w:r>
        <w:rPr>
          <w:rFonts w:hint="eastAsia" w:ascii="宋体" w:hAnsi="宋体" w:eastAsia="宋体" w:cs="宋体"/>
          <w:szCs w:val="24"/>
        </w:rPr>
        <w:t>第六节 发布成交</w:t>
      </w:r>
      <w:bookmarkEnd w:id="136"/>
      <w:r>
        <w:rPr>
          <w:rFonts w:hint="eastAsia" w:ascii="宋体" w:hAnsi="宋体" w:eastAsia="宋体" w:cs="宋体"/>
          <w:szCs w:val="24"/>
        </w:rPr>
        <w:t>公告</w:t>
      </w:r>
      <w:bookmarkEnd w:id="137"/>
      <w:bookmarkEnd w:id="138"/>
      <w:bookmarkEnd w:id="139"/>
    </w:p>
    <w:p>
      <w:pPr>
        <w:rPr>
          <w:rStyle w:val="38"/>
          <w:rFonts w:ascii="宋体" w:hAnsi="宋体" w:eastAsia="宋体" w:cs="宋体"/>
          <w:sz w:val="24"/>
        </w:rPr>
      </w:pPr>
      <w:r>
        <w:rPr>
          <w:rStyle w:val="38"/>
          <w:rFonts w:hint="eastAsia" w:ascii="宋体" w:hAnsi="宋体" w:eastAsia="宋体" w:cs="宋体"/>
          <w:sz w:val="24"/>
        </w:rPr>
        <w:t>一、公告发布媒体</w:t>
      </w:r>
    </w:p>
    <w:p>
      <w:pPr>
        <w:spacing w:beforeLines="100" w:afterLines="50"/>
        <w:ind w:firstLine="491" w:firstLineChars="205"/>
        <w:rPr>
          <w:rFonts w:ascii="宋体" w:hAnsi="宋体" w:cs="宋体"/>
          <w:sz w:val="24"/>
        </w:rPr>
      </w:pPr>
      <w:r>
        <w:rPr>
          <w:rFonts w:hint="eastAsia" w:ascii="宋体" w:hAnsi="宋体" w:cs="宋体"/>
          <w:sz w:val="24"/>
        </w:rPr>
        <w:t>新疆维吾尔自治区政府采购网（http://www.ccgp-xinjiang.gov.cn/）及法律法规规定的相关媒体。</w:t>
      </w:r>
    </w:p>
    <w:p>
      <w:pPr>
        <w:spacing w:beforeLines="100" w:afterLines="50"/>
        <w:ind w:firstLine="491" w:firstLineChars="205"/>
        <w:rPr>
          <w:rFonts w:ascii="宋体" w:hAnsi="宋体" w:cs="宋体"/>
          <w:sz w:val="24"/>
        </w:rPr>
      </w:pPr>
      <w:r>
        <w:rPr>
          <w:rFonts w:hint="eastAsia" w:ascii="宋体" w:hAnsi="宋体" w:cs="宋体"/>
          <w:sz w:val="24"/>
        </w:rPr>
        <w:t>新疆正禾招投标有限公司根据评标报告将成交候选人推荐排序及相关评标结果进行公告。供应商可在新疆维吾尔自治区政府采购网（http://www.ccgp-xinjiang.gov.cn/）及其他相关网站查询评标结果信息。</w:t>
      </w:r>
    </w:p>
    <w:p>
      <w:pPr>
        <w:spacing w:beforeLines="100" w:afterLines="50"/>
        <w:ind w:firstLine="491" w:firstLineChars="205"/>
        <w:rPr>
          <w:rFonts w:ascii="宋体" w:hAnsi="宋体" w:cs="宋体"/>
          <w:sz w:val="24"/>
        </w:rPr>
      </w:pPr>
      <w:r>
        <w:rPr>
          <w:rFonts w:hint="eastAsia" w:ascii="宋体" w:hAnsi="宋体" w:cs="宋体"/>
          <w:sz w:val="24"/>
        </w:rPr>
        <w:t>采购代理机构应当自评审结束之日起2个工作日内将评审报告送交采购人。采购人应当自收到评审报告之日起5个工作日内在评审报告推荐的成交或者成交候选人中按顺序确定成交或者成交供应商。采购人或者采购代理机构应当自成交、成交供应商确定之日起2个工作日内，发出成交、成交通知书。成交通知书对采购人和成交供应商具有同等法律效力。成交通知书发出后，采购人改变成交结果，或者成交供应商放弃成交，应当承担相应的法律责任。</w:t>
      </w:r>
    </w:p>
    <w:p>
      <w:pPr>
        <w:ind w:firstLine="480"/>
        <w:rPr>
          <w:rFonts w:ascii="宋体" w:hAnsi="宋体" w:cs="宋体"/>
          <w:sz w:val="24"/>
        </w:rPr>
      </w:pPr>
      <w:r>
        <w:rPr>
          <w:rFonts w:hint="eastAsia" w:ascii="宋体" w:hAnsi="宋体" w:cs="宋体"/>
          <w:sz w:val="24"/>
        </w:rPr>
        <w:t>成交、成交公告期结束后，若未收到任何质疑投诉，可向成交人发出成交、成交通知书。</w:t>
      </w:r>
    </w:p>
    <w:p>
      <w:pPr>
        <w:spacing w:beforeLines="50" w:afterLines="50" w:line="240" w:lineRule="auto"/>
        <w:ind w:firstLine="480"/>
        <w:rPr>
          <w:rFonts w:ascii="宋体" w:hAnsi="宋体" w:cs="宋体"/>
          <w:sz w:val="24"/>
        </w:rPr>
      </w:pPr>
      <w:bookmarkStart w:id="140" w:name="_Toc407182681"/>
      <w:r>
        <w:rPr>
          <w:rFonts w:hint="eastAsia" w:ascii="宋体" w:hAnsi="宋体" w:cs="宋体"/>
          <w:sz w:val="24"/>
        </w:rPr>
        <w:t>二、政府采购活动的质疑投诉</w:t>
      </w:r>
    </w:p>
    <w:p>
      <w:pPr>
        <w:spacing w:beforeLines="100" w:afterLines="50"/>
        <w:ind w:firstLine="491" w:firstLineChars="205"/>
        <w:rPr>
          <w:rFonts w:ascii="宋体" w:hAnsi="宋体" w:cs="宋体"/>
          <w:sz w:val="24"/>
        </w:rPr>
      </w:pPr>
      <w:r>
        <w:rPr>
          <w:rFonts w:hint="eastAsia" w:ascii="宋体" w:hAnsi="宋体" w:cs="宋体"/>
          <w:sz w:val="24"/>
        </w:rPr>
        <w:t>（一）质疑</w:t>
      </w:r>
    </w:p>
    <w:p>
      <w:pPr>
        <w:spacing w:beforeLines="100" w:afterLines="50"/>
        <w:ind w:firstLine="491" w:firstLineChars="205"/>
        <w:rPr>
          <w:rFonts w:ascii="宋体" w:hAnsi="宋体" w:cs="宋体"/>
          <w:sz w:val="24"/>
        </w:rPr>
      </w:pPr>
      <w:r>
        <w:rPr>
          <w:rFonts w:hint="eastAsia" w:ascii="宋体" w:hAnsi="宋体" w:cs="宋体"/>
          <w:sz w:val="24"/>
        </w:rPr>
        <w:t>供应商认为采购文件、采购过程和成交、成交结果使自己的权益受到损害的，可以在知道或者应知其权益受到损害之日</w:t>
      </w:r>
      <w:r>
        <w:rPr>
          <w:rFonts w:hint="eastAsia" w:ascii="宋体" w:hAnsi="宋体" w:cs="宋体"/>
          <w:b/>
          <w:sz w:val="24"/>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成交或者成交结果提出质疑的，为成交或者成交结果公告期限届满之日。</w:t>
      </w:r>
      <w:r>
        <w:rPr>
          <w:rFonts w:hint="eastAsia" w:ascii="宋体" w:hAnsi="宋体" w:cs="宋体"/>
          <w:sz w:val="24"/>
        </w:rPr>
        <w:t>）起七个工作日内，以书面形式向采购人提出质疑。</w:t>
      </w:r>
    </w:p>
    <w:p>
      <w:pPr>
        <w:spacing w:beforeLines="100" w:afterLines="50"/>
        <w:ind w:firstLine="480"/>
        <w:rPr>
          <w:rFonts w:ascii="宋体" w:hAnsi="宋体" w:cs="宋体"/>
          <w:sz w:val="24"/>
        </w:rPr>
      </w:pPr>
      <w:r>
        <w:rPr>
          <w:rFonts w:hint="eastAsia" w:ascii="宋体" w:hAnsi="宋体" w:cs="宋体"/>
          <w:sz w:val="24"/>
        </w:rPr>
        <w:t>（二）受理条件</w:t>
      </w:r>
    </w:p>
    <w:p>
      <w:pPr>
        <w:pStyle w:val="32"/>
        <w:spacing w:beforeAutospacing="0" w:afterAutospacing="0" w:line="432" w:lineRule="atLeast"/>
        <w:ind w:firstLine="480" w:firstLineChars="200"/>
        <w:rPr>
          <w:rFonts w:ascii="宋体" w:hAnsi="宋体" w:cs="宋体"/>
        </w:rPr>
      </w:pPr>
      <w:r>
        <w:rPr>
          <w:rFonts w:hint="eastAsia" w:ascii="宋体" w:hAnsi="宋体" w:cs="宋体"/>
        </w:rPr>
        <w:t>1、供应商所提出质疑，必须有认为采购文件、采购过程、成交和成交结果等使自已的利益受到损害的事实和依据，对与采购活动无关的供应商或者没有提出使自己的利益受到损害的事实和依据的质疑，可不予受理;</w:t>
      </w:r>
    </w:p>
    <w:p>
      <w:pPr>
        <w:pStyle w:val="32"/>
        <w:spacing w:beforeAutospacing="0" w:afterAutospacing="0" w:line="432" w:lineRule="atLeast"/>
        <w:ind w:firstLine="480" w:firstLineChars="200"/>
        <w:rPr>
          <w:rFonts w:ascii="宋体" w:hAnsi="宋体" w:cs="宋体"/>
        </w:rPr>
      </w:pPr>
      <w:r>
        <w:rPr>
          <w:rFonts w:hint="eastAsia" w:ascii="宋体" w:hAnsi="宋体" w:cs="宋体"/>
        </w:rPr>
        <w:t>2、质疑必须以书面形式提出并署名，质疑人为法人或其他组织的，质疑书应当加盖质疑单位公章，以口头形式提出的，可不予受理;</w:t>
      </w:r>
    </w:p>
    <w:p>
      <w:pPr>
        <w:spacing w:beforeLines="100" w:afterLines="50"/>
        <w:ind w:firstLine="480"/>
        <w:rPr>
          <w:rFonts w:ascii="宋体" w:hAnsi="宋体" w:cs="宋体"/>
          <w:sz w:val="24"/>
        </w:rPr>
      </w:pPr>
      <w:r>
        <w:rPr>
          <w:rFonts w:hint="eastAsia" w:ascii="宋体" w:hAnsi="宋体" w:cs="宋体"/>
          <w:sz w:val="24"/>
        </w:rPr>
        <w:t>3、在法定时间内提出质疑。供应商在认为采购过程、成交和成交结果等使自已的利益受到损害后的七个工作日内提出质疑;</w:t>
      </w:r>
    </w:p>
    <w:p>
      <w:pPr>
        <w:spacing w:beforeLines="100" w:afterLines="50"/>
        <w:ind w:firstLine="480"/>
        <w:rPr>
          <w:rFonts w:ascii="宋体" w:hAnsi="宋体" w:cs="宋体"/>
          <w:sz w:val="24"/>
        </w:rPr>
      </w:pPr>
      <w:r>
        <w:rPr>
          <w:rFonts w:hint="eastAsia" w:ascii="宋体" w:hAnsi="宋体" w:cs="宋体"/>
          <w:sz w:val="24"/>
        </w:rPr>
        <w:t>（三）质疑具体要求及注意事项：</w:t>
      </w:r>
    </w:p>
    <w:p>
      <w:pPr>
        <w:spacing w:beforeLines="100" w:afterLines="50"/>
        <w:ind w:firstLine="480"/>
        <w:rPr>
          <w:rFonts w:ascii="宋体" w:hAnsi="宋体" w:cs="宋体"/>
          <w:sz w:val="24"/>
        </w:rPr>
      </w:pPr>
      <w:r>
        <w:rPr>
          <w:rFonts w:hint="eastAsia" w:ascii="宋体" w:hAnsi="宋体" w:cs="宋体"/>
          <w:sz w:val="24"/>
        </w:rPr>
        <w:t>1.质疑文件递交要求：质疑须以书面形式提出，列明质疑事项及相关依据，联系人、联系电话、传真、详细地址、邮编等基本信息。质疑函一式两份，加盖公章后，一份送本项目代理机构，一份送采购人处，项目代理机构或采购人收悉质疑函后及时告知监管单位。</w:t>
      </w:r>
    </w:p>
    <w:p>
      <w:pPr>
        <w:spacing w:beforeLines="100" w:afterLines="50"/>
        <w:ind w:firstLine="491" w:firstLineChars="205"/>
        <w:rPr>
          <w:rFonts w:ascii="宋体" w:hAnsi="宋体" w:cs="宋体"/>
          <w:sz w:val="24"/>
        </w:rPr>
      </w:pPr>
      <w:r>
        <w:rPr>
          <w:rFonts w:hint="eastAsia" w:ascii="宋体" w:hAnsi="宋体" w:cs="宋体"/>
          <w:sz w:val="24"/>
        </w:rPr>
        <w:t>2.质疑文件递交地点：</w:t>
      </w:r>
    </w:p>
    <w:p>
      <w:pPr>
        <w:spacing w:beforeLines="100" w:afterLines="50" w:line="240" w:lineRule="auto"/>
        <w:ind w:firstLine="480"/>
        <w:rPr>
          <w:rFonts w:ascii="宋体" w:hAnsi="宋体" w:cs="宋体"/>
          <w:sz w:val="24"/>
        </w:rPr>
      </w:pPr>
      <w:r>
        <w:rPr>
          <w:rFonts w:hint="eastAsia" w:ascii="宋体" w:hAnsi="宋体" w:cs="宋体"/>
          <w:sz w:val="24"/>
        </w:rPr>
        <w:t>名    称：新疆正禾招投标有限公司</w:t>
      </w:r>
    </w:p>
    <w:p>
      <w:pPr>
        <w:spacing w:beforeLines="100" w:afterLines="50" w:line="240" w:lineRule="auto"/>
        <w:ind w:firstLine="480"/>
        <w:rPr>
          <w:rFonts w:ascii="宋体" w:hAnsi="宋体" w:cs="宋体"/>
          <w:sz w:val="24"/>
        </w:rPr>
      </w:pPr>
      <w:r>
        <w:rPr>
          <w:rFonts w:hint="eastAsia" w:ascii="宋体" w:hAnsi="宋体" w:cs="宋体"/>
          <w:sz w:val="24"/>
        </w:rPr>
        <w:t>地　　址：新疆乌鲁木齐高新技术产业开发区（新市区）鲤鱼山北路199号集电港A座511室　</w:t>
      </w:r>
    </w:p>
    <w:p>
      <w:pPr>
        <w:spacing w:beforeLines="100" w:afterLines="50" w:line="240" w:lineRule="auto"/>
        <w:ind w:firstLine="480"/>
        <w:rPr>
          <w:rFonts w:ascii="宋体" w:hAnsi="宋体" w:cs="宋体"/>
          <w:sz w:val="24"/>
        </w:rPr>
      </w:pPr>
      <w:r>
        <w:rPr>
          <w:rFonts w:hint="eastAsia" w:ascii="宋体" w:hAnsi="宋体" w:cs="宋体"/>
          <w:sz w:val="24"/>
        </w:rPr>
        <w:t>项目联系人：许光辉</w:t>
      </w:r>
    </w:p>
    <w:p>
      <w:pPr>
        <w:spacing w:beforeLines="100" w:afterLines="50" w:line="240" w:lineRule="auto"/>
        <w:ind w:firstLine="480"/>
        <w:rPr>
          <w:rFonts w:ascii="宋体" w:hAnsi="宋体" w:cs="宋体"/>
          <w:sz w:val="24"/>
        </w:rPr>
      </w:pPr>
      <w:r>
        <w:rPr>
          <w:rFonts w:hint="eastAsia" w:ascii="宋体" w:hAnsi="宋体" w:cs="宋体"/>
          <w:sz w:val="24"/>
        </w:rPr>
        <w:t>联系方式：0991-6660570</w:t>
      </w:r>
    </w:p>
    <w:p>
      <w:pPr>
        <w:spacing w:beforeLines="100" w:afterLines="50" w:line="240" w:lineRule="auto"/>
        <w:ind w:firstLine="480"/>
        <w:rPr>
          <w:rFonts w:ascii="宋体" w:hAnsi="宋体" w:cs="宋体"/>
          <w:sz w:val="24"/>
        </w:rPr>
      </w:pPr>
      <w:r>
        <w:rPr>
          <w:rFonts w:hint="eastAsia" w:ascii="宋体" w:hAnsi="宋体" w:cs="宋体"/>
          <w:sz w:val="24"/>
        </w:rPr>
        <w:t>邮箱号：zh6660570@qq.com</w:t>
      </w:r>
    </w:p>
    <w:p>
      <w:pPr>
        <w:spacing w:beforeLines="100" w:afterLines="50"/>
        <w:ind w:firstLine="480"/>
        <w:rPr>
          <w:rFonts w:ascii="宋体" w:hAnsi="宋体" w:cs="宋体"/>
          <w:b/>
          <w:sz w:val="24"/>
        </w:rPr>
      </w:pPr>
      <w:r>
        <w:rPr>
          <w:rFonts w:hint="eastAsia" w:ascii="宋体" w:hAnsi="宋体" w:cs="宋体"/>
          <w:sz w:val="24"/>
        </w:rPr>
        <w:t>3.竞争性磋商采购方式的时间原因，供应商对采购文件质疑的截止时间为：供应商领取采购文件文件之日起</w:t>
      </w:r>
      <w:r>
        <w:rPr>
          <w:rFonts w:hint="eastAsia" w:ascii="宋体" w:hAnsi="宋体" w:cs="宋体"/>
          <w:sz w:val="24"/>
          <w:u w:val="single"/>
        </w:rPr>
        <w:t>5</w:t>
      </w:r>
      <w:r>
        <w:rPr>
          <w:rFonts w:hint="eastAsia" w:ascii="宋体" w:hAnsi="宋体" w:cs="宋体"/>
          <w:sz w:val="24"/>
        </w:rPr>
        <w:t>个工作日内。</w:t>
      </w:r>
      <w:r>
        <w:rPr>
          <w:rFonts w:hint="eastAsia" w:ascii="宋体" w:hAnsi="宋体" w:cs="宋体"/>
          <w:b/>
          <w:sz w:val="24"/>
        </w:rPr>
        <w:t>供应商提供书面质疑文件的同时，向采购人或采购代理机构出示文件购买采购文件凭证的复印件并加盖公章。</w:t>
      </w:r>
    </w:p>
    <w:p>
      <w:pPr>
        <w:spacing w:beforeLines="100" w:afterLines="50"/>
        <w:ind w:firstLine="491" w:firstLineChars="205"/>
        <w:rPr>
          <w:rFonts w:ascii="宋体" w:hAnsi="宋体" w:cs="宋体"/>
          <w:sz w:val="24"/>
        </w:rPr>
      </w:pPr>
      <w:r>
        <w:rPr>
          <w:rFonts w:hint="eastAsia" w:ascii="宋体" w:hAnsi="宋体" w:cs="宋体"/>
          <w:sz w:val="24"/>
        </w:rPr>
        <w:t>（四）质疑答复：采购人或者采购代理机构应当在7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pPr>
        <w:ind w:firstLine="480"/>
        <w:rPr>
          <w:rFonts w:ascii="宋体" w:hAnsi="宋体" w:cs="宋体"/>
          <w:sz w:val="24"/>
        </w:rPr>
      </w:pPr>
      <w:r>
        <w:rPr>
          <w:rFonts w:hint="eastAsia" w:ascii="宋体" w:hAnsi="宋体" w:cs="宋体"/>
          <w:sz w:val="24"/>
        </w:rPr>
        <w:t>（五）提出质疑的供应商对采购人或代理机构的答复不满意或采购人、采购代理机构在规定的时间内未作出答复的，可在收到答复之日起或答复期满后十五个工作日内向采购人同级政府采购监督部门投诉。</w:t>
      </w:r>
    </w:p>
    <w:p>
      <w:pPr>
        <w:pStyle w:val="5"/>
        <w:tabs>
          <w:tab w:val="left" w:pos="3402"/>
        </w:tabs>
        <w:spacing w:before="240" w:after="240"/>
        <w:rPr>
          <w:rFonts w:ascii="宋体" w:hAnsi="宋体" w:eastAsia="宋体" w:cs="宋体"/>
          <w:szCs w:val="24"/>
        </w:rPr>
      </w:pPr>
      <w:bookmarkStart w:id="141" w:name="_Toc27364"/>
      <w:bookmarkStart w:id="142" w:name="_Toc30704"/>
      <w:bookmarkStart w:id="143" w:name="_Toc4219"/>
      <w:r>
        <w:rPr>
          <w:rFonts w:hint="eastAsia" w:ascii="宋体" w:hAnsi="宋体" w:eastAsia="宋体" w:cs="宋体"/>
          <w:szCs w:val="24"/>
        </w:rPr>
        <w:t>第七节 支付代理服务费</w:t>
      </w:r>
      <w:bookmarkEnd w:id="140"/>
      <w:bookmarkEnd w:id="141"/>
      <w:bookmarkEnd w:id="142"/>
      <w:bookmarkEnd w:id="143"/>
    </w:p>
    <w:p>
      <w:pPr>
        <w:ind w:left="482"/>
        <w:rPr>
          <w:rStyle w:val="38"/>
          <w:rFonts w:ascii="宋体" w:hAnsi="宋体" w:eastAsia="宋体" w:cs="宋体"/>
          <w:sz w:val="24"/>
        </w:rPr>
      </w:pPr>
      <w:r>
        <w:rPr>
          <w:rStyle w:val="38"/>
          <w:rFonts w:hint="eastAsia" w:ascii="宋体" w:hAnsi="宋体" w:eastAsia="宋体" w:cs="宋体"/>
          <w:sz w:val="24"/>
        </w:rPr>
        <w:t>一、收费标准</w:t>
      </w:r>
    </w:p>
    <w:p>
      <w:pPr>
        <w:ind w:firstLine="562"/>
        <w:jc w:val="center"/>
        <w:rPr>
          <w:rFonts w:ascii="宋体" w:hAnsi="宋体" w:cs="宋体"/>
          <w:b/>
          <w:sz w:val="24"/>
        </w:rPr>
      </w:pPr>
      <w:r>
        <w:rPr>
          <w:rFonts w:hint="eastAsia" w:ascii="宋体" w:hAnsi="宋体" w:cs="宋体"/>
          <w:b/>
          <w:sz w:val="24"/>
        </w:rPr>
        <w:t>采购代理收费标准</w:t>
      </w:r>
    </w:p>
    <w:tbl>
      <w:tblPr>
        <w:tblStyle w:val="35"/>
        <w:tblW w:w="9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31"/>
        <w:gridCol w:w="2100"/>
        <w:gridCol w:w="1925"/>
        <w:gridCol w:w="20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3631" w:type="dxa"/>
            <w:tcBorders>
              <w:top w:val="double" w:color="auto" w:sz="4" w:space="0"/>
              <w:tl2br w:val="single" w:color="auto" w:sz="4" w:space="0"/>
            </w:tcBorders>
          </w:tcPr>
          <w:p>
            <w:pPr>
              <w:ind w:firstLine="480"/>
              <w:rPr>
                <w:rFonts w:ascii="宋体" w:hAnsi="宋体" w:cs="宋体"/>
                <w:bCs/>
                <w:sz w:val="24"/>
              </w:rPr>
            </w:pPr>
            <w:r>
              <w:rPr>
                <w:rFonts w:hint="eastAsia" w:ascii="宋体" w:hAnsi="宋体" w:cs="宋体"/>
                <w:bCs/>
                <w:sz w:val="24"/>
              </w:rPr>
              <w:t xml:space="preserve">             招标类别</w:t>
            </w:r>
          </w:p>
          <w:p>
            <w:pPr>
              <w:ind w:firstLine="480"/>
              <w:rPr>
                <w:rFonts w:ascii="宋体" w:hAnsi="宋体" w:cs="宋体"/>
                <w:bCs/>
                <w:sz w:val="24"/>
              </w:rPr>
            </w:pPr>
            <w:r>
              <w:rPr>
                <w:rFonts w:hint="eastAsia" w:ascii="宋体" w:hAnsi="宋体" w:cs="宋体"/>
                <w:bCs/>
                <w:sz w:val="24"/>
              </w:rPr>
              <w:t>成交价（万）</w:t>
            </w:r>
          </w:p>
        </w:tc>
        <w:tc>
          <w:tcPr>
            <w:tcW w:w="2100" w:type="dxa"/>
            <w:tcBorders>
              <w:top w:val="double" w:color="auto" w:sz="4" w:space="0"/>
            </w:tcBorders>
            <w:vAlign w:val="center"/>
          </w:tcPr>
          <w:p>
            <w:pPr>
              <w:jc w:val="center"/>
              <w:rPr>
                <w:rFonts w:ascii="宋体" w:hAnsi="宋体" w:cs="宋体"/>
                <w:bCs/>
                <w:sz w:val="24"/>
              </w:rPr>
            </w:pPr>
            <w:r>
              <w:rPr>
                <w:rFonts w:hint="eastAsia" w:ascii="宋体" w:hAnsi="宋体" w:cs="宋体"/>
                <w:bCs/>
                <w:sz w:val="24"/>
              </w:rPr>
              <w:t>货物取费标准</w:t>
            </w:r>
          </w:p>
        </w:tc>
        <w:tc>
          <w:tcPr>
            <w:tcW w:w="1925" w:type="dxa"/>
            <w:tcBorders>
              <w:top w:val="double" w:color="auto" w:sz="4" w:space="0"/>
            </w:tcBorders>
            <w:vAlign w:val="center"/>
          </w:tcPr>
          <w:p>
            <w:pPr>
              <w:jc w:val="center"/>
              <w:rPr>
                <w:rFonts w:ascii="宋体" w:hAnsi="宋体" w:cs="宋体"/>
                <w:bCs/>
                <w:sz w:val="24"/>
              </w:rPr>
            </w:pPr>
            <w:r>
              <w:rPr>
                <w:rFonts w:hint="eastAsia" w:ascii="宋体" w:hAnsi="宋体" w:cs="宋体"/>
                <w:bCs/>
                <w:sz w:val="24"/>
              </w:rPr>
              <w:t>服务取费标准</w:t>
            </w:r>
          </w:p>
        </w:tc>
        <w:tc>
          <w:tcPr>
            <w:tcW w:w="2085" w:type="dxa"/>
            <w:tcBorders>
              <w:top w:val="double" w:color="auto" w:sz="4" w:space="0"/>
            </w:tcBorders>
            <w:vAlign w:val="center"/>
          </w:tcPr>
          <w:p>
            <w:pPr>
              <w:jc w:val="center"/>
              <w:rPr>
                <w:rFonts w:ascii="宋体" w:hAnsi="宋体" w:cs="宋体"/>
                <w:bCs/>
                <w:sz w:val="24"/>
              </w:rPr>
            </w:pPr>
            <w:r>
              <w:rPr>
                <w:rFonts w:hint="eastAsia" w:ascii="宋体" w:hAnsi="宋体" w:cs="宋体"/>
                <w:bCs/>
                <w:sz w:val="24"/>
              </w:rPr>
              <w:t>工程取费标准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100以下</w:t>
            </w:r>
          </w:p>
        </w:tc>
        <w:tc>
          <w:tcPr>
            <w:tcW w:w="2100" w:type="dxa"/>
          </w:tcPr>
          <w:p>
            <w:pPr>
              <w:ind w:firstLine="240" w:firstLineChars="100"/>
              <w:jc w:val="center"/>
              <w:rPr>
                <w:rFonts w:ascii="宋体" w:hAnsi="宋体" w:cs="宋体"/>
                <w:bCs/>
                <w:sz w:val="24"/>
              </w:rPr>
            </w:pPr>
            <w:r>
              <w:rPr>
                <w:rFonts w:hint="eastAsia" w:ascii="宋体" w:hAnsi="宋体" w:cs="宋体"/>
                <w:bCs/>
                <w:sz w:val="24"/>
              </w:rPr>
              <w:t>1.5%</w:t>
            </w:r>
          </w:p>
        </w:tc>
        <w:tc>
          <w:tcPr>
            <w:tcW w:w="1925" w:type="dxa"/>
          </w:tcPr>
          <w:p>
            <w:pPr>
              <w:ind w:firstLine="240" w:firstLineChars="100"/>
              <w:jc w:val="center"/>
              <w:rPr>
                <w:rFonts w:ascii="宋体" w:hAnsi="宋体" w:cs="宋体"/>
                <w:bCs/>
                <w:sz w:val="24"/>
              </w:rPr>
            </w:pPr>
            <w:r>
              <w:rPr>
                <w:rFonts w:hint="eastAsia" w:ascii="宋体" w:hAnsi="宋体" w:cs="宋体"/>
                <w:bCs/>
                <w:sz w:val="24"/>
              </w:rPr>
              <w:t>1.5%</w:t>
            </w:r>
          </w:p>
        </w:tc>
        <w:tc>
          <w:tcPr>
            <w:tcW w:w="2085" w:type="dxa"/>
          </w:tcPr>
          <w:p>
            <w:pPr>
              <w:ind w:firstLine="240" w:firstLineChars="100"/>
              <w:jc w:val="center"/>
              <w:rPr>
                <w:rFonts w:ascii="宋体" w:hAnsi="宋体" w:cs="宋体"/>
                <w:bCs/>
                <w:sz w:val="24"/>
              </w:rPr>
            </w:pPr>
            <w:r>
              <w:rPr>
                <w:rFonts w:hint="eastAsia" w:ascii="宋体" w:hAnsi="宋体" w:cs="宋体"/>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100-500</w:t>
            </w:r>
          </w:p>
        </w:tc>
        <w:tc>
          <w:tcPr>
            <w:tcW w:w="2100" w:type="dxa"/>
          </w:tcPr>
          <w:p>
            <w:pPr>
              <w:ind w:firstLine="240" w:firstLineChars="100"/>
              <w:jc w:val="center"/>
              <w:rPr>
                <w:rFonts w:ascii="宋体" w:hAnsi="宋体" w:cs="宋体"/>
                <w:bCs/>
                <w:sz w:val="24"/>
              </w:rPr>
            </w:pPr>
            <w:r>
              <w:rPr>
                <w:rFonts w:hint="eastAsia" w:ascii="宋体" w:hAnsi="宋体" w:cs="宋体"/>
                <w:bCs/>
                <w:sz w:val="24"/>
              </w:rPr>
              <w:t>1.1%</w:t>
            </w:r>
          </w:p>
        </w:tc>
        <w:tc>
          <w:tcPr>
            <w:tcW w:w="1925" w:type="dxa"/>
          </w:tcPr>
          <w:p>
            <w:pPr>
              <w:ind w:firstLine="240" w:firstLineChars="100"/>
              <w:jc w:val="center"/>
              <w:rPr>
                <w:rFonts w:ascii="宋体" w:hAnsi="宋体" w:cs="宋体"/>
                <w:bCs/>
                <w:sz w:val="24"/>
              </w:rPr>
            </w:pPr>
            <w:r>
              <w:rPr>
                <w:rFonts w:hint="eastAsia" w:ascii="宋体" w:hAnsi="宋体" w:cs="宋体"/>
                <w:bCs/>
                <w:sz w:val="24"/>
              </w:rPr>
              <w:t>0.8%</w:t>
            </w:r>
          </w:p>
        </w:tc>
        <w:tc>
          <w:tcPr>
            <w:tcW w:w="2085" w:type="dxa"/>
          </w:tcPr>
          <w:p>
            <w:pPr>
              <w:ind w:firstLine="240" w:firstLineChars="100"/>
              <w:jc w:val="center"/>
              <w:rPr>
                <w:rFonts w:ascii="宋体" w:hAnsi="宋体" w:cs="宋体"/>
                <w:bCs/>
                <w:sz w:val="24"/>
              </w:rPr>
            </w:pPr>
            <w:r>
              <w:rPr>
                <w:rFonts w:hint="eastAsia" w:ascii="宋体" w:hAnsi="宋体" w:cs="宋体"/>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500-1000</w:t>
            </w:r>
          </w:p>
        </w:tc>
        <w:tc>
          <w:tcPr>
            <w:tcW w:w="2100" w:type="dxa"/>
          </w:tcPr>
          <w:p>
            <w:pPr>
              <w:ind w:firstLine="240" w:firstLineChars="100"/>
              <w:jc w:val="center"/>
              <w:rPr>
                <w:rFonts w:ascii="宋体" w:hAnsi="宋体" w:cs="宋体"/>
                <w:bCs/>
                <w:sz w:val="24"/>
              </w:rPr>
            </w:pPr>
            <w:r>
              <w:rPr>
                <w:rFonts w:hint="eastAsia" w:ascii="宋体" w:hAnsi="宋体" w:cs="宋体"/>
                <w:bCs/>
                <w:sz w:val="24"/>
              </w:rPr>
              <w:t>0.8%</w:t>
            </w:r>
          </w:p>
        </w:tc>
        <w:tc>
          <w:tcPr>
            <w:tcW w:w="1925" w:type="dxa"/>
          </w:tcPr>
          <w:p>
            <w:pPr>
              <w:ind w:firstLine="240" w:firstLineChars="100"/>
              <w:jc w:val="center"/>
              <w:rPr>
                <w:rFonts w:ascii="宋体" w:hAnsi="宋体" w:cs="宋体"/>
                <w:bCs/>
                <w:sz w:val="24"/>
              </w:rPr>
            </w:pPr>
            <w:r>
              <w:rPr>
                <w:rFonts w:hint="eastAsia" w:ascii="宋体" w:hAnsi="宋体" w:cs="宋体"/>
                <w:bCs/>
                <w:sz w:val="24"/>
              </w:rPr>
              <w:t>0.45%</w:t>
            </w:r>
          </w:p>
        </w:tc>
        <w:tc>
          <w:tcPr>
            <w:tcW w:w="2085" w:type="dxa"/>
          </w:tcPr>
          <w:p>
            <w:pPr>
              <w:ind w:firstLine="240" w:firstLineChars="100"/>
              <w:jc w:val="center"/>
              <w:rPr>
                <w:rFonts w:ascii="宋体" w:hAnsi="宋体" w:cs="宋体"/>
                <w:bCs/>
                <w:sz w:val="24"/>
              </w:rPr>
            </w:pPr>
            <w:r>
              <w:rPr>
                <w:rFonts w:hint="eastAsia" w:ascii="宋体" w:hAnsi="宋体" w:cs="宋体"/>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1000-5000</w:t>
            </w:r>
          </w:p>
        </w:tc>
        <w:tc>
          <w:tcPr>
            <w:tcW w:w="2100" w:type="dxa"/>
          </w:tcPr>
          <w:p>
            <w:pPr>
              <w:ind w:firstLine="240" w:firstLineChars="100"/>
              <w:jc w:val="center"/>
              <w:rPr>
                <w:rFonts w:ascii="宋体" w:hAnsi="宋体" w:cs="宋体"/>
                <w:bCs/>
                <w:sz w:val="24"/>
              </w:rPr>
            </w:pPr>
            <w:r>
              <w:rPr>
                <w:rFonts w:hint="eastAsia" w:ascii="宋体" w:hAnsi="宋体" w:cs="宋体"/>
                <w:bCs/>
                <w:sz w:val="24"/>
              </w:rPr>
              <w:t>0.5%</w:t>
            </w:r>
          </w:p>
        </w:tc>
        <w:tc>
          <w:tcPr>
            <w:tcW w:w="1925" w:type="dxa"/>
          </w:tcPr>
          <w:p>
            <w:pPr>
              <w:ind w:firstLine="240" w:firstLineChars="100"/>
              <w:jc w:val="center"/>
              <w:rPr>
                <w:rFonts w:ascii="宋体" w:hAnsi="宋体" w:cs="宋体"/>
                <w:bCs/>
                <w:sz w:val="24"/>
              </w:rPr>
            </w:pPr>
            <w:r>
              <w:rPr>
                <w:rFonts w:hint="eastAsia" w:ascii="宋体" w:hAnsi="宋体" w:cs="宋体"/>
                <w:bCs/>
                <w:sz w:val="24"/>
              </w:rPr>
              <w:t>0.25%</w:t>
            </w:r>
          </w:p>
        </w:tc>
        <w:tc>
          <w:tcPr>
            <w:tcW w:w="2085" w:type="dxa"/>
          </w:tcPr>
          <w:p>
            <w:pPr>
              <w:ind w:firstLine="240" w:firstLineChars="100"/>
              <w:jc w:val="center"/>
              <w:rPr>
                <w:rFonts w:ascii="宋体" w:hAnsi="宋体" w:cs="宋体"/>
                <w:bCs/>
                <w:sz w:val="24"/>
              </w:rPr>
            </w:pPr>
            <w:r>
              <w:rPr>
                <w:rFonts w:hint="eastAsia" w:ascii="宋体" w:hAnsi="宋体" w:cs="宋体"/>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5000-10000</w:t>
            </w:r>
          </w:p>
        </w:tc>
        <w:tc>
          <w:tcPr>
            <w:tcW w:w="2100" w:type="dxa"/>
          </w:tcPr>
          <w:p>
            <w:pPr>
              <w:ind w:firstLine="240" w:firstLineChars="100"/>
              <w:jc w:val="center"/>
              <w:rPr>
                <w:rFonts w:ascii="宋体" w:hAnsi="宋体" w:cs="宋体"/>
                <w:bCs/>
                <w:sz w:val="24"/>
              </w:rPr>
            </w:pPr>
            <w:r>
              <w:rPr>
                <w:rFonts w:hint="eastAsia" w:ascii="宋体" w:hAnsi="宋体" w:cs="宋体"/>
                <w:bCs/>
                <w:sz w:val="24"/>
              </w:rPr>
              <w:t>0.25%</w:t>
            </w:r>
          </w:p>
        </w:tc>
        <w:tc>
          <w:tcPr>
            <w:tcW w:w="1925" w:type="dxa"/>
          </w:tcPr>
          <w:p>
            <w:pPr>
              <w:ind w:firstLine="240" w:firstLineChars="100"/>
              <w:jc w:val="center"/>
              <w:rPr>
                <w:rFonts w:ascii="宋体" w:hAnsi="宋体" w:cs="宋体"/>
                <w:bCs/>
                <w:sz w:val="24"/>
              </w:rPr>
            </w:pPr>
            <w:r>
              <w:rPr>
                <w:rFonts w:hint="eastAsia" w:ascii="宋体" w:hAnsi="宋体" w:cs="宋体"/>
                <w:bCs/>
                <w:sz w:val="24"/>
              </w:rPr>
              <w:t>0.1%</w:t>
            </w:r>
          </w:p>
        </w:tc>
        <w:tc>
          <w:tcPr>
            <w:tcW w:w="2085" w:type="dxa"/>
          </w:tcPr>
          <w:p>
            <w:pPr>
              <w:ind w:firstLine="240" w:firstLineChars="100"/>
              <w:jc w:val="center"/>
              <w:rPr>
                <w:rFonts w:ascii="宋体" w:hAnsi="宋体" w:cs="宋体"/>
                <w:bCs/>
                <w:sz w:val="24"/>
              </w:rPr>
            </w:pPr>
            <w:r>
              <w:rPr>
                <w:rFonts w:hint="eastAsia" w:ascii="宋体" w:hAnsi="宋体" w:cs="宋体"/>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ind w:firstLine="480"/>
              <w:jc w:val="center"/>
              <w:rPr>
                <w:rFonts w:ascii="宋体" w:hAnsi="宋体" w:cs="宋体"/>
                <w:bCs/>
                <w:sz w:val="24"/>
              </w:rPr>
            </w:pPr>
            <w:r>
              <w:rPr>
                <w:rFonts w:hint="eastAsia" w:ascii="宋体" w:hAnsi="宋体" w:cs="宋体"/>
                <w:bCs/>
                <w:sz w:val="24"/>
              </w:rPr>
              <w:t>10000-100000</w:t>
            </w:r>
          </w:p>
        </w:tc>
        <w:tc>
          <w:tcPr>
            <w:tcW w:w="2100" w:type="dxa"/>
          </w:tcPr>
          <w:p>
            <w:pPr>
              <w:ind w:firstLine="240" w:firstLineChars="100"/>
              <w:jc w:val="center"/>
              <w:rPr>
                <w:rFonts w:ascii="宋体" w:hAnsi="宋体" w:cs="宋体"/>
                <w:bCs/>
                <w:sz w:val="24"/>
              </w:rPr>
            </w:pPr>
            <w:r>
              <w:rPr>
                <w:rFonts w:hint="eastAsia" w:ascii="宋体" w:hAnsi="宋体" w:cs="宋体"/>
                <w:bCs/>
                <w:sz w:val="24"/>
              </w:rPr>
              <w:t>0.05%</w:t>
            </w:r>
          </w:p>
        </w:tc>
        <w:tc>
          <w:tcPr>
            <w:tcW w:w="1925" w:type="dxa"/>
          </w:tcPr>
          <w:p>
            <w:pPr>
              <w:ind w:firstLine="240" w:firstLineChars="100"/>
              <w:jc w:val="center"/>
              <w:rPr>
                <w:rFonts w:ascii="宋体" w:hAnsi="宋体" w:cs="宋体"/>
                <w:bCs/>
                <w:sz w:val="24"/>
              </w:rPr>
            </w:pPr>
            <w:r>
              <w:rPr>
                <w:rFonts w:hint="eastAsia" w:ascii="宋体" w:hAnsi="宋体" w:cs="宋体"/>
                <w:bCs/>
                <w:sz w:val="24"/>
              </w:rPr>
              <w:t>0.05%</w:t>
            </w:r>
          </w:p>
        </w:tc>
        <w:tc>
          <w:tcPr>
            <w:tcW w:w="2085" w:type="dxa"/>
          </w:tcPr>
          <w:p>
            <w:pPr>
              <w:ind w:firstLine="240" w:firstLineChars="100"/>
              <w:jc w:val="center"/>
              <w:rPr>
                <w:rFonts w:ascii="宋体" w:hAnsi="宋体" w:cs="宋体"/>
                <w:bCs/>
                <w:sz w:val="24"/>
              </w:rPr>
            </w:pPr>
            <w:r>
              <w:rPr>
                <w:rFonts w:hint="eastAsia" w:ascii="宋体" w:hAnsi="宋体" w:cs="宋体"/>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Borders>
              <w:bottom w:val="double" w:color="auto" w:sz="4" w:space="0"/>
            </w:tcBorders>
          </w:tcPr>
          <w:p>
            <w:pPr>
              <w:ind w:firstLine="480"/>
              <w:jc w:val="center"/>
              <w:rPr>
                <w:rFonts w:ascii="宋体" w:hAnsi="宋体" w:cs="宋体"/>
                <w:bCs/>
                <w:sz w:val="24"/>
              </w:rPr>
            </w:pPr>
            <w:r>
              <w:rPr>
                <w:rFonts w:hint="eastAsia" w:ascii="宋体" w:hAnsi="宋体" w:cs="宋体"/>
                <w:bCs/>
                <w:sz w:val="24"/>
              </w:rPr>
              <w:t>100000以上</w:t>
            </w:r>
          </w:p>
        </w:tc>
        <w:tc>
          <w:tcPr>
            <w:tcW w:w="2100" w:type="dxa"/>
            <w:tcBorders>
              <w:bottom w:val="double" w:color="auto" w:sz="4" w:space="0"/>
            </w:tcBorders>
          </w:tcPr>
          <w:p>
            <w:pPr>
              <w:ind w:firstLine="240" w:firstLineChars="100"/>
              <w:jc w:val="center"/>
              <w:rPr>
                <w:rFonts w:ascii="宋体" w:hAnsi="宋体" w:cs="宋体"/>
                <w:bCs/>
                <w:sz w:val="24"/>
              </w:rPr>
            </w:pPr>
            <w:r>
              <w:rPr>
                <w:rFonts w:hint="eastAsia" w:ascii="宋体" w:hAnsi="宋体" w:cs="宋体"/>
                <w:bCs/>
                <w:sz w:val="24"/>
              </w:rPr>
              <w:t>0.01%</w:t>
            </w:r>
          </w:p>
        </w:tc>
        <w:tc>
          <w:tcPr>
            <w:tcW w:w="1925" w:type="dxa"/>
            <w:tcBorders>
              <w:bottom w:val="double" w:color="auto" w:sz="4" w:space="0"/>
            </w:tcBorders>
          </w:tcPr>
          <w:p>
            <w:pPr>
              <w:ind w:firstLine="240" w:firstLineChars="100"/>
              <w:jc w:val="center"/>
              <w:rPr>
                <w:rFonts w:ascii="宋体" w:hAnsi="宋体" w:cs="宋体"/>
                <w:bCs/>
                <w:sz w:val="24"/>
              </w:rPr>
            </w:pPr>
            <w:r>
              <w:rPr>
                <w:rFonts w:hint="eastAsia" w:ascii="宋体" w:hAnsi="宋体" w:cs="宋体"/>
                <w:bCs/>
                <w:sz w:val="24"/>
              </w:rPr>
              <w:t>0.01%</w:t>
            </w:r>
          </w:p>
        </w:tc>
        <w:tc>
          <w:tcPr>
            <w:tcW w:w="2085" w:type="dxa"/>
            <w:tcBorders>
              <w:bottom w:val="double" w:color="auto" w:sz="4" w:space="0"/>
            </w:tcBorders>
          </w:tcPr>
          <w:p>
            <w:pPr>
              <w:ind w:firstLine="240" w:firstLineChars="100"/>
              <w:jc w:val="center"/>
              <w:rPr>
                <w:rFonts w:ascii="宋体" w:hAnsi="宋体" w:cs="宋体"/>
                <w:bCs/>
                <w:sz w:val="24"/>
              </w:rPr>
            </w:pPr>
            <w:r>
              <w:rPr>
                <w:rFonts w:hint="eastAsia" w:ascii="宋体" w:hAnsi="宋体" w:cs="宋体"/>
                <w:bCs/>
                <w:sz w:val="24"/>
              </w:rPr>
              <w:t>0.01%</w:t>
            </w:r>
          </w:p>
        </w:tc>
      </w:tr>
    </w:tbl>
    <w:p>
      <w:pPr>
        <w:spacing w:beforeLines="100" w:afterLines="50"/>
        <w:ind w:firstLine="480"/>
        <w:rPr>
          <w:rFonts w:ascii="宋体" w:hAnsi="宋体" w:cs="宋体"/>
          <w:sz w:val="24"/>
        </w:rPr>
      </w:pPr>
      <w:r>
        <w:rPr>
          <w:rFonts w:hint="eastAsia" w:ascii="宋体" w:hAnsi="宋体" w:cs="宋体"/>
          <w:sz w:val="24"/>
        </w:rPr>
        <w:t>注：采购代理服务收费</w:t>
      </w:r>
      <w:r>
        <w:rPr>
          <w:rFonts w:hint="eastAsia" w:ascii="宋体" w:hAnsi="宋体" w:cs="宋体"/>
          <w:b/>
          <w:bCs/>
          <w:sz w:val="24"/>
        </w:rPr>
        <w:t>按差额定率累进法</w:t>
      </w:r>
      <w:r>
        <w:rPr>
          <w:rFonts w:hint="eastAsia" w:ascii="宋体" w:hAnsi="宋体" w:cs="宋体"/>
          <w:sz w:val="24"/>
        </w:rPr>
        <w:t>计算。</w:t>
      </w:r>
    </w:p>
    <w:p>
      <w:pPr>
        <w:spacing w:beforeLines="100" w:afterLines="50"/>
        <w:ind w:firstLine="480"/>
        <w:rPr>
          <w:rFonts w:ascii="宋体" w:hAnsi="宋体" w:cs="宋体"/>
          <w:sz w:val="24"/>
        </w:rPr>
      </w:pPr>
      <w:r>
        <w:rPr>
          <w:rFonts w:hint="eastAsia" w:ascii="宋体" w:hAnsi="宋体" w:cs="宋体"/>
          <w:sz w:val="24"/>
        </w:rPr>
        <w:t>例：货物招标成交金额630万的代理服务费计算（单位：万元）</w:t>
      </w:r>
    </w:p>
    <w:p>
      <w:pPr>
        <w:spacing w:beforeLines="100" w:afterLines="50"/>
        <w:ind w:firstLine="480"/>
        <w:rPr>
          <w:rFonts w:ascii="宋体" w:hAnsi="宋体" w:cs="宋体"/>
          <w:sz w:val="24"/>
        </w:rPr>
      </w:pPr>
      <w:r>
        <w:rPr>
          <w:rFonts w:hint="eastAsia" w:ascii="宋体" w:hAnsi="宋体" w:cs="宋体"/>
          <w:sz w:val="24"/>
        </w:rPr>
        <w:t>100×1.5% + （500-100）×1.1% +（630-500）×0.8%=6.94万</w:t>
      </w:r>
    </w:p>
    <w:p>
      <w:pPr>
        <w:spacing w:beforeLines="100" w:afterLines="50"/>
        <w:ind w:firstLine="480"/>
        <w:rPr>
          <w:rFonts w:ascii="宋体" w:hAnsi="宋体" w:cs="宋体"/>
          <w:sz w:val="24"/>
        </w:rPr>
      </w:pPr>
      <w:r>
        <w:rPr>
          <w:rFonts w:hint="eastAsia" w:ascii="宋体" w:hAnsi="宋体" w:cs="宋体"/>
          <w:sz w:val="24"/>
        </w:rPr>
        <w:t>代理服务费也可实行市场调节价，由代理机构、采购人和成交人另行商定。</w:t>
      </w:r>
    </w:p>
    <w:p>
      <w:pPr>
        <w:rPr>
          <w:rStyle w:val="38"/>
          <w:rFonts w:ascii="宋体" w:hAnsi="宋体" w:eastAsia="宋体" w:cs="宋体"/>
          <w:sz w:val="24"/>
        </w:rPr>
      </w:pPr>
      <w:r>
        <w:rPr>
          <w:rStyle w:val="38"/>
          <w:rFonts w:hint="eastAsia" w:ascii="宋体" w:hAnsi="宋体" w:eastAsia="宋体" w:cs="宋体"/>
          <w:sz w:val="24"/>
        </w:rPr>
        <w:t>二、支付方式</w:t>
      </w:r>
    </w:p>
    <w:p>
      <w:pPr>
        <w:ind w:firstLine="480"/>
        <w:rPr>
          <w:rFonts w:ascii="宋体" w:hAnsi="宋体" w:cs="宋体"/>
          <w:sz w:val="24"/>
        </w:rPr>
      </w:pPr>
      <w:r>
        <w:rPr>
          <w:rFonts w:hint="eastAsia" w:ascii="宋体" w:hAnsi="宋体" w:cs="宋体"/>
          <w:sz w:val="24"/>
        </w:rPr>
        <w:t>成交供应商在收到成交通知书后向代理机构支付代理服务费。成交服务费可采取现金、银行汇款、电汇款等代理机构认可的方式进行支付。</w:t>
      </w:r>
    </w:p>
    <w:p>
      <w:pPr>
        <w:rPr>
          <w:rStyle w:val="38"/>
          <w:rFonts w:ascii="宋体" w:hAnsi="宋体" w:eastAsia="宋体" w:cs="宋体"/>
          <w:sz w:val="24"/>
        </w:rPr>
      </w:pPr>
      <w:r>
        <w:rPr>
          <w:rStyle w:val="38"/>
          <w:rFonts w:hint="eastAsia" w:ascii="宋体" w:hAnsi="宋体" w:eastAsia="宋体" w:cs="宋体"/>
          <w:sz w:val="24"/>
        </w:rPr>
        <w:t>三、账户信息</w:t>
      </w:r>
    </w:p>
    <w:p>
      <w:pPr>
        <w:spacing w:beforeLines="50" w:afterLines="50" w:line="300" w:lineRule="auto"/>
        <w:ind w:firstLine="480"/>
        <w:rPr>
          <w:rFonts w:ascii="宋体" w:hAnsi="宋体" w:cs="宋体"/>
          <w:sz w:val="24"/>
        </w:rPr>
      </w:pPr>
      <w:bookmarkStart w:id="144" w:name="_Toc407182682"/>
      <w:r>
        <w:rPr>
          <w:rFonts w:hint="eastAsia" w:ascii="宋体" w:hAnsi="宋体" w:cs="宋体"/>
          <w:sz w:val="24"/>
        </w:rPr>
        <w:t>单位名称：新疆正禾招投标有限公司</w:t>
      </w:r>
    </w:p>
    <w:p>
      <w:pPr>
        <w:spacing w:beforeLines="50" w:afterLines="50" w:line="300" w:lineRule="auto"/>
        <w:ind w:firstLine="480"/>
        <w:rPr>
          <w:rFonts w:ascii="宋体" w:hAnsi="宋体" w:cs="宋体"/>
          <w:sz w:val="24"/>
        </w:rPr>
      </w:pPr>
      <w:r>
        <w:rPr>
          <w:rFonts w:hint="eastAsia" w:ascii="宋体" w:hAnsi="宋体" w:cs="宋体"/>
          <w:sz w:val="24"/>
        </w:rPr>
        <w:t>税   号：91650104MA78N5LC8P</w:t>
      </w:r>
    </w:p>
    <w:p>
      <w:pPr>
        <w:spacing w:beforeLines="50" w:afterLines="50" w:line="300" w:lineRule="auto"/>
        <w:ind w:firstLine="480"/>
        <w:rPr>
          <w:rFonts w:ascii="宋体" w:hAnsi="宋体" w:cs="宋体"/>
          <w:sz w:val="24"/>
        </w:rPr>
      </w:pPr>
      <w:r>
        <w:rPr>
          <w:rFonts w:hint="eastAsia" w:ascii="宋体" w:hAnsi="宋体" w:cs="宋体"/>
          <w:sz w:val="24"/>
        </w:rPr>
        <w:t>地址、电话：新疆乌鲁木齐高新区鲤鱼山北路199号驰达-高新区电子信息产业加速器1栋511室  0991-6660570</w:t>
      </w:r>
    </w:p>
    <w:p>
      <w:pPr>
        <w:spacing w:beforeLines="50" w:afterLines="50" w:line="300" w:lineRule="auto"/>
        <w:ind w:firstLine="480"/>
        <w:rPr>
          <w:rFonts w:ascii="宋体" w:hAnsi="宋体" w:cs="宋体"/>
          <w:sz w:val="24"/>
        </w:rPr>
      </w:pPr>
      <w:r>
        <w:rPr>
          <w:rFonts w:hint="eastAsia" w:ascii="宋体" w:hAnsi="宋体" w:cs="宋体"/>
          <w:sz w:val="24"/>
        </w:rPr>
        <w:t>开户行：中国银行股份有限公司乌鲁木齐市鲤鱼山北路支行  </w:t>
      </w:r>
    </w:p>
    <w:p>
      <w:pPr>
        <w:spacing w:beforeLines="50" w:afterLines="50" w:line="300" w:lineRule="auto"/>
        <w:ind w:firstLine="480"/>
        <w:rPr>
          <w:rFonts w:ascii="宋体" w:hAnsi="宋体" w:cs="宋体"/>
          <w:sz w:val="24"/>
        </w:rPr>
      </w:pPr>
      <w:r>
        <w:rPr>
          <w:rFonts w:hint="eastAsia" w:ascii="宋体" w:hAnsi="宋体" w:cs="宋体"/>
          <w:sz w:val="24"/>
        </w:rPr>
        <w:t>帐  号：107682142279</w:t>
      </w:r>
    </w:p>
    <w:p>
      <w:pPr>
        <w:spacing w:beforeLines="50" w:afterLines="50" w:line="300" w:lineRule="auto"/>
        <w:ind w:firstLine="480"/>
        <w:rPr>
          <w:rFonts w:ascii="宋体" w:hAnsi="宋体" w:cs="宋体"/>
          <w:sz w:val="24"/>
        </w:rPr>
      </w:pPr>
      <w:r>
        <w:rPr>
          <w:rFonts w:hint="eastAsia" w:ascii="宋体" w:hAnsi="宋体" w:cs="宋体"/>
          <w:sz w:val="24"/>
        </w:rPr>
        <w:t>行  号：104881004153</w:t>
      </w:r>
    </w:p>
    <w:p>
      <w:pPr>
        <w:spacing w:beforeLines="50" w:afterLines="50" w:line="240" w:lineRule="auto"/>
        <w:ind w:firstLine="422" w:firstLineChars="175"/>
        <w:rPr>
          <w:rFonts w:ascii="宋体" w:hAnsi="宋体" w:cs="宋体"/>
          <w:b/>
          <w:bCs/>
          <w:sz w:val="24"/>
        </w:rPr>
      </w:pPr>
      <w:r>
        <w:rPr>
          <w:rFonts w:hint="eastAsia" w:ascii="宋体" w:hAnsi="宋体" w:cs="宋体"/>
          <w:b/>
          <w:bCs/>
          <w:sz w:val="24"/>
        </w:rPr>
        <w:t>备  注：缴纳服务费时务必把项目编号备注号，填写完整，否则拒收。就本次项目而言，缴纳服务费时需备注：2022-ZFCG-0012服务费。</w:t>
      </w:r>
    </w:p>
    <w:p>
      <w:pPr>
        <w:pStyle w:val="5"/>
        <w:tabs>
          <w:tab w:val="left" w:pos="3402"/>
        </w:tabs>
        <w:spacing w:before="240" w:after="240"/>
        <w:rPr>
          <w:rFonts w:ascii="宋体" w:hAnsi="宋体" w:eastAsia="宋体" w:cs="宋体"/>
          <w:szCs w:val="24"/>
        </w:rPr>
      </w:pPr>
      <w:bookmarkStart w:id="145" w:name="_Toc1218"/>
      <w:bookmarkStart w:id="146" w:name="_Toc21931"/>
      <w:bookmarkStart w:id="147" w:name="_Toc17789"/>
      <w:r>
        <w:rPr>
          <w:rFonts w:hint="eastAsia" w:ascii="宋体" w:hAnsi="宋体" w:eastAsia="宋体" w:cs="宋体"/>
          <w:szCs w:val="24"/>
        </w:rPr>
        <w:t>第八节 签订政府采购合同</w:t>
      </w:r>
      <w:bookmarkEnd w:id="144"/>
      <w:bookmarkEnd w:id="145"/>
      <w:bookmarkEnd w:id="146"/>
      <w:bookmarkEnd w:id="147"/>
    </w:p>
    <w:p>
      <w:pPr>
        <w:spacing w:beforeLines="50" w:afterLines="50" w:line="240" w:lineRule="auto"/>
        <w:ind w:firstLine="480"/>
        <w:rPr>
          <w:rFonts w:ascii="宋体" w:hAnsi="宋体" w:cs="宋体"/>
          <w:sz w:val="24"/>
        </w:rPr>
      </w:pPr>
      <w:bookmarkStart w:id="148" w:name="_Toc407182683"/>
      <w:r>
        <w:rPr>
          <w:rFonts w:hint="eastAsia" w:ascii="宋体" w:hAnsi="宋体" w:cs="宋体"/>
          <w:sz w:val="24"/>
        </w:rPr>
        <w:t>一、签订时间</w:t>
      </w:r>
    </w:p>
    <w:p>
      <w:pPr>
        <w:spacing w:beforeLines="50" w:afterLines="50" w:line="300" w:lineRule="auto"/>
        <w:ind w:firstLine="480"/>
        <w:rPr>
          <w:rFonts w:ascii="宋体" w:hAnsi="宋体" w:cs="宋体"/>
          <w:sz w:val="24"/>
        </w:rPr>
      </w:pPr>
      <w:r>
        <w:rPr>
          <w:rFonts w:hint="eastAsia" w:ascii="宋体" w:hAnsi="宋体" w:cs="宋体"/>
          <w:sz w:val="24"/>
        </w:rPr>
        <w:t>《成交通知书》发出之日起三十日内。成交或者成交供应商拒绝与采购人签订合同的，采购人可以按照评审报告推荐的成交或者成交候选人名单排序，确定下一候选人为成交或者成交供应商，也可以重新开展政府采购活动。</w:t>
      </w:r>
    </w:p>
    <w:p>
      <w:pPr>
        <w:spacing w:beforeLines="50" w:afterLines="50" w:line="240" w:lineRule="auto"/>
        <w:ind w:firstLine="480"/>
        <w:rPr>
          <w:rFonts w:ascii="宋体" w:hAnsi="宋体" w:cs="宋体"/>
          <w:sz w:val="24"/>
        </w:rPr>
      </w:pPr>
      <w:r>
        <w:rPr>
          <w:rFonts w:hint="eastAsia" w:ascii="宋体" w:hAnsi="宋体" w:cs="宋体"/>
          <w:sz w:val="24"/>
        </w:rPr>
        <w:t>二、合同内容</w:t>
      </w:r>
    </w:p>
    <w:p>
      <w:pPr>
        <w:spacing w:beforeLines="100" w:afterLines="50"/>
        <w:ind w:firstLine="491" w:firstLineChars="205"/>
        <w:rPr>
          <w:rFonts w:ascii="宋体" w:hAnsi="宋体" w:cs="宋体"/>
          <w:sz w:val="24"/>
        </w:rPr>
      </w:pPr>
      <w:r>
        <w:rPr>
          <w:rFonts w:hint="eastAsia" w:ascii="宋体" w:hAnsi="宋体" w:cs="宋体"/>
          <w:sz w:val="24"/>
        </w:rPr>
        <w:t>本项目拟签订的政府采购合同见第五章有关内容。成交供应商与采购人须按照本项目的采购文件和响应文件所载内容，及评标过程中有关澄清文件内容签订政府采购合同。</w:t>
      </w:r>
    </w:p>
    <w:p>
      <w:pPr>
        <w:pStyle w:val="5"/>
        <w:tabs>
          <w:tab w:val="left" w:pos="3402"/>
        </w:tabs>
        <w:spacing w:before="240" w:after="240"/>
        <w:rPr>
          <w:rFonts w:ascii="宋体" w:hAnsi="宋体" w:eastAsia="宋体" w:cs="宋体"/>
          <w:szCs w:val="24"/>
        </w:rPr>
      </w:pPr>
      <w:bookmarkStart w:id="149" w:name="_Toc932"/>
      <w:bookmarkStart w:id="150" w:name="_Toc24830"/>
      <w:bookmarkStart w:id="151" w:name="_Toc3192"/>
      <w:r>
        <w:rPr>
          <w:rFonts w:hint="eastAsia" w:ascii="宋体" w:hAnsi="宋体" w:eastAsia="宋体" w:cs="宋体"/>
          <w:szCs w:val="24"/>
        </w:rPr>
        <w:t>第九节 退还投标保证金</w:t>
      </w:r>
      <w:bookmarkEnd w:id="148"/>
      <w:bookmarkEnd w:id="149"/>
      <w:bookmarkEnd w:id="150"/>
      <w:bookmarkEnd w:id="151"/>
    </w:p>
    <w:p>
      <w:pPr>
        <w:spacing w:beforeLines="50" w:afterLines="50" w:line="300" w:lineRule="auto"/>
        <w:ind w:firstLine="480"/>
        <w:rPr>
          <w:rFonts w:ascii="宋体" w:hAnsi="宋体" w:cs="宋体"/>
          <w:sz w:val="24"/>
        </w:rPr>
      </w:pPr>
      <w:r>
        <w:rPr>
          <w:rFonts w:hint="eastAsia" w:ascii="宋体" w:hAnsi="宋体" w:cs="宋体"/>
          <w:sz w:val="24"/>
        </w:rPr>
        <w:t>一、退还时间</w:t>
      </w:r>
    </w:p>
    <w:p>
      <w:pPr>
        <w:spacing w:beforeLines="50" w:afterLines="50" w:line="300" w:lineRule="auto"/>
        <w:ind w:firstLine="480"/>
        <w:rPr>
          <w:rFonts w:ascii="宋体" w:hAnsi="宋体" w:cs="宋体"/>
          <w:sz w:val="24"/>
        </w:rPr>
      </w:pPr>
      <w:r>
        <w:rPr>
          <w:rFonts w:hint="eastAsia" w:ascii="宋体" w:hAnsi="宋体" w:cs="宋体"/>
          <w:sz w:val="24"/>
        </w:rPr>
        <w:t>成交供应商与采购人签订采购合同后申请退还，未成交供应商在成交公示期满后申请退还，新疆正禾招投标有限公司在受理日起五个工作日内退还。</w:t>
      </w:r>
    </w:p>
    <w:p>
      <w:pPr>
        <w:spacing w:beforeLines="50" w:afterLines="50" w:line="300" w:lineRule="auto"/>
        <w:ind w:firstLine="480"/>
        <w:rPr>
          <w:rFonts w:ascii="宋体" w:hAnsi="宋体" w:cs="宋体"/>
          <w:sz w:val="24"/>
        </w:rPr>
      </w:pPr>
      <w:r>
        <w:rPr>
          <w:rFonts w:hint="eastAsia" w:ascii="宋体" w:hAnsi="宋体" w:cs="宋体"/>
          <w:sz w:val="24"/>
        </w:rPr>
        <w:t>二、退还方式</w:t>
      </w:r>
    </w:p>
    <w:p>
      <w:pPr>
        <w:spacing w:beforeLines="50" w:afterLines="50" w:line="300" w:lineRule="auto"/>
        <w:ind w:firstLine="480"/>
        <w:rPr>
          <w:rFonts w:ascii="宋体" w:hAnsi="宋体" w:cs="宋体"/>
          <w:sz w:val="24"/>
        </w:rPr>
      </w:pPr>
      <w:r>
        <w:rPr>
          <w:rFonts w:hint="eastAsia" w:ascii="宋体" w:hAnsi="宋体" w:cs="宋体"/>
          <w:sz w:val="24"/>
        </w:rPr>
        <w:t xml:space="preserve">    投标保证金退还为公对公账户电汇业务，我单位不退还现金。。</w:t>
      </w:r>
    </w:p>
    <w:p>
      <w:pPr>
        <w:spacing w:beforeLines="50" w:afterLines="50" w:line="300" w:lineRule="auto"/>
        <w:ind w:firstLine="480"/>
        <w:rPr>
          <w:rFonts w:ascii="宋体" w:hAnsi="宋体" w:cs="宋体"/>
          <w:sz w:val="24"/>
        </w:rPr>
      </w:pPr>
      <w:r>
        <w:rPr>
          <w:rFonts w:hint="eastAsia" w:ascii="宋体" w:hAnsi="宋体" w:cs="宋体"/>
          <w:sz w:val="24"/>
        </w:rPr>
        <w:t>三、提交资料</w:t>
      </w:r>
    </w:p>
    <w:p>
      <w:pPr>
        <w:spacing w:beforeLines="50" w:afterLines="50" w:line="300" w:lineRule="auto"/>
        <w:ind w:firstLine="480"/>
        <w:rPr>
          <w:rFonts w:ascii="宋体" w:hAnsi="宋体" w:cs="宋体"/>
          <w:sz w:val="24"/>
        </w:rPr>
      </w:pPr>
      <w:r>
        <w:rPr>
          <w:rFonts w:hint="eastAsia" w:ascii="宋体" w:hAnsi="宋体" w:cs="宋体"/>
          <w:sz w:val="24"/>
        </w:rPr>
        <w:t>成交供应商退保时，须将已签订的政府采购合同逐页扫描转换成一个PDF文件上传，PDF文件需清晰、完整，文件名写清楚为：XXX项目合同资料。</w:t>
      </w:r>
    </w:p>
    <w:p>
      <w:pPr>
        <w:spacing w:beforeLines="50" w:afterLines="50" w:line="300" w:lineRule="auto"/>
        <w:ind w:firstLine="480"/>
        <w:rPr>
          <w:rFonts w:ascii="宋体" w:hAnsi="宋体" w:cs="宋体"/>
          <w:sz w:val="24"/>
        </w:rPr>
      </w:pPr>
      <w:r>
        <w:rPr>
          <w:rFonts w:hint="eastAsia" w:ascii="宋体" w:hAnsi="宋体" w:cs="宋体"/>
          <w:sz w:val="24"/>
        </w:rPr>
        <w:t>办理保证金时间：工作日时间</w:t>
      </w:r>
    </w:p>
    <w:p>
      <w:pPr>
        <w:spacing w:beforeLines="50" w:afterLines="50" w:line="300" w:lineRule="auto"/>
        <w:ind w:firstLine="480"/>
        <w:rPr>
          <w:rFonts w:ascii="宋体" w:hAnsi="宋体" w:cs="宋体"/>
          <w:sz w:val="24"/>
        </w:rPr>
      </w:pPr>
      <w:r>
        <w:rPr>
          <w:rFonts w:hint="eastAsia" w:ascii="宋体" w:hAnsi="宋体" w:cs="宋体"/>
          <w:sz w:val="24"/>
        </w:rPr>
        <w:t>退还保证金收据一份，收据请按以下模板填写：</w:t>
      </w:r>
    </w:p>
    <w:p>
      <w:pPr>
        <w:spacing w:line="460" w:lineRule="atLeast"/>
        <w:ind w:firstLine="480"/>
        <w:rPr>
          <w:rFonts w:ascii="宋体" w:hAnsi="宋体" w:cs="宋体"/>
          <w:color w:val="000000"/>
          <w:sz w:val="24"/>
        </w:rPr>
      </w:pPr>
      <w:r>
        <w:rPr>
          <w:rFonts w:hint="eastAsia" w:ascii="宋体" w:hAnsi="宋体" w:cs="宋体"/>
          <w:color w:val="000000"/>
          <w:sz w:val="24"/>
        </w:rPr>
        <w:drawing>
          <wp:inline distT="0" distB="0" distL="114300" distR="114300">
            <wp:extent cx="5270500" cy="2724150"/>
            <wp:effectExtent l="0" t="0" r="6350" b="0"/>
            <wp:docPr id="18" name="图片 1" descr="e8035fc68c35a77c3300609d0bb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e8035fc68c35a77c3300609d0bb2547"/>
                    <pic:cNvPicPr>
                      <a:picLocks noChangeAspect="1"/>
                    </pic:cNvPicPr>
                  </pic:nvPicPr>
                  <pic:blipFill>
                    <a:blip r:embed="rId24" cstate="print"/>
                    <a:stretch>
                      <a:fillRect/>
                    </a:stretch>
                  </pic:blipFill>
                  <pic:spPr>
                    <a:xfrm>
                      <a:off x="0" y="0"/>
                      <a:ext cx="5270500" cy="2724150"/>
                    </a:xfrm>
                    <a:prstGeom prst="rect">
                      <a:avLst/>
                    </a:prstGeom>
                    <a:noFill/>
                    <a:ln>
                      <a:noFill/>
                    </a:ln>
                  </pic:spPr>
                </pic:pic>
              </a:graphicData>
            </a:graphic>
          </wp:inline>
        </w:drawing>
      </w:r>
    </w:p>
    <w:p>
      <w:pPr>
        <w:spacing w:beforeLines="50" w:afterLines="50" w:line="300" w:lineRule="auto"/>
        <w:ind w:firstLine="480"/>
        <w:rPr>
          <w:rFonts w:ascii="宋体" w:hAnsi="宋体" w:cs="宋体"/>
          <w:sz w:val="24"/>
        </w:rPr>
      </w:pPr>
      <w:r>
        <w:rPr>
          <w:rFonts w:hint="eastAsia" w:ascii="宋体" w:hAnsi="宋体" w:cs="宋体"/>
          <w:sz w:val="24"/>
        </w:rPr>
        <w:t>如有疑问可致电咨询新疆正禾招投标有限公司财务部0991-6660570。</w:t>
      </w:r>
    </w:p>
    <w:p>
      <w:pPr>
        <w:spacing w:beforeLines="50" w:afterLines="50" w:line="300" w:lineRule="auto"/>
        <w:ind w:firstLine="480"/>
        <w:rPr>
          <w:rFonts w:ascii="宋体" w:hAnsi="宋体" w:cs="宋体"/>
          <w:sz w:val="24"/>
        </w:rPr>
      </w:pPr>
      <w:r>
        <w:rPr>
          <w:rFonts w:hint="eastAsia" w:ascii="宋体" w:hAnsi="宋体" w:cs="宋体"/>
          <w:sz w:val="24"/>
        </w:rPr>
        <w:t>请在A4纸上提供以下信息并加盖单位公章:项目名称、项目编号/包号、投标保证金金额、单位名称、账号、行号、开户行地址、联系人、联系电话。</w:t>
      </w:r>
    </w:p>
    <w:p>
      <w:pPr>
        <w:spacing w:beforeLines="50" w:afterLines="50" w:line="300" w:lineRule="auto"/>
        <w:ind w:firstLine="480"/>
        <w:rPr>
          <w:rFonts w:ascii="宋体" w:hAnsi="宋体" w:cs="宋体"/>
          <w:sz w:val="24"/>
        </w:rPr>
      </w:pPr>
      <w:r>
        <w:rPr>
          <w:rFonts w:hint="eastAsia" w:ascii="宋体" w:hAnsi="宋体" w:cs="宋体"/>
          <w:sz w:val="24"/>
        </w:rPr>
        <w:t>四、发生下列情况之一的，投标保证金将不予退还：</w:t>
      </w:r>
    </w:p>
    <w:p>
      <w:pPr>
        <w:spacing w:beforeLines="50" w:afterLines="50" w:line="300" w:lineRule="auto"/>
        <w:ind w:firstLine="480"/>
        <w:rPr>
          <w:rFonts w:ascii="宋体" w:hAnsi="宋体" w:cs="宋体"/>
          <w:sz w:val="24"/>
        </w:rPr>
      </w:pPr>
      <w:r>
        <w:rPr>
          <w:rFonts w:hint="eastAsia" w:ascii="宋体" w:hAnsi="宋体" w:cs="宋体"/>
          <w:sz w:val="24"/>
        </w:rPr>
        <w:t xml:space="preserve">1.供应商有《中华人民共和国政府采购法》第七十七条所列行为的； </w:t>
      </w:r>
    </w:p>
    <w:p>
      <w:pPr>
        <w:spacing w:beforeLines="50" w:afterLines="50" w:line="300" w:lineRule="auto"/>
        <w:ind w:firstLine="480"/>
        <w:rPr>
          <w:rFonts w:ascii="宋体" w:hAnsi="宋体" w:cs="宋体"/>
          <w:sz w:val="24"/>
        </w:rPr>
      </w:pPr>
      <w:r>
        <w:rPr>
          <w:rFonts w:hint="eastAsia" w:ascii="宋体" w:hAnsi="宋体" w:cs="宋体"/>
          <w:sz w:val="24"/>
        </w:rPr>
        <w:t xml:space="preserve">2.开标后在投标有效期间内，供应商撤回响应文件的； </w:t>
      </w:r>
    </w:p>
    <w:p>
      <w:pPr>
        <w:spacing w:beforeLines="50" w:afterLines="50" w:line="300" w:lineRule="auto"/>
        <w:ind w:firstLine="480"/>
        <w:rPr>
          <w:rFonts w:ascii="宋体" w:hAnsi="宋体" w:cs="宋体"/>
          <w:sz w:val="24"/>
        </w:rPr>
      </w:pPr>
      <w:r>
        <w:rPr>
          <w:rFonts w:hint="eastAsia" w:ascii="宋体" w:hAnsi="宋体" w:cs="宋体"/>
          <w:sz w:val="24"/>
        </w:rPr>
        <w:t>3.成交供应商不按规定支付招标服务费的；</w:t>
      </w:r>
    </w:p>
    <w:p>
      <w:pPr>
        <w:spacing w:beforeLines="50" w:afterLines="50" w:line="300" w:lineRule="auto"/>
        <w:ind w:firstLine="480"/>
        <w:rPr>
          <w:rFonts w:ascii="宋体" w:hAnsi="宋体" w:cs="宋体"/>
          <w:sz w:val="24"/>
        </w:rPr>
      </w:pPr>
      <w:r>
        <w:rPr>
          <w:rFonts w:hint="eastAsia" w:ascii="宋体" w:hAnsi="宋体" w:cs="宋体"/>
          <w:sz w:val="24"/>
        </w:rPr>
        <w:t>4.违反《投标申请书》有关条款的；</w:t>
      </w:r>
    </w:p>
    <w:p>
      <w:pPr>
        <w:spacing w:beforeLines="50" w:afterLines="50" w:line="300" w:lineRule="auto"/>
        <w:ind w:firstLine="480"/>
        <w:rPr>
          <w:rFonts w:ascii="宋体" w:hAnsi="宋体" w:cs="宋体"/>
          <w:sz w:val="24"/>
        </w:rPr>
      </w:pPr>
      <w:r>
        <w:rPr>
          <w:rFonts w:hint="eastAsia" w:ascii="宋体" w:hAnsi="宋体" w:cs="宋体"/>
          <w:sz w:val="24"/>
        </w:rPr>
        <w:t>5.法律法规及采购文件规定的其他情形。</w:t>
      </w:r>
    </w:p>
    <w:p>
      <w:pPr>
        <w:spacing w:beforeLines="50" w:afterLines="50" w:line="300" w:lineRule="auto"/>
        <w:ind w:firstLine="480"/>
        <w:rPr>
          <w:rFonts w:ascii="宋体" w:hAnsi="宋体" w:cs="宋体"/>
          <w:sz w:val="24"/>
        </w:rPr>
      </w:pPr>
      <w:r>
        <w:rPr>
          <w:rFonts w:hint="eastAsia" w:ascii="宋体" w:hAnsi="宋体" w:cs="宋体"/>
          <w:sz w:val="24"/>
        </w:rPr>
        <w:t>五、下列任何情况发生时，投标保证金将不予退还，转为违约金：</w:t>
      </w:r>
    </w:p>
    <w:p>
      <w:pPr>
        <w:spacing w:beforeLines="50" w:afterLines="50" w:line="300" w:lineRule="auto"/>
        <w:ind w:firstLine="480"/>
        <w:rPr>
          <w:rFonts w:ascii="宋体" w:hAnsi="宋体" w:cs="宋体"/>
          <w:sz w:val="24"/>
        </w:rPr>
      </w:pPr>
      <w:r>
        <w:rPr>
          <w:rFonts w:hint="eastAsia" w:ascii="宋体" w:hAnsi="宋体" w:cs="宋体"/>
          <w:sz w:val="24"/>
        </w:rPr>
        <w:t>(1)  供应商在投标截止期后，投标有效期内撤回投标；</w:t>
      </w:r>
    </w:p>
    <w:p>
      <w:pPr>
        <w:spacing w:beforeLines="50" w:afterLines="50" w:line="300" w:lineRule="auto"/>
        <w:ind w:firstLine="480"/>
        <w:rPr>
          <w:rFonts w:ascii="宋体" w:hAnsi="宋体" w:cs="宋体"/>
          <w:sz w:val="24"/>
        </w:rPr>
      </w:pPr>
      <w:r>
        <w:rPr>
          <w:rFonts w:hint="eastAsia" w:ascii="宋体" w:hAnsi="宋体" w:cs="宋体"/>
          <w:sz w:val="24"/>
        </w:rPr>
        <w:t>(2)  供应商在规定期限内未按规定向采购人缴纳履约保证金；</w:t>
      </w:r>
    </w:p>
    <w:p>
      <w:pPr>
        <w:spacing w:beforeLines="50" w:afterLines="50" w:line="300" w:lineRule="auto"/>
        <w:ind w:firstLine="480"/>
        <w:rPr>
          <w:rFonts w:ascii="宋体" w:hAnsi="宋体" w:cs="宋体"/>
          <w:sz w:val="24"/>
        </w:rPr>
      </w:pPr>
      <w:r>
        <w:rPr>
          <w:rFonts w:hint="eastAsia" w:ascii="宋体" w:hAnsi="宋体" w:cs="宋体"/>
          <w:sz w:val="24"/>
        </w:rPr>
        <w:t>(3)  成交方未按供应商须知规定缴纳招标代理费；</w:t>
      </w:r>
    </w:p>
    <w:p>
      <w:pPr>
        <w:spacing w:beforeLines="50" w:afterLines="50" w:line="300" w:lineRule="auto"/>
        <w:ind w:firstLine="480"/>
        <w:rPr>
          <w:rFonts w:ascii="宋体" w:hAnsi="宋体" w:cs="宋体"/>
          <w:sz w:val="24"/>
        </w:rPr>
      </w:pPr>
      <w:r>
        <w:rPr>
          <w:rFonts w:hint="eastAsia" w:ascii="宋体" w:hAnsi="宋体" w:cs="宋体"/>
          <w:sz w:val="24"/>
        </w:rPr>
        <w:t>(4)  以他人名义投标或者以其他方式弄虚作假，骗取成交；</w:t>
      </w:r>
    </w:p>
    <w:p>
      <w:pPr>
        <w:spacing w:beforeLines="50" w:afterLines="50" w:line="300" w:lineRule="auto"/>
        <w:ind w:firstLine="480"/>
        <w:rPr>
          <w:rFonts w:ascii="宋体" w:hAnsi="宋体" w:cs="宋体"/>
          <w:sz w:val="24"/>
        </w:rPr>
      </w:pPr>
      <w:r>
        <w:rPr>
          <w:rFonts w:hint="eastAsia" w:ascii="宋体" w:hAnsi="宋体" w:cs="宋体"/>
          <w:sz w:val="24"/>
        </w:rPr>
        <w:t>(5)  打架斗殴，扰乱标场秩序；</w:t>
      </w:r>
    </w:p>
    <w:p>
      <w:pPr>
        <w:spacing w:beforeLines="50" w:afterLines="50" w:line="300" w:lineRule="auto"/>
        <w:ind w:firstLine="480"/>
        <w:rPr>
          <w:rFonts w:ascii="宋体" w:hAnsi="宋体" w:cs="宋体"/>
          <w:sz w:val="24"/>
        </w:rPr>
      </w:pPr>
      <w:r>
        <w:rPr>
          <w:rFonts w:hint="eastAsia" w:ascii="宋体" w:hAnsi="宋体" w:cs="宋体"/>
          <w:sz w:val="24"/>
        </w:rPr>
        <w:t>(6)  本磋商文件中或《政府采购货物和服务招标投标管理办法》第七十五条规定的其他不予退还投标保证金的情形。</w:t>
      </w:r>
    </w:p>
    <w:p>
      <w:pPr>
        <w:spacing w:beforeLines="50" w:beforeAutospacing="0" w:afterLines="50" w:afterAutospacing="0" w:line="480" w:lineRule="auto"/>
        <w:ind w:firstLine="420" w:firstLineChars="200"/>
        <w:rPr>
          <w:rFonts w:ascii="宋体" w:hAnsi="宋体" w:cs="宋体"/>
        </w:rPr>
        <w:sectPr>
          <w:pgSz w:w="11907" w:h="16840"/>
          <w:pgMar w:top="1304" w:right="1588" w:bottom="1304" w:left="1588" w:header="720" w:footer="720" w:gutter="0"/>
          <w:cols w:space="720" w:num="1"/>
          <w:docGrid w:linePitch="285" w:charSpace="0"/>
        </w:sectPr>
      </w:pPr>
    </w:p>
    <w:p>
      <w:pPr>
        <w:pStyle w:val="4"/>
        <w:rPr>
          <w:rFonts w:asciiTheme="minorEastAsia" w:hAnsiTheme="minorEastAsia" w:eastAsiaTheme="minorEastAsia" w:cstheme="minorEastAsia"/>
        </w:rPr>
      </w:pPr>
      <w:bookmarkStart w:id="152" w:name="_Toc9459"/>
      <w:r>
        <w:rPr>
          <w:rFonts w:hint="eastAsia" w:asciiTheme="minorEastAsia" w:hAnsiTheme="minorEastAsia" w:eastAsiaTheme="minorEastAsia" w:cstheme="minorEastAsia"/>
        </w:rPr>
        <w:t>第五章  政府采购合同</w:t>
      </w:r>
      <w:bookmarkEnd w:id="114"/>
      <w:bookmarkEnd w:id="115"/>
      <w:bookmarkEnd w:id="116"/>
      <w:bookmarkEnd w:id="117"/>
      <w:bookmarkEnd w:id="118"/>
      <w:bookmarkEnd w:id="152"/>
    </w:p>
    <w:p>
      <w:pPr>
        <w:pStyle w:val="5"/>
        <w:rPr>
          <w:rFonts w:asciiTheme="minorEastAsia" w:hAnsiTheme="minorEastAsia" w:eastAsiaTheme="minorEastAsia" w:cstheme="minorEastAsia"/>
        </w:rPr>
      </w:pPr>
      <w:bookmarkStart w:id="153" w:name="_Toc424213035"/>
      <w:bookmarkStart w:id="154" w:name="_Toc406671704"/>
      <w:bookmarkStart w:id="155" w:name="_Toc406670745"/>
      <w:bookmarkStart w:id="156" w:name="_Toc406671116"/>
      <w:bookmarkStart w:id="157" w:name="_Toc406672407"/>
      <w:bookmarkStart w:id="158" w:name="_Toc29932"/>
      <w:r>
        <w:rPr>
          <w:rFonts w:hint="eastAsia" w:asciiTheme="minorEastAsia" w:hAnsiTheme="minorEastAsia" w:eastAsiaTheme="minorEastAsia" w:cstheme="minorEastAsia"/>
        </w:rPr>
        <w:t>第一节  主要条款</w:t>
      </w:r>
      <w:bookmarkEnd w:id="153"/>
      <w:bookmarkEnd w:id="154"/>
      <w:bookmarkEnd w:id="155"/>
      <w:bookmarkEnd w:id="156"/>
      <w:bookmarkEnd w:id="157"/>
      <w:bookmarkEnd w:id="158"/>
    </w:p>
    <w:p>
      <w:pPr>
        <w:bidi w:val="0"/>
      </w:pPr>
      <w:r>
        <w:rPr>
          <w:rFonts w:hint="eastAsia"/>
        </w:rPr>
        <w:t>采购人或采购代理机构根据采购服务项目特点自行拟定包含但不仅限于以下内容：</w:t>
      </w:r>
    </w:p>
    <w:p>
      <w:pPr>
        <w:pStyle w:val="5"/>
        <w:numPr>
          <w:ilvl w:val="0"/>
          <w:numId w:val="1"/>
        </w:numPr>
        <w:jc w:val="left"/>
        <w:rPr>
          <w:rFonts w:asciiTheme="minorEastAsia" w:hAnsiTheme="minorEastAsia" w:eastAsiaTheme="minorEastAsia" w:cstheme="minorEastAsia"/>
        </w:rPr>
      </w:pPr>
      <w:bookmarkStart w:id="159" w:name="_Toc21427"/>
      <w:r>
        <w:rPr>
          <w:rFonts w:hint="eastAsia" w:asciiTheme="minorEastAsia" w:hAnsiTheme="minorEastAsia" w:eastAsiaTheme="minorEastAsia" w:cstheme="minorEastAsia"/>
        </w:rPr>
        <w:t>服务周期：</w:t>
      </w:r>
      <w:bookmarkEnd w:id="159"/>
      <w:r>
        <w:rPr>
          <w:rFonts w:hint="eastAsia" w:asciiTheme="minorEastAsia" w:hAnsiTheme="minorEastAsia" w:eastAsiaTheme="minorEastAsia" w:cstheme="minorEastAsia"/>
          <w:u w:val="single"/>
        </w:rPr>
        <w:t xml:space="preserve">                           </w:t>
      </w:r>
    </w:p>
    <w:p>
      <w:pPr>
        <w:pStyle w:val="5"/>
        <w:numPr>
          <w:ilvl w:val="0"/>
          <w:numId w:val="1"/>
        </w:numPr>
        <w:jc w:val="left"/>
        <w:rPr>
          <w:rFonts w:asciiTheme="minorEastAsia" w:hAnsiTheme="minorEastAsia" w:eastAsiaTheme="minorEastAsia" w:cstheme="minorEastAsia"/>
        </w:rPr>
      </w:pPr>
      <w:bookmarkStart w:id="160" w:name="_Toc14968"/>
      <w:r>
        <w:rPr>
          <w:rFonts w:hint="eastAsia" w:asciiTheme="minorEastAsia" w:hAnsiTheme="minorEastAsia" w:eastAsiaTheme="minorEastAsia" w:cstheme="minorEastAsia"/>
        </w:rPr>
        <w:t>质量标准及验收办法：</w:t>
      </w:r>
      <w:bookmarkEnd w:id="160"/>
      <w:r>
        <w:rPr>
          <w:rFonts w:hint="eastAsia" w:asciiTheme="minorEastAsia" w:hAnsiTheme="minorEastAsia" w:eastAsiaTheme="minorEastAsia" w:cstheme="minorEastAsia"/>
          <w:u w:val="single"/>
        </w:rPr>
        <w:t xml:space="preserve">                       </w:t>
      </w:r>
    </w:p>
    <w:p>
      <w:pPr>
        <w:pStyle w:val="5"/>
        <w:numPr>
          <w:ilvl w:val="0"/>
          <w:numId w:val="1"/>
        </w:numPr>
        <w:jc w:val="left"/>
        <w:rPr>
          <w:rFonts w:asciiTheme="minorEastAsia" w:hAnsiTheme="minorEastAsia" w:eastAsiaTheme="minorEastAsia" w:cstheme="minorEastAsia"/>
        </w:rPr>
      </w:pPr>
      <w:bookmarkStart w:id="161" w:name="_Toc28491"/>
      <w:r>
        <w:rPr>
          <w:rFonts w:hint="eastAsia" w:asciiTheme="minorEastAsia" w:hAnsiTheme="minorEastAsia" w:eastAsiaTheme="minorEastAsia" w:cstheme="minorEastAsia"/>
        </w:rPr>
        <w:t>付款方式：</w:t>
      </w:r>
      <w:bookmarkEnd w:id="161"/>
      <w:r>
        <w:rPr>
          <w:rFonts w:hint="eastAsia" w:asciiTheme="minorEastAsia" w:hAnsiTheme="minorEastAsia" w:eastAsiaTheme="minorEastAsia" w:cstheme="minorEastAsia"/>
          <w:u w:val="single"/>
        </w:rPr>
        <w:t xml:space="preserve">                                 </w:t>
      </w:r>
    </w:p>
    <w:p>
      <w:pPr>
        <w:pStyle w:val="5"/>
        <w:numPr>
          <w:ilvl w:val="0"/>
          <w:numId w:val="1"/>
        </w:numPr>
        <w:jc w:val="left"/>
        <w:rPr>
          <w:rFonts w:asciiTheme="minorEastAsia" w:hAnsiTheme="minorEastAsia" w:eastAsiaTheme="minorEastAsia" w:cstheme="minorEastAsia"/>
        </w:rPr>
      </w:pPr>
      <w:bookmarkStart w:id="162" w:name="_Toc32283"/>
      <w:r>
        <w:rPr>
          <w:rFonts w:hint="eastAsia" w:asciiTheme="minorEastAsia" w:hAnsiTheme="minorEastAsia" w:eastAsiaTheme="minorEastAsia" w:cstheme="minorEastAsia"/>
        </w:rPr>
        <w:t>考核评标体系：</w:t>
      </w:r>
      <w:bookmarkEnd w:id="162"/>
      <w:r>
        <w:rPr>
          <w:rFonts w:hint="eastAsia" w:asciiTheme="minorEastAsia" w:hAnsiTheme="minorEastAsia" w:eastAsiaTheme="minorEastAsia" w:cstheme="minorEastAsia"/>
          <w:u w:val="single"/>
        </w:rPr>
        <w:t xml:space="preserve">                    </w:t>
      </w:r>
    </w:p>
    <w:p>
      <w:pPr>
        <w:pStyle w:val="5"/>
        <w:numPr>
          <w:ilvl w:val="0"/>
          <w:numId w:val="1"/>
        </w:numPr>
        <w:jc w:val="left"/>
        <w:rPr>
          <w:rFonts w:asciiTheme="minorEastAsia" w:hAnsiTheme="minorEastAsia" w:eastAsiaTheme="minorEastAsia"/>
          <w:u w:val="single"/>
        </w:rPr>
      </w:pPr>
      <w:bookmarkStart w:id="163" w:name="_Toc20417"/>
      <w:r>
        <w:rPr>
          <w:rFonts w:hint="eastAsia" w:asciiTheme="minorEastAsia" w:hAnsiTheme="minorEastAsia" w:eastAsiaTheme="minorEastAsia"/>
        </w:rPr>
        <w:t>服</w:t>
      </w:r>
      <w:r>
        <w:rPr>
          <w:rFonts w:hint="eastAsia" w:asciiTheme="minorEastAsia" w:hAnsiTheme="minorEastAsia" w:eastAsiaTheme="minorEastAsia" w:cstheme="minorEastAsia"/>
        </w:rPr>
        <w:t>务</w:t>
      </w:r>
      <w:r>
        <w:rPr>
          <w:rFonts w:hint="eastAsia" w:asciiTheme="minorEastAsia" w:hAnsiTheme="minorEastAsia" w:eastAsiaTheme="minorEastAsia"/>
        </w:rPr>
        <w:t>周期清算办法：</w:t>
      </w:r>
      <w:bookmarkEnd w:id="163"/>
      <w:r>
        <w:rPr>
          <w:rFonts w:hint="eastAsia" w:asciiTheme="minorEastAsia" w:hAnsiTheme="minorEastAsia" w:eastAsiaTheme="minorEastAsia"/>
          <w:u w:val="single"/>
        </w:rPr>
        <w:t xml:space="preserve">            </w:t>
      </w:r>
    </w:p>
    <w:p>
      <w:pPr>
        <w:pStyle w:val="5"/>
        <w:numPr>
          <w:ilvl w:val="0"/>
          <w:numId w:val="1"/>
        </w:numPr>
        <w:jc w:val="left"/>
      </w:pPr>
      <w:bookmarkStart w:id="164" w:name="_Toc3775"/>
      <w:r>
        <w:rPr>
          <w:rFonts w:asciiTheme="minorEastAsia" w:hAnsiTheme="minorEastAsia" w:eastAsiaTheme="minorEastAsia" w:cstheme="minorEastAsia"/>
        </w:rPr>
        <w:t>……</w:t>
      </w:r>
      <w:r>
        <w:rPr>
          <w:rFonts w:hint="eastAsia"/>
        </w:rPr>
        <w:t>.</w:t>
      </w:r>
      <w:bookmarkEnd w:id="164"/>
    </w:p>
    <w:p>
      <w:pPr>
        <w:pStyle w:val="5"/>
        <w:rPr>
          <w:rFonts w:asciiTheme="minorEastAsia" w:hAnsiTheme="minorEastAsia" w:eastAsiaTheme="minorEastAsia" w:cstheme="minorEastAsia"/>
        </w:rPr>
      </w:pPr>
      <w:bookmarkStart w:id="165" w:name="_Toc406671711"/>
      <w:bookmarkStart w:id="166" w:name="_Toc406671123"/>
      <w:bookmarkStart w:id="167" w:name="_Toc406670752"/>
      <w:bookmarkStart w:id="168" w:name="_Toc406672409"/>
      <w:r>
        <w:rPr>
          <w:rFonts w:hint="eastAsia" w:asciiTheme="minorEastAsia" w:hAnsiTheme="minorEastAsia" w:eastAsiaTheme="minorEastAsia" w:cstheme="minorEastAsia"/>
        </w:rPr>
        <w:br w:type="page"/>
      </w:r>
      <w:bookmarkStart w:id="169" w:name="_Toc424213036"/>
      <w:bookmarkStart w:id="170" w:name="_Toc27497"/>
      <w:r>
        <w:rPr>
          <w:rFonts w:hint="eastAsia" w:asciiTheme="minorEastAsia" w:hAnsiTheme="minorEastAsia" w:eastAsiaTheme="minorEastAsia" w:cstheme="minorEastAsia"/>
        </w:rPr>
        <w:t>第二节  拟签订的政府采购合同</w:t>
      </w:r>
      <w:bookmarkEnd w:id="165"/>
      <w:bookmarkEnd w:id="166"/>
      <w:bookmarkEnd w:id="167"/>
      <w:bookmarkEnd w:id="168"/>
      <w:bookmarkEnd w:id="169"/>
      <w:bookmarkEnd w:id="170"/>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政府采购</w:t>
      </w:r>
    </w:p>
    <w:p>
      <w:pPr>
        <w:tabs>
          <w:tab w:val="left" w:pos="720"/>
        </w:tabs>
        <w:jc w:val="center"/>
        <w:rPr>
          <w:rFonts w:asciiTheme="minorEastAsia" w:hAnsiTheme="minorEastAsia" w:eastAsiaTheme="minorEastAsia" w:cstheme="minorEastAsia"/>
          <w:b/>
          <w:sz w:val="72"/>
          <w:szCs w:val="72"/>
        </w:rPr>
      </w:pPr>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合 同 书</w:t>
      </w:r>
    </w:p>
    <w:p>
      <w:pPr>
        <w:tabs>
          <w:tab w:val="left" w:pos="720"/>
        </w:tabs>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（服务类）</w:t>
      </w:r>
    </w:p>
    <w:p>
      <w:pPr>
        <w:tabs>
          <w:tab w:val="left" w:pos="720"/>
        </w:tabs>
        <w:rPr>
          <w:rFonts w:asciiTheme="minorEastAsia" w:hAnsiTheme="minorEastAsia" w:eastAsiaTheme="minorEastAsia" w:cstheme="minorEastAsia"/>
          <w:b/>
          <w:sz w:val="28"/>
          <w:szCs w:val="28"/>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rPr>
                <w:rFonts w:asciiTheme="minorEastAsia" w:hAnsiTheme="minorEastAsia" w:eastAsiaTheme="minorEastAsia" w:cstheme="minorEastAsia"/>
                <w:b/>
                <w:sz w:val="28"/>
                <w:szCs w:val="28"/>
              </w:rPr>
            </w:pPr>
          </w:p>
        </w:tc>
      </w:tr>
    </w:tbl>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甲方：（采购人全称）</w:t>
      </w: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乙方：（供应商全称）</w:t>
      </w: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甲、乙双方根据</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项目（交易编号：2021-ZFCG-XXXX,）的</w:t>
      </w:r>
      <w:r>
        <w:rPr>
          <w:rFonts w:hint="eastAsia" w:asciiTheme="minorEastAsia" w:hAnsiTheme="minorEastAsia" w:eastAsiaTheme="minorEastAsia" w:cstheme="minorEastAsia"/>
          <w:sz w:val="24"/>
          <w:szCs w:val="24"/>
          <w:u w:val="single"/>
        </w:rPr>
        <w:t xml:space="preserve"> 公开招标 </w:t>
      </w:r>
      <w:r>
        <w:rPr>
          <w:rFonts w:hint="eastAsia" w:asciiTheme="minorEastAsia" w:hAnsiTheme="minorEastAsia" w:eastAsiaTheme="minorEastAsia" w:cstheme="minorEastAsia"/>
          <w:sz w:val="24"/>
          <w:szCs w:val="24"/>
        </w:rPr>
        <w:t>结果，甲方接受乙方为本项目的供应商。甲乙双方根据本项目采购文件、响应文件及招投标过程中确定的有关内容，签署本合同。</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一、合同金额</w:t>
      </w:r>
    </w:p>
    <w:p>
      <w:pPr>
        <w:pStyle w:val="2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合同金额为（大写）：_________________元（￥_______________元）人民币。</w:t>
      </w:r>
    </w:p>
    <w:p>
      <w:pPr>
        <w:numPr>
          <w:ilvl w:val="0"/>
          <w:numId w:val="5"/>
        </w:numPr>
        <w:spacing w:before="0" w:beforeAutospacing="0" w:after="0" w:afterAutospacing="0"/>
        <w:ind w:left="0" w:firstLine="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服务范围</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甲方聘请乙方提供以下服务：</w:t>
      </w:r>
    </w:p>
    <w:p>
      <w:pP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1．本合同项下的服务指。</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2．......</w:t>
      </w:r>
    </w:p>
    <w:p>
      <w:pPr>
        <w:numPr>
          <w:ilvl w:val="0"/>
          <w:numId w:val="6"/>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二、服务质量要求</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三、甲方乙方的权利和义务</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（一） 甲方的权利和义务</w:t>
      </w:r>
    </w:p>
    <w:p>
      <w:pPr>
        <w:numPr>
          <w:ilvl w:val="0"/>
          <w:numId w:val="7"/>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乙方的权利和义务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四服务期间（项目完成期限）</w:t>
      </w:r>
    </w:p>
    <w:p>
      <w:pPr>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委托服务期间自______年______月至______年______月止。</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五、验收及评价考核</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  付款方式</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由甲方按下列程序在内付款。</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1)在合同实施及服务人员到达服务地后__天内，甲方应将第一次付　　款总服务费的__(-%)付给乙方。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2)第二次付款额应为总服务费的__(-%)，甲方应在乙方已经准备好，并递交了服务报告及其它相关文件，而这些报告和文件符合合同附件上的要求并被甲方验收后付给乙方。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3)最后一次付款额应为总服务费的__(-%)，甲方应在乙方递交了服务总结报告和说明并完全履行合同完毕日内付给乙方。</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六、知识产权产权归属</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七、保密</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八、违约责任与赔偿损失</w:t>
      </w:r>
    </w:p>
    <w:p>
      <w:pPr>
        <w:tabs>
          <w:tab w:val="left" w:pos="9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乙方提供的服务不符合采购文件、报价文件或本合同规定的，甲方有权拒收，并且乙方须向甲方方支付本合同总价5%的违约金。</w:t>
      </w:r>
    </w:p>
    <w:p>
      <w:pPr>
        <w:tabs>
          <w:tab w:val="left" w:pos="720"/>
          <w:tab w:val="left" w:pos="900"/>
        </w:tabs>
        <w:ind w:right="2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乙方未能按本合同规定的交货时间提供服务，从逾期之日起每日按本合同总价3‰的数额向甲方支付违约金；逾期半个月以上的，甲方有权终止合同，由此造成的甲方经济损失由乙方承担。</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甲方无正当理由拒收接受服务，到期拒付服务款项的，甲方向乙方偿付本合同总的5%的违约金。甲方人逾期付款，则每日按本合同总价的3‰向乙方偿付违约金。</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其它违约责任按《中华人民共和国合同法》处理。</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九、争端的解决</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1)合同执行过程中发生的任何争议，如双方不能通过友好协商解决，按相关法律法规处理。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十、不可抗力：</w:t>
      </w:r>
      <w:r>
        <w:rPr>
          <w:rFonts w:hint="eastAsia" w:asciiTheme="minorEastAsia" w:hAnsiTheme="minorEastAsia" w:eastAsiaTheme="minorEastAsia" w:cstheme="minor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十一、税费：</w:t>
      </w:r>
      <w:r>
        <w:rPr>
          <w:rFonts w:hint="eastAsia" w:asciiTheme="minorEastAsia" w:hAnsiTheme="minorEastAsia" w:eastAsiaTheme="minorEastAsia" w:cstheme="minorEastAsia"/>
          <w:sz w:val="24"/>
        </w:rPr>
        <w:t>在中国境内、外发生的与本合同执行有关的一切税费均由乙方负担。</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十二、其它</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1)本合同所有附件、采购文件、响应文件、中标通知书通知书均为合同的有效组成部分，与本合同具有同等法律效力。</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2) </w:t>
      </w:r>
      <w:r>
        <w:rPr>
          <w:rFonts w:hint="eastAsia" w:asciiTheme="minorEastAsia" w:hAnsiTheme="minorEastAsia" w:eastAsiaTheme="minorEastAsia" w:cstheme="minorEastAsia"/>
          <w:sz w:val="24"/>
        </w:rPr>
        <w:t>在执行本合同的过程中，所有经双方签署确认的文件（包括会议纪要、补充协议、往来信函）即成为本合同的有效组成部分。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 如一方地址、电话、传真号码有变更，应在变更当日内书面通知对方，否则，应承担相应责任。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除甲方事先书面同意外，乙方不得部分或全部转让其应履行的合同项下的义务。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1）本合同在甲乙双方法人代表或其授权代表签字盖章后生效。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2）合同一式份。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3）同执行中涉及招标资金和招标内容修改或补充的，须经当地财政部门审批，并签订书面补充协议报监督管理部门备案，方可作为主合同不可分割的一部分。</w:t>
      </w:r>
    </w:p>
    <w:p>
      <w:pPr>
        <w:spacing w:line="340" w:lineRule="exact"/>
        <w:rPr>
          <w:rFonts w:asciiTheme="minorEastAsia" w:hAnsiTheme="minorEastAsia" w:eastAsiaTheme="minorEastAsia" w:cstheme="minorEastAsia"/>
          <w:b/>
          <w:sz w:val="24"/>
        </w:rPr>
      </w:pP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甲方：                                   乙方：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地址：                                   地址：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                             法定代表人：</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授权委托代理人：                         授权委托代理人：</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电话：                                   电话：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                                   传真：</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邮政编码：                               邮政编码：</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开户银行：</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账号：</w:t>
      </w:r>
    </w:p>
    <w:p>
      <w:pPr>
        <w:pStyle w:val="20"/>
        <w:spacing w:beforeLines="100" w:beforeAutospacing="0" w:afterLines="50" w:afterAutospacing="0"/>
        <w:ind w:firstLine="437"/>
        <w:rPr>
          <w:rFonts w:asciiTheme="minorEastAsia" w:hAnsiTheme="minorEastAsia" w:eastAsiaTheme="minorEastAsia" w:cstheme="minorEastAsia"/>
          <w:sz w:val="24"/>
          <w:szCs w:val="24"/>
        </w:rPr>
      </w:pPr>
    </w:p>
    <w:p>
      <w:pPr>
        <w:spacing w:line="3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签订地点：                               签订日期：      年  月  日</w:t>
      </w:r>
    </w:p>
    <w:p>
      <w:pPr>
        <w:adjustRightInd w:val="0"/>
        <w:snapToGrid w:val="0"/>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注意事项：本合同条款未尽事宜，由甲乙双方以补充合同约定，原则上不能超越和违背招标及补充文件、响应文件及投标有关承诺的范围及内容。</w:t>
      </w: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rPr>
      </w:pPr>
      <w:bookmarkStart w:id="171" w:name="_Toc406671714"/>
      <w:bookmarkStart w:id="172" w:name="_Toc406671142"/>
      <w:bookmarkStart w:id="173" w:name="_Toc406672410"/>
      <w:bookmarkStart w:id="174" w:name="_Toc406670771"/>
      <w:r>
        <w:rPr>
          <w:rFonts w:hint="eastAsia" w:asciiTheme="minorEastAsia" w:hAnsiTheme="minorEastAsia" w:eastAsiaTheme="minorEastAsia" w:cstheme="minorEastAsia"/>
        </w:rPr>
        <w:br w:type="page"/>
      </w:r>
      <w:bookmarkStart w:id="175" w:name="_Toc424213037"/>
      <w:bookmarkStart w:id="176" w:name="_Toc10285"/>
      <w:r>
        <w:rPr>
          <w:rFonts w:hint="eastAsia" w:asciiTheme="minorEastAsia" w:hAnsiTheme="minorEastAsia" w:eastAsiaTheme="minorEastAsia" w:cstheme="minorEastAsia"/>
        </w:rPr>
        <w:t xml:space="preserve">第三部分  </w:t>
      </w:r>
      <w:bookmarkEnd w:id="171"/>
      <w:bookmarkEnd w:id="172"/>
      <w:bookmarkEnd w:id="173"/>
      <w:bookmarkEnd w:id="174"/>
      <w:r>
        <w:rPr>
          <w:rFonts w:hint="eastAsia" w:asciiTheme="minorEastAsia" w:hAnsiTheme="minorEastAsia" w:eastAsiaTheme="minorEastAsia" w:cstheme="minorEastAsia"/>
        </w:rPr>
        <w:t>响应文件编制规范</w:t>
      </w:r>
      <w:bookmarkEnd w:id="175"/>
      <w:bookmarkEnd w:id="176"/>
    </w:p>
    <w:p>
      <w:pPr>
        <w:pStyle w:val="4"/>
        <w:rPr>
          <w:rFonts w:asciiTheme="minorEastAsia" w:hAnsiTheme="minorEastAsia" w:eastAsiaTheme="minorEastAsia" w:cstheme="minorEastAsia"/>
        </w:rPr>
      </w:pPr>
      <w:bookmarkStart w:id="177" w:name="_Toc406671143"/>
      <w:bookmarkStart w:id="178" w:name="_Toc406672411"/>
      <w:bookmarkStart w:id="179" w:name="_Toc406670772"/>
      <w:bookmarkStart w:id="180" w:name="_Toc406671715"/>
      <w:bookmarkStart w:id="181" w:name="_Toc424213038"/>
      <w:bookmarkStart w:id="182" w:name="_Toc23175"/>
      <w:r>
        <w:rPr>
          <w:rFonts w:hint="eastAsia" w:asciiTheme="minorEastAsia" w:hAnsiTheme="minorEastAsia" w:eastAsiaTheme="minorEastAsia" w:cstheme="minorEastAsia"/>
        </w:rPr>
        <w:t xml:space="preserve">第六章 </w:t>
      </w:r>
      <w:bookmarkEnd w:id="177"/>
      <w:bookmarkEnd w:id="178"/>
      <w:bookmarkEnd w:id="179"/>
      <w:bookmarkEnd w:id="180"/>
      <w:r>
        <w:rPr>
          <w:rFonts w:hint="eastAsia" w:asciiTheme="minorEastAsia" w:hAnsiTheme="minorEastAsia" w:eastAsiaTheme="minorEastAsia" w:cstheme="minorEastAsia"/>
        </w:rPr>
        <w:t>响应文件的编制</w:t>
      </w:r>
      <w:bookmarkEnd w:id="181"/>
      <w:bookmarkEnd w:id="182"/>
    </w:p>
    <w:p>
      <w:pPr>
        <w:pStyle w:val="5"/>
        <w:rPr>
          <w:rFonts w:asciiTheme="minorEastAsia" w:hAnsiTheme="minorEastAsia" w:eastAsiaTheme="minorEastAsia" w:cstheme="minorEastAsia"/>
        </w:rPr>
      </w:pPr>
      <w:bookmarkStart w:id="183" w:name="_Toc406671716"/>
      <w:bookmarkStart w:id="184" w:name="_Toc406672412"/>
      <w:bookmarkStart w:id="185" w:name="_Toc406670773"/>
      <w:bookmarkStart w:id="186" w:name="_Toc406671144"/>
      <w:bookmarkStart w:id="187" w:name="_Toc424213039"/>
      <w:bookmarkStart w:id="188" w:name="_Toc9913"/>
      <w:r>
        <w:rPr>
          <w:rFonts w:hint="eastAsia" w:asciiTheme="minorEastAsia" w:hAnsiTheme="minorEastAsia" w:eastAsiaTheme="minorEastAsia" w:cstheme="minorEastAsia"/>
        </w:rPr>
        <w:t>第一节 编制要求</w:t>
      </w:r>
      <w:bookmarkEnd w:id="183"/>
      <w:bookmarkEnd w:id="184"/>
      <w:bookmarkEnd w:id="185"/>
      <w:bookmarkEnd w:id="186"/>
      <w:bookmarkEnd w:id="187"/>
      <w:bookmarkEnd w:id="188"/>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89" w:name="_Toc406670774"/>
      <w:bookmarkStart w:id="190" w:name="_Toc406671145"/>
      <w:r>
        <w:rPr>
          <w:rFonts w:hint="eastAsia" w:asciiTheme="minorEastAsia" w:hAnsiTheme="minorEastAsia" w:eastAsiaTheme="minorEastAsia" w:cstheme="minorEastAsia"/>
          <w:sz w:val="24"/>
        </w:rPr>
        <w:t>一、格式</w:t>
      </w:r>
      <w:bookmarkEnd w:id="189"/>
      <w:bookmarkEnd w:id="190"/>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2.响应文件中所使用的计量单位，除采购文件有要求的外，均使用国家法定计量单位。</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3.响应文件中的图片资料、复印件等应清晰可见，不得随意放大缩小。内容不得倒置、歪斜，由于响应文件不清晰或不利于阅读所造成的后果，由供应商自行负责。</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4.除法定代表人或法人授权代表签字或响应文件页码标注可以手写外，其余所有响应文件内容须采用打印字体，禁止手写，手写内容评标委员会可以不认同。</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5.响应文件应严格按采购文件提供的响应文件格式范本填写，采购文件中未提供格式范本的，由供应商自行编制。</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91" w:name="_Toc406670775"/>
      <w:bookmarkStart w:id="192" w:name="_Toc406671146"/>
      <w:r>
        <w:rPr>
          <w:rFonts w:hint="eastAsia" w:asciiTheme="minorEastAsia" w:hAnsiTheme="minorEastAsia" w:eastAsiaTheme="minorEastAsia" w:cstheme="minorEastAsia"/>
          <w:sz w:val="24"/>
        </w:rPr>
        <w:t>二、装订</w:t>
      </w:r>
      <w:bookmarkEnd w:id="191"/>
      <w:bookmarkEnd w:id="192"/>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1.响应文件须按所投品目/包单独胶装成册，并在封面注明所投品目号/包号。所投品目/包响应文件供应商可根据投标的实际情况，自行选择是否统一或分开胶装成册。</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须用A4纸打印，按照采购文件所规定的内容顺序，统一编目、编页码装订（响应文件中复印件及彩色宣传资料等均须与响应文件正文一起逐页编排页码）。超过A4幅的应以相应幅面打印，但应折叠为A4幅大小后装订，采购文件有提供图册等其它要求的除外。由于编排混乱导致响应文件被误读或查找不到，责任由供应商自行承担。</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3.响应文件须胶装成册，不得采用活页、打孔等方式装订。</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4.不推荐使用豪华装订，建议平装。</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93" w:name="_Toc406670776"/>
      <w:bookmarkStart w:id="194" w:name="_Toc406671147"/>
      <w:r>
        <w:rPr>
          <w:rFonts w:hint="eastAsia" w:asciiTheme="minorEastAsia" w:hAnsiTheme="minorEastAsia" w:eastAsiaTheme="minorEastAsia" w:cstheme="minorEastAsia"/>
          <w:sz w:val="24"/>
        </w:rPr>
        <w:t>三、签署与封装</w:t>
      </w:r>
      <w:bookmarkEnd w:id="193"/>
      <w:bookmarkEnd w:id="194"/>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签署：响应文件封面上须注明“正本”或“副本”或“电子响应文件”字样，并加盖封面单位公章和骑缝章。若正本与副本不符，以正本为准。响应文件中除标准页码外，不得涂改和增删。响应文件中所有复印件必须加盖供应商公章。响应文件范本中注明需要签章的地方，供应商均须进行签章。</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2.封装：</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2.1投标供应商可根据投标实际厚度，自行选择响应文件的外包封套的数量，对响应文件的外包封份数不作具体规定，但投标供应商应确保响应文件的外包封没有严重破损导致投标实质性内容泄露的情形。</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2.2外包密封的封口（接口）处加盖带投标供应商公章，封装物上清楚注明项目名称、品目名称、供应商名称。</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2.3外包封上有</w:t>
      </w:r>
      <w:r>
        <w:rPr>
          <w:rFonts w:asciiTheme="minorEastAsia" w:hAnsiTheme="minorEastAsia" w:eastAsiaTheme="minorEastAsia" w:cstheme="minorEastAsia"/>
          <w:sz w:val="24"/>
          <w:szCs w:val="24"/>
        </w:rPr>
        <w:t>重复</w:t>
      </w:r>
      <w:r>
        <w:rPr>
          <w:rFonts w:hint="eastAsia" w:asciiTheme="minorEastAsia" w:hAnsiTheme="minorEastAsia" w:eastAsiaTheme="minorEastAsia" w:cstheme="minorEastAsia"/>
          <w:sz w:val="24"/>
          <w:szCs w:val="24"/>
        </w:rPr>
        <w:t>或多余</w:t>
      </w:r>
      <w:r>
        <w:rPr>
          <w:rFonts w:asciiTheme="minorEastAsia" w:hAnsiTheme="minorEastAsia" w:eastAsiaTheme="minorEastAsia" w:cstheme="minorEastAsia"/>
          <w:sz w:val="24"/>
          <w:szCs w:val="24"/>
        </w:rPr>
        <w:t>标记</w:t>
      </w:r>
      <w:r>
        <w:rPr>
          <w:rFonts w:hint="eastAsia" w:asciiTheme="minorEastAsia" w:hAnsiTheme="minorEastAsia" w:eastAsiaTheme="minorEastAsia" w:cstheme="minorEastAsia"/>
          <w:sz w:val="24"/>
          <w:szCs w:val="24"/>
        </w:rPr>
        <w:t>，未对响应文件实质性响应产生影响的</w:t>
      </w:r>
      <w:r>
        <w:rPr>
          <w:rFonts w:asciiTheme="minorEastAsia" w:hAnsiTheme="minorEastAsia" w:eastAsiaTheme="minorEastAsia" w:cstheme="minorEastAsia"/>
          <w:sz w:val="24"/>
          <w:szCs w:val="24"/>
        </w:rPr>
        <w:t>，不作</w:t>
      </w:r>
      <w:r>
        <w:rPr>
          <w:rFonts w:hint="eastAsia" w:asciiTheme="minorEastAsia" w:hAnsiTheme="minorEastAsia" w:eastAsiaTheme="minorEastAsia" w:cstheme="minorEastAsia"/>
          <w:sz w:val="24"/>
          <w:szCs w:val="24"/>
        </w:rPr>
        <w:t>无效标</w:t>
      </w:r>
      <w:r>
        <w:rPr>
          <w:rFonts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rPr>
        <w:t>。</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2.4投标供应商对外包封有异议的，应在开标会现场当场提出，由监督部门和招标人在开标现场当场判定是否作无效标处理，不得送至评标委员会判定。</w:t>
      </w:r>
    </w:p>
    <w:p>
      <w:pPr>
        <w:pStyle w:val="5"/>
        <w:rPr>
          <w:rFonts w:asciiTheme="minorEastAsia" w:hAnsiTheme="minorEastAsia" w:eastAsiaTheme="minorEastAsia" w:cstheme="minorEastAsia"/>
        </w:rPr>
      </w:pPr>
      <w:bookmarkStart w:id="195" w:name="_Toc424213040"/>
      <w:bookmarkStart w:id="196" w:name="_Toc406670777"/>
      <w:bookmarkStart w:id="197" w:name="_Toc406671148"/>
      <w:bookmarkStart w:id="198" w:name="_Toc406671717"/>
      <w:bookmarkStart w:id="199" w:name="_Toc406672413"/>
      <w:bookmarkStart w:id="200" w:name="_Toc212"/>
      <w:r>
        <w:rPr>
          <w:rFonts w:hint="eastAsia" w:asciiTheme="minorEastAsia" w:hAnsiTheme="minorEastAsia" w:eastAsiaTheme="minorEastAsia" w:cstheme="minorEastAsia"/>
        </w:rPr>
        <w:t>第二节 响应文件组成</w:t>
      </w:r>
      <w:bookmarkEnd w:id="195"/>
      <w:bookmarkEnd w:id="196"/>
      <w:bookmarkEnd w:id="197"/>
      <w:bookmarkEnd w:id="198"/>
      <w:bookmarkEnd w:id="199"/>
      <w:bookmarkEnd w:id="200"/>
    </w:p>
    <w:p>
      <w:pPr>
        <w:pStyle w:val="20"/>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一、政府采购响应文件类别</w:t>
      </w:r>
      <w:r>
        <w:rPr>
          <w:rFonts w:hint="eastAsia" w:asciiTheme="minorEastAsia" w:hAnsiTheme="minorEastAsia" w:eastAsiaTheme="minorEastAsia" w:cstheme="minorEastAsia"/>
          <w:sz w:val="24"/>
          <w:szCs w:val="24"/>
        </w:rPr>
        <w:t>：服务类响应文件。</w:t>
      </w:r>
    </w:p>
    <w:p>
      <w:pPr>
        <w:spacing w:beforeLines="50" w:beforeAutospacing="0" w:afterLines="5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二、组成</w:t>
      </w:r>
    </w:p>
    <w:p>
      <w:pPr>
        <w:pStyle w:val="20"/>
        <w:spacing w:before="0" w:beforeAutospacing="0" w:after="0" w:afterAutospacing="0"/>
        <w:rPr>
          <w:rFonts w:asciiTheme="minorEastAsia" w:hAnsiTheme="minorEastAsia" w:eastAsiaTheme="minorEastAsia" w:cstheme="minorEastAsia"/>
          <w:sz w:val="24"/>
          <w:szCs w:val="24"/>
        </w:rPr>
        <w:sectPr>
          <w:pgSz w:w="11907" w:h="16840"/>
          <w:pgMar w:top="1134" w:right="1418" w:bottom="1134" w:left="1418" w:header="720" w:footer="720" w:gutter="0"/>
          <w:cols w:space="425" w:num="1"/>
          <w:docGrid w:linePitch="285" w:charSpace="0"/>
        </w:sectPr>
      </w:pPr>
      <w:r>
        <w:rPr>
          <w:rFonts w:hint="eastAsia" w:asciiTheme="minorEastAsia" w:hAnsiTheme="minorEastAsia" w:eastAsiaTheme="minorEastAsia" w:cstheme="minorEastAsia"/>
          <w:sz w:val="24"/>
          <w:szCs w:val="24"/>
        </w:rPr>
        <w:t>各类响应文件由数据信息响应部分和佐证文件部分组成，具体详见响应文件格式文本。</w:t>
      </w:r>
    </w:p>
    <w:p>
      <w:pPr>
        <w:pStyle w:val="5"/>
        <w:rPr>
          <w:rFonts w:asciiTheme="minorEastAsia" w:hAnsiTheme="minorEastAsia" w:eastAsiaTheme="minorEastAsia" w:cstheme="minorEastAsia"/>
        </w:rPr>
      </w:pPr>
      <w:bookmarkStart w:id="201" w:name="_Toc406670778"/>
      <w:bookmarkStart w:id="202" w:name="_Toc406671149"/>
      <w:bookmarkStart w:id="203" w:name="_Toc406671718"/>
      <w:bookmarkStart w:id="204" w:name="_Toc424213041"/>
      <w:bookmarkStart w:id="205" w:name="_Toc406672414"/>
      <w:bookmarkStart w:id="206" w:name="_Toc15645"/>
      <w:r>
        <w:rPr>
          <w:rFonts w:hint="eastAsia" w:asciiTheme="minorEastAsia" w:hAnsiTheme="minorEastAsia" w:eastAsiaTheme="minorEastAsia" w:cstheme="minorEastAsia"/>
        </w:rPr>
        <w:t>第三节 响应文件格式范本</w:t>
      </w:r>
      <w:bookmarkEnd w:id="201"/>
      <w:bookmarkEnd w:id="202"/>
      <w:bookmarkEnd w:id="203"/>
      <w:bookmarkEnd w:id="204"/>
      <w:bookmarkEnd w:id="205"/>
      <w:bookmarkEnd w:id="206"/>
    </w:p>
    <w:p>
      <w:pPr>
        <w:spacing w:line="240" w:lineRule="auto"/>
        <w:rPr>
          <w:rFonts w:asciiTheme="minorEastAsia" w:hAnsiTheme="minorEastAsia" w:eastAsiaTheme="minorEastAsia" w:cstheme="minorEastAsia"/>
          <w:sz w:val="24"/>
        </w:rPr>
      </w:pPr>
    </w:p>
    <w:p>
      <w:pPr>
        <w:pStyle w:val="5"/>
        <w:spacing w:line="240" w:lineRule="auto"/>
        <w:jc w:val="left"/>
        <w:rPr>
          <w:rFonts w:asciiTheme="minorEastAsia" w:hAnsiTheme="minorEastAsia" w:eastAsiaTheme="minorEastAsia" w:cstheme="minorEastAsia"/>
          <w:sz w:val="28"/>
          <w:szCs w:val="28"/>
        </w:rPr>
      </w:pPr>
      <w:bookmarkStart w:id="207" w:name="_Toc21603"/>
      <w:r>
        <w:rPr>
          <w:rFonts w:hint="eastAsia" w:asciiTheme="minorEastAsia" w:hAnsiTheme="minorEastAsia" w:eastAsiaTheme="minorEastAsia" w:cstheme="minorEastAsia"/>
          <w:sz w:val="28"/>
          <w:szCs w:val="28"/>
        </w:rPr>
        <w:t>封面格式</w:t>
      </w:r>
      <w:bookmarkEnd w:id="207"/>
    </w:p>
    <w:p>
      <w:pPr>
        <w:pStyle w:val="5"/>
        <w:spacing w:line="240" w:lineRule="auto"/>
        <w:rPr>
          <w:rFonts w:asciiTheme="minorEastAsia" w:hAnsiTheme="minorEastAsia" w:eastAsiaTheme="minorEastAsia" w:cstheme="minorEastAsia"/>
          <w:sz w:val="28"/>
          <w:szCs w:val="28"/>
        </w:rPr>
      </w:pPr>
      <w:bookmarkStart w:id="208" w:name="_Toc26205"/>
      <w:r>
        <w:rPr>
          <w:rFonts w:hint="eastAsia" w:asciiTheme="minorEastAsia" w:hAnsiTheme="minorEastAsia" w:eastAsiaTheme="minorEastAsia" w:cstheme="minorEastAsia"/>
          <w:sz w:val="28"/>
          <w:szCs w:val="28"/>
        </w:rPr>
        <w:t>招标服务类响应文件格式范本</w:t>
      </w:r>
      <w:bookmarkEnd w:id="208"/>
    </w:p>
    <w:p>
      <w:pPr>
        <w:spacing w:line="240" w:lineRule="auto"/>
        <w:jc w:val="right"/>
        <w:rPr>
          <w:rFonts w:asciiTheme="minorEastAsia" w:hAnsiTheme="minorEastAsia" w:eastAsiaTheme="minorEastAsia" w:cstheme="minorEastAsia"/>
          <w:sz w:val="24"/>
        </w:rPr>
      </w:pPr>
    </w:p>
    <w:p>
      <w:pPr>
        <w:spacing w:beforeLines="50" w:beforeAutospacing="0" w:afterLines="50" w:afterAutospacing="0" w:line="240" w:lineRule="auto"/>
        <w:jc w:val="center"/>
        <w:rPr>
          <w:rFonts w:asciiTheme="minorEastAsia" w:hAnsiTheme="minorEastAsia" w:eastAsiaTheme="minorEastAsia" w:cstheme="minorEastAsia"/>
          <w:spacing w:val="20"/>
          <w:sz w:val="44"/>
          <w:szCs w:val="44"/>
        </w:rPr>
      </w:pPr>
      <w:r>
        <w:rPr>
          <w:rFonts w:hint="eastAsia" w:asciiTheme="minorEastAsia" w:hAnsiTheme="minorEastAsia" w:eastAsiaTheme="minorEastAsia" w:cstheme="minorEastAsia"/>
          <w:spacing w:val="20"/>
          <w:sz w:val="44"/>
          <w:szCs w:val="44"/>
        </w:rPr>
        <w:t>XXXXX（项目名称）</w:t>
      </w:r>
    </w:p>
    <w:p>
      <w:pPr>
        <w:spacing w:beforeLines="50" w:beforeAutospacing="0" w:afterLines="50" w:afterAutospacing="0" w:line="240" w:lineRule="auto"/>
        <w:jc w:val="center"/>
        <w:rPr>
          <w:rFonts w:asciiTheme="minorEastAsia" w:hAnsiTheme="minorEastAsia" w:eastAsiaTheme="minorEastAsia" w:cstheme="minorEastAsia"/>
          <w:spacing w:val="40"/>
          <w:w w:val="110"/>
          <w:sz w:val="44"/>
          <w:szCs w:val="44"/>
        </w:rPr>
      </w:pPr>
      <w:r>
        <w:rPr>
          <w:rFonts w:hint="eastAsia" w:asciiTheme="minorEastAsia" w:hAnsiTheme="minorEastAsia" w:eastAsiaTheme="minorEastAsia" w:cstheme="minorEastAsia"/>
          <w:spacing w:val="40"/>
          <w:w w:val="110"/>
          <w:sz w:val="44"/>
          <w:szCs w:val="44"/>
        </w:rPr>
        <w:t>响应文件</w:t>
      </w:r>
    </w:p>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 / 副本/电子响应文件）</w:t>
      </w:r>
    </w:p>
    <w:tbl>
      <w:tblPr>
        <w:tblStyle w:val="35"/>
        <w:tblW w:w="7719" w:type="dxa"/>
        <w:jc w:val="center"/>
        <w:tblLayout w:type="fixed"/>
        <w:tblCellMar>
          <w:top w:w="0" w:type="dxa"/>
          <w:left w:w="108" w:type="dxa"/>
          <w:bottom w:w="0" w:type="dxa"/>
          <w:right w:w="108" w:type="dxa"/>
        </w:tblCellMar>
      </w:tblPr>
      <w:tblGrid>
        <w:gridCol w:w="1590"/>
        <w:gridCol w:w="2221"/>
        <w:gridCol w:w="1350"/>
        <w:gridCol w:w="2558"/>
      </w:tblGrid>
      <w:tr>
        <w:tblPrEx>
          <w:tblCellMar>
            <w:top w:w="0" w:type="dxa"/>
            <w:left w:w="108" w:type="dxa"/>
            <w:bottom w:w="0" w:type="dxa"/>
            <w:right w:w="108" w:type="dxa"/>
          </w:tblCellMar>
        </w:tblPrEx>
        <w:trPr>
          <w:trHeight w:val="404"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129" w:type="dxa"/>
            <w:gridSpan w:val="3"/>
            <w:tcBorders>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   目：</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详细地址：</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30"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221"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c>
          <w:tcPr>
            <w:tcW w:w="1350" w:type="dxa"/>
            <w:tcBorders>
              <w:top w:val="single" w:color="000000" w:sz="4" w:space="0"/>
            </w:tcBorders>
            <w:vAlign w:val="bottom"/>
          </w:tcPr>
          <w:p>
            <w:pPr>
              <w:spacing w:before="0" w:beforeAutospacing="0" w:after="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tc>
        <w:tc>
          <w:tcPr>
            <w:tcW w:w="2558"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r>
    </w:tbl>
    <w:p>
      <w:pPr>
        <w:spacing w:line="240" w:lineRule="auto"/>
        <w:ind w:firstLine="4200" w:firstLineChars="1750"/>
        <w:rPr>
          <w:rFonts w:asciiTheme="minorEastAsia" w:hAnsiTheme="minorEastAsia" w:eastAsiaTheme="minorEastAsia" w:cstheme="minorEastAsia"/>
          <w:sz w:val="24"/>
        </w:rPr>
        <w:sectPr>
          <w:headerReference r:id="rId11" w:type="first"/>
          <w:headerReference r:id="rId9" w:type="default"/>
          <w:footerReference r:id="rId12" w:type="default"/>
          <w:headerReference r:id="rId10" w:type="even"/>
          <w:pgSz w:w="11907" w:h="16840"/>
          <w:pgMar w:top="1531" w:right="1418" w:bottom="1361" w:left="1418" w:header="720" w:footer="720" w:gutter="0"/>
          <w:cols w:space="425" w:num="1"/>
          <w:docGrid w:linePitch="285" w:charSpace="0"/>
        </w:sectPr>
      </w:pPr>
      <w:r>
        <w:rPr>
          <w:rFonts w:hint="eastAsia" w:asciiTheme="minorEastAsia" w:hAnsiTheme="minorEastAsia" w:eastAsiaTheme="minorEastAsia" w:cstheme="minorEastAsia"/>
          <w:sz w:val="24"/>
        </w:rPr>
        <w:t>2022年   月</w:t>
      </w:r>
    </w:p>
    <w:p>
      <w:pPr>
        <w:pStyle w:val="2"/>
        <w:ind w:firstLine="0" w:firstLineChars="0"/>
        <w:jc w:val="center"/>
        <w:outlineLvl w:val="1"/>
        <w:rPr>
          <w:rFonts w:asciiTheme="minorEastAsia" w:hAnsiTheme="minorEastAsia" w:eastAsiaTheme="minorEastAsia"/>
          <w:bCs/>
          <w:sz w:val="24"/>
        </w:rPr>
      </w:pPr>
      <w:bookmarkStart w:id="209" w:name="_Toc13434"/>
      <w:bookmarkStart w:id="210" w:name="_Toc42394519"/>
      <w:bookmarkStart w:id="211" w:name="_Toc42394676"/>
      <w:bookmarkStart w:id="212" w:name="_Toc101951272"/>
      <w:bookmarkStart w:id="213" w:name="_Toc98579071"/>
      <w:bookmarkStart w:id="214" w:name="_Toc38947809"/>
      <w:bookmarkStart w:id="215" w:name="_Toc175106977"/>
      <w:bookmarkStart w:id="216" w:name="_Toc175644396"/>
      <w:bookmarkStart w:id="217" w:name="_Toc38947810"/>
      <w:bookmarkStart w:id="218" w:name="_Toc41884710"/>
      <w:bookmarkStart w:id="219" w:name="_Toc42313176"/>
      <w:bookmarkStart w:id="220" w:name="_Toc98580295"/>
      <w:bookmarkStart w:id="221" w:name="_Toc50276168"/>
      <w:bookmarkStart w:id="222" w:name="_Toc42394675"/>
      <w:bookmarkStart w:id="223" w:name="_Toc40762378"/>
      <w:bookmarkStart w:id="224" w:name="_Toc41723940"/>
      <w:bookmarkStart w:id="225" w:name="_Toc101775134"/>
      <w:bookmarkStart w:id="226" w:name="_Toc42394520"/>
      <w:bookmarkStart w:id="227" w:name="_Toc42313175"/>
      <w:bookmarkStart w:id="228" w:name="_Toc41884709"/>
      <w:bookmarkStart w:id="229" w:name="_Toc40762377"/>
      <w:bookmarkStart w:id="230" w:name="_Toc98579612"/>
      <w:bookmarkStart w:id="231" w:name="_Toc101771381"/>
      <w:bookmarkStart w:id="232" w:name="_Toc98579013"/>
      <w:bookmarkStart w:id="233" w:name="_Toc50276167"/>
      <w:bookmarkStart w:id="234" w:name="_Toc41723939"/>
      <w:bookmarkStart w:id="235" w:name="_Toc101843134"/>
      <w:r>
        <w:rPr>
          <w:rFonts w:hint="eastAsia" w:asciiTheme="minorEastAsia" w:hAnsiTheme="minorEastAsia" w:eastAsiaTheme="minorEastAsia"/>
          <w:bCs/>
          <w:sz w:val="28"/>
        </w:rPr>
        <w:t>资格自查表</w:t>
      </w:r>
      <w:bookmarkEnd w:id="209"/>
    </w:p>
    <w:tbl>
      <w:tblPr>
        <w:tblStyle w:val="35"/>
        <w:tblW w:w="5000" w:type="pct"/>
        <w:tblInd w:w="0" w:type="dxa"/>
        <w:tblLayout w:type="autofit"/>
        <w:tblCellMar>
          <w:top w:w="0" w:type="dxa"/>
          <w:left w:w="108" w:type="dxa"/>
          <w:bottom w:w="0" w:type="dxa"/>
          <w:right w:w="108" w:type="dxa"/>
        </w:tblCellMar>
      </w:tblPr>
      <w:tblGrid>
        <w:gridCol w:w="636"/>
        <w:gridCol w:w="1676"/>
        <w:gridCol w:w="5776"/>
        <w:gridCol w:w="1199"/>
      </w:tblGrid>
      <w:tr>
        <w:tblPrEx>
          <w:tblCellMar>
            <w:top w:w="0" w:type="dxa"/>
            <w:left w:w="108" w:type="dxa"/>
            <w:bottom w:w="0" w:type="dxa"/>
            <w:right w:w="108" w:type="dxa"/>
          </w:tblCellMar>
        </w:tblPrEx>
        <w:trPr>
          <w:trHeight w:val="550" w:hRule="atLeast"/>
        </w:trPr>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906"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资格要求</w:t>
            </w:r>
          </w:p>
        </w:tc>
        <w:tc>
          <w:tcPr>
            <w:tcW w:w="3113"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评审内容</w:t>
            </w:r>
          </w:p>
        </w:tc>
        <w:tc>
          <w:tcPr>
            <w:tcW w:w="649"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对应页码</w:t>
            </w:r>
          </w:p>
        </w:tc>
      </w:tr>
      <w:tr>
        <w:tblPrEx>
          <w:tblCellMar>
            <w:top w:w="0" w:type="dxa"/>
            <w:left w:w="108" w:type="dxa"/>
            <w:bottom w:w="0" w:type="dxa"/>
            <w:right w:w="108" w:type="dxa"/>
          </w:tblCellMar>
        </w:tblPrEx>
        <w:trPr>
          <w:trHeight w:val="140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具有独立承担民事责任的能力</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（1）投标人是企业（包括合伙企业），提供有效 的营业执照。</w:t>
            </w:r>
            <w:r>
              <w:rPr>
                <w:rFonts w:hint="eastAsia" w:ascii="宋体" w:hAnsi="宋体" w:cs="宋体"/>
                <w:color w:val="000000"/>
                <w:kern w:val="0"/>
                <w:szCs w:val="21"/>
              </w:rPr>
              <w:br w:type="textWrapping"/>
            </w:r>
            <w:r>
              <w:rPr>
                <w:rFonts w:hint="eastAsia" w:ascii="宋体" w:hAnsi="宋体" w:cs="宋体"/>
                <w:color w:val="000000"/>
                <w:kern w:val="0"/>
                <w:szCs w:val="21"/>
              </w:rPr>
              <w:t>（2）投标人是事业单位，提供有效的事业单位法人证书。</w:t>
            </w:r>
            <w:r>
              <w:rPr>
                <w:rFonts w:hint="eastAsia" w:ascii="宋体" w:hAnsi="宋体" w:cs="宋体"/>
                <w:color w:val="000000"/>
                <w:kern w:val="0"/>
                <w:szCs w:val="21"/>
              </w:rPr>
              <w:br w:type="textWrapping"/>
            </w:r>
            <w:r>
              <w:rPr>
                <w:rFonts w:hint="eastAsia" w:ascii="宋体" w:hAnsi="宋体" w:cs="宋体"/>
                <w:color w:val="000000"/>
                <w:kern w:val="0"/>
                <w:szCs w:val="21"/>
              </w:rPr>
              <w:t>（3）投标人是非企业专业服务机构的，提供有效的执业许可证等证明文件。</w:t>
            </w:r>
            <w:r>
              <w:rPr>
                <w:rFonts w:hint="eastAsia" w:ascii="宋体" w:hAnsi="宋体" w:cs="宋体"/>
                <w:color w:val="000000"/>
                <w:kern w:val="0"/>
                <w:szCs w:val="21"/>
              </w:rPr>
              <w:br w:type="textWrapping"/>
            </w:r>
            <w:r>
              <w:rPr>
                <w:rFonts w:hint="eastAsia" w:ascii="宋体" w:hAnsi="宋体" w:cs="宋体"/>
                <w:color w:val="000000"/>
                <w:kern w:val="0"/>
                <w:szCs w:val="21"/>
              </w:rPr>
              <w:t>（4）投标人是个体工商户，提供有效的个体工商户营业执照。</w:t>
            </w:r>
            <w:r>
              <w:rPr>
                <w:rFonts w:hint="eastAsia" w:ascii="宋体" w:hAnsi="宋体" w:cs="宋体"/>
                <w:color w:val="000000"/>
                <w:kern w:val="0"/>
                <w:szCs w:val="21"/>
              </w:rPr>
              <w:br w:type="textWrapping"/>
            </w:r>
            <w:r>
              <w:rPr>
                <w:rFonts w:hint="eastAsia" w:ascii="宋体" w:hAnsi="宋体" w:cs="宋体"/>
                <w:color w:val="000000"/>
                <w:kern w:val="0"/>
                <w:szCs w:val="21"/>
              </w:rPr>
              <w:t>（5）投标人是自然人，提供有效的自然人身份证明。</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1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具有良好的商业信誉和健全的财务会计制度</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r>
              <w:rPr>
                <w:rFonts w:hint="eastAsia" w:ascii="宋体" w:hAnsi="宋体" w:cs="宋体"/>
                <w:color w:val="000000"/>
                <w:kern w:val="0"/>
                <w:szCs w:val="21"/>
              </w:rPr>
              <w:br w:type="textWrapping"/>
            </w:r>
            <w:r>
              <w:rPr>
                <w:rFonts w:hint="eastAsia" w:ascii="宋体" w:hAnsi="宋体" w:cs="宋体"/>
                <w:color w:val="000000"/>
                <w:kern w:val="0"/>
                <w:szCs w:val="21"/>
              </w:rPr>
              <w:t>（2）无法按第（1）条提供财务报告的投标人可 以提供银行出具的资信证明。</w:t>
            </w:r>
            <w:r>
              <w:rPr>
                <w:rFonts w:hint="eastAsia" w:ascii="宋体" w:hAnsi="宋体" w:cs="宋体"/>
                <w:color w:val="000000"/>
                <w:kern w:val="0"/>
                <w:szCs w:val="21"/>
              </w:rPr>
              <w:br w:type="textWrapping"/>
            </w:r>
            <w:r>
              <w:rPr>
                <w:rFonts w:hint="eastAsia" w:ascii="宋体" w:hAnsi="宋体" w:cs="宋体"/>
                <w:color w:val="000000"/>
                <w:kern w:val="0"/>
                <w:szCs w:val="21"/>
              </w:rPr>
              <w:t>（3）投标人也可以提供财政部门认可的政府采购专业担保机构出具的投标担保函（原件），代替财务状况报告。</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具有履行合同所必需的设备和专业技术能力</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提供具备足够数量的设施设备及技术人员的证明材料或承诺。</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7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有依法缴纳税收和社会保障资金的良好记录</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有依法缴纳税收和社会保障资金的良好记录，由投标人对以下内容提供书面承诺及声明，或提供相应证明材料。</w:t>
            </w:r>
            <w:r>
              <w:rPr>
                <w:rFonts w:hint="eastAsia" w:ascii="宋体" w:hAnsi="宋体" w:cs="宋体"/>
                <w:color w:val="000000"/>
                <w:kern w:val="0"/>
                <w:szCs w:val="21"/>
              </w:rPr>
              <w:br w:type="textWrapping"/>
            </w:r>
            <w:r>
              <w:rPr>
                <w:rFonts w:hint="eastAsia" w:ascii="宋体" w:hAnsi="宋体" w:cs="宋体"/>
                <w:color w:val="000000"/>
                <w:kern w:val="0"/>
                <w:szCs w:val="21"/>
              </w:rPr>
              <w:t>（1） 投标人依法交纳税收的证明材料：本项目公告发布时间前 6 个月内（至少提供 1 个月）交纳增值税、企业所得税的凭据（完税证、缴款书、印花税票、银行代扣（代缴）转账凭证等均可）；</w:t>
            </w:r>
            <w:r>
              <w:rPr>
                <w:rFonts w:hint="eastAsia" w:ascii="宋体" w:hAnsi="宋体" w:cs="宋体"/>
                <w:color w:val="000000"/>
                <w:kern w:val="0"/>
                <w:szCs w:val="21"/>
              </w:rPr>
              <w:br w:type="textWrapping"/>
            </w:r>
            <w:r>
              <w:rPr>
                <w:rFonts w:hint="eastAsia" w:ascii="宋体" w:hAnsi="宋体" w:cs="宋体"/>
                <w:color w:val="000000"/>
                <w:kern w:val="0"/>
                <w:szCs w:val="21"/>
              </w:rPr>
              <w:t>（2） 投标人依法交纳社会保障资金的证明材料： 本项目公告发布时间前6 个月内（至少提供1 个月） 交纳社会保险的凭据（专用收据或社会保险交纳清单）；</w:t>
            </w:r>
            <w:r>
              <w:rPr>
                <w:rFonts w:hint="eastAsia" w:ascii="宋体" w:hAnsi="宋体" w:cs="宋体"/>
                <w:color w:val="000000"/>
                <w:kern w:val="0"/>
                <w:szCs w:val="21"/>
              </w:rPr>
              <w:br w:type="textWrapping"/>
            </w:r>
            <w:r>
              <w:rPr>
                <w:rFonts w:hint="eastAsia" w:ascii="宋体" w:hAnsi="宋体" w:cs="宋体"/>
                <w:color w:val="000000"/>
                <w:kern w:val="0"/>
                <w:szCs w:val="21"/>
              </w:rPr>
              <w:t>（3） 投标人为其他组织或自然人的，也需要按此项规定提供交纳税收的凭据和交纳社会保险的凭据；</w:t>
            </w:r>
            <w:r>
              <w:rPr>
                <w:rFonts w:hint="eastAsia" w:ascii="宋体" w:hAnsi="宋体" w:cs="宋体"/>
                <w:color w:val="000000"/>
                <w:kern w:val="0"/>
                <w:szCs w:val="21"/>
              </w:rPr>
              <w:br w:type="textWrapping"/>
            </w:r>
            <w:r>
              <w:rPr>
                <w:rFonts w:hint="eastAsia" w:ascii="宋体" w:hAnsi="宋体" w:cs="宋体"/>
                <w:color w:val="000000"/>
                <w:kern w:val="0"/>
                <w:szCs w:val="21"/>
              </w:rPr>
              <w:t>（4） 依法免税或不需要交纳社会保障资金的投标人，应提供相应文件证明其依法免税或不需要交纳社会保障资金。</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参加政府采购活动前三年内，在经营活动中没有重大违法记录</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按照招标文件投标文件格式附件的格式要求，根据相关法规规定，提交书面声明。</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法律、行政法规规定的其他条件</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如国家对生产和销售相关产品或提供相关服务有专门法律、行政法规规定的，须提供相关许可的证明材料。</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2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906"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未被列入失信被执行人、重大税收违法案件当事人名单，未被列入政府采购严重违法失信行为</w:t>
            </w:r>
            <w:r>
              <w:rPr>
                <w:rFonts w:hint="eastAsia" w:ascii="宋体" w:hAnsi="宋体" w:cs="宋体"/>
                <w:color w:val="000000"/>
                <w:kern w:val="0"/>
                <w:szCs w:val="21"/>
              </w:rPr>
              <w:br w:type="textWrapping"/>
            </w:r>
            <w:r>
              <w:rPr>
                <w:rFonts w:hint="eastAsia" w:ascii="宋体" w:hAnsi="宋体" w:cs="宋体"/>
                <w:color w:val="000000"/>
                <w:kern w:val="0"/>
                <w:szCs w:val="21"/>
              </w:rPr>
              <w:t>记录名单</w:t>
            </w:r>
          </w:p>
        </w:tc>
        <w:tc>
          <w:tcPr>
            <w:tcW w:w="3113"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906"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资质要求</w:t>
            </w:r>
          </w:p>
        </w:tc>
        <w:tc>
          <w:tcPr>
            <w:tcW w:w="3113"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需具备工程设计综合资质甲级或建筑行业(建筑工程)资质甲级，在人员、资金、等方面应具有相应的能力。</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906"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投标保证金</w:t>
            </w:r>
          </w:p>
        </w:tc>
        <w:tc>
          <w:tcPr>
            <w:tcW w:w="3113"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保证金按招标文件要求递交</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906"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法定代表人身份证明或法定代表人授权委托书</w:t>
            </w:r>
          </w:p>
        </w:tc>
        <w:tc>
          <w:tcPr>
            <w:tcW w:w="3113" w:type="pct"/>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按要求提供法定代表人身份证明或法定代表人授权委托书；</w:t>
            </w:r>
          </w:p>
        </w:tc>
        <w:tc>
          <w:tcPr>
            <w:tcW w:w="649"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bl>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投标人应按资格审查表提供相应资质证明文件。</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所有证书、证明文件包括按要求提供的官网截图必须是真实、有效、可查证的，须注明资料来源。资格证明文件应为原件的扫描件，投标文件中须编入清晰的扫描件或复印件。所有证明材料须清晰可辨认，如因证明材料模糊无法辨认， 缺页、漏页导致无法进行评审认定的责任由投标人自负。如发现弄虚作假将按照有关规定严肃处理。</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证明材料仅限于投标单位本身，参股或控股单位及独立法人子公司的材料不能作为证明材料，但投标单位兼并的企业的材料可作为证明材料。</w:t>
      </w:r>
    </w:p>
    <w:p>
      <w:pPr>
        <w:pStyle w:val="2"/>
        <w:ind w:firstLine="0" w:firstLineChars="0"/>
        <w:jc w:val="center"/>
        <w:rPr>
          <w:rFonts w:asciiTheme="minorEastAsia" w:hAnsiTheme="minorEastAsia" w:eastAsiaTheme="minorEastAsia"/>
          <w:bCs/>
          <w:sz w:val="28"/>
        </w:rPr>
      </w:pPr>
    </w:p>
    <w:p>
      <w:pPr>
        <w:widowControl/>
        <w:spacing w:before="0" w:beforeAutospacing="0" w:after="0" w:afterAutospacing="0" w:line="240" w:lineRule="auto"/>
        <w:jc w:val="left"/>
        <w:rPr>
          <w:rFonts w:asciiTheme="minorEastAsia" w:hAnsiTheme="minorEastAsia" w:eastAsiaTheme="minorEastAsia"/>
          <w:bCs/>
          <w:kern w:val="0"/>
          <w:sz w:val="28"/>
        </w:rPr>
      </w:pPr>
      <w:r>
        <w:rPr>
          <w:rFonts w:asciiTheme="minorEastAsia" w:hAnsiTheme="minorEastAsia" w:eastAsiaTheme="minorEastAsia"/>
          <w:bCs/>
          <w:sz w:val="28"/>
        </w:rPr>
        <w:br w:type="page"/>
      </w:r>
    </w:p>
    <w:p>
      <w:pPr>
        <w:pStyle w:val="2"/>
        <w:ind w:firstLine="0" w:firstLineChars="0"/>
        <w:jc w:val="center"/>
        <w:outlineLvl w:val="1"/>
        <w:rPr>
          <w:rFonts w:asciiTheme="minorEastAsia" w:hAnsiTheme="minorEastAsia" w:eastAsiaTheme="minorEastAsia"/>
          <w:bCs/>
          <w:sz w:val="28"/>
        </w:rPr>
      </w:pPr>
      <w:bookmarkStart w:id="236" w:name="_Toc23473"/>
      <w:r>
        <w:rPr>
          <w:rFonts w:hint="eastAsia" w:asciiTheme="minorEastAsia" w:hAnsiTheme="minorEastAsia" w:eastAsiaTheme="minorEastAsia"/>
          <w:bCs/>
          <w:sz w:val="28"/>
        </w:rPr>
        <w:t>符合性自查表</w:t>
      </w:r>
      <w:bookmarkEnd w:id="236"/>
    </w:p>
    <w:tbl>
      <w:tblPr>
        <w:tblStyle w:val="35"/>
        <w:tblW w:w="5000" w:type="pct"/>
        <w:tblInd w:w="0" w:type="dxa"/>
        <w:tblLayout w:type="autofit"/>
        <w:tblCellMar>
          <w:top w:w="0" w:type="dxa"/>
          <w:left w:w="108" w:type="dxa"/>
          <w:bottom w:w="0" w:type="dxa"/>
          <w:right w:w="108" w:type="dxa"/>
        </w:tblCellMar>
      </w:tblPr>
      <w:tblGrid>
        <w:gridCol w:w="636"/>
        <w:gridCol w:w="6896"/>
        <w:gridCol w:w="1755"/>
      </w:tblGrid>
      <w:tr>
        <w:tblPrEx>
          <w:tblCellMar>
            <w:top w:w="0" w:type="dxa"/>
            <w:left w:w="108" w:type="dxa"/>
            <w:bottom w:w="0" w:type="dxa"/>
            <w:right w:w="108" w:type="dxa"/>
          </w:tblCellMar>
        </w:tblPrEx>
        <w:trPr>
          <w:trHeight w:val="550" w:hRule="atLeast"/>
        </w:trPr>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3718"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审核内容</w:t>
            </w:r>
          </w:p>
        </w:tc>
        <w:tc>
          <w:tcPr>
            <w:tcW w:w="950"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对应页码</w:t>
            </w:r>
          </w:p>
        </w:tc>
      </w:tr>
      <w:tr>
        <w:tblPrEx>
          <w:tblCellMar>
            <w:top w:w="0" w:type="dxa"/>
            <w:left w:w="108" w:type="dxa"/>
            <w:bottom w:w="0" w:type="dxa"/>
            <w:right w:w="108" w:type="dxa"/>
          </w:tblCellMar>
        </w:tblPrEx>
        <w:trPr>
          <w:trHeight w:val="4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按照招标文件规定要求签署、盖章</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0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按照招标文件要求进行有效报价，不存在高于最高限价或低于成本价，不存在恶意报价损害采购人利益的行为；</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投标有效期满足招标文件规定</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投标文件中未附有采购人不能接受条件</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332" w:type="pct"/>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投标文件满足招标文件商务、技术等实质性要求（标注“*” 号的条款）</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投标人未出现招标文件中规定无效投标的其它条款</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69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投标人未有下列任一情形：</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（1） 不同投标人的投标文件由同一单位或者个人编制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（2） 不同投标人委托同一单位或者个人办理投标事宜</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（3） 不同投标人的投标文件载明的项目管理成员或者联系人员为同一人</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（4） 不同投标人的投标文件异常一致或者投标报价呈规律性差异</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（5） 不同投标人的投标文件相互混装</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00" w:hRule="atLeast"/>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8</w:t>
            </w:r>
          </w:p>
        </w:tc>
        <w:tc>
          <w:tcPr>
            <w:tcW w:w="3718" w:type="pct"/>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按要求递交正本1份，副本3份，且响应文件对招标文件的实质性要求作出响应；</w:t>
            </w:r>
          </w:p>
        </w:tc>
        <w:tc>
          <w:tcPr>
            <w:tcW w:w="950" w:type="pct"/>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pPr>
        <w:rPr>
          <w:b/>
          <w:bCs/>
          <w:sz w:val="28"/>
          <w:szCs w:val="28"/>
        </w:rPr>
      </w:pPr>
      <w:r>
        <w:rPr>
          <w:rFonts w:hint="eastAsia"/>
          <w:b/>
          <w:bCs/>
          <w:sz w:val="28"/>
          <w:szCs w:val="28"/>
        </w:rPr>
        <w:t xml:space="preserve">评标导航表 </w:t>
      </w:r>
    </w:p>
    <w:p>
      <w:pPr>
        <w:rPr>
          <w:b/>
          <w:bCs/>
          <w:sz w:val="28"/>
          <w:szCs w:val="28"/>
        </w:rPr>
      </w:pPr>
      <w:r>
        <w:rPr>
          <w:rFonts w:hint="eastAsia"/>
          <w:b/>
          <w:bCs/>
          <w:sz w:val="28"/>
          <w:szCs w:val="28"/>
        </w:rPr>
        <w:t>备注：为方便评委评标，投标投标人可根据招标文件中载明的《评分标准》， 将具体响应情况及投标文件中对应页码在上表中注明。</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widowControl/>
        <w:spacing w:before="0" w:beforeAutospacing="0" w:after="0" w:afterAutospacing="0" w:line="240" w:lineRule="auto"/>
        <w:jc w:val="left"/>
        <w:rPr>
          <w:rFonts w:ascii="宋体" w:hAnsi="宋体"/>
          <w:b/>
          <w:kern w:val="0"/>
          <w:sz w:val="28"/>
          <w:szCs w:val="28"/>
          <w:lang w:val="zh-CN"/>
        </w:rPr>
      </w:pPr>
      <w:r>
        <w:rPr>
          <w:rFonts w:hAnsi="宋体"/>
          <w:b/>
          <w:sz w:val="28"/>
          <w:szCs w:val="28"/>
        </w:rPr>
        <w:br w:type="page"/>
      </w:r>
    </w:p>
    <w:p>
      <w:pPr>
        <w:pStyle w:val="182"/>
        <w:spacing w:line="360" w:lineRule="auto"/>
        <w:jc w:val="center"/>
        <w:rPr>
          <w:rFonts w:hAnsi="宋体"/>
          <w:b/>
          <w:sz w:val="28"/>
          <w:szCs w:val="28"/>
        </w:rPr>
      </w:pPr>
      <w:r>
        <w:rPr>
          <w:rFonts w:hint="eastAsia" w:hAnsi="宋体"/>
          <w:b/>
          <w:sz w:val="28"/>
          <w:szCs w:val="28"/>
        </w:rPr>
        <w:t>投标承诺函</w:t>
      </w:r>
    </w:p>
    <w:p>
      <w:pPr>
        <w:pStyle w:val="112"/>
        <w:spacing w:line="360" w:lineRule="auto"/>
        <w:ind w:right="84" w:rightChars="40"/>
        <w:rPr>
          <w:rFonts w:asciiTheme="minorEastAsia" w:hAnsiTheme="minorEastAsia" w:eastAsiaTheme="minorEastAsia"/>
          <w:sz w:val="24"/>
          <w:szCs w:val="24"/>
        </w:rPr>
      </w:pPr>
      <w:r>
        <w:rPr>
          <w:rFonts w:hint="eastAsia" w:asciiTheme="minorEastAsia" w:hAnsiTheme="minorEastAsia" w:eastAsiaTheme="minorEastAsia"/>
          <w:sz w:val="24"/>
          <w:szCs w:val="24"/>
        </w:rPr>
        <w:t>新疆正禾招投标有限公司：</w:t>
      </w:r>
    </w:p>
    <w:p>
      <w:pPr>
        <w:pStyle w:val="112"/>
        <w:tabs>
          <w:tab w:val="left" w:pos="9450"/>
        </w:tabs>
        <w:spacing w:line="360" w:lineRule="auto"/>
        <w:ind w:right="84" w:rightChars="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方确认收到贵方提供的“新疆维吾尔自治区妇幼保健院（新疆维吾尔自治区第八人民医院）妇幼综合楼工程可行性研究报告编制及初步设计服务采购项目”(项目编号：2022-ZFCG-0012)的招标文件，已完全理解招标文件的所有内容。决定投标本项目，据此我方承诺如下：</w:t>
      </w:r>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37" w:name="_Toc6229"/>
      <w:r>
        <w:rPr>
          <w:rFonts w:hint="eastAsia" w:ascii="宋体" w:hAnsi="宋体" w:eastAsia="宋体"/>
          <w:bCs/>
          <w:sz w:val="24"/>
          <w:szCs w:val="24"/>
        </w:rPr>
        <w:t>我方的响应文件在投标截止日后90天（日历天）内保持有效，如中标，有效期将延至本项目《 政府采购合同》执行期满日为止。</w:t>
      </w:r>
      <w:bookmarkEnd w:id="237"/>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38" w:name="_Toc22206"/>
      <w:r>
        <w:rPr>
          <w:rFonts w:ascii="宋体" w:hAnsi="宋体" w:eastAsia="宋体"/>
          <w:bCs/>
          <w:sz w:val="24"/>
          <w:szCs w:val="24"/>
        </w:rPr>
        <w:t>我方在参与投标前已仔细研究了招标文件和所有相关资料，我方完全明白并认为此招标文件没有倾向性，也没有存在排斥潜在</w:t>
      </w:r>
      <w:r>
        <w:rPr>
          <w:rFonts w:hint="eastAsia" w:ascii="宋体" w:hAnsi="宋体" w:eastAsia="宋体"/>
          <w:bCs/>
          <w:sz w:val="24"/>
          <w:szCs w:val="24"/>
        </w:rPr>
        <w:t>供应商</w:t>
      </w:r>
      <w:r>
        <w:rPr>
          <w:rFonts w:ascii="宋体" w:hAnsi="宋体" w:eastAsia="宋体"/>
          <w:bCs/>
          <w:sz w:val="24"/>
          <w:szCs w:val="24"/>
        </w:rPr>
        <w:t>的内容，我方同意招标文件的相关条款，放弃对招标文件提出误解和质疑的一切权</w:t>
      </w:r>
      <w:r>
        <w:rPr>
          <w:rFonts w:hint="eastAsia" w:ascii="宋体" w:hAnsi="宋体" w:eastAsia="宋体"/>
          <w:bCs/>
          <w:sz w:val="24"/>
          <w:szCs w:val="24"/>
        </w:rPr>
        <w:t>利</w:t>
      </w:r>
      <w:r>
        <w:rPr>
          <w:rFonts w:ascii="宋体" w:hAnsi="宋体" w:eastAsia="宋体"/>
          <w:bCs/>
          <w:sz w:val="24"/>
          <w:szCs w:val="24"/>
        </w:rPr>
        <w:t>。</w:t>
      </w:r>
      <w:bookmarkEnd w:id="238"/>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39" w:name="_Toc23797"/>
      <w:r>
        <w:rPr>
          <w:rFonts w:hint="eastAsia" w:ascii="宋体" w:hAnsi="宋体" w:eastAsia="宋体"/>
          <w:bCs/>
          <w:sz w:val="24"/>
          <w:szCs w:val="24"/>
        </w:rPr>
        <w:t>我方声明响应文件及所提供的一切资料均真实无误及有效。由于我方提供资料不实而造成的责任和后果由我方承担。我方同意按照贵方可能提出的要求，提供与投标有关的任何其它数据或信息。</w:t>
      </w:r>
      <w:bookmarkEnd w:id="239"/>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40" w:name="_Toc27309"/>
      <w:r>
        <w:rPr>
          <w:rFonts w:hint="eastAsia" w:ascii="宋体" w:hAnsi="宋体" w:eastAsia="宋体"/>
          <w:bCs/>
          <w:sz w:val="24"/>
          <w:szCs w:val="24"/>
        </w:rPr>
        <w:t>我方理解贵方不一定接受最低报价的投标。</w:t>
      </w:r>
      <w:bookmarkEnd w:id="240"/>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41" w:name="_Toc29281"/>
      <w:r>
        <w:rPr>
          <w:rFonts w:hint="eastAsia" w:ascii="宋体" w:hAnsi="宋体" w:eastAsia="宋体"/>
          <w:bCs/>
          <w:sz w:val="24"/>
          <w:szCs w:val="24"/>
        </w:rPr>
        <w:t>我方同意如在本项目开标后、投标有效期之内撤销响应文件，或中标后未在规定期限内签订合同并送贵方备案的，贵方将不退还投标保证金（如有）。</w:t>
      </w:r>
      <w:bookmarkEnd w:id="241"/>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42" w:name="_Toc21213"/>
      <w:r>
        <w:rPr>
          <w:rFonts w:hint="eastAsia" w:ascii="宋体" w:hAnsi="宋体" w:eastAsia="宋体"/>
          <w:bCs/>
          <w:sz w:val="24"/>
          <w:szCs w:val="24"/>
        </w:rPr>
        <w:t>我方接受按采购人委托向贵方支付招标代理服务费，如果中标，保证履行响应文件中承诺的全部责任和义务，切实履行《 政府采购合同》中的全部条款，投标总报价已包含招标代理服务费（（招标代理服务费）按照招标文件第一章供应商须知中所列收费标准计算），并承诺向贵单位足额支付。</w:t>
      </w:r>
      <w:bookmarkEnd w:id="242"/>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43" w:name="_Toc27660"/>
      <w:r>
        <w:rPr>
          <w:rFonts w:hint="eastAsia" w:ascii="宋体" w:hAnsi="宋体" w:eastAsia="宋体"/>
          <w:bCs/>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bookmarkEnd w:id="243"/>
    </w:p>
    <w:p>
      <w:pPr>
        <w:pStyle w:val="137"/>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44" w:name="_Toc19526"/>
      <w:r>
        <w:rPr>
          <w:rFonts w:hint="eastAsia" w:ascii="宋体" w:hAnsi="宋体" w:eastAsia="宋体"/>
          <w:bCs/>
          <w:sz w:val="24"/>
          <w:szCs w:val="24"/>
        </w:rPr>
        <w:t>所有与本项目有关的函件请发往下列地址：</w:t>
      </w:r>
      <w:bookmarkEnd w:id="244"/>
    </w:p>
    <w:tbl>
      <w:tblPr>
        <w:tblStyle w:val="3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112"/>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地址（邮编）</w:t>
            </w:r>
          </w:p>
        </w:tc>
        <w:tc>
          <w:tcPr>
            <w:tcW w:w="5220" w:type="dxa"/>
            <w:gridSpan w:val="2"/>
          </w:tcPr>
          <w:p>
            <w:pPr>
              <w:pStyle w:val="112"/>
              <w:tabs>
                <w:tab w:val="left" w:pos="0"/>
              </w:tabs>
              <w:spacing w:line="360" w:lineRule="auto"/>
              <w:ind w:right="25" w:rightChars="12"/>
              <w:rPr>
                <w:rFonts w:asciiTheme="minorEastAsia" w:hAnsiTheme="minorEastAsia" w:eastAsiaTheme="minorEastAsia"/>
                <w:sz w:val="24"/>
                <w:szCs w:val="24"/>
              </w:rPr>
            </w:pPr>
          </w:p>
        </w:tc>
        <w:tc>
          <w:tcPr>
            <w:tcW w:w="900" w:type="dxa"/>
          </w:tcPr>
          <w:p>
            <w:pPr>
              <w:pStyle w:val="112"/>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1280" w:type="dxa"/>
          </w:tcPr>
          <w:p>
            <w:pPr>
              <w:pStyle w:val="112"/>
              <w:tabs>
                <w:tab w:val="left" w:pos="0"/>
              </w:tabs>
              <w:spacing w:line="360" w:lineRule="auto"/>
              <w:ind w:right="25" w:rightChars="12"/>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112"/>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电话、手机</w:t>
            </w:r>
          </w:p>
        </w:tc>
        <w:tc>
          <w:tcPr>
            <w:tcW w:w="3420" w:type="dxa"/>
          </w:tcPr>
          <w:p>
            <w:pPr>
              <w:pStyle w:val="112"/>
              <w:tabs>
                <w:tab w:val="left" w:pos="0"/>
              </w:tabs>
              <w:spacing w:line="360" w:lineRule="auto"/>
              <w:ind w:right="25" w:rightChars="12"/>
              <w:rPr>
                <w:rFonts w:asciiTheme="minorEastAsia" w:hAnsiTheme="minorEastAsia" w:eastAsiaTheme="minorEastAsia"/>
                <w:sz w:val="24"/>
                <w:szCs w:val="24"/>
              </w:rPr>
            </w:pPr>
          </w:p>
        </w:tc>
        <w:tc>
          <w:tcPr>
            <w:tcW w:w="1800" w:type="dxa"/>
          </w:tcPr>
          <w:p>
            <w:pPr>
              <w:pStyle w:val="112"/>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联系人（职务）</w:t>
            </w:r>
          </w:p>
        </w:tc>
        <w:tc>
          <w:tcPr>
            <w:tcW w:w="2180" w:type="dxa"/>
            <w:gridSpan w:val="2"/>
          </w:tcPr>
          <w:p>
            <w:pPr>
              <w:pStyle w:val="112"/>
              <w:tabs>
                <w:tab w:val="left" w:pos="0"/>
              </w:tabs>
              <w:spacing w:line="360" w:lineRule="auto"/>
              <w:ind w:right="25" w:rightChars="12"/>
              <w:rPr>
                <w:rFonts w:asciiTheme="minorEastAsia" w:hAnsiTheme="minorEastAsia" w:eastAsiaTheme="minorEastAsia"/>
                <w:sz w:val="24"/>
                <w:szCs w:val="24"/>
              </w:rPr>
            </w:pPr>
          </w:p>
        </w:tc>
      </w:tr>
    </w:tbl>
    <w:p>
      <w:pPr>
        <w:pStyle w:val="112"/>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法定代表人或被授权人（签字或盖章）：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2"/>
        <w:spacing w:line="360" w:lineRule="auto"/>
        <w:ind w:right="84" w:rightChars="40" w:firstLine="4080" w:firstLineChars="17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2"/>
        <w:spacing w:line="360" w:lineRule="auto"/>
        <w:ind w:right="84" w:rightChars="40" w:firstLine="4080" w:firstLineChars="17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cs="Arial" w:asciiTheme="minorEastAsia" w:hAnsiTheme="minorEastAsia" w:eastAsiaTheme="minorEastAsia"/>
          <w:sz w:val="24"/>
          <w:szCs w:val="24"/>
        </w:rPr>
        <w:t>2022年   月   日</w:t>
      </w:r>
    </w:p>
    <w:p>
      <w:pPr>
        <w:pStyle w:val="112"/>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pStyle w:val="112"/>
      </w:pPr>
      <w:bookmarkStart w:id="245" w:name="_Toc37581429"/>
      <w:r>
        <w:rPr>
          <w:rFonts w:hint="eastAsia" w:cs="Arial" w:asciiTheme="minorEastAsia" w:hAnsiTheme="minorEastAsia" w:eastAsiaTheme="minorEastAsia"/>
          <w:bCs/>
          <w:sz w:val="24"/>
          <w:szCs w:val="24"/>
        </w:rPr>
        <w:t>说明：</w:t>
      </w:r>
      <w:r>
        <w:rPr>
          <w:rFonts w:cs="Arial" w:asciiTheme="minorEastAsia" w:hAnsiTheme="minorEastAsia" w:eastAsiaTheme="minorEastAsia"/>
          <w:bCs/>
          <w:sz w:val="24"/>
          <w:szCs w:val="24"/>
        </w:rPr>
        <w:t>本格式文件内容不得擅自删改。</w:t>
      </w:r>
      <w:bookmarkEnd w:id="245"/>
    </w:p>
    <w:p>
      <w:pPr>
        <w:pStyle w:val="194"/>
        <w:pageBreakBefore/>
        <w:spacing w:line="360" w:lineRule="auto"/>
        <w:jc w:val="center"/>
        <w:rPr>
          <w:rFonts w:hAnsi="宋体" w:cs="Arial"/>
          <w:bCs/>
          <w:sz w:val="28"/>
          <w:szCs w:val="28"/>
        </w:rPr>
      </w:pPr>
      <w:r>
        <w:rPr>
          <w:rFonts w:hint="eastAsia" w:hAnsi="宋体"/>
          <w:b/>
          <w:sz w:val="28"/>
          <w:szCs w:val="28"/>
        </w:rPr>
        <w:t>法人授权委托证明书</w:t>
      </w:r>
    </w:p>
    <w:p>
      <w:pPr>
        <w:pStyle w:val="196"/>
        <w:spacing w:line="360" w:lineRule="auto"/>
        <w:ind w:firstLine="424" w:firstLineChars="177"/>
        <w:rPr>
          <w:rFonts w:hAnsi="宋体"/>
          <w:bCs/>
          <w:sz w:val="24"/>
          <w:szCs w:val="24"/>
        </w:rPr>
      </w:pPr>
      <w:r>
        <w:rPr>
          <w:rFonts w:hint="eastAsia" w:hAnsi="宋体"/>
          <w:bCs/>
          <w:sz w:val="24"/>
          <w:szCs w:val="24"/>
        </w:rPr>
        <w:t>兹授权</w:t>
      </w:r>
      <w:r>
        <w:rPr>
          <w:rFonts w:hint="eastAsia" w:hAnsi="宋体"/>
          <w:bCs/>
          <w:sz w:val="24"/>
          <w:szCs w:val="24"/>
          <w:u w:val="single"/>
        </w:rPr>
        <w:t xml:space="preserve">                  </w:t>
      </w:r>
      <w:r>
        <w:rPr>
          <w:rFonts w:hint="eastAsia" w:hAnsi="宋体"/>
          <w:bCs/>
          <w:sz w:val="24"/>
          <w:szCs w:val="24"/>
        </w:rPr>
        <w:t>（委托代理人姓名）为我方委托代理人，其权限是：</w:t>
      </w:r>
      <w:r>
        <w:rPr>
          <w:rFonts w:hint="eastAsia" w:hAnsi="宋体"/>
          <w:sz w:val="24"/>
          <w:szCs w:val="24"/>
        </w:rPr>
        <w:t>办理新疆正禾招投标有限公司组织的</w:t>
      </w:r>
      <w:bookmarkStart w:id="246" w:name="_Hlk45755316"/>
      <w:r>
        <w:rPr>
          <w:rFonts w:hint="eastAsia" w:hAnsi="宋体"/>
          <w:sz w:val="24"/>
          <w:szCs w:val="24"/>
        </w:rPr>
        <w:t>“新疆维吾尔自治区妇幼保健院（新疆维吾尔自治区第八人民医院）妇幼综合楼工程可行性研究报告编制及初步设计服务采购项目” (项目编号：2022-ZFCG-0012)</w:t>
      </w:r>
      <w:bookmarkEnd w:id="246"/>
      <w:r>
        <w:rPr>
          <w:rFonts w:hint="eastAsia" w:hAnsi="宋体"/>
          <w:sz w:val="24"/>
          <w:szCs w:val="24"/>
        </w:rPr>
        <w:t>的投标事宜。</w:t>
      </w:r>
      <w:r>
        <w:rPr>
          <w:rFonts w:hint="eastAsia" w:hAnsi="宋体"/>
          <w:sz w:val="24"/>
          <w:szCs w:val="24"/>
          <w:lang w:val="en-GB"/>
        </w:rPr>
        <w:t>本</w:t>
      </w:r>
      <w:r>
        <w:rPr>
          <w:rFonts w:hint="eastAsia" w:hAnsi="宋体"/>
          <w:sz w:val="24"/>
          <w:szCs w:val="24"/>
        </w:rPr>
        <w:t>授权书</w:t>
      </w:r>
      <w:r>
        <w:rPr>
          <w:rFonts w:hint="eastAsia" w:hAnsi="宋体"/>
          <w:sz w:val="24"/>
          <w:szCs w:val="24"/>
          <w:lang w:val="en-GB"/>
        </w:rPr>
        <w:t>有效期与我方响应文件中标注的投标有效期相同，自签章之日起生效。</w:t>
      </w:r>
    </w:p>
    <w:p>
      <w:pPr>
        <w:pStyle w:val="196"/>
        <w:spacing w:line="360" w:lineRule="auto"/>
        <w:ind w:firstLine="480" w:firstLineChars="200"/>
        <w:rPr>
          <w:rFonts w:hAnsi="宋体"/>
          <w:sz w:val="24"/>
          <w:szCs w:val="24"/>
          <w:u w:val="single"/>
        </w:rPr>
      </w:pPr>
      <w:r>
        <w:rPr>
          <w:rFonts w:hint="eastAsia" w:hAnsi="宋体"/>
          <w:sz w:val="24"/>
          <w:szCs w:val="24"/>
        </w:rPr>
        <w:t>附：代理人性别：</w:t>
      </w:r>
      <w:r>
        <w:rPr>
          <w:rFonts w:hint="eastAsia" w:hAnsi="宋体"/>
          <w:sz w:val="24"/>
          <w:szCs w:val="24"/>
          <w:u w:val="single"/>
        </w:rPr>
        <w:t xml:space="preserve">    </w:t>
      </w:r>
      <w:r>
        <w:rPr>
          <w:rFonts w:hint="eastAsia" w:hAnsi="宋体"/>
          <w:sz w:val="24"/>
          <w:szCs w:val="24"/>
        </w:rPr>
        <w:t xml:space="preserve">   年龄：</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w:t>
      </w:r>
    </w:p>
    <w:p>
      <w:pPr>
        <w:pStyle w:val="196"/>
        <w:spacing w:line="360" w:lineRule="auto"/>
        <w:ind w:firstLine="480" w:firstLineChars="200"/>
        <w:rPr>
          <w:rFonts w:hAnsi="宋体"/>
          <w:sz w:val="24"/>
          <w:szCs w:val="24"/>
          <w:u w:val="single"/>
        </w:rPr>
      </w:pPr>
      <w:r>
        <w:rPr>
          <w:rFonts w:hint="eastAsia" w:hAnsi="宋体"/>
          <w:sz w:val="24"/>
          <w:szCs w:val="24"/>
        </w:rPr>
        <w:t>　　身份证号码：</w:t>
      </w:r>
      <w:r>
        <w:rPr>
          <w:rFonts w:hint="eastAsia" w:hAnsi="宋体"/>
          <w:sz w:val="24"/>
          <w:szCs w:val="24"/>
          <w:u w:val="single"/>
        </w:rPr>
        <w:t xml:space="preserve">                     </w:t>
      </w:r>
    </w:p>
    <w:p>
      <w:pPr>
        <w:pStyle w:val="196"/>
        <w:spacing w:line="360" w:lineRule="auto"/>
        <w:ind w:firstLine="480" w:firstLineChars="200"/>
        <w:rPr>
          <w:rFonts w:hAnsi="宋体"/>
          <w:sz w:val="24"/>
          <w:szCs w:val="24"/>
        </w:rPr>
      </w:pPr>
      <w:r>
        <w:rPr>
          <w:rFonts w:hint="eastAsia" w:hAnsi="宋体"/>
          <w:sz w:val="24"/>
          <w:szCs w:val="24"/>
        </w:rPr>
        <w:t>　　附法定代表人及被授权人身份证复印件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8346" w:type="dxa"/>
          </w:tcPr>
          <w:p>
            <w:pPr>
              <w:pStyle w:val="194"/>
              <w:spacing w:line="360" w:lineRule="auto"/>
              <w:jc w:val="center"/>
              <w:rPr>
                <w:rFonts w:hint="eastAsia" w:hAnsi="宋体"/>
                <w:sz w:val="24"/>
                <w:szCs w:val="24"/>
              </w:rPr>
            </w:pPr>
          </w:p>
          <w:p>
            <w:pPr>
              <w:pStyle w:val="194"/>
              <w:spacing w:line="360" w:lineRule="auto"/>
              <w:jc w:val="center"/>
              <w:rPr>
                <w:rFonts w:hint="eastAsia" w:hAnsi="宋体"/>
                <w:sz w:val="24"/>
                <w:szCs w:val="24"/>
              </w:rPr>
            </w:pPr>
          </w:p>
          <w:p>
            <w:pPr>
              <w:pStyle w:val="194"/>
              <w:spacing w:line="360" w:lineRule="auto"/>
              <w:jc w:val="center"/>
              <w:rPr>
                <w:rFonts w:hint="eastAsia" w:hAnsi="宋体" w:eastAsia="宋体"/>
                <w:sz w:val="24"/>
                <w:szCs w:val="24"/>
                <w:vertAlign w:val="baseline"/>
                <w:lang w:eastAsia="zh-CN"/>
              </w:rPr>
            </w:pPr>
            <w:r>
              <w:rPr>
                <w:rFonts w:hint="eastAsia" w:hAnsi="宋体"/>
                <w:sz w:val="24"/>
                <w:szCs w:val="24"/>
              </w:rPr>
              <w:t>法定代表人身份证</w:t>
            </w:r>
            <w:r>
              <w:rPr>
                <w:rFonts w:hint="eastAsia" w:hAnsi="宋体"/>
                <w:sz w:val="24"/>
                <w:szCs w:val="24"/>
                <w:lang w:eastAsia="zh-CN"/>
              </w:rPr>
              <w:t>正反面</w:t>
            </w:r>
          </w:p>
        </w:tc>
      </w:tr>
    </w:tbl>
    <w:p>
      <w:pPr>
        <w:pStyle w:val="112"/>
        <w:spacing w:line="360" w:lineRule="auto"/>
        <w:ind w:right="84" w:rightChars="40" w:firstLine="4080" w:firstLineChars="1700"/>
        <w:jc w:val="center"/>
        <w:rPr>
          <w:rFonts w:ascii="宋体" w:hAnsi="宋体"/>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6" w:hRule="atLeast"/>
          <w:jc w:val="center"/>
        </w:trPr>
        <w:tc>
          <w:tcPr>
            <w:tcW w:w="8346" w:type="dxa"/>
          </w:tcPr>
          <w:p>
            <w:pPr>
              <w:pStyle w:val="194"/>
              <w:spacing w:line="360" w:lineRule="auto"/>
              <w:jc w:val="center"/>
              <w:rPr>
                <w:rFonts w:hint="eastAsia" w:hAnsi="宋体"/>
                <w:sz w:val="24"/>
                <w:szCs w:val="24"/>
              </w:rPr>
            </w:pPr>
          </w:p>
          <w:p>
            <w:pPr>
              <w:pStyle w:val="194"/>
              <w:spacing w:line="360" w:lineRule="auto"/>
              <w:jc w:val="center"/>
              <w:rPr>
                <w:rFonts w:hint="eastAsia" w:hAnsi="宋体"/>
                <w:sz w:val="24"/>
                <w:szCs w:val="24"/>
              </w:rPr>
            </w:pPr>
          </w:p>
          <w:p>
            <w:pPr>
              <w:pStyle w:val="194"/>
              <w:spacing w:line="360" w:lineRule="auto"/>
              <w:jc w:val="center"/>
              <w:rPr>
                <w:rFonts w:hAnsi="宋体"/>
                <w:sz w:val="24"/>
                <w:szCs w:val="24"/>
                <w:vertAlign w:val="baseline"/>
              </w:rPr>
            </w:pPr>
            <w:r>
              <w:rPr>
                <w:rFonts w:hint="eastAsia" w:hAnsi="宋体"/>
                <w:sz w:val="24"/>
                <w:szCs w:val="24"/>
              </w:rPr>
              <w:t>被授权人身份证</w:t>
            </w:r>
            <w:r>
              <w:rPr>
                <w:rFonts w:hint="eastAsia" w:hAnsi="宋体"/>
                <w:sz w:val="24"/>
                <w:szCs w:val="24"/>
                <w:lang w:eastAsia="zh-CN"/>
              </w:rPr>
              <w:t>正反面</w:t>
            </w:r>
          </w:p>
        </w:tc>
      </w:tr>
    </w:tbl>
    <w:p>
      <w:pPr>
        <w:pStyle w:val="112"/>
        <w:spacing w:line="360" w:lineRule="auto"/>
        <w:ind w:right="84" w:rightChars="40" w:firstLine="4080" w:firstLineChars="1700"/>
        <w:rPr>
          <w:rFonts w:ascii="宋体" w:hAnsi="宋体"/>
          <w:sz w:val="24"/>
          <w:szCs w:val="24"/>
        </w:rPr>
      </w:pPr>
    </w:p>
    <w:p>
      <w:pPr>
        <w:pStyle w:val="112"/>
        <w:spacing w:line="360" w:lineRule="auto"/>
        <w:ind w:right="84" w:rightChars="40" w:firstLine="4080" w:firstLineChars="1700"/>
        <w:rPr>
          <w:rFonts w:ascii="宋体"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4"/>
        <w:rPr>
          <w:rFonts w:hAnsi="宋体"/>
          <w:sz w:val="24"/>
          <w:szCs w:val="24"/>
          <w:lang w:val="en-US"/>
        </w:rPr>
      </w:pPr>
    </w:p>
    <w:p>
      <w:pPr>
        <w:pStyle w:val="194"/>
        <w:rPr>
          <w:rFonts w:hAnsi="宋体"/>
          <w:sz w:val="24"/>
          <w:szCs w:val="24"/>
        </w:rPr>
      </w:pPr>
    </w:p>
    <w:p>
      <w:pPr>
        <w:pStyle w:val="194"/>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，无需提交本授权委托</w:t>
      </w:r>
      <w:r>
        <w:rPr>
          <w:rFonts w:hint="eastAsia" w:hAnsi="宋体" w:cs="仿宋_GB2312"/>
          <w:color w:val="000000"/>
          <w:sz w:val="24"/>
          <w:szCs w:val="24"/>
        </w:rPr>
        <w:t>证明书</w:t>
      </w:r>
      <w:r>
        <w:rPr>
          <w:rFonts w:hAnsi="宋体" w:cs="仿宋_GB2312"/>
          <w:color w:val="000000"/>
          <w:sz w:val="24"/>
          <w:szCs w:val="24"/>
        </w:rPr>
        <w:t>。</w:t>
      </w:r>
    </w:p>
    <w:p>
      <w:pPr>
        <w:pStyle w:val="194"/>
        <w:spacing w:line="460" w:lineRule="exact"/>
        <w:ind w:left="720" w:hanging="720" w:hangingChars="300"/>
        <w:jc w:val="both"/>
        <w:rPr>
          <w:rFonts w:hAnsi="宋体" w:cs="仿宋_GB2312"/>
          <w:color w:val="000000"/>
          <w:sz w:val="24"/>
          <w:szCs w:val="24"/>
        </w:rPr>
      </w:pPr>
    </w:p>
    <w:p>
      <w:pPr>
        <w:pStyle w:val="194"/>
        <w:spacing w:line="460" w:lineRule="exact"/>
        <w:ind w:left="720" w:hanging="720" w:hangingChars="300"/>
        <w:jc w:val="both"/>
        <w:rPr>
          <w:rFonts w:hAnsi="宋体" w:cs="仿宋_GB2312"/>
          <w:color w:val="000000"/>
          <w:sz w:val="24"/>
          <w:szCs w:val="24"/>
        </w:rPr>
      </w:pPr>
    </w:p>
    <w:p>
      <w:pPr>
        <w:shd w:val="clear" w:color="auto" w:fill="FFFFFF" w:themeFill="background1"/>
        <w:spacing w:line="240" w:lineRule="auto"/>
        <w:ind w:left="-10" w:firstLine="8"/>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法定代表人身份证明</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致（采购代理机构）：</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（投标单位全称） </w:t>
      </w:r>
      <w:r>
        <w:rPr>
          <w:rFonts w:hint="eastAsia" w:asciiTheme="minorEastAsia" w:hAnsiTheme="minorEastAsia" w:eastAsiaTheme="minorEastAsia" w:cstheme="minorEastAsia"/>
          <w:szCs w:val="24"/>
        </w:rPr>
        <w:t>法定代表人</w:t>
      </w:r>
      <w:r>
        <w:rPr>
          <w:rFonts w:hint="eastAsia" w:asciiTheme="minorEastAsia" w:hAnsiTheme="minorEastAsia" w:eastAsiaTheme="minorEastAsia" w:cstheme="minorEastAsia"/>
          <w:szCs w:val="24"/>
          <w:u w:val="single"/>
        </w:rPr>
        <w:t xml:space="preserve"> 姓名</w:t>
      </w:r>
      <w:r>
        <w:rPr>
          <w:rFonts w:hint="eastAsia" w:asciiTheme="minorEastAsia" w:hAnsiTheme="minorEastAsia" w:eastAsiaTheme="minorEastAsia" w:cstheme="minorEastAsia"/>
          <w:szCs w:val="24"/>
        </w:rPr>
        <w:t>（身份证号码：），参加贵方组织的项目名称“新疆维吾尔自治区妇幼保健院（新疆维吾尔自治区第八人民医院）妇幼综合楼工程可行性研究报告编制及初步设计服务采购项目”(</w:t>
      </w:r>
      <w:r>
        <w:rPr>
          <w:rFonts w:hint="eastAsia" w:hAnsi="宋体"/>
          <w:szCs w:val="24"/>
        </w:rPr>
        <w:t>项目编号：2022-ZFCG-0012)</w:t>
      </w:r>
      <w:r>
        <w:rPr>
          <w:rFonts w:hint="eastAsia" w:asciiTheme="minorEastAsia" w:hAnsiTheme="minorEastAsia" w:eastAsiaTheme="minorEastAsia" w:cstheme="minorEastAsia"/>
          <w:szCs w:val="24"/>
        </w:rPr>
        <w:t>的招标投标活动，代表本公司处理招标投标活动中的一切事宜。</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4560" w:type="dxa"/>
            <w:vAlign w:val="center"/>
          </w:tcPr>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正面</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c>
          <w:tcPr>
            <w:tcW w:w="4512" w:type="dxa"/>
            <w:vAlign w:val="center"/>
          </w:tcPr>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反面</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r>
    </w:tbl>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注：身份证复印件如为粘贴的，须在身份证复印件与本页接缝处加盖公章；</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p>
    <w:p>
      <w:pPr>
        <w:pStyle w:val="17"/>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法定代表人（签字或盖章）：  </w:t>
      </w:r>
    </w:p>
    <w:p>
      <w:pPr>
        <w:pStyle w:val="17"/>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Cs w:val="24"/>
        </w:rPr>
        <w:t>供应商（公章）：</w:t>
      </w:r>
    </w:p>
    <w:p>
      <w:pPr>
        <w:pStyle w:val="194"/>
        <w:spacing w:line="460" w:lineRule="exact"/>
        <w:ind w:left="720" w:hanging="720" w:hangingChars="300"/>
        <w:jc w:val="both"/>
        <w:rPr>
          <w:rFonts w:hAnsi="宋体" w:cs="仿宋_GB2312"/>
          <w:color w:val="000000"/>
          <w:sz w:val="24"/>
          <w:szCs w:val="24"/>
        </w:rPr>
      </w:pPr>
    </w:p>
    <w:p>
      <w:pPr>
        <w:pStyle w:val="194"/>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，需提交本</w:t>
      </w:r>
      <w:r>
        <w:rPr>
          <w:rFonts w:hint="eastAsia" w:hAnsi="宋体" w:cs="仿宋_GB2312"/>
          <w:color w:val="000000"/>
          <w:sz w:val="24"/>
          <w:szCs w:val="24"/>
        </w:rPr>
        <w:t>证明文件</w:t>
      </w:r>
      <w:r>
        <w:rPr>
          <w:rFonts w:hAnsi="宋体" w:cs="仿宋_GB2312"/>
          <w:color w:val="000000"/>
          <w:sz w:val="24"/>
          <w:szCs w:val="24"/>
        </w:rPr>
        <w:t>。</w:t>
      </w:r>
    </w:p>
    <w:p>
      <w:pPr>
        <w:pStyle w:val="197"/>
        <w:spacing w:line="360" w:lineRule="auto"/>
        <w:jc w:val="center"/>
        <w:rPr>
          <w:rFonts w:ascii="宋体" w:hAnsi="宋体"/>
          <w:b/>
          <w:sz w:val="28"/>
          <w:szCs w:val="28"/>
        </w:rPr>
      </w:pPr>
    </w:p>
    <w:p>
      <w:pPr>
        <w:keepNext/>
        <w:keepLines/>
        <w:spacing w:before="260" w:after="260" w:line="415" w:lineRule="auto"/>
        <w:ind w:firstLine="138" w:firstLineChars="49"/>
        <w:jc w:val="center"/>
        <w:outlineLvl w:val="2"/>
        <w:rPr>
          <w:rFonts w:ascii="宋体" w:hAnsi="宋体"/>
          <w:sz w:val="23"/>
          <w:szCs w:val="23"/>
        </w:rPr>
      </w:pPr>
      <w:r>
        <w:rPr>
          <w:rFonts w:ascii="宋体" w:hAnsi="宋体"/>
          <w:b/>
          <w:sz w:val="28"/>
          <w:szCs w:val="28"/>
        </w:rPr>
        <w:br w:type="page"/>
      </w:r>
      <w:bookmarkStart w:id="247" w:name="_Toc21813"/>
      <w:r>
        <w:rPr>
          <w:rFonts w:hint="eastAsia" w:ascii="宋体" w:hAnsi="宋体"/>
          <w:bCs/>
          <w:sz w:val="28"/>
          <w:szCs w:val="28"/>
        </w:rPr>
        <w:t>供应商</w:t>
      </w:r>
      <w:r>
        <w:rPr>
          <w:rFonts w:ascii="宋体" w:hAnsi="宋体"/>
          <w:bCs/>
          <w:sz w:val="28"/>
          <w:szCs w:val="28"/>
        </w:rPr>
        <w:t>基本情况表</w:t>
      </w:r>
      <w:bookmarkEnd w:id="247"/>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办公地址</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正</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副</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szCs w:val="21"/>
              </w:rPr>
              <w:t>其他</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szCs w:val="21"/>
              </w:rPr>
            </w:pPr>
            <w:r>
              <w:rPr>
                <w:rFonts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bl>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widowControl/>
        <w:spacing w:before="0" w:beforeAutospacing="0" w:after="0" w:afterAutospacing="0" w:line="240" w:lineRule="auto"/>
        <w:ind w:firstLine="4080" w:firstLineChars="1700"/>
        <w:jc w:val="left"/>
        <w:rPr>
          <w:rFonts w:ascii="宋体" w:hAnsi="宋体"/>
          <w:b/>
          <w:sz w:val="28"/>
          <w:szCs w:val="28"/>
        </w:rPr>
      </w:pPr>
      <w:r>
        <w:rPr>
          <w:rFonts w:hint="eastAsia" w:ascii="宋体" w:hAnsi="宋体"/>
          <w:sz w:val="24"/>
        </w:rPr>
        <w:t>日期：</w:t>
      </w:r>
      <w:r>
        <w:rPr>
          <w:rFonts w:hint="eastAsia" w:ascii="宋体" w:hAnsi="宋体" w:cs="Arial"/>
          <w:sz w:val="24"/>
        </w:rPr>
        <w:t>2022年   月   日</w:t>
      </w:r>
    </w:p>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97"/>
        <w:spacing w:line="360" w:lineRule="auto"/>
        <w:jc w:val="center"/>
        <w:rPr>
          <w:rFonts w:ascii="宋体" w:hAnsi="宋体"/>
          <w:b/>
          <w:sz w:val="28"/>
          <w:szCs w:val="28"/>
        </w:rPr>
      </w:pPr>
      <w:r>
        <w:rPr>
          <w:rFonts w:hint="eastAsia" w:ascii="宋体" w:hAnsi="宋体"/>
          <w:b/>
          <w:sz w:val="28"/>
          <w:szCs w:val="28"/>
        </w:rPr>
        <w:t>开标一览表</w:t>
      </w:r>
    </w:p>
    <w:p>
      <w:pPr>
        <w:pStyle w:val="197"/>
        <w:autoSpaceDE w:val="0"/>
        <w:autoSpaceDN w:val="0"/>
        <w:adjustRightInd w:val="0"/>
        <w:spacing w:line="360" w:lineRule="auto"/>
        <w:jc w:val="left"/>
        <w:rPr>
          <w:rFonts w:ascii="宋体" w:hAnsi="宋体"/>
          <w:sz w:val="24"/>
          <w:szCs w:val="24"/>
        </w:rPr>
      </w:pPr>
      <w:r>
        <w:rPr>
          <w:rFonts w:hint="eastAsia" w:hAnsi="宋体"/>
          <w:sz w:val="24"/>
          <w:szCs w:val="24"/>
        </w:rPr>
        <w:t>项目名</w:t>
      </w:r>
      <w:r>
        <w:rPr>
          <w:rFonts w:hint="eastAsia" w:ascii="宋体" w:hAnsi="宋体"/>
          <w:sz w:val="24"/>
          <w:szCs w:val="24"/>
        </w:rPr>
        <w:t>称：新疆维吾尔自治区妇幼保健院（新疆维吾尔自治区第八人民医院）妇幼综合楼工程可行性研究报告编制及初步设计服务采购项目</w:t>
      </w:r>
    </w:p>
    <w:p>
      <w:pPr>
        <w:pStyle w:val="197"/>
        <w:autoSpaceDE w:val="0"/>
        <w:autoSpaceDN w:val="0"/>
        <w:adjustRightInd w:val="0"/>
        <w:spacing w:line="360" w:lineRule="auto"/>
        <w:jc w:val="left"/>
        <w:rPr>
          <w:rFonts w:ascii="宋体" w:hAnsi="宋体"/>
          <w:sz w:val="24"/>
          <w:szCs w:val="24"/>
        </w:rPr>
      </w:pPr>
      <w:r>
        <w:rPr>
          <w:rFonts w:hint="eastAsia" w:ascii="宋体" w:hAnsi="宋体"/>
          <w:sz w:val="24"/>
          <w:szCs w:val="24"/>
        </w:rPr>
        <w:t>项目编号：2022-ZFCG-0012</w:t>
      </w:r>
    </w:p>
    <w:p>
      <w:pPr>
        <w:pStyle w:val="198"/>
        <w:wordWrap w:val="0"/>
        <w:spacing w:line="360" w:lineRule="auto"/>
        <w:jc w:val="right"/>
        <w:rPr>
          <w:rFonts w:hAnsi="宋体"/>
          <w:sz w:val="24"/>
          <w:szCs w:val="24"/>
        </w:rPr>
      </w:pPr>
      <w:r>
        <w:rPr>
          <w:rFonts w:hint="eastAsia" w:hAnsi="宋体"/>
          <w:sz w:val="24"/>
          <w:szCs w:val="24"/>
        </w:rPr>
        <w:t xml:space="preserve">       [货币单位：人民币元]</w:t>
      </w:r>
    </w:p>
    <w:tbl>
      <w:tblPr>
        <w:tblStyle w:val="35"/>
        <w:tblW w:w="8647" w:type="dxa"/>
        <w:tblInd w:w="30" w:type="dxa"/>
        <w:tblLayout w:type="fixed"/>
        <w:tblCellMar>
          <w:top w:w="0" w:type="dxa"/>
          <w:left w:w="30" w:type="dxa"/>
          <w:bottom w:w="0" w:type="dxa"/>
          <w:right w:w="30" w:type="dxa"/>
        </w:tblCellMar>
      </w:tblPr>
      <w:tblGrid>
        <w:gridCol w:w="2652"/>
        <w:gridCol w:w="5995"/>
      </w:tblGrid>
      <w:tr>
        <w:tblPrEx>
          <w:tblCellMar>
            <w:top w:w="0" w:type="dxa"/>
            <w:left w:w="30" w:type="dxa"/>
            <w:bottom w:w="0" w:type="dxa"/>
            <w:right w:w="30" w:type="dxa"/>
          </w:tblCellMar>
        </w:tblPrEx>
        <w:trPr>
          <w:cantSplit/>
          <w:trHeight w:val="454"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197"/>
              <w:autoSpaceDE w:val="0"/>
              <w:autoSpaceDN w:val="0"/>
              <w:adjustRightInd w:val="0"/>
              <w:spacing w:line="360" w:lineRule="auto"/>
              <w:jc w:val="center"/>
              <w:rPr>
                <w:rFonts w:ascii="宋体" w:hAnsi="宋体"/>
                <w:sz w:val="24"/>
                <w:szCs w:val="24"/>
              </w:rPr>
            </w:pPr>
            <w:r>
              <w:rPr>
                <w:rFonts w:hint="eastAsia" w:ascii="宋体" w:hAnsi="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197"/>
              <w:autoSpaceDE w:val="0"/>
              <w:autoSpaceDN w:val="0"/>
              <w:adjustRightInd w:val="0"/>
              <w:spacing w:line="360" w:lineRule="auto"/>
              <w:jc w:val="center"/>
              <w:rPr>
                <w:rFonts w:ascii="宋体" w:hAnsi="宋体"/>
                <w:sz w:val="24"/>
                <w:szCs w:val="24"/>
              </w:rPr>
            </w:pPr>
            <w:r>
              <w:rPr>
                <w:rFonts w:hint="eastAsia" w:ascii="宋体" w:hAnsi="宋体"/>
                <w:sz w:val="24"/>
                <w:szCs w:val="24"/>
              </w:rPr>
              <w:t>分项内容</w:t>
            </w:r>
          </w:p>
        </w:tc>
      </w:tr>
      <w:tr>
        <w:tblPrEx>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7"/>
              <w:autoSpaceDE w:val="0"/>
              <w:autoSpaceDN w:val="0"/>
              <w:adjustRightInd w:val="0"/>
              <w:spacing w:line="360" w:lineRule="auto"/>
              <w:jc w:val="center"/>
              <w:rPr>
                <w:rFonts w:ascii="宋体" w:hAnsi="宋体"/>
                <w:sz w:val="24"/>
                <w:szCs w:val="24"/>
              </w:rPr>
            </w:pPr>
            <w:r>
              <w:rPr>
                <w:rFonts w:hint="eastAsia" w:ascii="宋体" w:hAnsi="宋体"/>
                <w:sz w:val="24"/>
                <w:szCs w:val="24"/>
              </w:rPr>
              <w:t>投标总报价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197"/>
              <w:autoSpaceDE w:val="0"/>
              <w:autoSpaceDN w:val="0"/>
              <w:adjustRightInd w:val="0"/>
              <w:spacing w:line="360" w:lineRule="auto"/>
              <w:jc w:val="left"/>
              <w:rPr>
                <w:rFonts w:ascii="宋体" w:hAnsi="宋体"/>
                <w:sz w:val="24"/>
                <w:szCs w:val="24"/>
              </w:rPr>
            </w:pPr>
            <w:r>
              <w:rPr>
                <w:rFonts w:hint="eastAsia" w:ascii="宋体" w:hAnsi="宋体"/>
                <w:sz w:val="24"/>
                <w:szCs w:val="24"/>
              </w:rPr>
              <w:t>小写：</w:t>
            </w:r>
            <w:r>
              <w:rPr>
                <w:rFonts w:ascii="宋体" w:hAnsi="宋体"/>
                <w:sz w:val="24"/>
                <w:szCs w:val="24"/>
              </w:rPr>
              <w:t>元</w:t>
            </w:r>
          </w:p>
          <w:p>
            <w:pPr>
              <w:pStyle w:val="197"/>
              <w:autoSpaceDE w:val="0"/>
              <w:autoSpaceDN w:val="0"/>
              <w:adjustRightInd w:val="0"/>
              <w:spacing w:line="360" w:lineRule="auto"/>
              <w:jc w:val="left"/>
              <w:rPr>
                <w:rFonts w:ascii="宋体" w:hAnsi="宋体"/>
                <w:sz w:val="24"/>
                <w:szCs w:val="24"/>
              </w:rPr>
            </w:pPr>
            <w:r>
              <w:rPr>
                <w:rFonts w:hint="eastAsia" w:ascii="宋体" w:hAnsi="宋体"/>
                <w:sz w:val="24"/>
                <w:szCs w:val="24"/>
              </w:rPr>
              <w:t>大写：元</w:t>
            </w:r>
          </w:p>
        </w:tc>
      </w:tr>
      <w:tr>
        <w:tblPrEx>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7"/>
              <w:autoSpaceDE w:val="0"/>
              <w:autoSpaceDN w:val="0"/>
              <w:adjustRightInd w:val="0"/>
              <w:spacing w:line="360" w:lineRule="auto"/>
              <w:jc w:val="center"/>
              <w:rPr>
                <w:rFonts w:ascii="宋体" w:hAnsi="宋体"/>
                <w:sz w:val="24"/>
                <w:szCs w:val="24"/>
              </w:rPr>
            </w:pPr>
            <w:r>
              <w:rPr>
                <w:rFonts w:hint="eastAsia" w:ascii="宋体" w:hAnsi="宋体"/>
                <w:sz w:val="24"/>
                <w:szCs w:val="24"/>
              </w:rPr>
              <w:t>设计周期</w:t>
            </w:r>
          </w:p>
        </w:tc>
        <w:tc>
          <w:tcPr>
            <w:tcW w:w="5995" w:type="dxa"/>
            <w:tcBorders>
              <w:top w:val="single" w:color="auto" w:sz="6" w:space="0"/>
              <w:left w:val="single" w:color="auto" w:sz="6" w:space="0"/>
              <w:bottom w:val="single" w:color="auto" w:sz="6" w:space="0"/>
              <w:right w:val="single" w:color="auto" w:sz="4" w:space="0"/>
            </w:tcBorders>
            <w:vAlign w:val="center"/>
          </w:tcPr>
          <w:p>
            <w:pPr>
              <w:pStyle w:val="197"/>
              <w:autoSpaceDE w:val="0"/>
              <w:autoSpaceDN w:val="0"/>
              <w:adjustRightInd w:val="0"/>
              <w:spacing w:line="360" w:lineRule="auto"/>
              <w:rPr>
                <w:rFonts w:ascii="宋体" w:hAnsi="宋体"/>
                <w:sz w:val="24"/>
                <w:szCs w:val="24"/>
              </w:rPr>
            </w:pPr>
            <w:r>
              <w:rPr>
                <w:rFonts w:hint="eastAsia" w:asciiTheme="minorEastAsia" w:hAnsiTheme="minorEastAsia" w:eastAsiaTheme="minorEastAsia" w:cstheme="minorEastAsia"/>
                <w:sz w:val="24"/>
              </w:rPr>
              <w:t>可行性研究报告编制为签订合同后15个自然日内交付，初步设计为签订合同后30个自然日内交付</w:t>
            </w:r>
          </w:p>
        </w:tc>
      </w:tr>
    </w:tbl>
    <w:p>
      <w:pPr>
        <w:pStyle w:val="198"/>
        <w:spacing w:line="360" w:lineRule="auto"/>
        <w:ind w:left="850" w:hanging="849" w:hangingChars="354"/>
        <w:rPr>
          <w:rFonts w:hAnsi="宋体"/>
          <w:sz w:val="24"/>
          <w:szCs w:val="24"/>
        </w:rPr>
      </w:pPr>
      <w:r>
        <w:rPr>
          <w:rFonts w:hint="eastAsia" w:hAnsi="宋体"/>
          <w:sz w:val="24"/>
          <w:szCs w:val="24"/>
        </w:rPr>
        <w:t>填报要求：</w:t>
      </w:r>
    </w:p>
    <w:p>
      <w:pPr>
        <w:pStyle w:val="198"/>
        <w:numPr>
          <w:ilvl w:val="0"/>
          <w:numId w:val="9"/>
        </w:numPr>
        <w:spacing w:line="360" w:lineRule="auto"/>
        <w:rPr>
          <w:rFonts w:hAnsi="宋体"/>
          <w:sz w:val="24"/>
          <w:szCs w:val="24"/>
        </w:rPr>
      </w:pPr>
      <w:r>
        <w:rPr>
          <w:rFonts w:hint="eastAsia" w:hAnsi="宋体"/>
          <w:sz w:val="24"/>
          <w:szCs w:val="24"/>
        </w:rPr>
        <w:t>投标总报价包含所有税费。</w:t>
      </w:r>
    </w:p>
    <w:p>
      <w:pPr>
        <w:pStyle w:val="198"/>
        <w:numPr>
          <w:ilvl w:val="0"/>
          <w:numId w:val="9"/>
        </w:numPr>
        <w:spacing w:line="360" w:lineRule="auto"/>
        <w:rPr>
          <w:rFonts w:hAnsi="宋体"/>
          <w:sz w:val="24"/>
          <w:szCs w:val="24"/>
        </w:rPr>
      </w:pPr>
      <w:r>
        <w:rPr>
          <w:rFonts w:hint="eastAsia" w:hAnsi="宋体"/>
          <w:sz w:val="24"/>
          <w:szCs w:val="24"/>
        </w:rPr>
        <w:t>如供应商报价低于最高限价40%的，必须在《实质性响应条款一览表》内说明报价理由。</w:t>
      </w:r>
    </w:p>
    <w:p>
      <w:pPr>
        <w:pStyle w:val="198"/>
        <w:numPr>
          <w:ilvl w:val="0"/>
          <w:numId w:val="9"/>
        </w:numPr>
        <w:spacing w:line="360" w:lineRule="auto"/>
        <w:ind w:left="0" w:firstLine="0"/>
        <w:rPr>
          <w:rFonts w:hAnsi="宋体"/>
          <w:sz w:val="24"/>
          <w:szCs w:val="24"/>
        </w:rPr>
      </w:pPr>
      <w:r>
        <w:rPr>
          <w:rFonts w:hint="eastAsia" w:hAnsi="宋体"/>
          <w:sz w:val="24"/>
          <w:szCs w:val="24"/>
        </w:rPr>
        <w:t>需另行单独密封递交，具体见供应商须知。</w:t>
      </w:r>
    </w:p>
    <w:p>
      <w:pPr>
        <w:pStyle w:val="112"/>
        <w:spacing w:line="360" w:lineRule="auto"/>
        <w:ind w:right="84" w:rightChars="40" w:firstLine="4080" w:firstLineChars="1700"/>
        <w:rPr>
          <w:rFonts w:ascii="宋体" w:hAnsi="宋体"/>
          <w:sz w:val="24"/>
          <w:szCs w:val="24"/>
        </w:rPr>
      </w:pPr>
    </w:p>
    <w:p>
      <w:pPr>
        <w:pStyle w:val="112"/>
        <w:spacing w:line="360" w:lineRule="auto"/>
        <w:ind w:right="84" w:rightChars="40" w:firstLine="4080" w:firstLineChars="1700"/>
        <w:rPr>
          <w:rFonts w:ascii="宋体"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7"/>
        <w:rPr>
          <w:rFonts w:ascii="宋体" w:hAnsi="宋体"/>
          <w:sz w:val="24"/>
          <w:szCs w:val="24"/>
        </w:rPr>
      </w:pPr>
    </w:p>
    <w:p>
      <w:pPr>
        <w:pStyle w:val="197"/>
        <w:rPr>
          <w:rFonts w:ascii="宋体" w:hAnsi="宋体"/>
          <w:sz w:val="24"/>
          <w:szCs w:val="24"/>
        </w:rPr>
      </w:pPr>
    </w:p>
    <w:p>
      <w:pPr>
        <w:pStyle w:val="197"/>
        <w:rPr>
          <w:rFonts w:ascii="宋体" w:hAnsi="宋体"/>
          <w:sz w:val="24"/>
          <w:szCs w:val="24"/>
        </w:rPr>
      </w:pPr>
    </w:p>
    <w:p>
      <w:pPr>
        <w:pStyle w:val="197"/>
        <w:rPr>
          <w:rFonts w:ascii="宋体" w:hAnsi="宋体"/>
          <w:sz w:val="24"/>
          <w:szCs w:val="24"/>
        </w:rPr>
      </w:pPr>
    </w:p>
    <w:p>
      <w:pPr>
        <w:pStyle w:val="197"/>
        <w:rPr>
          <w:rFonts w:ascii="宋体" w:hAnsi="宋体"/>
          <w:sz w:val="24"/>
          <w:szCs w:val="24"/>
        </w:rPr>
      </w:pPr>
    </w:p>
    <w:p>
      <w:pPr>
        <w:pStyle w:val="197"/>
        <w:rPr>
          <w:rFonts w:ascii="宋体" w:hAnsi="宋体"/>
          <w:sz w:val="24"/>
          <w:szCs w:val="24"/>
        </w:rPr>
      </w:pPr>
      <w:r>
        <w:rPr>
          <w:rFonts w:ascii="宋体" w:hAnsi="宋体"/>
          <w:sz w:val="24"/>
          <w:szCs w:val="24"/>
        </w:rPr>
        <w:br w:type="page"/>
      </w:r>
    </w:p>
    <w:p>
      <w:pPr>
        <w:pStyle w:val="200"/>
        <w:spacing w:line="360" w:lineRule="auto"/>
        <w:jc w:val="center"/>
        <w:outlineLvl w:val="2"/>
        <w:rPr>
          <w:rFonts w:ascii="宋体" w:hAnsi="宋体"/>
          <w:b/>
          <w:sz w:val="28"/>
          <w:szCs w:val="28"/>
        </w:rPr>
      </w:pPr>
      <w:bookmarkStart w:id="248" w:name="_Toc43086031"/>
      <w:bookmarkStart w:id="249" w:name="_Toc43086619"/>
      <w:bookmarkStart w:id="250" w:name="_Toc30402"/>
      <w:bookmarkStart w:id="251" w:name="_Toc43627848"/>
      <w:bookmarkStart w:id="252" w:name="_Toc37581431"/>
      <w:r>
        <w:rPr>
          <w:rFonts w:hint="eastAsia" w:ascii="宋体" w:hAnsi="宋体"/>
          <w:b/>
          <w:sz w:val="28"/>
          <w:szCs w:val="28"/>
        </w:rPr>
        <w:t>报价明细表</w:t>
      </w:r>
      <w:bookmarkEnd w:id="248"/>
      <w:bookmarkEnd w:id="249"/>
      <w:bookmarkEnd w:id="250"/>
    </w:p>
    <w:p>
      <w:pPr>
        <w:pStyle w:val="198"/>
        <w:spacing w:line="360" w:lineRule="auto"/>
        <w:rPr>
          <w:rFonts w:hAnsi="宋体"/>
          <w:sz w:val="24"/>
          <w:szCs w:val="24"/>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p>
      <w:pPr>
        <w:pStyle w:val="200"/>
        <w:spacing w:line="360" w:lineRule="auto"/>
        <w:jc w:val="right"/>
        <w:rPr>
          <w:rFonts w:ascii="宋体" w:hAnsi="宋体"/>
          <w:sz w:val="24"/>
        </w:rPr>
      </w:pPr>
      <w:r>
        <w:rPr>
          <w:rFonts w:hint="eastAsia" w:ascii="宋体" w:hAnsi="宋体"/>
          <w:sz w:val="24"/>
        </w:rPr>
        <w:t xml:space="preserve"> [货币单位：人民币元]</w:t>
      </w:r>
      <w:bookmarkEnd w:id="251"/>
      <w:bookmarkEnd w:id="252"/>
    </w:p>
    <w:tbl>
      <w:tblPr>
        <w:tblStyle w:val="35"/>
        <w:tblW w:w="4901" w:type="pct"/>
        <w:tblInd w:w="0" w:type="dxa"/>
        <w:tblLayout w:type="autofit"/>
        <w:tblCellMar>
          <w:top w:w="0" w:type="dxa"/>
          <w:left w:w="30" w:type="dxa"/>
          <w:bottom w:w="0" w:type="dxa"/>
          <w:right w:w="30" w:type="dxa"/>
        </w:tblCellMar>
      </w:tblPr>
      <w:tblGrid>
        <w:gridCol w:w="523"/>
        <w:gridCol w:w="1620"/>
        <w:gridCol w:w="1491"/>
        <w:gridCol w:w="1124"/>
        <w:gridCol w:w="782"/>
        <w:gridCol w:w="1089"/>
        <w:gridCol w:w="2321"/>
      </w:tblGrid>
      <w:tr>
        <w:tblPrEx>
          <w:tblCellMar>
            <w:top w:w="0" w:type="dxa"/>
            <w:left w:w="30" w:type="dxa"/>
            <w:bottom w:w="0" w:type="dxa"/>
            <w:right w:w="30" w:type="dxa"/>
          </w:tblCellMar>
        </w:tblPrEx>
        <w:trPr>
          <w:cantSplit/>
          <w:trHeight w:val="530" w:hRule="atLeast"/>
        </w:trPr>
        <w:tc>
          <w:tcPr>
            <w:tcW w:w="292" w:type="pct"/>
            <w:tcBorders>
              <w:top w:val="single" w:color="auto" w:sz="4" w:space="0"/>
              <w:left w:val="single" w:color="auto" w:sz="4" w:space="0"/>
              <w:bottom w:val="single" w:color="auto" w:sz="4"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序号</w:t>
            </w:r>
          </w:p>
        </w:tc>
        <w:tc>
          <w:tcPr>
            <w:tcW w:w="905" w:type="pct"/>
            <w:tcBorders>
              <w:top w:val="single" w:color="auto" w:sz="4" w:space="0"/>
              <w:left w:val="single" w:color="auto" w:sz="6" w:space="0"/>
              <w:bottom w:val="single" w:color="auto" w:sz="4"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报价项目</w:t>
            </w:r>
          </w:p>
        </w:tc>
        <w:tc>
          <w:tcPr>
            <w:tcW w:w="833" w:type="pct"/>
            <w:tcBorders>
              <w:top w:val="single" w:color="auto" w:sz="4" w:space="0"/>
              <w:left w:val="single" w:color="auto" w:sz="6" w:space="0"/>
              <w:bottom w:val="single" w:color="auto" w:sz="4"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项目主要内容描述</w:t>
            </w:r>
          </w:p>
        </w:tc>
        <w:tc>
          <w:tcPr>
            <w:tcW w:w="628" w:type="pct"/>
            <w:tcBorders>
              <w:top w:val="single" w:color="auto" w:sz="4" w:space="0"/>
              <w:left w:val="single" w:color="auto" w:sz="6" w:space="0"/>
              <w:bottom w:val="single" w:color="auto" w:sz="4"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报价依据</w:t>
            </w:r>
          </w:p>
        </w:tc>
        <w:tc>
          <w:tcPr>
            <w:tcW w:w="437" w:type="pct"/>
            <w:tcBorders>
              <w:top w:val="single" w:color="auto" w:sz="4" w:space="0"/>
              <w:left w:val="single" w:color="auto" w:sz="6" w:space="0"/>
              <w:bottom w:val="single" w:color="auto" w:sz="4" w:space="0"/>
              <w:right w:val="single" w:color="auto" w:sz="4" w:space="0"/>
            </w:tcBorders>
            <w:vAlign w:val="center"/>
          </w:tcPr>
          <w:p>
            <w:pPr>
              <w:pStyle w:val="201"/>
              <w:spacing w:line="360" w:lineRule="auto"/>
              <w:ind w:right="84" w:rightChars="40"/>
              <w:jc w:val="center"/>
              <w:rPr>
                <w:rFonts w:hAnsi="宋体"/>
                <w:kern w:val="2"/>
                <w:sz w:val="24"/>
                <w:szCs w:val="24"/>
                <w:lang w:val="en-US"/>
              </w:rPr>
            </w:pPr>
            <w:r>
              <w:rPr>
                <w:rFonts w:hint="eastAsia" w:hAnsi="宋体"/>
                <w:kern w:val="2"/>
                <w:sz w:val="24"/>
                <w:szCs w:val="24"/>
                <w:lang w:val="en-US"/>
              </w:rPr>
              <w:t>单价</w:t>
            </w:r>
          </w:p>
        </w:tc>
        <w:tc>
          <w:tcPr>
            <w:tcW w:w="608" w:type="pct"/>
            <w:tcBorders>
              <w:top w:val="single" w:color="auto" w:sz="4" w:space="0"/>
              <w:left w:val="single" w:color="auto" w:sz="4" w:space="0"/>
              <w:bottom w:val="single" w:color="auto" w:sz="4" w:space="0"/>
              <w:right w:val="single" w:color="auto" w:sz="6" w:space="0"/>
            </w:tcBorders>
            <w:vAlign w:val="center"/>
          </w:tcPr>
          <w:p>
            <w:pPr>
              <w:pStyle w:val="201"/>
              <w:spacing w:line="360" w:lineRule="auto"/>
              <w:ind w:right="84" w:rightChars="40"/>
              <w:jc w:val="center"/>
              <w:rPr>
                <w:rFonts w:hAnsi="宋体"/>
                <w:kern w:val="2"/>
                <w:sz w:val="24"/>
                <w:szCs w:val="24"/>
                <w:lang w:val="en-US"/>
              </w:rPr>
            </w:pPr>
            <w:r>
              <w:rPr>
                <w:rFonts w:hint="eastAsia" w:hAnsi="宋体"/>
                <w:kern w:val="2"/>
                <w:sz w:val="24"/>
                <w:szCs w:val="24"/>
                <w:lang w:val="en-US"/>
              </w:rPr>
              <w:t>总价</w:t>
            </w:r>
          </w:p>
        </w:tc>
        <w:tc>
          <w:tcPr>
            <w:tcW w:w="1294" w:type="pct"/>
            <w:tcBorders>
              <w:top w:val="single" w:color="auto" w:sz="4" w:space="0"/>
              <w:left w:val="single" w:color="auto" w:sz="6" w:space="0"/>
              <w:bottom w:val="single" w:color="auto" w:sz="4"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备注</w:t>
            </w:r>
          </w:p>
        </w:tc>
      </w:tr>
      <w:tr>
        <w:tblPrEx>
          <w:tblCellMar>
            <w:top w:w="0" w:type="dxa"/>
            <w:left w:w="30" w:type="dxa"/>
            <w:bottom w:w="0" w:type="dxa"/>
            <w:right w:w="30" w:type="dxa"/>
          </w:tblCellMar>
        </w:tblPrEx>
        <w:trPr>
          <w:cantSplit/>
          <w:trHeight w:val="318" w:hRule="atLeast"/>
        </w:trPr>
        <w:tc>
          <w:tcPr>
            <w:tcW w:w="292" w:type="pct"/>
            <w:tcBorders>
              <w:top w:val="single" w:color="auto" w:sz="4"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1</w:t>
            </w:r>
          </w:p>
        </w:tc>
        <w:tc>
          <w:tcPr>
            <w:tcW w:w="905" w:type="pct"/>
            <w:tcBorders>
              <w:top w:val="single" w:color="auto" w:sz="4"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4"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4"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4"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4"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4"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2</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3</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4</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5</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6</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7</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8</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9</w:t>
            </w:r>
          </w:p>
        </w:tc>
        <w:tc>
          <w:tcPr>
            <w:tcW w:w="905" w:type="pct"/>
            <w:tcBorders>
              <w:top w:val="single" w:color="auto" w:sz="6" w:space="0"/>
              <w:left w:val="single" w:color="auto" w:sz="6" w:space="0"/>
              <w:bottom w:val="single" w:color="auto" w:sz="6" w:space="0"/>
              <w:right w:val="single" w:color="auto" w:sz="6" w:space="0"/>
            </w:tcBorders>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10</w:t>
            </w:r>
          </w:p>
        </w:tc>
        <w:tc>
          <w:tcPr>
            <w:tcW w:w="905" w:type="pct"/>
            <w:tcBorders>
              <w:top w:val="single" w:color="auto" w:sz="6" w:space="0"/>
              <w:left w:val="single" w:color="auto" w:sz="6" w:space="0"/>
              <w:bottom w:val="single" w:color="auto" w:sz="6" w:space="0"/>
              <w:right w:val="single" w:color="auto" w:sz="6" w:space="0"/>
            </w:tcBorders>
            <w:vAlign w:val="center"/>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292"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w:t>
            </w:r>
          </w:p>
        </w:tc>
        <w:tc>
          <w:tcPr>
            <w:tcW w:w="905" w:type="pct"/>
            <w:tcBorders>
              <w:top w:val="single" w:color="auto" w:sz="6" w:space="0"/>
              <w:left w:val="single" w:color="auto" w:sz="6" w:space="0"/>
              <w:bottom w:val="single" w:color="auto" w:sz="6" w:space="0"/>
              <w:right w:val="single" w:color="auto" w:sz="6" w:space="0"/>
            </w:tcBorders>
            <w:vAlign w:val="center"/>
          </w:tcPr>
          <w:p>
            <w:pPr>
              <w:pStyle w:val="200"/>
              <w:spacing w:line="360" w:lineRule="auto"/>
              <w:ind w:right="84" w:rightChars="40"/>
              <w:jc w:val="center"/>
              <w:rPr>
                <w:rFonts w:ascii="宋体" w:hAnsi="宋体"/>
                <w:sz w:val="24"/>
              </w:rPr>
            </w:pPr>
          </w:p>
        </w:tc>
        <w:tc>
          <w:tcPr>
            <w:tcW w:w="833"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28" w:type="pct"/>
            <w:tcBorders>
              <w:top w:val="single" w:color="auto" w:sz="6" w:space="0"/>
              <w:left w:val="single" w:color="auto" w:sz="6"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437"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608" w:type="pct"/>
            <w:tcBorders>
              <w:top w:val="single" w:color="auto" w:sz="6" w:space="0"/>
              <w:left w:val="single" w:color="auto" w:sz="4" w:space="0"/>
              <w:bottom w:val="single" w:color="auto" w:sz="6" w:space="0"/>
              <w:right w:val="single" w:color="auto" w:sz="6" w:space="0"/>
            </w:tcBorders>
            <w:vAlign w:val="center"/>
          </w:tcPr>
          <w:p>
            <w:pPr>
              <w:pStyle w:val="200"/>
              <w:autoSpaceDE w:val="0"/>
              <w:autoSpaceDN w:val="0"/>
              <w:adjustRightInd w:val="0"/>
              <w:spacing w:line="360" w:lineRule="auto"/>
              <w:ind w:right="84" w:rightChars="40"/>
              <w:jc w:val="center"/>
              <w:rPr>
                <w:rFonts w:ascii="宋体" w:hAnsi="宋体"/>
                <w:sz w:val="24"/>
              </w:rPr>
            </w:pPr>
          </w:p>
        </w:tc>
        <w:tc>
          <w:tcPr>
            <w:tcW w:w="1294" w:type="pct"/>
            <w:tcBorders>
              <w:top w:val="single" w:color="auto" w:sz="6" w:space="0"/>
              <w:left w:val="single" w:color="auto" w:sz="6" w:space="0"/>
              <w:bottom w:val="single" w:color="auto" w:sz="6"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gridAfter w:val="6"/>
          <w:wAfter w:w="4707" w:type="pct"/>
          <w:cantSplit/>
          <w:trHeight w:val="410" w:hRule="atLeast"/>
        </w:trPr>
        <w:tc>
          <w:tcPr>
            <w:tcW w:w="292" w:type="pct"/>
            <w:tcBorders>
              <w:top w:val="single" w:color="auto" w:sz="6" w:space="0"/>
              <w:left w:val="single" w:color="auto" w:sz="4" w:space="0"/>
              <w:bottom w:val="single" w:color="auto" w:sz="4" w:space="0"/>
              <w:right w:val="single" w:color="auto" w:sz="4" w:space="0"/>
            </w:tcBorders>
            <w:vAlign w:val="center"/>
          </w:tcPr>
          <w:p>
            <w:pPr>
              <w:pStyle w:val="200"/>
              <w:autoSpaceDE w:val="0"/>
              <w:autoSpaceDN w:val="0"/>
              <w:adjustRightInd w:val="0"/>
              <w:spacing w:line="360" w:lineRule="auto"/>
              <w:ind w:right="84" w:rightChars="40"/>
              <w:jc w:val="center"/>
              <w:rPr>
                <w:rFonts w:ascii="宋体" w:hAnsi="宋体"/>
                <w:sz w:val="24"/>
              </w:rPr>
            </w:pPr>
            <w:r>
              <w:rPr>
                <w:rFonts w:hint="eastAsia" w:ascii="宋体" w:hAnsi="宋体"/>
                <w:sz w:val="24"/>
              </w:rPr>
              <w:t>合计</w:t>
            </w:r>
          </w:p>
        </w:tc>
      </w:tr>
    </w:tbl>
    <w:p>
      <w:pPr>
        <w:pStyle w:val="201"/>
        <w:spacing w:line="360" w:lineRule="auto"/>
        <w:rPr>
          <w:rFonts w:hAnsi="宋体"/>
          <w:sz w:val="24"/>
          <w:szCs w:val="24"/>
        </w:rPr>
      </w:pPr>
      <w:r>
        <w:rPr>
          <w:rFonts w:hint="eastAsia" w:hAnsi="宋体"/>
          <w:sz w:val="24"/>
          <w:szCs w:val="24"/>
        </w:rPr>
        <w:t>填报要求：</w:t>
      </w:r>
    </w:p>
    <w:p>
      <w:pPr>
        <w:pStyle w:val="201"/>
        <w:spacing w:line="360" w:lineRule="auto"/>
        <w:rPr>
          <w:rFonts w:hAnsi="宋体"/>
          <w:sz w:val="24"/>
          <w:szCs w:val="24"/>
        </w:rPr>
      </w:pPr>
      <w:r>
        <w:rPr>
          <w:rFonts w:hint="eastAsia" w:hAnsi="宋体"/>
          <w:sz w:val="24"/>
          <w:szCs w:val="24"/>
        </w:rPr>
        <w:t>1、此表为《开标一览表》的报价明细表，如有缺项、漏项（数量不符合将被视为漏项），均视为报价中已包含相关费用，采购人无须另外支付任何费用。</w:t>
      </w:r>
    </w:p>
    <w:p>
      <w:pPr>
        <w:pStyle w:val="201"/>
        <w:spacing w:line="360" w:lineRule="auto"/>
        <w:rPr>
          <w:rFonts w:hAnsi="宋体"/>
          <w:sz w:val="24"/>
          <w:szCs w:val="24"/>
        </w:rPr>
      </w:pPr>
      <w:r>
        <w:rPr>
          <w:rFonts w:hint="eastAsia" w:hAnsi="宋体"/>
          <w:sz w:val="24"/>
          <w:szCs w:val="24"/>
        </w:rPr>
        <w:t xml:space="preserve">2、请尽量完整、准确的填写，否则将影响供应商的得分。  </w:t>
      </w: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1"/>
        <w:spacing w:line="360" w:lineRule="auto"/>
        <w:rPr>
          <w:rFonts w:hAnsi="宋体"/>
          <w:sz w:val="24"/>
          <w:szCs w:val="24"/>
        </w:rPr>
      </w:pPr>
    </w:p>
    <w:p>
      <w:pPr>
        <w:pStyle w:val="203"/>
        <w:spacing w:line="360" w:lineRule="auto"/>
        <w:jc w:val="center"/>
        <w:rPr>
          <w:rFonts w:ascii="宋体" w:hAnsi="宋体"/>
          <w:b/>
          <w:sz w:val="28"/>
          <w:szCs w:val="28"/>
        </w:rPr>
      </w:pPr>
      <w:r>
        <w:rPr>
          <w:rFonts w:hint="eastAsia" w:ascii="宋体" w:hAnsi="宋体"/>
          <w:b/>
          <w:sz w:val="28"/>
          <w:szCs w:val="28"/>
        </w:rPr>
        <w:t>实质性响应条款一览表</w:t>
      </w:r>
    </w:p>
    <w:p>
      <w:pPr>
        <w:pStyle w:val="198"/>
        <w:spacing w:line="360" w:lineRule="auto"/>
        <w:rPr>
          <w:rFonts w:hAnsi="宋体"/>
          <w:sz w:val="24"/>
          <w:szCs w:val="24"/>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序号</w:t>
            </w:r>
          </w:p>
        </w:tc>
        <w:tc>
          <w:tcPr>
            <w:tcW w:w="3807"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实质性响应条款</w:t>
            </w: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供应商响应情况</w:t>
            </w: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1</w:t>
            </w:r>
          </w:p>
        </w:tc>
        <w:tc>
          <w:tcPr>
            <w:tcW w:w="3807" w:type="dxa"/>
            <w:tcBorders>
              <w:top w:val="single" w:color="auto" w:sz="4" w:space="0"/>
              <w:left w:val="single" w:color="auto" w:sz="4" w:space="0"/>
              <w:bottom w:val="single" w:color="auto" w:sz="4" w:space="0"/>
              <w:right w:val="single" w:color="auto" w:sz="4" w:space="0"/>
            </w:tcBorders>
          </w:tcPr>
          <w:p>
            <w:pPr>
              <w:pStyle w:val="203"/>
              <w:rPr>
                <w:rFonts w:ascii="宋体" w:hAnsi="宋体"/>
                <w:sz w:val="24"/>
              </w:rPr>
            </w:pPr>
            <w:r>
              <w:rPr>
                <w:rFonts w:hint="eastAsia" w:ascii="宋体" w:hAnsi="宋体"/>
                <w:color w:val="FF0000"/>
                <w:sz w:val="24"/>
              </w:rPr>
              <w:t>★</w:t>
            </w:r>
            <w:r>
              <w:rPr>
                <w:rFonts w:hint="eastAsia" w:ascii="宋体" w:hAnsi="宋体"/>
                <w:sz w:val="24"/>
              </w:rPr>
              <w:t>如供应商报价低于最高限价</w:t>
            </w:r>
            <w:r>
              <w:rPr>
                <w:rFonts w:hint="eastAsia" w:ascii="宋体" w:hAnsi="宋体"/>
                <w:sz w:val="24"/>
                <w:highlight w:val="magenta"/>
              </w:rPr>
              <w:t>40%</w:t>
            </w:r>
            <w:r>
              <w:rPr>
                <w:rFonts w:hint="eastAsia" w:ascii="宋体" w:hAnsi="宋体"/>
                <w:sz w:val="24"/>
              </w:rPr>
              <w:t>的，必须说明报价理由。</w:t>
            </w: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r>
              <w:rPr>
                <w:rFonts w:hint="eastAsia" w:ascii="宋体" w:hAnsi="宋体"/>
                <w:sz w:val="24"/>
              </w:rPr>
              <w:t>理由：</w:t>
            </w: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2</w:t>
            </w:r>
          </w:p>
        </w:tc>
        <w:tc>
          <w:tcPr>
            <w:tcW w:w="3807" w:type="dxa"/>
            <w:tcBorders>
              <w:top w:val="single" w:color="auto" w:sz="4" w:space="0"/>
              <w:left w:val="single" w:color="auto" w:sz="4" w:space="0"/>
              <w:bottom w:val="single" w:color="auto" w:sz="4" w:space="0"/>
              <w:right w:val="single" w:color="auto" w:sz="4" w:space="0"/>
            </w:tcBorders>
          </w:tcPr>
          <w:p>
            <w:pPr>
              <w:pStyle w:val="203"/>
              <w:rPr>
                <w:rFonts w:ascii="宋体" w:hAnsi="宋体"/>
                <w:sz w:val="24"/>
              </w:rPr>
            </w:pPr>
            <w:r>
              <w:rPr>
                <w:rFonts w:hint="eastAsia" w:ascii="宋体" w:hAnsi="宋体"/>
                <w:color w:val="FF0000"/>
                <w:sz w:val="24"/>
              </w:rPr>
              <w:t>★</w:t>
            </w:r>
            <w:r>
              <w:rPr>
                <w:rFonts w:hint="eastAsia" w:ascii="宋体" w:hAnsi="宋体"/>
                <w:sz w:val="24"/>
              </w:rPr>
              <w:t>本次采购服务产品为非进口产品</w:t>
            </w:r>
            <w:r>
              <w:rPr>
                <w:rFonts w:hint="eastAsia" w:ascii="宋体" w:hAnsi="宋体" w:cs="Arial"/>
                <w:sz w:val="24"/>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rPr>
                <w:rFonts w:ascii="宋体" w:hAnsi="宋体"/>
                <w:sz w:val="24"/>
              </w:rPr>
            </w:pPr>
            <w:r>
              <w:rPr>
                <w:rFonts w:hint="eastAsia" w:ascii="宋体" w:hAnsi="宋体"/>
                <w:sz w:val="24"/>
              </w:rPr>
              <w:t>3</w:t>
            </w:r>
          </w:p>
        </w:tc>
        <w:tc>
          <w:tcPr>
            <w:tcW w:w="3807" w:type="dxa"/>
            <w:tcBorders>
              <w:top w:val="single" w:color="auto" w:sz="4" w:space="0"/>
              <w:left w:val="single" w:color="auto" w:sz="4" w:space="0"/>
              <w:bottom w:val="single" w:color="auto" w:sz="4" w:space="0"/>
              <w:right w:val="single" w:color="auto" w:sz="4" w:space="0"/>
            </w:tcBorders>
          </w:tcPr>
          <w:p>
            <w:pPr>
              <w:pStyle w:val="203"/>
              <w:rPr>
                <w:rFonts w:ascii="宋体" w:hAnsi="宋体"/>
                <w:sz w:val="24"/>
              </w:rPr>
            </w:pPr>
            <w:r>
              <w:rPr>
                <w:rFonts w:hint="eastAsia" w:ascii="宋体" w:hAnsi="宋体"/>
                <w:sz w:val="24"/>
              </w:rPr>
              <w:t>以下内容根据第二章服务要求★号条款详细列举</w:t>
            </w: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r>
              <w:rPr>
                <w:rFonts w:hint="eastAsia" w:ascii="宋体" w:hAnsi="宋体"/>
                <w:sz w:val="24"/>
              </w:rPr>
              <w:t>…</w:t>
            </w:r>
          </w:p>
        </w:tc>
        <w:tc>
          <w:tcPr>
            <w:tcW w:w="3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3"/>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3"/>
              <w:spacing w:line="360" w:lineRule="auto"/>
              <w:rPr>
                <w:rFonts w:ascii="宋体" w:hAnsi="宋体"/>
                <w:sz w:val="24"/>
              </w:rPr>
            </w:pPr>
          </w:p>
        </w:tc>
      </w:tr>
    </w:tbl>
    <w:p>
      <w:pPr>
        <w:pStyle w:val="203"/>
        <w:spacing w:line="360" w:lineRule="auto"/>
        <w:rPr>
          <w:rFonts w:ascii="宋体" w:hAnsi="宋体"/>
          <w:sz w:val="24"/>
        </w:rPr>
      </w:pPr>
      <w:r>
        <w:rPr>
          <w:rFonts w:hint="eastAsia" w:ascii="宋体" w:hAnsi="宋体"/>
          <w:sz w:val="24"/>
        </w:rPr>
        <w:t>说明：</w:t>
      </w:r>
    </w:p>
    <w:p>
      <w:pPr>
        <w:pStyle w:val="203"/>
        <w:numPr>
          <w:ilvl w:val="0"/>
          <w:numId w:val="10"/>
        </w:numPr>
        <w:tabs>
          <w:tab w:val="left" w:pos="-426"/>
          <w:tab w:val="clear" w:pos="360"/>
        </w:tabs>
        <w:spacing w:line="360" w:lineRule="auto"/>
        <w:ind w:left="0" w:right="-57" w:rightChars="-27" w:firstLine="0"/>
        <w:rPr>
          <w:rFonts w:ascii="宋体" w:hAnsi="宋体"/>
          <w:sz w:val="24"/>
        </w:rPr>
      </w:pPr>
      <w:r>
        <w:rPr>
          <w:rFonts w:hint="eastAsia" w:ascii="宋体" w:hAnsi="宋体"/>
          <w:sz w:val="24"/>
        </w:rPr>
        <w:t>本表所列条款必须一一予以响应，“供应商响应情况”一栏应</w:t>
      </w:r>
      <w:r>
        <w:rPr>
          <w:rFonts w:hint="eastAsia" w:ascii="宋体" w:hAnsi="宋体"/>
          <w:b/>
          <w:sz w:val="24"/>
        </w:rPr>
        <w:t>填写具体的响应内容，有差异的</w:t>
      </w:r>
      <w:r>
        <w:rPr>
          <w:rFonts w:hint="eastAsia" w:ascii="宋体" w:hAnsi="宋体"/>
          <w:sz w:val="24"/>
        </w:rPr>
        <w:t>要具体说明。</w:t>
      </w:r>
    </w:p>
    <w:p>
      <w:pPr>
        <w:pStyle w:val="203"/>
        <w:numPr>
          <w:ilvl w:val="0"/>
          <w:numId w:val="10"/>
        </w:numPr>
        <w:tabs>
          <w:tab w:val="left" w:pos="-426"/>
          <w:tab w:val="clear" w:pos="360"/>
        </w:tabs>
        <w:spacing w:line="360" w:lineRule="auto"/>
        <w:ind w:left="0" w:right="-483" w:rightChars="-230" w:firstLine="0"/>
        <w:rPr>
          <w:rFonts w:ascii="宋体" w:hAnsi="宋体"/>
          <w:sz w:val="24"/>
        </w:rPr>
      </w:pPr>
      <w:r>
        <w:rPr>
          <w:rFonts w:hint="eastAsia" w:ascii="宋体" w:hAnsi="宋体"/>
          <w:sz w:val="24"/>
        </w:rPr>
        <w:t>请供应商认真填写本表内容，如填写错误将可能导致投标无效。</w:t>
      </w:r>
    </w:p>
    <w:p>
      <w:pPr>
        <w:pStyle w:val="203"/>
        <w:spacing w:line="360" w:lineRule="auto"/>
        <w:ind w:right="-483" w:rightChars="-230"/>
        <w:rPr>
          <w:rFonts w:ascii="宋体" w:hAnsi="宋体"/>
          <w:sz w:val="24"/>
        </w:rPr>
      </w:pP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cs="Arial"/>
          <w:sz w:val="24"/>
          <w:szCs w:val="24"/>
        </w:rPr>
      </w:pPr>
      <w:r>
        <w:rPr>
          <w:rFonts w:hint="eastAsia" w:ascii="宋体" w:hAnsi="宋体"/>
          <w:sz w:val="24"/>
          <w:szCs w:val="24"/>
        </w:rPr>
        <w:t>日期：</w:t>
      </w:r>
      <w:r>
        <w:rPr>
          <w:rFonts w:hint="eastAsia" w:ascii="宋体" w:hAnsi="宋体" w:cs="Arial"/>
          <w:sz w:val="24"/>
          <w:szCs w:val="24"/>
        </w:rPr>
        <w:t>2022年   月   日</w:t>
      </w:r>
    </w:p>
    <w:p>
      <w:pPr>
        <w:pStyle w:val="112"/>
        <w:spacing w:line="360" w:lineRule="auto"/>
        <w:ind w:right="84" w:rightChars="40" w:firstLine="4080" w:firstLineChars="1700"/>
        <w:jc w:val="right"/>
        <w:rPr>
          <w:rFonts w:ascii="宋体" w:hAnsi="宋体" w:cs="Arial"/>
          <w:sz w:val="24"/>
          <w:szCs w:val="24"/>
        </w:rPr>
      </w:pPr>
    </w:p>
    <w:p>
      <w:pPr>
        <w:pStyle w:val="112"/>
        <w:spacing w:line="360" w:lineRule="auto"/>
        <w:ind w:right="84" w:rightChars="40" w:firstLine="4080" w:firstLineChars="1700"/>
        <w:jc w:val="right"/>
        <w:rPr>
          <w:rFonts w:ascii="宋体" w:hAnsi="宋体" w:cs="Arial"/>
          <w:sz w:val="24"/>
          <w:szCs w:val="24"/>
        </w:rPr>
      </w:pPr>
    </w:p>
    <w:p>
      <w:pPr>
        <w:pStyle w:val="112"/>
        <w:spacing w:line="360" w:lineRule="auto"/>
        <w:ind w:right="84" w:rightChars="40" w:firstLine="4080" w:firstLineChars="1700"/>
        <w:jc w:val="right"/>
        <w:rPr>
          <w:rFonts w:ascii="宋体" w:hAnsi="宋体" w:cs="Arial"/>
          <w:sz w:val="24"/>
          <w:szCs w:val="24"/>
        </w:rPr>
      </w:pPr>
    </w:p>
    <w:p>
      <w:pPr>
        <w:pStyle w:val="203"/>
        <w:rPr>
          <w:rFonts w:ascii="宋体" w:hAnsi="宋体"/>
          <w:sz w:val="24"/>
        </w:rPr>
      </w:pPr>
    </w:p>
    <w:p>
      <w:pPr>
        <w:keepNext/>
        <w:keepLines/>
        <w:spacing w:before="260" w:after="260" w:line="415" w:lineRule="auto"/>
        <w:ind w:firstLine="137" w:firstLineChars="49"/>
        <w:outlineLvl w:val="2"/>
        <w:rPr>
          <w:rFonts w:ascii="宋体" w:hAnsi="宋体"/>
          <w:bCs/>
          <w:sz w:val="28"/>
          <w:szCs w:val="28"/>
        </w:rPr>
      </w:pPr>
      <w:bookmarkStart w:id="253" w:name="_Toc29053"/>
      <w:r>
        <w:rPr>
          <w:rFonts w:hint="eastAsia" w:ascii="宋体" w:hAnsi="宋体"/>
          <w:bCs/>
          <w:sz w:val="28"/>
          <w:szCs w:val="28"/>
        </w:rPr>
        <w:t>项目负责人</w:t>
      </w:r>
      <w:r>
        <w:rPr>
          <w:rFonts w:ascii="宋体" w:hAnsi="宋体"/>
          <w:bCs/>
          <w:sz w:val="28"/>
          <w:szCs w:val="28"/>
        </w:rPr>
        <w:t>简历表</w:t>
      </w:r>
      <w:bookmarkEnd w:id="253"/>
    </w:p>
    <w:p>
      <w:pPr>
        <w:pStyle w:val="203"/>
        <w:tabs>
          <w:tab w:val="left" w:pos="-426"/>
        </w:tabs>
        <w:spacing w:line="360" w:lineRule="auto"/>
        <w:ind w:right="-483" w:rightChars="-230" w:firstLine="480" w:firstLineChars="200"/>
        <w:rPr>
          <w:rFonts w:ascii="宋体" w:hAnsi="宋体"/>
          <w:sz w:val="23"/>
          <w:szCs w:val="23"/>
        </w:rPr>
      </w:pPr>
      <w:r>
        <w:rPr>
          <w:rFonts w:hint="eastAsia" w:ascii="宋体" w:hAnsi="宋体"/>
          <w:sz w:val="24"/>
        </w:rPr>
        <w:t>“项目负责人简历表”应附负责人注册证、身份证、职称证、学历证、社保证明，项目业绩须附合同书复印件中标通知书或竣工验收报告；</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7"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bl>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4"/>
        <w:outlineLvl w:val="9"/>
        <w:rPr>
          <w:rFonts w:hAnsi="宋体"/>
          <w:sz w:val="28"/>
          <w:szCs w:val="28"/>
          <w:highlight w:val="green"/>
        </w:rPr>
      </w:pPr>
    </w:p>
    <w:p>
      <w:pPr>
        <w:pStyle w:val="203"/>
      </w:pPr>
      <w:bookmarkStart w:id="254" w:name="_Toc394307580"/>
    </w:p>
    <w:p>
      <w:pPr>
        <w:keepNext/>
        <w:keepLines/>
        <w:spacing w:before="260" w:after="260" w:line="415" w:lineRule="auto"/>
        <w:ind w:firstLine="137" w:firstLineChars="49"/>
        <w:outlineLvl w:val="2"/>
        <w:rPr>
          <w:rFonts w:ascii="宋体" w:hAnsi="宋体"/>
          <w:bCs/>
          <w:sz w:val="28"/>
          <w:szCs w:val="28"/>
        </w:rPr>
      </w:pPr>
      <w:bookmarkStart w:id="255" w:name="_Toc26073"/>
      <w:r>
        <w:rPr>
          <w:rFonts w:hint="eastAsia" w:ascii="宋体" w:hAnsi="宋体"/>
          <w:bCs/>
          <w:sz w:val="28"/>
          <w:szCs w:val="28"/>
        </w:rPr>
        <w:t>主要设计人员</w:t>
      </w:r>
      <w:r>
        <w:rPr>
          <w:rFonts w:ascii="宋体" w:hAnsi="宋体"/>
          <w:bCs/>
          <w:sz w:val="28"/>
          <w:szCs w:val="28"/>
        </w:rPr>
        <w:t>表</w:t>
      </w:r>
      <w:bookmarkEnd w:id="255"/>
    </w:p>
    <w:p>
      <w:pPr>
        <w:keepNext/>
        <w:keepLines/>
        <w:spacing w:before="260" w:after="260" w:line="415" w:lineRule="auto"/>
        <w:ind w:firstLine="117" w:firstLineChars="49"/>
        <w:outlineLvl w:val="2"/>
        <w:rPr>
          <w:rFonts w:ascii="宋体" w:hAnsi="宋体"/>
          <w:bCs/>
          <w:sz w:val="28"/>
          <w:szCs w:val="28"/>
        </w:rPr>
      </w:pPr>
      <w:bookmarkStart w:id="256" w:name="_Toc4876"/>
      <w:r>
        <w:rPr>
          <w:rFonts w:hint="eastAsia" w:ascii="宋体" w:hAnsi="宋体"/>
          <w:sz w:val="24"/>
        </w:rPr>
        <w:t>“主要设计人员表”应附设计人注册证或职称证、身份证、学历证、社保证明。</w:t>
      </w:r>
      <w:bookmarkEnd w:id="256"/>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1048"/>
        <w:gridCol w:w="1080"/>
        <w:gridCol w:w="133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ascii="宋体" w:hAnsi="宋体"/>
                <w:szCs w:val="21"/>
              </w:rPr>
            </w:pPr>
            <w:r>
              <w:rPr>
                <w:rFonts w:hint="eastAsia" w:ascii="宋体" w:hAnsi="宋体"/>
                <w:szCs w:val="21"/>
              </w:rPr>
              <w:t>序号</w:t>
            </w:r>
          </w:p>
        </w:tc>
        <w:tc>
          <w:tcPr>
            <w:tcW w:w="721" w:type="dxa"/>
            <w:vAlign w:val="center"/>
          </w:tcPr>
          <w:p>
            <w:pPr>
              <w:spacing w:line="440" w:lineRule="exact"/>
              <w:jc w:val="center"/>
              <w:rPr>
                <w:rFonts w:ascii="宋体" w:hAnsi="宋体"/>
                <w:szCs w:val="21"/>
              </w:rPr>
            </w:pPr>
            <w:r>
              <w:rPr>
                <w:rFonts w:ascii="宋体" w:hAnsi="宋体"/>
                <w:szCs w:val="21"/>
              </w:rPr>
              <w:t>姓名</w:t>
            </w:r>
          </w:p>
        </w:tc>
        <w:tc>
          <w:tcPr>
            <w:tcW w:w="719" w:type="dxa"/>
            <w:vAlign w:val="center"/>
          </w:tcPr>
          <w:p>
            <w:pPr>
              <w:spacing w:line="440" w:lineRule="exact"/>
              <w:jc w:val="center"/>
              <w:rPr>
                <w:rFonts w:ascii="宋体" w:hAnsi="宋体"/>
                <w:szCs w:val="21"/>
              </w:rPr>
            </w:pPr>
            <w:r>
              <w:rPr>
                <w:rFonts w:ascii="宋体" w:hAnsi="宋体"/>
                <w:szCs w:val="21"/>
              </w:rPr>
              <w:t>职称</w:t>
            </w: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1048" w:type="dxa"/>
            <w:vAlign w:val="center"/>
          </w:tcPr>
          <w:p>
            <w:pPr>
              <w:spacing w:line="440" w:lineRule="exact"/>
              <w:jc w:val="center"/>
              <w:rPr>
                <w:rFonts w:ascii="宋体" w:hAnsi="宋体"/>
                <w:szCs w:val="21"/>
              </w:rPr>
            </w:pPr>
            <w:r>
              <w:rPr>
                <w:rFonts w:ascii="宋体" w:hAnsi="宋体"/>
                <w:szCs w:val="21"/>
              </w:rPr>
              <w:t>级别</w:t>
            </w:r>
          </w:p>
        </w:tc>
        <w:tc>
          <w:tcPr>
            <w:tcW w:w="1080" w:type="dxa"/>
            <w:vAlign w:val="center"/>
          </w:tcPr>
          <w:p>
            <w:pPr>
              <w:spacing w:line="440" w:lineRule="exact"/>
              <w:jc w:val="center"/>
              <w:rPr>
                <w:rFonts w:ascii="宋体" w:hAnsi="宋体"/>
                <w:szCs w:val="21"/>
              </w:rPr>
            </w:pPr>
            <w:r>
              <w:rPr>
                <w:rFonts w:ascii="宋体" w:hAnsi="宋体"/>
                <w:szCs w:val="21"/>
              </w:rPr>
              <w:t>证号</w:t>
            </w:r>
          </w:p>
        </w:tc>
        <w:tc>
          <w:tcPr>
            <w:tcW w:w="1335" w:type="dxa"/>
            <w:vAlign w:val="center"/>
          </w:tcPr>
          <w:p>
            <w:pPr>
              <w:spacing w:line="440" w:lineRule="exact"/>
              <w:jc w:val="center"/>
              <w:rPr>
                <w:rFonts w:ascii="宋体" w:hAnsi="宋体"/>
                <w:szCs w:val="21"/>
              </w:rPr>
            </w:pPr>
            <w:r>
              <w:rPr>
                <w:rFonts w:ascii="宋体" w:hAnsi="宋体"/>
                <w:szCs w:val="21"/>
              </w:rPr>
              <w:t>专业</w:t>
            </w:r>
          </w:p>
        </w:tc>
        <w:tc>
          <w:tcPr>
            <w:tcW w:w="2460"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bl>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
      <w:pPr>
        <w:pStyle w:val="203"/>
      </w:pPr>
    </w:p>
    <w:p>
      <w:pPr>
        <w:keepNext/>
        <w:keepLines/>
        <w:spacing w:before="260" w:after="260" w:line="415" w:lineRule="auto"/>
        <w:ind w:firstLine="137" w:firstLineChars="49"/>
        <w:outlineLvl w:val="2"/>
        <w:rPr>
          <w:rFonts w:ascii="宋体" w:hAnsi="宋体"/>
          <w:bCs/>
          <w:sz w:val="28"/>
          <w:szCs w:val="28"/>
        </w:rPr>
      </w:pPr>
      <w:bookmarkStart w:id="257" w:name="_Toc1227"/>
      <w:r>
        <w:rPr>
          <w:rFonts w:hint="eastAsia" w:hAnsi="宋体"/>
          <w:sz w:val="28"/>
          <w:szCs w:val="28"/>
        </w:rPr>
        <w:t>主要设计人员</w:t>
      </w:r>
      <w:r>
        <w:rPr>
          <w:rFonts w:hint="eastAsia" w:ascii="宋体" w:hAnsi="宋体"/>
          <w:bCs/>
          <w:sz w:val="28"/>
          <w:szCs w:val="28"/>
        </w:rPr>
        <w:t>业绩</w:t>
      </w:r>
      <w:r>
        <w:rPr>
          <w:rFonts w:ascii="宋体" w:hAnsi="宋体"/>
          <w:bCs/>
          <w:sz w:val="28"/>
          <w:szCs w:val="28"/>
        </w:rPr>
        <w:t>表</w:t>
      </w:r>
      <w:bookmarkEnd w:id="257"/>
    </w:p>
    <w:p>
      <w:pPr>
        <w:keepNext/>
        <w:keepLines/>
        <w:spacing w:before="260" w:after="260" w:line="415" w:lineRule="auto"/>
        <w:ind w:firstLine="117" w:firstLineChars="49"/>
        <w:outlineLvl w:val="2"/>
        <w:rPr>
          <w:rFonts w:ascii="宋体" w:hAnsi="宋体"/>
          <w:sz w:val="23"/>
          <w:szCs w:val="23"/>
        </w:rPr>
      </w:pPr>
      <w:bookmarkStart w:id="258" w:name="_Toc15098"/>
      <w:r>
        <w:rPr>
          <w:rFonts w:hint="eastAsia" w:ascii="宋体" w:hAnsi="宋体"/>
          <w:sz w:val="24"/>
        </w:rPr>
        <w:t>“主要设计人员业绩表”应附设计人注册证或职称证、身份证、学历证、社保证明，项目业绩须附合同书复印件中标通知书或竣工验收报告；</w:t>
      </w:r>
      <w:bookmarkEnd w:id="25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7"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bookmarkEnd w:id="254"/>
    </w:tbl>
    <w:p>
      <w:pPr>
        <w:pStyle w:val="209"/>
        <w:widowControl/>
        <w:spacing w:line="360" w:lineRule="auto"/>
        <w:ind w:right="84" w:rightChars="40"/>
        <w:jc w:val="left"/>
        <w:rPr>
          <w:rFonts w:ascii="宋体" w:hAnsi="宋体"/>
          <w:sz w:val="24"/>
        </w:rPr>
      </w:pPr>
    </w:p>
    <w:p>
      <w:pPr>
        <w:pStyle w:val="209"/>
        <w:widowControl/>
        <w:spacing w:line="360" w:lineRule="auto"/>
        <w:ind w:right="84" w:rightChars="40"/>
        <w:jc w:val="left"/>
        <w:rPr>
          <w:rFonts w:ascii="宋体" w:hAnsi="宋体"/>
          <w:sz w:val="24"/>
        </w:rPr>
      </w:pP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9"/>
        <w:widowControl/>
        <w:spacing w:line="360" w:lineRule="auto"/>
        <w:ind w:right="84" w:rightChars="40"/>
        <w:jc w:val="left"/>
        <w:rPr>
          <w:rFonts w:ascii="宋体" w:hAnsi="宋体"/>
          <w:sz w:val="24"/>
        </w:rPr>
      </w:pPr>
    </w:p>
    <w:p>
      <w:pPr>
        <w:widowControl/>
        <w:spacing w:before="0" w:beforeAutospacing="0" w:after="0" w:afterAutospacing="0" w:line="240" w:lineRule="auto"/>
        <w:jc w:val="left"/>
        <w:rPr>
          <w:rFonts w:ascii="宋体" w:hAnsi="宋体"/>
          <w:b/>
          <w:sz w:val="28"/>
          <w:szCs w:val="28"/>
        </w:rPr>
      </w:pPr>
      <w:r>
        <w:rPr>
          <w:rFonts w:ascii="宋体" w:hAnsi="宋体"/>
          <w:b/>
          <w:sz w:val="28"/>
          <w:szCs w:val="28"/>
        </w:rPr>
        <w:br w:type="page"/>
      </w:r>
    </w:p>
    <w:p>
      <w:pPr>
        <w:pStyle w:val="210"/>
        <w:spacing w:line="360" w:lineRule="auto"/>
        <w:jc w:val="center"/>
        <w:rPr>
          <w:rFonts w:ascii="宋体" w:hAnsi="宋体"/>
          <w:b/>
          <w:sz w:val="28"/>
          <w:szCs w:val="28"/>
        </w:rPr>
      </w:pPr>
      <w:r>
        <w:rPr>
          <w:rFonts w:hint="eastAsia" w:ascii="宋体" w:hAnsi="宋体"/>
          <w:b/>
          <w:sz w:val="28"/>
          <w:szCs w:val="28"/>
        </w:rPr>
        <w:t>供应商业绩一览表</w:t>
      </w:r>
    </w:p>
    <w:p>
      <w:pPr>
        <w:pStyle w:val="198"/>
        <w:spacing w:line="360" w:lineRule="auto"/>
        <w:rPr>
          <w:rFonts w:hAnsi="宋体"/>
          <w:sz w:val="24"/>
          <w:szCs w:val="24"/>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tbl>
      <w:tblPr>
        <w:tblStyle w:val="3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项目建设内容及规模</w:t>
            </w:r>
          </w:p>
        </w:tc>
        <w:tc>
          <w:tcPr>
            <w:tcW w:w="1260"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color w:val="0000FF"/>
                <w:sz w:val="24"/>
              </w:rPr>
            </w:pPr>
            <w:r>
              <w:rPr>
                <w:rFonts w:hint="eastAsia" w:ascii="宋体" w:hAnsi="宋体" w:cs="Arial"/>
                <w:bCs/>
                <w:sz w:val="24"/>
              </w:rPr>
              <w:t>完成时间</w:t>
            </w:r>
          </w:p>
        </w:tc>
        <w:tc>
          <w:tcPr>
            <w:tcW w:w="1383"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pStyle w:val="210"/>
              <w:jc w:val="center"/>
              <w:rPr>
                <w:rFonts w:ascii="宋体" w:hAnsi="宋体" w:cs="Arial"/>
                <w:bCs/>
                <w:sz w:val="24"/>
              </w:rPr>
            </w:pPr>
            <w:r>
              <w:rPr>
                <w:rFonts w:hint="eastAsia" w:ascii="宋体" w:hAnsi="宋体" w:cs="Arial"/>
                <w:bCs/>
                <w:sz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jc w:val="center"/>
              <w:rPr>
                <w:rFonts w:ascii="宋体" w:hAnsi="宋体" w:cs="Arial"/>
                <w:sz w:val="24"/>
              </w:rPr>
            </w:pPr>
            <w:r>
              <w:rPr>
                <w:rFonts w:hint="eastAsia" w:ascii="宋体" w:hAnsi="宋体" w:cs="Arial"/>
                <w:sz w:val="24"/>
              </w:rPr>
              <w:t>1</w:t>
            </w: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jc w:val="center"/>
              <w:rPr>
                <w:rFonts w:ascii="宋体" w:hAnsi="宋体" w:cs="Arial"/>
                <w:sz w:val="24"/>
              </w:rPr>
            </w:pPr>
            <w:r>
              <w:rPr>
                <w:rFonts w:hint="eastAsia" w:ascii="宋体" w:hAnsi="宋体" w:cs="Arial"/>
                <w:sz w:val="24"/>
              </w:rPr>
              <w:t>2</w:t>
            </w: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jc w:val="center"/>
              <w:rPr>
                <w:rFonts w:ascii="宋体" w:hAnsi="宋体" w:cs="Arial"/>
                <w:sz w:val="24"/>
              </w:rPr>
            </w:pPr>
            <w:r>
              <w:rPr>
                <w:rFonts w:hint="eastAsia" w:ascii="宋体" w:hAnsi="宋体" w:cs="Arial"/>
                <w:sz w:val="24"/>
              </w:rPr>
              <w:t>3</w:t>
            </w: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r>
              <w:rPr>
                <w:rFonts w:hint="eastAsia" w:ascii="宋体" w:hAnsi="宋体" w:cs="Arial"/>
                <w:sz w:val="24"/>
              </w:rPr>
              <w:t>…</w:t>
            </w: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0"/>
              <w:spacing w:line="360" w:lineRule="auto"/>
              <w:rPr>
                <w:rFonts w:ascii="宋体" w:hAnsi="宋体" w:cs="Arial"/>
                <w:sz w:val="24"/>
              </w:rPr>
            </w:pPr>
          </w:p>
        </w:tc>
      </w:tr>
    </w:tbl>
    <w:p>
      <w:pPr>
        <w:pStyle w:val="210"/>
        <w:tabs>
          <w:tab w:val="left" w:pos="1050"/>
          <w:tab w:val="left" w:pos="1838"/>
        </w:tabs>
        <w:spacing w:line="360" w:lineRule="auto"/>
        <w:rPr>
          <w:rFonts w:ascii="宋体" w:hAnsi="宋体"/>
          <w:sz w:val="24"/>
        </w:rPr>
      </w:pPr>
      <w:r>
        <w:rPr>
          <w:rFonts w:hint="eastAsia" w:ascii="宋体" w:hAnsi="宋体"/>
          <w:sz w:val="24"/>
        </w:rPr>
        <w:t xml:space="preserve"> 填报要求：</w:t>
      </w:r>
    </w:p>
    <w:p>
      <w:pPr>
        <w:pStyle w:val="210"/>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依据商务评审中的业绩要求填写本表并提供相关证明材料中标（成交）通知书或者合同或发票等证明文件，合同可只提供首页、含金额页、盖章页。</w:t>
      </w:r>
    </w:p>
    <w:p>
      <w:pPr>
        <w:pStyle w:val="210"/>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请供应商严格按照要求提交相关证明材料，否则有可能影响评审结果。</w:t>
      </w:r>
    </w:p>
    <w:p>
      <w:pPr>
        <w:pStyle w:val="210"/>
        <w:tabs>
          <w:tab w:val="left" w:pos="0"/>
        </w:tabs>
        <w:spacing w:line="360" w:lineRule="auto"/>
        <w:rPr>
          <w:rFonts w:ascii="宋体" w:hAnsi="宋体"/>
          <w:sz w:val="24"/>
        </w:rPr>
      </w:pPr>
    </w:p>
    <w:p>
      <w:pPr>
        <w:pStyle w:val="210"/>
        <w:tabs>
          <w:tab w:val="left" w:pos="0"/>
        </w:tabs>
        <w:spacing w:line="360" w:lineRule="auto"/>
        <w:rPr>
          <w:rFonts w:ascii="宋体" w:hAnsi="宋体"/>
          <w:sz w:val="24"/>
        </w:rPr>
      </w:pP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0"/>
        <w:tabs>
          <w:tab w:val="left" w:pos="0"/>
        </w:tabs>
        <w:spacing w:line="360" w:lineRule="auto"/>
        <w:rPr>
          <w:rFonts w:ascii="宋体" w:hAnsi="宋体"/>
          <w:sz w:val="24"/>
        </w:rPr>
      </w:pPr>
      <w:r>
        <w:rPr>
          <w:rFonts w:ascii="宋体" w:hAnsi="宋体"/>
          <w:sz w:val="24"/>
        </w:rPr>
        <w:br w:type="page"/>
      </w:r>
    </w:p>
    <w:p>
      <w:pPr>
        <w:pStyle w:val="210"/>
        <w:tabs>
          <w:tab w:val="left" w:pos="1050"/>
          <w:tab w:val="left" w:pos="1838"/>
        </w:tabs>
        <w:spacing w:line="360" w:lineRule="auto"/>
        <w:ind w:left="2"/>
        <w:rPr>
          <w:rFonts w:ascii="宋体" w:hAnsi="宋体"/>
          <w:sz w:val="24"/>
        </w:rPr>
      </w:pPr>
    </w:p>
    <w:p>
      <w:pPr>
        <w:pStyle w:val="211"/>
        <w:spacing w:line="360" w:lineRule="auto"/>
        <w:jc w:val="center"/>
        <w:rPr>
          <w:rFonts w:ascii="宋体" w:hAnsi="宋体"/>
          <w:b/>
          <w:sz w:val="28"/>
          <w:szCs w:val="28"/>
        </w:rPr>
      </w:pPr>
      <w:r>
        <w:rPr>
          <w:rFonts w:hint="eastAsia" w:ascii="宋体" w:hAnsi="宋体"/>
          <w:b/>
          <w:sz w:val="28"/>
          <w:szCs w:val="28"/>
        </w:rPr>
        <w:t>证书一览表</w:t>
      </w:r>
    </w:p>
    <w:p>
      <w:pPr>
        <w:pStyle w:val="198"/>
        <w:spacing w:line="360" w:lineRule="auto"/>
        <w:rPr>
          <w:rFonts w:hAnsi="宋体"/>
          <w:sz w:val="24"/>
          <w:szCs w:val="24"/>
          <w:u w:val="single"/>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tbl>
      <w:tblPr>
        <w:tblStyle w:val="35"/>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487"/>
        <w:gridCol w:w="2489"/>
        <w:gridCol w:w="22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7" w:type="pct"/>
            <w:tcBorders>
              <w:top w:val="single" w:color="auto" w:sz="4" w:space="0"/>
              <w:left w:val="single" w:color="auto" w:sz="4" w:space="0"/>
              <w:bottom w:val="single" w:color="auto" w:sz="4" w:space="0"/>
            </w:tcBorders>
          </w:tcPr>
          <w:p>
            <w:pPr>
              <w:pStyle w:val="211"/>
              <w:spacing w:line="360" w:lineRule="auto"/>
              <w:jc w:val="center"/>
              <w:rPr>
                <w:rFonts w:ascii="宋体" w:hAnsi="宋体" w:cs="Arial"/>
                <w:bCs/>
                <w:sz w:val="24"/>
                <w:szCs w:val="24"/>
              </w:rPr>
            </w:pPr>
            <w:r>
              <w:rPr>
                <w:rFonts w:hint="eastAsia" w:ascii="宋体" w:hAnsi="宋体" w:cs="Arial"/>
                <w:bCs/>
                <w:sz w:val="24"/>
                <w:szCs w:val="24"/>
              </w:rPr>
              <w:t>证书名称</w:t>
            </w:r>
          </w:p>
        </w:tc>
        <w:tc>
          <w:tcPr>
            <w:tcW w:w="1339" w:type="pct"/>
            <w:tcBorders>
              <w:top w:val="single" w:color="auto" w:sz="4" w:space="0"/>
              <w:bottom w:val="single" w:color="auto" w:sz="4" w:space="0"/>
            </w:tcBorders>
          </w:tcPr>
          <w:p>
            <w:pPr>
              <w:pStyle w:val="211"/>
              <w:spacing w:line="360" w:lineRule="auto"/>
              <w:jc w:val="center"/>
              <w:rPr>
                <w:rFonts w:ascii="宋体" w:hAnsi="宋体" w:cs="Arial"/>
                <w:bCs/>
                <w:sz w:val="24"/>
                <w:szCs w:val="24"/>
              </w:rPr>
            </w:pPr>
            <w:r>
              <w:rPr>
                <w:rFonts w:hint="eastAsia" w:ascii="宋体" w:hAnsi="宋体" w:cs="Arial"/>
                <w:bCs/>
                <w:sz w:val="24"/>
                <w:szCs w:val="24"/>
              </w:rPr>
              <w:t>发证单位</w:t>
            </w:r>
          </w:p>
        </w:tc>
        <w:tc>
          <w:tcPr>
            <w:tcW w:w="1340" w:type="pct"/>
            <w:tcBorders>
              <w:top w:val="single" w:color="auto" w:sz="4" w:space="0"/>
              <w:bottom w:val="single" w:color="auto" w:sz="4" w:space="0"/>
            </w:tcBorders>
          </w:tcPr>
          <w:p>
            <w:pPr>
              <w:pStyle w:val="211"/>
              <w:spacing w:line="360" w:lineRule="auto"/>
              <w:jc w:val="center"/>
              <w:rPr>
                <w:rFonts w:ascii="宋体" w:hAnsi="宋体" w:cs="Arial"/>
                <w:bCs/>
                <w:sz w:val="24"/>
                <w:szCs w:val="24"/>
              </w:rPr>
            </w:pPr>
            <w:r>
              <w:rPr>
                <w:rFonts w:hint="eastAsia" w:ascii="宋体" w:hAnsi="宋体" w:cs="Arial"/>
                <w:bCs/>
                <w:sz w:val="24"/>
                <w:szCs w:val="24"/>
              </w:rPr>
              <w:t>证书等级</w:t>
            </w:r>
          </w:p>
        </w:tc>
        <w:tc>
          <w:tcPr>
            <w:tcW w:w="1215" w:type="pct"/>
            <w:tcBorders>
              <w:top w:val="single" w:color="auto" w:sz="4" w:space="0"/>
              <w:bottom w:val="single" w:color="auto" w:sz="4" w:space="0"/>
              <w:right w:val="single" w:color="auto" w:sz="4" w:space="0"/>
            </w:tcBorders>
          </w:tcPr>
          <w:p>
            <w:pPr>
              <w:pStyle w:val="211"/>
              <w:spacing w:line="360" w:lineRule="auto"/>
              <w:jc w:val="center"/>
              <w:rPr>
                <w:rFonts w:ascii="宋体" w:hAnsi="宋体" w:cs="Arial"/>
                <w:bCs/>
                <w:sz w:val="24"/>
                <w:szCs w:val="24"/>
              </w:rPr>
            </w:pPr>
            <w:r>
              <w:rPr>
                <w:rFonts w:hint="eastAsia" w:ascii="宋体" w:hAnsi="宋体" w:cs="Arial"/>
                <w:bCs/>
                <w:sz w:val="24"/>
                <w:szCs w:val="24"/>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top w:val="single" w:color="auto" w:sz="4" w:space="0"/>
              <w:left w:val="single" w:color="auto" w:sz="4" w:space="0"/>
            </w:tcBorders>
          </w:tcPr>
          <w:p>
            <w:pPr>
              <w:pStyle w:val="211"/>
              <w:spacing w:line="360" w:lineRule="auto"/>
              <w:jc w:val="center"/>
              <w:rPr>
                <w:rFonts w:ascii="宋体" w:hAnsi="宋体" w:cs="Arial"/>
                <w:sz w:val="24"/>
                <w:szCs w:val="24"/>
              </w:rPr>
            </w:pPr>
          </w:p>
        </w:tc>
        <w:tc>
          <w:tcPr>
            <w:tcW w:w="1339" w:type="pct"/>
            <w:tcBorders>
              <w:top w:val="single" w:color="auto" w:sz="4" w:space="0"/>
            </w:tcBorders>
          </w:tcPr>
          <w:p>
            <w:pPr>
              <w:pStyle w:val="211"/>
              <w:spacing w:line="360" w:lineRule="auto"/>
              <w:jc w:val="center"/>
              <w:rPr>
                <w:rFonts w:ascii="宋体" w:hAnsi="宋体" w:cs="Arial"/>
                <w:sz w:val="24"/>
                <w:szCs w:val="24"/>
              </w:rPr>
            </w:pPr>
          </w:p>
        </w:tc>
        <w:tc>
          <w:tcPr>
            <w:tcW w:w="1340" w:type="pct"/>
            <w:tcBorders>
              <w:top w:val="single" w:color="auto" w:sz="4" w:space="0"/>
            </w:tcBorders>
          </w:tcPr>
          <w:p>
            <w:pPr>
              <w:pStyle w:val="211"/>
              <w:spacing w:line="360" w:lineRule="auto"/>
              <w:jc w:val="center"/>
              <w:rPr>
                <w:rFonts w:ascii="宋体" w:hAnsi="宋体" w:cs="Arial"/>
                <w:sz w:val="24"/>
                <w:szCs w:val="24"/>
              </w:rPr>
            </w:pPr>
          </w:p>
        </w:tc>
        <w:tc>
          <w:tcPr>
            <w:tcW w:w="1215" w:type="pct"/>
            <w:tcBorders>
              <w:top w:val="single" w:color="auto" w:sz="4" w:space="0"/>
              <w:right w:val="single" w:color="auto" w:sz="4" w:space="0"/>
            </w:tcBorders>
          </w:tcPr>
          <w:p>
            <w:pPr>
              <w:pStyle w:val="211"/>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left w:val="single" w:color="auto" w:sz="4" w:space="0"/>
            </w:tcBorders>
          </w:tcPr>
          <w:p>
            <w:pPr>
              <w:pStyle w:val="211"/>
              <w:spacing w:line="360" w:lineRule="auto"/>
              <w:jc w:val="center"/>
              <w:rPr>
                <w:rFonts w:ascii="宋体" w:hAnsi="宋体" w:cs="Arial"/>
                <w:sz w:val="24"/>
                <w:szCs w:val="24"/>
              </w:rPr>
            </w:pPr>
          </w:p>
        </w:tc>
        <w:tc>
          <w:tcPr>
            <w:tcW w:w="1339" w:type="pct"/>
          </w:tcPr>
          <w:p>
            <w:pPr>
              <w:pStyle w:val="211"/>
              <w:spacing w:line="360" w:lineRule="auto"/>
              <w:jc w:val="center"/>
              <w:rPr>
                <w:rFonts w:ascii="宋体" w:hAnsi="宋体" w:cs="Arial"/>
                <w:sz w:val="24"/>
                <w:szCs w:val="24"/>
              </w:rPr>
            </w:pPr>
          </w:p>
        </w:tc>
        <w:tc>
          <w:tcPr>
            <w:tcW w:w="1340" w:type="pct"/>
          </w:tcPr>
          <w:p>
            <w:pPr>
              <w:pStyle w:val="211"/>
              <w:spacing w:line="360" w:lineRule="auto"/>
              <w:jc w:val="center"/>
              <w:rPr>
                <w:rFonts w:ascii="宋体" w:hAnsi="宋体" w:cs="Arial"/>
                <w:sz w:val="24"/>
                <w:szCs w:val="24"/>
              </w:rPr>
            </w:pPr>
          </w:p>
        </w:tc>
        <w:tc>
          <w:tcPr>
            <w:tcW w:w="1215" w:type="pct"/>
            <w:tcBorders>
              <w:right w:val="single" w:color="auto" w:sz="4" w:space="0"/>
            </w:tcBorders>
          </w:tcPr>
          <w:p>
            <w:pPr>
              <w:pStyle w:val="211"/>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left w:val="single" w:color="auto" w:sz="4" w:space="0"/>
            </w:tcBorders>
          </w:tcPr>
          <w:p>
            <w:pPr>
              <w:pStyle w:val="211"/>
              <w:spacing w:line="360" w:lineRule="auto"/>
              <w:jc w:val="center"/>
              <w:rPr>
                <w:rFonts w:ascii="宋体" w:hAnsi="宋体" w:cs="Arial"/>
                <w:sz w:val="24"/>
                <w:szCs w:val="24"/>
              </w:rPr>
            </w:pPr>
          </w:p>
        </w:tc>
        <w:tc>
          <w:tcPr>
            <w:tcW w:w="1339" w:type="pct"/>
          </w:tcPr>
          <w:p>
            <w:pPr>
              <w:pStyle w:val="211"/>
              <w:spacing w:line="360" w:lineRule="auto"/>
              <w:jc w:val="center"/>
              <w:rPr>
                <w:rFonts w:ascii="宋体" w:hAnsi="宋体" w:cs="Arial"/>
                <w:sz w:val="24"/>
                <w:szCs w:val="24"/>
              </w:rPr>
            </w:pPr>
          </w:p>
        </w:tc>
        <w:tc>
          <w:tcPr>
            <w:tcW w:w="1340" w:type="pct"/>
          </w:tcPr>
          <w:p>
            <w:pPr>
              <w:pStyle w:val="211"/>
              <w:spacing w:line="360" w:lineRule="auto"/>
              <w:jc w:val="center"/>
              <w:rPr>
                <w:rFonts w:ascii="宋体" w:hAnsi="宋体" w:cs="Arial"/>
                <w:sz w:val="24"/>
                <w:szCs w:val="24"/>
              </w:rPr>
            </w:pPr>
          </w:p>
        </w:tc>
        <w:tc>
          <w:tcPr>
            <w:tcW w:w="1215" w:type="pct"/>
            <w:tcBorders>
              <w:right w:val="single" w:color="auto" w:sz="4" w:space="0"/>
            </w:tcBorders>
          </w:tcPr>
          <w:p>
            <w:pPr>
              <w:pStyle w:val="211"/>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left w:val="single" w:color="auto" w:sz="4" w:space="0"/>
            </w:tcBorders>
          </w:tcPr>
          <w:p>
            <w:pPr>
              <w:pStyle w:val="211"/>
              <w:spacing w:line="360" w:lineRule="auto"/>
              <w:jc w:val="center"/>
              <w:rPr>
                <w:rFonts w:ascii="宋体" w:hAnsi="宋体" w:cs="Arial"/>
                <w:sz w:val="24"/>
                <w:szCs w:val="24"/>
              </w:rPr>
            </w:pPr>
          </w:p>
        </w:tc>
        <w:tc>
          <w:tcPr>
            <w:tcW w:w="1339" w:type="pct"/>
          </w:tcPr>
          <w:p>
            <w:pPr>
              <w:pStyle w:val="211"/>
              <w:spacing w:line="360" w:lineRule="auto"/>
              <w:jc w:val="center"/>
              <w:rPr>
                <w:rFonts w:ascii="宋体" w:hAnsi="宋体" w:cs="Arial"/>
                <w:sz w:val="24"/>
                <w:szCs w:val="24"/>
              </w:rPr>
            </w:pPr>
          </w:p>
        </w:tc>
        <w:tc>
          <w:tcPr>
            <w:tcW w:w="1340" w:type="pct"/>
          </w:tcPr>
          <w:p>
            <w:pPr>
              <w:pStyle w:val="211"/>
              <w:spacing w:line="360" w:lineRule="auto"/>
              <w:jc w:val="center"/>
              <w:rPr>
                <w:rFonts w:ascii="宋体" w:hAnsi="宋体" w:cs="Arial"/>
                <w:sz w:val="24"/>
                <w:szCs w:val="24"/>
              </w:rPr>
            </w:pPr>
          </w:p>
        </w:tc>
        <w:tc>
          <w:tcPr>
            <w:tcW w:w="1215" w:type="pct"/>
            <w:tcBorders>
              <w:right w:val="single" w:color="auto" w:sz="4" w:space="0"/>
            </w:tcBorders>
          </w:tcPr>
          <w:p>
            <w:pPr>
              <w:pStyle w:val="211"/>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left w:val="single" w:color="auto" w:sz="4" w:space="0"/>
            </w:tcBorders>
          </w:tcPr>
          <w:p>
            <w:pPr>
              <w:pStyle w:val="211"/>
              <w:spacing w:line="360" w:lineRule="auto"/>
              <w:jc w:val="center"/>
              <w:rPr>
                <w:rFonts w:ascii="宋体" w:hAnsi="宋体" w:cs="Arial"/>
                <w:sz w:val="24"/>
                <w:szCs w:val="24"/>
              </w:rPr>
            </w:pPr>
          </w:p>
        </w:tc>
        <w:tc>
          <w:tcPr>
            <w:tcW w:w="1339" w:type="pct"/>
          </w:tcPr>
          <w:p>
            <w:pPr>
              <w:pStyle w:val="211"/>
              <w:spacing w:line="360" w:lineRule="auto"/>
              <w:jc w:val="center"/>
              <w:rPr>
                <w:rFonts w:ascii="宋体" w:hAnsi="宋体" w:cs="Arial"/>
                <w:sz w:val="24"/>
                <w:szCs w:val="24"/>
              </w:rPr>
            </w:pPr>
          </w:p>
        </w:tc>
        <w:tc>
          <w:tcPr>
            <w:tcW w:w="1340" w:type="pct"/>
          </w:tcPr>
          <w:p>
            <w:pPr>
              <w:pStyle w:val="211"/>
              <w:spacing w:line="360" w:lineRule="auto"/>
              <w:jc w:val="center"/>
              <w:rPr>
                <w:rFonts w:ascii="宋体" w:hAnsi="宋体" w:cs="Arial"/>
                <w:sz w:val="24"/>
                <w:szCs w:val="24"/>
              </w:rPr>
            </w:pPr>
          </w:p>
        </w:tc>
        <w:tc>
          <w:tcPr>
            <w:tcW w:w="1215" w:type="pct"/>
            <w:tcBorders>
              <w:right w:val="single" w:color="auto" w:sz="4" w:space="0"/>
            </w:tcBorders>
          </w:tcPr>
          <w:p>
            <w:pPr>
              <w:pStyle w:val="211"/>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7" w:type="pct"/>
            <w:tcBorders>
              <w:left w:val="single" w:color="auto" w:sz="4" w:space="0"/>
              <w:bottom w:val="single" w:color="auto" w:sz="4" w:space="0"/>
            </w:tcBorders>
          </w:tcPr>
          <w:p>
            <w:pPr>
              <w:pStyle w:val="211"/>
              <w:spacing w:line="360" w:lineRule="auto"/>
              <w:jc w:val="center"/>
              <w:rPr>
                <w:rFonts w:ascii="宋体" w:hAnsi="宋体" w:cs="Arial"/>
                <w:sz w:val="24"/>
                <w:szCs w:val="24"/>
              </w:rPr>
            </w:pPr>
          </w:p>
        </w:tc>
        <w:tc>
          <w:tcPr>
            <w:tcW w:w="1339" w:type="pct"/>
            <w:tcBorders>
              <w:bottom w:val="single" w:color="auto" w:sz="4" w:space="0"/>
            </w:tcBorders>
          </w:tcPr>
          <w:p>
            <w:pPr>
              <w:pStyle w:val="211"/>
              <w:spacing w:line="360" w:lineRule="auto"/>
              <w:jc w:val="center"/>
              <w:rPr>
                <w:rFonts w:ascii="宋体" w:hAnsi="宋体" w:cs="Arial"/>
                <w:sz w:val="24"/>
                <w:szCs w:val="24"/>
              </w:rPr>
            </w:pPr>
          </w:p>
        </w:tc>
        <w:tc>
          <w:tcPr>
            <w:tcW w:w="1340" w:type="pct"/>
            <w:tcBorders>
              <w:bottom w:val="single" w:color="auto" w:sz="4" w:space="0"/>
            </w:tcBorders>
          </w:tcPr>
          <w:p>
            <w:pPr>
              <w:pStyle w:val="211"/>
              <w:spacing w:line="360" w:lineRule="auto"/>
              <w:jc w:val="center"/>
              <w:rPr>
                <w:rFonts w:ascii="宋体" w:hAnsi="宋体" w:cs="Arial"/>
                <w:sz w:val="24"/>
                <w:szCs w:val="24"/>
              </w:rPr>
            </w:pPr>
          </w:p>
        </w:tc>
        <w:tc>
          <w:tcPr>
            <w:tcW w:w="1215" w:type="pct"/>
            <w:tcBorders>
              <w:bottom w:val="single" w:color="auto" w:sz="4" w:space="0"/>
              <w:right w:val="single" w:color="auto" w:sz="4" w:space="0"/>
            </w:tcBorders>
          </w:tcPr>
          <w:p>
            <w:pPr>
              <w:pStyle w:val="211"/>
              <w:spacing w:line="360" w:lineRule="auto"/>
              <w:jc w:val="center"/>
              <w:rPr>
                <w:rFonts w:ascii="宋体" w:hAnsi="宋体" w:cs="Arial"/>
                <w:sz w:val="24"/>
                <w:szCs w:val="24"/>
              </w:rPr>
            </w:pPr>
          </w:p>
        </w:tc>
      </w:tr>
    </w:tbl>
    <w:p>
      <w:pPr>
        <w:pStyle w:val="211"/>
        <w:tabs>
          <w:tab w:val="left" w:pos="1050"/>
        </w:tabs>
        <w:spacing w:line="360" w:lineRule="auto"/>
        <w:jc w:val="both"/>
        <w:rPr>
          <w:rFonts w:ascii="宋体" w:hAnsi="宋体"/>
          <w:sz w:val="24"/>
          <w:szCs w:val="24"/>
        </w:rPr>
      </w:pPr>
      <w:r>
        <w:rPr>
          <w:rFonts w:hint="eastAsia" w:ascii="宋体" w:hAnsi="宋体"/>
          <w:sz w:val="24"/>
          <w:szCs w:val="24"/>
        </w:rPr>
        <w:t>填报要求：</w:t>
      </w:r>
    </w:p>
    <w:p>
      <w:pPr>
        <w:pStyle w:val="79"/>
        <w:widowControl/>
        <w:numPr>
          <w:ilvl w:val="0"/>
          <w:numId w:val="12"/>
        </w:numPr>
        <w:tabs>
          <w:tab w:val="left" w:pos="0"/>
        </w:tabs>
        <w:spacing w:before="0" w:beforeAutospacing="0" w:after="0" w:afterAutospacing="0"/>
        <w:ind w:left="0" w:firstLine="0" w:firstLineChars="0"/>
        <w:outlineLvl w:val="0"/>
        <w:rPr>
          <w:rFonts w:ascii="宋体" w:hAnsi="宋体"/>
          <w:color w:val="0000FF"/>
          <w:sz w:val="24"/>
        </w:rPr>
      </w:pPr>
      <w:bookmarkStart w:id="259" w:name="_Toc20445"/>
      <w:r>
        <w:rPr>
          <w:rFonts w:hint="eastAsia" w:ascii="宋体" w:hAnsi="宋体"/>
          <w:sz w:val="24"/>
        </w:rPr>
        <w:t>填写供应商获得资质、认证或企业信誉证书。</w:t>
      </w:r>
      <w:r>
        <w:rPr>
          <w:rFonts w:hint="eastAsia" w:ascii="宋体" w:hAnsi="宋体"/>
          <w:color w:val="0000FF"/>
          <w:sz w:val="24"/>
        </w:rPr>
        <w:t>（或根据评分项对应内容的要求填写）</w:t>
      </w:r>
      <w:bookmarkEnd w:id="259"/>
    </w:p>
    <w:p>
      <w:pPr>
        <w:pStyle w:val="79"/>
        <w:widowControl/>
        <w:numPr>
          <w:ilvl w:val="0"/>
          <w:numId w:val="12"/>
        </w:numPr>
        <w:tabs>
          <w:tab w:val="left" w:pos="1050"/>
        </w:tabs>
        <w:spacing w:before="0" w:beforeAutospacing="0" w:after="0" w:afterAutospacing="0"/>
        <w:ind w:firstLineChars="0"/>
        <w:outlineLvl w:val="0"/>
        <w:rPr>
          <w:rFonts w:ascii="宋体" w:hAnsi="宋体"/>
          <w:sz w:val="24"/>
        </w:rPr>
      </w:pPr>
      <w:bookmarkStart w:id="260" w:name="_Toc7634"/>
      <w:r>
        <w:rPr>
          <w:rFonts w:hint="eastAsia" w:ascii="宋体" w:hAnsi="宋体"/>
          <w:sz w:val="24"/>
        </w:rPr>
        <w:t>请提供本表所列的证书资料。</w:t>
      </w:r>
      <w:bookmarkEnd w:id="260"/>
    </w:p>
    <w:p>
      <w:pPr>
        <w:pStyle w:val="211"/>
        <w:rPr>
          <w:rFonts w:ascii="宋体" w:hAnsi="宋体"/>
          <w:sz w:val="24"/>
          <w:szCs w:val="24"/>
        </w:rPr>
      </w:pPr>
    </w:p>
    <w:p>
      <w:pPr>
        <w:pStyle w:val="211"/>
      </w:pPr>
    </w:p>
    <w:p>
      <w:pPr>
        <w:pStyle w:val="212"/>
      </w:pPr>
    </w:p>
    <w:p>
      <w:pPr>
        <w:pStyle w:val="212"/>
      </w:pPr>
    </w:p>
    <w:p>
      <w:pPr>
        <w:pStyle w:val="212"/>
      </w:pP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2"/>
      </w:pPr>
    </w:p>
    <w:p>
      <w:pPr>
        <w:widowControl/>
        <w:spacing w:before="0" w:beforeAutospacing="0" w:after="0" w:afterAutospacing="0" w:line="240" w:lineRule="auto"/>
        <w:jc w:val="left"/>
        <w:rPr>
          <w:rFonts w:ascii="宋体" w:hAnsi="宋体"/>
          <w:b/>
          <w:kern w:val="0"/>
          <w:sz w:val="28"/>
          <w:szCs w:val="28"/>
        </w:rPr>
      </w:pPr>
      <w:bookmarkStart w:id="261" w:name="_Toc394307583"/>
      <w:r>
        <w:rPr>
          <w:rFonts w:hAnsi="宋体"/>
          <w:sz w:val="28"/>
          <w:szCs w:val="28"/>
        </w:rPr>
        <w:br w:type="page"/>
      </w:r>
    </w:p>
    <w:p>
      <w:pPr>
        <w:pStyle w:val="218"/>
        <w:outlineLvl w:val="9"/>
        <w:rPr>
          <w:rFonts w:hAnsi="宋体"/>
          <w:sz w:val="28"/>
          <w:szCs w:val="28"/>
        </w:rPr>
      </w:pPr>
      <w:bookmarkStart w:id="262" w:name="_Toc13635"/>
      <w:r>
        <w:rPr>
          <w:rFonts w:hint="eastAsia" w:hAnsi="宋体"/>
          <w:sz w:val="28"/>
          <w:szCs w:val="28"/>
        </w:rPr>
        <w:t>后期服务情况表</w:t>
      </w:r>
      <w:bookmarkEnd w:id="261"/>
      <w:bookmarkEnd w:id="262"/>
    </w:p>
    <w:p>
      <w:pPr>
        <w:pStyle w:val="198"/>
        <w:spacing w:line="360" w:lineRule="auto"/>
        <w:rPr>
          <w:rFonts w:hAnsi="宋体"/>
          <w:sz w:val="24"/>
          <w:szCs w:val="24"/>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564"/>
        <w:gridCol w:w="4424"/>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220"/>
              <w:spacing w:line="360" w:lineRule="auto"/>
              <w:jc w:val="center"/>
              <w:rPr>
                <w:rFonts w:ascii="宋体" w:hAnsi="宋体" w:cs="Arial"/>
                <w:sz w:val="24"/>
              </w:rPr>
            </w:pPr>
            <w:r>
              <w:rPr>
                <w:rFonts w:hint="eastAsia" w:ascii="宋体" w:hAnsi="宋体" w:cs="Arial"/>
                <w:sz w:val="24"/>
              </w:rPr>
              <w:t>序号</w:t>
            </w:r>
          </w:p>
        </w:tc>
        <w:tc>
          <w:tcPr>
            <w:tcW w:w="1380" w:type="pct"/>
            <w:tcBorders>
              <w:top w:val="single" w:color="auto" w:sz="4" w:space="0"/>
              <w:left w:val="single" w:color="auto" w:sz="4" w:space="0"/>
              <w:bottom w:val="single" w:color="auto" w:sz="4" w:space="0"/>
              <w:right w:val="single" w:color="auto" w:sz="4" w:space="0"/>
            </w:tcBorders>
            <w:vAlign w:val="center"/>
          </w:tcPr>
          <w:p>
            <w:pPr>
              <w:pStyle w:val="220"/>
              <w:spacing w:line="360" w:lineRule="auto"/>
              <w:jc w:val="center"/>
              <w:rPr>
                <w:rFonts w:ascii="宋体" w:hAnsi="宋体" w:cs="Arial"/>
                <w:sz w:val="24"/>
              </w:rPr>
            </w:pPr>
            <w:r>
              <w:rPr>
                <w:rFonts w:hint="eastAsia" w:ascii="宋体" w:hAnsi="宋体" w:cs="Arial"/>
                <w:sz w:val="24"/>
              </w:rPr>
              <w:t>项目</w:t>
            </w:r>
          </w:p>
        </w:tc>
        <w:tc>
          <w:tcPr>
            <w:tcW w:w="2381" w:type="pct"/>
            <w:tcBorders>
              <w:top w:val="single" w:color="auto" w:sz="4" w:space="0"/>
              <w:left w:val="single" w:color="auto" w:sz="4" w:space="0"/>
              <w:bottom w:val="single" w:color="auto" w:sz="4" w:space="0"/>
              <w:right w:val="single" w:color="auto" w:sz="4" w:space="0"/>
            </w:tcBorders>
            <w:vAlign w:val="center"/>
          </w:tcPr>
          <w:p>
            <w:pPr>
              <w:pStyle w:val="220"/>
              <w:spacing w:line="360" w:lineRule="auto"/>
              <w:jc w:val="center"/>
              <w:rPr>
                <w:rFonts w:ascii="宋体" w:hAnsi="宋体" w:cs="Arial"/>
                <w:sz w:val="24"/>
              </w:rPr>
            </w:pPr>
            <w:r>
              <w:rPr>
                <w:rFonts w:hint="eastAsia" w:ascii="宋体" w:hAnsi="宋体" w:cs="Arial"/>
                <w:sz w:val="24"/>
              </w:rPr>
              <w:t>供应商承诺</w:t>
            </w:r>
          </w:p>
        </w:tc>
        <w:tc>
          <w:tcPr>
            <w:tcW w:w="805" w:type="pct"/>
            <w:tcBorders>
              <w:top w:val="single" w:color="auto" w:sz="4" w:space="0"/>
              <w:left w:val="single" w:color="auto" w:sz="4" w:space="0"/>
              <w:bottom w:val="single" w:color="auto" w:sz="4" w:space="0"/>
              <w:right w:val="single" w:color="auto" w:sz="4" w:space="0"/>
            </w:tcBorders>
            <w:vAlign w:val="center"/>
          </w:tcPr>
          <w:p>
            <w:pPr>
              <w:pStyle w:val="220"/>
              <w:spacing w:line="360" w:lineRule="auto"/>
              <w:jc w:val="center"/>
              <w:rPr>
                <w:rFonts w:ascii="宋体" w:hAnsi="宋体" w:cs="Arial"/>
                <w:sz w:val="24"/>
              </w:rPr>
            </w:pPr>
            <w:r>
              <w:rPr>
                <w:rFonts w:hint="eastAsia" w:ascii="宋体"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32" w:type="pct"/>
            <w:vMerge w:val="restart"/>
            <w:tcBorders>
              <w:top w:val="single" w:color="auto" w:sz="4" w:space="0"/>
              <w:left w:val="single" w:color="auto" w:sz="4" w:space="0"/>
              <w:bottom w:val="single" w:color="auto" w:sz="4" w:space="0"/>
              <w:right w:val="single" w:color="auto" w:sz="4" w:space="0"/>
            </w:tcBorders>
            <w:vAlign w:val="center"/>
          </w:tcPr>
          <w:p>
            <w:pPr>
              <w:pStyle w:val="220"/>
              <w:spacing w:line="360" w:lineRule="auto"/>
              <w:jc w:val="center"/>
              <w:rPr>
                <w:rFonts w:ascii="宋体" w:hAnsi="宋体" w:cs="Arial"/>
                <w:bCs/>
                <w:sz w:val="24"/>
              </w:rPr>
            </w:pPr>
            <w:r>
              <w:rPr>
                <w:rFonts w:hint="eastAsia" w:ascii="宋体" w:hAnsi="宋体" w:cs="Arial"/>
                <w:bCs/>
                <w:sz w:val="24"/>
              </w:rPr>
              <w:t>1</w:t>
            </w:r>
          </w:p>
        </w:tc>
        <w:tc>
          <w:tcPr>
            <w:tcW w:w="1380" w:type="pct"/>
            <w:vMerge w:val="restart"/>
            <w:tcBorders>
              <w:top w:val="single" w:color="auto" w:sz="4" w:space="0"/>
              <w:left w:val="single" w:color="auto" w:sz="4" w:space="0"/>
              <w:bottom w:val="single" w:color="auto" w:sz="4" w:space="0"/>
              <w:right w:val="single" w:color="auto" w:sz="4" w:space="0"/>
            </w:tcBorders>
            <w:vAlign w:val="center"/>
          </w:tcPr>
          <w:p>
            <w:pPr>
              <w:pStyle w:val="220"/>
              <w:spacing w:line="360" w:lineRule="auto"/>
              <w:rPr>
                <w:rFonts w:ascii="宋体" w:hAnsi="宋体" w:cs="Arial"/>
                <w:bCs/>
                <w:sz w:val="24"/>
              </w:rPr>
            </w:pPr>
            <w:r>
              <w:rPr>
                <w:rFonts w:hint="eastAsia" w:ascii="宋体" w:hAnsi="宋体" w:cs="Arial"/>
                <w:bCs/>
                <w:sz w:val="24"/>
              </w:rPr>
              <w:t>项目后期服务情况(可用附页和宣传材料)</w:t>
            </w:r>
          </w:p>
        </w:tc>
        <w:tc>
          <w:tcPr>
            <w:tcW w:w="2381" w:type="pct"/>
            <w:tcBorders>
              <w:top w:val="single" w:color="auto" w:sz="4" w:space="0"/>
              <w:left w:val="single" w:color="auto" w:sz="4" w:space="0"/>
              <w:bottom w:val="single" w:color="auto" w:sz="4" w:space="0"/>
              <w:right w:val="single" w:color="auto" w:sz="4" w:space="0"/>
            </w:tcBorders>
          </w:tcPr>
          <w:p>
            <w:pPr>
              <w:pStyle w:val="220"/>
              <w:spacing w:line="360" w:lineRule="auto"/>
              <w:rPr>
                <w:rFonts w:ascii="宋体" w:hAnsi="宋体" w:cs="Arial"/>
                <w:bCs/>
                <w:sz w:val="24"/>
              </w:rPr>
            </w:pPr>
            <w:r>
              <w:rPr>
                <w:rFonts w:hint="eastAsia" w:ascii="宋体" w:hAnsi="宋体" w:cs="Arial"/>
                <w:bCs/>
                <w:sz w:val="24"/>
              </w:rPr>
              <w:t>初步设计后期服务情况：</w:t>
            </w:r>
          </w:p>
        </w:tc>
        <w:tc>
          <w:tcPr>
            <w:tcW w:w="805" w:type="pct"/>
            <w:tcBorders>
              <w:top w:val="single" w:color="auto" w:sz="4" w:space="0"/>
              <w:left w:val="single" w:color="auto" w:sz="4" w:space="0"/>
              <w:bottom w:val="single" w:color="auto" w:sz="4" w:space="0"/>
              <w:right w:val="single" w:color="auto" w:sz="4" w:space="0"/>
            </w:tcBorders>
          </w:tcPr>
          <w:p>
            <w:pPr>
              <w:pStyle w:val="220"/>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220"/>
              <w:widowControl/>
              <w:jc w:val="left"/>
              <w:rPr>
                <w:rFonts w:ascii="宋体" w:hAnsi="宋体" w:cs="Arial"/>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220"/>
              <w:widowControl/>
              <w:jc w:val="left"/>
              <w:rPr>
                <w:rFonts w:ascii="宋体" w:hAnsi="宋体" w:cs="Arial"/>
                <w:bCs/>
                <w:sz w:val="24"/>
              </w:rPr>
            </w:pPr>
          </w:p>
        </w:tc>
        <w:tc>
          <w:tcPr>
            <w:tcW w:w="2381" w:type="pct"/>
            <w:tcBorders>
              <w:top w:val="single" w:color="auto" w:sz="4" w:space="0"/>
              <w:left w:val="single" w:color="auto" w:sz="4" w:space="0"/>
              <w:bottom w:val="single" w:color="auto" w:sz="4" w:space="0"/>
              <w:right w:val="single" w:color="auto" w:sz="4" w:space="0"/>
            </w:tcBorders>
          </w:tcPr>
          <w:p>
            <w:pPr>
              <w:pStyle w:val="220"/>
              <w:spacing w:line="360" w:lineRule="auto"/>
              <w:rPr>
                <w:rFonts w:ascii="宋体" w:hAnsi="宋体" w:cs="Arial"/>
                <w:bCs/>
                <w:sz w:val="24"/>
              </w:rPr>
            </w:pPr>
            <w:r>
              <w:rPr>
                <w:rFonts w:hint="eastAsia" w:ascii="宋体" w:hAnsi="宋体" w:cs="Arial"/>
                <w:bCs/>
                <w:sz w:val="24"/>
              </w:rPr>
              <w:t>可行性研究报告后期服务情况：</w:t>
            </w:r>
          </w:p>
        </w:tc>
        <w:tc>
          <w:tcPr>
            <w:tcW w:w="805" w:type="pct"/>
            <w:tcBorders>
              <w:top w:val="single" w:color="auto" w:sz="4" w:space="0"/>
              <w:left w:val="single" w:color="auto" w:sz="4" w:space="0"/>
              <w:bottom w:val="single" w:color="auto" w:sz="4" w:space="0"/>
              <w:right w:val="single" w:color="auto" w:sz="4" w:space="0"/>
            </w:tcBorders>
          </w:tcPr>
          <w:p>
            <w:pPr>
              <w:pStyle w:val="220"/>
              <w:spacing w:line="360" w:lineRule="auto"/>
              <w:jc w:val="left"/>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exact"/>
          <w:jc w:val="center"/>
        </w:trPr>
        <w:tc>
          <w:tcPr>
            <w:tcW w:w="432" w:type="pct"/>
            <w:vMerge w:val="restart"/>
            <w:tcBorders>
              <w:top w:val="single" w:color="auto" w:sz="4" w:space="0"/>
              <w:left w:val="single" w:color="auto" w:sz="4" w:space="0"/>
              <w:right w:val="single" w:color="auto" w:sz="4" w:space="0"/>
            </w:tcBorders>
            <w:vAlign w:val="center"/>
          </w:tcPr>
          <w:p>
            <w:pPr>
              <w:pStyle w:val="220"/>
              <w:spacing w:line="360" w:lineRule="auto"/>
              <w:rPr>
                <w:rFonts w:ascii="宋体" w:hAnsi="宋体" w:cs="Arial"/>
                <w:bCs/>
                <w:sz w:val="24"/>
              </w:rPr>
            </w:pPr>
            <w:r>
              <w:rPr>
                <w:rFonts w:hint="eastAsia" w:ascii="宋体" w:hAnsi="宋体" w:cs="Arial"/>
                <w:bCs/>
                <w:sz w:val="24"/>
              </w:rPr>
              <w:t>2</w:t>
            </w:r>
          </w:p>
        </w:tc>
        <w:tc>
          <w:tcPr>
            <w:tcW w:w="1380" w:type="pct"/>
            <w:vMerge w:val="restart"/>
            <w:tcBorders>
              <w:top w:val="single" w:color="auto" w:sz="4" w:space="0"/>
              <w:left w:val="single" w:color="auto" w:sz="4" w:space="0"/>
              <w:right w:val="single" w:color="auto" w:sz="4" w:space="0"/>
            </w:tcBorders>
            <w:vAlign w:val="center"/>
          </w:tcPr>
          <w:p>
            <w:pPr>
              <w:pStyle w:val="220"/>
              <w:spacing w:line="360" w:lineRule="auto"/>
              <w:rPr>
                <w:rFonts w:ascii="宋体" w:hAnsi="宋体" w:cs="Arial"/>
                <w:bCs/>
                <w:sz w:val="24"/>
              </w:rPr>
            </w:pPr>
            <w:r>
              <w:rPr>
                <w:rFonts w:hint="eastAsia" w:ascii="宋体" w:hAnsi="宋体" w:cs="Arial"/>
                <w:bCs/>
                <w:sz w:val="24"/>
              </w:rPr>
              <w:t>项目完成文件交付份数</w:t>
            </w:r>
          </w:p>
        </w:tc>
        <w:tc>
          <w:tcPr>
            <w:tcW w:w="2381" w:type="pct"/>
            <w:tcBorders>
              <w:top w:val="single" w:color="auto" w:sz="4" w:space="0"/>
              <w:left w:val="single" w:color="auto" w:sz="4" w:space="0"/>
              <w:bottom w:val="single" w:color="auto" w:sz="4" w:space="0"/>
              <w:right w:val="single" w:color="auto" w:sz="4" w:space="0"/>
            </w:tcBorders>
          </w:tcPr>
          <w:p>
            <w:pPr>
              <w:pStyle w:val="220"/>
              <w:widowControl/>
              <w:spacing w:line="360" w:lineRule="auto"/>
              <w:jc w:val="left"/>
              <w:rPr>
                <w:rFonts w:ascii="宋体" w:hAnsi="宋体" w:cs="Arial"/>
                <w:bCs/>
                <w:sz w:val="24"/>
              </w:rPr>
            </w:pPr>
            <w:r>
              <w:rPr>
                <w:rFonts w:hint="eastAsia" w:ascii="宋体" w:hAnsi="宋体" w:cs="Arial"/>
                <w:bCs/>
                <w:sz w:val="24"/>
              </w:rPr>
              <w:t>初步设计文件交付：</w:t>
            </w:r>
          </w:p>
          <w:p>
            <w:pPr>
              <w:pStyle w:val="220"/>
              <w:widowControl/>
              <w:spacing w:line="360" w:lineRule="auto"/>
              <w:jc w:val="left"/>
              <w:rPr>
                <w:rFonts w:ascii="宋体" w:hAnsi="宋体" w:cs="Arial"/>
                <w:bCs/>
                <w:sz w:val="24"/>
              </w:rPr>
            </w:pPr>
          </w:p>
          <w:p>
            <w:pPr>
              <w:pStyle w:val="220"/>
              <w:spacing w:line="360" w:lineRule="auto"/>
              <w:rPr>
                <w:rFonts w:ascii="宋体" w:hAnsi="宋体" w:cs="Arial"/>
                <w:bCs/>
                <w:sz w:val="24"/>
              </w:rPr>
            </w:pPr>
          </w:p>
        </w:tc>
        <w:tc>
          <w:tcPr>
            <w:tcW w:w="805" w:type="pct"/>
            <w:tcBorders>
              <w:top w:val="single" w:color="auto" w:sz="4" w:space="0"/>
              <w:left w:val="single" w:color="auto" w:sz="4" w:space="0"/>
              <w:bottom w:val="single" w:color="auto" w:sz="4" w:space="0"/>
              <w:right w:val="single" w:color="auto" w:sz="4" w:space="0"/>
            </w:tcBorders>
          </w:tcPr>
          <w:p>
            <w:pPr>
              <w:pStyle w:val="220"/>
              <w:widowControl/>
              <w:spacing w:line="360" w:lineRule="auto"/>
              <w:jc w:val="left"/>
              <w:rPr>
                <w:rFonts w:ascii="宋体" w:hAnsi="宋体" w:cs="Arial"/>
                <w:bCs/>
                <w:sz w:val="24"/>
              </w:rPr>
            </w:pPr>
          </w:p>
          <w:p>
            <w:pPr>
              <w:pStyle w:val="220"/>
              <w:widowControl/>
              <w:spacing w:line="360" w:lineRule="auto"/>
              <w:jc w:val="left"/>
              <w:rPr>
                <w:rFonts w:ascii="宋体" w:hAnsi="宋体" w:cs="Arial"/>
                <w:bCs/>
                <w:sz w:val="24"/>
              </w:rPr>
            </w:pPr>
          </w:p>
          <w:p>
            <w:pPr>
              <w:pStyle w:val="220"/>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432" w:type="pct"/>
            <w:vMerge w:val="continue"/>
            <w:tcBorders>
              <w:left w:val="single" w:color="auto" w:sz="4" w:space="0"/>
              <w:bottom w:val="single" w:color="auto" w:sz="4" w:space="0"/>
              <w:right w:val="single" w:color="auto" w:sz="4" w:space="0"/>
            </w:tcBorders>
            <w:vAlign w:val="center"/>
          </w:tcPr>
          <w:p>
            <w:pPr>
              <w:pStyle w:val="220"/>
              <w:spacing w:line="360" w:lineRule="auto"/>
              <w:ind w:firstLine="240" w:firstLineChars="100"/>
              <w:rPr>
                <w:rFonts w:ascii="宋体" w:hAnsi="宋体" w:cs="Arial"/>
                <w:bCs/>
                <w:sz w:val="24"/>
              </w:rPr>
            </w:pPr>
          </w:p>
        </w:tc>
        <w:tc>
          <w:tcPr>
            <w:tcW w:w="1380" w:type="pct"/>
            <w:vMerge w:val="continue"/>
            <w:tcBorders>
              <w:left w:val="single" w:color="auto" w:sz="4" w:space="0"/>
              <w:bottom w:val="single" w:color="auto" w:sz="4" w:space="0"/>
              <w:right w:val="single" w:color="auto" w:sz="4" w:space="0"/>
            </w:tcBorders>
            <w:vAlign w:val="center"/>
          </w:tcPr>
          <w:p>
            <w:pPr>
              <w:pStyle w:val="220"/>
              <w:spacing w:line="360" w:lineRule="auto"/>
              <w:rPr>
                <w:rFonts w:ascii="宋体" w:hAnsi="宋体" w:cs="Arial"/>
                <w:bCs/>
                <w:sz w:val="24"/>
              </w:rPr>
            </w:pPr>
          </w:p>
        </w:tc>
        <w:tc>
          <w:tcPr>
            <w:tcW w:w="2381" w:type="pct"/>
            <w:tcBorders>
              <w:top w:val="single" w:color="auto" w:sz="4" w:space="0"/>
              <w:left w:val="single" w:color="auto" w:sz="4" w:space="0"/>
              <w:bottom w:val="single" w:color="auto" w:sz="4" w:space="0"/>
              <w:right w:val="single" w:color="auto" w:sz="4" w:space="0"/>
            </w:tcBorders>
          </w:tcPr>
          <w:p>
            <w:pPr>
              <w:pStyle w:val="220"/>
              <w:spacing w:line="360" w:lineRule="auto"/>
              <w:rPr>
                <w:rFonts w:ascii="宋体" w:hAnsi="宋体" w:cs="Arial"/>
                <w:bCs/>
                <w:sz w:val="24"/>
              </w:rPr>
            </w:pPr>
            <w:r>
              <w:rPr>
                <w:rFonts w:hint="eastAsia" w:ascii="宋体" w:hAnsi="宋体" w:cs="Arial"/>
                <w:bCs/>
                <w:sz w:val="24"/>
              </w:rPr>
              <w:t>可行性研究报告交付：</w:t>
            </w:r>
          </w:p>
        </w:tc>
        <w:tc>
          <w:tcPr>
            <w:tcW w:w="805" w:type="pct"/>
            <w:tcBorders>
              <w:top w:val="single" w:color="auto" w:sz="4" w:space="0"/>
              <w:left w:val="single" w:color="auto" w:sz="4" w:space="0"/>
              <w:bottom w:val="single" w:color="auto" w:sz="4" w:space="0"/>
              <w:right w:val="single" w:color="auto" w:sz="4" w:space="0"/>
            </w:tcBorders>
          </w:tcPr>
          <w:p>
            <w:pPr>
              <w:pStyle w:val="220"/>
              <w:widowControl/>
              <w:spacing w:line="360" w:lineRule="auto"/>
              <w:jc w:val="left"/>
              <w:rPr>
                <w:rFonts w:ascii="宋体" w:hAnsi="宋体" w:cs="Arial"/>
                <w:bCs/>
                <w:sz w:val="24"/>
              </w:rPr>
            </w:pPr>
          </w:p>
          <w:p>
            <w:pPr>
              <w:pStyle w:val="220"/>
              <w:widowControl/>
              <w:spacing w:line="360" w:lineRule="auto"/>
              <w:jc w:val="left"/>
              <w:rPr>
                <w:rFonts w:ascii="宋体" w:hAnsi="宋体" w:cs="Arial"/>
                <w:bCs/>
                <w:sz w:val="24"/>
              </w:rPr>
            </w:pPr>
          </w:p>
          <w:p>
            <w:pPr>
              <w:pStyle w:val="220"/>
              <w:spacing w:line="360" w:lineRule="auto"/>
              <w:rPr>
                <w:rFonts w:ascii="宋体" w:hAnsi="宋体" w:cs="Arial"/>
                <w:bCs/>
                <w:sz w:val="24"/>
              </w:rPr>
            </w:pPr>
          </w:p>
        </w:tc>
      </w:tr>
    </w:tbl>
    <w:p>
      <w:pPr>
        <w:pStyle w:val="220"/>
        <w:rPr>
          <w:rFonts w:ascii="宋体" w:hAnsi="宋体"/>
          <w:sz w:val="24"/>
        </w:rPr>
      </w:pPr>
    </w:p>
    <w:p>
      <w:pPr>
        <w:pStyle w:val="220"/>
        <w:rPr>
          <w:rFonts w:ascii="宋体" w:hAnsi="宋体"/>
          <w:sz w:val="24"/>
        </w:rPr>
      </w:pPr>
    </w:p>
    <w:p>
      <w:pPr>
        <w:pStyle w:val="201"/>
        <w:spacing w:line="360" w:lineRule="auto"/>
        <w:rPr>
          <w:rFonts w:hAnsi="宋体"/>
          <w:sz w:val="24"/>
          <w:szCs w:val="24"/>
        </w:rPr>
      </w:pP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21"/>
      </w:pPr>
      <w:r>
        <w:br w:type="page"/>
      </w:r>
    </w:p>
    <w:p>
      <w:pPr>
        <w:pStyle w:val="223"/>
        <w:jc w:val="center"/>
        <w:rPr>
          <w:rFonts w:ascii="宋体" w:hAnsi="宋体"/>
          <w:b/>
          <w:sz w:val="28"/>
          <w:szCs w:val="28"/>
        </w:rPr>
      </w:pPr>
      <w:r>
        <w:rPr>
          <w:rFonts w:hint="eastAsia" w:ascii="宋体" w:hAnsi="宋体"/>
          <w:b/>
          <w:sz w:val="28"/>
          <w:szCs w:val="28"/>
        </w:rPr>
        <w:t>技术方案一般性条款响应差异表</w:t>
      </w:r>
    </w:p>
    <w:p>
      <w:pPr>
        <w:pStyle w:val="198"/>
        <w:spacing w:line="360" w:lineRule="auto"/>
        <w:rPr>
          <w:rFonts w:hAnsi="宋体"/>
          <w:sz w:val="24"/>
          <w:szCs w:val="24"/>
        </w:rPr>
      </w:pPr>
      <w:r>
        <w:rPr>
          <w:rFonts w:hint="eastAsia" w:hAnsi="宋体"/>
          <w:sz w:val="24"/>
          <w:szCs w:val="24"/>
        </w:rPr>
        <w:t>项目名称：</w:t>
      </w:r>
      <w:r>
        <w:rPr>
          <w:rFonts w:hint="eastAsia" w:hAnsi="宋体"/>
          <w:sz w:val="24"/>
          <w:szCs w:val="24"/>
          <w:u w:val="single"/>
        </w:rPr>
        <w:t>新疆维吾尔自治区妇幼保健院（新疆维吾尔自治区第八人民医院）妇幼综合楼工程可行性研究报告编制及初步设计服务采购项目</w:t>
      </w:r>
    </w:p>
    <w:p>
      <w:pPr>
        <w:pStyle w:val="198"/>
        <w:spacing w:line="360" w:lineRule="auto"/>
        <w:rPr>
          <w:rFonts w:hAnsi="宋体"/>
          <w:sz w:val="24"/>
          <w:szCs w:val="24"/>
        </w:rPr>
      </w:pPr>
      <w:r>
        <w:rPr>
          <w:rFonts w:hint="eastAsia" w:hAnsi="宋体"/>
          <w:sz w:val="24"/>
          <w:szCs w:val="24"/>
        </w:rPr>
        <w:t>项目编号：</w:t>
      </w:r>
      <w:r>
        <w:rPr>
          <w:rFonts w:hint="eastAsia" w:hAnsi="宋体"/>
          <w:sz w:val="24"/>
          <w:szCs w:val="24"/>
          <w:u w:val="single"/>
        </w:rPr>
        <w:t>2022-ZFCG-0012</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601"/>
        <w:gridCol w:w="1921"/>
        <w:gridCol w:w="1763"/>
        <w:gridCol w:w="160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8" w:type="pct"/>
            <w:vAlign w:val="center"/>
          </w:tcPr>
          <w:p>
            <w:pPr>
              <w:pStyle w:val="223"/>
              <w:spacing w:line="360" w:lineRule="auto"/>
              <w:ind w:right="84" w:rightChars="40"/>
              <w:rPr>
                <w:rFonts w:ascii="宋体" w:hAnsi="宋体"/>
                <w:b/>
                <w:szCs w:val="21"/>
              </w:rPr>
            </w:pPr>
            <w:r>
              <w:rPr>
                <w:rFonts w:hint="eastAsia" w:ascii="宋体" w:hAnsi="宋体"/>
                <w:b/>
                <w:szCs w:val="21"/>
              </w:rPr>
              <w:t>序号</w:t>
            </w:r>
          </w:p>
        </w:tc>
        <w:tc>
          <w:tcPr>
            <w:tcW w:w="862" w:type="pct"/>
            <w:vAlign w:val="center"/>
          </w:tcPr>
          <w:p>
            <w:pPr>
              <w:pStyle w:val="223"/>
              <w:spacing w:line="360" w:lineRule="auto"/>
              <w:ind w:right="84" w:rightChars="40"/>
              <w:jc w:val="center"/>
              <w:rPr>
                <w:rFonts w:ascii="宋体" w:hAnsi="宋体"/>
                <w:b/>
                <w:sz w:val="24"/>
                <w:szCs w:val="24"/>
              </w:rPr>
            </w:pPr>
            <w:r>
              <w:rPr>
                <w:rFonts w:hint="eastAsia" w:ascii="宋体" w:hAnsi="宋体"/>
                <w:b/>
                <w:sz w:val="24"/>
                <w:szCs w:val="24"/>
              </w:rPr>
              <w:t>分项名称</w:t>
            </w:r>
          </w:p>
        </w:tc>
        <w:tc>
          <w:tcPr>
            <w:tcW w:w="1034" w:type="pct"/>
            <w:vAlign w:val="center"/>
          </w:tcPr>
          <w:p>
            <w:pPr>
              <w:pStyle w:val="223"/>
              <w:spacing w:line="360" w:lineRule="auto"/>
              <w:ind w:right="84" w:rightChars="40"/>
              <w:jc w:val="center"/>
              <w:rPr>
                <w:rFonts w:ascii="宋体" w:hAnsi="宋体"/>
                <w:b/>
                <w:sz w:val="24"/>
                <w:szCs w:val="24"/>
              </w:rPr>
            </w:pPr>
            <w:r>
              <w:rPr>
                <w:rFonts w:hint="eastAsia" w:ascii="宋体" w:hAnsi="宋体"/>
                <w:b/>
                <w:sz w:val="24"/>
                <w:szCs w:val="24"/>
              </w:rPr>
              <w:t>招标标准</w:t>
            </w:r>
          </w:p>
        </w:tc>
        <w:tc>
          <w:tcPr>
            <w:tcW w:w="949" w:type="pct"/>
            <w:vAlign w:val="center"/>
          </w:tcPr>
          <w:p>
            <w:pPr>
              <w:pStyle w:val="223"/>
              <w:spacing w:line="360" w:lineRule="auto"/>
              <w:ind w:right="84" w:rightChars="40"/>
              <w:jc w:val="center"/>
              <w:rPr>
                <w:rFonts w:ascii="宋体" w:hAnsi="宋体"/>
                <w:b/>
                <w:sz w:val="24"/>
                <w:szCs w:val="24"/>
              </w:rPr>
            </w:pPr>
            <w:r>
              <w:rPr>
                <w:rFonts w:hint="eastAsia" w:ascii="宋体" w:hAnsi="宋体"/>
                <w:b/>
                <w:sz w:val="24"/>
                <w:szCs w:val="24"/>
              </w:rPr>
              <w:t>投标标准</w:t>
            </w:r>
          </w:p>
        </w:tc>
        <w:tc>
          <w:tcPr>
            <w:tcW w:w="862" w:type="pct"/>
            <w:vAlign w:val="center"/>
          </w:tcPr>
          <w:p>
            <w:pPr>
              <w:pStyle w:val="223"/>
              <w:spacing w:line="360" w:lineRule="auto"/>
              <w:ind w:right="84" w:rightChars="40"/>
              <w:jc w:val="center"/>
              <w:rPr>
                <w:rFonts w:ascii="宋体" w:hAnsi="宋体"/>
                <w:b/>
                <w:sz w:val="24"/>
                <w:szCs w:val="24"/>
              </w:rPr>
            </w:pPr>
            <w:r>
              <w:rPr>
                <w:rFonts w:hint="eastAsia" w:ascii="宋体" w:hAnsi="宋体"/>
                <w:b/>
                <w:sz w:val="24"/>
                <w:szCs w:val="24"/>
              </w:rPr>
              <w:t>偏离情况</w:t>
            </w:r>
          </w:p>
        </w:tc>
        <w:tc>
          <w:tcPr>
            <w:tcW w:w="776" w:type="pct"/>
            <w:vAlign w:val="center"/>
          </w:tcPr>
          <w:p>
            <w:pPr>
              <w:pStyle w:val="223"/>
              <w:spacing w:line="360" w:lineRule="auto"/>
              <w:ind w:right="84" w:rightChars="40"/>
              <w:jc w:val="center"/>
              <w:rPr>
                <w:rFonts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8" w:type="pct"/>
            <w:vAlign w:val="center"/>
          </w:tcPr>
          <w:p>
            <w:pPr>
              <w:pStyle w:val="223"/>
              <w:spacing w:line="360" w:lineRule="auto"/>
              <w:ind w:right="84" w:rightChars="40"/>
              <w:jc w:val="center"/>
              <w:rPr>
                <w:rFonts w:ascii="宋体" w:hAnsi="宋体"/>
                <w:sz w:val="24"/>
                <w:szCs w:val="24"/>
              </w:rPr>
            </w:pPr>
            <w:r>
              <w:rPr>
                <w:rFonts w:hint="eastAsia" w:ascii="宋体" w:hAnsi="宋体"/>
                <w:sz w:val="24"/>
                <w:szCs w:val="24"/>
              </w:rPr>
              <w:t>1</w:t>
            </w: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8" w:type="pct"/>
            <w:vAlign w:val="center"/>
          </w:tcPr>
          <w:p>
            <w:pPr>
              <w:pStyle w:val="223"/>
              <w:spacing w:line="360" w:lineRule="auto"/>
              <w:ind w:right="84" w:rightChars="40"/>
              <w:jc w:val="center"/>
              <w:rPr>
                <w:rFonts w:ascii="宋体" w:hAnsi="宋体"/>
                <w:sz w:val="24"/>
                <w:szCs w:val="24"/>
              </w:rPr>
            </w:pPr>
            <w:r>
              <w:rPr>
                <w:rFonts w:hint="eastAsia" w:ascii="宋体" w:hAnsi="宋体"/>
                <w:sz w:val="24"/>
                <w:szCs w:val="24"/>
              </w:rPr>
              <w:t>2</w:t>
            </w: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8" w:type="pct"/>
            <w:vAlign w:val="center"/>
          </w:tcPr>
          <w:p>
            <w:pPr>
              <w:pStyle w:val="223"/>
              <w:spacing w:line="360" w:lineRule="auto"/>
              <w:ind w:right="84" w:rightChars="40"/>
              <w:jc w:val="center"/>
              <w:rPr>
                <w:rFonts w:ascii="宋体" w:hAnsi="宋体"/>
                <w:sz w:val="24"/>
                <w:szCs w:val="24"/>
              </w:rPr>
            </w:pPr>
            <w:r>
              <w:rPr>
                <w:rFonts w:hint="eastAsia" w:ascii="宋体" w:hAnsi="宋体"/>
                <w:sz w:val="24"/>
                <w:szCs w:val="24"/>
              </w:rPr>
              <w:t>3</w:t>
            </w: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8" w:type="pct"/>
            <w:vAlign w:val="center"/>
          </w:tcPr>
          <w:p>
            <w:pPr>
              <w:pStyle w:val="223"/>
              <w:spacing w:line="360" w:lineRule="auto"/>
              <w:ind w:right="84" w:rightChars="40"/>
              <w:jc w:val="center"/>
              <w:rPr>
                <w:rFonts w:ascii="宋体" w:hAnsi="宋体"/>
                <w:sz w:val="24"/>
                <w:szCs w:val="24"/>
              </w:rPr>
            </w:pPr>
            <w:r>
              <w:rPr>
                <w:rFonts w:hint="eastAsia" w:ascii="宋体" w:hAnsi="宋体"/>
                <w:sz w:val="24"/>
                <w:szCs w:val="24"/>
              </w:rPr>
              <w:t>…</w:t>
            </w: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8"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8"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8"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8"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8" w:type="pct"/>
            <w:vAlign w:val="center"/>
          </w:tcPr>
          <w:p>
            <w:pPr>
              <w:pStyle w:val="223"/>
              <w:spacing w:line="360" w:lineRule="auto"/>
              <w:ind w:right="84" w:rightChars="40"/>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1034" w:type="pct"/>
            <w:vAlign w:val="center"/>
          </w:tcPr>
          <w:p>
            <w:pPr>
              <w:pStyle w:val="223"/>
              <w:spacing w:line="360" w:lineRule="auto"/>
              <w:ind w:right="84" w:rightChars="40"/>
              <w:jc w:val="center"/>
              <w:rPr>
                <w:rFonts w:ascii="宋体" w:hAnsi="宋体"/>
                <w:sz w:val="24"/>
                <w:szCs w:val="24"/>
              </w:rPr>
            </w:pPr>
          </w:p>
        </w:tc>
        <w:tc>
          <w:tcPr>
            <w:tcW w:w="949" w:type="pct"/>
            <w:vAlign w:val="center"/>
          </w:tcPr>
          <w:p>
            <w:pPr>
              <w:pStyle w:val="223"/>
              <w:spacing w:line="360" w:lineRule="auto"/>
              <w:ind w:right="84" w:rightChars="40"/>
              <w:jc w:val="center"/>
              <w:rPr>
                <w:rFonts w:ascii="宋体" w:hAnsi="宋体"/>
                <w:sz w:val="24"/>
                <w:szCs w:val="24"/>
              </w:rPr>
            </w:pPr>
          </w:p>
        </w:tc>
        <w:tc>
          <w:tcPr>
            <w:tcW w:w="862" w:type="pct"/>
            <w:vAlign w:val="center"/>
          </w:tcPr>
          <w:p>
            <w:pPr>
              <w:pStyle w:val="223"/>
              <w:spacing w:line="360" w:lineRule="auto"/>
              <w:ind w:right="84" w:rightChars="40"/>
              <w:jc w:val="center"/>
              <w:rPr>
                <w:rFonts w:ascii="宋体" w:hAnsi="宋体"/>
                <w:sz w:val="24"/>
                <w:szCs w:val="24"/>
              </w:rPr>
            </w:pPr>
          </w:p>
        </w:tc>
        <w:tc>
          <w:tcPr>
            <w:tcW w:w="776" w:type="pct"/>
            <w:vAlign w:val="center"/>
          </w:tcPr>
          <w:p>
            <w:pPr>
              <w:pStyle w:val="223"/>
              <w:spacing w:line="360" w:lineRule="auto"/>
              <w:ind w:right="84" w:rightChars="4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8" w:type="pct"/>
            <w:tcBorders>
              <w:bottom w:val="single" w:color="auto" w:sz="4" w:space="0"/>
            </w:tcBorders>
            <w:vAlign w:val="center"/>
          </w:tcPr>
          <w:p>
            <w:pPr>
              <w:pStyle w:val="223"/>
              <w:spacing w:line="360" w:lineRule="auto"/>
              <w:ind w:right="84" w:rightChars="40"/>
              <w:rPr>
                <w:rFonts w:ascii="宋体" w:hAnsi="宋体"/>
                <w:sz w:val="24"/>
                <w:szCs w:val="24"/>
              </w:rPr>
            </w:pPr>
          </w:p>
        </w:tc>
        <w:tc>
          <w:tcPr>
            <w:tcW w:w="862" w:type="pct"/>
            <w:tcBorders>
              <w:bottom w:val="single" w:color="auto" w:sz="4" w:space="0"/>
            </w:tcBorders>
            <w:vAlign w:val="center"/>
          </w:tcPr>
          <w:p>
            <w:pPr>
              <w:pStyle w:val="223"/>
              <w:spacing w:line="360" w:lineRule="auto"/>
              <w:ind w:right="84" w:rightChars="40"/>
              <w:jc w:val="center"/>
              <w:rPr>
                <w:rFonts w:ascii="宋体" w:hAnsi="宋体"/>
                <w:sz w:val="24"/>
                <w:szCs w:val="24"/>
              </w:rPr>
            </w:pPr>
          </w:p>
        </w:tc>
        <w:tc>
          <w:tcPr>
            <w:tcW w:w="1034" w:type="pct"/>
            <w:tcBorders>
              <w:bottom w:val="single" w:color="auto" w:sz="4" w:space="0"/>
            </w:tcBorders>
            <w:vAlign w:val="center"/>
          </w:tcPr>
          <w:p>
            <w:pPr>
              <w:pStyle w:val="223"/>
              <w:spacing w:line="360" w:lineRule="auto"/>
              <w:ind w:right="84" w:rightChars="40"/>
              <w:jc w:val="center"/>
              <w:rPr>
                <w:rFonts w:ascii="宋体" w:hAnsi="宋体"/>
                <w:sz w:val="24"/>
                <w:szCs w:val="24"/>
              </w:rPr>
            </w:pPr>
          </w:p>
        </w:tc>
        <w:tc>
          <w:tcPr>
            <w:tcW w:w="949" w:type="pct"/>
            <w:tcBorders>
              <w:bottom w:val="single" w:color="auto" w:sz="4" w:space="0"/>
            </w:tcBorders>
            <w:vAlign w:val="center"/>
          </w:tcPr>
          <w:p>
            <w:pPr>
              <w:pStyle w:val="223"/>
              <w:spacing w:line="360" w:lineRule="auto"/>
              <w:ind w:right="84" w:rightChars="40"/>
              <w:jc w:val="center"/>
              <w:rPr>
                <w:rFonts w:ascii="宋体" w:hAnsi="宋体"/>
                <w:sz w:val="24"/>
                <w:szCs w:val="24"/>
              </w:rPr>
            </w:pPr>
          </w:p>
        </w:tc>
        <w:tc>
          <w:tcPr>
            <w:tcW w:w="862" w:type="pct"/>
            <w:tcBorders>
              <w:bottom w:val="single" w:color="auto" w:sz="4" w:space="0"/>
            </w:tcBorders>
            <w:vAlign w:val="center"/>
          </w:tcPr>
          <w:p>
            <w:pPr>
              <w:pStyle w:val="223"/>
              <w:spacing w:line="360" w:lineRule="auto"/>
              <w:ind w:right="84" w:rightChars="40"/>
              <w:jc w:val="center"/>
              <w:rPr>
                <w:rFonts w:ascii="宋体" w:hAnsi="宋体"/>
                <w:sz w:val="24"/>
                <w:szCs w:val="24"/>
              </w:rPr>
            </w:pPr>
          </w:p>
        </w:tc>
        <w:tc>
          <w:tcPr>
            <w:tcW w:w="776" w:type="pct"/>
            <w:tcBorders>
              <w:bottom w:val="single" w:color="auto" w:sz="4" w:space="0"/>
            </w:tcBorders>
            <w:vAlign w:val="center"/>
          </w:tcPr>
          <w:p>
            <w:pPr>
              <w:pStyle w:val="223"/>
              <w:spacing w:line="360" w:lineRule="auto"/>
              <w:ind w:right="84" w:rightChars="40"/>
              <w:rPr>
                <w:rFonts w:ascii="宋体" w:hAnsi="宋体"/>
                <w:sz w:val="24"/>
                <w:szCs w:val="24"/>
              </w:rPr>
            </w:pPr>
          </w:p>
        </w:tc>
      </w:tr>
    </w:tbl>
    <w:p>
      <w:pPr>
        <w:pStyle w:val="223"/>
        <w:spacing w:line="360" w:lineRule="auto"/>
        <w:ind w:right="84" w:rightChars="40"/>
        <w:rPr>
          <w:rFonts w:ascii="宋体" w:hAnsi="宋体"/>
          <w:sz w:val="24"/>
          <w:szCs w:val="24"/>
        </w:rPr>
      </w:pPr>
      <w:r>
        <w:rPr>
          <w:rFonts w:hint="eastAsia" w:ascii="宋体" w:hAnsi="宋体"/>
          <w:sz w:val="24"/>
          <w:szCs w:val="24"/>
        </w:rPr>
        <w:t>填报要求：</w:t>
      </w:r>
    </w:p>
    <w:p>
      <w:pPr>
        <w:pStyle w:val="223"/>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本表的分项名称须与《报价明细表》一致。</w:t>
      </w:r>
    </w:p>
    <w:p>
      <w:pPr>
        <w:pStyle w:val="223"/>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供应商必须按招标标准的格式描述投标标准，并在偏离情况栏标明“无偏离”、“正偏离”或“负偏离”。</w:t>
      </w:r>
    </w:p>
    <w:p>
      <w:pPr>
        <w:pStyle w:val="223"/>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投标执行的标准必须与国家、自治区、地方执行的相关专业标准一致。</w:t>
      </w:r>
    </w:p>
    <w:p>
      <w:pPr>
        <w:pStyle w:val="223"/>
      </w:pPr>
    </w:p>
    <w:p>
      <w:pPr>
        <w:pStyle w:val="201"/>
        <w:spacing w:line="360" w:lineRule="auto"/>
        <w:rPr>
          <w:rFonts w:hAnsi="宋体"/>
          <w:sz w:val="24"/>
          <w:szCs w:val="24"/>
        </w:rPr>
      </w:pPr>
      <w:r>
        <w:rPr>
          <w:rFonts w:hint="eastAsia" w:hAnsi="宋体"/>
          <w:color w:val="000080"/>
        </w:rPr>
        <w:t xml:space="preserve"> </w:t>
      </w:r>
    </w:p>
    <w:p>
      <w:pPr>
        <w:pStyle w:val="112"/>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2"/>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rPr>
          <w:rFonts w:ascii="宋体" w:hAnsi="宋体"/>
          <w:color w:val="000080"/>
          <w:sz w:val="20"/>
        </w:rPr>
      </w:pPr>
    </w:p>
    <w:p>
      <w:pPr>
        <w:pStyle w:val="20"/>
        <w:shd w:val="clear" w:color="auto" w:fill="FFFFFF" w:themeFill="background1"/>
        <w:spacing w:before="0" w:beforeAutospacing="0" w:after="0" w:afterAutospacing="0"/>
        <w:rPr>
          <w:rFonts w:asciiTheme="minorEastAsia" w:hAnsiTheme="minorEastAsia" w:eastAsiaTheme="minorEastAsia" w:cstheme="minorEastAsia"/>
          <w:sz w:val="24"/>
          <w:szCs w:val="24"/>
        </w:rPr>
        <w:sectPr>
          <w:headerReference r:id="rId15" w:type="first"/>
          <w:footerReference r:id="rId18" w:type="first"/>
          <w:headerReference r:id="rId13" w:type="default"/>
          <w:footerReference r:id="rId16" w:type="default"/>
          <w:headerReference r:id="rId14" w:type="even"/>
          <w:footerReference r:id="rId17" w:type="even"/>
          <w:pgSz w:w="11907" w:h="16840"/>
          <w:pgMar w:top="1134" w:right="1418" w:bottom="1134" w:left="1418" w:header="720" w:footer="720" w:gutter="0"/>
          <w:cols w:space="425" w:num="1"/>
          <w:docGrid w:linePitch="285" w:charSpace="0"/>
        </w:sect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rPr>
      </w:pPr>
      <w:bookmarkStart w:id="263" w:name="_Toc406671154"/>
      <w:bookmarkStart w:id="264" w:name="_Toc406670783"/>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参加政府采购活动前3年内在经营活动中没有重大违法记录的书面声明</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无重大违法记录的声明函</w:t>
      </w:r>
    </w:p>
    <w:p>
      <w:pPr>
        <w:shd w:val="clear" w:color="auto" w:fill="FFFFFF" w:themeFill="background1"/>
        <w:spacing w:before="0" w:beforeAutospacing="0" w:after="0" w:afterAutospacing="0"/>
        <w:rPr>
          <w:rFonts w:asciiTheme="minorEastAsia" w:hAnsiTheme="minorEastAsia" w:eastAsiaTheme="minorEastAsia" w:cstheme="minorEastAsia"/>
          <w:szCs w:val="21"/>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（采购人或采购代理机构）     </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（供应商全称）            </w:t>
      </w:r>
      <w:r>
        <w:rPr>
          <w:rFonts w:hint="eastAsia" w:asciiTheme="minorEastAsia" w:hAnsiTheme="minorEastAsia" w:eastAsiaTheme="minorEastAsia" w:cstheme="minorEastAsia"/>
          <w:sz w:val="24"/>
          <w:szCs w:val="24"/>
        </w:rPr>
        <w:t>，参加贵单位组织的交易编号为：，项目名称：的政府采购活动，在此郑重声明：我单位在参加本项目政府采购活动前3年内在经营活动中未因违法经营受到刑事处罚或者责令停产停业、吊销许可证或者执照、较大数额罚款等行政处罚。</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投标供应商：（公章或电子印章）</w:t>
      </w:r>
    </w:p>
    <w:p>
      <w:pPr>
        <w:shd w:val="clear" w:color="auto" w:fill="FFFFFF" w:themeFill="background1"/>
        <w:spacing w:before="0" w:beforeAutospacing="0" w:after="0" w:afterAutospacing="0"/>
        <w:jc w:val="center"/>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265" w:name="_Toc13681"/>
      <w:r>
        <w:rPr>
          <w:rFonts w:hint="eastAsia" w:asciiTheme="minorEastAsia" w:hAnsiTheme="minorEastAsia" w:eastAsiaTheme="minorEastAsia" w:cstheme="minorEastAsia"/>
          <w:sz w:val="24"/>
          <w:szCs w:val="24"/>
        </w:rPr>
        <w:t>声明时间：</w:t>
      </w:r>
      <w:bookmarkEnd w:id="265"/>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rPr>
      </w:pP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r>
        <w:rPr>
          <w:rFonts w:hint="eastAsia" w:asciiTheme="minorEastAsia" w:hAnsiTheme="minorEastAsia" w:eastAsiaTheme="minorEastAsia" w:cstheme="minorEastAsia"/>
          <w:b/>
          <w:sz w:val="28"/>
          <w:szCs w:val="28"/>
        </w:rPr>
        <w:t>投 标 申 请 书</w:t>
      </w:r>
    </w:p>
    <w:p>
      <w:pPr>
        <w:shd w:val="clear" w:color="auto" w:fill="FFFFFF" w:themeFill="background1"/>
        <w:spacing w:before="0" w:beforeAutospacing="0" w:after="0" w:afterAutospacing="0"/>
        <w:rPr>
          <w:rFonts w:asciiTheme="minorEastAsia" w:hAnsiTheme="minorEastAsia" w:eastAsiaTheme="minorEastAsia" w:cstheme="minorEastAsia"/>
          <w:sz w:val="24"/>
        </w:rPr>
      </w:pP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新疆正禾招投标有限公司：</w:t>
      </w:r>
    </w:p>
    <w:p>
      <w:pPr>
        <w:shd w:val="clear" w:color="auto" w:fill="FFFFFF" w:themeFill="background1"/>
        <w:spacing w:before="0" w:beforeAutospacing="0" w:after="0" w:afterAutospacing="0"/>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我单位经过认真审阅</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的</w:t>
      </w:r>
      <w:r>
        <w:rPr>
          <w:rFonts w:hint="eastAsia" w:hAnsi="宋体" w:eastAsiaTheme="minorEastAsia"/>
          <w:sz w:val="24"/>
          <w:u w:val="single"/>
        </w:rPr>
        <w:t>新疆维吾尔自治区妇幼保健院（新疆维吾尔自治区第八人民医院）妇幼综合楼工程可行性研究报告编制及初步设计服务采购项目</w:t>
      </w:r>
      <w:r>
        <w:rPr>
          <w:rFonts w:hint="eastAsia" w:asciiTheme="minorEastAsia" w:hAnsiTheme="minorEastAsia" w:eastAsiaTheme="minorEastAsia" w:cstheme="minorEastAsia"/>
          <w:sz w:val="24"/>
        </w:rPr>
        <w:t>（2022-ZFCG-0012）招标文件，已明确知晓所有文件之条款，完全了解项目有关情况，我单位已做好投标相关准备工作，并按照招标文件要求将投标保证金（大写）             元（￥：         ）汇入指定账户，现决定参加在贵中心举行的上述项目招投标活动，若报名获得通过，我单位郑重承诺如下：</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一、对招标文件（含答疑、补充文件）的所有条款无异议并全部接受。</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二、依法参与该项目招投标活动，杜绝围标串标、弄虚作假、敲诈勒索、贿赂等违法违纪行为。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三、按时递交响应文件。</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四、若被确定为中标候选人将不放弃中标候选人资格，若被确定为中标人，将按照招标文件和响应文件与招标人签订有关合同、协议。</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以上是我单位对贵中心和招标人作出的郑重承诺。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联系人:                          联系电话：                         </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供应商名称（盖章）：XXXXXXX有限公司</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法定代表人或授权代表（签字或盖章）：                </w:t>
      </w:r>
    </w:p>
    <w:p>
      <w:pPr>
        <w:shd w:val="clear" w:color="auto" w:fill="FFFFFF" w:themeFill="background1"/>
        <w:spacing w:before="0" w:beforeAutospacing="0" w:after="0" w:afterAutospacing="0" w:line="240" w:lineRule="atLeast"/>
        <w:jc w:val="center"/>
        <w:outlineLvl w:val="0"/>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bookmarkStart w:id="266" w:name="_Toc16919"/>
      <w:r>
        <w:rPr>
          <w:rFonts w:hint="eastAsia" w:asciiTheme="minorEastAsia" w:hAnsiTheme="minorEastAsia" w:eastAsiaTheme="minorEastAsia" w:cstheme="minorEastAsia"/>
          <w:sz w:val="24"/>
        </w:rPr>
        <w:t>日期：</w:t>
      </w:r>
      <w:bookmarkEnd w:id="266"/>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End w:id="263"/>
      <w:bookmarkEnd w:id="264"/>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供应商遵守政府采购法规的声明承诺函</w:t>
      </w:r>
    </w:p>
    <w:p>
      <w:pPr>
        <w:spacing w:before="0" w:beforeAutospacing="0" w:after="0" w:afterAutospacing="0" w:line="240" w:lineRule="atLeast"/>
        <w:rPr>
          <w:rFonts w:asciiTheme="minorEastAsia" w:hAnsiTheme="minorEastAsia" w:eastAsiaTheme="minorEastAsia" w:cstheme="minorEastAsia"/>
          <w:b/>
        </w:rPr>
      </w:pPr>
    </w:p>
    <w:p>
      <w:pPr>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pPr>
        <w:spacing w:before="0" w:beforeAutospacing="0" w:after="0" w:afterAutospacing="0"/>
        <w:rPr>
          <w:rFonts w:asciiTheme="minorEastAsia" w:hAnsiTheme="minorEastAsia" w:eastAsiaTheme="minorEastAsia" w:cstheme="minorEastAsia"/>
          <w:sz w:val="24"/>
          <w:szCs w:val="24"/>
          <w:u w:val="single"/>
        </w:rPr>
      </w:pPr>
    </w:p>
    <w:p>
      <w:pPr>
        <w:spacing w:before="0" w:beforeAutospacing="0" w:after="0" w:afterAutospacing="0"/>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我公司自愿参加</w:t>
      </w:r>
      <w:r>
        <w:rPr>
          <w:rFonts w:hint="eastAsia" w:asciiTheme="minorEastAsia" w:hAnsiTheme="minorEastAsia" w:eastAsiaTheme="minorEastAsia" w:cstheme="minorEastAsia"/>
          <w:sz w:val="24"/>
          <w:szCs w:val="24"/>
          <w:u w:val="single"/>
        </w:rPr>
        <w:t xml:space="preserve">     （采购名称）   </w:t>
      </w:r>
      <w:r>
        <w:rPr>
          <w:rFonts w:hint="eastAsia" w:asciiTheme="minorEastAsia" w:hAnsiTheme="minorEastAsia" w:eastAsiaTheme="minorEastAsia" w:cstheme="minorEastAsia"/>
          <w:sz w:val="24"/>
          <w:szCs w:val="24"/>
        </w:rPr>
        <w:t xml:space="preserve">的 </w:t>
      </w:r>
      <w:r>
        <w:rPr>
          <w:rFonts w:hint="eastAsia" w:asciiTheme="minorEastAsia" w:hAnsiTheme="minorEastAsia" w:eastAsiaTheme="minorEastAsia" w:cstheme="minorEastAsia"/>
          <w:sz w:val="24"/>
          <w:szCs w:val="24"/>
          <w:u w:val="single"/>
        </w:rPr>
        <w:t xml:space="preserve">   （项目名称、品目编号及名称）</w:t>
      </w:r>
      <w:r>
        <w:rPr>
          <w:rFonts w:hint="eastAsia" w:asciiTheme="minorEastAsia" w:hAnsiTheme="minorEastAsia" w:eastAsiaTheme="minorEastAsia" w:cstheme="minorEastAsia"/>
          <w:sz w:val="24"/>
          <w:szCs w:val="24"/>
        </w:rPr>
        <w:t>的投标，并慎重作出如下声明承诺：</w:t>
      </w:r>
    </w:p>
    <w:p>
      <w:pPr>
        <w:spacing w:before="0" w:beforeAutospacing="0" w:after="0" w:afterAutospacing="0"/>
        <w:outlineLvl w:val="0"/>
        <w:rPr>
          <w:rFonts w:asciiTheme="minorEastAsia" w:hAnsiTheme="minorEastAsia" w:eastAsiaTheme="minorEastAsia" w:cstheme="minorEastAsia"/>
          <w:sz w:val="24"/>
          <w:szCs w:val="24"/>
        </w:rPr>
      </w:pPr>
      <w:bookmarkStart w:id="267" w:name="_Toc4745"/>
      <w:r>
        <w:rPr>
          <w:rFonts w:hint="eastAsia" w:asciiTheme="minorEastAsia" w:hAnsiTheme="minorEastAsia" w:eastAsiaTheme="minorEastAsia" w:cstheme="minorEastAsia"/>
          <w:sz w:val="24"/>
          <w:szCs w:val="24"/>
        </w:rPr>
        <w:t>一、针对《中华人民共和国政府采购法》</w:t>
      </w:r>
      <w:bookmarkEnd w:id="267"/>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(三)与采购人、其他供应商或者采购代理机构恶意串通的；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(四)向采购人、采购代理机构行贿或者提供其他不正当利益的；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spacing w:before="0" w:beforeAutospacing="0" w:after="0" w:afterAutospacing="0"/>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68" w:name="_Toc9270"/>
      <w:r>
        <w:rPr>
          <w:rFonts w:hint="eastAsia" w:asciiTheme="minorEastAsia" w:hAnsiTheme="minorEastAsia" w:eastAsiaTheme="minorEastAsia" w:cstheme="minorEastAsia"/>
          <w:sz w:val="24"/>
          <w:szCs w:val="24"/>
        </w:rPr>
        <w:t>二、《中华人民共和国政府采购法实施条例》</w:t>
      </w:r>
      <w:bookmarkEnd w:id="268"/>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第七十二条　供应商有下列情形之一的，依照政府采购法第七十七条第一款的规定追究法律责任：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（一）向评标委员会、竞争性谈判小组或者询价小组成员行贿或者提供其他不正当利益；</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（二）中标或者成交后无正当理由拒不与采购人签订政府采购合同；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（三）未按照采购文件确定的事项签订政府采购合同；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（四）将政府采购合同转包；</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（五）提供假冒伪劣产品；</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（六）擅自变更、中止或者终止政府采购合同。</w:t>
      </w:r>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第七十三条</w:t>
      </w:r>
      <w:r>
        <w:rPr>
          <w:rFonts w:hint="eastAsia" w:asciiTheme="minorEastAsia" w:hAnsiTheme="minorEastAsia" w:eastAsiaTheme="minorEastAsia" w:cstheme="minorEastAsia"/>
          <w:sz w:val="24"/>
          <w:szCs w:val="24"/>
        </w:rPr>
        <w:t>　供应商捏造事实、提供虚假材料或者以非法手段取得证明材料进行投诉的，由财政部门列入不良行为记录名单，禁止其1至3年内参加政府采购活动。</w:t>
      </w:r>
    </w:p>
    <w:p>
      <w:pPr>
        <w:spacing w:before="0" w:beforeAutospacing="0" w:after="0" w:afterAutospacing="0"/>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第三十四条</w:t>
      </w:r>
      <w:r>
        <w:rPr>
          <w:rFonts w:hint="eastAsia" w:asciiTheme="minorEastAsia" w:hAnsiTheme="minorEastAsia" w:eastAsiaTheme="minorEastAsia" w:cstheme="minorEastAsia"/>
          <w:bCs/>
          <w:sz w:val="24"/>
          <w:szCs w:val="24"/>
        </w:rPr>
        <w:t>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spacing w:before="0" w:beforeAutospacing="0" w:after="0" w:afterAutospacing="0"/>
        <w:rPr>
          <w:rFonts w:asciiTheme="minorEastAsia" w:hAnsiTheme="minorEastAsia" w:eastAsiaTheme="minorEastAsia" w:cstheme="minorEastAsia"/>
          <w:bCs/>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69" w:name="_Toc29584"/>
      <w:r>
        <w:rPr>
          <w:rFonts w:hint="eastAsia" w:asciiTheme="minorEastAsia" w:hAnsiTheme="minorEastAsia" w:eastAsiaTheme="minorEastAsia" w:cstheme="minorEastAsia"/>
          <w:sz w:val="24"/>
          <w:szCs w:val="24"/>
        </w:rPr>
        <w:t>三、财政部87号令</w:t>
      </w:r>
      <w:r>
        <w:rPr>
          <w:rFonts w:asciiTheme="minorEastAsia" w:hAnsiTheme="minorEastAsia" w:eastAsiaTheme="minorEastAsia" w:cstheme="minorEastAsia"/>
          <w:sz w:val="24"/>
          <w:szCs w:val="24"/>
        </w:rPr>
        <w:t>第三十七条 有下列情形之一的，视为</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串通投标，其投标无效：</w:t>
      </w:r>
      <w:bookmarkEnd w:id="269"/>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（一）不同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由同一单位或者个人编制；</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（二）不同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委托同一单位或者个人办理投标事宜；</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（三）不同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载明的项目管理成员或者联系人员为同一人；</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（四）不同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异常一致或者投标报价呈规律性差异；</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（五）不同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相互混装；</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（六）不同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的投标保证金从同一单位或者个人的账户转出。</w:t>
      </w:r>
    </w:p>
    <w:p>
      <w:pPr>
        <w:spacing w:before="0" w:beforeAutospacing="0" w:after="0" w:afterAutospacing="0"/>
        <w:ind w:firstLine="235" w:firstLineChars="98"/>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b/>
          <w:sz w:val="24"/>
          <w:szCs w:val="24"/>
        </w:rPr>
      </w:pPr>
      <w:bookmarkStart w:id="270" w:name="_Toc4108"/>
      <w:r>
        <w:rPr>
          <w:rFonts w:hint="eastAsia" w:asciiTheme="minorEastAsia" w:hAnsiTheme="minorEastAsia" w:eastAsiaTheme="minorEastAsia" w:cstheme="minorEastAsia"/>
          <w:sz w:val="24"/>
          <w:szCs w:val="24"/>
        </w:rPr>
        <w:t>四、政府采购针对供应商投标行为的其他规定</w:t>
      </w:r>
      <w:bookmarkEnd w:id="270"/>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ind w:firstLine="472"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我公司声明承诺本项目的政府采购投标活动，严格遵守以上政府采购相关法律对供应商投标行为的规定，如声明承诺不实，将承担由此发生的全部法律责任。</w:t>
      </w:r>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投标供应商：（盖章）</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日期：年   月   日</w:t>
      </w:r>
    </w:p>
    <w:p>
      <w:pPr>
        <w:spacing w:line="240" w:lineRule="auto"/>
        <w:ind w:left="-10" w:leftChars="-5" w:firstLine="430" w:firstLineChars="205"/>
        <w:jc w:val="righ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beforeLines="50" w:afterLine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（六）优惠性政策情况</w:t>
      </w:r>
    </w:p>
    <w:p>
      <w:pPr>
        <w:spacing w:beforeLines="50" w:beforeAutospacing="0" w:afterLines="50" w:afterAutospacing="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投标报价符合优惠性政策情况表</w:t>
      </w:r>
    </w:p>
    <w:p>
      <w:pPr>
        <w:pStyle w:val="20"/>
        <w:spacing w:beforeLines="100" w:beforeAutospacing="0" w:afterLines="50" w:afterAutospacing="0"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交易编号：                       项目名称：                     品目号：</w:t>
      </w:r>
    </w:p>
    <w:tbl>
      <w:tblPr>
        <w:tblStyle w:val="35"/>
        <w:tblpPr w:leftFromText="181" w:rightFromText="181" w:vertAnchor="text" w:horzAnchor="margin" w:tblpY="1"/>
        <w:tblW w:w="95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3511"/>
        <w:gridCol w:w="3132"/>
        <w:gridCol w:w="2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优惠性政府名称</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投标供应商享受优惠政策的情况说明</w:t>
            </w: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信息数据来源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《政府采购促进中小企业发展暂行办法》</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《促进残疾人就业政府采购政策的通知》</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z w:val="24"/>
                <w:szCs w:val="24"/>
              </w:rPr>
              <w:t>》</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招标文件已规定享受的其他优惠政策……（如《政府采购实施条例》第六条：扶持不发达地区和少数民族地区等政策）【可根据招标文件规定和要求自行添加】</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r>
    </w:tbl>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spacing w:line="240" w:lineRule="auto"/>
        <w:ind w:right="315"/>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投标供应商：（盖章）</w:t>
      </w:r>
    </w:p>
    <w:p>
      <w:pPr>
        <w:spacing w:before="0" w:beforeAutospacing="0" w:after="0" w:afterAutospacing="0" w:line="240" w:lineRule="atLeas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1.中小微企业声明（格式如下）</w:t>
      </w:r>
    </w:p>
    <w:p>
      <w:pPr>
        <w:ind w:firstLine="482" w:firstLineChars="200"/>
        <w:jc w:val="center"/>
        <w:rPr>
          <w:b/>
          <w:bCs/>
          <w:color w:val="000000"/>
          <w:sz w:val="24"/>
          <w:szCs w:val="24"/>
        </w:rPr>
      </w:pPr>
      <w:r>
        <w:rPr>
          <w:rFonts w:hint="eastAsia"/>
          <w:b/>
          <w:bCs/>
          <w:color w:val="000000"/>
          <w:sz w:val="24"/>
          <w:szCs w:val="24"/>
        </w:rPr>
        <w:t>中小企业声明函（工程、服务）</w:t>
      </w:r>
    </w:p>
    <w:p>
      <w:pPr>
        <w:ind w:firstLine="480" w:firstLineChars="200"/>
        <w:rPr>
          <w:color w:val="000000"/>
          <w:sz w:val="24"/>
          <w:szCs w:val="24"/>
        </w:rPr>
      </w:pPr>
      <w:r>
        <w:rPr>
          <w:rFonts w:hint="eastAsia"/>
          <w:color w:val="000000"/>
          <w:sz w:val="24"/>
          <w:szCs w:val="24"/>
        </w:rPr>
        <w:t>本公司（联合体） 郑重声明， 根据《政府采购促进中小企业发展管理办法》（财库﹝ 2020﹞ 46 号） 的规定， 本公司（联合体） 参加（单位名称） 的</w:t>
      </w:r>
      <w:r>
        <w:rPr>
          <w:rFonts w:hint="eastAsia"/>
          <w:color w:val="000000"/>
          <w:sz w:val="24"/>
          <w:szCs w:val="24"/>
          <w:u w:val="single"/>
        </w:rPr>
        <w:t>（项目名称）</w:t>
      </w:r>
      <w:r>
        <w:rPr>
          <w:rFonts w:hint="eastAsia"/>
          <w:color w:val="000000"/>
          <w:sz w:val="24"/>
          <w:szCs w:val="24"/>
        </w:rPr>
        <w:t xml:space="preserve"> 采购活动， 工程的运营单位全部为符合政策要求的中小企业（或者： 服务全部由符合政策要求的中小企业承接）</w:t>
      </w:r>
      <w:r>
        <w:rPr>
          <w:rFonts w:hint="eastAsia"/>
          <w:color w:val="000000"/>
          <w:sz w:val="24"/>
          <w:szCs w:val="24"/>
          <w:lang w:eastAsia="zh-CN"/>
        </w:rPr>
        <w:t>。</w:t>
      </w:r>
      <w:r>
        <w:rPr>
          <w:rFonts w:hint="eastAsia"/>
          <w:color w:val="000000"/>
          <w:sz w:val="24"/>
          <w:szCs w:val="24"/>
        </w:rPr>
        <w:t>相关企业（ 含联合体中的中小企业、 签订分包意向协议的中小企业） 的具体情况如下：</w:t>
      </w:r>
    </w:p>
    <w:p>
      <w:pPr>
        <w:ind w:firstLine="480" w:firstLineChars="200"/>
        <w:rPr>
          <w:color w:val="000000"/>
          <w:sz w:val="24"/>
          <w:szCs w:val="24"/>
        </w:rPr>
      </w:pPr>
      <w:r>
        <w:rPr>
          <w:rFonts w:hint="eastAsia"/>
          <w:color w:val="000000"/>
          <w:sz w:val="24"/>
          <w:szCs w:val="24"/>
        </w:rPr>
        <w:t xml:space="preserve">1. </w:t>
      </w:r>
      <w:r>
        <w:rPr>
          <w:rFonts w:hint="eastAsia"/>
          <w:color w:val="000000"/>
          <w:sz w:val="24"/>
          <w:szCs w:val="24"/>
          <w:u w:val="single"/>
        </w:rPr>
        <w:t xml:space="preserve">（标的名称） </w:t>
      </w:r>
      <w:r>
        <w:rPr>
          <w:rFonts w:hint="eastAsia"/>
          <w:color w:val="000000"/>
          <w:sz w:val="24"/>
          <w:szCs w:val="24"/>
        </w:rPr>
        <w:t>，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w:t>
      </w:r>
      <w:r>
        <w:rPr>
          <w:rFonts w:hint="eastAsia"/>
          <w:color w:val="000000"/>
          <w:sz w:val="24"/>
          <w:szCs w:val="24"/>
          <w:vertAlign w:val="superscript"/>
        </w:rPr>
        <w:t>1</w:t>
      </w:r>
      <w:r>
        <w:rPr>
          <w:rFonts w:hint="eastAsia"/>
          <w:color w:val="000000"/>
          <w:sz w:val="24"/>
          <w:szCs w:val="24"/>
        </w:rPr>
        <w:t>，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 xml:space="preserve">2. </w:t>
      </w:r>
      <w:r>
        <w:rPr>
          <w:rFonts w:hint="eastAsia"/>
          <w:color w:val="000000"/>
          <w:sz w:val="24"/>
          <w:szCs w:val="24"/>
          <w:u w:val="single"/>
        </w:rPr>
        <w:t>（标的名称）</w:t>
      </w:r>
      <w:r>
        <w:rPr>
          <w:rFonts w:hint="eastAsia"/>
          <w:color w:val="000000"/>
          <w:sz w:val="24"/>
          <w:szCs w:val="24"/>
        </w:rPr>
        <w:t xml:space="preserve"> ，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w:t>
      </w:r>
    </w:p>
    <w:p>
      <w:pPr>
        <w:ind w:firstLine="480" w:firstLineChars="200"/>
        <w:rPr>
          <w:color w:val="000000"/>
          <w:sz w:val="24"/>
          <w:szCs w:val="24"/>
        </w:rPr>
      </w:pPr>
      <w:r>
        <w:rPr>
          <w:rFonts w:hint="eastAsia"/>
          <w:color w:val="00000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ind w:firstLine="480" w:firstLineChars="200"/>
        <w:rPr>
          <w:color w:val="000000"/>
          <w:sz w:val="24"/>
          <w:szCs w:val="24"/>
        </w:rPr>
      </w:pPr>
      <w:r>
        <w:rPr>
          <w:rFonts w:hint="eastAsia"/>
          <w:color w:val="000000"/>
          <w:sz w:val="24"/>
          <w:szCs w:val="24"/>
        </w:rPr>
        <w:t>企业名称（盖章）：</w:t>
      </w:r>
    </w:p>
    <w:p>
      <w:pPr>
        <w:ind w:firstLine="480" w:firstLineChars="200"/>
        <w:rPr>
          <w:color w:val="000000"/>
          <w:sz w:val="24"/>
          <w:szCs w:val="24"/>
        </w:rPr>
      </w:pPr>
      <w:r>
        <w:rPr>
          <w:rFonts w:hint="eastAsia"/>
          <w:color w:val="000000"/>
          <w:sz w:val="24"/>
          <w:szCs w:val="24"/>
        </w:rPr>
        <w:t>日 期：</w:t>
      </w:r>
    </w:p>
    <w:p>
      <w:pPr>
        <w:ind w:firstLine="480" w:firstLineChars="200"/>
        <w:rPr>
          <w:color w:val="000000"/>
          <w:sz w:val="24"/>
          <w:szCs w:val="24"/>
        </w:rPr>
      </w:pPr>
      <w:r>
        <w:rPr>
          <w:rFonts w:hint="eastAsia"/>
          <w:color w:val="000000"/>
          <w:sz w:val="24"/>
          <w:szCs w:val="24"/>
          <w:vertAlign w:val="superscript"/>
        </w:rPr>
        <w:t xml:space="preserve">1 </w:t>
      </w:r>
      <w:r>
        <w:rPr>
          <w:rFonts w:hint="eastAsia"/>
          <w:color w:val="000000"/>
          <w:sz w:val="24"/>
          <w:szCs w:val="24"/>
        </w:rPr>
        <w:t>从业人员、 营业收入、 资产总额填报上一年度数据， 无上一年度数据的新成立企业可不填报。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line="240" w:lineRule="atLeas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2.残疾人福利性单位声明函</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关于促进残疾人就业政府采购政策的通知</w:t>
      </w:r>
    </w:p>
    <w:p>
      <w:pPr>
        <w:spacing w:line="240" w:lineRule="atLeast"/>
        <w:ind w:firstLine="480"/>
        <w:jc w:val="center"/>
        <w:outlineLvl w:val="0"/>
        <w:rPr>
          <w:rFonts w:asciiTheme="minorEastAsia" w:hAnsiTheme="minorEastAsia" w:eastAsiaTheme="minorEastAsia" w:cstheme="minorEastAsia"/>
          <w:sz w:val="24"/>
          <w:szCs w:val="24"/>
        </w:rPr>
      </w:pPr>
      <w:bookmarkStart w:id="271" w:name="_Toc5099"/>
      <w:r>
        <w:rPr>
          <w:rFonts w:hint="eastAsia" w:asciiTheme="minorEastAsia" w:hAnsiTheme="minorEastAsia" w:eastAsiaTheme="minorEastAsia" w:cstheme="minorEastAsia"/>
          <w:sz w:val="24"/>
          <w:szCs w:val="24"/>
        </w:rPr>
        <w:t>关于促进残疾人就业政府采购政策的通知</w:t>
      </w:r>
      <w:bookmarkEnd w:id="271"/>
    </w:p>
    <w:p>
      <w:pPr>
        <w:spacing w:line="240" w:lineRule="atLeast"/>
        <w:ind w:firstLine="480"/>
        <w:jc w:val="center"/>
        <w:outlineLvl w:val="0"/>
        <w:rPr>
          <w:rFonts w:asciiTheme="minorEastAsia" w:hAnsiTheme="minorEastAsia" w:eastAsiaTheme="minorEastAsia" w:cstheme="minorEastAsia"/>
          <w:sz w:val="24"/>
          <w:szCs w:val="24"/>
        </w:rPr>
      </w:pPr>
      <w:bookmarkStart w:id="272" w:name="_Toc20868"/>
      <w:r>
        <w:rPr>
          <w:rFonts w:hint="eastAsia" w:asciiTheme="minorEastAsia" w:hAnsiTheme="minorEastAsia" w:eastAsiaTheme="minorEastAsia" w:cstheme="minorEastAsia"/>
          <w:sz w:val="24"/>
          <w:szCs w:val="24"/>
        </w:rPr>
        <w:t>财库〔2017〕</w:t>
      </w:r>
      <w:r>
        <w:rPr>
          <w:rFonts w:asciiTheme="minorEastAsia" w:hAnsiTheme="minorEastAsia" w:eastAsiaTheme="minorEastAsia" w:cstheme="minorEastAsia"/>
          <w:sz w:val="24"/>
          <w:szCs w:val="24"/>
        </w:rPr>
        <w:t>141</w:t>
      </w:r>
      <w:r>
        <w:rPr>
          <w:rFonts w:hint="eastAsia" w:asciiTheme="minorEastAsia" w:hAnsiTheme="minorEastAsia" w:eastAsiaTheme="minorEastAsia" w:cstheme="minorEastAsia"/>
          <w:sz w:val="24"/>
          <w:szCs w:val="24"/>
        </w:rPr>
        <w:t>号</w:t>
      </w:r>
      <w:bookmarkEnd w:id="272"/>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为了发挥政府采购促进残疾人就业的作用，进一步保障残疾人权益，依照《政府采购法》、《残疾人保障法》等法律法规及相关规定，现就促进残疾人就业政府采购政策通知如下：</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一、享受政府采购支持政策的残疾人福利性单位应当同时满足以下条件：</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（一）安置的残疾人占本单位在职职工人数的比例不低于</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（含</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），并且安置的残疾人人数不少于</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人（含</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（二）依法与安置的每位残疾人签订了一年以上（含一年）的劳动合同或服务协议；</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（三）为安置的每位残疾人按月足额缴纳了基本养老保险、基本医疗保险、失业保险、工伤保险和生育保险等社会保险费；</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（四）通过银行等金融机构向安置的每位残疾人，按月支付了不低于单位所在区县适用的经省级人民政府批准的月最低工资标准的工资；</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（五）提供本单位制造的货物、承担的工程或者服务（以下简称产品），或者提供其他残疾人福利性单位制造的货物（不包括使用非残疾人福利性单位注册商标的货物）。</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前款所称残疾人是指法定劳动年龄内，持有《中华人民共和国残疾人证》或者《中华人民共和国残疾军人证（</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至</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级）》的自然人，包括具有劳动条件和劳动意愿的精神残疾人。在职职工人数是指与残疾人福利性单位建立劳动关系并依法签订劳动合同或者服务协议的雇员人数。</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中标、成交供应商为残疾人福利性单位的，采购人或者其委托的采购代理机构应当随中标、成交结果同时公告其《残疾人福利性单位声明函》，接受社会监督。</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供应商提供的《残疾人福利性单位声明函》与事实不符的，依照《政府采购法》第七十七条第一款的规定追究法律责任。</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四、采购人采购公开招标数额标准以上的货物或者服务，因落实促进残疾人就业政策的需要，依法履行有关报批程序后，可采用公开招标以外的采购方式。</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七、本通知自2017年</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日起执行。</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财政部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民政部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中国残疾人联合会</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2017年</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t>日</w:t>
      </w:r>
    </w:p>
    <w:p>
      <w:pPr>
        <w:spacing w:line="588" w:lineRule="exact"/>
        <w:ind w:firstLine="480"/>
        <w:rPr>
          <w:rFonts w:ascii="宋体" w:hAnsi="宋体" w:cs="宋体"/>
          <w:color w:val="666666"/>
          <w:kern w:val="0"/>
          <w:sz w:val="24"/>
          <w:szCs w:val="24"/>
        </w:rPr>
      </w:pPr>
    </w:p>
    <w:p>
      <w:pPr>
        <w:spacing w:line="588" w:lineRule="exact"/>
        <w:ind w:firstLine="480"/>
        <w:rPr>
          <w:rFonts w:ascii="宋体" w:hAnsi="宋体" w:cs="宋体"/>
          <w:color w:val="666666"/>
          <w:kern w:val="0"/>
        </w:rPr>
      </w:pPr>
    </w:p>
    <w:p>
      <w:pPr>
        <w:spacing w:line="588" w:lineRule="exact"/>
        <w:ind w:firstLine="480"/>
        <w:rPr>
          <w:rFonts w:ascii="宋体" w:hAnsi="宋体" w:cs="宋体"/>
          <w:color w:val="666666"/>
          <w:kern w:val="0"/>
        </w:rPr>
      </w:pPr>
    </w:p>
    <w:p>
      <w:pPr>
        <w:spacing w:line="588" w:lineRule="exact"/>
        <w:rPr>
          <w:rFonts w:ascii="宋体" w:hAnsi="宋体" w:cs="宋体"/>
          <w:color w:val="666666"/>
          <w:kern w:val="0"/>
        </w:rPr>
      </w:pPr>
    </w:p>
    <w:p>
      <w:pPr>
        <w:rPr>
          <w:rFonts w:ascii="宋体" w:hAnsi="宋体" w:cs="宋体"/>
          <w:color w:val="666666"/>
          <w:kern w:val="0"/>
        </w:rPr>
      </w:pPr>
    </w:p>
    <w:p>
      <w:pPr>
        <w:spacing w:line="588" w:lineRule="exact"/>
        <w:ind w:firstLine="480"/>
        <w:rPr>
          <w:rFonts w:ascii="宋体" w:hAnsi="宋体" w:cs="宋体"/>
          <w:color w:val="666666"/>
          <w:kern w:val="0"/>
          <w:sz w:val="24"/>
          <w:szCs w:val="24"/>
        </w:rPr>
      </w:pPr>
      <w:r>
        <w:rPr>
          <w:rFonts w:hint="eastAsia" w:ascii="宋体" w:hAnsi="宋体" w:cs="宋体"/>
          <w:color w:val="666666"/>
          <w:kern w:val="0"/>
          <w:sz w:val="24"/>
          <w:szCs w:val="24"/>
        </w:rPr>
        <w:t>2.2声明函</w:t>
      </w:r>
    </w:p>
    <w:p>
      <w:pPr>
        <w:spacing w:line="588" w:lineRule="exact"/>
        <w:ind w:firstLine="723"/>
        <w:jc w:val="center"/>
        <w:outlineLvl w:val="0"/>
        <w:rPr>
          <w:rFonts w:asciiTheme="minorEastAsia" w:hAnsiTheme="minorEastAsia" w:eastAsiaTheme="minorEastAsia" w:cstheme="minorEastAsia"/>
          <w:b/>
          <w:kern w:val="0"/>
          <w:sz w:val="36"/>
          <w:szCs w:val="36"/>
        </w:rPr>
      </w:pPr>
      <w:bookmarkStart w:id="273" w:name="_Toc32137"/>
      <w:r>
        <w:rPr>
          <w:rFonts w:hint="eastAsia" w:asciiTheme="minorEastAsia" w:hAnsiTheme="minorEastAsia" w:eastAsiaTheme="minorEastAsia" w:cstheme="minorEastAsia"/>
          <w:b/>
          <w:kern w:val="0"/>
          <w:sz w:val="36"/>
          <w:szCs w:val="36"/>
        </w:rPr>
        <w:t>残疾人福利性单位声明函</w:t>
      </w:r>
      <w:bookmarkEnd w:id="273"/>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民政部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中国残疾人联合会关于促进残疾人就业政府采购政策的通知》（财库〔2017〕</w:t>
      </w:r>
      <w:r>
        <w:rPr>
          <w:rFonts w:asciiTheme="minorEastAsia" w:hAnsiTheme="minorEastAsia" w:eastAsiaTheme="minorEastAsia" w:cstheme="minorEastAsia"/>
          <w:kern w:val="0"/>
          <w:sz w:val="24"/>
          <w:szCs w:val="24"/>
        </w:rPr>
        <w:t xml:space="preserve"> 141</w:t>
      </w:r>
      <w:r>
        <w:rPr>
          <w:rFonts w:hint="eastAsia" w:asciiTheme="minorEastAsia" w:hAnsiTheme="minorEastAsia" w:eastAsiaTheme="minorEastAsia" w:cstheme="minorEastAsia"/>
          <w:kern w:val="0"/>
          <w:sz w:val="24"/>
          <w:szCs w:val="24"/>
        </w:rPr>
        <w:t>号）的规定，本单位为符合条件的残疾人福利性单位，且本单位参加</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单位的</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项目采购活动提供本单位制造的货物（由本单位承担工程</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t>提供服务），或者提供其他残疾人福利性单位制造的货物（不包括使用非残疾人福利性单位注册商标的货物）。</w:t>
      </w:r>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asciiTheme="minorEastAsia" w:hAnsiTheme="minorEastAsia" w:eastAsiaTheme="minorEastAsia" w:cstheme="minorEastAsia"/>
          <w:kern w:val="0"/>
          <w:sz w:val="24"/>
          <w:szCs w:val="24"/>
        </w:rPr>
      </w:pPr>
    </w:p>
    <w:p>
      <w:pPr>
        <w:spacing w:line="588" w:lineRule="exact"/>
        <w:ind w:firstLine="480"/>
        <w:rPr>
          <w:rFonts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单位名称（盖章）：</w:t>
      </w: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期：</w:t>
      </w:r>
    </w:p>
    <w:p>
      <w:pPr>
        <w:ind w:firstLine="482"/>
        <w:jc w:val="right"/>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rPr>
          <w:rFonts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rPr>
        <w:t>3</w:t>
      </w:r>
      <w:r>
        <w:rPr>
          <w:rFonts w:hint="eastAsia" w:asciiTheme="minorEastAsia" w:hAnsiTheme="minorEastAsia" w:eastAsiaTheme="minorEastAsia" w:cstheme="minorEastAsia"/>
          <w:b/>
          <w:sz w:val="24"/>
          <w:szCs w:val="24"/>
        </w:rPr>
        <w:t>.监狱企业声明函</w:t>
      </w:r>
    </w:p>
    <w:p>
      <w:pPr>
        <w:widowControl/>
        <w:ind w:firstLine="482"/>
        <w:outlineLvl w:val="0"/>
        <w:rPr>
          <w:rFonts w:hint="eastAsia" w:asciiTheme="minorEastAsia" w:hAnsiTheme="minorEastAsia" w:eastAsiaTheme="minorEastAsia" w:cstheme="minorEastAsia"/>
          <w:kern w:val="0"/>
          <w:sz w:val="24"/>
          <w:szCs w:val="24"/>
        </w:rPr>
      </w:pPr>
      <w:bookmarkStart w:id="274" w:name="_Toc18876"/>
      <w:r>
        <w:rPr>
          <w:rFonts w:hint="eastAsia" w:asciiTheme="minorEastAsia" w:hAnsiTheme="minorEastAsia" w:eastAsiaTheme="minorEastAsia" w:cstheme="minorEastAsia"/>
          <w:b/>
          <w:sz w:val="24"/>
          <w:szCs w:val="24"/>
        </w:rPr>
        <w:t>3.1</w:t>
      </w:r>
      <w:r>
        <w:rPr>
          <w:rFonts w:hint="eastAsia" w:asciiTheme="minorEastAsia" w:hAnsiTheme="minorEastAsia" w:eastAsiaTheme="minorEastAsia" w:cstheme="minorEastAsia"/>
          <w:kern w:val="0"/>
          <w:sz w:val="24"/>
          <w:szCs w:val="24"/>
        </w:rPr>
        <w:t>监狱企业发展有关问题的通知 财库〔2014〕68号</w:t>
      </w:r>
      <w:bookmarkEnd w:id="274"/>
    </w:p>
    <w:tbl>
      <w:tblPr>
        <w:tblStyle w:val="35"/>
        <w:tblW w:w="8135" w:type="dxa"/>
        <w:jc w:val="center"/>
        <w:tblCellSpacing w:w="0" w:type="dxa"/>
        <w:tblLayout w:type="autofit"/>
        <w:tblCellMar>
          <w:top w:w="0" w:type="dxa"/>
          <w:left w:w="0" w:type="dxa"/>
          <w:bottom w:w="0" w:type="dxa"/>
          <w:right w:w="0" w:type="dxa"/>
        </w:tblCellMar>
      </w:tblPr>
      <w:tblGrid>
        <w:gridCol w:w="8135"/>
      </w:tblGrid>
      <w:tr>
        <w:tblPrEx>
          <w:tblCellMar>
            <w:top w:w="0" w:type="dxa"/>
            <w:left w:w="0" w:type="dxa"/>
            <w:bottom w:w="0" w:type="dxa"/>
            <w:right w:w="0" w:type="dxa"/>
          </w:tblCellMar>
        </w:tblPrEx>
        <w:trPr>
          <w:trHeight w:val="960" w:hRule="atLeast"/>
          <w:tblCellSpacing w:w="0" w:type="dxa"/>
          <w:jc w:val="center"/>
        </w:trPr>
        <w:tc>
          <w:tcPr>
            <w:tcW w:w="8135" w:type="dxa"/>
            <w:vAlign w:val="center"/>
          </w:tcPr>
          <w:p>
            <w:pPr>
              <w:widowControl/>
              <w:ind w:firstLine="52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财政部 司法部关于政府采购支持监狱企业发展有关问题的通知(财库〔2014〕68号)</w:t>
            </w:r>
          </w:p>
        </w:tc>
      </w:tr>
      <w:tr>
        <w:tblPrEx>
          <w:tblCellMar>
            <w:top w:w="0" w:type="dxa"/>
            <w:left w:w="0" w:type="dxa"/>
            <w:bottom w:w="0" w:type="dxa"/>
            <w:right w:w="0" w:type="dxa"/>
          </w:tblCellMar>
        </w:tblPrEx>
        <w:trPr>
          <w:tblCellSpacing w:w="0" w:type="dxa"/>
          <w:jc w:val="center"/>
        </w:trPr>
        <w:tc>
          <w:tcPr>
            <w:tcW w:w="8135" w:type="dxa"/>
            <w:vAlign w:val="center"/>
          </w:tcPr>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财政部 司法部关于政府采购支持</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监狱企业发展有关问题的通知</w:t>
            </w:r>
          </w:p>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财库〔2014〕68号</w:t>
            </w:r>
          </w:p>
          <w:p>
            <w:pPr>
              <w:widowControl/>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四、各地区可以结合本地区实际，对监狱企业生产的办公用品、家具用具、车辆维修和提供的保养服务、消防设备等，提出预留份额等政府采购支持措施，加大对监狱企业产品的采购力度。</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ind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中华人民共和国财政部</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中华人民共和国司法部</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2014年6月10日</w:t>
            </w:r>
          </w:p>
        </w:tc>
      </w:tr>
    </w:tbl>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line="240" w:lineRule="auto"/>
        <w:ind w:firstLine="482"/>
        <w:outlineLvl w:val="0"/>
        <w:rPr>
          <w:rFonts w:hint="eastAsia" w:asciiTheme="minorEastAsia" w:hAnsiTheme="minorEastAsia" w:eastAsiaTheme="minorEastAsia" w:cstheme="minorEastAsia"/>
          <w:b/>
          <w:sz w:val="24"/>
          <w:szCs w:val="24"/>
        </w:rPr>
      </w:pPr>
      <w:bookmarkStart w:id="275" w:name="_Toc14417"/>
      <w:r>
        <w:rPr>
          <w:rFonts w:hint="eastAsia" w:asciiTheme="minorEastAsia" w:hAnsiTheme="minorEastAsia" w:eastAsiaTheme="minorEastAsia" w:cstheme="minorEastAsia"/>
          <w:b/>
          <w:sz w:val="24"/>
          <w:szCs w:val="24"/>
        </w:rPr>
        <w:t>3.2  声明函格式</w:t>
      </w:r>
      <w:bookmarkEnd w:id="275"/>
      <w:r>
        <w:rPr>
          <w:rFonts w:hint="eastAsia" w:asciiTheme="minorEastAsia" w:hAnsiTheme="minorEastAsia" w:eastAsiaTheme="minorEastAsia" w:cstheme="minorEastAsia"/>
          <w:b/>
          <w:sz w:val="24"/>
          <w:szCs w:val="24"/>
        </w:rPr>
        <w:t xml:space="preserve">               </w:t>
      </w:r>
    </w:p>
    <w:p>
      <w:pPr>
        <w:spacing w:line="588"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监狱性单位声明函</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单位名称（盖章）：</w:t>
      </w:r>
    </w:p>
    <w:p>
      <w:pPr>
        <w:spacing w:line="240" w:lineRule="auto"/>
        <w:ind w:right="480" w:firstLine="48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日  期：</w:t>
      </w:r>
    </w:p>
    <w:p>
      <w:pPr>
        <w:spacing w:line="24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附件：狱企业参加政府采购活动时，应当提供由省级以上监狱管理局、戒毒管理局（含新疆生产建设兵团）出具的属于监狱企业的证明文件</w:t>
      </w:r>
    </w:p>
    <w:p>
      <w:pPr>
        <w:spacing w:before="0" w:beforeAutospacing="0" w:after="0" w:afterAutospacing="0" w:line="240" w:lineRule="atLeast"/>
        <w:rPr>
          <w:rFonts w:asciiTheme="minorEastAsia" w:hAnsiTheme="minorEastAsia" w:eastAsiaTheme="minorEastAsia" w:cstheme="minorEastAsia"/>
        </w:rPr>
      </w:pPr>
    </w:p>
    <w:p>
      <w:pPr>
        <w:widowControl/>
        <w:spacing w:before="0" w:beforeAutospacing="0" w:after="0" w:afterAutospacing="0" w:line="240" w:lineRule="auto"/>
        <w:jc w:val="left"/>
        <w:rPr>
          <w:rFonts w:asciiTheme="minorEastAsia" w:hAnsiTheme="minorEastAsia" w:eastAsiaTheme="minorEastAsia" w:cstheme="minorEastAsia"/>
        </w:rPr>
      </w:pPr>
      <w:r>
        <w:rPr>
          <w:rFonts w:asciiTheme="minorEastAsia" w:hAnsiTheme="minorEastAsia" w:eastAsiaTheme="minorEastAsia" w:cstheme="minorEastAsia"/>
        </w:rPr>
        <w:br w:type="page"/>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0" w:lineRule="atLeast"/>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（七）技术标方案</w:t>
      </w:r>
    </w:p>
    <w:p>
      <w:pPr>
        <w:spacing w:line="240" w:lineRule="auto"/>
        <w:ind w:firstLine="360" w:firstLineChars="15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供应商根据招标文件要求，独立编写项目技术标方案。（格式自拟）</w:t>
      </w:r>
    </w:p>
    <w:p>
      <w:pPr>
        <w:spacing w:line="240" w:lineRule="auto"/>
        <w:jc w:val="center"/>
        <w:rPr>
          <w:rFonts w:asciiTheme="minorEastAsia" w:hAnsiTheme="minorEastAsia" w:eastAsiaTheme="minorEastAsia" w:cstheme="minorEastAsia"/>
          <w:b/>
          <w:sz w:val="24"/>
          <w:szCs w:val="24"/>
        </w:rPr>
      </w:pPr>
    </w:p>
    <w:p>
      <w:pPr>
        <w:spacing w:line="240" w:lineRule="auto"/>
        <w:jc w:val="center"/>
        <w:outlineLvl w:val="0"/>
        <w:rPr>
          <w:rFonts w:asciiTheme="minorEastAsia" w:hAnsiTheme="minorEastAsia" w:eastAsiaTheme="minorEastAsia" w:cstheme="minorEastAsia"/>
          <w:b/>
          <w:sz w:val="24"/>
          <w:szCs w:val="24"/>
        </w:rPr>
      </w:pPr>
      <w:bookmarkStart w:id="276" w:name="_Toc26421"/>
      <w:r>
        <w:rPr>
          <w:rFonts w:hint="eastAsia" w:asciiTheme="minorEastAsia" w:hAnsiTheme="minorEastAsia" w:eastAsiaTheme="minorEastAsia" w:cstheme="minorEastAsia"/>
          <w:b/>
          <w:sz w:val="24"/>
          <w:szCs w:val="24"/>
        </w:rPr>
        <w:t>第四    其他</w:t>
      </w:r>
      <w:bookmarkEnd w:id="276"/>
    </w:p>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1.投标供应商认为与采购项目相关的其他佐证文件、声明及承诺（格式自拟，复印或扫描件须加盖投标供应商公章）：非国家行政机关出具的证明文件，由专家评标委员会评审其有效性。</w:t>
      </w:r>
    </w:p>
    <w:p>
      <w:pPr>
        <w:spacing w:line="240" w:lineRule="auto"/>
        <w:jc w:val="left"/>
        <w:rPr>
          <w:rFonts w:asciiTheme="minorEastAsia" w:hAnsiTheme="minorEastAsia" w:eastAsiaTheme="minorEastAsia" w:cstheme="minorEastAsia"/>
          <w:sz w:val="24"/>
          <w:szCs w:val="24"/>
        </w:rPr>
      </w:pPr>
    </w:p>
    <w:sectPr>
      <w:headerReference r:id="rId21" w:type="first"/>
      <w:headerReference r:id="rId19" w:type="default"/>
      <w:headerReference r:id="rId20" w:type="even"/>
      <w:footerReference r:id="rId22" w:type="even"/>
      <w:pgSz w:w="11906" w:h="16838"/>
      <w:pgMar w:top="1531" w:right="1418" w:bottom="136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3723"/>
    </w:sdtPr>
    <w:sdtContent>
      <w:sdt>
        <w:sdtPr>
          <w:id w:val="10443724"/>
        </w:sdtPr>
        <w:sdtContent>
          <w:p>
            <w:pPr>
              <w:pStyle w:val="24"/>
              <w:jc w:val="center"/>
            </w:pPr>
            <w:r>
              <w:rPr>
                <w:b/>
                <w:sz w:val="24"/>
              </w:rPr>
              <w:fldChar w:fldCharType="begin"/>
            </w:r>
            <w:r>
              <w:rPr>
                <w:b/>
              </w:rPr>
              <w:instrText xml:space="preserve">PAGE</w:instrText>
            </w:r>
            <w:r>
              <w:rPr>
                <w:b/>
                <w:sz w:val="24"/>
              </w:rPr>
              <w:fldChar w:fldCharType="separate"/>
            </w:r>
            <w:r>
              <w:rPr>
                <w:b/>
              </w:rPr>
              <w:t>13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77</w:t>
            </w:r>
            <w:r>
              <w:rPr>
                <w:b/>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rPr>
      <w:t>编制单位：新疆正禾招投标有限公司                                  咨询电话0991-6660570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535"/>
      </w:tabs>
      <w:jc w:val="both"/>
    </w:pPr>
    <w:r>
      <w:rPr>
        <w:rFonts w:hint="eastAsia"/>
        <w:b/>
        <w:bCs/>
      </w:rPr>
      <w:t>新疆正禾招投标有限公司</w:t>
    </w:r>
    <w:r>
      <w:rPr>
        <w:b/>
        <w:bCs/>
      </w:rPr>
      <w:tab/>
    </w:r>
    <w:r>
      <w:rPr>
        <w:b/>
        <w:bCs/>
      </w:rPr>
      <w:tab/>
    </w:r>
    <w:r>
      <w:rPr>
        <w:b/>
        <w:bCs/>
      </w:rPr>
      <w:fldChar w:fldCharType="begin"/>
    </w:r>
    <w:r>
      <w:rPr>
        <w:b/>
        <w:bCs/>
      </w:rPr>
      <w:instrText xml:space="preserve">PAGE  \* Arabic  \* MERGEFORMAT</w:instrText>
    </w:r>
    <w:r>
      <w:rPr>
        <w:b/>
        <w:bCs/>
      </w:rPr>
      <w:fldChar w:fldCharType="separate"/>
    </w:r>
    <w:r>
      <w:rPr>
        <w:b/>
        <w:bCs/>
      </w:rPr>
      <w:t>77</w:t>
    </w:r>
    <w:r>
      <w:rPr>
        <w:b/>
        <w:bCs/>
      </w:rPr>
      <w:fldChar w:fldCharType="end"/>
    </w:r>
    <w:r>
      <w:rPr>
        <w:lang w:val="zh-CN"/>
      </w:rPr>
      <w:t xml:space="preserve"> / </w:t>
    </w:r>
    <w:r>
      <w:fldChar w:fldCharType="begin"/>
    </w:r>
    <w:r>
      <w:instrText xml:space="preserve">NUMPAGES  \* Arabic  \* MERGEFORMAT</w:instrText>
    </w:r>
    <w:r>
      <w:fldChar w:fldCharType="separate"/>
    </w:r>
    <w:r>
      <w:rPr>
        <w:b/>
        <w:bCs/>
      </w:rPr>
      <w:t>77</w:t>
    </w:r>
    <w:r>
      <w:rPr>
        <w:b/>
        <w:bCs/>
      </w:rPr>
      <w:fldChar w:fldCharType="end"/>
    </w:r>
    <w:r>
      <w:rPr>
        <w:b/>
        <w:bCs/>
      </w:rPr>
      <w:t xml:space="preserve">                    </w:t>
    </w:r>
    <w:r>
      <w:rPr>
        <w:rFonts w:hint="eastAsia"/>
        <w:b/>
        <w:bCs/>
      </w:rPr>
      <w:t>联系电话：0991-6660570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fldChar w:fldCharType="begin"/>
    </w:r>
    <w:r>
      <w:rPr>
        <w:rStyle w:val="39"/>
      </w:rPr>
      <w:instrText xml:space="preserve">PAGE  </w:instrText>
    </w:r>
    <w:r>
      <w:fldChar w:fldCharType="end"/>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ascii="楷体" w:hAnsi="楷体" w:eastAsia="楷体"/>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136515" cy="8856345"/>
          <wp:effectExtent l="0" t="0" r="6985" b="1905"/>
          <wp:wrapNone/>
          <wp:docPr id="11" name="WordPictureWatermark152253733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522537330"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ascii="楷体" w:hAnsi="楷体" w:eastAsia="楷体"/>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136515" cy="8856345"/>
          <wp:effectExtent l="0" t="0" r="6985" b="1905"/>
          <wp:wrapNone/>
          <wp:docPr id="17" name="WordPictureWatermark15225373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152253733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136515" cy="8856345"/>
          <wp:effectExtent l="0" t="0" r="6985" b="1905"/>
          <wp:wrapNone/>
          <wp:docPr id="16" name="WordPictureWatermark152253733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152253733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5136515" cy="8856345"/>
          <wp:effectExtent l="0" t="0" r="6985" b="1905"/>
          <wp:wrapNone/>
          <wp:docPr id="15" name="WordPictureWatermark152253733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152253733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10" name="WordPictureWatermark15225373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225373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9" name="WordPictureWatermark15225373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5225373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136515" cy="8856345"/>
          <wp:effectExtent l="0" t="0" r="6985" b="1905"/>
          <wp:wrapNone/>
          <wp:docPr id="13" name="WordPictureWatermark152253733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522537333"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136515" cy="8856345"/>
          <wp:effectExtent l="0" t="0" r="6985" b="1905"/>
          <wp:wrapNone/>
          <wp:docPr id="14" name="WordPictureWatermark152253733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522537332"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136515" cy="8856345"/>
          <wp:effectExtent l="0" t="0" r="6985" b="1905"/>
          <wp:wrapNone/>
          <wp:docPr id="12" name="WordPictureWatermark152253733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522537331"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136515" cy="8856345"/>
          <wp:effectExtent l="0" t="0" r="6985" b="1905"/>
          <wp:wrapNone/>
          <wp:docPr id="2" name="WordPictureWatermark15225373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52253733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7150" cy="88569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137150" cy="88569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45145"/>
    <w:multiLevelType w:val="multilevel"/>
    <w:tmpl w:val="02745145"/>
    <w:lvl w:ilvl="0" w:tentative="0">
      <w:start w:val="2"/>
      <w:numFmt w:val="japaneseCounting"/>
      <w:lvlText w:val="（%1）"/>
      <w:lvlJc w:val="left"/>
      <w:pPr>
        <w:ind w:left="1416" w:hanging="86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6004AB"/>
    <w:multiLevelType w:val="multilevel"/>
    <w:tmpl w:val="166004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lvlText w:val="%9."/>
      <w:lvlJc w:val="right"/>
      <w:pPr>
        <w:ind w:left="3780" w:hanging="420"/>
      </w:pPr>
    </w:lvl>
  </w:abstractNum>
  <w:abstractNum w:abstractNumId="2">
    <w:nsid w:val="183C604A"/>
    <w:multiLevelType w:val="singleLevel"/>
    <w:tmpl w:val="183C604A"/>
    <w:lvl w:ilvl="0" w:tentative="0">
      <w:start w:val="1"/>
      <w:numFmt w:val="japaneseCounting"/>
      <w:lvlText w:val="%1、"/>
      <w:lvlJc w:val="left"/>
      <w:pPr>
        <w:tabs>
          <w:tab w:val="left" w:pos="622"/>
        </w:tabs>
        <w:ind w:left="622" w:hanging="480"/>
      </w:pPr>
    </w:lvl>
  </w:abstractNum>
  <w:abstractNum w:abstractNumId="3">
    <w:nsid w:val="1E139FDA"/>
    <w:multiLevelType w:val="singleLevel"/>
    <w:tmpl w:val="1E139FDA"/>
    <w:lvl w:ilvl="0" w:tentative="0">
      <w:start w:val="2"/>
      <w:numFmt w:val="chineseCounting"/>
      <w:suff w:val="nothing"/>
      <w:lvlText w:val="第%1章　"/>
      <w:lvlJc w:val="left"/>
      <w:rPr>
        <w:rFonts w:hint="eastAsia"/>
      </w:rPr>
    </w:lvl>
  </w:abstractNum>
  <w:abstractNum w:abstractNumId="4">
    <w:nsid w:val="3C581645"/>
    <w:multiLevelType w:val="singleLevel"/>
    <w:tmpl w:val="3C581645"/>
    <w:lvl w:ilvl="0" w:tentative="0">
      <w:start w:val="2"/>
      <w:numFmt w:val="chineseCounting"/>
      <w:pStyle w:val="11"/>
      <w:suff w:val="nothing"/>
      <w:lvlText w:val="%1、"/>
      <w:lvlJc w:val="left"/>
      <w:rPr>
        <w:rFonts w:hint="eastAsia"/>
      </w:rPr>
    </w:lvl>
  </w:abstractNum>
  <w:abstractNum w:abstractNumId="5">
    <w:nsid w:val="543A08E2"/>
    <w:multiLevelType w:val="multilevel"/>
    <w:tmpl w:val="543A08E2"/>
    <w:lvl w:ilvl="0" w:tentative="0">
      <w:start w:val="3"/>
      <w:numFmt w:val="decimal"/>
      <w:lvlText w:val="%1．"/>
      <w:lvlJc w:val="left"/>
      <w:pPr>
        <w:ind w:left="12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E6F60ED"/>
    <w:multiLevelType w:val="multilevel"/>
    <w:tmpl w:val="6E6F60ED"/>
    <w:lvl w:ilvl="0" w:tentative="0">
      <w:start w:val="1"/>
      <w:numFmt w:val="decimal"/>
      <w:pStyle w:val="111"/>
      <w:lvlText w:val="%1"/>
      <w:lvlJc w:val="left"/>
      <w:pPr>
        <w:ind w:left="432" w:hanging="432"/>
      </w:pPr>
    </w:lvl>
    <w:lvl w:ilvl="1" w:tentative="0">
      <w:start w:val="1"/>
      <w:numFmt w:val="decimal"/>
      <w:lvlText w:val="%1.%2"/>
      <w:lvlJc w:val="left"/>
      <w:pPr>
        <w:ind w:left="576" w:hanging="576"/>
      </w:pPr>
    </w:lvl>
    <w:lvl w:ilvl="2" w:tentative="0">
      <w:start w:val="1"/>
      <w:numFmt w:val="decimal"/>
      <w:pStyle w:val="137"/>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pStyle w:val="189"/>
      <w:lvlText w:val="%1.%2.%3.%4.%5.%6.%7.%8.%9"/>
      <w:lvlJc w:val="left"/>
      <w:pPr>
        <w:ind w:left="1584" w:hanging="1584"/>
      </w:pPr>
    </w:lvl>
  </w:abstractNum>
  <w:abstractNum w:abstractNumId="7">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6F60F0"/>
    <w:multiLevelType w:val="multilevel"/>
    <w:tmpl w:val="6E6F60F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E6F60F2"/>
    <w:multiLevelType w:val="multilevel"/>
    <w:tmpl w:val="6E6F60F2"/>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6E6F60F3"/>
    <w:multiLevelType w:val="multilevel"/>
    <w:tmpl w:val="6E6F60F3"/>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53A044A"/>
    <w:multiLevelType w:val="multilevel"/>
    <w:tmpl w:val="753A044A"/>
    <w:lvl w:ilvl="0" w:tentative="0">
      <w:start w:val="1"/>
      <w:numFmt w:val="decimal"/>
      <w:lvlText w:val="%1."/>
      <w:lvlJc w:val="left"/>
      <w:pPr>
        <w:ind w:left="962" w:hanging="42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4"/>
  </w:num>
  <w:num w:numId="3">
    <w:abstractNumId w:val="6"/>
  </w:num>
  <w:num w:numId="4">
    <w:abstractNumId w:val="3"/>
  </w:num>
  <w:num w:numId="5">
    <w:abstractNumId w:val="2"/>
    <w:lvlOverride w:ilvl="0">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zMzY4MWFlYzBiZWIyOWVjYjcyYjgwZTdmZWFjMTgifQ=="/>
  </w:docVars>
  <w:rsids>
    <w:rsidRoot w:val="00A776B4"/>
    <w:rsid w:val="0000021D"/>
    <w:rsid w:val="00000502"/>
    <w:rsid w:val="0000073E"/>
    <w:rsid w:val="000010B4"/>
    <w:rsid w:val="0000205D"/>
    <w:rsid w:val="00002ADE"/>
    <w:rsid w:val="000042EF"/>
    <w:rsid w:val="000044DE"/>
    <w:rsid w:val="00005890"/>
    <w:rsid w:val="00006516"/>
    <w:rsid w:val="00006B04"/>
    <w:rsid w:val="00006C8E"/>
    <w:rsid w:val="000078E5"/>
    <w:rsid w:val="0001113B"/>
    <w:rsid w:val="000119A0"/>
    <w:rsid w:val="00011C58"/>
    <w:rsid w:val="00012720"/>
    <w:rsid w:val="0001294F"/>
    <w:rsid w:val="00013E0E"/>
    <w:rsid w:val="000157CA"/>
    <w:rsid w:val="00016586"/>
    <w:rsid w:val="000176B4"/>
    <w:rsid w:val="000178A8"/>
    <w:rsid w:val="00017A0E"/>
    <w:rsid w:val="00020EBC"/>
    <w:rsid w:val="00023F1E"/>
    <w:rsid w:val="00024809"/>
    <w:rsid w:val="00024B42"/>
    <w:rsid w:val="00024B9A"/>
    <w:rsid w:val="00024BC8"/>
    <w:rsid w:val="00025011"/>
    <w:rsid w:val="000257CC"/>
    <w:rsid w:val="00026100"/>
    <w:rsid w:val="00027184"/>
    <w:rsid w:val="000273AB"/>
    <w:rsid w:val="0003104A"/>
    <w:rsid w:val="000337D3"/>
    <w:rsid w:val="00035926"/>
    <w:rsid w:val="00035C4F"/>
    <w:rsid w:val="0003657C"/>
    <w:rsid w:val="0003713C"/>
    <w:rsid w:val="00037CC2"/>
    <w:rsid w:val="000408B6"/>
    <w:rsid w:val="00041493"/>
    <w:rsid w:val="000419FB"/>
    <w:rsid w:val="000429F1"/>
    <w:rsid w:val="0004301D"/>
    <w:rsid w:val="0004478F"/>
    <w:rsid w:val="00044A34"/>
    <w:rsid w:val="0004535C"/>
    <w:rsid w:val="00045E5B"/>
    <w:rsid w:val="00051C37"/>
    <w:rsid w:val="00052870"/>
    <w:rsid w:val="000531D3"/>
    <w:rsid w:val="00053547"/>
    <w:rsid w:val="000549D7"/>
    <w:rsid w:val="00055660"/>
    <w:rsid w:val="00055FD2"/>
    <w:rsid w:val="000568E4"/>
    <w:rsid w:val="000575EC"/>
    <w:rsid w:val="00060A19"/>
    <w:rsid w:val="00062E59"/>
    <w:rsid w:val="00065133"/>
    <w:rsid w:val="00066590"/>
    <w:rsid w:val="00070C9A"/>
    <w:rsid w:val="00070E62"/>
    <w:rsid w:val="00071784"/>
    <w:rsid w:val="00072037"/>
    <w:rsid w:val="00073408"/>
    <w:rsid w:val="00074614"/>
    <w:rsid w:val="00074E41"/>
    <w:rsid w:val="00075283"/>
    <w:rsid w:val="00075CAD"/>
    <w:rsid w:val="00075CD3"/>
    <w:rsid w:val="00075D6F"/>
    <w:rsid w:val="00076B27"/>
    <w:rsid w:val="00076E11"/>
    <w:rsid w:val="00081B70"/>
    <w:rsid w:val="00082A26"/>
    <w:rsid w:val="00082A5E"/>
    <w:rsid w:val="00082E65"/>
    <w:rsid w:val="00082ECB"/>
    <w:rsid w:val="000852C3"/>
    <w:rsid w:val="00085732"/>
    <w:rsid w:val="000879A4"/>
    <w:rsid w:val="00087AE5"/>
    <w:rsid w:val="00087ECB"/>
    <w:rsid w:val="0009058F"/>
    <w:rsid w:val="00092309"/>
    <w:rsid w:val="00092916"/>
    <w:rsid w:val="00092FF4"/>
    <w:rsid w:val="000943FE"/>
    <w:rsid w:val="00095A26"/>
    <w:rsid w:val="00095B11"/>
    <w:rsid w:val="00097194"/>
    <w:rsid w:val="000A136D"/>
    <w:rsid w:val="000A2BFA"/>
    <w:rsid w:val="000A5025"/>
    <w:rsid w:val="000A5376"/>
    <w:rsid w:val="000A550F"/>
    <w:rsid w:val="000A56A5"/>
    <w:rsid w:val="000A5ED2"/>
    <w:rsid w:val="000A6E79"/>
    <w:rsid w:val="000A72D0"/>
    <w:rsid w:val="000A7723"/>
    <w:rsid w:val="000A7CC1"/>
    <w:rsid w:val="000A7EEE"/>
    <w:rsid w:val="000B0F18"/>
    <w:rsid w:val="000B2304"/>
    <w:rsid w:val="000B2465"/>
    <w:rsid w:val="000B2CC4"/>
    <w:rsid w:val="000B3627"/>
    <w:rsid w:val="000B3937"/>
    <w:rsid w:val="000B6E08"/>
    <w:rsid w:val="000B6F50"/>
    <w:rsid w:val="000B7FAE"/>
    <w:rsid w:val="000C223E"/>
    <w:rsid w:val="000C32B4"/>
    <w:rsid w:val="000C38C4"/>
    <w:rsid w:val="000C3E14"/>
    <w:rsid w:val="000C4281"/>
    <w:rsid w:val="000C5FAD"/>
    <w:rsid w:val="000C76DD"/>
    <w:rsid w:val="000C792D"/>
    <w:rsid w:val="000D0AA2"/>
    <w:rsid w:val="000D1A96"/>
    <w:rsid w:val="000D3237"/>
    <w:rsid w:val="000D47B2"/>
    <w:rsid w:val="000D48F8"/>
    <w:rsid w:val="000D5ABE"/>
    <w:rsid w:val="000D776F"/>
    <w:rsid w:val="000E032C"/>
    <w:rsid w:val="000E090C"/>
    <w:rsid w:val="000E1FAF"/>
    <w:rsid w:val="000E2EA8"/>
    <w:rsid w:val="000E56D6"/>
    <w:rsid w:val="000E5DBE"/>
    <w:rsid w:val="000E6F19"/>
    <w:rsid w:val="000E7F0B"/>
    <w:rsid w:val="000F129F"/>
    <w:rsid w:val="000F16F0"/>
    <w:rsid w:val="000F18B1"/>
    <w:rsid w:val="000F1BCA"/>
    <w:rsid w:val="000F3E33"/>
    <w:rsid w:val="000F47C1"/>
    <w:rsid w:val="001003B9"/>
    <w:rsid w:val="00101643"/>
    <w:rsid w:val="001016B2"/>
    <w:rsid w:val="00101D88"/>
    <w:rsid w:val="00103E5F"/>
    <w:rsid w:val="001049F1"/>
    <w:rsid w:val="0010761A"/>
    <w:rsid w:val="00110479"/>
    <w:rsid w:val="00111930"/>
    <w:rsid w:val="00112DC1"/>
    <w:rsid w:val="001136C9"/>
    <w:rsid w:val="00114514"/>
    <w:rsid w:val="001172CE"/>
    <w:rsid w:val="00121D28"/>
    <w:rsid w:val="00121EDA"/>
    <w:rsid w:val="00122904"/>
    <w:rsid w:val="00123652"/>
    <w:rsid w:val="00123693"/>
    <w:rsid w:val="001243D3"/>
    <w:rsid w:val="00124763"/>
    <w:rsid w:val="0012523B"/>
    <w:rsid w:val="0012599F"/>
    <w:rsid w:val="001259F6"/>
    <w:rsid w:val="00126910"/>
    <w:rsid w:val="00131CDC"/>
    <w:rsid w:val="00132F01"/>
    <w:rsid w:val="00133B0B"/>
    <w:rsid w:val="0013489F"/>
    <w:rsid w:val="0013605F"/>
    <w:rsid w:val="00136450"/>
    <w:rsid w:val="001366B2"/>
    <w:rsid w:val="00136CB8"/>
    <w:rsid w:val="00136F2F"/>
    <w:rsid w:val="00140D62"/>
    <w:rsid w:val="00140EBD"/>
    <w:rsid w:val="0014193A"/>
    <w:rsid w:val="0014290E"/>
    <w:rsid w:val="00144C80"/>
    <w:rsid w:val="00145D16"/>
    <w:rsid w:val="00145F0B"/>
    <w:rsid w:val="001479FC"/>
    <w:rsid w:val="0015044A"/>
    <w:rsid w:val="001506FF"/>
    <w:rsid w:val="00151E5F"/>
    <w:rsid w:val="00154946"/>
    <w:rsid w:val="00156DBC"/>
    <w:rsid w:val="001571F5"/>
    <w:rsid w:val="0015720F"/>
    <w:rsid w:val="00157285"/>
    <w:rsid w:val="001605B5"/>
    <w:rsid w:val="00163F93"/>
    <w:rsid w:val="0016430E"/>
    <w:rsid w:val="00166495"/>
    <w:rsid w:val="00167281"/>
    <w:rsid w:val="00167BFE"/>
    <w:rsid w:val="0017180E"/>
    <w:rsid w:val="0017451F"/>
    <w:rsid w:val="00175996"/>
    <w:rsid w:val="00176714"/>
    <w:rsid w:val="0018021D"/>
    <w:rsid w:val="00180AFB"/>
    <w:rsid w:val="00181D2E"/>
    <w:rsid w:val="00181D7D"/>
    <w:rsid w:val="0018241D"/>
    <w:rsid w:val="00183354"/>
    <w:rsid w:val="001836D6"/>
    <w:rsid w:val="001846AB"/>
    <w:rsid w:val="0018490B"/>
    <w:rsid w:val="001849A8"/>
    <w:rsid w:val="00184CD6"/>
    <w:rsid w:val="00185477"/>
    <w:rsid w:val="001857D8"/>
    <w:rsid w:val="001863D7"/>
    <w:rsid w:val="001865A1"/>
    <w:rsid w:val="00191350"/>
    <w:rsid w:val="001924ED"/>
    <w:rsid w:val="00192843"/>
    <w:rsid w:val="00192E20"/>
    <w:rsid w:val="00193492"/>
    <w:rsid w:val="00193E06"/>
    <w:rsid w:val="00193E4C"/>
    <w:rsid w:val="00195314"/>
    <w:rsid w:val="00195AEB"/>
    <w:rsid w:val="00197CB7"/>
    <w:rsid w:val="001A00DD"/>
    <w:rsid w:val="001A02AA"/>
    <w:rsid w:val="001A3570"/>
    <w:rsid w:val="001A3B27"/>
    <w:rsid w:val="001A456F"/>
    <w:rsid w:val="001A498F"/>
    <w:rsid w:val="001A612E"/>
    <w:rsid w:val="001B0832"/>
    <w:rsid w:val="001B0A34"/>
    <w:rsid w:val="001B0DA5"/>
    <w:rsid w:val="001B2DE3"/>
    <w:rsid w:val="001B3342"/>
    <w:rsid w:val="001B6905"/>
    <w:rsid w:val="001B6E73"/>
    <w:rsid w:val="001B72B3"/>
    <w:rsid w:val="001B7465"/>
    <w:rsid w:val="001B7565"/>
    <w:rsid w:val="001B7C5E"/>
    <w:rsid w:val="001C0BFE"/>
    <w:rsid w:val="001C1167"/>
    <w:rsid w:val="001C1C90"/>
    <w:rsid w:val="001C2250"/>
    <w:rsid w:val="001C5963"/>
    <w:rsid w:val="001C6ABF"/>
    <w:rsid w:val="001C6D5A"/>
    <w:rsid w:val="001C6F8A"/>
    <w:rsid w:val="001D0BFA"/>
    <w:rsid w:val="001D0F33"/>
    <w:rsid w:val="001D220D"/>
    <w:rsid w:val="001D5750"/>
    <w:rsid w:val="001D6804"/>
    <w:rsid w:val="001E0E5C"/>
    <w:rsid w:val="001E3D62"/>
    <w:rsid w:val="001E4350"/>
    <w:rsid w:val="001E4A12"/>
    <w:rsid w:val="001E61E8"/>
    <w:rsid w:val="001E7A3D"/>
    <w:rsid w:val="001F05C2"/>
    <w:rsid w:val="001F179C"/>
    <w:rsid w:val="001F2233"/>
    <w:rsid w:val="001F24DC"/>
    <w:rsid w:val="001F2B5A"/>
    <w:rsid w:val="001F335D"/>
    <w:rsid w:val="001F369A"/>
    <w:rsid w:val="001F3995"/>
    <w:rsid w:val="001F47BC"/>
    <w:rsid w:val="00200C5A"/>
    <w:rsid w:val="00202206"/>
    <w:rsid w:val="002027BC"/>
    <w:rsid w:val="00203394"/>
    <w:rsid w:val="00204551"/>
    <w:rsid w:val="00204D60"/>
    <w:rsid w:val="00205AA3"/>
    <w:rsid w:val="00206999"/>
    <w:rsid w:val="00210815"/>
    <w:rsid w:val="0021093D"/>
    <w:rsid w:val="00212353"/>
    <w:rsid w:val="002124F8"/>
    <w:rsid w:val="00213979"/>
    <w:rsid w:val="002146C2"/>
    <w:rsid w:val="00214867"/>
    <w:rsid w:val="002152E3"/>
    <w:rsid w:val="0021538C"/>
    <w:rsid w:val="00215AC3"/>
    <w:rsid w:val="002164F7"/>
    <w:rsid w:val="00216FD1"/>
    <w:rsid w:val="00220ACF"/>
    <w:rsid w:val="002212A3"/>
    <w:rsid w:val="00224394"/>
    <w:rsid w:val="00224A59"/>
    <w:rsid w:val="00225EFF"/>
    <w:rsid w:val="002260E5"/>
    <w:rsid w:val="00230678"/>
    <w:rsid w:val="00230BFB"/>
    <w:rsid w:val="0023320E"/>
    <w:rsid w:val="00234348"/>
    <w:rsid w:val="0023505E"/>
    <w:rsid w:val="002355A2"/>
    <w:rsid w:val="00235A05"/>
    <w:rsid w:val="00235B0E"/>
    <w:rsid w:val="002403DE"/>
    <w:rsid w:val="00241125"/>
    <w:rsid w:val="00242707"/>
    <w:rsid w:val="00243345"/>
    <w:rsid w:val="00243422"/>
    <w:rsid w:val="00250241"/>
    <w:rsid w:val="002524FE"/>
    <w:rsid w:val="00252989"/>
    <w:rsid w:val="00253243"/>
    <w:rsid w:val="00254D1B"/>
    <w:rsid w:val="00254E11"/>
    <w:rsid w:val="002558A4"/>
    <w:rsid w:val="00260845"/>
    <w:rsid w:val="00262968"/>
    <w:rsid w:val="00262971"/>
    <w:rsid w:val="002678A5"/>
    <w:rsid w:val="00272482"/>
    <w:rsid w:val="00272713"/>
    <w:rsid w:val="00272B22"/>
    <w:rsid w:val="00273CEA"/>
    <w:rsid w:val="0027636A"/>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C02"/>
    <w:rsid w:val="00291052"/>
    <w:rsid w:val="00291089"/>
    <w:rsid w:val="00291D10"/>
    <w:rsid w:val="00292323"/>
    <w:rsid w:val="002927C2"/>
    <w:rsid w:val="002937E0"/>
    <w:rsid w:val="002969EF"/>
    <w:rsid w:val="00296C26"/>
    <w:rsid w:val="00296D0B"/>
    <w:rsid w:val="002973D0"/>
    <w:rsid w:val="002976F8"/>
    <w:rsid w:val="00297EC4"/>
    <w:rsid w:val="002A00DC"/>
    <w:rsid w:val="002A0540"/>
    <w:rsid w:val="002A2CF2"/>
    <w:rsid w:val="002A5B66"/>
    <w:rsid w:val="002A7993"/>
    <w:rsid w:val="002A7B40"/>
    <w:rsid w:val="002A7E25"/>
    <w:rsid w:val="002B0AA5"/>
    <w:rsid w:val="002B45A0"/>
    <w:rsid w:val="002B4D51"/>
    <w:rsid w:val="002B5035"/>
    <w:rsid w:val="002B6A9B"/>
    <w:rsid w:val="002B74C7"/>
    <w:rsid w:val="002C033C"/>
    <w:rsid w:val="002C1339"/>
    <w:rsid w:val="002C1815"/>
    <w:rsid w:val="002C4E9E"/>
    <w:rsid w:val="002C5045"/>
    <w:rsid w:val="002C65EF"/>
    <w:rsid w:val="002C6F30"/>
    <w:rsid w:val="002D04C9"/>
    <w:rsid w:val="002D1D59"/>
    <w:rsid w:val="002D1F90"/>
    <w:rsid w:val="002D2FC7"/>
    <w:rsid w:val="002D4156"/>
    <w:rsid w:val="002D46D2"/>
    <w:rsid w:val="002D572C"/>
    <w:rsid w:val="002D6463"/>
    <w:rsid w:val="002D76A8"/>
    <w:rsid w:val="002E28B6"/>
    <w:rsid w:val="002E3AF9"/>
    <w:rsid w:val="002E4AEA"/>
    <w:rsid w:val="002E5A46"/>
    <w:rsid w:val="002E7209"/>
    <w:rsid w:val="002E76CC"/>
    <w:rsid w:val="002F0018"/>
    <w:rsid w:val="002F0E88"/>
    <w:rsid w:val="002F130F"/>
    <w:rsid w:val="002F1ACA"/>
    <w:rsid w:val="002F292F"/>
    <w:rsid w:val="002F52A9"/>
    <w:rsid w:val="002F5AF5"/>
    <w:rsid w:val="002F6FF1"/>
    <w:rsid w:val="002F7A4A"/>
    <w:rsid w:val="0030042C"/>
    <w:rsid w:val="0030124D"/>
    <w:rsid w:val="00304458"/>
    <w:rsid w:val="00304A8B"/>
    <w:rsid w:val="003062CE"/>
    <w:rsid w:val="00310255"/>
    <w:rsid w:val="00310F57"/>
    <w:rsid w:val="00313888"/>
    <w:rsid w:val="00314ACB"/>
    <w:rsid w:val="00314EDA"/>
    <w:rsid w:val="00314F85"/>
    <w:rsid w:val="003155E8"/>
    <w:rsid w:val="0031577A"/>
    <w:rsid w:val="00315F37"/>
    <w:rsid w:val="0031680C"/>
    <w:rsid w:val="00320F0E"/>
    <w:rsid w:val="00324D61"/>
    <w:rsid w:val="00325033"/>
    <w:rsid w:val="00327418"/>
    <w:rsid w:val="00327654"/>
    <w:rsid w:val="00327A05"/>
    <w:rsid w:val="00327D50"/>
    <w:rsid w:val="00330314"/>
    <w:rsid w:val="003322DE"/>
    <w:rsid w:val="00332D2F"/>
    <w:rsid w:val="00334162"/>
    <w:rsid w:val="00334B1A"/>
    <w:rsid w:val="00336004"/>
    <w:rsid w:val="00336BB7"/>
    <w:rsid w:val="00336F65"/>
    <w:rsid w:val="003379A6"/>
    <w:rsid w:val="0034056D"/>
    <w:rsid w:val="003406C6"/>
    <w:rsid w:val="00341763"/>
    <w:rsid w:val="00341D9D"/>
    <w:rsid w:val="0034326C"/>
    <w:rsid w:val="00343F79"/>
    <w:rsid w:val="00350C51"/>
    <w:rsid w:val="0035139B"/>
    <w:rsid w:val="00351716"/>
    <w:rsid w:val="00352FB9"/>
    <w:rsid w:val="00353441"/>
    <w:rsid w:val="00354139"/>
    <w:rsid w:val="00355AFB"/>
    <w:rsid w:val="00356308"/>
    <w:rsid w:val="0035695A"/>
    <w:rsid w:val="00357681"/>
    <w:rsid w:val="003611A9"/>
    <w:rsid w:val="00361312"/>
    <w:rsid w:val="00362D78"/>
    <w:rsid w:val="00363373"/>
    <w:rsid w:val="00364145"/>
    <w:rsid w:val="003642A8"/>
    <w:rsid w:val="00365FA6"/>
    <w:rsid w:val="003663A5"/>
    <w:rsid w:val="00366AC3"/>
    <w:rsid w:val="00366D44"/>
    <w:rsid w:val="00367042"/>
    <w:rsid w:val="00370286"/>
    <w:rsid w:val="00370FE4"/>
    <w:rsid w:val="00371AE2"/>
    <w:rsid w:val="003722FB"/>
    <w:rsid w:val="00373719"/>
    <w:rsid w:val="003757F6"/>
    <w:rsid w:val="00376582"/>
    <w:rsid w:val="00376D88"/>
    <w:rsid w:val="0038006F"/>
    <w:rsid w:val="003806EF"/>
    <w:rsid w:val="0038175B"/>
    <w:rsid w:val="0038495F"/>
    <w:rsid w:val="00385DEE"/>
    <w:rsid w:val="00386197"/>
    <w:rsid w:val="003861DA"/>
    <w:rsid w:val="00386F67"/>
    <w:rsid w:val="003872DE"/>
    <w:rsid w:val="003872E4"/>
    <w:rsid w:val="00390507"/>
    <w:rsid w:val="003906A9"/>
    <w:rsid w:val="00392096"/>
    <w:rsid w:val="003926B2"/>
    <w:rsid w:val="0039356E"/>
    <w:rsid w:val="0039470A"/>
    <w:rsid w:val="003955C3"/>
    <w:rsid w:val="00395C7F"/>
    <w:rsid w:val="00397312"/>
    <w:rsid w:val="003978C5"/>
    <w:rsid w:val="003A016A"/>
    <w:rsid w:val="003A2771"/>
    <w:rsid w:val="003A4049"/>
    <w:rsid w:val="003A5F94"/>
    <w:rsid w:val="003A61DE"/>
    <w:rsid w:val="003B1AB3"/>
    <w:rsid w:val="003B1D58"/>
    <w:rsid w:val="003B2F8A"/>
    <w:rsid w:val="003B3A4C"/>
    <w:rsid w:val="003B41A5"/>
    <w:rsid w:val="003B59B6"/>
    <w:rsid w:val="003B7580"/>
    <w:rsid w:val="003C0D0C"/>
    <w:rsid w:val="003C15A6"/>
    <w:rsid w:val="003C1DD0"/>
    <w:rsid w:val="003C2D4B"/>
    <w:rsid w:val="003C3FE5"/>
    <w:rsid w:val="003C6EBC"/>
    <w:rsid w:val="003C72FE"/>
    <w:rsid w:val="003D47DC"/>
    <w:rsid w:val="003D4B4E"/>
    <w:rsid w:val="003D4F73"/>
    <w:rsid w:val="003D4FAC"/>
    <w:rsid w:val="003D58A3"/>
    <w:rsid w:val="003E0484"/>
    <w:rsid w:val="003E19D7"/>
    <w:rsid w:val="003E4632"/>
    <w:rsid w:val="003E4B90"/>
    <w:rsid w:val="003E68B1"/>
    <w:rsid w:val="003E6E84"/>
    <w:rsid w:val="003F0751"/>
    <w:rsid w:val="003F17E2"/>
    <w:rsid w:val="003F23DF"/>
    <w:rsid w:val="003F439A"/>
    <w:rsid w:val="003F439E"/>
    <w:rsid w:val="003F531A"/>
    <w:rsid w:val="003F587D"/>
    <w:rsid w:val="003F6422"/>
    <w:rsid w:val="003F7408"/>
    <w:rsid w:val="003F79C1"/>
    <w:rsid w:val="003F7B19"/>
    <w:rsid w:val="003F7CD9"/>
    <w:rsid w:val="00402688"/>
    <w:rsid w:val="00403111"/>
    <w:rsid w:val="00404049"/>
    <w:rsid w:val="00404085"/>
    <w:rsid w:val="0040436A"/>
    <w:rsid w:val="0041039D"/>
    <w:rsid w:val="00412E80"/>
    <w:rsid w:val="00413785"/>
    <w:rsid w:val="004139B8"/>
    <w:rsid w:val="0041662A"/>
    <w:rsid w:val="00416866"/>
    <w:rsid w:val="00417229"/>
    <w:rsid w:val="00417463"/>
    <w:rsid w:val="00417F1A"/>
    <w:rsid w:val="00420BE8"/>
    <w:rsid w:val="00421639"/>
    <w:rsid w:val="004222B0"/>
    <w:rsid w:val="004228FE"/>
    <w:rsid w:val="00422F22"/>
    <w:rsid w:val="004246F7"/>
    <w:rsid w:val="00424AD9"/>
    <w:rsid w:val="00426C31"/>
    <w:rsid w:val="004279DF"/>
    <w:rsid w:val="00427A84"/>
    <w:rsid w:val="004325B9"/>
    <w:rsid w:val="0043424C"/>
    <w:rsid w:val="00435C8C"/>
    <w:rsid w:val="00436619"/>
    <w:rsid w:val="00436C60"/>
    <w:rsid w:val="00440320"/>
    <w:rsid w:val="004427E2"/>
    <w:rsid w:val="004442FC"/>
    <w:rsid w:val="00444F17"/>
    <w:rsid w:val="00445418"/>
    <w:rsid w:val="004461AB"/>
    <w:rsid w:val="00447A5D"/>
    <w:rsid w:val="00451411"/>
    <w:rsid w:val="00452D3E"/>
    <w:rsid w:val="00453433"/>
    <w:rsid w:val="00454653"/>
    <w:rsid w:val="004551CA"/>
    <w:rsid w:val="00456000"/>
    <w:rsid w:val="0045737B"/>
    <w:rsid w:val="004602E3"/>
    <w:rsid w:val="0046047A"/>
    <w:rsid w:val="00460DC6"/>
    <w:rsid w:val="004618FF"/>
    <w:rsid w:val="00461DD8"/>
    <w:rsid w:val="0046250C"/>
    <w:rsid w:val="00465927"/>
    <w:rsid w:val="00465AC2"/>
    <w:rsid w:val="00471976"/>
    <w:rsid w:val="00471C09"/>
    <w:rsid w:val="00471C78"/>
    <w:rsid w:val="00473F49"/>
    <w:rsid w:val="00474396"/>
    <w:rsid w:val="00474A39"/>
    <w:rsid w:val="00475344"/>
    <w:rsid w:val="00476212"/>
    <w:rsid w:val="004762AA"/>
    <w:rsid w:val="00476D4B"/>
    <w:rsid w:val="00477252"/>
    <w:rsid w:val="004778BE"/>
    <w:rsid w:val="004815D2"/>
    <w:rsid w:val="004815E5"/>
    <w:rsid w:val="00481BA3"/>
    <w:rsid w:val="004829A7"/>
    <w:rsid w:val="004829AA"/>
    <w:rsid w:val="00482DC5"/>
    <w:rsid w:val="00484265"/>
    <w:rsid w:val="0048443B"/>
    <w:rsid w:val="004845CD"/>
    <w:rsid w:val="00487E72"/>
    <w:rsid w:val="00491461"/>
    <w:rsid w:val="00493A0B"/>
    <w:rsid w:val="004949C1"/>
    <w:rsid w:val="00494F57"/>
    <w:rsid w:val="0049662C"/>
    <w:rsid w:val="00496E17"/>
    <w:rsid w:val="004A279A"/>
    <w:rsid w:val="004A4CD1"/>
    <w:rsid w:val="004A5018"/>
    <w:rsid w:val="004A5CBB"/>
    <w:rsid w:val="004A5EDD"/>
    <w:rsid w:val="004A640A"/>
    <w:rsid w:val="004A6679"/>
    <w:rsid w:val="004A6CD9"/>
    <w:rsid w:val="004A6EAE"/>
    <w:rsid w:val="004A6F39"/>
    <w:rsid w:val="004A75CD"/>
    <w:rsid w:val="004B00E8"/>
    <w:rsid w:val="004B11F5"/>
    <w:rsid w:val="004B19B3"/>
    <w:rsid w:val="004B1FA5"/>
    <w:rsid w:val="004B2DEF"/>
    <w:rsid w:val="004B3527"/>
    <w:rsid w:val="004B43E2"/>
    <w:rsid w:val="004B48FD"/>
    <w:rsid w:val="004B53DC"/>
    <w:rsid w:val="004B5E21"/>
    <w:rsid w:val="004B6C9F"/>
    <w:rsid w:val="004B6DC5"/>
    <w:rsid w:val="004B70AA"/>
    <w:rsid w:val="004B7819"/>
    <w:rsid w:val="004B7D08"/>
    <w:rsid w:val="004C03A3"/>
    <w:rsid w:val="004C0C62"/>
    <w:rsid w:val="004C2784"/>
    <w:rsid w:val="004C4D60"/>
    <w:rsid w:val="004C7092"/>
    <w:rsid w:val="004C73B9"/>
    <w:rsid w:val="004D02EF"/>
    <w:rsid w:val="004D1994"/>
    <w:rsid w:val="004D2196"/>
    <w:rsid w:val="004D2D50"/>
    <w:rsid w:val="004D345C"/>
    <w:rsid w:val="004D3A8E"/>
    <w:rsid w:val="004D5028"/>
    <w:rsid w:val="004D5A9E"/>
    <w:rsid w:val="004D5B04"/>
    <w:rsid w:val="004D6136"/>
    <w:rsid w:val="004D63BF"/>
    <w:rsid w:val="004D6B99"/>
    <w:rsid w:val="004D794D"/>
    <w:rsid w:val="004E09E5"/>
    <w:rsid w:val="004E2009"/>
    <w:rsid w:val="004E52CA"/>
    <w:rsid w:val="004E66C6"/>
    <w:rsid w:val="004E6CF9"/>
    <w:rsid w:val="004F00F1"/>
    <w:rsid w:val="004F06B9"/>
    <w:rsid w:val="004F0D66"/>
    <w:rsid w:val="004F1819"/>
    <w:rsid w:val="004F20A3"/>
    <w:rsid w:val="004F3AD2"/>
    <w:rsid w:val="004F49E2"/>
    <w:rsid w:val="004F5129"/>
    <w:rsid w:val="004F61E7"/>
    <w:rsid w:val="004F6A1D"/>
    <w:rsid w:val="004F7261"/>
    <w:rsid w:val="004F7A93"/>
    <w:rsid w:val="00500741"/>
    <w:rsid w:val="005009A2"/>
    <w:rsid w:val="00502261"/>
    <w:rsid w:val="005035ED"/>
    <w:rsid w:val="00504010"/>
    <w:rsid w:val="00504CD6"/>
    <w:rsid w:val="00505187"/>
    <w:rsid w:val="005052C1"/>
    <w:rsid w:val="0050535C"/>
    <w:rsid w:val="00505552"/>
    <w:rsid w:val="005068D6"/>
    <w:rsid w:val="005110B7"/>
    <w:rsid w:val="005122CC"/>
    <w:rsid w:val="00512548"/>
    <w:rsid w:val="00512F24"/>
    <w:rsid w:val="0051364D"/>
    <w:rsid w:val="0051391B"/>
    <w:rsid w:val="00514CCA"/>
    <w:rsid w:val="00516632"/>
    <w:rsid w:val="00516DC6"/>
    <w:rsid w:val="0051708F"/>
    <w:rsid w:val="0051720B"/>
    <w:rsid w:val="005202B4"/>
    <w:rsid w:val="005211CF"/>
    <w:rsid w:val="00521510"/>
    <w:rsid w:val="00521A25"/>
    <w:rsid w:val="005236F2"/>
    <w:rsid w:val="00523AA5"/>
    <w:rsid w:val="00524D51"/>
    <w:rsid w:val="0052696B"/>
    <w:rsid w:val="00527018"/>
    <w:rsid w:val="0052768C"/>
    <w:rsid w:val="005312F8"/>
    <w:rsid w:val="005316C3"/>
    <w:rsid w:val="0053182F"/>
    <w:rsid w:val="00531E64"/>
    <w:rsid w:val="00531FFB"/>
    <w:rsid w:val="00532062"/>
    <w:rsid w:val="00533A31"/>
    <w:rsid w:val="0053436B"/>
    <w:rsid w:val="00535830"/>
    <w:rsid w:val="0053610A"/>
    <w:rsid w:val="005364DE"/>
    <w:rsid w:val="00536808"/>
    <w:rsid w:val="00536839"/>
    <w:rsid w:val="00536ACE"/>
    <w:rsid w:val="005371B9"/>
    <w:rsid w:val="00537A1C"/>
    <w:rsid w:val="0054082D"/>
    <w:rsid w:val="00541B52"/>
    <w:rsid w:val="005421CA"/>
    <w:rsid w:val="005427C1"/>
    <w:rsid w:val="005434E1"/>
    <w:rsid w:val="00543F59"/>
    <w:rsid w:val="00545E0D"/>
    <w:rsid w:val="00547BE6"/>
    <w:rsid w:val="005513D2"/>
    <w:rsid w:val="005520A6"/>
    <w:rsid w:val="00554122"/>
    <w:rsid w:val="00554C1E"/>
    <w:rsid w:val="00555999"/>
    <w:rsid w:val="00557066"/>
    <w:rsid w:val="00557C4D"/>
    <w:rsid w:val="00557D91"/>
    <w:rsid w:val="00560F73"/>
    <w:rsid w:val="00561CAC"/>
    <w:rsid w:val="0056289D"/>
    <w:rsid w:val="00563278"/>
    <w:rsid w:val="0056340A"/>
    <w:rsid w:val="005642B6"/>
    <w:rsid w:val="00564EA7"/>
    <w:rsid w:val="00565AA8"/>
    <w:rsid w:val="005663EA"/>
    <w:rsid w:val="00566ED8"/>
    <w:rsid w:val="005705E2"/>
    <w:rsid w:val="0057267E"/>
    <w:rsid w:val="00573449"/>
    <w:rsid w:val="00573B2F"/>
    <w:rsid w:val="00573DC6"/>
    <w:rsid w:val="005742B9"/>
    <w:rsid w:val="005762B2"/>
    <w:rsid w:val="00576ED6"/>
    <w:rsid w:val="00577348"/>
    <w:rsid w:val="00577737"/>
    <w:rsid w:val="00581839"/>
    <w:rsid w:val="00581D8A"/>
    <w:rsid w:val="00581DAD"/>
    <w:rsid w:val="005844D8"/>
    <w:rsid w:val="00586568"/>
    <w:rsid w:val="00587228"/>
    <w:rsid w:val="0058750D"/>
    <w:rsid w:val="00587B81"/>
    <w:rsid w:val="00587C5C"/>
    <w:rsid w:val="00587EB4"/>
    <w:rsid w:val="005904D2"/>
    <w:rsid w:val="005918CA"/>
    <w:rsid w:val="00594BD5"/>
    <w:rsid w:val="00596270"/>
    <w:rsid w:val="00596694"/>
    <w:rsid w:val="00597DBA"/>
    <w:rsid w:val="005A29A7"/>
    <w:rsid w:val="005A312A"/>
    <w:rsid w:val="005A4EA6"/>
    <w:rsid w:val="005A549A"/>
    <w:rsid w:val="005A5EDF"/>
    <w:rsid w:val="005A5F19"/>
    <w:rsid w:val="005A7071"/>
    <w:rsid w:val="005B188B"/>
    <w:rsid w:val="005B3B4A"/>
    <w:rsid w:val="005B470E"/>
    <w:rsid w:val="005B48E1"/>
    <w:rsid w:val="005B5951"/>
    <w:rsid w:val="005B5C4C"/>
    <w:rsid w:val="005B6A9E"/>
    <w:rsid w:val="005B790E"/>
    <w:rsid w:val="005B7B85"/>
    <w:rsid w:val="005C04D2"/>
    <w:rsid w:val="005C0A07"/>
    <w:rsid w:val="005C1DBC"/>
    <w:rsid w:val="005C3A7C"/>
    <w:rsid w:val="005C5B23"/>
    <w:rsid w:val="005C6F11"/>
    <w:rsid w:val="005D0175"/>
    <w:rsid w:val="005D0FAA"/>
    <w:rsid w:val="005D1F15"/>
    <w:rsid w:val="005D22B8"/>
    <w:rsid w:val="005D2FD7"/>
    <w:rsid w:val="005D304C"/>
    <w:rsid w:val="005D4B83"/>
    <w:rsid w:val="005D559C"/>
    <w:rsid w:val="005D5836"/>
    <w:rsid w:val="005D5C84"/>
    <w:rsid w:val="005D69D5"/>
    <w:rsid w:val="005E26BE"/>
    <w:rsid w:val="005E4295"/>
    <w:rsid w:val="005E45A1"/>
    <w:rsid w:val="005E5895"/>
    <w:rsid w:val="005E6E80"/>
    <w:rsid w:val="005E7A75"/>
    <w:rsid w:val="005F12D6"/>
    <w:rsid w:val="005F1C57"/>
    <w:rsid w:val="005F2358"/>
    <w:rsid w:val="005F24F6"/>
    <w:rsid w:val="005F4351"/>
    <w:rsid w:val="005F508B"/>
    <w:rsid w:val="005F62A0"/>
    <w:rsid w:val="005F7724"/>
    <w:rsid w:val="006006E5"/>
    <w:rsid w:val="00601419"/>
    <w:rsid w:val="006062DE"/>
    <w:rsid w:val="00606336"/>
    <w:rsid w:val="00607345"/>
    <w:rsid w:val="006101E0"/>
    <w:rsid w:val="006103AD"/>
    <w:rsid w:val="006106CF"/>
    <w:rsid w:val="0061198B"/>
    <w:rsid w:val="00616F9E"/>
    <w:rsid w:val="006202C1"/>
    <w:rsid w:val="006206F2"/>
    <w:rsid w:val="00621A69"/>
    <w:rsid w:val="00621A6A"/>
    <w:rsid w:val="00623AFD"/>
    <w:rsid w:val="0062459B"/>
    <w:rsid w:val="00625193"/>
    <w:rsid w:val="00625BF9"/>
    <w:rsid w:val="00625C83"/>
    <w:rsid w:val="006267F5"/>
    <w:rsid w:val="00630F2F"/>
    <w:rsid w:val="0063186E"/>
    <w:rsid w:val="0063246E"/>
    <w:rsid w:val="0063441A"/>
    <w:rsid w:val="00635F27"/>
    <w:rsid w:val="00636303"/>
    <w:rsid w:val="006373A6"/>
    <w:rsid w:val="006415D4"/>
    <w:rsid w:val="00641DCF"/>
    <w:rsid w:val="00642772"/>
    <w:rsid w:val="00643A0E"/>
    <w:rsid w:val="00644725"/>
    <w:rsid w:val="00644EC8"/>
    <w:rsid w:val="00645D70"/>
    <w:rsid w:val="00651721"/>
    <w:rsid w:val="00653C0D"/>
    <w:rsid w:val="00653DFE"/>
    <w:rsid w:val="00654A36"/>
    <w:rsid w:val="006558A7"/>
    <w:rsid w:val="006562E5"/>
    <w:rsid w:val="00656AFD"/>
    <w:rsid w:val="00657744"/>
    <w:rsid w:val="0066004A"/>
    <w:rsid w:val="006618CE"/>
    <w:rsid w:val="006626EB"/>
    <w:rsid w:val="00662ABE"/>
    <w:rsid w:val="0066312A"/>
    <w:rsid w:val="0066383E"/>
    <w:rsid w:val="00664170"/>
    <w:rsid w:val="00664528"/>
    <w:rsid w:val="0066491C"/>
    <w:rsid w:val="006658A9"/>
    <w:rsid w:val="006660F0"/>
    <w:rsid w:val="00666E4D"/>
    <w:rsid w:val="00670007"/>
    <w:rsid w:val="0067065A"/>
    <w:rsid w:val="00674DBD"/>
    <w:rsid w:val="006803AA"/>
    <w:rsid w:val="00680871"/>
    <w:rsid w:val="00683F1D"/>
    <w:rsid w:val="006841A4"/>
    <w:rsid w:val="0068515F"/>
    <w:rsid w:val="00685249"/>
    <w:rsid w:val="006852FF"/>
    <w:rsid w:val="006864E9"/>
    <w:rsid w:val="00687A40"/>
    <w:rsid w:val="00691439"/>
    <w:rsid w:val="0069164A"/>
    <w:rsid w:val="006917BB"/>
    <w:rsid w:val="00693F01"/>
    <w:rsid w:val="00694282"/>
    <w:rsid w:val="00696A5C"/>
    <w:rsid w:val="00696C45"/>
    <w:rsid w:val="006A043E"/>
    <w:rsid w:val="006A1A67"/>
    <w:rsid w:val="006A1BF9"/>
    <w:rsid w:val="006A236F"/>
    <w:rsid w:val="006A2EB1"/>
    <w:rsid w:val="006A2F32"/>
    <w:rsid w:val="006A3E39"/>
    <w:rsid w:val="006A51E6"/>
    <w:rsid w:val="006B1C33"/>
    <w:rsid w:val="006B1E94"/>
    <w:rsid w:val="006B4727"/>
    <w:rsid w:val="006B55FA"/>
    <w:rsid w:val="006B5F75"/>
    <w:rsid w:val="006C01FA"/>
    <w:rsid w:val="006C051E"/>
    <w:rsid w:val="006C2B6F"/>
    <w:rsid w:val="006C4D28"/>
    <w:rsid w:val="006C4F4C"/>
    <w:rsid w:val="006C5339"/>
    <w:rsid w:val="006C536F"/>
    <w:rsid w:val="006C540B"/>
    <w:rsid w:val="006C728A"/>
    <w:rsid w:val="006D29E0"/>
    <w:rsid w:val="006D30E9"/>
    <w:rsid w:val="006D3F73"/>
    <w:rsid w:val="006D4588"/>
    <w:rsid w:val="006D4728"/>
    <w:rsid w:val="006D4C83"/>
    <w:rsid w:val="006D7DD2"/>
    <w:rsid w:val="006E045C"/>
    <w:rsid w:val="006E1783"/>
    <w:rsid w:val="006E17A7"/>
    <w:rsid w:val="006E23F3"/>
    <w:rsid w:val="006E29A6"/>
    <w:rsid w:val="006E375F"/>
    <w:rsid w:val="006E3B39"/>
    <w:rsid w:val="006E6154"/>
    <w:rsid w:val="006F0383"/>
    <w:rsid w:val="006F0B23"/>
    <w:rsid w:val="006F1C7F"/>
    <w:rsid w:val="006F55D8"/>
    <w:rsid w:val="006F5AAF"/>
    <w:rsid w:val="006F6224"/>
    <w:rsid w:val="006F72B6"/>
    <w:rsid w:val="00700D02"/>
    <w:rsid w:val="007025E3"/>
    <w:rsid w:val="00703307"/>
    <w:rsid w:val="00703A68"/>
    <w:rsid w:val="00704FA9"/>
    <w:rsid w:val="00705F60"/>
    <w:rsid w:val="0071149E"/>
    <w:rsid w:val="00712BBA"/>
    <w:rsid w:val="00713364"/>
    <w:rsid w:val="00713554"/>
    <w:rsid w:val="00713B2B"/>
    <w:rsid w:val="007159C4"/>
    <w:rsid w:val="00715E24"/>
    <w:rsid w:val="0071651B"/>
    <w:rsid w:val="007175FF"/>
    <w:rsid w:val="007178DD"/>
    <w:rsid w:val="007200AE"/>
    <w:rsid w:val="0072073F"/>
    <w:rsid w:val="00720D52"/>
    <w:rsid w:val="00721B66"/>
    <w:rsid w:val="00723000"/>
    <w:rsid w:val="00723853"/>
    <w:rsid w:val="00723AAA"/>
    <w:rsid w:val="00724BC9"/>
    <w:rsid w:val="00727816"/>
    <w:rsid w:val="00731919"/>
    <w:rsid w:val="00731B26"/>
    <w:rsid w:val="00731C4A"/>
    <w:rsid w:val="0073236A"/>
    <w:rsid w:val="00732CAC"/>
    <w:rsid w:val="00734172"/>
    <w:rsid w:val="00735199"/>
    <w:rsid w:val="00737866"/>
    <w:rsid w:val="00737BD4"/>
    <w:rsid w:val="0074103A"/>
    <w:rsid w:val="0074147A"/>
    <w:rsid w:val="007417B2"/>
    <w:rsid w:val="00742678"/>
    <w:rsid w:val="00743168"/>
    <w:rsid w:val="00744B92"/>
    <w:rsid w:val="0074640A"/>
    <w:rsid w:val="00746659"/>
    <w:rsid w:val="007472AC"/>
    <w:rsid w:val="00751E51"/>
    <w:rsid w:val="00752D75"/>
    <w:rsid w:val="00752F91"/>
    <w:rsid w:val="00755E63"/>
    <w:rsid w:val="00756248"/>
    <w:rsid w:val="007571D1"/>
    <w:rsid w:val="007571FD"/>
    <w:rsid w:val="00757793"/>
    <w:rsid w:val="00757F5D"/>
    <w:rsid w:val="00764342"/>
    <w:rsid w:val="00765877"/>
    <w:rsid w:val="00772554"/>
    <w:rsid w:val="007757DD"/>
    <w:rsid w:val="00775C78"/>
    <w:rsid w:val="0077770B"/>
    <w:rsid w:val="0078069E"/>
    <w:rsid w:val="007810F0"/>
    <w:rsid w:val="00781D99"/>
    <w:rsid w:val="00782C6A"/>
    <w:rsid w:val="00784E94"/>
    <w:rsid w:val="00785D04"/>
    <w:rsid w:val="00786650"/>
    <w:rsid w:val="0078786D"/>
    <w:rsid w:val="00791A24"/>
    <w:rsid w:val="007946C3"/>
    <w:rsid w:val="007956E9"/>
    <w:rsid w:val="007A00F1"/>
    <w:rsid w:val="007A0623"/>
    <w:rsid w:val="007A19A2"/>
    <w:rsid w:val="007A2AD5"/>
    <w:rsid w:val="007A382B"/>
    <w:rsid w:val="007A452D"/>
    <w:rsid w:val="007A4530"/>
    <w:rsid w:val="007A4620"/>
    <w:rsid w:val="007A4DB1"/>
    <w:rsid w:val="007A4DE4"/>
    <w:rsid w:val="007A5B6C"/>
    <w:rsid w:val="007A6DBA"/>
    <w:rsid w:val="007A7151"/>
    <w:rsid w:val="007A79B8"/>
    <w:rsid w:val="007B0DBD"/>
    <w:rsid w:val="007B0FD1"/>
    <w:rsid w:val="007B1064"/>
    <w:rsid w:val="007B11B5"/>
    <w:rsid w:val="007B1BBA"/>
    <w:rsid w:val="007B2F1C"/>
    <w:rsid w:val="007B3159"/>
    <w:rsid w:val="007B3833"/>
    <w:rsid w:val="007B4D22"/>
    <w:rsid w:val="007B5653"/>
    <w:rsid w:val="007B6635"/>
    <w:rsid w:val="007B6C6C"/>
    <w:rsid w:val="007B76FB"/>
    <w:rsid w:val="007C06F7"/>
    <w:rsid w:val="007C1756"/>
    <w:rsid w:val="007C2A38"/>
    <w:rsid w:val="007C3AF2"/>
    <w:rsid w:val="007C5359"/>
    <w:rsid w:val="007C565B"/>
    <w:rsid w:val="007C5B17"/>
    <w:rsid w:val="007C72B5"/>
    <w:rsid w:val="007D2CC6"/>
    <w:rsid w:val="007D4A8D"/>
    <w:rsid w:val="007D52F6"/>
    <w:rsid w:val="007D5A62"/>
    <w:rsid w:val="007D6190"/>
    <w:rsid w:val="007D6E24"/>
    <w:rsid w:val="007D759B"/>
    <w:rsid w:val="007E05C5"/>
    <w:rsid w:val="007E0C21"/>
    <w:rsid w:val="007E1DB8"/>
    <w:rsid w:val="007E20D4"/>
    <w:rsid w:val="007E2ABF"/>
    <w:rsid w:val="007E4094"/>
    <w:rsid w:val="007E430E"/>
    <w:rsid w:val="007E48DA"/>
    <w:rsid w:val="007E61EA"/>
    <w:rsid w:val="007E714B"/>
    <w:rsid w:val="007E7198"/>
    <w:rsid w:val="007F115A"/>
    <w:rsid w:val="007F239E"/>
    <w:rsid w:val="007F37C8"/>
    <w:rsid w:val="007F5956"/>
    <w:rsid w:val="007F5FB6"/>
    <w:rsid w:val="007F6477"/>
    <w:rsid w:val="007F7D7F"/>
    <w:rsid w:val="007F7E45"/>
    <w:rsid w:val="0080420F"/>
    <w:rsid w:val="00807FD1"/>
    <w:rsid w:val="00810945"/>
    <w:rsid w:val="00811097"/>
    <w:rsid w:val="0081180E"/>
    <w:rsid w:val="00812015"/>
    <w:rsid w:val="0081247B"/>
    <w:rsid w:val="008139D4"/>
    <w:rsid w:val="00814A52"/>
    <w:rsid w:val="00814FDD"/>
    <w:rsid w:val="0081518E"/>
    <w:rsid w:val="00815998"/>
    <w:rsid w:val="008169C8"/>
    <w:rsid w:val="008203DD"/>
    <w:rsid w:val="0082048B"/>
    <w:rsid w:val="008214D2"/>
    <w:rsid w:val="008236AB"/>
    <w:rsid w:val="0082418E"/>
    <w:rsid w:val="00824DDE"/>
    <w:rsid w:val="00826EB3"/>
    <w:rsid w:val="00827141"/>
    <w:rsid w:val="00827C9D"/>
    <w:rsid w:val="00830C89"/>
    <w:rsid w:val="00831129"/>
    <w:rsid w:val="008334C1"/>
    <w:rsid w:val="00833EA6"/>
    <w:rsid w:val="00833F3E"/>
    <w:rsid w:val="00834DE0"/>
    <w:rsid w:val="00834F93"/>
    <w:rsid w:val="00835E08"/>
    <w:rsid w:val="00840B3D"/>
    <w:rsid w:val="008413F6"/>
    <w:rsid w:val="00841487"/>
    <w:rsid w:val="008418FB"/>
    <w:rsid w:val="0084215B"/>
    <w:rsid w:val="0084272C"/>
    <w:rsid w:val="008462B1"/>
    <w:rsid w:val="00850718"/>
    <w:rsid w:val="0085177C"/>
    <w:rsid w:val="00852E94"/>
    <w:rsid w:val="00853877"/>
    <w:rsid w:val="00853DE9"/>
    <w:rsid w:val="00854C9E"/>
    <w:rsid w:val="008576CE"/>
    <w:rsid w:val="008603A2"/>
    <w:rsid w:val="0086121A"/>
    <w:rsid w:val="00862AF3"/>
    <w:rsid w:val="00862C27"/>
    <w:rsid w:val="0086369F"/>
    <w:rsid w:val="00864F28"/>
    <w:rsid w:val="00865B2F"/>
    <w:rsid w:val="00865B59"/>
    <w:rsid w:val="00866185"/>
    <w:rsid w:val="00866D87"/>
    <w:rsid w:val="00867113"/>
    <w:rsid w:val="00867450"/>
    <w:rsid w:val="00867F34"/>
    <w:rsid w:val="00870BB9"/>
    <w:rsid w:val="00870C48"/>
    <w:rsid w:val="00871903"/>
    <w:rsid w:val="008755A6"/>
    <w:rsid w:val="008759E1"/>
    <w:rsid w:val="00876147"/>
    <w:rsid w:val="00876458"/>
    <w:rsid w:val="00877E4B"/>
    <w:rsid w:val="0088047D"/>
    <w:rsid w:val="00881138"/>
    <w:rsid w:val="00886377"/>
    <w:rsid w:val="00887D35"/>
    <w:rsid w:val="00887F36"/>
    <w:rsid w:val="008901BE"/>
    <w:rsid w:val="0089106F"/>
    <w:rsid w:val="0089184A"/>
    <w:rsid w:val="0089235A"/>
    <w:rsid w:val="008925B4"/>
    <w:rsid w:val="008946F9"/>
    <w:rsid w:val="00894AB2"/>
    <w:rsid w:val="00897B9D"/>
    <w:rsid w:val="008A066B"/>
    <w:rsid w:val="008A0C2A"/>
    <w:rsid w:val="008A0C33"/>
    <w:rsid w:val="008A118F"/>
    <w:rsid w:val="008A1FC2"/>
    <w:rsid w:val="008A420D"/>
    <w:rsid w:val="008A54BD"/>
    <w:rsid w:val="008A56C1"/>
    <w:rsid w:val="008A57F4"/>
    <w:rsid w:val="008A5EE6"/>
    <w:rsid w:val="008A7D95"/>
    <w:rsid w:val="008B0836"/>
    <w:rsid w:val="008B1F7A"/>
    <w:rsid w:val="008B2492"/>
    <w:rsid w:val="008B287B"/>
    <w:rsid w:val="008B3570"/>
    <w:rsid w:val="008B36BD"/>
    <w:rsid w:val="008B4325"/>
    <w:rsid w:val="008B7453"/>
    <w:rsid w:val="008C0B0A"/>
    <w:rsid w:val="008C2059"/>
    <w:rsid w:val="008C233B"/>
    <w:rsid w:val="008C2CF4"/>
    <w:rsid w:val="008C3AB2"/>
    <w:rsid w:val="008C587E"/>
    <w:rsid w:val="008C5F36"/>
    <w:rsid w:val="008C7A6F"/>
    <w:rsid w:val="008D36B2"/>
    <w:rsid w:val="008D37B6"/>
    <w:rsid w:val="008D3C76"/>
    <w:rsid w:val="008D40D3"/>
    <w:rsid w:val="008D6718"/>
    <w:rsid w:val="008D728A"/>
    <w:rsid w:val="008D770F"/>
    <w:rsid w:val="008E2C03"/>
    <w:rsid w:val="008E3441"/>
    <w:rsid w:val="008E347B"/>
    <w:rsid w:val="008E3547"/>
    <w:rsid w:val="008E375F"/>
    <w:rsid w:val="008E37B0"/>
    <w:rsid w:val="008E5056"/>
    <w:rsid w:val="008E5406"/>
    <w:rsid w:val="008E6EAD"/>
    <w:rsid w:val="008F07AB"/>
    <w:rsid w:val="008F1306"/>
    <w:rsid w:val="008F1D3F"/>
    <w:rsid w:val="008F1F24"/>
    <w:rsid w:val="008F24BA"/>
    <w:rsid w:val="008F25C1"/>
    <w:rsid w:val="008F3227"/>
    <w:rsid w:val="008F3BE8"/>
    <w:rsid w:val="008F3D3D"/>
    <w:rsid w:val="008F5D22"/>
    <w:rsid w:val="008F6048"/>
    <w:rsid w:val="008F6CAE"/>
    <w:rsid w:val="00900761"/>
    <w:rsid w:val="0090184D"/>
    <w:rsid w:val="00902C04"/>
    <w:rsid w:val="009040D8"/>
    <w:rsid w:val="00905772"/>
    <w:rsid w:val="00905DB0"/>
    <w:rsid w:val="009068EB"/>
    <w:rsid w:val="00906F8C"/>
    <w:rsid w:val="00910E7A"/>
    <w:rsid w:val="00912AF7"/>
    <w:rsid w:val="00914209"/>
    <w:rsid w:val="00914621"/>
    <w:rsid w:val="00916A3E"/>
    <w:rsid w:val="00916F30"/>
    <w:rsid w:val="0091724A"/>
    <w:rsid w:val="009176E1"/>
    <w:rsid w:val="009218FB"/>
    <w:rsid w:val="00922B59"/>
    <w:rsid w:val="0092311E"/>
    <w:rsid w:val="00924395"/>
    <w:rsid w:val="009243B4"/>
    <w:rsid w:val="0092515B"/>
    <w:rsid w:val="00925774"/>
    <w:rsid w:val="00925955"/>
    <w:rsid w:val="00926ED9"/>
    <w:rsid w:val="009275A5"/>
    <w:rsid w:val="0092765D"/>
    <w:rsid w:val="0093136F"/>
    <w:rsid w:val="0093161D"/>
    <w:rsid w:val="00932984"/>
    <w:rsid w:val="00932FCD"/>
    <w:rsid w:val="00933BEE"/>
    <w:rsid w:val="009340A5"/>
    <w:rsid w:val="009343B9"/>
    <w:rsid w:val="00935C21"/>
    <w:rsid w:val="00935CA4"/>
    <w:rsid w:val="00935DCD"/>
    <w:rsid w:val="00936CF5"/>
    <w:rsid w:val="0093744E"/>
    <w:rsid w:val="0094034C"/>
    <w:rsid w:val="00940626"/>
    <w:rsid w:val="0094116F"/>
    <w:rsid w:val="009417B7"/>
    <w:rsid w:val="00941930"/>
    <w:rsid w:val="0094325B"/>
    <w:rsid w:val="00943FD2"/>
    <w:rsid w:val="00944CAD"/>
    <w:rsid w:val="00944E05"/>
    <w:rsid w:val="00945709"/>
    <w:rsid w:val="00945BDA"/>
    <w:rsid w:val="0095106D"/>
    <w:rsid w:val="00951E65"/>
    <w:rsid w:val="0095431C"/>
    <w:rsid w:val="009543E8"/>
    <w:rsid w:val="009565F2"/>
    <w:rsid w:val="009605B6"/>
    <w:rsid w:val="00961F08"/>
    <w:rsid w:val="00962362"/>
    <w:rsid w:val="00962836"/>
    <w:rsid w:val="009642D0"/>
    <w:rsid w:val="009653E7"/>
    <w:rsid w:val="00965BAF"/>
    <w:rsid w:val="009666E3"/>
    <w:rsid w:val="0096694D"/>
    <w:rsid w:val="00967F89"/>
    <w:rsid w:val="00970CF9"/>
    <w:rsid w:val="00970D45"/>
    <w:rsid w:val="0097137C"/>
    <w:rsid w:val="0097179D"/>
    <w:rsid w:val="00971869"/>
    <w:rsid w:val="009728DC"/>
    <w:rsid w:val="00973810"/>
    <w:rsid w:val="00974B75"/>
    <w:rsid w:val="009757E4"/>
    <w:rsid w:val="00977C63"/>
    <w:rsid w:val="0098061D"/>
    <w:rsid w:val="00980704"/>
    <w:rsid w:val="009816F5"/>
    <w:rsid w:val="00981B73"/>
    <w:rsid w:val="009842D6"/>
    <w:rsid w:val="00985E9E"/>
    <w:rsid w:val="009868AF"/>
    <w:rsid w:val="009870BB"/>
    <w:rsid w:val="00987153"/>
    <w:rsid w:val="00987F39"/>
    <w:rsid w:val="00990C4D"/>
    <w:rsid w:val="009917FE"/>
    <w:rsid w:val="009928DD"/>
    <w:rsid w:val="00992AAF"/>
    <w:rsid w:val="00992FD0"/>
    <w:rsid w:val="00995018"/>
    <w:rsid w:val="0099662D"/>
    <w:rsid w:val="00996D9F"/>
    <w:rsid w:val="00997572"/>
    <w:rsid w:val="00997779"/>
    <w:rsid w:val="009A22F1"/>
    <w:rsid w:val="009A2860"/>
    <w:rsid w:val="009A3895"/>
    <w:rsid w:val="009A4DD5"/>
    <w:rsid w:val="009A4F26"/>
    <w:rsid w:val="009A55BA"/>
    <w:rsid w:val="009A58A6"/>
    <w:rsid w:val="009A70C5"/>
    <w:rsid w:val="009A7ABB"/>
    <w:rsid w:val="009A7EE4"/>
    <w:rsid w:val="009B0000"/>
    <w:rsid w:val="009B2EDF"/>
    <w:rsid w:val="009B2F9C"/>
    <w:rsid w:val="009B31D9"/>
    <w:rsid w:val="009B368F"/>
    <w:rsid w:val="009B39E0"/>
    <w:rsid w:val="009B3AD6"/>
    <w:rsid w:val="009B3DEE"/>
    <w:rsid w:val="009B44D3"/>
    <w:rsid w:val="009B62C0"/>
    <w:rsid w:val="009B6E79"/>
    <w:rsid w:val="009B725E"/>
    <w:rsid w:val="009C03E3"/>
    <w:rsid w:val="009C173F"/>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4E8D"/>
    <w:rsid w:val="009E5CCB"/>
    <w:rsid w:val="009E76AE"/>
    <w:rsid w:val="009F090E"/>
    <w:rsid w:val="009F0C06"/>
    <w:rsid w:val="009F3C22"/>
    <w:rsid w:val="009F6C06"/>
    <w:rsid w:val="009F6E15"/>
    <w:rsid w:val="00A003B0"/>
    <w:rsid w:val="00A0058B"/>
    <w:rsid w:val="00A0081B"/>
    <w:rsid w:val="00A008A1"/>
    <w:rsid w:val="00A00B3E"/>
    <w:rsid w:val="00A00D99"/>
    <w:rsid w:val="00A0193C"/>
    <w:rsid w:val="00A03E90"/>
    <w:rsid w:val="00A05BBC"/>
    <w:rsid w:val="00A06528"/>
    <w:rsid w:val="00A06EA2"/>
    <w:rsid w:val="00A0751B"/>
    <w:rsid w:val="00A077F7"/>
    <w:rsid w:val="00A105FB"/>
    <w:rsid w:val="00A10E6E"/>
    <w:rsid w:val="00A123A2"/>
    <w:rsid w:val="00A12742"/>
    <w:rsid w:val="00A12DAC"/>
    <w:rsid w:val="00A1380A"/>
    <w:rsid w:val="00A13C65"/>
    <w:rsid w:val="00A142B1"/>
    <w:rsid w:val="00A154EF"/>
    <w:rsid w:val="00A20ECC"/>
    <w:rsid w:val="00A21068"/>
    <w:rsid w:val="00A2109C"/>
    <w:rsid w:val="00A21AD2"/>
    <w:rsid w:val="00A23D1F"/>
    <w:rsid w:val="00A24061"/>
    <w:rsid w:val="00A24CDC"/>
    <w:rsid w:val="00A25836"/>
    <w:rsid w:val="00A30D69"/>
    <w:rsid w:val="00A34696"/>
    <w:rsid w:val="00A36CD9"/>
    <w:rsid w:val="00A3704E"/>
    <w:rsid w:val="00A40CB6"/>
    <w:rsid w:val="00A40DE3"/>
    <w:rsid w:val="00A41F8D"/>
    <w:rsid w:val="00A42CCD"/>
    <w:rsid w:val="00A478F5"/>
    <w:rsid w:val="00A50C3E"/>
    <w:rsid w:val="00A50C88"/>
    <w:rsid w:val="00A530F9"/>
    <w:rsid w:val="00A53CFD"/>
    <w:rsid w:val="00A54F4E"/>
    <w:rsid w:val="00A55B57"/>
    <w:rsid w:val="00A56FF4"/>
    <w:rsid w:val="00A5756E"/>
    <w:rsid w:val="00A57BDB"/>
    <w:rsid w:val="00A6013C"/>
    <w:rsid w:val="00A62F14"/>
    <w:rsid w:val="00A63E02"/>
    <w:rsid w:val="00A6455A"/>
    <w:rsid w:val="00A655FE"/>
    <w:rsid w:val="00A70A11"/>
    <w:rsid w:val="00A740F4"/>
    <w:rsid w:val="00A74127"/>
    <w:rsid w:val="00A742B0"/>
    <w:rsid w:val="00A74921"/>
    <w:rsid w:val="00A753DF"/>
    <w:rsid w:val="00A7593D"/>
    <w:rsid w:val="00A75CCD"/>
    <w:rsid w:val="00A7630F"/>
    <w:rsid w:val="00A776B4"/>
    <w:rsid w:val="00A812F2"/>
    <w:rsid w:val="00A822D8"/>
    <w:rsid w:val="00A82D91"/>
    <w:rsid w:val="00A842C6"/>
    <w:rsid w:val="00A84699"/>
    <w:rsid w:val="00A8607B"/>
    <w:rsid w:val="00A8685C"/>
    <w:rsid w:val="00A90E8C"/>
    <w:rsid w:val="00A92725"/>
    <w:rsid w:val="00A930AC"/>
    <w:rsid w:val="00A93886"/>
    <w:rsid w:val="00A95DE7"/>
    <w:rsid w:val="00A978AC"/>
    <w:rsid w:val="00A9793A"/>
    <w:rsid w:val="00AA0424"/>
    <w:rsid w:val="00AA13DE"/>
    <w:rsid w:val="00AA22D1"/>
    <w:rsid w:val="00AA273D"/>
    <w:rsid w:val="00AA2E03"/>
    <w:rsid w:val="00AA3481"/>
    <w:rsid w:val="00AA44FC"/>
    <w:rsid w:val="00AA5267"/>
    <w:rsid w:val="00AA62C9"/>
    <w:rsid w:val="00AA6EA1"/>
    <w:rsid w:val="00AB0152"/>
    <w:rsid w:val="00AB0558"/>
    <w:rsid w:val="00AB0E18"/>
    <w:rsid w:val="00AB1BEA"/>
    <w:rsid w:val="00AB2B45"/>
    <w:rsid w:val="00AB2F56"/>
    <w:rsid w:val="00AB32C0"/>
    <w:rsid w:val="00AB501C"/>
    <w:rsid w:val="00AB59F6"/>
    <w:rsid w:val="00AB63ED"/>
    <w:rsid w:val="00AB65CA"/>
    <w:rsid w:val="00AB6F55"/>
    <w:rsid w:val="00AB7B17"/>
    <w:rsid w:val="00AC14E2"/>
    <w:rsid w:val="00AC2CCB"/>
    <w:rsid w:val="00AC3A78"/>
    <w:rsid w:val="00AC44B8"/>
    <w:rsid w:val="00AC46E6"/>
    <w:rsid w:val="00AC5D8B"/>
    <w:rsid w:val="00AC72E8"/>
    <w:rsid w:val="00AD0324"/>
    <w:rsid w:val="00AD0768"/>
    <w:rsid w:val="00AD189F"/>
    <w:rsid w:val="00AD18F4"/>
    <w:rsid w:val="00AD19F8"/>
    <w:rsid w:val="00AD402A"/>
    <w:rsid w:val="00AD460A"/>
    <w:rsid w:val="00AD46BD"/>
    <w:rsid w:val="00AD4F27"/>
    <w:rsid w:val="00AD50E7"/>
    <w:rsid w:val="00AD6F57"/>
    <w:rsid w:val="00AD6F81"/>
    <w:rsid w:val="00AD789E"/>
    <w:rsid w:val="00AD7A26"/>
    <w:rsid w:val="00AD7AD1"/>
    <w:rsid w:val="00AE0FBE"/>
    <w:rsid w:val="00AE14D8"/>
    <w:rsid w:val="00AE2359"/>
    <w:rsid w:val="00AE27CE"/>
    <w:rsid w:val="00AE2FFB"/>
    <w:rsid w:val="00AE3FE0"/>
    <w:rsid w:val="00AE458C"/>
    <w:rsid w:val="00AE4A66"/>
    <w:rsid w:val="00AE4DD7"/>
    <w:rsid w:val="00AE4ED9"/>
    <w:rsid w:val="00AE57C4"/>
    <w:rsid w:val="00AE6259"/>
    <w:rsid w:val="00AF0342"/>
    <w:rsid w:val="00AF0548"/>
    <w:rsid w:val="00AF08D0"/>
    <w:rsid w:val="00AF0DF6"/>
    <w:rsid w:val="00AF10E3"/>
    <w:rsid w:val="00AF2AF2"/>
    <w:rsid w:val="00AF2DAB"/>
    <w:rsid w:val="00AF3E51"/>
    <w:rsid w:val="00AF6D6A"/>
    <w:rsid w:val="00AF6DF3"/>
    <w:rsid w:val="00AF77B5"/>
    <w:rsid w:val="00AF7C01"/>
    <w:rsid w:val="00B00095"/>
    <w:rsid w:val="00B003A0"/>
    <w:rsid w:val="00B011EF"/>
    <w:rsid w:val="00B01F1D"/>
    <w:rsid w:val="00B04986"/>
    <w:rsid w:val="00B056DC"/>
    <w:rsid w:val="00B05964"/>
    <w:rsid w:val="00B113CD"/>
    <w:rsid w:val="00B11B3B"/>
    <w:rsid w:val="00B11CCC"/>
    <w:rsid w:val="00B11EE0"/>
    <w:rsid w:val="00B12121"/>
    <w:rsid w:val="00B128A0"/>
    <w:rsid w:val="00B12AFF"/>
    <w:rsid w:val="00B141B1"/>
    <w:rsid w:val="00B156BC"/>
    <w:rsid w:val="00B1780B"/>
    <w:rsid w:val="00B17F63"/>
    <w:rsid w:val="00B20BEB"/>
    <w:rsid w:val="00B2181C"/>
    <w:rsid w:val="00B2281A"/>
    <w:rsid w:val="00B231C6"/>
    <w:rsid w:val="00B233CB"/>
    <w:rsid w:val="00B24CDD"/>
    <w:rsid w:val="00B257A2"/>
    <w:rsid w:val="00B26226"/>
    <w:rsid w:val="00B268B2"/>
    <w:rsid w:val="00B3018D"/>
    <w:rsid w:val="00B31FCC"/>
    <w:rsid w:val="00B33546"/>
    <w:rsid w:val="00B3438A"/>
    <w:rsid w:val="00B378E6"/>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7742"/>
    <w:rsid w:val="00B50927"/>
    <w:rsid w:val="00B50954"/>
    <w:rsid w:val="00B53073"/>
    <w:rsid w:val="00B5672F"/>
    <w:rsid w:val="00B5709C"/>
    <w:rsid w:val="00B60D17"/>
    <w:rsid w:val="00B60FDC"/>
    <w:rsid w:val="00B62F05"/>
    <w:rsid w:val="00B6352F"/>
    <w:rsid w:val="00B63710"/>
    <w:rsid w:val="00B63F50"/>
    <w:rsid w:val="00B65DEE"/>
    <w:rsid w:val="00B67278"/>
    <w:rsid w:val="00B67280"/>
    <w:rsid w:val="00B704DF"/>
    <w:rsid w:val="00B70D91"/>
    <w:rsid w:val="00B715D7"/>
    <w:rsid w:val="00B71BCF"/>
    <w:rsid w:val="00B71EFA"/>
    <w:rsid w:val="00B72C90"/>
    <w:rsid w:val="00B73D31"/>
    <w:rsid w:val="00B75C6F"/>
    <w:rsid w:val="00B76B37"/>
    <w:rsid w:val="00B76DFA"/>
    <w:rsid w:val="00B80B16"/>
    <w:rsid w:val="00B81AB9"/>
    <w:rsid w:val="00B821F3"/>
    <w:rsid w:val="00B8221F"/>
    <w:rsid w:val="00B82989"/>
    <w:rsid w:val="00B8524C"/>
    <w:rsid w:val="00B8570F"/>
    <w:rsid w:val="00B85FB6"/>
    <w:rsid w:val="00B87F72"/>
    <w:rsid w:val="00B92265"/>
    <w:rsid w:val="00B93998"/>
    <w:rsid w:val="00B94821"/>
    <w:rsid w:val="00B94E0E"/>
    <w:rsid w:val="00B97B85"/>
    <w:rsid w:val="00BA06A0"/>
    <w:rsid w:val="00BA1049"/>
    <w:rsid w:val="00BA18BA"/>
    <w:rsid w:val="00BA1F2B"/>
    <w:rsid w:val="00BA2F3D"/>
    <w:rsid w:val="00BA3695"/>
    <w:rsid w:val="00BA390A"/>
    <w:rsid w:val="00BA407C"/>
    <w:rsid w:val="00BA4FD3"/>
    <w:rsid w:val="00BA5B9D"/>
    <w:rsid w:val="00BA73B3"/>
    <w:rsid w:val="00BA7894"/>
    <w:rsid w:val="00BB0646"/>
    <w:rsid w:val="00BB0785"/>
    <w:rsid w:val="00BB0E5F"/>
    <w:rsid w:val="00BB0EC6"/>
    <w:rsid w:val="00BB1DEF"/>
    <w:rsid w:val="00BB5CE8"/>
    <w:rsid w:val="00BB6EF2"/>
    <w:rsid w:val="00BB7F86"/>
    <w:rsid w:val="00BB7FFC"/>
    <w:rsid w:val="00BC046B"/>
    <w:rsid w:val="00BC083C"/>
    <w:rsid w:val="00BC1290"/>
    <w:rsid w:val="00BC22EE"/>
    <w:rsid w:val="00BC3B5D"/>
    <w:rsid w:val="00BC4D83"/>
    <w:rsid w:val="00BC6080"/>
    <w:rsid w:val="00BC6651"/>
    <w:rsid w:val="00BC66A3"/>
    <w:rsid w:val="00BC720E"/>
    <w:rsid w:val="00BC78B2"/>
    <w:rsid w:val="00BD0049"/>
    <w:rsid w:val="00BD0681"/>
    <w:rsid w:val="00BD139F"/>
    <w:rsid w:val="00BD1EC2"/>
    <w:rsid w:val="00BD2595"/>
    <w:rsid w:val="00BD3521"/>
    <w:rsid w:val="00BD45F8"/>
    <w:rsid w:val="00BD4BD8"/>
    <w:rsid w:val="00BD6A16"/>
    <w:rsid w:val="00BD6ECA"/>
    <w:rsid w:val="00BD7E89"/>
    <w:rsid w:val="00BE0A4C"/>
    <w:rsid w:val="00BE0DF6"/>
    <w:rsid w:val="00BE1457"/>
    <w:rsid w:val="00BE37A8"/>
    <w:rsid w:val="00BE43F2"/>
    <w:rsid w:val="00BE49FB"/>
    <w:rsid w:val="00BE5908"/>
    <w:rsid w:val="00BE6C10"/>
    <w:rsid w:val="00BE7D95"/>
    <w:rsid w:val="00BF0AF1"/>
    <w:rsid w:val="00BF0D44"/>
    <w:rsid w:val="00BF1F5E"/>
    <w:rsid w:val="00BF289B"/>
    <w:rsid w:val="00BF59D9"/>
    <w:rsid w:val="00BF678D"/>
    <w:rsid w:val="00C02D44"/>
    <w:rsid w:val="00C04DC1"/>
    <w:rsid w:val="00C06192"/>
    <w:rsid w:val="00C07A16"/>
    <w:rsid w:val="00C110D6"/>
    <w:rsid w:val="00C12A55"/>
    <w:rsid w:val="00C13517"/>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FD7"/>
    <w:rsid w:val="00C33050"/>
    <w:rsid w:val="00C33B01"/>
    <w:rsid w:val="00C34BE5"/>
    <w:rsid w:val="00C363CC"/>
    <w:rsid w:val="00C377BB"/>
    <w:rsid w:val="00C37BDB"/>
    <w:rsid w:val="00C40B4A"/>
    <w:rsid w:val="00C4267A"/>
    <w:rsid w:val="00C44738"/>
    <w:rsid w:val="00C44EDF"/>
    <w:rsid w:val="00C4508D"/>
    <w:rsid w:val="00C4520B"/>
    <w:rsid w:val="00C503EC"/>
    <w:rsid w:val="00C5298E"/>
    <w:rsid w:val="00C52E0B"/>
    <w:rsid w:val="00C542AB"/>
    <w:rsid w:val="00C5565E"/>
    <w:rsid w:val="00C57451"/>
    <w:rsid w:val="00C57CF4"/>
    <w:rsid w:val="00C57FEA"/>
    <w:rsid w:val="00C62702"/>
    <w:rsid w:val="00C634E4"/>
    <w:rsid w:val="00C6461D"/>
    <w:rsid w:val="00C712E2"/>
    <w:rsid w:val="00C7146D"/>
    <w:rsid w:val="00C71FA7"/>
    <w:rsid w:val="00C73F9B"/>
    <w:rsid w:val="00C743B3"/>
    <w:rsid w:val="00C747CD"/>
    <w:rsid w:val="00C74E16"/>
    <w:rsid w:val="00C74FC2"/>
    <w:rsid w:val="00C754E7"/>
    <w:rsid w:val="00C75CD3"/>
    <w:rsid w:val="00C7769C"/>
    <w:rsid w:val="00C77D62"/>
    <w:rsid w:val="00C801F8"/>
    <w:rsid w:val="00C82247"/>
    <w:rsid w:val="00C84706"/>
    <w:rsid w:val="00C85459"/>
    <w:rsid w:val="00C8580A"/>
    <w:rsid w:val="00C86938"/>
    <w:rsid w:val="00C86BAD"/>
    <w:rsid w:val="00C86CDE"/>
    <w:rsid w:val="00C87132"/>
    <w:rsid w:val="00C90F1F"/>
    <w:rsid w:val="00C9238A"/>
    <w:rsid w:val="00C92A7F"/>
    <w:rsid w:val="00C92D86"/>
    <w:rsid w:val="00C93954"/>
    <w:rsid w:val="00C95744"/>
    <w:rsid w:val="00C95795"/>
    <w:rsid w:val="00CA276E"/>
    <w:rsid w:val="00CA34CB"/>
    <w:rsid w:val="00CA4077"/>
    <w:rsid w:val="00CA4DDC"/>
    <w:rsid w:val="00CA7D9B"/>
    <w:rsid w:val="00CB099F"/>
    <w:rsid w:val="00CB0B7A"/>
    <w:rsid w:val="00CB2257"/>
    <w:rsid w:val="00CB3B1E"/>
    <w:rsid w:val="00CB430F"/>
    <w:rsid w:val="00CB4CD4"/>
    <w:rsid w:val="00CB5345"/>
    <w:rsid w:val="00CB5482"/>
    <w:rsid w:val="00CB65A0"/>
    <w:rsid w:val="00CC0048"/>
    <w:rsid w:val="00CC267B"/>
    <w:rsid w:val="00CC2CD0"/>
    <w:rsid w:val="00CC3DE1"/>
    <w:rsid w:val="00CD0DED"/>
    <w:rsid w:val="00CD101B"/>
    <w:rsid w:val="00CD2678"/>
    <w:rsid w:val="00CD37FD"/>
    <w:rsid w:val="00CD40EC"/>
    <w:rsid w:val="00CD4CFE"/>
    <w:rsid w:val="00CD5339"/>
    <w:rsid w:val="00CD6558"/>
    <w:rsid w:val="00CD6736"/>
    <w:rsid w:val="00CD6AA2"/>
    <w:rsid w:val="00CE05E1"/>
    <w:rsid w:val="00CE07E2"/>
    <w:rsid w:val="00CE125E"/>
    <w:rsid w:val="00CE18C2"/>
    <w:rsid w:val="00CE2538"/>
    <w:rsid w:val="00CE2619"/>
    <w:rsid w:val="00CE32FD"/>
    <w:rsid w:val="00CE452B"/>
    <w:rsid w:val="00CE5632"/>
    <w:rsid w:val="00CF042F"/>
    <w:rsid w:val="00CF08EB"/>
    <w:rsid w:val="00CF10D5"/>
    <w:rsid w:val="00CF1DBB"/>
    <w:rsid w:val="00CF2EFD"/>
    <w:rsid w:val="00CF33D9"/>
    <w:rsid w:val="00CF34F1"/>
    <w:rsid w:val="00CF4FCF"/>
    <w:rsid w:val="00CF5598"/>
    <w:rsid w:val="00CF70B5"/>
    <w:rsid w:val="00CF7E33"/>
    <w:rsid w:val="00D01F97"/>
    <w:rsid w:val="00D0406F"/>
    <w:rsid w:val="00D04184"/>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4B5A"/>
    <w:rsid w:val="00D27322"/>
    <w:rsid w:val="00D273A2"/>
    <w:rsid w:val="00D30B14"/>
    <w:rsid w:val="00D30EA5"/>
    <w:rsid w:val="00D317A9"/>
    <w:rsid w:val="00D326F8"/>
    <w:rsid w:val="00D32991"/>
    <w:rsid w:val="00D35E25"/>
    <w:rsid w:val="00D3606A"/>
    <w:rsid w:val="00D36C04"/>
    <w:rsid w:val="00D370C2"/>
    <w:rsid w:val="00D37EA4"/>
    <w:rsid w:val="00D407E8"/>
    <w:rsid w:val="00D4107D"/>
    <w:rsid w:val="00D42284"/>
    <w:rsid w:val="00D42939"/>
    <w:rsid w:val="00D43190"/>
    <w:rsid w:val="00D447B8"/>
    <w:rsid w:val="00D452F7"/>
    <w:rsid w:val="00D45307"/>
    <w:rsid w:val="00D45FC4"/>
    <w:rsid w:val="00D46D74"/>
    <w:rsid w:val="00D50C63"/>
    <w:rsid w:val="00D521F6"/>
    <w:rsid w:val="00D52FC6"/>
    <w:rsid w:val="00D5329D"/>
    <w:rsid w:val="00D532D6"/>
    <w:rsid w:val="00D5534A"/>
    <w:rsid w:val="00D56008"/>
    <w:rsid w:val="00D56719"/>
    <w:rsid w:val="00D6069B"/>
    <w:rsid w:val="00D60B8B"/>
    <w:rsid w:val="00D60F8A"/>
    <w:rsid w:val="00D61627"/>
    <w:rsid w:val="00D635F0"/>
    <w:rsid w:val="00D648EF"/>
    <w:rsid w:val="00D657FB"/>
    <w:rsid w:val="00D65B4B"/>
    <w:rsid w:val="00D67C56"/>
    <w:rsid w:val="00D72E90"/>
    <w:rsid w:val="00D733FF"/>
    <w:rsid w:val="00D7456B"/>
    <w:rsid w:val="00D74890"/>
    <w:rsid w:val="00D74F2B"/>
    <w:rsid w:val="00D75121"/>
    <w:rsid w:val="00D75F84"/>
    <w:rsid w:val="00D760C2"/>
    <w:rsid w:val="00D77B8C"/>
    <w:rsid w:val="00D8129D"/>
    <w:rsid w:val="00D8433B"/>
    <w:rsid w:val="00D84E14"/>
    <w:rsid w:val="00D84E88"/>
    <w:rsid w:val="00D855E6"/>
    <w:rsid w:val="00D85F94"/>
    <w:rsid w:val="00D866BD"/>
    <w:rsid w:val="00D8771F"/>
    <w:rsid w:val="00D87CC3"/>
    <w:rsid w:val="00D9016F"/>
    <w:rsid w:val="00D924FB"/>
    <w:rsid w:val="00D934D0"/>
    <w:rsid w:val="00D94734"/>
    <w:rsid w:val="00D949B9"/>
    <w:rsid w:val="00D95484"/>
    <w:rsid w:val="00DA1C41"/>
    <w:rsid w:val="00DA33AB"/>
    <w:rsid w:val="00DA35AA"/>
    <w:rsid w:val="00DA4B64"/>
    <w:rsid w:val="00DA4F34"/>
    <w:rsid w:val="00DA5664"/>
    <w:rsid w:val="00DA57F3"/>
    <w:rsid w:val="00DA6E27"/>
    <w:rsid w:val="00DB01D5"/>
    <w:rsid w:val="00DB01EC"/>
    <w:rsid w:val="00DB0330"/>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4655"/>
    <w:rsid w:val="00DC5F51"/>
    <w:rsid w:val="00DC6421"/>
    <w:rsid w:val="00DC73E0"/>
    <w:rsid w:val="00DC7A5D"/>
    <w:rsid w:val="00DD16EC"/>
    <w:rsid w:val="00DD4AE6"/>
    <w:rsid w:val="00DD55F6"/>
    <w:rsid w:val="00DD560A"/>
    <w:rsid w:val="00DD714C"/>
    <w:rsid w:val="00DE04DA"/>
    <w:rsid w:val="00DE052B"/>
    <w:rsid w:val="00DE05FD"/>
    <w:rsid w:val="00DE34B4"/>
    <w:rsid w:val="00DE35B2"/>
    <w:rsid w:val="00DE3A2F"/>
    <w:rsid w:val="00DE5031"/>
    <w:rsid w:val="00DE5A44"/>
    <w:rsid w:val="00DF0437"/>
    <w:rsid w:val="00DF151F"/>
    <w:rsid w:val="00DF1EEF"/>
    <w:rsid w:val="00DF248D"/>
    <w:rsid w:val="00DF2897"/>
    <w:rsid w:val="00DF373A"/>
    <w:rsid w:val="00DF551A"/>
    <w:rsid w:val="00DF5995"/>
    <w:rsid w:val="00E02A87"/>
    <w:rsid w:val="00E0337F"/>
    <w:rsid w:val="00E0486F"/>
    <w:rsid w:val="00E04D59"/>
    <w:rsid w:val="00E0532C"/>
    <w:rsid w:val="00E07B8B"/>
    <w:rsid w:val="00E105ED"/>
    <w:rsid w:val="00E11E96"/>
    <w:rsid w:val="00E13919"/>
    <w:rsid w:val="00E13C57"/>
    <w:rsid w:val="00E153E8"/>
    <w:rsid w:val="00E16623"/>
    <w:rsid w:val="00E170CB"/>
    <w:rsid w:val="00E17212"/>
    <w:rsid w:val="00E17A41"/>
    <w:rsid w:val="00E17BEF"/>
    <w:rsid w:val="00E222D0"/>
    <w:rsid w:val="00E2257C"/>
    <w:rsid w:val="00E22839"/>
    <w:rsid w:val="00E24489"/>
    <w:rsid w:val="00E245AD"/>
    <w:rsid w:val="00E24E73"/>
    <w:rsid w:val="00E256E4"/>
    <w:rsid w:val="00E2607F"/>
    <w:rsid w:val="00E260C2"/>
    <w:rsid w:val="00E27AB8"/>
    <w:rsid w:val="00E27C9E"/>
    <w:rsid w:val="00E30659"/>
    <w:rsid w:val="00E3298A"/>
    <w:rsid w:val="00E33D84"/>
    <w:rsid w:val="00E340FD"/>
    <w:rsid w:val="00E34111"/>
    <w:rsid w:val="00E34E0C"/>
    <w:rsid w:val="00E356F8"/>
    <w:rsid w:val="00E36239"/>
    <w:rsid w:val="00E363DB"/>
    <w:rsid w:val="00E3756A"/>
    <w:rsid w:val="00E3757F"/>
    <w:rsid w:val="00E40B1C"/>
    <w:rsid w:val="00E40E84"/>
    <w:rsid w:val="00E41666"/>
    <w:rsid w:val="00E418FE"/>
    <w:rsid w:val="00E42410"/>
    <w:rsid w:val="00E4270D"/>
    <w:rsid w:val="00E42A8C"/>
    <w:rsid w:val="00E42AF0"/>
    <w:rsid w:val="00E42E4F"/>
    <w:rsid w:val="00E4335A"/>
    <w:rsid w:val="00E4347A"/>
    <w:rsid w:val="00E44582"/>
    <w:rsid w:val="00E44780"/>
    <w:rsid w:val="00E448BD"/>
    <w:rsid w:val="00E4548E"/>
    <w:rsid w:val="00E45C2A"/>
    <w:rsid w:val="00E4602B"/>
    <w:rsid w:val="00E46B11"/>
    <w:rsid w:val="00E47D9D"/>
    <w:rsid w:val="00E51E42"/>
    <w:rsid w:val="00E52802"/>
    <w:rsid w:val="00E53138"/>
    <w:rsid w:val="00E538FA"/>
    <w:rsid w:val="00E53C85"/>
    <w:rsid w:val="00E55936"/>
    <w:rsid w:val="00E6075C"/>
    <w:rsid w:val="00E60ECF"/>
    <w:rsid w:val="00E63981"/>
    <w:rsid w:val="00E644C3"/>
    <w:rsid w:val="00E65020"/>
    <w:rsid w:val="00E6706B"/>
    <w:rsid w:val="00E67444"/>
    <w:rsid w:val="00E706DD"/>
    <w:rsid w:val="00E74CF5"/>
    <w:rsid w:val="00E74D65"/>
    <w:rsid w:val="00E75792"/>
    <w:rsid w:val="00E7695B"/>
    <w:rsid w:val="00E81CB5"/>
    <w:rsid w:val="00E92C1E"/>
    <w:rsid w:val="00E948DB"/>
    <w:rsid w:val="00EA0116"/>
    <w:rsid w:val="00EA066A"/>
    <w:rsid w:val="00EA19D7"/>
    <w:rsid w:val="00EA25A1"/>
    <w:rsid w:val="00EA25FC"/>
    <w:rsid w:val="00EA413C"/>
    <w:rsid w:val="00EA45B1"/>
    <w:rsid w:val="00EA4882"/>
    <w:rsid w:val="00EA4DBE"/>
    <w:rsid w:val="00EA533D"/>
    <w:rsid w:val="00EA6116"/>
    <w:rsid w:val="00EA6213"/>
    <w:rsid w:val="00EA6238"/>
    <w:rsid w:val="00EA75CD"/>
    <w:rsid w:val="00EA7A0E"/>
    <w:rsid w:val="00EB07A1"/>
    <w:rsid w:val="00EB0B7C"/>
    <w:rsid w:val="00EB1089"/>
    <w:rsid w:val="00EB312B"/>
    <w:rsid w:val="00EB5CC8"/>
    <w:rsid w:val="00EB60A5"/>
    <w:rsid w:val="00EB6802"/>
    <w:rsid w:val="00EB68C7"/>
    <w:rsid w:val="00EC0C42"/>
    <w:rsid w:val="00EC1323"/>
    <w:rsid w:val="00EC1497"/>
    <w:rsid w:val="00EC1A75"/>
    <w:rsid w:val="00EC28DD"/>
    <w:rsid w:val="00EC4277"/>
    <w:rsid w:val="00EC45B3"/>
    <w:rsid w:val="00EC469A"/>
    <w:rsid w:val="00EC48E5"/>
    <w:rsid w:val="00EC4AE4"/>
    <w:rsid w:val="00EC5517"/>
    <w:rsid w:val="00EC59D2"/>
    <w:rsid w:val="00EC5A84"/>
    <w:rsid w:val="00EC7843"/>
    <w:rsid w:val="00ED0453"/>
    <w:rsid w:val="00ED0A6C"/>
    <w:rsid w:val="00ED1252"/>
    <w:rsid w:val="00ED182E"/>
    <w:rsid w:val="00ED1AF0"/>
    <w:rsid w:val="00ED2B86"/>
    <w:rsid w:val="00ED3827"/>
    <w:rsid w:val="00ED44EB"/>
    <w:rsid w:val="00ED53B2"/>
    <w:rsid w:val="00ED5EA7"/>
    <w:rsid w:val="00ED6B94"/>
    <w:rsid w:val="00EE0286"/>
    <w:rsid w:val="00EE157D"/>
    <w:rsid w:val="00EE4362"/>
    <w:rsid w:val="00EE4A21"/>
    <w:rsid w:val="00EE4E36"/>
    <w:rsid w:val="00EE534D"/>
    <w:rsid w:val="00EE6F03"/>
    <w:rsid w:val="00EE7EDC"/>
    <w:rsid w:val="00EE7FBB"/>
    <w:rsid w:val="00EF0916"/>
    <w:rsid w:val="00EF2CAB"/>
    <w:rsid w:val="00EF3C4A"/>
    <w:rsid w:val="00EF4263"/>
    <w:rsid w:val="00EF45B9"/>
    <w:rsid w:val="00EF5877"/>
    <w:rsid w:val="00F0194F"/>
    <w:rsid w:val="00F03A89"/>
    <w:rsid w:val="00F03BF2"/>
    <w:rsid w:val="00F03DBD"/>
    <w:rsid w:val="00F04833"/>
    <w:rsid w:val="00F06CDA"/>
    <w:rsid w:val="00F1082A"/>
    <w:rsid w:val="00F1232C"/>
    <w:rsid w:val="00F212A6"/>
    <w:rsid w:val="00F21671"/>
    <w:rsid w:val="00F23062"/>
    <w:rsid w:val="00F23BBD"/>
    <w:rsid w:val="00F241CE"/>
    <w:rsid w:val="00F24C2F"/>
    <w:rsid w:val="00F256CC"/>
    <w:rsid w:val="00F3024E"/>
    <w:rsid w:val="00F31B36"/>
    <w:rsid w:val="00F32951"/>
    <w:rsid w:val="00F32955"/>
    <w:rsid w:val="00F32EF3"/>
    <w:rsid w:val="00F3378C"/>
    <w:rsid w:val="00F33A97"/>
    <w:rsid w:val="00F35514"/>
    <w:rsid w:val="00F359B1"/>
    <w:rsid w:val="00F35C36"/>
    <w:rsid w:val="00F365AE"/>
    <w:rsid w:val="00F36AF9"/>
    <w:rsid w:val="00F37432"/>
    <w:rsid w:val="00F40987"/>
    <w:rsid w:val="00F40FE8"/>
    <w:rsid w:val="00F411E0"/>
    <w:rsid w:val="00F427D2"/>
    <w:rsid w:val="00F43893"/>
    <w:rsid w:val="00F459E2"/>
    <w:rsid w:val="00F53FF6"/>
    <w:rsid w:val="00F54BDE"/>
    <w:rsid w:val="00F5503C"/>
    <w:rsid w:val="00F570C6"/>
    <w:rsid w:val="00F619DA"/>
    <w:rsid w:val="00F62802"/>
    <w:rsid w:val="00F62CC4"/>
    <w:rsid w:val="00F63F48"/>
    <w:rsid w:val="00F65430"/>
    <w:rsid w:val="00F66A3F"/>
    <w:rsid w:val="00F70627"/>
    <w:rsid w:val="00F706B3"/>
    <w:rsid w:val="00F70C84"/>
    <w:rsid w:val="00F72E6A"/>
    <w:rsid w:val="00F72FE7"/>
    <w:rsid w:val="00F736AD"/>
    <w:rsid w:val="00F74823"/>
    <w:rsid w:val="00F74C83"/>
    <w:rsid w:val="00F75FDE"/>
    <w:rsid w:val="00F771D5"/>
    <w:rsid w:val="00F77997"/>
    <w:rsid w:val="00F8202C"/>
    <w:rsid w:val="00F836E0"/>
    <w:rsid w:val="00F843FD"/>
    <w:rsid w:val="00F84843"/>
    <w:rsid w:val="00F84BFD"/>
    <w:rsid w:val="00F84E8F"/>
    <w:rsid w:val="00F864B6"/>
    <w:rsid w:val="00F919B9"/>
    <w:rsid w:val="00F9220B"/>
    <w:rsid w:val="00F923C8"/>
    <w:rsid w:val="00F93D2F"/>
    <w:rsid w:val="00F946F6"/>
    <w:rsid w:val="00F94F02"/>
    <w:rsid w:val="00FA1D05"/>
    <w:rsid w:val="00FA2D8C"/>
    <w:rsid w:val="00FA6696"/>
    <w:rsid w:val="00FA77E3"/>
    <w:rsid w:val="00FA7A26"/>
    <w:rsid w:val="00FB0C80"/>
    <w:rsid w:val="00FB0C8C"/>
    <w:rsid w:val="00FB2CBA"/>
    <w:rsid w:val="00FB32F9"/>
    <w:rsid w:val="00FB3E56"/>
    <w:rsid w:val="00FB45BA"/>
    <w:rsid w:val="00FB6531"/>
    <w:rsid w:val="00FB671C"/>
    <w:rsid w:val="00FB6A65"/>
    <w:rsid w:val="00FB728B"/>
    <w:rsid w:val="00FB72D7"/>
    <w:rsid w:val="00FB7E7E"/>
    <w:rsid w:val="00FB7F0F"/>
    <w:rsid w:val="00FC0167"/>
    <w:rsid w:val="00FC2267"/>
    <w:rsid w:val="00FC2BE9"/>
    <w:rsid w:val="00FC3A47"/>
    <w:rsid w:val="00FC4C1D"/>
    <w:rsid w:val="00FC599C"/>
    <w:rsid w:val="00FC5A8F"/>
    <w:rsid w:val="00FC64A8"/>
    <w:rsid w:val="00FC66F0"/>
    <w:rsid w:val="00FD1097"/>
    <w:rsid w:val="00FD2F95"/>
    <w:rsid w:val="00FD4E17"/>
    <w:rsid w:val="00FD5A7E"/>
    <w:rsid w:val="00FD5ED5"/>
    <w:rsid w:val="00FD76EC"/>
    <w:rsid w:val="00FE0EFB"/>
    <w:rsid w:val="00FE0FA2"/>
    <w:rsid w:val="00FE3E74"/>
    <w:rsid w:val="00FE4198"/>
    <w:rsid w:val="00FE429A"/>
    <w:rsid w:val="00FE565F"/>
    <w:rsid w:val="00FE5BED"/>
    <w:rsid w:val="00FE5F7B"/>
    <w:rsid w:val="00FE7C3B"/>
    <w:rsid w:val="00FE7D9D"/>
    <w:rsid w:val="00FF0DC1"/>
    <w:rsid w:val="00FF11D0"/>
    <w:rsid w:val="00FF1660"/>
    <w:rsid w:val="00FF256A"/>
    <w:rsid w:val="00FF41B0"/>
    <w:rsid w:val="00FF449A"/>
    <w:rsid w:val="00FF6CBE"/>
    <w:rsid w:val="00FF73A3"/>
    <w:rsid w:val="00FF750E"/>
    <w:rsid w:val="0113496B"/>
    <w:rsid w:val="01B7145D"/>
    <w:rsid w:val="02067EF8"/>
    <w:rsid w:val="023616D1"/>
    <w:rsid w:val="02B92D9B"/>
    <w:rsid w:val="03A86EAF"/>
    <w:rsid w:val="047E1FD3"/>
    <w:rsid w:val="04DA1F9F"/>
    <w:rsid w:val="053B15C7"/>
    <w:rsid w:val="05C94CCC"/>
    <w:rsid w:val="0603333C"/>
    <w:rsid w:val="07167E44"/>
    <w:rsid w:val="07300BC0"/>
    <w:rsid w:val="092C4454"/>
    <w:rsid w:val="098C5E1E"/>
    <w:rsid w:val="0A085ACE"/>
    <w:rsid w:val="0B321B7C"/>
    <w:rsid w:val="0BBE0B81"/>
    <w:rsid w:val="0BC12F14"/>
    <w:rsid w:val="0C155642"/>
    <w:rsid w:val="0C6976C6"/>
    <w:rsid w:val="0D356A3A"/>
    <w:rsid w:val="0D4A6627"/>
    <w:rsid w:val="0DAF23AA"/>
    <w:rsid w:val="0F1D3E6E"/>
    <w:rsid w:val="0FC202A4"/>
    <w:rsid w:val="10104AB5"/>
    <w:rsid w:val="106F2C80"/>
    <w:rsid w:val="11505995"/>
    <w:rsid w:val="11AD3902"/>
    <w:rsid w:val="11B56CEF"/>
    <w:rsid w:val="11CC4724"/>
    <w:rsid w:val="13EC3053"/>
    <w:rsid w:val="159A7278"/>
    <w:rsid w:val="16944F21"/>
    <w:rsid w:val="16B11481"/>
    <w:rsid w:val="16B55431"/>
    <w:rsid w:val="17587206"/>
    <w:rsid w:val="182761A1"/>
    <w:rsid w:val="18E9484C"/>
    <w:rsid w:val="19464D68"/>
    <w:rsid w:val="195811A1"/>
    <w:rsid w:val="19D83E64"/>
    <w:rsid w:val="1AE53AD4"/>
    <w:rsid w:val="1B4435E9"/>
    <w:rsid w:val="1B6E1478"/>
    <w:rsid w:val="1B7A7A0E"/>
    <w:rsid w:val="1BC03000"/>
    <w:rsid w:val="1BCC0031"/>
    <w:rsid w:val="1C2A0AF4"/>
    <w:rsid w:val="1CD31138"/>
    <w:rsid w:val="1D5B2D9D"/>
    <w:rsid w:val="1E161725"/>
    <w:rsid w:val="1E29267F"/>
    <w:rsid w:val="1F0F4FAF"/>
    <w:rsid w:val="1F985821"/>
    <w:rsid w:val="1FC22ABC"/>
    <w:rsid w:val="1FC25144"/>
    <w:rsid w:val="1FD1733E"/>
    <w:rsid w:val="20791FAC"/>
    <w:rsid w:val="20823699"/>
    <w:rsid w:val="208939FD"/>
    <w:rsid w:val="20DC7B06"/>
    <w:rsid w:val="21997F89"/>
    <w:rsid w:val="21ED6E4F"/>
    <w:rsid w:val="220719E5"/>
    <w:rsid w:val="22272FB0"/>
    <w:rsid w:val="22B70F31"/>
    <w:rsid w:val="22C50E97"/>
    <w:rsid w:val="22D40FE4"/>
    <w:rsid w:val="233102CC"/>
    <w:rsid w:val="234D2DE2"/>
    <w:rsid w:val="23C330CE"/>
    <w:rsid w:val="23E71639"/>
    <w:rsid w:val="23F32093"/>
    <w:rsid w:val="2571148E"/>
    <w:rsid w:val="25D76444"/>
    <w:rsid w:val="25F12BEF"/>
    <w:rsid w:val="26017AA7"/>
    <w:rsid w:val="267C419F"/>
    <w:rsid w:val="274F036F"/>
    <w:rsid w:val="27555755"/>
    <w:rsid w:val="28A15563"/>
    <w:rsid w:val="29737617"/>
    <w:rsid w:val="299351F5"/>
    <w:rsid w:val="2A3556F5"/>
    <w:rsid w:val="2B9E6F8C"/>
    <w:rsid w:val="2C1953AB"/>
    <w:rsid w:val="2C450BBC"/>
    <w:rsid w:val="2C833F08"/>
    <w:rsid w:val="2CA117DC"/>
    <w:rsid w:val="2CD25AE1"/>
    <w:rsid w:val="2D542FF2"/>
    <w:rsid w:val="2D7C6E9F"/>
    <w:rsid w:val="2F1B0242"/>
    <w:rsid w:val="2F26666F"/>
    <w:rsid w:val="2F493F4E"/>
    <w:rsid w:val="308C6FA5"/>
    <w:rsid w:val="3109187D"/>
    <w:rsid w:val="318425E2"/>
    <w:rsid w:val="32361E19"/>
    <w:rsid w:val="325460EC"/>
    <w:rsid w:val="33797021"/>
    <w:rsid w:val="3387041A"/>
    <w:rsid w:val="33F1168E"/>
    <w:rsid w:val="348B009A"/>
    <w:rsid w:val="349221B6"/>
    <w:rsid w:val="34CA262F"/>
    <w:rsid w:val="34E7414B"/>
    <w:rsid w:val="35007529"/>
    <w:rsid w:val="35F74575"/>
    <w:rsid w:val="360F414E"/>
    <w:rsid w:val="361C1DCE"/>
    <w:rsid w:val="36515312"/>
    <w:rsid w:val="36676237"/>
    <w:rsid w:val="36DE0CEB"/>
    <w:rsid w:val="38CE4CBA"/>
    <w:rsid w:val="38DF7D66"/>
    <w:rsid w:val="38E23EFA"/>
    <w:rsid w:val="3909510A"/>
    <w:rsid w:val="390A360F"/>
    <w:rsid w:val="3A186E30"/>
    <w:rsid w:val="3AA509EA"/>
    <w:rsid w:val="3ACB4B13"/>
    <w:rsid w:val="3AF26849"/>
    <w:rsid w:val="3B4E0AC9"/>
    <w:rsid w:val="3C2E6C18"/>
    <w:rsid w:val="3C3156A7"/>
    <w:rsid w:val="3D342E0F"/>
    <w:rsid w:val="3E43640F"/>
    <w:rsid w:val="3EE6073A"/>
    <w:rsid w:val="3EFB5EB1"/>
    <w:rsid w:val="3F665DE4"/>
    <w:rsid w:val="3FDE034B"/>
    <w:rsid w:val="403A3878"/>
    <w:rsid w:val="40C03BBB"/>
    <w:rsid w:val="40F351D6"/>
    <w:rsid w:val="414A736E"/>
    <w:rsid w:val="41CD0EED"/>
    <w:rsid w:val="42797495"/>
    <w:rsid w:val="438A429D"/>
    <w:rsid w:val="43A47EDC"/>
    <w:rsid w:val="43C00CC0"/>
    <w:rsid w:val="43EF1073"/>
    <w:rsid w:val="4578139D"/>
    <w:rsid w:val="45AE618D"/>
    <w:rsid w:val="45FB79D8"/>
    <w:rsid w:val="46E60816"/>
    <w:rsid w:val="478B012A"/>
    <w:rsid w:val="486663EC"/>
    <w:rsid w:val="48D131F1"/>
    <w:rsid w:val="48DE4A1A"/>
    <w:rsid w:val="48F217B8"/>
    <w:rsid w:val="490479D2"/>
    <w:rsid w:val="49A91EF7"/>
    <w:rsid w:val="4AA70700"/>
    <w:rsid w:val="4B154BFA"/>
    <w:rsid w:val="4B261F3E"/>
    <w:rsid w:val="4B52341D"/>
    <w:rsid w:val="4CA46B26"/>
    <w:rsid w:val="4DEB6CC8"/>
    <w:rsid w:val="4E52715B"/>
    <w:rsid w:val="4EFD1A97"/>
    <w:rsid w:val="4F2D40F6"/>
    <w:rsid w:val="50673E61"/>
    <w:rsid w:val="510612CE"/>
    <w:rsid w:val="51D10AE5"/>
    <w:rsid w:val="52336B66"/>
    <w:rsid w:val="5312047E"/>
    <w:rsid w:val="535A35E6"/>
    <w:rsid w:val="535E1EC2"/>
    <w:rsid w:val="54CF598B"/>
    <w:rsid w:val="5555041D"/>
    <w:rsid w:val="55735841"/>
    <w:rsid w:val="55C64583"/>
    <w:rsid w:val="56025341"/>
    <w:rsid w:val="563E475C"/>
    <w:rsid w:val="567B6651"/>
    <w:rsid w:val="58335943"/>
    <w:rsid w:val="587C100D"/>
    <w:rsid w:val="58D57163"/>
    <w:rsid w:val="598916E3"/>
    <w:rsid w:val="598C2D91"/>
    <w:rsid w:val="59B12D96"/>
    <w:rsid w:val="5A22301E"/>
    <w:rsid w:val="5A237E74"/>
    <w:rsid w:val="5A6E0B0C"/>
    <w:rsid w:val="5B1C2837"/>
    <w:rsid w:val="5B261EE5"/>
    <w:rsid w:val="5B4608DC"/>
    <w:rsid w:val="5B6E6BCE"/>
    <w:rsid w:val="5BE10E2F"/>
    <w:rsid w:val="5C0F5779"/>
    <w:rsid w:val="5C3614CE"/>
    <w:rsid w:val="5CFE3360"/>
    <w:rsid w:val="5E154DCE"/>
    <w:rsid w:val="5E2B6A81"/>
    <w:rsid w:val="5EC9247B"/>
    <w:rsid w:val="5ED44DD5"/>
    <w:rsid w:val="5EF45970"/>
    <w:rsid w:val="5F2E07BF"/>
    <w:rsid w:val="5F3F40CA"/>
    <w:rsid w:val="60582CCD"/>
    <w:rsid w:val="61B2709D"/>
    <w:rsid w:val="61F17AFA"/>
    <w:rsid w:val="62D819E9"/>
    <w:rsid w:val="63110B10"/>
    <w:rsid w:val="635F77A4"/>
    <w:rsid w:val="6399040D"/>
    <w:rsid w:val="63BD114C"/>
    <w:rsid w:val="63E9309D"/>
    <w:rsid w:val="63F46290"/>
    <w:rsid w:val="64271D95"/>
    <w:rsid w:val="64C51C76"/>
    <w:rsid w:val="64F64710"/>
    <w:rsid w:val="663850D8"/>
    <w:rsid w:val="666F1AEF"/>
    <w:rsid w:val="667525FE"/>
    <w:rsid w:val="67C1337B"/>
    <w:rsid w:val="69BD29AE"/>
    <w:rsid w:val="69C43892"/>
    <w:rsid w:val="6A6E185A"/>
    <w:rsid w:val="6A9C1491"/>
    <w:rsid w:val="6AC23F3C"/>
    <w:rsid w:val="6B042207"/>
    <w:rsid w:val="6B285BE6"/>
    <w:rsid w:val="6B331489"/>
    <w:rsid w:val="6BB03F6F"/>
    <w:rsid w:val="6C27014A"/>
    <w:rsid w:val="6CAB5C38"/>
    <w:rsid w:val="6CB13616"/>
    <w:rsid w:val="6CDA05AF"/>
    <w:rsid w:val="6CDF6397"/>
    <w:rsid w:val="6F0627BC"/>
    <w:rsid w:val="6F0639A1"/>
    <w:rsid w:val="6F647B0C"/>
    <w:rsid w:val="6F7914AB"/>
    <w:rsid w:val="6FC01453"/>
    <w:rsid w:val="702D1BBF"/>
    <w:rsid w:val="706E76A1"/>
    <w:rsid w:val="70B501A0"/>
    <w:rsid w:val="71887A31"/>
    <w:rsid w:val="729E7F84"/>
    <w:rsid w:val="72A22C15"/>
    <w:rsid w:val="73544F1B"/>
    <w:rsid w:val="74007477"/>
    <w:rsid w:val="74150229"/>
    <w:rsid w:val="74AB6E57"/>
    <w:rsid w:val="757E59DB"/>
    <w:rsid w:val="75B7311D"/>
    <w:rsid w:val="76317B69"/>
    <w:rsid w:val="766E5C99"/>
    <w:rsid w:val="76794D4D"/>
    <w:rsid w:val="7694691F"/>
    <w:rsid w:val="76991AF2"/>
    <w:rsid w:val="76FE4F3D"/>
    <w:rsid w:val="77535A34"/>
    <w:rsid w:val="77A40CDC"/>
    <w:rsid w:val="77FF2336"/>
    <w:rsid w:val="78720CAA"/>
    <w:rsid w:val="790D67F3"/>
    <w:rsid w:val="79435F05"/>
    <w:rsid w:val="794D3BB3"/>
    <w:rsid w:val="79EA30E2"/>
    <w:rsid w:val="7A0E1007"/>
    <w:rsid w:val="7A2300B0"/>
    <w:rsid w:val="7ABD6707"/>
    <w:rsid w:val="7B522918"/>
    <w:rsid w:val="7B8C1D15"/>
    <w:rsid w:val="7C9C759D"/>
    <w:rsid w:val="7CF547C5"/>
    <w:rsid w:val="7FC2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0" w:semiHidden="0" w:name="Table Grid"/>
    <w:lsdException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jc w:val="center"/>
      <w:outlineLvl w:val="0"/>
    </w:pPr>
    <w:rPr>
      <w:rFonts w:eastAsia="方正小标宋简体"/>
      <w:bCs/>
      <w:kern w:val="44"/>
      <w:sz w:val="32"/>
      <w:szCs w:val="44"/>
    </w:rPr>
  </w:style>
  <w:style w:type="paragraph" w:styleId="4">
    <w:name w:val="heading 2"/>
    <w:basedOn w:val="1"/>
    <w:next w:val="1"/>
    <w:link w:val="45"/>
    <w:unhideWhenUsed/>
    <w:qFormat/>
    <w:uiPriority w:val="0"/>
    <w:pPr>
      <w:keepNext/>
      <w:keepLines/>
      <w:jc w:val="center"/>
      <w:outlineLvl w:val="1"/>
    </w:pPr>
    <w:rPr>
      <w:rFonts w:ascii="Cambria" w:hAnsi="Cambria" w:eastAsia="方正小标宋简体"/>
      <w:bCs/>
      <w:kern w:val="0"/>
      <w:sz w:val="28"/>
      <w:szCs w:val="32"/>
    </w:rPr>
  </w:style>
  <w:style w:type="paragraph" w:styleId="5">
    <w:name w:val="heading 3"/>
    <w:basedOn w:val="1"/>
    <w:next w:val="1"/>
    <w:link w:val="46"/>
    <w:unhideWhenUsed/>
    <w:qFormat/>
    <w:uiPriority w:val="0"/>
    <w:pPr>
      <w:keepNext/>
      <w:keepLines/>
      <w:jc w:val="center"/>
      <w:outlineLvl w:val="2"/>
    </w:pPr>
    <w:rPr>
      <w:rFonts w:eastAsia="黑体"/>
      <w:bCs/>
      <w:kern w:val="0"/>
      <w:sz w:val="24"/>
      <w:szCs w:val="32"/>
    </w:rPr>
  </w:style>
  <w:style w:type="paragraph" w:styleId="6">
    <w:name w:val="heading 4"/>
    <w:basedOn w:val="1"/>
    <w:next w:val="1"/>
    <w:link w:val="47"/>
    <w:qFormat/>
    <w:uiPriority w:val="0"/>
    <w:pPr>
      <w:keepNext/>
      <w:keepLines/>
      <w:widowControl/>
      <w:numPr>
        <w:ilvl w:val="3"/>
        <w:numId w:val="1"/>
      </w:numPr>
      <w:tabs>
        <w:tab w:val="left" w:pos="864"/>
      </w:tabs>
      <w:spacing w:before="280" w:beforeAutospacing="0" w:after="290" w:afterAutospacing="0" w:line="372" w:lineRule="auto"/>
      <w:jc w:val="left"/>
      <w:outlineLvl w:val="3"/>
    </w:pPr>
    <w:rPr>
      <w:rFonts w:ascii="Arial" w:hAnsi="Arial" w:eastAsia="黑体"/>
      <w:b/>
      <w:kern w:val="0"/>
      <w:sz w:val="28"/>
      <w:szCs w:val="20"/>
      <w:lang w:val="zh-CN"/>
    </w:rPr>
  </w:style>
  <w:style w:type="paragraph" w:styleId="7">
    <w:name w:val="heading 5"/>
    <w:basedOn w:val="1"/>
    <w:next w:val="1"/>
    <w:link w:val="48"/>
    <w:qFormat/>
    <w:uiPriority w:val="0"/>
    <w:pPr>
      <w:keepNext/>
      <w:keepLines/>
      <w:widowControl/>
      <w:numPr>
        <w:ilvl w:val="4"/>
        <w:numId w:val="1"/>
      </w:numPr>
      <w:tabs>
        <w:tab w:val="left" w:pos="1008"/>
      </w:tabs>
      <w:spacing w:before="280" w:beforeAutospacing="0" w:after="290" w:afterAutospacing="0" w:line="372" w:lineRule="auto"/>
      <w:jc w:val="left"/>
      <w:outlineLvl w:val="4"/>
    </w:pPr>
    <w:rPr>
      <w:rFonts w:eastAsia="Arial Unicode MS"/>
      <w:b/>
      <w:kern w:val="0"/>
      <w:sz w:val="28"/>
      <w:szCs w:val="20"/>
      <w:lang w:val="zh-CN"/>
    </w:rPr>
  </w:style>
  <w:style w:type="paragraph" w:styleId="8">
    <w:name w:val="heading 6"/>
    <w:basedOn w:val="1"/>
    <w:next w:val="1"/>
    <w:link w:val="49"/>
    <w:qFormat/>
    <w:uiPriority w:val="0"/>
    <w:pPr>
      <w:keepNext/>
      <w:keepLines/>
      <w:widowControl/>
      <w:numPr>
        <w:ilvl w:val="5"/>
        <w:numId w:val="1"/>
      </w:numPr>
      <w:tabs>
        <w:tab w:val="left" w:pos="1152"/>
      </w:tabs>
      <w:spacing w:before="240" w:beforeAutospacing="0" w:after="64" w:afterAutospacing="0" w:line="317" w:lineRule="auto"/>
      <w:jc w:val="left"/>
      <w:outlineLvl w:val="5"/>
    </w:pPr>
    <w:rPr>
      <w:rFonts w:ascii="Arial" w:hAnsi="Arial" w:eastAsia="黑体"/>
      <w:b/>
      <w:kern w:val="0"/>
      <w:sz w:val="24"/>
      <w:szCs w:val="20"/>
      <w:lang w:val="zh-CN"/>
    </w:rPr>
  </w:style>
  <w:style w:type="paragraph" w:styleId="9">
    <w:name w:val="heading 7"/>
    <w:basedOn w:val="1"/>
    <w:next w:val="1"/>
    <w:link w:val="50"/>
    <w:qFormat/>
    <w:uiPriority w:val="0"/>
    <w:pPr>
      <w:keepNext/>
      <w:keepLines/>
      <w:widowControl/>
      <w:numPr>
        <w:ilvl w:val="6"/>
        <w:numId w:val="1"/>
      </w:numPr>
      <w:tabs>
        <w:tab w:val="left" w:pos="1296"/>
      </w:tabs>
      <w:spacing w:before="240" w:beforeAutospacing="0" w:after="64" w:afterAutospacing="0" w:line="317" w:lineRule="auto"/>
      <w:jc w:val="left"/>
      <w:outlineLvl w:val="6"/>
    </w:pPr>
    <w:rPr>
      <w:b/>
      <w:kern w:val="0"/>
      <w:sz w:val="24"/>
      <w:szCs w:val="20"/>
      <w:lang w:val="zh-CN"/>
    </w:rPr>
  </w:style>
  <w:style w:type="paragraph" w:styleId="10">
    <w:name w:val="heading 8"/>
    <w:basedOn w:val="1"/>
    <w:next w:val="1"/>
    <w:link w:val="51"/>
    <w:qFormat/>
    <w:uiPriority w:val="0"/>
    <w:pPr>
      <w:keepNext/>
      <w:keepLines/>
      <w:widowControl/>
      <w:numPr>
        <w:ilvl w:val="7"/>
        <w:numId w:val="1"/>
      </w:numPr>
      <w:tabs>
        <w:tab w:val="left" w:pos="1440"/>
      </w:tabs>
      <w:spacing w:before="240" w:beforeAutospacing="0" w:after="64" w:afterAutospacing="0" w:line="317" w:lineRule="auto"/>
      <w:jc w:val="left"/>
      <w:outlineLvl w:val="7"/>
    </w:pPr>
    <w:rPr>
      <w:rFonts w:ascii="Arial" w:hAnsi="Arial" w:eastAsia="黑体"/>
      <w:kern w:val="0"/>
      <w:sz w:val="24"/>
      <w:szCs w:val="20"/>
      <w:lang w:val="zh-CN"/>
    </w:rPr>
  </w:style>
  <w:style w:type="paragraph" w:styleId="11">
    <w:name w:val="heading 9"/>
    <w:basedOn w:val="1"/>
    <w:next w:val="1"/>
    <w:link w:val="52"/>
    <w:qFormat/>
    <w:uiPriority w:val="0"/>
    <w:pPr>
      <w:keepNext/>
      <w:keepLines/>
      <w:widowControl/>
      <w:numPr>
        <w:ilvl w:val="0"/>
        <w:numId w:val="2"/>
      </w:numPr>
      <w:tabs>
        <w:tab w:val="left" w:pos="1584"/>
      </w:tabs>
      <w:spacing w:before="240" w:beforeAutospacing="0" w:after="64" w:afterAutospacing="0" w:line="317" w:lineRule="auto"/>
      <w:jc w:val="left"/>
      <w:outlineLvl w:val="8"/>
    </w:pPr>
    <w:rPr>
      <w:rFonts w:ascii="Arial" w:hAnsi="Arial" w:eastAsia="黑体"/>
      <w:kern w:val="0"/>
      <w:szCs w:val="20"/>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5"/>
    <w:qFormat/>
    <w:uiPriority w:val="0"/>
    <w:pPr>
      <w:ind w:firstLine="420" w:firstLineChars="200"/>
    </w:pPr>
    <w:rPr>
      <w:kern w:val="0"/>
      <w:sz w:val="20"/>
    </w:rPr>
  </w:style>
  <w:style w:type="paragraph" w:styleId="12">
    <w:name w:val="caption"/>
    <w:basedOn w:val="1"/>
    <w:next w:val="1"/>
    <w:qFormat/>
    <w:uiPriority w:val="0"/>
    <w:pPr>
      <w:spacing w:before="0" w:beforeAutospacing="0" w:after="0" w:afterAutospacing="0" w:line="240" w:lineRule="auto"/>
    </w:pPr>
    <w:rPr>
      <w:rFonts w:ascii="Cambria" w:hAnsi="Cambria" w:eastAsia="黑体"/>
      <w:sz w:val="20"/>
      <w:szCs w:val="20"/>
    </w:rPr>
  </w:style>
  <w:style w:type="paragraph" w:styleId="13">
    <w:name w:val="Document Map"/>
    <w:basedOn w:val="1"/>
    <w:link w:val="56"/>
    <w:unhideWhenUsed/>
    <w:qFormat/>
    <w:uiPriority w:val="0"/>
    <w:rPr>
      <w:rFonts w:ascii="宋体"/>
      <w:kern w:val="0"/>
      <w:sz w:val="18"/>
      <w:szCs w:val="18"/>
    </w:rPr>
  </w:style>
  <w:style w:type="paragraph" w:styleId="14">
    <w:name w:val="annotation text"/>
    <w:basedOn w:val="1"/>
    <w:link w:val="53"/>
    <w:unhideWhenUsed/>
    <w:qFormat/>
    <w:uiPriority w:val="0"/>
    <w:pPr>
      <w:jc w:val="left"/>
    </w:pPr>
    <w:rPr>
      <w:rFonts w:ascii="Calibri" w:hAnsi="Calibri"/>
      <w:kern w:val="0"/>
      <w:sz w:val="20"/>
      <w:szCs w:val="20"/>
    </w:rPr>
  </w:style>
  <w:style w:type="paragraph" w:styleId="15">
    <w:name w:val="Body Text 3"/>
    <w:basedOn w:val="1"/>
    <w:link w:val="82"/>
    <w:unhideWhenUsed/>
    <w:qFormat/>
    <w:uiPriority w:val="0"/>
    <w:pPr>
      <w:spacing w:after="120"/>
    </w:pPr>
    <w:rPr>
      <w:sz w:val="16"/>
      <w:szCs w:val="16"/>
    </w:rPr>
  </w:style>
  <w:style w:type="paragraph" w:styleId="16">
    <w:name w:val="Body Text"/>
    <w:basedOn w:val="1"/>
    <w:link w:val="57"/>
    <w:unhideWhenUsed/>
    <w:qFormat/>
    <w:uiPriority w:val="0"/>
    <w:pPr>
      <w:spacing w:after="120"/>
    </w:pPr>
    <w:rPr>
      <w:rFonts w:ascii="Calibri" w:hAnsi="Calibri"/>
      <w:szCs w:val="22"/>
    </w:rPr>
  </w:style>
  <w:style w:type="paragraph" w:styleId="17">
    <w:name w:val="Body Text Indent"/>
    <w:basedOn w:val="1"/>
    <w:link w:val="58"/>
    <w:qFormat/>
    <w:uiPriority w:val="0"/>
    <w:pPr>
      <w:spacing w:line="380" w:lineRule="exact"/>
      <w:ind w:firstLine="480"/>
    </w:pPr>
    <w:rPr>
      <w:rFonts w:eastAsia="方正书宋简体"/>
      <w:kern w:val="0"/>
      <w:sz w:val="24"/>
      <w:szCs w:val="20"/>
    </w:rPr>
  </w:style>
  <w:style w:type="paragraph" w:styleId="18">
    <w:name w:val="index 4"/>
    <w:basedOn w:val="1"/>
    <w:next w:val="1"/>
    <w:qFormat/>
    <w:uiPriority w:val="0"/>
    <w:pPr>
      <w:spacing w:before="0" w:beforeAutospacing="0" w:after="0" w:afterAutospacing="0" w:line="240" w:lineRule="auto"/>
      <w:ind w:left="600" w:leftChars="600"/>
    </w:pPr>
  </w:style>
  <w:style w:type="paragraph" w:styleId="19">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20">
    <w:name w:val="Plain Text"/>
    <w:basedOn w:val="1"/>
    <w:link w:val="59"/>
    <w:qFormat/>
    <w:uiPriority w:val="0"/>
    <w:rPr>
      <w:rFonts w:ascii="宋体" w:hAnsi="Courier New"/>
      <w:kern w:val="0"/>
      <w:sz w:val="20"/>
      <w:szCs w:val="20"/>
    </w:rPr>
  </w:style>
  <w:style w:type="paragraph" w:styleId="21">
    <w:name w:val="Date"/>
    <w:basedOn w:val="1"/>
    <w:next w:val="1"/>
    <w:link w:val="60"/>
    <w:unhideWhenUsed/>
    <w:qFormat/>
    <w:uiPriority w:val="0"/>
    <w:pPr>
      <w:ind w:left="100" w:leftChars="2500"/>
    </w:pPr>
    <w:rPr>
      <w:rFonts w:ascii="Calibri" w:hAnsi="Calibri"/>
      <w:szCs w:val="22"/>
    </w:rPr>
  </w:style>
  <w:style w:type="paragraph" w:styleId="22">
    <w:name w:val="Body Text Indent 2"/>
    <w:basedOn w:val="1"/>
    <w:link w:val="121"/>
    <w:qFormat/>
    <w:uiPriority w:val="0"/>
    <w:pPr>
      <w:spacing w:before="0" w:beforeAutospacing="0" w:after="0" w:afterAutospacing="0" w:line="440" w:lineRule="exact"/>
      <w:ind w:firstLine="412" w:firstLineChars="200"/>
    </w:pPr>
    <w:rPr>
      <w:rFonts w:ascii="宋体" w:hAnsi="宋体"/>
      <w:b/>
      <w:szCs w:val="20"/>
    </w:rPr>
  </w:style>
  <w:style w:type="paragraph" w:styleId="23">
    <w:name w:val="Balloon Text"/>
    <w:basedOn w:val="1"/>
    <w:link w:val="61"/>
    <w:unhideWhenUsed/>
    <w:qFormat/>
    <w:uiPriority w:val="0"/>
    <w:rPr>
      <w:rFonts w:ascii="Calibri" w:hAnsi="Calibri"/>
      <w:kern w:val="0"/>
      <w:sz w:val="18"/>
      <w:szCs w:val="18"/>
    </w:rPr>
  </w:style>
  <w:style w:type="paragraph" w:styleId="24">
    <w:name w:val="footer"/>
    <w:basedOn w:val="1"/>
    <w:link w:val="62"/>
    <w:qFormat/>
    <w:uiPriority w:val="0"/>
    <w:pPr>
      <w:tabs>
        <w:tab w:val="center" w:pos="4153"/>
        <w:tab w:val="right" w:pos="8306"/>
      </w:tabs>
      <w:snapToGrid w:val="0"/>
      <w:jc w:val="left"/>
    </w:pPr>
    <w:rPr>
      <w:kern w:val="0"/>
      <w:sz w:val="18"/>
      <w:szCs w:val="18"/>
    </w:rPr>
  </w:style>
  <w:style w:type="paragraph" w:styleId="25">
    <w:name w:val="header"/>
    <w:basedOn w:val="1"/>
    <w:link w:val="6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27">
    <w:name w:val="Subtitle"/>
    <w:basedOn w:val="1"/>
    <w:next w:val="1"/>
    <w:link w:val="144"/>
    <w:qFormat/>
    <w:uiPriority w:val="0"/>
    <w:pPr>
      <w:widowControl/>
      <w:spacing w:before="0" w:beforeAutospacing="0" w:after="200" w:afterAutospacing="0" w:line="276" w:lineRule="auto"/>
      <w:jc w:val="left"/>
    </w:pPr>
    <w:rPr>
      <w:rFonts w:ascii="Cambria" w:hAnsi="Cambria"/>
      <w:i/>
      <w:iCs/>
      <w:color w:val="4F81BD"/>
      <w:spacing w:val="15"/>
      <w:kern w:val="0"/>
      <w:sz w:val="24"/>
      <w:lang w:eastAsia="en-US" w:bidi="en-US"/>
    </w:rPr>
  </w:style>
  <w:style w:type="paragraph" w:styleId="28">
    <w:name w:val="Body Text Indent 3"/>
    <w:basedOn w:val="1"/>
    <w:link w:val="64"/>
    <w:qFormat/>
    <w:uiPriority w:val="0"/>
    <w:pPr>
      <w:spacing w:after="120"/>
      <w:ind w:left="420" w:leftChars="200"/>
    </w:pPr>
    <w:rPr>
      <w:kern w:val="0"/>
      <w:sz w:val="16"/>
      <w:szCs w:val="16"/>
    </w:rPr>
  </w:style>
  <w:style w:type="paragraph" w:styleId="29">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30">
    <w:name w:val="Body Text 2"/>
    <w:basedOn w:val="1"/>
    <w:link w:val="101"/>
    <w:qFormat/>
    <w:uiPriority w:val="0"/>
    <w:pPr>
      <w:spacing w:before="0" w:beforeAutospacing="0" w:after="0" w:afterAutospacing="0" w:line="240" w:lineRule="auto"/>
    </w:pPr>
    <w:rPr>
      <w:rFonts w:ascii="宋体" w:hAnsi="宋体"/>
      <w:sz w:val="18"/>
      <w:szCs w:val="20"/>
    </w:rPr>
  </w:style>
  <w:style w:type="paragraph" w:styleId="31">
    <w:name w:val="List Continue 2"/>
    <w:basedOn w:val="1"/>
    <w:qFormat/>
    <w:uiPriority w:val="0"/>
    <w:pPr>
      <w:spacing w:before="0" w:beforeAutospacing="0" w:after="120" w:afterAutospacing="0" w:line="240" w:lineRule="auto"/>
      <w:ind w:left="840" w:leftChars="400"/>
    </w:pPr>
    <w:rPr>
      <w:szCs w:val="20"/>
    </w:rPr>
  </w:style>
  <w:style w:type="paragraph" w:styleId="32">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33">
    <w:name w:val="Title"/>
    <w:basedOn w:val="1"/>
    <w:next w:val="1"/>
    <w:link w:val="65"/>
    <w:qFormat/>
    <w:uiPriority w:val="0"/>
    <w:pPr>
      <w:spacing w:before="240" w:after="60"/>
      <w:jc w:val="center"/>
      <w:outlineLvl w:val="0"/>
    </w:pPr>
    <w:rPr>
      <w:rFonts w:ascii="Cambria" w:hAnsi="Cambria"/>
      <w:b/>
      <w:bCs/>
      <w:kern w:val="0"/>
      <w:sz w:val="32"/>
      <w:szCs w:val="32"/>
    </w:rPr>
  </w:style>
  <w:style w:type="paragraph" w:styleId="34">
    <w:name w:val="annotation subject"/>
    <w:basedOn w:val="14"/>
    <w:next w:val="14"/>
    <w:link w:val="54"/>
    <w:unhideWhenUsed/>
    <w:qFormat/>
    <w:uiPriority w:val="0"/>
    <w:rPr>
      <w:rFonts w:ascii="Times New Roman" w:hAnsi="Times New Roman"/>
      <w:b/>
      <w:bCs/>
      <w:szCs w:val="24"/>
    </w:rPr>
  </w:style>
  <w:style w:type="table" w:styleId="36">
    <w:name w:val="Table Grid"/>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0"/>
    <w:rPr>
      <w:rFonts w:eastAsia="黑体"/>
      <w:bCs/>
    </w:rPr>
  </w:style>
  <w:style w:type="character" w:styleId="39">
    <w:name w:val="page number"/>
    <w:basedOn w:val="37"/>
    <w:qFormat/>
    <w:uiPriority w:val="0"/>
  </w:style>
  <w:style w:type="character" w:styleId="40">
    <w:name w:val="Emphasis"/>
    <w:qFormat/>
    <w:uiPriority w:val="0"/>
    <w:rPr>
      <w:i/>
      <w:iCs/>
    </w:rPr>
  </w:style>
  <w:style w:type="character" w:styleId="41">
    <w:name w:val="Hyperlink"/>
    <w:unhideWhenUsed/>
    <w:qFormat/>
    <w:uiPriority w:val="99"/>
    <w:rPr>
      <w:color w:val="0000FF"/>
      <w:u w:val="single"/>
    </w:rPr>
  </w:style>
  <w:style w:type="character" w:styleId="42">
    <w:name w:val="annotation reference"/>
    <w:unhideWhenUsed/>
    <w:qFormat/>
    <w:uiPriority w:val="0"/>
    <w:rPr>
      <w:sz w:val="21"/>
      <w:szCs w:val="21"/>
    </w:rPr>
  </w:style>
  <w:style w:type="character" w:styleId="43">
    <w:name w:val="HTML Sample"/>
    <w:basedOn w:val="37"/>
    <w:semiHidden/>
    <w:unhideWhenUsed/>
    <w:qFormat/>
    <w:uiPriority w:val="99"/>
    <w:rPr>
      <w:rFonts w:ascii="Courier New" w:hAnsi="Courier New"/>
    </w:rPr>
  </w:style>
  <w:style w:type="character" w:customStyle="1" w:styleId="44">
    <w:name w:val="标题 1 Char1"/>
    <w:link w:val="3"/>
    <w:qFormat/>
    <w:uiPriority w:val="9"/>
    <w:rPr>
      <w:rFonts w:ascii="Times New Roman" w:hAnsi="Times New Roman" w:eastAsia="方正小标宋简体" w:cs="Times New Roman"/>
      <w:bCs/>
      <w:kern w:val="44"/>
      <w:sz w:val="32"/>
      <w:szCs w:val="44"/>
    </w:rPr>
  </w:style>
  <w:style w:type="character" w:customStyle="1" w:styleId="45">
    <w:name w:val="标题 2 Char1"/>
    <w:link w:val="4"/>
    <w:qFormat/>
    <w:uiPriority w:val="9"/>
    <w:rPr>
      <w:rFonts w:ascii="Cambria" w:hAnsi="Cambria" w:eastAsia="方正小标宋简体" w:cs="Times New Roman"/>
      <w:bCs/>
      <w:sz w:val="28"/>
      <w:szCs w:val="32"/>
    </w:rPr>
  </w:style>
  <w:style w:type="character" w:customStyle="1" w:styleId="46">
    <w:name w:val="标题 3 Char1"/>
    <w:link w:val="5"/>
    <w:qFormat/>
    <w:uiPriority w:val="9"/>
    <w:rPr>
      <w:rFonts w:ascii="Times New Roman" w:hAnsi="Times New Roman" w:eastAsia="黑体" w:cs="Times New Roman"/>
      <w:bCs/>
      <w:sz w:val="24"/>
      <w:szCs w:val="32"/>
    </w:rPr>
  </w:style>
  <w:style w:type="character" w:customStyle="1" w:styleId="47">
    <w:name w:val="标题 4 Char"/>
    <w:link w:val="6"/>
    <w:qFormat/>
    <w:uiPriority w:val="0"/>
    <w:rPr>
      <w:rFonts w:ascii="Arial" w:hAnsi="Arial" w:eastAsia="黑体"/>
      <w:b/>
      <w:sz w:val="28"/>
      <w:lang w:val="zh-CN" w:eastAsia="zh-CN"/>
    </w:rPr>
  </w:style>
  <w:style w:type="character" w:customStyle="1" w:styleId="48">
    <w:name w:val="标题 5 Char"/>
    <w:link w:val="7"/>
    <w:qFormat/>
    <w:uiPriority w:val="0"/>
    <w:rPr>
      <w:rFonts w:ascii="Times New Roman" w:hAnsi="Times New Roman" w:eastAsia="Arial Unicode MS"/>
      <w:b/>
      <w:sz w:val="28"/>
      <w:lang w:val="zh-CN" w:eastAsia="zh-CN"/>
    </w:rPr>
  </w:style>
  <w:style w:type="character" w:customStyle="1" w:styleId="49">
    <w:name w:val="标题 6 Char"/>
    <w:link w:val="8"/>
    <w:qFormat/>
    <w:uiPriority w:val="0"/>
    <w:rPr>
      <w:rFonts w:ascii="Arial" w:hAnsi="Arial" w:eastAsia="黑体"/>
      <w:b/>
      <w:sz w:val="24"/>
      <w:lang w:val="zh-CN" w:eastAsia="zh-CN"/>
    </w:rPr>
  </w:style>
  <w:style w:type="character" w:customStyle="1" w:styleId="50">
    <w:name w:val="标题 7 Char"/>
    <w:link w:val="9"/>
    <w:qFormat/>
    <w:uiPriority w:val="0"/>
    <w:rPr>
      <w:rFonts w:ascii="Times New Roman" w:hAnsi="Times New Roman"/>
      <w:b/>
      <w:sz w:val="24"/>
      <w:lang w:val="zh-CN" w:eastAsia="zh-CN"/>
    </w:rPr>
  </w:style>
  <w:style w:type="character" w:customStyle="1" w:styleId="51">
    <w:name w:val="标题 8 Char"/>
    <w:link w:val="10"/>
    <w:qFormat/>
    <w:uiPriority w:val="0"/>
    <w:rPr>
      <w:rFonts w:ascii="Arial" w:hAnsi="Arial" w:eastAsia="黑体"/>
      <w:sz w:val="24"/>
      <w:lang w:val="zh-CN" w:eastAsia="zh-CN"/>
    </w:rPr>
  </w:style>
  <w:style w:type="character" w:customStyle="1" w:styleId="52">
    <w:name w:val="标题 9 Char"/>
    <w:link w:val="11"/>
    <w:qFormat/>
    <w:uiPriority w:val="0"/>
    <w:rPr>
      <w:rFonts w:ascii="Arial" w:hAnsi="Arial" w:eastAsia="黑体"/>
      <w:sz w:val="21"/>
      <w:lang w:val="zh-CN" w:eastAsia="zh-CN"/>
    </w:rPr>
  </w:style>
  <w:style w:type="character" w:customStyle="1" w:styleId="53">
    <w:name w:val="批注文字 Char2"/>
    <w:link w:val="14"/>
    <w:qFormat/>
    <w:uiPriority w:val="99"/>
    <w:rPr>
      <w:rFonts w:ascii="Calibri" w:hAnsi="Calibri" w:eastAsia="宋体" w:cs="Times New Roman"/>
    </w:rPr>
  </w:style>
  <w:style w:type="character" w:customStyle="1" w:styleId="54">
    <w:name w:val="批注主题 Char3"/>
    <w:link w:val="34"/>
    <w:qFormat/>
    <w:uiPriority w:val="99"/>
    <w:rPr>
      <w:rFonts w:ascii="Times New Roman" w:hAnsi="Times New Roman" w:eastAsia="宋体" w:cs="Times New Roman"/>
      <w:b/>
      <w:bCs/>
      <w:szCs w:val="24"/>
    </w:rPr>
  </w:style>
  <w:style w:type="character" w:customStyle="1" w:styleId="55">
    <w:name w:val="正文缩进 Char"/>
    <w:link w:val="2"/>
    <w:qFormat/>
    <w:uiPriority w:val="0"/>
    <w:rPr>
      <w:rFonts w:ascii="Times New Roman" w:hAnsi="Times New Roman" w:eastAsia="宋体" w:cs="Times New Roman"/>
      <w:szCs w:val="24"/>
    </w:rPr>
  </w:style>
  <w:style w:type="character" w:customStyle="1" w:styleId="56">
    <w:name w:val="文档结构图 Char2"/>
    <w:link w:val="13"/>
    <w:qFormat/>
    <w:uiPriority w:val="99"/>
    <w:rPr>
      <w:rFonts w:ascii="宋体" w:hAnsi="Times New Roman" w:eastAsia="宋体" w:cs="Times New Roman"/>
      <w:sz w:val="18"/>
      <w:szCs w:val="18"/>
    </w:rPr>
  </w:style>
  <w:style w:type="character" w:customStyle="1" w:styleId="57">
    <w:name w:val="正文文本 Char2"/>
    <w:basedOn w:val="37"/>
    <w:link w:val="16"/>
    <w:qFormat/>
    <w:uiPriority w:val="99"/>
  </w:style>
  <w:style w:type="character" w:customStyle="1" w:styleId="58">
    <w:name w:val="正文文本缩进 Char1"/>
    <w:link w:val="17"/>
    <w:qFormat/>
    <w:uiPriority w:val="0"/>
    <w:rPr>
      <w:rFonts w:ascii="Times New Roman" w:hAnsi="Times New Roman" w:eastAsia="方正书宋简体" w:cs="Times New Roman"/>
      <w:sz w:val="24"/>
      <w:szCs w:val="20"/>
    </w:rPr>
  </w:style>
  <w:style w:type="character" w:customStyle="1" w:styleId="59">
    <w:name w:val="纯文本 Char1"/>
    <w:link w:val="20"/>
    <w:qFormat/>
    <w:uiPriority w:val="0"/>
    <w:rPr>
      <w:rFonts w:ascii="宋体" w:hAnsi="Courier New" w:eastAsia="宋体" w:cs="Times New Roman"/>
      <w:szCs w:val="20"/>
    </w:rPr>
  </w:style>
  <w:style w:type="character" w:customStyle="1" w:styleId="60">
    <w:name w:val="日期 Char4"/>
    <w:basedOn w:val="37"/>
    <w:link w:val="21"/>
    <w:qFormat/>
    <w:uiPriority w:val="99"/>
  </w:style>
  <w:style w:type="character" w:customStyle="1" w:styleId="61">
    <w:name w:val="批注框文本 Char2"/>
    <w:link w:val="23"/>
    <w:qFormat/>
    <w:uiPriority w:val="99"/>
    <w:rPr>
      <w:sz w:val="18"/>
      <w:szCs w:val="18"/>
    </w:rPr>
  </w:style>
  <w:style w:type="character" w:customStyle="1" w:styleId="62">
    <w:name w:val="页脚 Char1"/>
    <w:link w:val="24"/>
    <w:qFormat/>
    <w:uiPriority w:val="99"/>
    <w:rPr>
      <w:rFonts w:ascii="Times New Roman" w:hAnsi="Times New Roman" w:eastAsia="宋体" w:cs="Times New Roman"/>
      <w:sz w:val="18"/>
      <w:szCs w:val="18"/>
    </w:rPr>
  </w:style>
  <w:style w:type="character" w:customStyle="1" w:styleId="63">
    <w:name w:val="页眉 Char1"/>
    <w:link w:val="25"/>
    <w:qFormat/>
    <w:uiPriority w:val="0"/>
    <w:rPr>
      <w:rFonts w:ascii="Times New Roman" w:hAnsi="Times New Roman" w:eastAsia="宋体" w:cs="Times New Roman"/>
      <w:sz w:val="18"/>
      <w:szCs w:val="18"/>
    </w:rPr>
  </w:style>
  <w:style w:type="character" w:customStyle="1" w:styleId="64">
    <w:name w:val="正文文本缩进 3 Char1"/>
    <w:link w:val="28"/>
    <w:qFormat/>
    <w:uiPriority w:val="0"/>
    <w:rPr>
      <w:rFonts w:ascii="Times New Roman" w:hAnsi="Times New Roman" w:eastAsia="宋体" w:cs="Times New Roman"/>
      <w:sz w:val="16"/>
      <w:szCs w:val="16"/>
    </w:rPr>
  </w:style>
  <w:style w:type="character" w:customStyle="1" w:styleId="65">
    <w:name w:val="标题 Char2"/>
    <w:link w:val="33"/>
    <w:qFormat/>
    <w:uiPriority w:val="0"/>
    <w:rPr>
      <w:rFonts w:ascii="Cambria" w:hAnsi="Cambria"/>
      <w:b/>
      <w:bCs/>
      <w:sz w:val="32"/>
      <w:szCs w:val="32"/>
    </w:rPr>
  </w:style>
  <w:style w:type="paragraph" w:customStyle="1" w:styleId="66">
    <w:name w:val="列出段落1"/>
    <w:basedOn w:val="1"/>
    <w:qFormat/>
    <w:uiPriority w:val="0"/>
    <w:pPr>
      <w:ind w:firstLine="420" w:firstLineChars="200"/>
    </w:pPr>
  </w:style>
  <w:style w:type="paragraph" w:customStyle="1" w:styleId="67">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har1"/>
    <w:basedOn w:val="1"/>
    <w:qFormat/>
    <w:uiPriority w:val="0"/>
    <w:pPr>
      <w:widowControl/>
      <w:snapToGrid w:val="0"/>
      <w:ind w:left="-3" w:right="-28" w:rightChars="-10"/>
    </w:pPr>
    <w:rPr>
      <w:rFonts w:ascii="Tahoma" w:hAnsi="Tahoma" w:cs="Tahoma"/>
      <w:sz w:val="24"/>
    </w:rPr>
  </w:style>
  <w:style w:type="character" w:customStyle="1" w:styleId="69">
    <w:name w:val="标题 Char1"/>
    <w:qFormat/>
    <w:uiPriority w:val="0"/>
    <w:rPr>
      <w:rFonts w:ascii="Cambria" w:hAnsi="Cambria" w:eastAsia="宋体" w:cs="Times New Roman"/>
      <w:b/>
      <w:bCs/>
      <w:sz w:val="32"/>
      <w:szCs w:val="32"/>
    </w:rPr>
  </w:style>
  <w:style w:type="character" w:customStyle="1" w:styleId="70">
    <w:name w:val="Char Char"/>
    <w:qFormat/>
    <w:uiPriority w:val="0"/>
    <w:rPr>
      <w:rFonts w:ascii="Cambria" w:hAnsi="Cambria" w:eastAsia="宋体" w:cs="Times New Roman"/>
      <w:b/>
      <w:bCs/>
      <w:sz w:val="32"/>
      <w:szCs w:val="32"/>
    </w:rPr>
  </w:style>
  <w:style w:type="paragraph" w:customStyle="1" w:styleId="71">
    <w:name w:val="样式 标题 5 + 右侧:  -0.18 字符"/>
    <w:basedOn w:val="1"/>
    <w:qFormat/>
    <w:uiPriority w:val="0"/>
    <w:pPr>
      <w:tabs>
        <w:tab w:val="left" w:pos="1008"/>
      </w:tabs>
      <w:ind w:left="2108" w:hanging="420"/>
    </w:pPr>
  </w:style>
  <w:style w:type="paragraph" w:customStyle="1" w:styleId="72">
    <w:name w:val="TOC 标题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3">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customStyle="1" w:styleId="74">
    <w:name w:val="列出段落11"/>
    <w:basedOn w:val="1"/>
    <w:qFormat/>
    <w:uiPriority w:val="34"/>
    <w:pPr>
      <w:ind w:firstLine="420" w:firstLineChars="200"/>
    </w:pPr>
  </w:style>
  <w:style w:type="character" w:customStyle="1" w:styleId="75">
    <w:name w:val="表正文 Char2"/>
    <w:qFormat/>
    <w:uiPriority w:val="0"/>
    <w:rPr>
      <w:rFonts w:ascii="Times New Roman" w:hAnsi="Times New Roman" w:eastAsia="宋体" w:cs="Times New Roman"/>
      <w:kern w:val="0"/>
      <w:sz w:val="20"/>
      <w:szCs w:val="24"/>
    </w:rPr>
  </w:style>
  <w:style w:type="paragraph" w:customStyle="1" w:styleId="76">
    <w:name w:val="TOC 标题1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7">
    <w:name w:val="样式 标题 2 + Times New Roman 四号 非加粗 段前: 5 磅 段后: 0 磅 行距: 固定值 20..."/>
    <w:basedOn w:val="4"/>
    <w:qFormat/>
    <w:uiPriority w:val="0"/>
    <w:pPr>
      <w:spacing w:beforeAutospacing="0" w:after="0" w:afterAutospacing="0" w:line="400" w:lineRule="exact"/>
      <w:jc w:val="both"/>
    </w:pPr>
    <w:rPr>
      <w:rFonts w:ascii="Times New Roman" w:hAnsi="Times New Roman" w:eastAsia="黑体" w:cs="宋体"/>
      <w:bCs w:val="0"/>
      <w:kern w:val="2"/>
      <w:szCs w:val="20"/>
    </w:rPr>
  </w:style>
  <w:style w:type="paragraph" w:customStyle="1" w:styleId="78">
    <w:name w:val="列出段落2"/>
    <w:basedOn w:val="1"/>
    <w:qFormat/>
    <w:uiPriority w:val="34"/>
    <w:pPr>
      <w:ind w:firstLine="420" w:firstLineChars="200"/>
    </w:pPr>
  </w:style>
  <w:style w:type="paragraph" w:styleId="79">
    <w:name w:val="List Paragraph"/>
    <w:basedOn w:val="1"/>
    <w:unhideWhenUsed/>
    <w:qFormat/>
    <w:uiPriority w:val="1"/>
    <w:pPr>
      <w:ind w:firstLine="420" w:firstLineChars="200"/>
    </w:pPr>
  </w:style>
  <w:style w:type="paragraph" w:styleId="8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82">
    <w:name w:val="正文文本 3 Char1"/>
    <w:basedOn w:val="37"/>
    <w:link w:val="15"/>
    <w:qFormat/>
    <w:uiPriority w:val="99"/>
    <w:rPr>
      <w:rFonts w:ascii="Times New Roman" w:hAnsi="Times New Roman"/>
      <w:kern w:val="2"/>
      <w:sz w:val="16"/>
      <w:szCs w:val="16"/>
    </w:rPr>
  </w:style>
  <w:style w:type="paragraph" w:customStyle="1" w:styleId="83">
    <w:name w:val="1"/>
    <w:basedOn w:val="1"/>
    <w:next w:val="20"/>
    <w:qFormat/>
    <w:uiPriority w:val="0"/>
    <w:pPr>
      <w:spacing w:before="0" w:beforeAutospacing="0" w:after="0" w:afterAutospacing="0" w:line="240" w:lineRule="auto"/>
    </w:pPr>
    <w:rPr>
      <w:rFonts w:ascii="宋体" w:hAnsi="Courier New"/>
      <w:szCs w:val="22"/>
    </w:rPr>
  </w:style>
  <w:style w:type="character" w:customStyle="1" w:styleId="84">
    <w:name w:val="标题 4 字符"/>
    <w:basedOn w:val="37"/>
    <w:semiHidden/>
    <w:qFormat/>
    <w:uiPriority w:val="9"/>
    <w:rPr>
      <w:rFonts w:asciiTheme="majorHAnsi" w:hAnsiTheme="majorHAnsi" w:eastAsiaTheme="majorEastAsia" w:cstheme="majorBidi"/>
      <w:b/>
      <w:bCs/>
      <w:kern w:val="2"/>
      <w:sz w:val="28"/>
      <w:szCs w:val="28"/>
    </w:rPr>
  </w:style>
  <w:style w:type="character" w:customStyle="1" w:styleId="85">
    <w:name w:val="标题 5 字符"/>
    <w:basedOn w:val="37"/>
    <w:semiHidden/>
    <w:qFormat/>
    <w:uiPriority w:val="9"/>
    <w:rPr>
      <w:rFonts w:ascii="Times New Roman" w:hAnsi="Times New Roman"/>
      <w:b/>
      <w:bCs/>
      <w:kern w:val="2"/>
      <w:sz w:val="28"/>
      <w:szCs w:val="28"/>
    </w:rPr>
  </w:style>
  <w:style w:type="character" w:customStyle="1" w:styleId="86">
    <w:name w:val="标题 6 字符"/>
    <w:basedOn w:val="37"/>
    <w:semiHidden/>
    <w:qFormat/>
    <w:uiPriority w:val="9"/>
    <w:rPr>
      <w:rFonts w:asciiTheme="majorHAnsi" w:hAnsiTheme="majorHAnsi" w:eastAsiaTheme="majorEastAsia" w:cstheme="majorBidi"/>
      <w:b/>
      <w:bCs/>
      <w:kern w:val="2"/>
      <w:sz w:val="24"/>
      <w:szCs w:val="24"/>
    </w:rPr>
  </w:style>
  <w:style w:type="character" w:customStyle="1" w:styleId="87">
    <w:name w:val="标题 7 字符"/>
    <w:basedOn w:val="37"/>
    <w:semiHidden/>
    <w:qFormat/>
    <w:uiPriority w:val="9"/>
    <w:rPr>
      <w:rFonts w:ascii="Times New Roman" w:hAnsi="Times New Roman"/>
      <w:b/>
      <w:bCs/>
      <w:kern w:val="2"/>
      <w:sz w:val="24"/>
      <w:szCs w:val="24"/>
    </w:rPr>
  </w:style>
  <w:style w:type="character" w:customStyle="1" w:styleId="88">
    <w:name w:val="标题 8 字符"/>
    <w:basedOn w:val="37"/>
    <w:semiHidden/>
    <w:qFormat/>
    <w:uiPriority w:val="9"/>
    <w:rPr>
      <w:rFonts w:asciiTheme="majorHAnsi" w:hAnsiTheme="majorHAnsi" w:eastAsiaTheme="majorEastAsia" w:cstheme="majorBidi"/>
      <w:kern w:val="2"/>
      <w:sz w:val="24"/>
      <w:szCs w:val="24"/>
    </w:rPr>
  </w:style>
  <w:style w:type="character" w:customStyle="1" w:styleId="89">
    <w:name w:val="标题 9 字符"/>
    <w:basedOn w:val="37"/>
    <w:semiHidden/>
    <w:qFormat/>
    <w:uiPriority w:val="9"/>
    <w:rPr>
      <w:rFonts w:asciiTheme="majorHAnsi" w:hAnsiTheme="majorHAnsi" w:eastAsiaTheme="majorEastAsia" w:cstheme="majorBidi"/>
      <w:kern w:val="2"/>
      <w:sz w:val="21"/>
      <w:szCs w:val="21"/>
    </w:rPr>
  </w:style>
  <w:style w:type="paragraph" w:customStyle="1" w:styleId="90">
    <w:name w:val="列出段落1_0"/>
    <w:basedOn w:val="1"/>
    <w:qFormat/>
    <w:uiPriority w:val="34"/>
    <w:pPr>
      <w:ind w:firstLine="420"/>
    </w:pPr>
  </w:style>
  <w:style w:type="paragraph" w:customStyle="1" w:styleId="91">
    <w:name w:val="TOC 标题1_0"/>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92">
    <w:name w:val="正文文本 Char1"/>
    <w:qFormat/>
    <w:uiPriority w:val="0"/>
    <w:rPr>
      <w:kern w:val="2"/>
      <w:sz w:val="21"/>
      <w:szCs w:val="22"/>
    </w:rPr>
  </w:style>
  <w:style w:type="character" w:customStyle="1" w:styleId="93">
    <w:name w:val="font21"/>
    <w:qFormat/>
    <w:uiPriority w:val="0"/>
    <w:rPr>
      <w:rFonts w:hint="eastAsia" w:ascii="宋体" w:hAnsi="宋体" w:eastAsia="宋体" w:cs="宋体"/>
      <w:color w:val="000000"/>
      <w:sz w:val="24"/>
      <w:szCs w:val="24"/>
      <w:u w:val="none"/>
    </w:rPr>
  </w:style>
  <w:style w:type="character" w:customStyle="1" w:styleId="94">
    <w:name w:val="日期 Char3"/>
    <w:qFormat/>
    <w:uiPriority w:val="0"/>
    <w:rPr>
      <w:rFonts w:ascii="宋体" w:hAnsi="宋体"/>
      <w:kern w:val="2"/>
      <w:sz w:val="21"/>
      <w:szCs w:val="24"/>
    </w:rPr>
  </w:style>
  <w:style w:type="character" w:customStyle="1" w:styleId="95">
    <w:name w:val="font01"/>
    <w:qFormat/>
    <w:uiPriority w:val="0"/>
    <w:rPr>
      <w:rFonts w:hint="eastAsia" w:ascii="宋体" w:hAnsi="宋体" w:eastAsia="宋体" w:cs="宋体"/>
      <w:b/>
      <w:color w:val="000000"/>
      <w:sz w:val="24"/>
      <w:szCs w:val="24"/>
      <w:u w:val="none"/>
    </w:rPr>
  </w:style>
  <w:style w:type="character" w:customStyle="1" w:styleId="96">
    <w:name w:val="批注框文本 Char1"/>
    <w:qFormat/>
    <w:uiPriority w:val="0"/>
    <w:rPr>
      <w:kern w:val="2"/>
      <w:sz w:val="18"/>
      <w:szCs w:val="18"/>
    </w:rPr>
  </w:style>
  <w:style w:type="character" w:customStyle="1" w:styleId="97">
    <w:name w:val="文档结构图 Char1"/>
    <w:qFormat/>
    <w:uiPriority w:val="0"/>
    <w:rPr>
      <w:rFonts w:ascii="宋体"/>
      <w:kern w:val="2"/>
      <w:sz w:val="18"/>
      <w:szCs w:val="18"/>
    </w:rPr>
  </w:style>
  <w:style w:type="character" w:customStyle="1" w:styleId="98">
    <w:name w:val="日期 Char"/>
    <w:qFormat/>
    <w:uiPriority w:val="0"/>
    <w:rPr>
      <w:rFonts w:ascii="宋体"/>
      <w:sz w:val="28"/>
      <w:lang w:bidi="ar-SA"/>
    </w:rPr>
  </w:style>
  <w:style w:type="character" w:customStyle="1" w:styleId="99">
    <w:name w:val="正文文本缩进 Char"/>
    <w:qFormat/>
    <w:uiPriority w:val="0"/>
    <w:rPr>
      <w:rFonts w:eastAsia="楷体_GB2312"/>
      <w:kern w:val="2"/>
      <w:sz w:val="30"/>
    </w:rPr>
  </w:style>
  <w:style w:type="character" w:customStyle="1" w:styleId="100">
    <w:name w:val="Char Char18"/>
    <w:qFormat/>
    <w:uiPriority w:val="0"/>
    <w:rPr>
      <w:rFonts w:ascii="新宋体" w:hAnsi="Arial" w:eastAsia="新宋体"/>
      <w:b/>
      <w:bCs/>
      <w:kern w:val="2"/>
      <w:sz w:val="24"/>
      <w:szCs w:val="24"/>
      <w:lang w:val="en-US" w:eastAsia="zh-CN" w:bidi="ar-SA"/>
    </w:rPr>
  </w:style>
  <w:style w:type="character" w:customStyle="1" w:styleId="101">
    <w:name w:val="正文文本 2 Char"/>
    <w:link w:val="30"/>
    <w:qFormat/>
    <w:uiPriority w:val="0"/>
    <w:rPr>
      <w:rFonts w:ascii="宋体" w:hAnsi="宋体"/>
      <w:kern w:val="2"/>
      <w:sz w:val="18"/>
    </w:rPr>
  </w:style>
  <w:style w:type="character" w:customStyle="1" w:styleId="102">
    <w:name w:val="正文文本 2 字符"/>
    <w:basedOn w:val="37"/>
    <w:semiHidden/>
    <w:qFormat/>
    <w:uiPriority w:val="99"/>
    <w:rPr>
      <w:rFonts w:ascii="Times New Roman" w:hAnsi="Times New Roman"/>
      <w:kern w:val="2"/>
      <w:sz w:val="21"/>
      <w:szCs w:val="24"/>
    </w:rPr>
  </w:style>
  <w:style w:type="character" w:customStyle="1" w:styleId="103">
    <w:name w:val="Char Char11"/>
    <w:qFormat/>
    <w:uiPriority w:val="0"/>
    <w:rPr>
      <w:rFonts w:ascii="Calibri" w:hAnsi="Calibri" w:eastAsia="宋体"/>
      <w:kern w:val="2"/>
      <w:sz w:val="18"/>
      <w:szCs w:val="18"/>
      <w:lang w:val="en-US" w:eastAsia="zh-CN" w:bidi="ar-SA"/>
    </w:rPr>
  </w:style>
  <w:style w:type="character" w:customStyle="1" w:styleId="104">
    <w:name w:val="Char Char23"/>
    <w:qFormat/>
    <w:uiPriority w:val="0"/>
    <w:rPr>
      <w:rFonts w:ascii="新宋体" w:hAnsi="宋体" w:eastAsia="新宋体"/>
      <w:b/>
      <w:bCs/>
      <w:kern w:val="44"/>
      <w:sz w:val="36"/>
      <w:szCs w:val="44"/>
      <w:lang w:val="en-US" w:eastAsia="zh-CN" w:bidi="ar-SA"/>
    </w:rPr>
  </w:style>
  <w:style w:type="character" w:customStyle="1" w:styleId="105">
    <w:name w:val="页脚 Char"/>
    <w:qFormat/>
    <w:uiPriority w:val="0"/>
    <w:rPr>
      <w:kern w:val="2"/>
      <w:sz w:val="18"/>
    </w:rPr>
  </w:style>
  <w:style w:type="character" w:customStyle="1" w:styleId="106">
    <w:name w:val="Char Char12"/>
    <w:qFormat/>
    <w:uiPriority w:val="0"/>
    <w:rPr>
      <w:rFonts w:ascii="Calibri" w:hAnsi="Calibri" w:eastAsia="宋体"/>
      <w:kern w:val="2"/>
      <w:sz w:val="18"/>
      <w:szCs w:val="18"/>
      <w:lang w:val="en-US" w:eastAsia="zh-CN" w:bidi="ar-SA"/>
    </w:rPr>
  </w:style>
  <w:style w:type="character" w:customStyle="1" w:styleId="107">
    <w:name w:val="明显强调1"/>
    <w:qFormat/>
    <w:uiPriority w:val="0"/>
    <w:rPr>
      <w:b/>
      <w:bCs/>
      <w:i/>
      <w:iCs/>
      <w:color w:val="4F81BD"/>
    </w:rPr>
  </w:style>
  <w:style w:type="character" w:customStyle="1" w:styleId="108">
    <w:name w:val="批注文字 Char"/>
    <w:qFormat/>
    <w:uiPriority w:val="0"/>
    <w:rPr>
      <w:rFonts w:ascii="Calibri" w:hAnsi="Calibri" w:eastAsia="宋体"/>
      <w:sz w:val="22"/>
      <w:szCs w:val="22"/>
      <w:lang w:val="en-US" w:eastAsia="en-US" w:bidi="en-US"/>
    </w:rPr>
  </w:style>
  <w:style w:type="character" w:customStyle="1" w:styleId="109">
    <w:name w:val="Char Char20"/>
    <w:qFormat/>
    <w:uiPriority w:val="0"/>
    <w:rPr>
      <w:rFonts w:ascii="新宋体" w:hAnsi="Arial" w:eastAsia="新宋体"/>
      <w:b/>
      <w:bCs/>
      <w:kern w:val="2"/>
      <w:sz w:val="24"/>
      <w:szCs w:val="28"/>
      <w:lang w:val="en-US" w:eastAsia="zh-CN" w:bidi="ar-SA"/>
    </w:rPr>
  </w:style>
  <w:style w:type="character" w:customStyle="1" w:styleId="110">
    <w:name w:val="标题 1 Char"/>
    <w:link w:val="111"/>
    <w:qFormat/>
    <w:uiPriority w:val="0"/>
    <w:rPr>
      <w:rFonts w:ascii="华文细黑" w:eastAsia="华文细黑"/>
      <w:b/>
      <w:sz w:val="52"/>
    </w:rPr>
  </w:style>
  <w:style w:type="paragraph" w:customStyle="1" w:styleId="111">
    <w:name w:val="标题 1_0"/>
    <w:basedOn w:val="112"/>
    <w:next w:val="112"/>
    <w:link w:val="110"/>
    <w:qFormat/>
    <w:uiPriority w:val="0"/>
    <w:pPr>
      <w:keepNext/>
      <w:keepLines/>
      <w:numPr>
        <w:ilvl w:val="0"/>
        <w:numId w:val="3"/>
      </w:numPr>
      <w:spacing w:before="120" w:after="120" w:line="360" w:lineRule="auto"/>
      <w:ind w:left="0" w:hanging="431" w:hangingChars="205"/>
      <w:outlineLvl w:val="0"/>
    </w:pPr>
    <w:rPr>
      <w:rFonts w:ascii="华文细黑" w:eastAsia="华文细黑"/>
      <w:b/>
      <w:kern w:val="0"/>
      <w:sz w:val="52"/>
      <w:szCs w:val="20"/>
    </w:rPr>
  </w:style>
  <w:style w:type="paragraph" w:customStyle="1" w:styleId="11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3">
    <w:name w:val="正文文本缩进 3 Char"/>
    <w:qFormat/>
    <w:uiPriority w:val="0"/>
    <w:rPr>
      <w:rFonts w:ascii="宋体" w:hAnsi="宋体"/>
      <w:kern w:val="2"/>
      <w:sz w:val="21"/>
    </w:rPr>
  </w:style>
  <w:style w:type="character" w:customStyle="1" w:styleId="114">
    <w:name w:val="Char Char22"/>
    <w:qFormat/>
    <w:uiPriority w:val="0"/>
    <w:rPr>
      <w:rFonts w:ascii="新宋体" w:hAnsi="Arial" w:eastAsia="新宋体"/>
      <w:b/>
      <w:bCs/>
      <w:kern w:val="2"/>
      <w:sz w:val="32"/>
      <w:szCs w:val="32"/>
      <w:lang w:val="en-US" w:eastAsia="zh-CN" w:bidi="ar-SA"/>
    </w:rPr>
  </w:style>
  <w:style w:type="character" w:customStyle="1" w:styleId="115">
    <w:name w:val="Char Char3"/>
    <w:qFormat/>
    <w:uiPriority w:val="0"/>
    <w:rPr>
      <w:rFonts w:ascii="Calibri" w:hAnsi="Calibri" w:eastAsia="宋体"/>
      <w:color w:val="000000"/>
      <w:sz w:val="22"/>
      <w:szCs w:val="18"/>
      <w:lang w:val="en-US" w:eastAsia="en-US" w:bidi="en-US"/>
    </w:rPr>
  </w:style>
  <w:style w:type="character" w:customStyle="1" w:styleId="116">
    <w:name w:val="Char Char21"/>
    <w:qFormat/>
    <w:uiPriority w:val="0"/>
    <w:rPr>
      <w:rFonts w:ascii="新宋体" w:hAnsi="宋体" w:eastAsia="新宋体"/>
      <w:b/>
      <w:bCs/>
      <w:kern w:val="2"/>
      <w:sz w:val="28"/>
      <w:szCs w:val="32"/>
      <w:lang w:val="en-US" w:eastAsia="zh-CN" w:bidi="ar-SA"/>
    </w:rPr>
  </w:style>
  <w:style w:type="character" w:customStyle="1" w:styleId="117">
    <w:name w:val="批注框文本 Char"/>
    <w:qFormat/>
    <w:uiPriority w:val="0"/>
    <w:rPr>
      <w:kern w:val="2"/>
      <w:sz w:val="18"/>
      <w:szCs w:val="18"/>
    </w:rPr>
  </w:style>
  <w:style w:type="character" w:customStyle="1" w:styleId="118">
    <w:name w:val="Char Char17"/>
    <w:qFormat/>
    <w:uiPriority w:val="0"/>
    <w:rPr>
      <w:rFonts w:ascii="新宋体" w:hAnsi="宋体" w:eastAsia="新宋体"/>
      <w:b/>
      <w:bCs/>
      <w:kern w:val="2"/>
      <w:sz w:val="24"/>
      <w:szCs w:val="24"/>
      <w:lang w:val="en-US" w:eastAsia="zh-CN" w:bidi="ar-SA"/>
    </w:rPr>
  </w:style>
  <w:style w:type="character" w:customStyle="1" w:styleId="119">
    <w:name w:val="Char Char19"/>
    <w:qFormat/>
    <w:uiPriority w:val="0"/>
    <w:rPr>
      <w:rFonts w:ascii="新宋体" w:hAnsi="宋体" w:eastAsia="新宋体"/>
      <w:b/>
      <w:bCs/>
      <w:kern w:val="2"/>
      <w:sz w:val="24"/>
      <w:szCs w:val="28"/>
      <w:lang w:val="en-US" w:eastAsia="zh-CN" w:bidi="ar-SA"/>
    </w:rPr>
  </w:style>
  <w:style w:type="character" w:customStyle="1" w:styleId="120">
    <w:name w:val="Char Char9"/>
    <w:qFormat/>
    <w:uiPriority w:val="0"/>
    <w:rPr>
      <w:rFonts w:ascii="Calibri" w:hAnsi="Calibri" w:eastAsia="宋体"/>
      <w:kern w:val="2"/>
      <w:sz w:val="18"/>
      <w:szCs w:val="18"/>
      <w:lang w:val="en-US" w:eastAsia="zh-CN" w:bidi="ar-SA"/>
    </w:rPr>
  </w:style>
  <w:style w:type="character" w:customStyle="1" w:styleId="121">
    <w:name w:val="正文文本缩进 2 Char"/>
    <w:link w:val="22"/>
    <w:qFormat/>
    <w:uiPriority w:val="0"/>
    <w:rPr>
      <w:rFonts w:ascii="宋体" w:hAnsi="宋体"/>
      <w:b/>
      <w:kern w:val="2"/>
      <w:sz w:val="21"/>
    </w:rPr>
  </w:style>
  <w:style w:type="character" w:customStyle="1" w:styleId="122">
    <w:name w:val="正文文本缩进 2 字符"/>
    <w:basedOn w:val="37"/>
    <w:semiHidden/>
    <w:qFormat/>
    <w:uiPriority w:val="99"/>
    <w:rPr>
      <w:rFonts w:ascii="Times New Roman" w:hAnsi="Times New Roman"/>
      <w:kern w:val="2"/>
      <w:sz w:val="21"/>
      <w:szCs w:val="24"/>
    </w:rPr>
  </w:style>
  <w:style w:type="character" w:customStyle="1" w:styleId="123">
    <w:name w:val="页眉 Char"/>
    <w:qFormat/>
    <w:uiPriority w:val="0"/>
    <w:rPr>
      <w:kern w:val="2"/>
      <w:sz w:val="18"/>
    </w:rPr>
  </w:style>
  <w:style w:type="character" w:customStyle="1" w:styleId="124">
    <w:name w:val="引用 Char"/>
    <w:link w:val="125"/>
    <w:qFormat/>
    <w:uiPriority w:val="0"/>
    <w:rPr>
      <w:i/>
      <w:iCs/>
      <w:color w:val="000000"/>
      <w:sz w:val="22"/>
      <w:szCs w:val="22"/>
      <w:lang w:eastAsia="en-US" w:bidi="en-US"/>
    </w:rPr>
  </w:style>
  <w:style w:type="paragraph" w:styleId="125">
    <w:name w:val="Quote"/>
    <w:basedOn w:val="1"/>
    <w:next w:val="1"/>
    <w:link w:val="124"/>
    <w:qFormat/>
    <w:uiPriority w:val="0"/>
    <w:pPr>
      <w:widowControl/>
      <w:spacing w:before="0" w:beforeAutospacing="0" w:after="200" w:afterAutospacing="0" w:line="276" w:lineRule="auto"/>
      <w:jc w:val="left"/>
    </w:pPr>
    <w:rPr>
      <w:rFonts w:ascii="Calibri" w:hAnsi="Calibri"/>
      <w:i/>
      <w:iCs/>
      <w:color w:val="000000"/>
      <w:kern w:val="0"/>
      <w:sz w:val="22"/>
      <w:szCs w:val="22"/>
      <w:lang w:eastAsia="en-US" w:bidi="en-US"/>
    </w:rPr>
  </w:style>
  <w:style w:type="character" w:customStyle="1" w:styleId="126">
    <w:name w:val="引用 字符"/>
    <w:basedOn w:val="37"/>
    <w:qFormat/>
    <w:uiPriority w:val="99"/>
    <w:rPr>
      <w:rFonts w:ascii="Times New Roman" w:hAnsi="Times New Roman"/>
      <w:i/>
      <w:iCs/>
      <w:color w:val="3F3F3F" w:themeColor="text1" w:themeTint="BF"/>
      <w:kern w:val="2"/>
      <w:sz w:val="21"/>
      <w:szCs w:val="24"/>
    </w:rPr>
  </w:style>
  <w:style w:type="character" w:customStyle="1" w:styleId="127">
    <w:name w:val="正文文本 Char"/>
    <w:qFormat/>
    <w:uiPriority w:val="0"/>
    <w:rPr>
      <w:rFonts w:eastAsia="楷体_GB2312"/>
      <w:kern w:val="2"/>
      <w:sz w:val="30"/>
    </w:rPr>
  </w:style>
  <w:style w:type="character" w:customStyle="1" w:styleId="128">
    <w:name w:val="Char Char15"/>
    <w:qFormat/>
    <w:uiPriority w:val="0"/>
    <w:rPr>
      <w:rFonts w:ascii="Cambria" w:hAnsi="Cambria" w:eastAsia="宋体"/>
      <w:i/>
      <w:iCs/>
      <w:color w:val="404040"/>
      <w:lang w:val="en-US" w:eastAsia="en-US" w:bidi="en-US"/>
    </w:rPr>
  </w:style>
  <w:style w:type="character" w:customStyle="1" w:styleId="129">
    <w:name w:val="正文文本 3 Char"/>
    <w:qFormat/>
    <w:uiPriority w:val="0"/>
    <w:rPr>
      <w:color w:val="000000"/>
      <w:kern w:val="2"/>
      <w:sz w:val="21"/>
    </w:rPr>
  </w:style>
  <w:style w:type="character" w:customStyle="1" w:styleId="130">
    <w:name w:val="Char Char8"/>
    <w:qFormat/>
    <w:uiPriority w:val="0"/>
    <w:rPr>
      <w:rFonts w:ascii="Calibri" w:hAnsi="Calibri" w:eastAsia="楷体_GB2312"/>
      <w:sz w:val="30"/>
      <w:szCs w:val="22"/>
      <w:lang w:val="en-US" w:eastAsia="en-US" w:bidi="en-US"/>
    </w:rPr>
  </w:style>
  <w:style w:type="character" w:customStyle="1" w:styleId="131">
    <w:name w:val="Char Char7"/>
    <w:qFormat/>
    <w:uiPriority w:val="0"/>
    <w:rPr>
      <w:rFonts w:ascii="Calibri" w:hAnsi="Calibri" w:eastAsia="楷体_GB2312"/>
      <w:sz w:val="30"/>
      <w:szCs w:val="22"/>
      <w:lang w:val="en-US" w:eastAsia="en-US" w:bidi="en-US"/>
    </w:rPr>
  </w:style>
  <w:style w:type="character" w:customStyle="1" w:styleId="132">
    <w:name w:val="标题 2 Char"/>
    <w:link w:val="133"/>
    <w:qFormat/>
    <w:uiPriority w:val="0"/>
    <w:rPr>
      <w:rFonts w:ascii="华文细黑" w:hAnsi="Arial" w:eastAsia="华文细黑"/>
      <w:b/>
      <w:sz w:val="44"/>
    </w:rPr>
  </w:style>
  <w:style w:type="paragraph" w:customStyle="1" w:styleId="133">
    <w:name w:val="标题 2_0"/>
    <w:basedOn w:val="112"/>
    <w:next w:val="112"/>
    <w:link w:val="132"/>
    <w:qFormat/>
    <w:uiPriority w:val="0"/>
    <w:pPr>
      <w:keepNext/>
      <w:keepLines/>
      <w:spacing w:before="260" w:after="260" w:line="416" w:lineRule="auto"/>
      <w:ind w:left="576" w:hanging="576"/>
      <w:outlineLvl w:val="1"/>
    </w:pPr>
    <w:rPr>
      <w:rFonts w:ascii="华文细黑" w:hAnsi="Arial" w:eastAsia="华文细黑"/>
      <w:b/>
      <w:kern w:val="0"/>
      <w:sz w:val="44"/>
      <w:szCs w:val="20"/>
    </w:rPr>
  </w:style>
  <w:style w:type="character" w:customStyle="1" w:styleId="134">
    <w:name w:val="Char Char5"/>
    <w:qFormat/>
    <w:uiPriority w:val="0"/>
    <w:rPr>
      <w:rFonts w:ascii="宋体" w:hAnsi="宋体" w:eastAsia="宋体"/>
      <w:sz w:val="18"/>
      <w:szCs w:val="22"/>
      <w:lang w:val="en-US" w:eastAsia="en-US" w:bidi="en-US"/>
    </w:rPr>
  </w:style>
  <w:style w:type="character" w:customStyle="1" w:styleId="135">
    <w:name w:val="Char Char6"/>
    <w:qFormat/>
    <w:uiPriority w:val="0"/>
    <w:rPr>
      <w:rFonts w:ascii="宋体" w:hAnsi="宋体" w:eastAsia="宋体"/>
      <w:b/>
      <w:bCs/>
      <w:sz w:val="22"/>
      <w:szCs w:val="22"/>
      <w:lang w:val="en-US" w:eastAsia="en-US" w:bidi="en-US"/>
    </w:rPr>
  </w:style>
  <w:style w:type="character" w:customStyle="1" w:styleId="136">
    <w:name w:val="标题 3 Char"/>
    <w:link w:val="137"/>
    <w:qFormat/>
    <w:uiPriority w:val="9"/>
    <w:rPr>
      <w:rFonts w:eastAsia="华文细黑"/>
      <w:sz w:val="36"/>
    </w:rPr>
  </w:style>
  <w:style w:type="paragraph" w:customStyle="1" w:styleId="137">
    <w:name w:val="标题 3_0"/>
    <w:basedOn w:val="112"/>
    <w:next w:val="112"/>
    <w:link w:val="136"/>
    <w:qFormat/>
    <w:uiPriority w:val="9"/>
    <w:pPr>
      <w:keepNext/>
      <w:keepLines/>
      <w:numPr>
        <w:ilvl w:val="2"/>
        <w:numId w:val="3"/>
      </w:numPr>
      <w:spacing w:before="260" w:after="260" w:line="416" w:lineRule="auto"/>
      <w:outlineLvl w:val="2"/>
    </w:pPr>
    <w:rPr>
      <w:rFonts w:eastAsia="华文细黑"/>
      <w:kern w:val="0"/>
      <w:sz w:val="36"/>
      <w:szCs w:val="20"/>
    </w:rPr>
  </w:style>
  <w:style w:type="character" w:customStyle="1" w:styleId="138">
    <w:name w:val="批注主题 Char"/>
    <w:qFormat/>
    <w:uiPriority w:val="0"/>
    <w:rPr>
      <w:rFonts w:ascii="Calibri" w:hAnsi="Calibri" w:eastAsia="宋体"/>
      <w:b/>
      <w:bCs/>
      <w:sz w:val="22"/>
      <w:szCs w:val="22"/>
      <w:lang w:val="en-US" w:eastAsia="en-US" w:bidi="en-US"/>
    </w:rPr>
  </w:style>
  <w:style w:type="character" w:customStyle="1" w:styleId="139">
    <w:name w:val="Char Char13"/>
    <w:qFormat/>
    <w:uiPriority w:val="0"/>
    <w:rPr>
      <w:rFonts w:eastAsia="宋体"/>
      <w:kern w:val="2"/>
      <w:sz w:val="21"/>
      <w:szCs w:val="24"/>
      <w:lang w:val="en-US" w:eastAsia="zh-CN" w:bidi="ar-SA"/>
    </w:rPr>
  </w:style>
  <w:style w:type="character" w:customStyle="1" w:styleId="140">
    <w:name w:val="Char Char4"/>
    <w:qFormat/>
    <w:uiPriority w:val="0"/>
    <w:rPr>
      <w:rFonts w:ascii="宋体" w:hAnsi="宋体" w:eastAsia="宋体"/>
      <w:sz w:val="22"/>
      <w:szCs w:val="22"/>
      <w:lang w:val="en-US" w:eastAsia="en-US" w:bidi="en-US"/>
    </w:rPr>
  </w:style>
  <w:style w:type="character" w:customStyle="1" w:styleId="141">
    <w:name w:val="Char Char16"/>
    <w:qFormat/>
    <w:uiPriority w:val="0"/>
    <w:rPr>
      <w:rFonts w:ascii="Cambria" w:hAnsi="Cambria" w:eastAsia="宋体"/>
      <w:color w:val="4F81BD"/>
      <w:lang w:val="en-US" w:eastAsia="en-US" w:bidi="en-US"/>
    </w:rPr>
  </w:style>
  <w:style w:type="character" w:customStyle="1" w:styleId="142">
    <w:name w:val="标题 Char"/>
    <w:qFormat/>
    <w:uiPriority w:val="0"/>
    <w:rPr>
      <w:rFonts w:ascii="新宋体" w:hAnsi="Arial" w:eastAsia="新宋体" w:cs="Arial"/>
      <w:b/>
      <w:bCs/>
      <w:kern w:val="2"/>
      <w:sz w:val="32"/>
      <w:szCs w:val="32"/>
    </w:rPr>
  </w:style>
  <w:style w:type="character" w:customStyle="1" w:styleId="143">
    <w:name w:val="文档结构图 Char"/>
    <w:qFormat/>
    <w:uiPriority w:val="0"/>
    <w:rPr>
      <w:kern w:val="2"/>
      <w:sz w:val="21"/>
      <w:shd w:val="clear" w:color="auto" w:fill="000080"/>
    </w:rPr>
  </w:style>
  <w:style w:type="character" w:customStyle="1" w:styleId="144">
    <w:name w:val="副标题 Char"/>
    <w:link w:val="27"/>
    <w:qFormat/>
    <w:uiPriority w:val="0"/>
    <w:rPr>
      <w:rFonts w:ascii="Cambria" w:hAnsi="Cambria"/>
      <w:i/>
      <w:iCs/>
      <w:color w:val="4F81BD"/>
      <w:spacing w:val="15"/>
      <w:sz w:val="24"/>
      <w:szCs w:val="24"/>
      <w:lang w:eastAsia="en-US" w:bidi="en-US"/>
    </w:rPr>
  </w:style>
  <w:style w:type="character" w:customStyle="1" w:styleId="145">
    <w:name w:val="副标题 字符"/>
    <w:basedOn w:val="37"/>
    <w:qFormat/>
    <w:uiPriority w:val="11"/>
    <w:rPr>
      <w:rFonts w:asciiTheme="minorHAnsi" w:hAnsiTheme="minorHAnsi" w:eastAsiaTheme="minorEastAsia" w:cstheme="minorBidi"/>
      <w:b/>
      <w:bCs/>
      <w:kern w:val="28"/>
      <w:sz w:val="32"/>
      <w:szCs w:val="32"/>
    </w:rPr>
  </w:style>
  <w:style w:type="character" w:customStyle="1" w:styleId="146">
    <w:name w:val="明显引用 Char"/>
    <w:link w:val="147"/>
    <w:qFormat/>
    <w:uiPriority w:val="0"/>
    <w:rPr>
      <w:b/>
      <w:bCs/>
      <w:i/>
      <w:iCs/>
      <w:color w:val="4F81BD"/>
      <w:sz w:val="22"/>
      <w:szCs w:val="22"/>
      <w:lang w:eastAsia="en-US" w:bidi="en-US"/>
    </w:rPr>
  </w:style>
  <w:style w:type="paragraph" w:styleId="147">
    <w:name w:val="Intense Quote"/>
    <w:basedOn w:val="1"/>
    <w:next w:val="1"/>
    <w:link w:val="146"/>
    <w:qFormat/>
    <w:uiPriority w:val="0"/>
    <w:pPr>
      <w:widowControl/>
      <w:pBdr>
        <w:bottom w:val="single" w:color="4F81BD" w:sz="4" w:space="4"/>
      </w:pBdr>
      <w:spacing w:before="200" w:beforeAutospacing="0" w:after="280" w:afterAutospacing="0" w:line="276" w:lineRule="auto"/>
      <w:ind w:left="936" w:right="936"/>
      <w:jc w:val="left"/>
    </w:pPr>
    <w:rPr>
      <w:rFonts w:ascii="Calibri" w:hAnsi="Calibri"/>
      <w:b/>
      <w:bCs/>
      <w:i/>
      <w:iCs/>
      <w:color w:val="4F81BD"/>
      <w:kern w:val="0"/>
      <w:sz w:val="22"/>
      <w:szCs w:val="22"/>
      <w:lang w:eastAsia="en-US" w:bidi="en-US"/>
    </w:rPr>
  </w:style>
  <w:style w:type="character" w:customStyle="1" w:styleId="148">
    <w:name w:val="明显引用 字符"/>
    <w:basedOn w:val="37"/>
    <w:qFormat/>
    <w:uiPriority w:val="99"/>
    <w:rPr>
      <w:rFonts w:ascii="Times New Roman" w:hAnsi="Times New Roman"/>
      <w:i/>
      <w:iCs/>
      <w:color w:val="4F81BD" w:themeColor="accent1"/>
      <w:kern w:val="2"/>
      <w:sz w:val="21"/>
      <w:szCs w:val="24"/>
    </w:rPr>
  </w:style>
  <w:style w:type="character" w:customStyle="1" w:styleId="149">
    <w:name w:val="标题4 Char Char"/>
    <w:link w:val="150"/>
    <w:qFormat/>
    <w:uiPriority w:val="0"/>
    <w:rPr>
      <w:rFonts w:ascii="Arial" w:hAnsi="Arial"/>
      <w:b/>
      <w:bCs/>
      <w:sz w:val="24"/>
      <w:szCs w:val="32"/>
    </w:rPr>
  </w:style>
  <w:style w:type="paragraph" w:customStyle="1" w:styleId="150">
    <w:name w:val="标题4"/>
    <w:basedOn w:val="4"/>
    <w:next w:val="18"/>
    <w:link w:val="149"/>
    <w:qFormat/>
    <w:uiPriority w:val="0"/>
    <w:pPr>
      <w:spacing w:before="260" w:beforeAutospacing="0" w:after="260" w:afterAutospacing="0" w:line="413" w:lineRule="auto"/>
      <w:jc w:val="both"/>
    </w:pPr>
    <w:rPr>
      <w:rFonts w:ascii="Arial" w:hAnsi="Arial" w:eastAsia="宋体"/>
      <w:b/>
      <w:sz w:val="24"/>
    </w:rPr>
  </w:style>
  <w:style w:type="character" w:customStyle="1" w:styleId="151">
    <w:name w:val="批注主题 Char1"/>
    <w:qFormat/>
    <w:uiPriority w:val="0"/>
    <w:rPr>
      <w:b/>
      <w:bCs/>
      <w:kern w:val="2"/>
      <w:sz w:val="21"/>
      <w:szCs w:val="22"/>
    </w:rPr>
  </w:style>
  <w:style w:type="character" w:customStyle="1" w:styleId="152">
    <w:name w:val="不明显参考1"/>
    <w:qFormat/>
    <w:uiPriority w:val="0"/>
    <w:rPr>
      <w:smallCaps/>
      <w:color w:val="C0504D"/>
      <w:u w:val="single"/>
    </w:rPr>
  </w:style>
  <w:style w:type="character" w:customStyle="1" w:styleId="153">
    <w:name w:val="书籍标题1"/>
    <w:qFormat/>
    <w:uiPriority w:val="0"/>
    <w:rPr>
      <w:b/>
      <w:bCs/>
      <w:smallCaps/>
      <w:spacing w:val="5"/>
    </w:rPr>
  </w:style>
  <w:style w:type="character" w:customStyle="1" w:styleId="154">
    <w:name w:val="日期 Char2"/>
    <w:qFormat/>
    <w:uiPriority w:val="0"/>
    <w:rPr>
      <w:kern w:val="2"/>
      <w:sz w:val="21"/>
    </w:rPr>
  </w:style>
  <w:style w:type="character" w:customStyle="1" w:styleId="155">
    <w:name w:val="明显引用 Char1"/>
    <w:qFormat/>
    <w:uiPriority w:val="0"/>
    <w:rPr>
      <w:b/>
      <w:bCs/>
      <w:i/>
      <w:iCs/>
      <w:color w:val="4F81BD"/>
      <w:kern w:val="2"/>
      <w:sz w:val="21"/>
    </w:rPr>
  </w:style>
  <w:style w:type="character" w:customStyle="1" w:styleId="156">
    <w:name w:val="日期 Char1"/>
    <w:qFormat/>
    <w:uiPriority w:val="0"/>
    <w:rPr>
      <w:kern w:val="2"/>
      <w:sz w:val="21"/>
      <w:szCs w:val="22"/>
    </w:rPr>
  </w:style>
  <w:style w:type="character" w:customStyle="1" w:styleId="157">
    <w:name w:val="明显参考1"/>
    <w:qFormat/>
    <w:uiPriority w:val="0"/>
    <w:rPr>
      <w:b/>
      <w:bCs/>
      <w:smallCaps/>
      <w:color w:val="C0504D"/>
      <w:spacing w:val="5"/>
      <w:u w:val="single"/>
    </w:rPr>
  </w:style>
  <w:style w:type="character" w:customStyle="1" w:styleId="158">
    <w:name w:val="副标题 Char1"/>
    <w:qFormat/>
    <w:uiPriority w:val="0"/>
    <w:rPr>
      <w:rFonts w:ascii="Cambria" w:hAnsi="Cambria" w:cs="Times New Roman"/>
      <w:b/>
      <w:bCs/>
      <w:kern w:val="28"/>
      <w:sz w:val="32"/>
      <w:szCs w:val="32"/>
    </w:rPr>
  </w:style>
  <w:style w:type="character" w:customStyle="1" w:styleId="159">
    <w:name w:val="批注文字 Char1"/>
    <w:qFormat/>
    <w:uiPriority w:val="0"/>
    <w:rPr>
      <w:kern w:val="2"/>
      <w:sz w:val="21"/>
    </w:rPr>
  </w:style>
  <w:style w:type="character" w:customStyle="1" w:styleId="160">
    <w:name w:val="textcontents"/>
    <w:qFormat/>
    <w:uiPriority w:val="0"/>
    <w:rPr>
      <w:rFonts w:cs="Times New Roman"/>
    </w:rPr>
  </w:style>
  <w:style w:type="character" w:customStyle="1" w:styleId="161">
    <w:name w:val="引用 Char1"/>
    <w:qFormat/>
    <w:uiPriority w:val="0"/>
    <w:rPr>
      <w:i/>
      <w:iCs/>
      <w:color w:val="000000"/>
      <w:kern w:val="2"/>
      <w:sz w:val="21"/>
    </w:rPr>
  </w:style>
  <w:style w:type="character" w:customStyle="1" w:styleId="162">
    <w:name w:val="标题5 Char Char"/>
    <w:link w:val="163"/>
    <w:qFormat/>
    <w:uiPriority w:val="0"/>
    <w:rPr>
      <w:rFonts w:ascii="Arial" w:hAnsi="Arial"/>
      <w:b/>
      <w:bCs/>
      <w:sz w:val="24"/>
      <w:szCs w:val="32"/>
    </w:rPr>
  </w:style>
  <w:style w:type="paragraph" w:customStyle="1" w:styleId="163">
    <w:name w:val="标题5"/>
    <w:basedOn w:val="5"/>
    <w:link w:val="162"/>
    <w:qFormat/>
    <w:uiPriority w:val="0"/>
    <w:pPr>
      <w:spacing w:before="260" w:beforeAutospacing="0" w:after="260" w:afterAutospacing="0" w:line="413" w:lineRule="auto"/>
      <w:jc w:val="both"/>
    </w:pPr>
    <w:rPr>
      <w:rFonts w:ascii="Arial" w:hAnsi="Arial" w:eastAsia="宋体"/>
      <w:b/>
    </w:rPr>
  </w:style>
  <w:style w:type="character" w:customStyle="1" w:styleId="164">
    <w:name w:val="不明显强调1"/>
    <w:qFormat/>
    <w:uiPriority w:val="0"/>
    <w:rPr>
      <w:i/>
      <w:iCs/>
      <w:color w:val="808080"/>
    </w:rPr>
  </w:style>
  <w:style w:type="character" w:customStyle="1" w:styleId="165">
    <w:name w:val="批注主题 Char2"/>
    <w:qFormat/>
    <w:uiPriority w:val="0"/>
    <w:rPr>
      <w:b/>
      <w:bCs/>
      <w:kern w:val="2"/>
      <w:sz w:val="21"/>
    </w:rPr>
  </w:style>
  <w:style w:type="paragraph" w:customStyle="1" w:styleId="166">
    <w:name w:val="Char Char Char"/>
    <w:basedOn w:val="1"/>
    <w:qFormat/>
    <w:uiPriority w:val="0"/>
    <w:pPr>
      <w:spacing w:before="0" w:beforeAutospacing="0" w:after="0" w:afterAutospacing="0" w:line="240" w:lineRule="auto"/>
    </w:pPr>
  </w:style>
  <w:style w:type="paragraph" w:customStyle="1" w:styleId="167">
    <w:name w:val="_Style 21"/>
    <w:basedOn w:val="1"/>
    <w:qFormat/>
    <w:uiPriority w:val="0"/>
    <w:pPr>
      <w:spacing w:before="0" w:beforeAutospacing="0" w:after="0" w:afterAutospacing="0" w:line="240" w:lineRule="auto"/>
    </w:pPr>
  </w:style>
  <w:style w:type="paragraph" w:customStyle="1" w:styleId="168">
    <w:name w:val="xl25"/>
    <w:basedOn w:val="1"/>
    <w:qFormat/>
    <w:uiPriority w:val="0"/>
    <w:pPr>
      <w:widowControl/>
      <w:spacing w:line="240" w:lineRule="auto"/>
      <w:textAlignment w:val="center"/>
    </w:pPr>
    <w:rPr>
      <w:rFonts w:ascii="宋体" w:hAnsi="宋体"/>
      <w:kern w:val="0"/>
      <w:sz w:val="18"/>
      <w:szCs w:val="20"/>
    </w:rPr>
  </w:style>
  <w:style w:type="paragraph" w:customStyle="1" w:styleId="169">
    <w:name w:val="xl37"/>
    <w:basedOn w:val="1"/>
    <w:qFormat/>
    <w:uiPriority w:val="0"/>
    <w:pPr>
      <w:widowControl/>
      <w:pBdr>
        <w:left w:val="single" w:color="auto" w:sz="8" w:space="0"/>
        <w:right w:val="single" w:color="auto" w:sz="4" w:space="0"/>
      </w:pBdr>
      <w:spacing w:line="240" w:lineRule="auto"/>
      <w:jc w:val="center"/>
      <w:textAlignment w:val="center"/>
    </w:pPr>
    <w:rPr>
      <w:rFonts w:ascii="宋体" w:hAnsi="宋体"/>
      <w:kern w:val="0"/>
      <w:sz w:val="18"/>
      <w:szCs w:val="20"/>
    </w:rPr>
  </w:style>
  <w:style w:type="paragraph" w:customStyle="1" w:styleId="170">
    <w:name w:val="font5"/>
    <w:basedOn w:val="1"/>
    <w:qFormat/>
    <w:uiPriority w:val="0"/>
    <w:pPr>
      <w:widowControl/>
      <w:spacing w:line="240" w:lineRule="auto"/>
      <w:jc w:val="left"/>
    </w:pPr>
    <w:rPr>
      <w:rFonts w:ascii="宋体" w:hAnsi="宋体" w:cs="宋体"/>
      <w:kern w:val="0"/>
      <w:sz w:val="18"/>
      <w:szCs w:val="18"/>
    </w:rPr>
  </w:style>
  <w:style w:type="paragraph" w:customStyle="1" w:styleId="171">
    <w:name w:val="修订2"/>
    <w:qFormat/>
    <w:uiPriority w:val="0"/>
    <w:rPr>
      <w:rFonts w:ascii="Times New Roman" w:hAnsi="Times New Roman" w:eastAsia="宋体" w:cs="Times New Roman"/>
      <w:kern w:val="2"/>
      <w:sz w:val="21"/>
      <w:szCs w:val="24"/>
      <w:lang w:val="en-US" w:eastAsia="zh-CN" w:bidi="ar-SA"/>
    </w:rPr>
  </w:style>
  <w:style w:type="paragraph" w:customStyle="1" w:styleId="172">
    <w:name w:val="Char"/>
    <w:basedOn w:val="1"/>
    <w:qFormat/>
    <w:uiPriority w:val="0"/>
    <w:pPr>
      <w:spacing w:before="0" w:beforeAutospacing="0" w:after="0" w:afterAutospacing="0" w:line="240" w:lineRule="auto"/>
    </w:pPr>
    <w:rPr>
      <w:szCs w:val="21"/>
    </w:rPr>
  </w:style>
  <w:style w:type="paragraph" w:customStyle="1" w:styleId="173">
    <w:name w:val="GZTB表格样式"/>
    <w:basedOn w:val="1"/>
    <w:qFormat/>
    <w:uiPriority w:val="0"/>
    <w:pPr>
      <w:spacing w:before="0" w:beforeAutospacing="0" w:after="200" w:afterAutospacing="0" w:line="440" w:lineRule="exact"/>
    </w:pPr>
    <w:rPr>
      <w:rFonts w:ascii="新宋体" w:hAnsi="新宋体" w:eastAsia="新宋体"/>
      <w:szCs w:val="22"/>
    </w:rPr>
  </w:style>
  <w:style w:type="paragraph" w:customStyle="1" w:styleId="174">
    <w:name w:val="列表段落1"/>
    <w:basedOn w:val="1"/>
    <w:qFormat/>
    <w:uiPriority w:val="0"/>
    <w:pPr>
      <w:spacing w:before="0" w:beforeAutospacing="0" w:after="0" w:afterAutospacing="0" w:line="240" w:lineRule="auto"/>
      <w:ind w:firstLine="420" w:firstLineChars="200"/>
    </w:pPr>
    <w:rPr>
      <w:rFonts w:ascii="Calibri" w:hAnsi="Calibri"/>
      <w:szCs w:val="22"/>
    </w:rPr>
  </w:style>
  <w:style w:type="paragraph" w:customStyle="1" w:styleId="175">
    <w:name w:val="样式 标题 3 + (中文) 黑体 小四 非加粗 段前: 7.8 磅 段后: 0 磅 行距: 固定值 20 磅"/>
    <w:basedOn w:val="5"/>
    <w:qFormat/>
    <w:uiPriority w:val="0"/>
    <w:pPr>
      <w:spacing w:before="0" w:beforeAutospacing="0" w:after="0" w:afterAutospacing="0" w:line="400" w:lineRule="exact"/>
      <w:jc w:val="both"/>
    </w:pPr>
    <w:rPr>
      <w:rFonts w:cs="宋体"/>
      <w:bCs w:val="0"/>
      <w:szCs w:val="20"/>
      <w:lang w:val="zh-CN"/>
    </w:rPr>
  </w:style>
  <w:style w:type="paragraph" w:customStyle="1" w:styleId="176">
    <w:name w:val="GZTB段落样式"/>
    <w:basedOn w:val="1"/>
    <w:qFormat/>
    <w:uiPriority w:val="0"/>
    <w:pPr>
      <w:spacing w:before="0" w:beforeAutospacing="0" w:after="200" w:afterAutospacing="0" w:line="440" w:lineRule="exact"/>
      <w:ind w:firstLine="420" w:firstLineChars="200"/>
    </w:pPr>
    <w:rPr>
      <w:rFonts w:ascii="新宋体" w:hAnsi="新宋体" w:eastAsia="新宋体"/>
      <w:szCs w:val="22"/>
    </w:rPr>
  </w:style>
  <w:style w:type="paragraph" w:customStyle="1" w:styleId="177">
    <w:name w:val="TOC 标题2"/>
    <w:basedOn w:val="3"/>
    <w:next w:val="1"/>
    <w:qFormat/>
    <w:uiPriority w:val="39"/>
    <w:pPr>
      <w:spacing w:before="340" w:beforeAutospacing="0" w:after="330" w:afterAutospacing="0" w:line="576" w:lineRule="auto"/>
      <w:jc w:val="both"/>
      <w:outlineLvl w:val="9"/>
    </w:pPr>
    <w:rPr>
      <w:rFonts w:ascii="Calibri" w:hAnsi="Calibri" w:eastAsia="宋体"/>
      <w:b/>
      <w:sz w:val="44"/>
      <w:lang w:val="zh-CN"/>
    </w:rPr>
  </w:style>
  <w:style w:type="paragraph" w:customStyle="1" w:styleId="178">
    <w:name w:val="空半行"/>
    <w:basedOn w:val="1"/>
    <w:qFormat/>
    <w:uiPriority w:val="0"/>
    <w:pPr>
      <w:adjustRightInd w:val="0"/>
      <w:spacing w:before="0" w:beforeAutospacing="0" w:after="0" w:afterAutospacing="0" w:line="120" w:lineRule="exact"/>
      <w:textAlignment w:val="baseline"/>
    </w:pPr>
    <w:rPr>
      <w:rFonts w:eastAsia="仿宋_GB2312"/>
      <w:color w:val="FFFFFF"/>
      <w:kern w:val="0"/>
      <w:sz w:val="30"/>
      <w:szCs w:val="20"/>
    </w:rPr>
  </w:style>
  <w:style w:type="paragraph" w:customStyle="1" w:styleId="179">
    <w:name w:val="flNote"/>
    <w:basedOn w:val="1"/>
    <w:qFormat/>
    <w:uiPriority w:val="0"/>
    <w:pPr>
      <w:adjustRightInd w:val="0"/>
      <w:spacing w:before="320" w:beforeAutospacing="0" w:after="160" w:afterAutospacing="0" w:line="360" w:lineRule="atLeast"/>
      <w:jc w:val="center"/>
      <w:textAlignment w:val="baseline"/>
    </w:pPr>
    <w:rPr>
      <w:rFonts w:ascii="Arial" w:eastAsia="黑体"/>
      <w:kern w:val="0"/>
      <w:sz w:val="30"/>
      <w:szCs w:val="20"/>
    </w:rPr>
  </w:style>
  <w:style w:type="paragraph" w:customStyle="1" w:styleId="18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81">
    <w:name w:val="正文_1"/>
    <w:qFormat/>
    <w:uiPriority w:val="0"/>
    <w:rPr>
      <w:rFonts w:ascii="Times New Roman" w:hAnsi="Times New Roman" w:eastAsia="宋体" w:cs="Times New Roman"/>
      <w:sz w:val="21"/>
      <w:lang w:val="en-US" w:eastAsia="zh-CN" w:bidi="ar-SA"/>
    </w:rPr>
  </w:style>
  <w:style w:type="paragraph" w:customStyle="1" w:styleId="182">
    <w:name w:val="纯文本_0"/>
    <w:basedOn w:val="112"/>
    <w:link w:val="183"/>
    <w:unhideWhenUsed/>
    <w:qFormat/>
    <w:uiPriority w:val="0"/>
    <w:pPr>
      <w:widowControl/>
      <w:jc w:val="left"/>
    </w:pPr>
    <w:rPr>
      <w:rFonts w:ascii="宋体" w:hAnsi="Courier New"/>
      <w:kern w:val="0"/>
      <w:sz w:val="20"/>
      <w:szCs w:val="21"/>
      <w:lang w:val="zh-CN"/>
    </w:rPr>
  </w:style>
  <w:style w:type="character" w:customStyle="1" w:styleId="183">
    <w:name w:val="纯文本 Char_0"/>
    <w:link w:val="182"/>
    <w:qFormat/>
    <w:locked/>
    <w:uiPriority w:val="0"/>
    <w:rPr>
      <w:rFonts w:ascii="宋体" w:hAnsi="Courier New"/>
      <w:szCs w:val="21"/>
      <w:lang w:val="zh-CN" w:eastAsia="zh-CN"/>
    </w:rPr>
  </w:style>
  <w:style w:type="paragraph" w:customStyle="1" w:styleId="184">
    <w:name w:val="标题 4_0"/>
    <w:basedOn w:val="112"/>
    <w:next w:val="112"/>
    <w:qFormat/>
    <w:uiPriority w:val="9"/>
    <w:pPr>
      <w:keepNext/>
      <w:keepLines/>
      <w:spacing w:before="280" w:after="290" w:line="376" w:lineRule="auto"/>
      <w:ind w:left="864" w:hanging="864"/>
      <w:outlineLvl w:val="3"/>
    </w:pPr>
    <w:rPr>
      <w:rFonts w:ascii="Cambria" w:hAnsi="Cambria"/>
      <w:b/>
      <w:bCs/>
      <w:kern w:val="0"/>
      <w:sz w:val="28"/>
      <w:szCs w:val="28"/>
      <w:lang w:val="zh-CN"/>
    </w:rPr>
  </w:style>
  <w:style w:type="paragraph" w:customStyle="1" w:styleId="185">
    <w:name w:val="标题 5_0"/>
    <w:basedOn w:val="112"/>
    <w:next w:val="112"/>
    <w:qFormat/>
    <w:uiPriority w:val="9"/>
    <w:pPr>
      <w:keepNext/>
      <w:keepLines/>
      <w:spacing w:before="280" w:after="290" w:line="376" w:lineRule="auto"/>
      <w:ind w:left="1008" w:hanging="1008"/>
      <w:outlineLvl w:val="4"/>
    </w:pPr>
    <w:rPr>
      <w:b/>
      <w:bCs/>
      <w:kern w:val="0"/>
      <w:sz w:val="28"/>
      <w:szCs w:val="28"/>
      <w:lang w:val="zh-CN"/>
    </w:rPr>
  </w:style>
  <w:style w:type="paragraph" w:customStyle="1" w:styleId="186">
    <w:name w:val="标题 6_0"/>
    <w:basedOn w:val="112"/>
    <w:next w:val="112"/>
    <w:qFormat/>
    <w:uiPriority w:val="9"/>
    <w:pPr>
      <w:keepNext/>
      <w:keepLines/>
      <w:spacing w:before="240" w:after="64" w:line="320" w:lineRule="auto"/>
      <w:ind w:left="1152" w:hanging="1152"/>
      <w:outlineLvl w:val="5"/>
    </w:pPr>
    <w:rPr>
      <w:rFonts w:ascii="Cambria" w:hAnsi="Cambria"/>
      <w:b/>
      <w:bCs/>
      <w:kern w:val="0"/>
      <w:sz w:val="24"/>
      <w:szCs w:val="24"/>
      <w:lang w:val="zh-CN"/>
    </w:rPr>
  </w:style>
  <w:style w:type="paragraph" w:customStyle="1" w:styleId="187">
    <w:name w:val="标题 7_0"/>
    <w:basedOn w:val="112"/>
    <w:next w:val="112"/>
    <w:qFormat/>
    <w:uiPriority w:val="9"/>
    <w:pPr>
      <w:keepNext/>
      <w:keepLines/>
      <w:spacing w:before="240" w:after="64" w:line="320" w:lineRule="auto"/>
      <w:ind w:left="1296" w:hanging="1296"/>
      <w:outlineLvl w:val="6"/>
    </w:pPr>
    <w:rPr>
      <w:b/>
      <w:bCs/>
      <w:kern w:val="0"/>
      <w:sz w:val="24"/>
      <w:szCs w:val="24"/>
      <w:lang w:val="zh-CN"/>
    </w:rPr>
  </w:style>
  <w:style w:type="paragraph" w:customStyle="1" w:styleId="188">
    <w:name w:val="标题 8_0"/>
    <w:basedOn w:val="112"/>
    <w:next w:val="112"/>
    <w:qFormat/>
    <w:uiPriority w:val="9"/>
    <w:pPr>
      <w:keepNext/>
      <w:keepLines/>
      <w:spacing w:before="240" w:after="64" w:line="320" w:lineRule="auto"/>
      <w:ind w:left="1440" w:hanging="1440"/>
      <w:outlineLvl w:val="7"/>
    </w:pPr>
    <w:rPr>
      <w:rFonts w:ascii="Cambria" w:hAnsi="Cambria"/>
      <w:kern w:val="0"/>
      <w:sz w:val="24"/>
      <w:szCs w:val="24"/>
      <w:lang w:val="zh-CN"/>
    </w:rPr>
  </w:style>
  <w:style w:type="paragraph" w:customStyle="1" w:styleId="189">
    <w:name w:val="标题 9_0"/>
    <w:basedOn w:val="112"/>
    <w:next w:val="112"/>
    <w:qFormat/>
    <w:uiPriority w:val="9"/>
    <w:pPr>
      <w:keepNext/>
      <w:keepLines/>
      <w:numPr>
        <w:ilvl w:val="8"/>
        <w:numId w:val="3"/>
      </w:numPr>
      <w:spacing w:before="240" w:after="64" w:line="320" w:lineRule="auto"/>
      <w:outlineLvl w:val="8"/>
    </w:pPr>
    <w:rPr>
      <w:rFonts w:ascii="Cambria" w:hAnsi="Cambria"/>
      <w:kern w:val="0"/>
      <w:sz w:val="20"/>
      <w:szCs w:val="21"/>
      <w:lang w:val="zh-CN"/>
    </w:rPr>
  </w:style>
  <w:style w:type="paragraph" w:customStyle="1" w:styleId="190">
    <w:name w:val="纯文本_0_0"/>
    <w:basedOn w:val="191"/>
    <w:link w:val="192"/>
    <w:unhideWhenUsed/>
    <w:qFormat/>
    <w:uiPriority w:val="0"/>
    <w:pPr>
      <w:widowControl/>
      <w:jc w:val="left"/>
    </w:pPr>
    <w:rPr>
      <w:rFonts w:ascii="宋体" w:hAnsi="Courier New"/>
      <w:kern w:val="0"/>
      <w:sz w:val="20"/>
      <w:szCs w:val="21"/>
      <w:lang w:val="zh-CN"/>
    </w:rPr>
  </w:style>
  <w:style w:type="paragraph" w:customStyle="1" w:styleId="191">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2">
    <w:name w:val="纯文本 Char_0_0"/>
    <w:link w:val="190"/>
    <w:qFormat/>
    <w:locked/>
    <w:uiPriority w:val="0"/>
    <w:rPr>
      <w:rFonts w:ascii="宋体" w:hAnsi="Courier New"/>
      <w:szCs w:val="21"/>
      <w:lang w:val="zh-CN" w:eastAsia="zh-CN"/>
    </w:rPr>
  </w:style>
  <w:style w:type="paragraph" w:customStyle="1" w:styleId="193">
    <w:name w:val="Normal_5"/>
    <w:qFormat/>
    <w:uiPriority w:val="0"/>
    <w:rPr>
      <w:rFonts w:ascii="Times New Roman" w:hAnsi="Times New Roman" w:eastAsia="宋体" w:cs="Times New Roman"/>
      <w:sz w:val="21"/>
      <w:lang w:val="en-US" w:eastAsia="zh-CN" w:bidi="ar-SA"/>
    </w:rPr>
  </w:style>
  <w:style w:type="paragraph" w:customStyle="1" w:styleId="194">
    <w:name w:val="纯文本_1"/>
    <w:basedOn w:val="1"/>
    <w:link w:val="195"/>
    <w:qFormat/>
    <w:uiPriority w:val="0"/>
    <w:pPr>
      <w:widowControl/>
      <w:spacing w:before="0" w:beforeAutospacing="0" w:after="0" w:afterAutospacing="0" w:line="240" w:lineRule="auto"/>
      <w:jc w:val="left"/>
    </w:pPr>
    <w:rPr>
      <w:rFonts w:ascii="宋体" w:hAnsi="Courier New"/>
      <w:kern w:val="0"/>
      <w:sz w:val="20"/>
      <w:szCs w:val="21"/>
      <w:lang w:val="zh-CN"/>
    </w:rPr>
  </w:style>
  <w:style w:type="character" w:customStyle="1" w:styleId="195">
    <w:name w:val="纯文本 Char_1"/>
    <w:link w:val="194"/>
    <w:qFormat/>
    <w:locked/>
    <w:uiPriority w:val="0"/>
    <w:rPr>
      <w:rFonts w:ascii="宋体" w:hAnsi="Courier New"/>
      <w:szCs w:val="21"/>
      <w:lang w:val="zh-CN" w:eastAsia="zh-CN"/>
    </w:rPr>
  </w:style>
  <w:style w:type="paragraph" w:customStyle="1" w:styleId="196">
    <w:name w:val="1_0"/>
    <w:basedOn w:val="1"/>
    <w:next w:val="194"/>
    <w:qFormat/>
    <w:uiPriority w:val="0"/>
    <w:pPr>
      <w:spacing w:before="0" w:beforeAutospacing="0" w:after="0" w:afterAutospacing="0" w:line="240" w:lineRule="auto"/>
    </w:pPr>
    <w:rPr>
      <w:rFonts w:ascii="宋体" w:hAnsi="Courier New"/>
      <w:szCs w:val="20"/>
    </w:rPr>
  </w:style>
  <w:style w:type="paragraph" w:customStyle="1" w:styleId="19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纯文本_2"/>
    <w:basedOn w:val="197"/>
    <w:link w:val="199"/>
    <w:unhideWhenUsed/>
    <w:qFormat/>
    <w:uiPriority w:val="0"/>
    <w:pPr>
      <w:widowControl/>
      <w:jc w:val="left"/>
    </w:pPr>
    <w:rPr>
      <w:rFonts w:ascii="宋体" w:hAnsi="Courier New"/>
      <w:kern w:val="0"/>
      <w:sz w:val="20"/>
      <w:szCs w:val="21"/>
      <w:lang w:val="zh-CN"/>
    </w:rPr>
  </w:style>
  <w:style w:type="character" w:customStyle="1" w:styleId="199">
    <w:name w:val="纯文本 Char_2"/>
    <w:link w:val="198"/>
    <w:qFormat/>
    <w:locked/>
    <w:uiPriority w:val="0"/>
    <w:rPr>
      <w:rFonts w:ascii="宋体" w:hAnsi="Courier New"/>
      <w:szCs w:val="21"/>
      <w:lang w:val="zh-CN" w:eastAsia="zh-CN"/>
    </w:rPr>
  </w:style>
  <w:style w:type="paragraph" w:customStyle="1" w:styleId="20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纯文本_3"/>
    <w:basedOn w:val="200"/>
    <w:link w:val="202"/>
    <w:qFormat/>
    <w:uiPriority w:val="0"/>
    <w:rPr>
      <w:rFonts w:ascii="宋体" w:hAnsi="Courier New"/>
      <w:kern w:val="0"/>
      <w:sz w:val="20"/>
      <w:szCs w:val="20"/>
      <w:lang w:val="zh-CN"/>
    </w:rPr>
  </w:style>
  <w:style w:type="character" w:customStyle="1" w:styleId="202">
    <w:name w:val="纯文本 Char_3"/>
    <w:link w:val="201"/>
    <w:qFormat/>
    <w:uiPriority w:val="0"/>
    <w:rPr>
      <w:rFonts w:ascii="宋体" w:hAnsi="Courier New"/>
      <w:lang w:val="zh-CN" w:eastAsia="zh-CN"/>
    </w:rPr>
  </w:style>
  <w:style w:type="paragraph" w:customStyle="1" w:styleId="20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样式1_0"/>
    <w:basedOn w:val="1"/>
    <w:link w:val="205"/>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5">
    <w:name w:val="样式1 Char"/>
    <w:link w:val="204"/>
    <w:qFormat/>
    <w:uiPriority w:val="0"/>
    <w:rPr>
      <w:rFonts w:ascii="宋体" w:hAnsi="Arial"/>
      <w:b/>
      <w:sz w:val="32"/>
    </w:rPr>
  </w:style>
  <w:style w:type="paragraph" w:customStyle="1" w:styleId="2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样式1_0_0"/>
    <w:basedOn w:val="1"/>
    <w:link w:val="208"/>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8">
    <w:name w:val="样式1 Char_0"/>
    <w:link w:val="207"/>
    <w:qFormat/>
    <w:uiPriority w:val="0"/>
    <w:rPr>
      <w:rFonts w:ascii="宋体" w:hAnsi="Arial"/>
      <w:b/>
      <w:sz w:val="32"/>
    </w:rPr>
  </w:style>
  <w:style w:type="paragraph" w:customStyle="1" w:styleId="20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Normal_14"/>
    <w:qFormat/>
    <w:uiPriority w:val="0"/>
    <w:rPr>
      <w:rFonts w:ascii="Times New Roman" w:hAnsi="Times New Roman" w:eastAsia="宋体" w:cs="Times New Roman"/>
      <w:sz w:val="21"/>
      <w:lang w:val="en-US" w:eastAsia="zh-CN" w:bidi="ar-SA"/>
    </w:rPr>
  </w:style>
  <w:style w:type="paragraph" w:customStyle="1" w:styleId="21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Normal_21"/>
    <w:qFormat/>
    <w:uiPriority w:val="0"/>
    <w:rPr>
      <w:rFonts w:ascii="Times New Roman" w:hAnsi="Times New Roman" w:eastAsia="宋体" w:cs="Times New Roman"/>
      <w:sz w:val="21"/>
      <w:lang w:val="en-US" w:eastAsia="zh-CN" w:bidi="ar-SA"/>
    </w:rPr>
  </w:style>
  <w:style w:type="paragraph" w:customStyle="1" w:styleId="216">
    <w:name w:val="Normal_23"/>
    <w:qFormat/>
    <w:uiPriority w:val="0"/>
    <w:rPr>
      <w:rFonts w:ascii="Times New Roman" w:hAnsi="Times New Roman" w:eastAsia="宋体" w:cs="Times New Roman"/>
      <w:sz w:val="21"/>
      <w:lang w:val="en-US" w:eastAsia="zh-CN" w:bidi="ar-SA"/>
    </w:rPr>
  </w:style>
  <w:style w:type="paragraph" w:customStyle="1" w:styleId="217">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样式1_1"/>
    <w:basedOn w:val="1"/>
    <w:link w:val="219"/>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19">
    <w:name w:val="样式1 Char_1"/>
    <w:link w:val="218"/>
    <w:qFormat/>
    <w:uiPriority w:val="0"/>
    <w:rPr>
      <w:rFonts w:ascii="宋体" w:hAnsi="Arial"/>
      <w:b/>
      <w:sz w:val="32"/>
    </w:rPr>
  </w:style>
  <w:style w:type="paragraph" w:customStyle="1" w:styleId="22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4">
    <w:name w:val="纯文本 Char"/>
    <w:qFormat/>
    <w:uiPriority w:val="0"/>
    <w:rPr>
      <w:rFonts w:eastAsia="宋体"/>
      <w:kern w:val="2"/>
      <w:sz w:val="24"/>
      <w:lang w:val="en-US" w:eastAsia="zh-CN" w:bidi="ar-SA"/>
    </w:rPr>
  </w:style>
  <w:style w:type="character" w:customStyle="1" w:styleId="225">
    <w:name w:val="p0 Char"/>
    <w:link w:val="226"/>
    <w:qFormat/>
    <w:uiPriority w:val="0"/>
    <w:rPr>
      <w:sz w:val="21"/>
      <w:szCs w:val="21"/>
    </w:rPr>
  </w:style>
  <w:style w:type="paragraph" w:customStyle="1" w:styleId="226">
    <w:name w:val="p0"/>
    <w:basedOn w:val="1"/>
    <w:link w:val="225"/>
    <w:qFormat/>
    <w:uiPriority w:val="0"/>
    <w:pPr>
      <w:widowControl/>
      <w:spacing w:before="0" w:beforeAutospacing="0" w:after="0" w:afterAutospacing="0" w:line="240" w:lineRule="auto"/>
    </w:pPr>
    <w:rPr>
      <w:rFonts w:ascii="Calibri" w:hAnsi="Calibri"/>
      <w:kern w:val="0"/>
      <w:szCs w:val="21"/>
    </w:rPr>
  </w:style>
  <w:style w:type="paragraph" w:customStyle="1" w:styleId="227">
    <w:name w:val="标题 51"/>
    <w:basedOn w:val="1"/>
    <w:qFormat/>
    <w:uiPriority w:val="1"/>
    <w:pPr>
      <w:autoSpaceDE w:val="0"/>
      <w:autoSpaceDN w:val="0"/>
      <w:adjustRightInd w:val="0"/>
      <w:spacing w:before="151" w:beforeAutospacing="0" w:after="0" w:afterAutospacing="0" w:line="240" w:lineRule="auto"/>
      <w:ind w:left="597"/>
      <w:jc w:val="left"/>
      <w:outlineLvl w:val="4"/>
    </w:pPr>
    <w:rPr>
      <w:rFonts w:ascii="宋体" w:cs="宋体"/>
      <w:b/>
      <w:bCs/>
      <w:kern w:val="0"/>
      <w:sz w:val="24"/>
    </w:rPr>
  </w:style>
  <w:style w:type="paragraph" w:customStyle="1" w:styleId="228">
    <w:name w:val="Table Paragraph"/>
    <w:basedOn w:val="1"/>
    <w:qFormat/>
    <w:uiPriority w:val="1"/>
  </w:style>
  <w:style w:type="paragraph" w:customStyle="1" w:styleId="229">
    <w:name w:val="WPSOffice手动目录 1"/>
    <w:uiPriority w:val="0"/>
    <w:pPr>
      <w:ind w:leftChars="0"/>
    </w:pPr>
    <w:rPr>
      <w:rFonts w:ascii="Times New Roman" w:hAnsi="Times New Roman" w:eastAsia="宋体" w:cs="Times New Roman"/>
      <w:sz w:val="20"/>
      <w:szCs w:val="20"/>
    </w:rPr>
  </w:style>
  <w:style w:type="paragraph" w:customStyle="1" w:styleId="230">
    <w:name w:val="WPSOffice手动目录 2"/>
    <w:uiPriority w:val="0"/>
    <w:pPr>
      <w:ind w:leftChars="200"/>
    </w:pPr>
    <w:rPr>
      <w:rFonts w:ascii="Times New Roman" w:hAnsi="Times New Roman" w:eastAsia="宋体" w:cs="Times New Roman"/>
      <w:sz w:val="20"/>
      <w:szCs w:val="20"/>
    </w:rPr>
  </w:style>
  <w:style w:type="paragraph" w:customStyle="1" w:styleId="231">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2.jpeg"/><Relationship Id="rId23" Type="http://schemas.openxmlformats.org/officeDocument/2006/relationships/theme" Target="theme/theme1.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2C07-33B5-4907-A762-58719BCEB3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33554</Words>
  <Characters>35456</Characters>
  <Lines>300</Lines>
  <Paragraphs>84</Paragraphs>
  <TotalTime>8</TotalTime>
  <ScaleCrop>false</ScaleCrop>
  <LinksUpToDate>false</LinksUpToDate>
  <CharactersWithSpaces>38176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2022-04-21T16:42:00Z</dcterms:created>
  <dc:creator>jiangbo</dc:creator>
  <cp:lastModifiedBy>相见  恨晚</cp:lastModifiedBy>
  <cp:lastPrinted>2015-01-06T06:47:00Z</cp:lastPrinted>
  <dcterms:modified xsi:type="dcterms:W3CDTF">2022-04-26T10:53:17Z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F00EDD73DA854ADB9B90789DFADC1CD0</vt:lpwstr>
  </property>
  <property fmtid="{D5CDD505-2E9C-101B-9397-08002B2CF9AE}" pid="4" name="commondata">
    <vt:lpwstr>eyJoZGlkIjoiNmJlYjJmNDk0MWJkMzUzZDQ2MTA3MDQzNDNiMDlhNjMifQ==</vt:lpwstr>
  </property>
</Properties>
</file>