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82497891"/>
      <w:bookmarkStart w:id="2" w:name="_Toc56170377"/>
      <w:bookmarkStart w:id="3" w:name="_Toc55990499"/>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ZKGSF(ZB)-20220643</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w:t>
      </w:r>
      <w:r>
        <w:rPr>
          <w:rFonts w:hint="eastAsia" w:ascii="仿宋" w:hAnsi="仿宋" w:eastAsia="仿宋" w:cs="仿宋"/>
          <w:sz w:val="36"/>
          <w:szCs w:val="36"/>
          <w:lang w:val="en-US" w:eastAsia="zh-CN"/>
        </w:rPr>
        <w:t>医用</w:t>
      </w:r>
      <w:r>
        <w:rPr>
          <w:rFonts w:hint="eastAsia" w:ascii="仿宋" w:hAnsi="仿宋" w:eastAsia="仿宋" w:cs="仿宋"/>
          <w:sz w:val="36"/>
          <w:szCs w:val="36"/>
          <w:lang w:eastAsia="zh-CN"/>
        </w:rPr>
        <w:t>病床采购项目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61184620"/>
      <w:bookmarkStart w:id="5" w:name="_Toc28475"/>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ZKGSF(ZB)-20220643</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default" w:ascii="仿宋" w:hAnsi="仿宋" w:eastAsia="仿宋"/>
          <w:sz w:val="28"/>
          <w:lang w:val="en-US"/>
        </w:rPr>
      </w:pPr>
      <w:r>
        <w:rPr>
          <w:rFonts w:ascii="仿宋" w:hAnsi="仿宋" w:eastAsia="仿宋"/>
          <w:sz w:val="28"/>
        </w:rPr>
        <w:t>三、</w:t>
      </w:r>
      <w:r>
        <w:rPr>
          <w:rFonts w:hint="eastAsia" w:ascii="仿宋" w:hAnsi="仿宋" w:eastAsia="仿宋"/>
          <w:sz w:val="28"/>
        </w:rPr>
        <w:t>磋商项目概况：</w:t>
      </w:r>
      <w:r>
        <w:rPr>
          <w:rFonts w:hint="eastAsia" w:ascii="仿宋" w:hAnsi="仿宋" w:eastAsia="仿宋"/>
          <w:sz w:val="28"/>
          <w:lang w:eastAsia="zh-CN"/>
        </w:rPr>
        <w:t>手动双摇病床</w:t>
      </w:r>
      <w:r>
        <w:rPr>
          <w:rFonts w:hint="eastAsia" w:ascii="仿宋" w:hAnsi="仿宋" w:eastAsia="仿宋"/>
          <w:sz w:val="28"/>
          <w:lang w:val="en-US" w:eastAsia="zh-CN"/>
        </w:rPr>
        <w:t>200</w:t>
      </w:r>
      <w:r>
        <w:rPr>
          <w:rFonts w:hint="eastAsia" w:ascii="仿宋" w:hAnsi="仿宋" w:eastAsia="仿宋"/>
          <w:sz w:val="28"/>
          <w:lang w:eastAsia="zh-CN"/>
        </w:rPr>
        <w:t>张，</w:t>
      </w:r>
      <w:r>
        <w:rPr>
          <w:rFonts w:hint="eastAsia" w:ascii="仿宋" w:hAnsi="仿宋" w:eastAsia="仿宋"/>
          <w:sz w:val="28"/>
          <w:lang w:val="en-US" w:eastAsia="zh-CN"/>
        </w:rPr>
        <w:t>预算60万元；</w:t>
      </w:r>
      <w:r>
        <w:rPr>
          <w:rFonts w:hint="eastAsia" w:ascii="仿宋" w:hAnsi="仿宋" w:eastAsia="仿宋"/>
          <w:sz w:val="28"/>
          <w:lang w:eastAsia="zh-CN"/>
        </w:rPr>
        <w:t>电动检查床</w:t>
      </w:r>
      <w:r>
        <w:rPr>
          <w:rFonts w:hint="eastAsia" w:ascii="仿宋" w:hAnsi="仿宋" w:eastAsia="仿宋"/>
          <w:sz w:val="28"/>
          <w:lang w:val="en-US" w:eastAsia="zh-CN"/>
        </w:rPr>
        <w:t>4</w:t>
      </w:r>
      <w:r>
        <w:rPr>
          <w:rFonts w:hint="eastAsia" w:ascii="仿宋" w:hAnsi="仿宋" w:eastAsia="仿宋"/>
          <w:sz w:val="28"/>
          <w:lang w:eastAsia="zh-CN"/>
        </w:rPr>
        <w:t>张</w:t>
      </w:r>
      <w:r>
        <w:rPr>
          <w:rFonts w:hint="eastAsia" w:ascii="仿宋" w:hAnsi="仿宋" w:eastAsia="仿宋"/>
          <w:sz w:val="28"/>
          <w:lang w:val="en-US" w:eastAsia="zh-CN"/>
        </w:rPr>
        <w:t>，预算12万元。</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pStyle w:val="2"/>
        <w:ind w:left="0" w:leftChars="0" w:firstLine="0" w:firstLineChars="0"/>
        <w:rPr>
          <w:rFonts w:hint="default" w:eastAsia="仿宋"/>
          <w:lang w:val="en-US" w:eastAsia="zh-CN"/>
        </w:rPr>
      </w:pPr>
      <w:r>
        <w:rPr>
          <w:rFonts w:hint="eastAsia" w:ascii="仿宋" w:hAnsi="仿宋" w:eastAsia="仿宋" w:cs="仿宋"/>
          <w:kern w:val="0"/>
          <w:sz w:val="28"/>
          <w:szCs w:val="28"/>
          <w:lang w:val="en-US" w:eastAsia="zh-CN"/>
        </w:rPr>
        <w:t xml:space="preserve">    2、有效的营业执照；</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hint="eastAsia" w:ascii="仿宋" w:hAnsi="仿宋" w:eastAsia="仿宋"/>
          <w:sz w:val="28"/>
          <w:lang w:val="en-US" w:eastAsia="zh-CN"/>
        </w:rPr>
        <w:t>4</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lang w:eastAsia="zh-CN"/>
        </w:rPr>
        <w:t>2022</w:t>
      </w:r>
      <w:r>
        <w:rPr>
          <w:rFonts w:hint="eastAsia" w:ascii="仿宋" w:hAnsi="仿宋" w:eastAsia="仿宋"/>
          <w:sz w:val="28"/>
          <w:u w:val="none"/>
          <w:lang w:eastAsia="zh-CN"/>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19</w:t>
      </w:r>
      <w:r>
        <w:rPr>
          <w:rFonts w:hint="eastAsia" w:ascii="仿宋" w:hAnsi="仿宋" w:eastAsia="仿宋"/>
          <w:sz w:val="28"/>
        </w:rPr>
        <w:t>日-</w:t>
      </w:r>
      <w:r>
        <w:rPr>
          <w:rFonts w:hint="eastAsia" w:ascii="仿宋" w:hAnsi="仿宋" w:eastAsia="仿宋"/>
          <w:sz w:val="28"/>
          <w:lang w:eastAsia="zh-CN"/>
        </w:rPr>
        <w:t>2022年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25</w:t>
      </w:r>
      <w:r>
        <w:rPr>
          <w:rFonts w:hint="eastAsia" w:ascii="仿宋" w:hAnsi="仿宋" w:eastAsia="仿宋"/>
          <w:sz w:val="28"/>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lang w:eastAsia="zh-CN"/>
        </w:rPr>
        <w:t>2022年</w:t>
      </w:r>
      <w:r>
        <w:rPr>
          <w:rFonts w:hint="eastAsia" w:ascii="仿宋" w:hAnsi="仿宋" w:eastAsia="仿宋"/>
          <w:sz w:val="28"/>
          <w:u w:val="single"/>
          <w:lang w:val="en-US" w:eastAsia="zh-CN"/>
        </w:rPr>
        <w:t>5</w:t>
      </w:r>
      <w:r>
        <w:rPr>
          <w:rFonts w:hint="eastAsia" w:ascii="仿宋" w:hAnsi="仿宋" w:eastAsia="仿宋"/>
          <w:sz w:val="28"/>
          <w:u w:val="single"/>
          <w:lang w:eastAsia="zh-CN"/>
        </w:rPr>
        <w:t>月</w:t>
      </w:r>
      <w:r>
        <w:rPr>
          <w:rFonts w:hint="eastAsia" w:ascii="仿宋" w:hAnsi="仿宋" w:eastAsia="仿宋"/>
          <w:sz w:val="28"/>
          <w:u w:val="single"/>
          <w:lang w:val="en-US" w:eastAsia="zh-CN"/>
        </w:rPr>
        <w:t>10</w:t>
      </w:r>
      <w:r>
        <w:rPr>
          <w:rFonts w:hint="eastAsia" w:ascii="仿宋" w:hAnsi="仿宋" w:eastAsia="仿宋"/>
          <w:sz w:val="28"/>
          <w:u w:val="single"/>
          <w:lang w:eastAsia="zh-CN"/>
        </w:rPr>
        <w:t>日1</w:t>
      </w:r>
      <w:r>
        <w:rPr>
          <w:rFonts w:hint="eastAsia" w:ascii="仿宋" w:hAnsi="仿宋" w:eastAsia="仿宋"/>
          <w:sz w:val="28"/>
          <w:u w:val="single"/>
          <w:lang w:val="en-US" w:eastAsia="zh-CN"/>
        </w:rPr>
        <w:t>6</w:t>
      </w:r>
      <w:r>
        <w:rPr>
          <w:rFonts w:hint="eastAsia" w:ascii="仿宋" w:hAnsi="仿宋" w:eastAsia="仿宋"/>
          <w:sz w:val="28"/>
          <w:u w:val="single"/>
          <w:lang w:eastAsia="zh-CN"/>
        </w:rPr>
        <w:t>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lang w:eastAsia="zh-CN"/>
        </w:rPr>
        <w:t>2022年5月10日16时00分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w:t>
      </w:r>
      <w:bookmarkStart w:id="94" w:name="_GoBack"/>
      <w:bookmarkEnd w:id="94"/>
      <w:r>
        <w:rPr>
          <w:rFonts w:ascii="仿宋" w:hAnsi="仿宋" w:eastAsia="仿宋"/>
          <w:sz w:val="28"/>
        </w:rPr>
        <w:t>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61184621"/>
      <w:bookmarkStart w:id="10" w:name="_Toc5896489"/>
      <w:bookmarkStart w:id="11" w:name="_Toc55990500"/>
      <w:bookmarkStart w:id="12" w:name="_Toc56170378"/>
      <w:bookmarkStart w:id="13" w:name="_Toc25500"/>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56170379"/>
      <w:bookmarkStart w:id="16" w:name="_Toc105"/>
      <w:bookmarkStart w:id="17" w:name="_Toc61184622"/>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医用</w:t>
            </w:r>
            <w:r>
              <w:rPr>
                <w:rFonts w:hint="eastAsia" w:ascii="仿宋" w:hAnsi="仿宋" w:eastAsia="仿宋"/>
                <w:color w:val="000000"/>
                <w:sz w:val="24"/>
                <w:szCs w:val="24"/>
                <w:lang w:eastAsia="zh-CN"/>
              </w:rPr>
              <w:t>病床采购项目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ZKGSF(ZB)-20220643</w:t>
            </w:r>
          </w:p>
          <w:p>
            <w:pPr>
              <w:pStyle w:val="26"/>
              <w:spacing w:line="360" w:lineRule="auto"/>
              <w:ind w:firstLine="0" w:firstLineChars="0"/>
              <w:jc w:val="left"/>
              <w:rPr>
                <w:rFonts w:hint="eastAsia" w:ascii="仿宋" w:hAnsi="仿宋" w:eastAsia="仿宋"/>
                <w:sz w:val="24"/>
                <w:szCs w:val="24"/>
                <w:lang w:eastAsia="zh-CN"/>
              </w:rPr>
            </w:pPr>
            <w:r>
              <w:rPr>
                <w:rFonts w:hint="eastAsia" w:ascii="仿宋" w:hAnsi="仿宋" w:eastAsia="仿宋"/>
                <w:color w:val="000000"/>
                <w:sz w:val="24"/>
                <w:szCs w:val="24"/>
              </w:rPr>
              <w:t>磋商内容：</w:t>
            </w:r>
            <w:r>
              <w:rPr>
                <w:rFonts w:hint="eastAsia" w:ascii="仿宋" w:hAnsi="仿宋" w:eastAsia="仿宋"/>
                <w:color w:val="000000"/>
                <w:sz w:val="24"/>
                <w:szCs w:val="24"/>
                <w:lang w:eastAsia="zh-CN"/>
              </w:rPr>
              <w:t>手动双摇病床</w:t>
            </w:r>
            <w:r>
              <w:rPr>
                <w:rFonts w:hint="eastAsia" w:ascii="仿宋" w:hAnsi="仿宋" w:eastAsia="仿宋"/>
                <w:color w:val="000000"/>
                <w:sz w:val="24"/>
                <w:szCs w:val="24"/>
                <w:lang w:val="en-US" w:eastAsia="zh-CN"/>
              </w:rPr>
              <w:t>200</w:t>
            </w:r>
            <w:r>
              <w:rPr>
                <w:rFonts w:hint="eastAsia" w:ascii="仿宋" w:hAnsi="仿宋" w:eastAsia="仿宋"/>
                <w:color w:val="000000"/>
                <w:sz w:val="24"/>
                <w:szCs w:val="24"/>
                <w:lang w:eastAsia="zh-CN"/>
              </w:rPr>
              <w:t>张，电动检查床</w:t>
            </w:r>
            <w:r>
              <w:rPr>
                <w:rFonts w:hint="eastAsia" w:ascii="仿宋" w:hAnsi="仿宋" w:eastAsia="仿宋"/>
                <w:color w:val="000000"/>
                <w:sz w:val="24"/>
                <w:szCs w:val="24"/>
                <w:lang w:val="en-US" w:eastAsia="zh-CN"/>
              </w:rPr>
              <w:t>4</w:t>
            </w:r>
            <w:r>
              <w:rPr>
                <w:rFonts w:hint="eastAsia" w:ascii="仿宋" w:hAnsi="仿宋" w:eastAsia="仿宋"/>
                <w:color w:val="000000"/>
                <w:sz w:val="24"/>
                <w:szCs w:val="24"/>
                <w:lang w:eastAsia="zh-CN"/>
              </w:rPr>
              <w:t>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hint="default" w:ascii="仿宋" w:hAnsi="仿宋" w:eastAsia="仿宋"/>
                <w:color w:val="000000"/>
                <w:sz w:val="24"/>
                <w:szCs w:val="24"/>
                <w:lang w:val="en-US"/>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预算72万元，手动双摇病床限价60万元，电动检查床限价12万元。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14</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壹万肆仟元整</w:t>
            </w:r>
            <w:r>
              <w:rPr>
                <w:rFonts w:hint="eastAsia" w:ascii="仿宋" w:hAnsi="仿宋" w:eastAsia="仿宋"/>
                <w:b/>
                <w:bCs/>
                <w:color w:val="000000"/>
                <w:sz w:val="24"/>
                <w:szCs w:val="24"/>
              </w:rPr>
              <w:t>）；</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lang w:eastAsia="zh-CN"/>
              </w:rPr>
              <w:t>2022年5月10日16时00分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lang w:eastAsia="zh-CN"/>
              </w:rPr>
              <w:t>2022年5月10日16时00分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w:t>
            </w:r>
            <w:r>
              <w:rPr>
                <w:rFonts w:hint="eastAsia" w:ascii="仿宋" w:hAnsi="仿宋" w:eastAsia="仿宋" w:cs="Times New Roman"/>
                <w:b/>
                <w:bCs/>
                <w:color w:val="auto"/>
                <w:sz w:val="24"/>
                <w:szCs w:val="24"/>
                <w:highlight w:val="yellow"/>
                <w:lang w:eastAsia="zh-CN"/>
              </w:rPr>
              <w:t>合同签订后支付</w:t>
            </w:r>
            <w:r>
              <w:rPr>
                <w:rFonts w:hint="eastAsia" w:ascii="仿宋" w:hAnsi="仿宋" w:eastAsia="仿宋" w:cs="Times New Roman"/>
                <w:b/>
                <w:bCs/>
                <w:color w:val="auto"/>
                <w:sz w:val="24"/>
                <w:szCs w:val="24"/>
                <w:highlight w:val="yellow"/>
                <w:lang w:val="en-US" w:eastAsia="zh-CN"/>
              </w:rPr>
              <w:t>80%，</w:t>
            </w:r>
            <w:r>
              <w:rPr>
                <w:rFonts w:hint="eastAsia" w:ascii="仿宋" w:hAnsi="仿宋" w:eastAsia="仿宋" w:cs="Times New Roman"/>
                <w:b/>
                <w:bCs/>
                <w:color w:val="auto"/>
                <w:sz w:val="24"/>
                <w:szCs w:val="24"/>
                <w:highlight w:val="yellow"/>
              </w:rPr>
              <w:t>付款至全额的</w:t>
            </w:r>
            <w:r>
              <w:rPr>
                <w:rFonts w:hint="eastAsia" w:ascii="仿宋" w:hAnsi="仿宋" w:eastAsia="仿宋" w:cs="Times New Roman"/>
                <w:b/>
                <w:bCs/>
                <w:color w:val="auto"/>
                <w:sz w:val="24"/>
                <w:szCs w:val="24"/>
                <w:highlight w:val="yellow"/>
                <w:lang w:val="en-US" w:eastAsia="zh-CN"/>
              </w:rPr>
              <w:t>80</w:t>
            </w:r>
            <w:r>
              <w:rPr>
                <w:rFonts w:hint="eastAsia" w:ascii="仿宋" w:hAnsi="仿宋" w:eastAsia="仿宋" w:cs="Times New Roman"/>
                <w:b/>
                <w:bCs/>
                <w:color w:val="auto"/>
                <w:sz w:val="24"/>
                <w:szCs w:val="24"/>
                <w:highlight w:val="yellow"/>
              </w:rPr>
              <w:t>％时供货方应提供设备真实、合法、有效的全额发票，货到安装完毕、验收合格运行壹个月后付合同总额的</w:t>
            </w:r>
            <w:r>
              <w:rPr>
                <w:rFonts w:hint="eastAsia" w:ascii="仿宋" w:hAnsi="仿宋" w:eastAsia="仿宋" w:cs="Times New Roman"/>
                <w:b/>
                <w:bCs/>
                <w:color w:val="auto"/>
                <w:sz w:val="24"/>
                <w:szCs w:val="24"/>
                <w:highlight w:val="yellow"/>
                <w:lang w:val="en-US" w:eastAsia="zh-CN"/>
              </w:rPr>
              <w:t>10</w:t>
            </w:r>
            <w:r>
              <w:rPr>
                <w:rFonts w:hint="eastAsia" w:ascii="仿宋" w:hAnsi="仿宋" w:eastAsia="仿宋" w:cs="Times New Roman"/>
                <w:b/>
                <w:bCs/>
                <w:color w:val="auto"/>
                <w:sz w:val="24"/>
                <w:szCs w:val="24"/>
                <w:highlight w:val="yellow"/>
              </w:rPr>
              <w:t>％，合同余额10％质保期满后付清。（如设备验收不合格医院有权拒绝付款并要求退货）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质保期：整体质保</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2</w:t>
            </w:r>
            <w:r>
              <w:rPr>
                <w:rFonts w:hint="eastAsia" w:ascii="仿宋" w:hAnsi="仿宋" w:eastAsia="仿宋"/>
                <w:b/>
                <w:bCs/>
                <w:sz w:val="24"/>
                <w:szCs w:val="24"/>
                <w:highlight w:val="none"/>
              </w:rPr>
              <w:t>年</w:t>
            </w:r>
            <w:r>
              <w:rPr>
                <w:rFonts w:hint="eastAsia" w:ascii="仿宋" w:hAnsi="仿宋" w:eastAsia="仿宋"/>
                <w:b/>
                <w:bCs/>
                <w:sz w:val="24"/>
                <w:szCs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56170381"/>
      <w:bookmarkStart w:id="22" w:name="_Toc17589"/>
      <w:bookmarkStart w:id="23" w:name="_Toc61184624"/>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29097"/>
      <w:bookmarkStart w:id="25" w:name="_Toc56170382"/>
      <w:bookmarkStart w:id="26" w:name="_Toc61184625"/>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供应商可根据磋商内容的具体需要自行编制其它文件一式</w:t>
      </w:r>
      <w:r>
        <w:rPr>
          <w:rFonts w:hint="eastAsia" w:ascii="仿宋" w:hAnsi="仿宋" w:eastAsia="仿宋"/>
          <w:sz w:val="28"/>
          <w:lang w:val="en-US" w:eastAsia="zh-CN"/>
        </w:rPr>
        <w:t>4</w:t>
      </w:r>
      <w:r>
        <w:rPr>
          <w:rFonts w:hint="eastAsia" w:ascii="仿宋" w:hAnsi="仿宋" w:eastAsia="仿宋"/>
          <w:sz w:val="28"/>
        </w:rPr>
        <w:t>份</w:t>
      </w:r>
      <w:r>
        <w:rPr>
          <w:rFonts w:hint="eastAsia" w:ascii="仿宋" w:hAnsi="仿宋" w:eastAsia="仿宋"/>
          <w:sz w:val="28"/>
          <w:lang w:val="en-US" w:eastAsia="zh-CN"/>
        </w:rPr>
        <w:t>分别</w:t>
      </w:r>
      <w:r>
        <w:rPr>
          <w:rFonts w:hint="eastAsia" w:ascii="仿宋" w:hAnsi="仿宋" w:eastAsia="仿宋"/>
          <w:sz w:val="28"/>
        </w:rPr>
        <w:t>纳入响应文件</w:t>
      </w:r>
      <w:r>
        <w:rPr>
          <w:rFonts w:hint="eastAsia" w:ascii="仿宋" w:hAnsi="仿宋" w:eastAsia="仿宋"/>
          <w:sz w:val="28"/>
          <w:lang w:val="en-US" w:eastAsia="zh-CN"/>
        </w:rPr>
        <w:t>正副本</w:t>
      </w:r>
      <w:r>
        <w:rPr>
          <w:rFonts w:hint="eastAsia" w:ascii="仿宋" w:hAnsi="仿宋" w:eastAsia="仿宋"/>
          <w:sz w:val="28"/>
        </w:rPr>
        <w:t>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w:t>
      </w:r>
      <w:r>
        <w:rPr>
          <w:rFonts w:hint="eastAsia" w:ascii="仿宋" w:hAnsi="仿宋" w:eastAsia="仿宋"/>
          <w:sz w:val="28"/>
          <w:lang w:val="en-US" w:eastAsia="zh-CN"/>
        </w:rPr>
        <w:t>纸质版</w:t>
      </w:r>
      <w:r>
        <w:rPr>
          <w:rFonts w:hint="eastAsia" w:ascii="仿宋" w:hAnsi="仿宋" w:eastAsia="仿宋"/>
          <w:sz w:val="28"/>
        </w:rPr>
        <w:t>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61184626"/>
      <w:bookmarkStart w:id="28" w:name="_Toc56170383"/>
      <w:bookmarkStart w:id="29" w:name="_Toc26897"/>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61184627"/>
      <w:bookmarkStart w:id="31" w:name="_Toc30907"/>
      <w:bookmarkStart w:id="32" w:name="_Toc56170384"/>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8"/>
        <w:spacing w:line="360" w:lineRule="auto"/>
        <w:rPr>
          <w:rFonts w:hint="eastAsia"/>
        </w:rPr>
      </w:pPr>
      <w:bookmarkStart w:id="33" w:name="_Toc56170385"/>
      <w:bookmarkStart w:id="34" w:name="_Toc22021"/>
      <w:bookmarkStart w:id="35" w:name="_Toc61184628"/>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61184629"/>
      <w:bookmarkStart w:id="37" w:name="_Toc3968"/>
      <w:bookmarkStart w:id="38" w:name="_Toc56170386"/>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Spec="center" w:tblpY="5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bookmarkStart w:id="39" w:name="_Toc19574"/>
      <w:bookmarkStart w:id="40" w:name="_Toc56170387"/>
      <w:bookmarkStart w:id="41" w:name="_Toc61184630"/>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56170388"/>
      <w:bookmarkStart w:id="43" w:name="_Toc275"/>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56170389"/>
      <w:bookmarkStart w:id="46" w:name="_Toc27059"/>
      <w:bookmarkStart w:id="47" w:name="_Toc61184632"/>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61184633"/>
      <w:bookmarkStart w:id="49" w:name="_Toc56170390"/>
      <w:bookmarkStart w:id="50" w:name="_Toc413"/>
      <w:bookmarkStart w:id="51" w:name="_Toc55990501"/>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ascii="仿宋" w:hAnsi="仿宋" w:eastAsia="仿宋"/>
          <w:b/>
          <w:sz w:val="28"/>
          <w:szCs w:val="28"/>
        </w:rPr>
      </w:pPr>
      <w:r>
        <w:rPr>
          <w:rFonts w:hint="eastAsia" w:ascii="仿宋" w:hAnsi="仿宋" w:eastAsia="仿宋"/>
          <w:b/>
          <w:sz w:val="28"/>
          <w:szCs w:val="28"/>
          <w:lang w:eastAsia="zh-CN"/>
        </w:rPr>
        <w:t>手动双摇病床</w:t>
      </w:r>
      <w:r>
        <w:rPr>
          <w:rFonts w:hint="eastAsia" w:ascii="仿宋" w:hAnsi="仿宋" w:eastAsia="仿宋"/>
          <w:b/>
          <w:sz w:val="28"/>
          <w:szCs w:val="28"/>
        </w:rPr>
        <w:t>招标</w:t>
      </w:r>
      <w:r>
        <w:rPr>
          <w:rFonts w:ascii="仿宋" w:hAnsi="仿宋" w:eastAsia="仿宋"/>
          <w:b/>
          <w:sz w:val="28"/>
          <w:szCs w:val="28"/>
        </w:rPr>
        <w:t>参数</w:t>
      </w:r>
    </w:p>
    <w:p>
      <w:pPr>
        <w:rPr>
          <w:rFonts w:ascii="仿宋" w:hAnsi="仿宋" w:eastAsia="仿宋"/>
          <w:b/>
          <w:sz w:val="28"/>
          <w:szCs w:val="28"/>
        </w:rPr>
      </w:pPr>
      <w:r>
        <w:rPr>
          <w:rFonts w:hint="eastAsia" w:ascii="仿宋" w:hAnsi="仿宋" w:eastAsia="仿宋" w:cs="宋体"/>
          <w:b/>
          <w:bCs/>
          <w:sz w:val="28"/>
          <w:szCs w:val="28"/>
        </w:rPr>
        <w:t>一</w:t>
      </w:r>
      <w:r>
        <w:rPr>
          <w:rFonts w:ascii="仿宋" w:hAnsi="仿宋" w:eastAsia="仿宋" w:cs="宋体"/>
          <w:b/>
          <w:bCs/>
          <w:sz w:val="28"/>
          <w:szCs w:val="28"/>
        </w:rPr>
        <w:t>：</w:t>
      </w:r>
      <w:r>
        <w:rPr>
          <w:rFonts w:hint="eastAsia" w:ascii="仿宋" w:hAnsi="仿宋" w:eastAsia="仿宋" w:cs="宋体"/>
          <w:b/>
          <w:bCs/>
          <w:sz w:val="28"/>
          <w:szCs w:val="28"/>
        </w:rPr>
        <w:t>设备名称</w:t>
      </w:r>
      <w:r>
        <w:rPr>
          <w:rFonts w:ascii="仿宋" w:hAnsi="仿宋" w:eastAsia="仿宋" w:cs="宋体"/>
          <w:b/>
          <w:bCs/>
          <w:sz w:val="28"/>
          <w:szCs w:val="28"/>
        </w:rPr>
        <w:t>：</w:t>
      </w:r>
      <w:r>
        <w:rPr>
          <w:rFonts w:hint="eastAsia" w:ascii="仿宋" w:hAnsi="仿宋" w:eastAsia="仿宋" w:cs="宋体"/>
          <w:b/>
          <w:bCs/>
          <w:sz w:val="28"/>
          <w:szCs w:val="28"/>
          <w:lang w:eastAsia="zh-CN"/>
        </w:rPr>
        <w:t>手动双摇病床</w:t>
      </w:r>
      <w:r>
        <w:rPr>
          <w:rFonts w:ascii="仿宋" w:hAnsi="仿宋" w:eastAsia="仿宋"/>
          <w:b/>
          <w:sz w:val="28"/>
          <w:szCs w:val="28"/>
        </w:rPr>
        <w:t xml:space="preserve"> </w:t>
      </w:r>
    </w:p>
    <w:p>
      <w:pPr>
        <w:pStyle w:val="36"/>
        <w:numPr>
          <w:ilvl w:val="0"/>
          <w:numId w:val="2"/>
        </w:numPr>
        <w:ind w:left="425" w:leftChars="0" w:hanging="425" w:firstLineChars="0"/>
        <w:rPr>
          <w:rFonts w:hint="eastAsia" w:ascii="仿宋" w:hAnsi="仿宋" w:eastAsia="仿宋" w:cs="宋体"/>
          <w:bCs/>
          <w:sz w:val="28"/>
          <w:szCs w:val="28"/>
        </w:rPr>
      </w:pPr>
      <w:r>
        <w:rPr>
          <w:rFonts w:hint="eastAsia" w:ascii="仿宋" w:hAnsi="仿宋" w:eastAsia="仿宋" w:cs="宋体"/>
          <w:bCs/>
          <w:sz w:val="28"/>
          <w:szCs w:val="28"/>
        </w:rPr>
        <w:t>数量:</w:t>
      </w:r>
      <w:r>
        <w:rPr>
          <w:rFonts w:hint="eastAsia" w:ascii="仿宋" w:hAnsi="仿宋" w:eastAsia="仿宋" w:cs="宋体"/>
          <w:bCs/>
          <w:sz w:val="28"/>
          <w:szCs w:val="28"/>
          <w:lang w:val="en-US" w:eastAsia="zh-CN"/>
        </w:rPr>
        <w:t>200</w:t>
      </w:r>
      <w:r>
        <w:rPr>
          <w:rFonts w:hint="eastAsia" w:ascii="仿宋" w:hAnsi="仿宋" w:eastAsia="仿宋" w:cs="宋体"/>
          <w:bCs/>
          <w:sz w:val="28"/>
          <w:szCs w:val="28"/>
          <w:lang w:eastAsia="zh-CN"/>
        </w:rPr>
        <w:t>张</w:t>
      </w:r>
      <w:r>
        <w:rPr>
          <w:rFonts w:hint="eastAsia" w:ascii="仿宋" w:hAnsi="仿宋" w:eastAsia="仿宋" w:cs="宋体"/>
          <w:bCs/>
          <w:sz w:val="28"/>
          <w:szCs w:val="28"/>
        </w:rPr>
        <w:t>；</w:t>
      </w:r>
    </w:p>
    <w:p>
      <w:pPr>
        <w:pStyle w:val="36"/>
        <w:numPr>
          <w:ilvl w:val="0"/>
          <w:numId w:val="2"/>
        </w:numPr>
        <w:ind w:left="425" w:leftChars="0" w:hanging="425" w:firstLineChars="0"/>
        <w:rPr>
          <w:rFonts w:ascii="仿宋" w:hAnsi="仿宋" w:eastAsia="仿宋" w:cs="宋体"/>
          <w:bCs/>
          <w:sz w:val="28"/>
          <w:szCs w:val="28"/>
        </w:rPr>
      </w:pPr>
      <w:r>
        <w:rPr>
          <w:rFonts w:hint="eastAsia" w:ascii="仿宋" w:hAnsi="仿宋" w:eastAsia="仿宋" w:cs="宋体"/>
          <w:bCs/>
          <w:sz w:val="28"/>
          <w:szCs w:val="28"/>
        </w:rPr>
        <w:t>要求</w:t>
      </w:r>
      <w:r>
        <w:rPr>
          <w:rFonts w:hint="eastAsia" w:ascii="仿宋" w:hAnsi="仿宋" w:eastAsia="仿宋" w:cs="宋体"/>
          <w:bCs/>
          <w:sz w:val="28"/>
          <w:szCs w:val="28"/>
          <w:lang w:eastAsia="zh-CN"/>
        </w:rPr>
        <w:t>国产设备，</w:t>
      </w:r>
      <w:r>
        <w:rPr>
          <w:rFonts w:ascii="仿宋" w:hAnsi="仿宋" w:eastAsia="仿宋" w:cs="宋体"/>
          <w:bCs/>
          <w:sz w:val="28"/>
          <w:szCs w:val="28"/>
        </w:rPr>
        <w:t>整体质保</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2</w:t>
      </w:r>
      <w:r>
        <w:rPr>
          <w:rFonts w:ascii="仿宋" w:hAnsi="仿宋" w:eastAsia="仿宋" w:cs="宋体"/>
          <w:bCs/>
          <w:sz w:val="28"/>
          <w:szCs w:val="28"/>
        </w:rPr>
        <w:t>年；</w:t>
      </w:r>
    </w:p>
    <w:p>
      <w:pPr>
        <w:pStyle w:val="36"/>
        <w:numPr>
          <w:ilvl w:val="0"/>
          <w:numId w:val="2"/>
        </w:numPr>
        <w:ind w:left="425" w:leftChars="0" w:hanging="425" w:firstLineChars="0"/>
        <w:rPr>
          <w:rFonts w:ascii="仿宋" w:hAnsi="仿宋" w:eastAsia="仿宋" w:cs="宋体"/>
          <w:bCs/>
          <w:sz w:val="28"/>
          <w:szCs w:val="28"/>
        </w:rPr>
      </w:pPr>
      <w:r>
        <w:rPr>
          <w:rFonts w:hint="eastAsia" w:ascii="仿宋" w:hAnsi="仿宋" w:eastAsia="仿宋" w:cs="宋体"/>
          <w:bCs/>
          <w:sz w:val="28"/>
          <w:szCs w:val="28"/>
          <w:lang w:eastAsia="zh-CN"/>
        </w:rPr>
        <w:t>每张病床标配一台床头柜，一套床垫，一个点滴架，一个</w:t>
      </w:r>
      <w:r>
        <w:rPr>
          <w:rFonts w:hint="eastAsia" w:ascii="仿宋" w:hAnsi="仿宋" w:eastAsia="仿宋" w:cs="宋体"/>
          <w:bCs/>
          <w:kern w:val="0"/>
          <w:sz w:val="28"/>
          <w:szCs w:val="28"/>
          <w:lang w:val="en-US" w:eastAsia="zh-CN" w:bidi="ar-SA"/>
        </w:rPr>
        <w:t>餐桌板</w:t>
      </w:r>
      <w:r>
        <w:rPr>
          <w:rFonts w:hint="eastAsia" w:ascii="仿宋" w:hAnsi="仿宋" w:eastAsia="仿宋" w:cs="宋体"/>
          <w:bCs/>
          <w:sz w:val="28"/>
          <w:szCs w:val="28"/>
          <w:lang w:eastAsia="zh-CN"/>
        </w:rPr>
        <w:t>。</w:t>
      </w:r>
    </w:p>
    <w:p>
      <w:pPr>
        <w:rPr>
          <w:rFonts w:ascii="仿宋" w:hAnsi="仿宋" w:eastAsia="仿宋" w:cs="宋体"/>
          <w:b/>
          <w:bCs/>
          <w:sz w:val="28"/>
          <w:szCs w:val="28"/>
        </w:rPr>
      </w:pPr>
      <w:r>
        <w:rPr>
          <w:rFonts w:hint="eastAsia" w:ascii="仿宋" w:hAnsi="仿宋" w:eastAsia="仿宋" w:cs="宋体"/>
          <w:b/>
          <w:bCs/>
          <w:sz w:val="28"/>
          <w:szCs w:val="28"/>
        </w:rPr>
        <w:t>二</w:t>
      </w:r>
      <w:r>
        <w:rPr>
          <w:rFonts w:ascii="仿宋" w:hAnsi="仿宋" w:eastAsia="仿宋" w:cs="宋体"/>
          <w:b/>
          <w:bCs/>
          <w:sz w:val="28"/>
          <w:szCs w:val="28"/>
        </w:rPr>
        <w:t>：设备性能参数及功能要求</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1、规格：≥2140×980×500mm，允许偏差±20。</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2、升降功能：</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①背部升降：升降角度 ≥75º。</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②腿部升降：升降角度 ≥45º。</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3、床面板：</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 xml:space="preserve">*①床面板采用优质冷轧板材整版一次性液压拉伸成型，钢板厚度≥1.2mm，表面光滑无毛刺。四块床面板大小规格符合人身体结构，造型合理科学，整版一次性拉伸多孔无焊接成型，床面整体有凹型面板结构，带防滑孔，易清洗，强度高、透气性好；床板四周和中间有加强筋，以增加承载力。 </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病床背板和腿板升降部位均采用固定式双支撑转轴结构，支撑板厚度≥3mm支撑管轴φ≥32mm，厚度≥2mm。避免使用过程中受力导致升降支撑跑偏位移损坏床板，双支撑有效将病员的重量均匀地分部在床梁上，最大限度减少螺杆受力，有效延长螺杆及病床使用寿命。</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 xml:space="preserve">③床板链接采用钢质铰链，单片厚度≥3mm。耐磨，运作无噪音，防折断。 </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4、床身主要部件：</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①床框采用 40mm×60mm≥1.5mm 优质碳钢矩管；</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②床框四角和两侧中间带输液架插座，带四个可移动引流袋挂钩。</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5、护栏：</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电泳铝合金折叠护栏，规格：≥1400×400mm（允许偏差±5mm），上下金属基座连接处采用双重固定结构，金属基座厚度≥3mm冷轧钢板冲压成型彻底根除护栏在高频率使用下出现的松垮、歪斜、断裂等频繁坏损现象，铝合金型材连接，使用方便，稳定可靠。</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②高强度铸铝模具成型枪把手内置隐藏式锁紧机构，强度高安全可靠。</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③加厚 D 形铝合金护手，铝型材料厚≥1.5mm表面硬化处理，下座横管为30×30≥1.5mm方管，所有转动部件外均罩有ABS装饰盖，护栏整体造型更为美观、大方。</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④护栏升起后护栏上缘距离床面高度≥350mm，方便在护栏上放置餐桌就餐和有效防治患者发生坠床风险。</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⑤护栏折叠方向受拉力≥750N。</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6、床头床尾板：</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①高强度工程塑料吹塑成型，表面光洁色调柔和，便于清洁；四周均有防撞包角，以保护病床及医院设施。</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②采用挂式结构，可快速拆卸床头便于抢救治疗，带锁紧装置，互换性强，非中空设计，强度高，稳定性强，床头推手位受力强度≥450N；</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③床尾板带一次成型透明亚克力材料床位牌卡座。</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④床头床尾中间装饰板采取一次性注塑成型，内外装饰板对扣式防脱落结构原理连接非胶粘不粘胶宝丽板防止气泡开胶。</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7、床架加工：</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①整体床架采用优质冷轧型材，经机械手自动焊接成型，确保整个床体结实、牢固，运行平稳。然后采用环保静电喷涂设备进行环氧树脂粉沫喷涂，涂层均匀，具有抗菌，抗酸碱、耐腐蚀、耐褪色等特性。</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②喷塑前床体采用新配方环保节能高效表面除油除锈新工艺，产品在长期使用过程中不会因为其他原因而导致生锈。</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8、传动装置：</w:t>
      </w:r>
    </w:p>
    <w:p>
      <w:pPr>
        <w:ind w:left="218" w:leftChars="104"/>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①丝杆采用45#钢滚丝挤压成型，螺母采用合金铝制作；丝杆具备双向过摇打滑装置；延长其使用寿命；丝杆弹盒为刚件，折叠摇手采用45#钢和丝杆连接采用钢制万向节连接。</w:t>
      </w:r>
    </w:p>
    <w:p>
      <w:pPr>
        <w:ind w:firstLine="280" w:firstLine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②手摇床丝杆有双向过盈保护装置，丝杆采用机器一次性冷挤压成型。</w:t>
      </w:r>
    </w:p>
    <w:p>
      <w:pPr>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9、杂物架：矩管或不锈钢材质制作，可挂与床脚框架。</w:t>
      </w:r>
    </w:p>
    <w:p>
      <w:pPr>
        <w:ind w:left="220" w:hanging="280" w:hangingChars="100"/>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10、框架床脚：采用 30×50≥1.5mm 优质冷轧型材弯管整体焊接成型，采用5寸全包防缠绕静音脚轮，四个轮子皆带刹车。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宋体"/>
          <w:bCs/>
          <w:kern w:val="0"/>
          <w:sz w:val="28"/>
          <w:szCs w:val="28"/>
          <w:lang w:val="en-US" w:eastAsia="zh-CN" w:bidi="ar-SA"/>
        </w:rPr>
        <w:t>*11、床面动态载荷≥250KG，有效载荷≥400KG。</w:t>
      </w:r>
    </w:p>
    <w:p>
      <w:pPr>
        <w:jc w:val="center"/>
        <w:rPr>
          <w:rFonts w:hint="eastAsia" w:ascii="仿宋" w:hAnsi="仿宋" w:eastAsia="仿宋"/>
          <w:b/>
          <w:sz w:val="28"/>
          <w:szCs w:val="28"/>
          <w:lang w:eastAsia="zh-CN"/>
        </w:rPr>
      </w:pPr>
    </w:p>
    <w:p>
      <w:pPr>
        <w:jc w:val="center"/>
        <w:rPr>
          <w:rFonts w:ascii="仿宋" w:hAnsi="仿宋" w:eastAsia="仿宋"/>
          <w:b/>
          <w:sz w:val="28"/>
          <w:szCs w:val="28"/>
        </w:rPr>
      </w:pPr>
      <w:r>
        <w:rPr>
          <w:rFonts w:hint="eastAsia" w:ascii="仿宋" w:hAnsi="仿宋" w:eastAsia="仿宋"/>
          <w:b/>
          <w:sz w:val="28"/>
          <w:szCs w:val="28"/>
          <w:lang w:eastAsia="zh-CN"/>
        </w:rPr>
        <w:t>电动检查床</w:t>
      </w:r>
      <w:r>
        <w:rPr>
          <w:rFonts w:hint="eastAsia" w:ascii="仿宋" w:hAnsi="仿宋" w:eastAsia="仿宋"/>
          <w:b/>
          <w:sz w:val="28"/>
          <w:szCs w:val="28"/>
        </w:rPr>
        <w:t>招标</w:t>
      </w:r>
      <w:r>
        <w:rPr>
          <w:rFonts w:ascii="仿宋" w:hAnsi="仿宋" w:eastAsia="仿宋"/>
          <w:b/>
          <w:sz w:val="28"/>
          <w:szCs w:val="28"/>
        </w:rPr>
        <w:t>参数</w:t>
      </w:r>
    </w:p>
    <w:p>
      <w:pPr>
        <w:rPr>
          <w:rFonts w:hint="eastAsia" w:ascii="仿宋" w:hAnsi="仿宋" w:eastAsia="仿宋"/>
          <w:b/>
          <w:sz w:val="28"/>
          <w:szCs w:val="28"/>
          <w:lang w:eastAsia="zh-CN"/>
        </w:rPr>
      </w:pPr>
      <w:r>
        <w:rPr>
          <w:rFonts w:hint="eastAsia" w:ascii="仿宋" w:hAnsi="仿宋" w:eastAsia="仿宋" w:cs="宋体"/>
          <w:b/>
          <w:bCs/>
          <w:sz w:val="28"/>
          <w:szCs w:val="28"/>
        </w:rPr>
        <w:t>一</w:t>
      </w:r>
      <w:r>
        <w:rPr>
          <w:rFonts w:ascii="仿宋" w:hAnsi="仿宋" w:eastAsia="仿宋" w:cs="宋体"/>
          <w:b/>
          <w:bCs/>
          <w:sz w:val="28"/>
          <w:szCs w:val="28"/>
        </w:rPr>
        <w:t>：</w:t>
      </w:r>
      <w:r>
        <w:rPr>
          <w:rFonts w:hint="eastAsia" w:ascii="仿宋" w:hAnsi="仿宋" w:eastAsia="仿宋" w:cs="宋体"/>
          <w:b/>
          <w:bCs/>
          <w:sz w:val="28"/>
          <w:szCs w:val="28"/>
        </w:rPr>
        <w:t>设备名称</w:t>
      </w:r>
      <w:r>
        <w:rPr>
          <w:rFonts w:ascii="仿宋" w:hAnsi="仿宋" w:eastAsia="仿宋" w:cs="宋体"/>
          <w:b/>
          <w:bCs/>
          <w:sz w:val="28"/>
          <w:szCs w:val="28"/>
        </w:rPr>
        <w:t>：</w:t>
      </w:r>
      <w:r>
        <w:rPr>
          <w:rFonts w:hint="eastAsia" w:ascii="仿宋" w:hAnsi="仿宋" w:eastAsia="仿宋" w:cs="宋体"/>
          <w:b/>
          <w:bCs/>
          <w:sz w:val="28"/>
          <w:szCs w:val="28"/>
          <w:lang w:eastAsia="zh-CN"/>
        </w:rPr>
        <w:t>电动检查床</w:t>
      </w:r>
    </w:p>
    <w:p>
      <w:pPr>
        <w:pStyle w:val="36"/>
        <w:numPr>
          <w:ilvl w:val="0"/>
          <w:numId w:val="2"/>
        </w:numPr>
        <w:ind w:left="425" w:leftChars="0" w:hanging="425" w:firstLineChars="0"/>
        <w:rPr>
          <w:rFonts w:hint="eastAsia" w:ascii="仿宋" w:hAnsi="仿宋" w:eastAsia="仿宋" w:cs="宋体"/>
          <w:bCs/>
          <w:sz w:val="28"/>
          <w:szCs w:val="28"/>
        </w:rPr>
      </w:pPr>
      <w:r>
        <w:rPr>
          <w:rFonts w:hint="eastAsia" w:ascii="仿宋" w:hAnsi="仿宋" w:eastAsia="仿宋" w:cs="宋体"/>
          <w:bCs/>
          <w:sz w:val="28"/>
          <w:szCs w:val="28"/>
        </w:rPr>
        <w:t>数量:</w:t>
      </w:r>
      <w:r>
        <w:rPr>
          <w:rFonts w:hint="eastAsia" w:ascii="仿宋" w:hAnsi="仿宋" w:eastAsia="仿宋" w:cs="宋体"/>
          <w:bCs/>
          <w:sz w:val="28"/>
          <w:szCs w:val="28"/>
          <w:lang w:val="en-US" w:eastAsia="zh-CN"/>
        </w:rPr>
        <w:t>4</w:t>
      </w:r>
      <w:r>
        <w:rPr>
          <w:rFonts w:hint="eastAsia" w:ascii="仿宋" w:hAnsi="仿宋" w:eastAsia="仿宋" w:cs="宋体"/>
          <w:bCs/>
          <w:sz w:val="28"/>
          <w:szCs w:val="28"/>
          <w:lang w:eastAsia="zh-CN"/>
        </w:rPr>
        <w:t>张</w:t>
      </w:r>
      <w:r>
        <w:rPr>
          <w:rFonts w:hint="eastAsia" w:ascii="仿宋" w:hAnsi="仿宋" w:eastAsia="仿宋" w:cs="宋体"/>
          <w:bCs/>
          <w:sz w:val="28"/>
          <w:szCs w:val="28"/>
        </w:rPr>
        <w:t>；</w:t>
      </w:r>
    </w:p>
    <w:p>
      <w:pPr>
        <w:pStyle w:val="36"/>
        <w:numPr>
          <w:ilvl w:val="0"/>
          <w:numId w:val="2"/>
        </w:numPr>
        <w:ind w:left="425" w:leftChars="0" w:hanging="425" w:firstLineChars="0"/>
        <w:rPr>
          <w:rFonts w:ascii="仿宋" w:hAnsi="仿宋" w:eastAsia="仿宋" w:cs="宋体"/>
          <w:bCs/>
          <w:sz w:val="28"/>
          <w:szCs w:val="28"/>
        </w:rPr>
      </w:pPr>
      <w:r>
        <w:rPr>
          <w:rFonts w:hint="eastAsia" w:ascii="仿宋" w:hAnsi="仿宋" w:eastAsia="仿宋" w:cs="宋体"/>
          <w:bCs/>
          <w:sz w:val="28"/>
          <w:szCs w:val="28"/>
        </w:rPr>
        <w:t>要求</w:t>
      </w:r>
      <w:r>
        <w:rPr>
          <w:rFonts w:hint="eastAsia" w:ascii="仿宋" w:hAnsi="仿宋" w:eastAsia="仿宋" w:cs="宋体"/>
          <w:bCs/>
          <w:sz w:val="28"/>
          <w:szCs w:val="28"/>
          <w:lang w:eastAsia="zh-CN"/>
        </w:rPr>
        <w:t>国产设备，</w:t>
      </w:r>
      <w:r>
        <w:rPr>
          <w:rFonts w:ascii="仿宋" w:hAnsi="仿宋" w:eastAsia="仿宋" w:cs="宋体"/>
          <w:bCs/>
          <w:sz w:val="28"/>
          <w:szCs w:val="28"/>
        </w:rPr>
        <w:t>整体质保</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2</w:t>
      </w:r>
      <w:r>
        <w:rPr>
          <w:rFonts w:ascii="仿宋" w:hAnsi="仿宋" w:eastAsia="仿宋" w:cs="宋体"/>
          <w:bCs/>
          <w:sz w:val="28"/>
          <w:szCs w:val="28"/>
        </w:rPr>
        <w:t>年；</w:t>
      </w:r>
    </w:p>
    <w:p>
      <w:pPr>
        <w:rPr>
          <w:rFonts w:ascii="仿宋" w:hAnsi="仿宋" w:eastAsia="仿宋" w:cs="宋体"/>
          <w:b/>
          <w:bCs/>
          <w:sz w:val="28"/>
          <w:szCs w:val="28"/>
        </w:rPr>
      </w:pPr>
      <w:r>
        <w:rPr>
          <w:rFonts w:hint="eastAsia" w:ascii="仿宋" w:hAnsi="仿宋" w:eastAsia="仿宋" w:cs="宋体"/>
          <w:b/>
          <w:bCs/>
          <w:sz w:val="28"/>
          <w:szCs w:val="28"/>
        </w:rPr>
        <w:t>二</w:t>
      </w:r>
      <w:r>
        <w:rPr>
          <w:rFonts w:ascii="仿宋" w:hAnsi="仿宋" w:eastAsia="仿宋" w:cs="宋体"/>
          <w:b/>
          <w:bCs/>
          <w:sz w:val="28"/>
          <w:szCs w:val="28"/>
        </w:rPr>
        <w:t>：设备性能参数及功能要求</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规格：长宽≥1450*600mm，高650～1000mm。</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lang w:val="en-US" w:eastAsia="zh-CN"/>
        </w:rPr>
      </w:pPr>
      <w:r>
        <w:rPr>
          <w:rFonts w:hint="eastAsia" w:ascii="仿宋" w:hAnsi="仿宋" w:eastAsia="仿宋" w:cs="宋体"/>
          <w:bCs/>
          <w:kern w:val="0"/>
          <w:sz w:val="28"/>
          <w:szCs w:val="28"/>
          <w:lang w:val="en-US" w:eastAsia="zh-CN" w:bidi="ar-SA"/>
        </w:rPr>
        <w:t>制作工艺：材料采用数控板料激光切割自动化生产线及数控  激光切管机下料，数控板料四边折边机进行折边，机器人折弯，保证了产品部件的折弯尺寸及折边精度，确保了部件尺寸的符合性；采用焊接机器人和激光焊接机进行组合焊接，焊缝位置准确，成型美观，尺寸精准，强度高。</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多功能电动产床采用低压直流电机驱动，性能安全稳定。</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为方便妇科临床检查而设计，由电动推杆提供动力，通过手动控制辅助台面及托脚架的调整。</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lang w:val="en-US" w:eastAsia="zh-CN"/>
        </w:rPr>
      </w:pPr>
      <w:r>
        <w:rPr>
          <w:rFonts w:hint="eastAsia" w:ascii="仿宋" w:hAnsi="仿宋" w:eastAsia="仿宋" w:cs="宋体"/>
          <w:bCs/>
          <w:kern w:val="0"/>
          <w:sz w:val="28"/>
          <w:szCs w:val="28"/>
          <w:lang w:val="en-US" w:eastAsia="zh-CN" w:bidi="ar-SA"/>
        </w:rPr>
        <w:t>床架采用优质碳钢，表面喷塑。</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配原厂一体化床垫，床垫厚度≥80mm，表面采用 PVC+PU 材质，满足防腐蚀，防水，易消毒，易擦洗。</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背板调节≥70/-17°。</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座板调节≥0°～18°。</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lang w:val="en-US" w:eastAsia="zh-CN"/>
        </w:rPr>
      </w:pPr>
      <w:r>
        <w:rPr>
          <w:rFonts w:hint="eastAsia" w:ascii="仿宋" w:hAnsi="仿宋" w:eastAsia="仿宋" w:cs="宋体"/>
          <w:bCs/>
          <w:kern w:val="0"/>
          <w:sz w:val="28"/>
          <w:szCs w:val="28"/>
          <w:lang w:val="en-US" w:eastAsia="zh-CN" w:bidi="ar-SA"/>
        </w:rPr>
        <w:t>床垫颜色多种可选，如：</w:t>
      </w:r>
      <w:r>
        <w:rPr>
          <w:rFonts w:hint="eastAsia" w:ascii="宋体" w:hAnsi="宋体" w:cs="宋体"/>
          <w:kern w:val="0"/>
          <w:sz w:val="24"/>
          <w:szCs w:val="24"/>
        </w:rPr>
        <w:t>黄、粉红、玫瑰红、天蓝</w:t>
      </w:r>
      <w:r>
        <w:rPr>
          <w:rFonts w:hint="eastAsia" w:ascii="仿宋" w:hAnsi="仿宋" w:eastAsia="仿宋" w:cs="宋体"/>
          <w:bCs/>
          <w:kern w:val="0"/>
          <w:sz w:val="28"/>
          <w:szCs w:val="28"/>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 w:val="0"/>
          <w:bCs/>
          <w:kern w:val="0"/>
          <w:sz w:val="28"/>
          <w:szCs w:val="28"/>
          <w:lang w:val="en-US" w:eastAsia="zh-CN" w:bidi="ar-SA"/>
        </w:rPr>
      </w:pPr>
      <w:r>
        <w:rPr>
          <w:rFonts w:hint="eastAsia" w:ascii="仿宋" w:hAnsi="仿宋" w:eastAsia="仿宋" w:cs="宋体"/>
          <w:bCs/>
          <w:kern w:val="0"/>
          <w:sz w:val="28"/>
          <w:szCs w:val="28"/>
          <w:lang w:val="en-US" w:eastAsia="zh-CN" w:bidi="ar-SA"/>
        </w:rPr>
        <w:t>手持</w:t>
      </w:r>
      <w:r>
        <w:rPr>
          <w:rFonts w:hint="eastAsia" w:ascii="仿宋" w:hAnsi="仿宋" w:eastAsia="仿宋" w:cs="宋体"/>
          <w:b w:val="0"/>
          <w:bCs/>
          <w:kern w:val="0"/>
          <w:sz w:val="28"/>
          <w:szCs w:val="28"/>
          <w:lang w:val="en-US" w:eastAsia="zh-CN" w:bidi="ar-SA"/>
        </w:rPr>
        <w:t>操作器控</w:t>
      </w:r>
      <w:r>
        <w:rPr>
          <w:rFonts w:hint="eastAsia" w:ascii="仿宋" w:hAnsi="仿宋" w:eastAsia="仿宋" w:cs="宋体"/>
          <w:bCs/>
          <w:kern w:val="0"/>
          <w:sz w:val="28"/>
          <w:szCs w:val="28"/>
          <w:lang w:val="en-US" w:eastAsia="zh-CN" w:bidi="ar-SA"/>
        </w:rPr>
        <w:t xml:space="preserve">制或者脚踏开关控制。 </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ascii="仿宋" w:hAnsi="仿宋" w:eastAsia="仿宋" w:cs="宋体"/>
          <w:b w:val="0"/>
          <w:bCs/>
          <w:kern w:val="0"/>
          <w:sz w:val="28"/>
          <w:szCs w:val="28"/>
          <w:lang w:val="en-US" w:eastAsia="zh-CN" w:bidi="ar-SA"/>
        </w:rPr>
      </w:pPr>
      <w:r>
        <w:rPr>
          <w:rFonts w:hint="eastAsia" w:ascii="仿宋" w:hAnsi="仿宋" w:eastAsia="仿宋" w:cs="宋体"/>
          <w:bCs/>
          <w:kern w:val="0"/>
          <w:sz w:val="28"/>
          <w:szCs w:val="28"/>
          <w:lang w:val="en-US" w:eastAsia="zh-CN" w:bidi="ar-SA"/>
        </w:rPr>
        <w:t>检查床</w:t>
      </w:r>
      <w:r>
        <w:rPr>
          <w:rFonts w:hint="eastAsia" w:ascii="仿宋" w:hAnsi="仿宋" w:eastAsia="仿宋" w:cs="宋体"/>
          <w:b w:val="0"/>
          <w:bCs/>
          <w:kern w:val="0"/>
          <w:sz w:val="28"/>
          <w:szCs w:val="28"/>
          <w:lang w:val="en-US" w:eastAsia="zh-CN" w:bidi="ar-SA"/>
        </w:rPr>
        <w:t>安全载重≥250 kg。</w:t>
      </w:r>
    </w:p>
    <w:p>
      <w:pPr>
        <w:keepNext w:val="0"/>
        <w:keepLines w:val="0"/>
        <w:pageBreakBefore w:val="0"/>
        <w:widowControl/>
        <w:numPr>
          <w:ilvl w:val="0"/>
          <w:numId w:val="3"/>
        </w:numPr>
        <w:kinsoku/>
        <w:wordWrap/>
        <w:overflowPunct/>
        <w:topLinePunct w:val="0"/>
        <w:autoSpaceDE/>
        <w:autoSpaceDN/>
        <w:bidi w:val="0"/>
        <w:adjustRightInd/>
        <w:snapToGrid/>
        <w:spacing w:line="260" w:lineRule="auto"/>
        <w:ind w:left="425" w:leftChars="0" w:hanging="425" w:firstLineChars="0"/>
        <w:jc w:val="left"/>
        <w:textAlignment w:val="auto"/>
        <w:rPr>
          <w:rFonts w:hint="eastAsia"/>
          <w:lang w:val="en-US" w:eastAsia="zh-CN"/>
        </w:rPr>
      </w:pPr>
      <w:r>
        <w:rPr>
          <w:rFonts w:hint="eastAsia" w:ascii="仿宋" w:hAnsi="仿宋" w:eastAsia="仿宋" w:cs="宋体"/>
          <w:bCs/>
          <w:kern w:val="0"/>
          <w:sz w:val="28"/>
          <w:szCs w:val="28"/>
          <w:lang w:val="en-US" w:eastAsia="zh-CN" w:bidi="ar-SA"/>
        </w:rPr>
        <w:t>配有大容量体液收集盆，收集盆两侧配备握手。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Cs/>
          <w:kern w:val="0"/>
          <w:sz w:val="28"/>
          <w:szCs w:val="28"/>
          <w:lang w:val="en-US" w:eastAsia="zh-CN" w:bidi="ar-SA"/>
        </w:rPr>
      </w:pPr>
      <w:r>
        <w:rPr>
          <w:rFonts w:hint="eastAsia" w:ascii="仿宋" w:hAnsi="仿宋" w:eastAsia="仿宋" w:cs="宋体"/>
          <w:bCs/>
          <w:kern w:val="0"/>
          <w:sz w:val="28"/>
          <w:szCs w:val="28"/>
          <w:lang w:val="en-US" w:eastAsia="zh-CN" w:bidi="ar-SA"/>
        </w:rPr>
        <w:t>13.标配有蓄电池。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2" w:name="_Toc55990502"/>
      <w:bookmarkStart w:id="53" w:name="_Toc61184634"/>
      <w:bookmarkStart w:id="54" w:name="_Toc56170391"/>
      <w:bookmarkStart w:id="55" w:name="_Toc21747"/>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s="Times New Roman"/>
          <w:b/>
          <w:bCs/>
          <w:color w:val="auto"/>
          <w:sz w:val="24"/>
          <w:szCs w:val="24"/>
          <w:highlight w:val="yellow"/>
          <w:lang w:eastAsia="zh-CN"/>
        </w:rPr>
        <w:t>合同签订后，</w:t>
      </w:r>
      <w:r>
        <w:rPr>
          <w:rFonts w:hint="eastAsia" w:ascii="仿宋" w:hAnsi="仿宋" w:eastAsia="仿宋"/>
          <w:color w:val="000000"/>
          <w:sz w:val="24"/>
          <w:highlight w:val="none"/>
        </w:rPr>
        <w:t>付总货款的</w:t>
      </w:r>
      <w:r>
        <w:rPr>
          <w:rFonts w:hint="eastAsia" w:ascii="仿宋" w:hAnsi="仿宋" w:eastAsia="仿宋"/>
          <w:color w:val="000000"/>
          <w:sz w:val="24"/>
          <w:highlight w:val="none"/>
          <w:lang w:val="en-US" w:eastAsia="zh-CN"/>
        </w:rPr>
        <w:t>80</w:t>
      </w:r>
      <w:r>
        <w:rPr>
          <w:rFonts w:hint="eastAsia" w:ascii="仿宋" w:hAnsi="仿宋" w:eastAsia="仿宋"/>
          <w:color w:val="000000"/>
          <w:sz w:val="24"/>
          <w:highlight w:val="none"/>
        </w:rPr>
        <w:t>%</w:t>
      </w:r>
      <w:r>
        <w:rPr>
          <w:rFonts w:hint="eastAsia" w:ascii="仿宋" w:hAnsi="仿宋" w:eastAsia="仿宋"/>
          <w:color w:val="000000"/>
          <w:sz w:val="24"/>
          <w:highlight w:val="none"/>
          <w:lang w:eastAsia="zh-CN"/>
        </w:rPr>
        <w:t>，</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highlight w:val="none"/>
        </w:rPr>
      </w:pPr>
      <w:r>
        <w:rPr>
          <w:rFonts w:hint="eastAsia" w:ascii="仿宋" w:hAnsi="仿宋" w:eastAsia="仿宋" w:cs="Times New Roman"/>
          <w:b/>
          <w:bCs/>
          <w:color w:val="auto"/>
          <w:sz w:val="24"/>
          <w:szCs w:val="24"/>
          <w:highlight w:val="yellow"/>
          <w:lang w:val="en-US" w:eastAsia="zh-CN"/>
        </w:rPr>
        <w:t>2、</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10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 xml:space="preserve">、质保金为10%，即（大写： </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lang w:val="en-US" w:eastAsia="zh-CN"/>
        </w:rPr>
        <w:t>4</w:t>
      </w:r>
      <w:r>
        <w:rPr>
          <w:rFonts w:hint="eastAsia" w:ascii="仿宋" w:hAnsi="仿宋" w:eastAsia="仿宋"/>
          <w:color w:val="000000"/>
          <w:sz w:val="24"/>
        </w:rPr>
        <w:t>、甲方支付上述任何一笔款项前，乙方应提供符合甲方财务做账要求的正规增值税发票，否则，甲方有权拒付款项且不承担违约责任。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6" w:name="_Toc6245"/>
      <w:bookmarkStart w:id="57" w:name="_Toc56170392"/>
      <w:bookmarkStart w:id="58" w:name="_Toc61184635"/>
      <w:r>
        <w:rPr>
          <w:rFonts w:hint="eastAsia"/>
        </w:rPr>
        <w:t>第五章、响应文件格式</w:t>
      </w:r>
      <w:bookmarkEnd w:id="56"/>
      <w:bookmarkEnd w:id="57"/>
      <w:bookmarkEnd w:id="58"/>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59" w:name="_Toc61184636"/>
      <w:bookmarkStart w:id="60" w:name="_Toc10657"/>
      <w:bookmarkStart w:id="61" w:name="_Toc56170393"/>
      <w:r>
        <w:rPr>
          <w:rFonts w:hint="eastAsia"/>
        </w:rPr>
        <w:t>附件一、投标书</w:t>
      </w:r>
      <w:bookmarkEnd w:id="59"/>
      <w:bookmarkEnd w:id="60"/>
      <w:bookmarkEnd w:id="61"/>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2" w:name="_Toc56170394"/>
      <w:bookmarkStart w:id="63" w:name="_Toc26466"/>
      <w:bookmarkStart w:id="64" w:name="_Toc61184637"/>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5" w:name="_Toc56170395"/>
      <w:bookmarkStart w:id="66" w:name="_Toc61184638"/>
      <w:bookmarkStart w:id="67" w:name="_Toc3373"/>
      <w:r>
        <w:rPr>
          <w:rFonts w:hint="eastAsia"/>
        </w:rPr>
        <w:t>附件三、法定代表人</w:t>
      </w:r>
      <w:r>
        <w:t>授权委托书</w:t>
      </w:r>
      <w:bookmarkEnd w:id="65"/>
      <w:bookmarkEnd w:id="66"/>
      <w:bookmarkEnd w:id="67"/>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8"/>
        <w:rPr>
          <w:rFonts w:hint="eastAsia"/>
        </w:rPr>
      </w:pPr>
      <w:r>
        <w:br w:type="page"/>
      </w:r>
      <w:bookmarkStart w:id="68" w:name="_Toc56170396"/>
      <w:bookmarkStart w:id="69" w:name="_Toc9301"/>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1" w:name="_Toc5174"/>
      <w:bookmarkStart w:id="72" w:name="_Toc61184640"/>
      <w:bookmarkStart w:id="73" w:name="_Toc56170397"/>
      <w:r>
        <w:rPr>
          <w:rFonts w:hint="eastAsia"/>
        </w:rPr>
        <w:t>附件五、诚信磋商承诺书</w:t>
      </w:r>
      <w:bookmarkEnd w:id="71"/>
      <w:bookmarkEnd w:id="72"/>
      <w:bookmarkEnd w:id="73"/>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4" w:name="_Toc435087575"/>
      <w:bookmarkStart w:id="75" w:name="_Toc30642"/>
      <w:bookmarkStart w:id="76" w:name="_Toc61184641"/>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79" w:name="_Toc56170399"/>
      <w:bookmarkStart w:id="80" w:name="_Toc22501"/>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2" w:name="_Toc56170400"/>
      <w:bookmarkStart w:id="83" w:name="_Toc61184643"/>
      <w:bookmarkStart w:id="84" w:name="_Toc2236"/>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5" w:name="_Toc61184644"/>
      <w:bookmarkStart w:id="86" w:name="_Toc56170401"/>
      <w:bookmarkStart w:id="87" w:name="_Toc27579"/>
      <w:r>
        <w:rPr>
          <w:rFonts w:hint="eastAsia"/>
        </w:rPr>
        <w:t>附件</w:t>
      </w:r>
      <w:r>
        <w:rPr>
          <w:rFonts w:hint="eastAsia"/>
          <w:lang w:val="en-US" w:eastAsia="zh-CN"/>
        </w:rPr>
        <w:t>十</w:t>
      </w:r>
      <w:r>
        <w:rPr>
          <w:rFonts w:hint="eastAsia"/>
        </w:rPr>
        <w:t>、技术规格偏离表</w:t>
      </w:r>
      <w:bookmarkEnd w:id="85"/>
      <w:bookmarkEnd w:id="86"/>
      <w:bookmarkEnd w:id="87"/>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88" w:name="_Toc61184645"/>
      <w:bookmarkStart w:id="89" w:name="_Toc56170402"/>
      <w:bookmarkStart w:id="90" w:name="_Toc11172"/>
      <w:r>
        <w:rPr>
          <w:rFonts w:hint="eastAsia"/>
        </w:rPr>
        <w:t>附件十</w:t>
      </w:r>
      <w:r>
        <w:rPr>
          <w:rFonts w:hint="eastAsia"/>
          <w:lang w:val="en-US" w:eastAsia="zh-CN"/>
        </w:rPr>
        <w:t>一</w:t>
      </w:r>
      <w:r>
        <w:rPr>
          <w:rFonts w:hint="eastAsia"/>
        </w:rPr>
        <w:t>、商务条款偏离表</w:t>
      </w:r>
      <w:bookmarkEnd w:id="88"/>
      <w:bookmarkEnd w:id="89"/>
      <w:bookmarkEnd w:id="90"/>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1" w:name="_Toc5354"/>
      <w:bookmarkStart w:id="92" w:name="_Toc61184646"/>
      <w:bookmarkStart w:id="93" w:name="_Toc56170403"/>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701E5"/>
    <w:multiLevelType w:val="singleLevel"/>
    <w:tmpl w:val="88F701E5"/>
    <w:lvl w:ilvl="0" w:tentative="0">
      <w:start w:val="1"/>
      <w:numFmt w:val="decimal"/>
      <w:lvlText w:val="%1."/>
      <w:lvlJc w:val="left"/>
      <w:pPr>
        <w:ind w:left="425" w:hanging="425"/>
      </w:pPr>
      <w:rPr>
        <w:rFonts w:hint="default" w:ascii="宋体" w:hAnsi="宋体" w:eastAsia="宋体" w:cstheme="minorEastAsia"/>
        <w:sz w:val="28"/>
        <w:szCs w:val="28"/>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386989C9"/>
    <w:multiLevelType w:val="singleLevel"/>
    <w:tmpl w:val="386989C9"/>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CD1788"/>
    <w:rsid w:val="00E40206"/>
    <w:rsid w:val="00FD16FA"/>
    <w:rsid w:val="01CC2A72"/>
    <w:rsid w:val="026262C0"/>
    <w:rsid w:val="02706F9F"/>
    <w:rsid w:val="02A30234"/>
    <w:rsid w:val="035D1F6C"/>
    <w:rsid w:val="035D3297"/>
    <w:rsid w:val="035E2B6B"/>
    <w:rsid w:val="035E6419"/>
    <w:rsid w:val="036A7762"/>
    <w:rsid w:val="036D3DE7"/>
    <w:rsid w:val="03767EB5"/>
    <w:rsid w:val="03E27385"/>
    <w:rsid w:val="04BA216D"/>
    <w:rsid w:val="055752FB"/>
    <w:rsid w:val="05663F59"/>
    <w:rsid w:val="056B16EE"/>
    <w:rsid w:val="05DA5BDB"/>
    <w:rsid w:val="0642797C"/>
    <w:rsid w:val="06F4757A"/>
    <w:rsid w:val="073F2CB4"/>
    <w:rsid w:val="07415441"/>
    <w:rsid w:val="076C4A0F"/>
    <w:rsid w:val="079851F1"/>
    <w:rsid w:val="07FE7A63"/>
    <w:rsid w:val="081A742F"/>
    <w:rsid w:val="0849203C"/>
    <w:rsid w:val="09661D2F"/>
    <w:rsid w:val="09AC5E32"/>
    <w:rsid w:val="0A183EA3"/>
    <w:rsid w:val="0A4C26EB"/>
    <w:rsid w:val="0AD54619"/>
    <w:rsid w:val="0BB55228"/>
    <w:rsid w:val="0BF5180D"/>
    <w:rsid w:val="0C174F86"/>
    <w:rsid w:val="0C4F740C"/>
    <w:rsid w:val="0C7E427E"/>
    <w:rsid w:val="0CB41A4E"/>
    <w:rsid w:val="0D0C3638"/>
    <w:rsid w:val="0D452426"/>
    <w:rsid w:val="0DA73361"/>
    <w:rsid w:val="0DB30434"/>
    <w:rsid w:val="0DC11B23"/>
    <w:rsid w:val="0E08085D"/>
    <w:rsid w:val="0E163352"/>
    <w:rsid w:val="0E7A447D"/>
    <w:rsid w:val="0EDB1514"/>
    <w:rsid w:val="0F161444"/>
    <w:rsid w:val="0F606C81"/>
    <w:rsid w:val="10124B42"/>
    <w:rsid w:val="1019116F"/>
    <w:rsid w:val="102C0516"/>
    <w:rsid w:val="10AC5ADF"/>
    <w:rsid w:val="11C444E1"/>
    <w:rsid w:val="11CF7681"/>
    <w:rsid w:val="127A47E3"/>
    <w:rsid w:val="128A3E26"/>
    <w:rsid w:val="139776B8"/>
    <w:rsid w:val="13B05556"/>
    <w:rsid w:val="13BA5F08"/>
    <w:rsid w:val="13E67B05"/>
    <w:rsid w:val="14961306"/>
    <w:rsid w:val="15000AF5"/>
    <w:rsid w:val="15506288"/>
    <w:rsid w:val="15603CAA"/>
    <w:rsid w:val="15F27892"/>
    <w:rsid w:val="161F262E"/>
    <w:rsid w:val="164B02B8"/>
    <w:rsid w:val="164B44BB"/>
    <w:rsid w:val="1736249E"/>
    <w:rsid w:val="17575DF8"/>
    <w:rsid w:val="177171E7"/>
    <w:rsid w:val="17B80644"/>
    <w:rsid w:val="182A7068"/>
    <w:rsid w:val="183879D7"/>
    <w:rsid w:val="184B770B"/>
    <w:rsid w:val="185B1B37"/>
    <w:rsid w:val="18761063"/>
    <w:rsid w:val="18963552"/>
    <w:rsid w:val="18BA78F3"/>
    <w:rsid w:val="1934019F"/>
    <w:rsid w:val="198C3CCE"/>
    <w:rsid w:val="19C534ED"/>
    <w:rsid w:val="19EC0A79"/>
    <w:rsid w:val="1A1B1B9C"/>
    <w:rsid w:val="1A4408B5"/>
    <w:rsid w:val="1A6950D1"/>
    <w:rsid w:val="1A92241C"/>
    <w:rsid w:val="1B1572B6"/>
    <w:rsid w:val="1B476B6D"/>
    <w:rsid w:val="1B650AE3"/>
    <w:rsid w:val="1B970EB9"/>
    <w:rsid w:val="1BBC2159"/>
    <w:rsid w:val="1CBD485A"/>
    <w:rsid w:val="1DDD5972"/>
    <w:rsid w:val="1DE420B1"/>
    <w:rsid w:val="1E1037B0"/>
    <w:rsid w:val="1E296254"/>
    <w:rsid w:val="1E496813"/>
    <w:rsid w:val="1F257F94"/>
    <w:rsid w:val="1F5F5CCC"/>
    <w:rsid w:val="1F9C0B2D"/>
    <w:rsid w:val="1FD359B9"/>
    <w:rsid w:val="20945F1C"/>
    <w:rsid w:val="20A43AB4"/>
    <w:rsid w:val="20C35BA6"/>
    <w:rsid w:val="21063CC7"/>
    <w:rsid w:val="211F14D8"/>
    <w:rsid w:val="21274A8D"/>
    <w:rsid w:val="214A3A41"/>
    <w:rsid w:val="214B077B"/>
    <w:rsid w:val="21555156"/>
    <w:rsid w:val="217838C3"/>
    <w:rsid w:val="220D1A27"/>
    <w:rsid w:val="22332029"/>
    <w:rsid w:val="22353D7E"/>
    <w:rsid w:val="22641DC5"/>
    <w:rsid w:val="22A4563B"/>
    <w:rsid w:val="22D947ED"/>
    <w:rsid w:val="2333183B"/>
    <w:rsid w:val="233B75FE"/>
    <w:rsid w:val="23797C9C"/>
    <w:rsid w:val="238D506A"/>
    <w:rsid w:val="23B243CA"/>
    <w:rsid w:val="240063DE"/>
    <w:rsid w:val="240A66CC"/>
    <w:rsid w:val="242A39A5"/>
    <w:rsid w:val="242B4894"/>
    <w:rsid w:val="24464391"/>
    <w:rsid w:val="24470618"/>
    <w:rsid w:val="247E0DB7"/>
    <w:rsid w:val="24E94CB4"/>
    <w:rsid w:val="25680511"/>
    <w:rsid w:val="25895BF3"/>
    <w:rsid w:val="25DD2143"/>
    <w:rsid w:val="26451C3D"/>
    <w:rsid w:val="27312EB4"/>
    <w:rsid w:val="278E7BCD"/>
    <w:rsid w:val="28052165"/>
    <w:rsid w:val="284B1061"/>
    <w:rsid w:val="284E5D2C"/>
    <w:rsid w:val="288051AE"/>
    <w:rsid w:val="298962E5"/>
    <w:rsid w:val="29C80E82"/>
    <w:rsid w:val="29F4021C"/>
    <w:rsid w:val="2A024B59"/>
    <w:rsid w:val="2A4C2202"/>
    <w:rsid w:val="2A4E4E38"/>
    <w:rsid w:val="2AA34D40"/>
    <w:rsid w:val="2ABD3574"/>
    <w:rsid w:val="2AD613E0"/>
    <w:rsid w:val="2B0100FD"/>
    <w:rsid w:val="2B766148"/>
    <w:rsid w:val="2C086E09"/>
    <w:rsid w:val="2C132D5C"/>
    <w:rsid w:val="2C3312DC"/>
    <w:rsid w:val="2CB6302F"/>
    <w:rsid w:val="2D831DB3"/>
    <w:rsid w:val="2DED4BDD"/>
    <w:rsid w:val="2DFE26D1"/>
    <w:rsid w:val="2E7A0E8C"/>
    <w:rsid w:val="2E884DBD"/>
    <w:rsid w:val="2EA80FBB"/>
    <w:rsid w:val="2EEE52BA"/>
    <w:rsid w:val="2F1F25F2"/>
    <w:rsid w:val="2F2D7712"/>
    <w:rsid w:val="2F486C10"/>
    <w:rsid w:val="2F686266"/>
    <w:rsid w:val="2F8135BA"/>
    <w:rsid w:val="2FBF4BA7"/>
    <w:rsid w:val="2FD44032"/>
    <w:rsid w:val="2FF9733C"/>
    <w:rsid w:val="302A3C52"/>
    <w:rsid w:val="303350A5"/>
    <w:rsid w:val="30750EFB"/>
    <w:rsid w:val="30DD4D5C"/>
    <w:rsid w:val="315106F8"/>
    <w:rsid w:val="31AE5714"/>
    <w:rsid w:val="32357157"/>
    <w:rsid w:val="3316539F"/>
    <w:rsid w:val="33A67A93"/>
    <w:rsid w:val="34A373C7"/>
    <w:rsid w:val="34B667EF"/>
    <w:rsid w:val="34C5399E"/>
    <w:rsid w:val="35040F15"/>
    <w:rsid w:val="353A2B32"/>
    <w:rsid w:val="36280C33"/>
    <w:rsid w:val="36525CB0"/>
    <w:rsid w:val="366B28AD"/>
    <w:rsid w:val="368C4D1E"/>
    <w:rsid w:val="369E2CA4"/>
    <w:rsid w:val="36AA33F6"/>
    <w:rsid w:val="36AB19CF"/>
    <w:rsid w:val="36FC05A5"/>
    <w:rsid w:val="378F7F37"/>
    <w:rsid w:val="37FA6DF6"/>
    <w:rsid w:val="380B2468"/>
    <w:rsid w:val="38993021"/>
    <w:rsid w:val="389C6737"/>
    <w:rsid w:val="38D13BA5"/>
    <w:rsid w:val="38F55962"/>
    <w:rsid w:val="39737051"/>
    <w:rsid w:val="39926718"/>
    <w:rsid w:val="39E11825"/>
    <w:rsid w:val="3A122237"/>
    <w:rsid w:val="3A2C539B"/>
    <w:rsid w:val="3A83468A"/>
    <w:rsid w:val="3ACE7FFB"/>
    <w:rsid w:val="3B0C7FB1"/>
    <w:rsid w:val="3B36643D"/>
    <w:rsid w:val="3B4B164C"/>
    <w:rsid w:val="3B7121C5"/>
    <w:rsid w:val="3BBE2933"/>
    <w:rsid w:val="3BD55452"/>
    <w:rsid w:val="3C1F5AB4"/>
    <w:rsid w:val="3CC53369"/>
    <w:rsid w:val="3CE066B1"/>
    <w:rsid w:val="3D581806"/>
    <w:rsid w:val="3E154EC6"/>
    <w:rsid w:val="3E3C1720"/>
    <w:rsid w:val="3E644066"/>
    <w:rsid w:val="3EE36CFB"/>
    <w:rsid w:val="3F5B3E28"/>
    <w:rsid w:val="3F9A7199"/>
    <w:rsid w:val="3FCE4D5F"/>
    <w:rsid w:val="3FE77469"/>
    <w:rsid w:val="4004626D"/>
    <w:rsid w:val="4016514E"/>
    <w:rsid w:val="404103AF"/>
    <w:rsid w:val="40555873"/>
    <w:rsid w:val="40A551BD"/>
    <w:rsid w:val="40BC08F6"/>
    <w:rsid w:val="41B415CD"/>
    <w:rsid w:val="4222702A"/>
    <w:rsid w:val="427F3012"/>
    <w:rsid w:val="42B02335"/>
    <w:rsid w:val="42FA167F"/>
    <w:rsid w:val="43350757"/>
    <w:rsid w:val="43917E18"/>
    <w:rsid w:val="44367955"/>
    <w:rsid w:val="44752B04"/>
    <w:rsid w:val="448C3718"/>
    <w:rsid w:val="44B607EB"/>
    <w:rsid w:val="44EC1164"/>
    <w:rsid w:val="450A2833"/>
    <w:rsid w:val="456B4783"/>
    <w:rsid w:val="457B22C6"/>
    <w:rsid w:val="464C6278"/>
    <w:rsid w:val="46671304"/>
    <w:rsid w:val="46A130D7"/>
    <w:rsid w:val="46D558C1"/>
    <w:rsid w:val="474858DB"/>
    <w:rsid w:val="4803382B"/>
    <w:rsid w:val="480D1A37"/>
    <w:rsid w:val="480D2BCC"/>
    <w:rsid w:val="481652EC"/>
    <w:rsid w:val="487C5A0C"/>
    <w:rsid w:val="489C088E"/>
    <w:rsid w:val="493023AB"/>
    <w:rsid w:val="49612D0A"/>
    <w:rsid w:val="49FC5FB9"/>
    <w:rsid w:val="4AB92B2D"/>
    <w:rsid w:val="4AC22FAD"/>
    <w:rsid w:val="4AD90754"/>
    <w:rsid w:val="4AFD3876"/>
    <w:rsid w:val="4B334AC2"/>
    <w:rsid w:val="4B347B1E"/>
    <w:rsid w:val="4B49722A"/>
    <w:rsid w:val="4B887DA7"/>
    <w:rsid w:val="4BD96800"/>
    <w:rsid w:val="4BDF6255"/>
    <w:rsid w:val="4C356D7A"/>
    <w:rsid w:val="4C4F6AC2"/>
    <w:rsid w:val="4CF52547"/>
    <w:rsid w:val="4D9A2275"/>
    <w:rsid w:val="4E2974E8"/>
    <w:rsid w:val="4E821322"/>
    <w:rsid w:val="4F097282"/>
    <w:rsid w:val="4F5211AD"/>
    <w:rsid w:val="4FBE01E7"/>
    <w:rsid w:val="4FE13ED5"/>
    <w:rsid w:val="4FE614EB"/>
    <w:rsid w:val="50AD1252"/>
    <w:rsid w:val="50FA27B7"/>
    <w:rsid w:val="51612D17"/>
    <w:rsid w:val="518E1E3B"/>
    <w:rsid w:val="519136D9"/>
    <w:rsid w:val="51B15B29"/>
    <w:rsid w:val="52225098"/>
    <w:rsid w:val="524052BE"/>
    <w:rsid w:val="52A64F62"/>
    <w:rsid w:val="533624D2"/>
    <w:rsid w:val="53F84770"/>
    <w:rsid w:val="540256B8"/>
    <w:rsid w:val="54141C5F"/>
    <w:rsid w:val="54851111"/>
    <w:rsid w:val="54E002D6"/>
    <w:rsid w:val="55050F25"/>
    <w:rsid w:val="55124B31"/>
    <w:rsid w:val="553D4883"/>
    <w:rsid w:val="556C161A"/>
    <w:rsid w:val="55A43901"/>
    <w:rsid w:val="561645C0"/>
    <w:rsid w:val="563B323C"/>
    <w:rsid w:val="563D201C"/>
    <w:rsid w:val="56410896"/>
    <w:rsid w:val="568630E0"/>
    <w:rsid w:val="56953D97"/>
    <w:rsid w:val="56DB1DE0"/>
    <w:rsid w:val="57487C6A"/>
    <w:rsid w:val="580F3680"/>
    <w:rsid w:val="581C0165"/>
    <w:rsid w:val="583E4D05"/>
    <w:rsid w:val="584009C4"/>
    <w:rsid w:val="58937D37"/>
    <w:rsid w:val="59101387"/>
    <w:rsid w:val="59390EB0"/>
    <w:rsid w:val="593A1FC5"/>
    <w:rsid w:val="59627D3C"/>
    <w:rsid w:val="596F535C"/>
    <w:rsid w:val="59C32FE7"/>
    <w:rsid w:val="5A590CCA"/>
    <w:rsid w:val="5A607F12"/>
    <w:rsid w:val="5A7476F4"/>
    <w:rsid w:val="5B9524A0"/>
    <w:rsid w:val="5BA23B75"/>
    <w:rsid w:val="5BA35E47"/>
    <w:rsid w:val="5C46556A"/>
    <w:rsid w:val="5C7F2045"/>
    <w:rsid w:val="5CA01070"/>
    <w:rsid w:val="5CC3039C"/>
    <w:rsid w:val="5CCA18C6"/>
    <w:rsid w:val="5CF04846"/>
    <w:rsid w:val="5D1642F8"/>
    <w:rsid w:val="5D531309"/>
    <w:rsid w:val="5D813CAD"/>
    <w:rsid w:val="5E102984"/>
    <w:rsid w:val="5E1B7F6C"/>
    <w:rsid w:val="5F9864B1"/>
    <w:rsid w:val="5FB76A00"/>
    <w:rsid w:val="5FC11EAC"/>
    <w:rsid w:val="5FF8339D"/>
    <w:rsid w:val="60054DCB"/>
    <w:rsid w:val="602A454A"/>
    <w:rsid w:val="6034358B"/>
    <w:rsid w:val="603E4A2C"/>
    <w:rsid w:val="603E705D"/>
    <w:rsid w:val="604E31CC"/>
    <w:rsid w:val="609861B7"/>
    <w:rsid w:val="60C9330E"/>
    <w:rsid w:val="60F511E1"/>
    <w:rsid w:val="61040118"/>
    <w:rsid w:val="612E5943"/>
    <w:rsid w:val="615A2B49"/>
    <w:rsid w:val="617F52FC"/>
    <w:rsid w:val="6189617B"/>
    <w:rsid w:val="61B40C7C"/>
    <w:rsid w:val="62447A52"/>
    <w:rsid w:val="625B1ED6"/>
    <w:rsid w:val="625E3351"/>
    <w:rsid w:val="629569CE"/>
    <w:rsid w:val="62991FE0"/>
    <w:rsid w:val="62A03565"/>
    <w:rsid w:val="632443AD"/>
    <w:rsid w:val="63612F0B"/>
    <w:rsid w:val="63747EBF"/>
    <w:rsid w:val="63FD17A1"/>
    <w:rsid w:val="641D4612"/>
    <w:rsid w:val="647A3D59"/>
    <w:rsid w:val="64A56F02"/>
    <w:rsid w:val="64C9520C"/>
    <w:rsid w:val="64E154E8"/>
    <w:rsid w:val="64F311AE"/>
    <w:rsid w:val="65136487"/>
    <w:rsid w:val="652E506F"/>
    <w:rsid w:val="660E1EAC"/>
    <w:rsid w:val="66E15D4B"/>
    <w:rsid w:val="66F34A87"/>
    <w:rsid w:val="67006EDF"/>
    <w:rsid w:val="6773145F"/>
    <w:rsid w:val="67D5211A"/>
    <w:rsid w:val="67DA4BE8"/>
    <w:rsid w:val="67E0605F"/>
    <w:rsid w:val="67E660D5"/>
    <w:rsid w:val="67ED7463"/>
    <w:rsid w:val="67F13D08"/>
    <w:rsid w:val="681F5B80"/>
    <w:rsid w:val="68347765"/>
    <w:rsid w:val="68554C9A"/>
    <w:rsid w:val="68570199"/>
    <w:rsid w:val="68C10EA3"/>
    <w:rsid w:val="68E00D76"/>
    <w:rsid w:val="68F65621"/>
    <w:rsid w:val="69276BA6"/>
    <w:rsid w:val="692F726B"/>
    <w:rsid w:val="69B67D29"/>
    <w:rsid w:val="6A4840D5"/>
    <w:rsid w:val="6B000621"/>
    <w:rsid w:val="6B310C5C"/>
    <w:rsid w:val="6B505DF2"/>
    <w:rsid w:val="6C0A2425"/>
    <w:rsid w:val="6CA74FAC"/>
    <w:rsid w:val="6CCB5BDC"/>
    <w:rsid w:val="6D021C4A"/>
    <w:rsid w:val="6D5533B5"/>
    <w:rsid w:val="6D5C063D"/>
    <w:rsid w:val="6D8C67ED"/>
    <w:rsid w:val="6E576D5E"/>
    <w:rsid w:val="6E6209A0"/>
    <w:rsid w:val="6E6445B1"/>
    <w:rsid w:val="70136948"/>
    <w:rsid w:val="704679F6"/>
    <w:rsid w:val="705E4690"/>
    <w:rsid w:val="713C1616"/>
    <w:rsid w:val="7175580A"/>
    <w:rsid w:val="718801FD"/>
    <w:rsid w:val="719B5108"/>
    <w:rsid w:val="71D62D16"/>
    <w:rsid w:val="720E38B7"/>
    <w:rsid w:val="720F6228"/>
    <w:rsid w:val="7229553C"/>
    <w:rsid w:val="72505422"/>
    <w:rsid w:val="72F47B8C"/>
    <w:rsid w:val="74772A21"/>
    <w:rsid w:val="749141B2"/>
    <w:rsid w:val="74AF5B6B"/>
    <w:rsid w:val="74EF6108"/>
    <w:rsid w:val="74FF7EF2"/>
    <w:rsid w:val="75074A0A"/>
    <w:rsid w:val="75173E4F"/>
    <w:rsid w:val="758B2449"/>
    <w:rsid w:val="75906C53"/>
    <w:rsid w:val="759D45A2"/>
    <w:rsid w:val="76453822"/>
    <w:rsid w:val="766E65AC"/>
    <w:rsid w:val="7682346D"/>
    <w:rsid w:val="76A41635"/>
    <w:rsid w:val="76BB26B6"/>
    <w:rsid w:val="76DB3C4B"/>
    <w:rsid w:val="770C1DC2"/>
    <w:rsid w:val="772F6434"/>
    <w:rsid w:val="77341859"/>
    <w:rsid w:val="77D22CDD"/>
    <w:rsid w:val="77EC1587"/>
    <w:rsid w:val="780E314F"/>
    <w:rsid w:val="78236D41"/>
    <w:rsid w:val="7866291A"/>
    <w:rsid w:val="78681753"/>
    <w:rsid w:val="78BE00B5"/>
    <w:rsid w:val="792151BF"/>
    <w:rsid w:val="79627585"/>
    <w:rsid w:val="79746AF1"/>
    <w:rsid w:val="79BC0A44"/>
    <w:rsid w:val="7A1563A6"/>
    <w:rsid w:val="7A801BCA"/>
    <w:rsid w:val="7AB34C00"/>
    <w:rsid w:val="7AE00A15"/>
    <w:rsid w:val="7B0C732B"/>
    <w:rsid w:val="7B281593"/>
    <w:rsid w:val="7B875186"/>
    <w:rsid w:val="7BB35E76"/>
    <w:rsid w:val="7BB4541E"/>
    <w:rsid w:val="7BE4235C"/>
    <w:rsid w:val="7C1D5AC8"/>
    <w:rsid w:val="7C5A7F0B"/>
    <w:rsid w:val="7CC3033B"/>
    <w:rsid w:val="7D000293"/>
    <w:rsid w:val="7DA63EE4"/>
    <w:rsid w:val="7E617E0B"/>
    <w:rsid w:val="7E7230C0"/>
    <w:rsid w:val="7EF53E05"/>
    <w:rsid w:val="7EFA244C"/>
    <w:rsid w:val="7F2D5F40"/>
    <w:rsid w:val="7FBC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 w:type="character" w:customStyle="1" w:styleId="37">
    <w:name w:val="font101"/>
    <w:basedOn w:val="2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26494</Words>
  <Characters>27800</Characters>
  <Lines>258</Lines>
  <Paragraphs>72</Paragraphs>
  <TotalTime>41</TotalTime>
  <ScaleCrop>false</ScaleCrop>
  <LinksUpToDate>false</LinksUpToDate>
  <CharactersWithSpaces>30038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cp:lastPrinted>2022-04-06T02:27:00Z</cp:lastPrinted>
  <dcterms:modified xsi:type="dcterms:W3CDTF">2022-04-18T11:00:42Z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ies>
</file>