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hAnsi="宋体"/>
        </w:rPr>
      </w:pPr>
      <w:r>
        <w:rPr>
          <w:rFonts w:ascii="宋体" w:hAnsi="宋体"/>
        </w:rPr>
        <w:drawing>
          <wp:inline distT="0" distB="0" distL="0" distR="0">
            <wp:extent cx="1426845" cy="391160"/>
            <wp:effectExtent l="19050" t="0" r="177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1" cstate="print"/>
                    <a:srcRect/>
                    <a:stretch>
                      <a:fillRect/>
                    </a:stretch>
                  </pic:blipFill>
                  <pic:spPr>
                    <a:xfrm>
                      <a:off x="0" y="0"/>
                      <a:ext cx="1430595" cy="392463"/>
                    </a:xfrm>
                    <a:prstGeom prst="rect">
                      <a:avLst/>
                    </a:prstGeom>
                    <a:noFill/>
                    <a:ln w="9525">
                      <a:noFill/>
                      <a:miter lim="800000"/>
                      <a:headEnd/>
                      <a:tailEnd/>
                    </a:ln>
                  </pic:spPr>
                </pic:pic>
              </a:graphicData>
            </a:graphic>
          </wp:inline>
        </w:drawing>
      </w:r>
    </w:p>
    <w:p>
      <w:pPr>
        <w:adjustRightInd w:val="0"/>
        <w:snapToGrid w:val="0"/>
        <w:spacing w:line="480" w:lineRule="exact"/>
        <w:jc w:val="center"/>
        <w:rPr>
          <w:rFonts w:ascii="宋体" w:hAnsi="宋体"/>
          <w:bCs/>
          <w:sz w:val="48"/>
          <w:szCs w:val="48"/>
        </w:rPr>
      </w:pPr>
    </w:p>
    <w:p>
      <w:pPr>
        <w:adjustRightInd w:val="0"/>
        <w:snapToGrid w:val="0"/>
        <w:spacing w:line="480" w:lineRule="exact"/>
        <w:jc w:val="center"/>
        <w:rPr>
          <w:rFonts w:ascii="宋体" w:hAnsi="宋体"/>
          <w:bCs/>
          <w:sz w:val="48"/>
          <w:szCs w:val="48"/>
        </w:rPr>
      </w:pPr>
    </w:p>
    <w:p>
      <w:pPr>
        <w:adjustRightInd w:val="0"/>
        <w:snapToGrid w:val="0"/>
        <w:spacing w:line="480" w:lineRule="exact"/>
        <w:jc w:val="center"/>
        <w:rPr>
          <w:rFonts w:ascii="宋体" w:hAnsi="宋体"/>
          <w:b/>
          <w:bCs/>
        </w:rPr>
      </w:pPr>
      <w:r>
        <w:rPr>
          <w:rFonts w:hint="eastAsia" w:ascii="宋体" w:hAnsi="宋体"/>
          <w:bCs/>
          <w:sz w:val="48"/>
          <w:szCs w:val="48"/>
        </w:rPr>
        <w:t>招 标 文 件</w:t>
      </w:r>
    </w:p>
    <w:p>
      <w:pPr>
        <w:ind w:left="1574" w:right="-191" w:rightChars="-91" w:hanging="1574" w:hangingChars="492"/>
        <w:rPr>
          <w:rFonts w:ascii="宋体" w:hAnsi="宋体"/>
          <w:bCs/>
          <w:kern w:val="0"/>
          <w:sz w:val="32"/>
          <w:szCs w:val="32"/>
        </w:rPr>
      </w:pPr>
    </w:p>
    <w:p>
      <w:pPr>
        <w:spacing w:line="480" w:lineRule="auto"/>
        <w:ind w:left="1275" w:leftChars="68" w:hanging="1132" w:hangingChars="470"/>
        <w:rPr>
          <w:rFonts w:ascii="宋体" w:hAnsi="宋体" w:cs="宋体"/>
          <w:b/>
          <w:bCs/>
          <w:sz w:val="24"/>
          <w:szCs w:val="24"/>
        </w:rPr>
      </w:pPr>
      <w:r>
        <w:rPr>
          <w:rFonts w:hint="eastAsia" w:ascii="宋体" w:hAnsi="宋体" w:cs="宋体"/>
          <w:b/>
          <w:sz w:val="24"/>
          <w:szCs w:val="24"/>
        </w:rPr>
        <w:t>项目名称：</w:t>
      </w:r>
      <w:r>
        <w:rPr>
          <w:rFonts w:ascii="宋体" w:hAnsi="宋体" w:eastAsia="宋体" w:cs="宋体"/>
          <w:b/>
          <w:bCs/>
          <w:sz w:val="24"/>
          <w:szCs w:val="24"/>
        </w:rPr>
        <w:t>新疆维吾尔自治区乌鲁木齐第二强制隔离戒毒所</w:t>
      </w:r>
      <w:r>
        <w:rPr>
          <w:rFonts w:hint="eastAsia" w:ascii="宋体" w:hAnsi="宋体" w:eastAsia="宋体" w:cs="宋体"/>
          <w:b/>
          <w:bCs/>
          <w:sz w:val="24"/>
          <w:szCs w:val="24"/>
          <w:lang w:eastAsia="zh-CN"/>
        </w:rPr>
        <w:t>五金交电</w:t>
      </w:r>
      <w:r>
        <w:rPr>
          <w:rFonts w:ascii="宋体" w:hAnsi="宋体" w:eastAsia="宋体" w:cs="宋体"/>
          <w:b/>
          <w:bCs/>
          <w:sz w:val="24"/>
          <w:szCs w:val="24"/>
        </w:rPr>
        <w:t>采购项目</w:t>
      </w:r>
    </w:p>
    <w:p>
      <w:pPr>
        <w:spacing w:line="480" w:lineRule="auto"/>
        <w:ind w:left="1275" w:leftChars="68" w:hanging="1132" w:hangingChars="470"/>
        <w:rPr>
          <w:rFonts w:ascii="宋体" w:hAnsi="宋体" w:eastAsia="宋体" w:cs="宋体"/>
          <w:b/>
          <w:bCs/>
          <w:sz w:val="24"/>
          <w:szCs w:val="24"/>
        </w:rPr>
      </w:pPr>
      <w:r>
        <w:rPr>
          <w:rFonts w:hint="eastAsia" w:ascii="宋体" w:hAnsi="宋体" w:cs="宋体"/>
          <w:b/>
          <w:sz w:val="24"/>
          <w:szCs w:val="24"/>
        </w:rPr>
        <w:t>招标人(盖章)：</w:t>
      </w:r>
      <w:r>
        <w:rPr>
          <w:rFonts w:ascii="宋体" w:hAnsi="宋体" w:eastAsia="宋体" w:cs="宋体"/>
          <w:b/>
          <w:bCs/>
          <w:sz w:val="24"/>
          <w:szCs w:val="24"/>
        </w:rPr>
        <w:t>新疆维吾尔自治区乌鲁木齐第二强制隔离戒毒所</w:t>
      </w:r>
    </w:p>
    <w:p>
      <w:pPr>
        <w:spacing w:line="480" w:lineRule="auto"/>
        <w:ind w:left="1275" w:leftChars="68" w:hanging="1132" w:hangingChars="470"/>
        <w:rPr>
          <w:rFonts w:ascii="宋体" w:hAnsi="宋体" w:cs="宋体"/>
          <w:b/>
          <w:sz w:val="24"/>
          <w:szCs w:val="24"/>
        </w:rPr>
      </w:pPr>
      <w:r>
        <w:rPr>
          <w:rFonts w:hint="eastAsia" w:ascii="宋体" w:hAnsi="宋体" w:cs="宋体"/>
          <w:b/>
          <w:sz w:val="24"/>
          <w:szCs w:val="24"/>
        </w:rPr>
        <w:t>法定代表人(盖章)：</w:t>
      </w:r>
    </w:p>
    <w:p>
      <w:pPr>
        <w:spacing w:line="480" w:lineRule="auto"/>
        <w:ind w:left="1275" w:leftChars="68" w:hanging="1132" w:hangingChars="470"/>
        <w:rPr>
          <w:rFonts w:ascii="宋体" w:hAnsi="宋体" w:cs="宋体"/>
          <w:b/>
          <w:sz w:val="24"/>
          <w:szCs w:val="24"/>
        </w:rPr>
      </w:pPr>
      <w:r>
        <w:rPr>
          <w:rFonts w:hint="eastAsia" w:ascii="宋体" w:hAnsi="宋体" w:cs="宋体"/>
          <w:b/>
          <w:sz w:val="24"/>
          <w:szCs w:val="24"/>
        </w:rPr>
        <w:t>联 系 人：</w:t>
      </w:r>
    </w:p>
    <w:p>
      <w:pPr>
        <w:spacing w:line="480" w:lineRule="auto"/>
        <w:ind w:left="1275" w:leftChars="68" w:hanging="1132" w:hangingChars="470"/>
        <w:rPr>
          <w:rFonts w:ascii="宋体" w:hAnsi="宋体" w:cs="宋体"/>
          <w:b/>
          <w:sz w:val="24"/>
          <w:szCs w:val="24"/>
        </w:rPr>
      </w:pPr>
      <w:r>
        <w:rPr>
          <w:rFonts w:hint="eastAsia" w:ascii="宋体" w:hAnsi="宋体" w:cs="宋体"/>
          <w:b/>
          <w:sz w:val="24"/>
          <w:szCs w:val="24"/>
        </w:rPr>
        <w:t>电    话：</w:t>
      </w:r>
    </w:p>
    <w:p>
      <w:pPr>
        <w:adjustRightInd w:val="0"/>
        <w:snapToGrid w:val="0"/>
        <w:spacing w:line="480" w:lineRule="exact"/>
        <w:rPr>
          <w:rFonts w:ascii="宋体" w:hAnsi="宋体"/>
          <w:bCs/>
          <w:kern w:val="0"/>
          <w:sz w:val="32"/>
          <w:szCs w:val="32"/>
        </w:rPr>
      </w:pPr>
      <w:r>
        <w:rPr>
          <w:rFonts w:hint="eastAsia" w:ascii="宋体" w:hAnsi="宋体"/>
          <w:bCs/>
          <w:kern w:val="0"/>
          <w:sz w:val="32"/>
          <w:szCs w:val="32"/>
        </w:rPr>
        <w:t>————————————————————————————</w:t>
      </w:r>
    </w:p>
    <w:p>
      <w:pPr>
        <w:adjustRightInd w:val="0"/>
        <w:snapToGrid w:val="0"/>
        <w:spacing w:line="480" w:lineRule="exact"/>
        <w:jc w:val="center"/>
        <w:rPr>
          <w:rFonts w:ascii="宋体" w:hAnsi="宋体"/>
          <w:bCs/>
          <w:sz w:val="32"/>
          <w:szCs w:val="32"/>
        </w:rPr>
      </w:pPr>
    </w:p>
    <w:p>
      <w:pPr>
        <w:spacing w:line="480" w:lineRule="auto"/>
        <w:ind w:left="1275" w:leftChars="68" w:hanging="1132" w:hangingChars="470"/>
        <w:rPr>
          <w:rFonts w:ascii="宋体" w:hAnsi="宋体" w:cs="宋体"/>
          <w:b/>
          <w:sz w:val="24"/>
          <w:szCs w:val="24"/>
        </w:rPr>
      </w:pPr>
      <w:r>
        <w:rPr>
          <w:rFonts w:hint="eastAsia" w:ascii="宋体" w:hAnsi="宋体" w:cs="宋体"/>
          <w:b/>
          <w:sz w:val="24"/>
          <w:szCs w:val="24"/>
        </w:rPr>
        <w:t>招标代理机构(盖章)：新疆德顺天诚工程管理有限公司</w:t>
      </w:r>
    </w:p>
    <w:p>
      <w:pPr>
        <w:spacing w:line="480" w:lineRule="auto"/>
        <w:ind w:left="1275" w:leftChars="68" w:hanging="1132" w:hangingChars="470"/>
        <w:rPr>
          <w:rFonts w:hint="eastAsia" w:ascii="宋体" w:hAnsi="宋体" w:cs="宋体" w:eastAsiaTheme="minorEastAsia"/>
          <w:b/>
          <w:sz w:val="24"/>
          <w:szCs w:val="24"/>
          <w:lang w:eastAsia="zh-CN"/>
        </w:rPr>
      </w:pPr>
      <w:r>
        <w:rPr>
          <w:rFonts w:hint="eastAsia" w:ascii="宋体" w:hAnsi="宋体" w:cs="宋体"/>
          <w:b/>
          <w:sz w:val="24"/>
          <w:szCs w:val="24"/>
        </w:rPr>
        <w:t>法定代表人(盖章)：</w:t>
      </w:r>
      <w:r>
        <w:rPr>
          <w:rFonts w:hint="eastAsia" w:ascii="宋体" w:hAnsi="宋体" w:cs="宋体"/>
          <w:b/>
          <w:sz w:val="24"/>
          <w:szCs w:val="24"/>
          <w:lang w:val="en-US" w:eastAsia="zh-CN"/>
        </w:rPr>
        <w:t xml:space="preserve"> </w:t>
      </w:r>
    </w:p>
    <w:p>
      <w:pPr>
        <w:spacing w:line="480" w:lineRule="auto"/>
        <w:ind w:left="1275" w:leftChars="68" w:hanging="1132" w:hangingChars="470"/>
        <w:rPr>
          <w:rFonts w:hint="eastAsia" w:ascii="宋体" w:hAnsi="宋体" w:cs="宋体" w:eastAsiaTheme="minorEastAsia"/>
          <w:b/>
          <w:sz w:val="24"/>
          <w:szCs w:val="24"/>
          <w:lang w:eastAsia="zh-CN"/>
        </w:rPr>
      </w:pPr>
      <w:r>
        <w:rPr>
          <w:rFonts w:hint="eastAsia" w:ascii="宋体" w:hAnsi="宋体" w:cs="宋体"/>
          <w:b/>
          <w:sz w:val="24"/>
          <w:szCs w:val="24"/>
        </w:rPr>
        <w:t>联 系 人：</w:t>
      </w:r>
      <w:r>
        <w:rPr>
          <w:rFonts w:hint="eastAsia" w:ascii="宋体" w:hAnsi="宋体" w:cs="宋体"/>
          <w:b/>
          <w:sz w:val="24"/>
          <w:szCs w:val="24"/>
          <w:lang w:eastAsia="zh-CN"/>
        </w:rPr>
        <w:t>陈颖</w:t>
      </w:r>
    </w:p>
    <w:p>
      <w:pPr>
        <w:spacing w:line="480" w:lineRule="auto"/>
        <w:ind w:left="1275" w:leftChars="68" w:hanging="1132" w:hangingChars="470"/>
        <w:rPr>
          <w:rFonts w:hint="default" w:ascii="宋体" w:hAnsi="宋体" w:cs="宋体" w:eastAsiaTheme="minorEastAsia"/>
          <w:b/>
          <w:sz w:val="24"/>
          <w:szCs w:val="24"/>
          <w:lang w:val="en-US" w:eastAsia="zh-CN"/>
        </w:rPr>
      </w:pPr>
      <w:r>
        <w:rPr>
          <w:rFonts w:hint="eastAsia" w:ascii="宋体" w:hAnsi="宋体" w:cs="宋体"/>
          <w:b/>
          <w:sz w:val="24"/>
          <w:szCs w:val="24"/>
        </w:rPr>
        <w:t>电    话：</w:t>
      </w:r>
      <w:r>
        <w:rPr>
          <w:rFonts w:hint="eastAsia" w:ascii="宋体" w:hAnsi="宋体" w:cs="宋体"/>
          <w:b/>
          <w:sz w:val="24"/>
          <w:szCs w:val="24"/>
          <w:lang w:val="en-US" w:eastAsia="zh-CN"/>
        </w:rPr>
        <w:t xml:space="preserve"> 18997517713</w:t>
      </w:r>
    </w:p>
    <w:p>
      <w:pPr>
        <w:spacing w:line="480" w:lineRule="auto"/>
        <w:ind w:left="1275" w:leftChars="68" w:hanging="1132" w:hangingChars="470"/>
        <w:rPr>
          <w:rFonts w:hint="eastAsia" w:ascii="宋体" w:hAnsi="宋体" w:cs="宋体" w:eastAsiaTheme="minorEastAsia"/>
          <w:b/>
          <w:color w:val="auto"/>
          <w:sz w:val="24"/>
          <w:szCs w:val="24"/>
          <w:lang w:eastAsia="zh-CN"/>
        </w:rPr>
      </w:pPr>
      <w:r>
        <w:rPr>
          <w:rFonts w:hint="eastAsia" w:ascii="宋体" w:hAnsi="宋体" w:cs="宋体"/>
          <w:b/>
          <w:sz w:val="24"/>
          <w:szCs w:val="24"/>
        </w:rPr>
        <w:t>详细地址：</w:t>
      </w:r>
      <w:r>
        <w:rPr>
          <w:rFonts w:hint="eastAsia" w:ascii="宋体" w:hAnsi="宋体" w:cs="宋体"/>
          <w:b/>
          <w:sz w:val="24"/>
          <w:szCs w:val="24"/>
          <w:lang w:val="en-US" w:eastAsia="zh-CN"/>
        </w:rPr>
        <w:t xml:space="preserve"> 乌鲁木齐市天山区光</w:t>
      </w:r>
      <w:r>
        <w:rPr>
          <w:rFonts w:hint="eastAsia" w:ascii="宋体" w:hAnsi="宋体" w:cs="宋体"/>
          <w:b/>
          <w:color w:val="auto"/>
          <w:sz w:val="24"/>
          <w:szCs w:val="24"/>
          <w:lang w:val="en-US" w:eastAsia="zh-CN"/>
        </w:rPr>
        <w:t xml:space="preserve">明路 59 号时代广场 A 座 10楼F室 </w:t>
      </w:r>
    </w:p>
    <w:p>
      <w:pPr>
        <w:spacing w:line="360" w:lineRule="auto"/>
        <w:ind w:left="1275" w:leftChars="68" w:hanging="1132" w:hangingChars="470"/>
        <w:rPr>
          <w:rFonts w:ascii="宋体" w:hAnsi="宋体" w:cs="宋体"/>
          <w:b/>
          <w:color w:val="auto"/>
          <w:sz w:val="24"/>
          <w:szCs w:val="24"/>
        </w:rPr>
      </w:pPr>
    </w:p>
    <w:p>
      <w:pPr>
        <w:spacing w:line="360" w:lineRule="auto"/>
        <w:ind w:left="1275" w:leftChars="68" w:hanging="1132" w:hangingChars="470"/>
        <w:rPr>
          <w:rFonts w:ascii="宋体" w:hAnsi="宋体" w:cs="宋体"/>
          <w:b/>
          <w:color w:val="auto"/>
          <w:sz w:val="24"/>
          <w:szCs w:val="24"/>
        </w:rPr>
      </w:pPr>
      <w:r>
        <w:rPr>
          <w:rFonts w:hint="eastAsia" w:ascii="宋体" w:hAnsi="宋体" w:cs="宋体"/>
          <w:b/>
          <w:color w:val="auto"/>
          <w:sz w:val="24"/>
          <w:szCs w:val="24"/>
        </w:rPr>
        <w:t>日    期：</w:t>
      </w:r>
      <w:r>
        <w:rPr>
          <w:rFonts w:hint="eastAsia" w:ascii="宋体" w:hAnsi="宋体" w:cs="宋体"/>
          <w:b/>
          <w:color w:val="auto"/>
          <w:sz w:val="24"/>
          <w:szCs w:val="24"/>
          <w:lang w:val="en-US" w:eastAsia="zh-CN"/>
        </w:rPr>
        <w:t xml:space="preserve">   2022 </w:t>
      </w:r>
      <w:r>
        <w:rPr>
          <w:rFonts w:hint="eastAsia" w:ascii="宋体" w:hAnsi="宋体" w:cs="宋体"/>
          <w:b/>
          <w:color w:val="auto"/>
          <w:sz w:val="24"/>
          <w:szCs w:val="24"/>
        </w:rPr>
        <w:t>年</w:t>
      </w:r>
      <w:r>
        <w:rPr>
          <w:rFonts w:hint="eastAsia" w:ascii="宋体" w:hAnsi="宋体" w:cs="宋体"/>
          <w:b/>
          <w:color w:val="auto"/>
          <w:sz w:val="24"/>
          <w:szCs w:val="24"/>
          <w:lang w:val="en-US" w:eastAsia="zh-CN"/>
        </w:rPr>
        <w:t xml:space="preserve"> 5 </w:t>
      </w:r>
      <w:r>
        <w:rPr>
          <w:rFonts w:hint="eastAsia" w:ascii="宋体" w:hAnsi="宋体" w:cs="宋体"/>
          <w:b/>
          <w:color w:val="auto"/>
          <w:sz w:val="24"/>
          <w:szCs w:val="24"/>
        </w:rPr>
        <w:t>月</w:t>
      </w:r>
    </w:p>
    <w:p>
      <w:pPr>
        <w:widowControl/>
        <w:jc w:val="left"/>
        <w:rPr>
          <w:rFonts w:ascii="宋体" w:cs="宋体"/>
          <w:b/>
          <w:bCs/>
        </w:rPr>
      </w:pPr>
      <w:r>
        <w:rPr>
          <w:rFonts w:ascii="宋体" w:cs="宋体"/>
          <w:b/>
          <w:bCs/>
        </w:rPr>
        <w:br w:type="page"/>
      </w: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hint="eastAsia" w:ascii="宋体" w:hAnsi="宋体" w:eastAsia="宋体" w:cs="宋体"/>
          <w:b/>
          <w:bCs/>
          <w:sz w:val="24"/>
          <w:szCs w:val="24"/>
        </w:rPr>
      </w:pPr>
    </w:p>
    <w:p>
      <w:pPr>
        <w:jc w:val="center"/>
        <w:rPr>
          <w:rFonts w:ascii="宋体" w:hAnsi="Calibri" w:eastAsia="宋体" w:cs="宋体"/>
          <w:b/>
          <w:bCs/>
          <w:sz w:val="24"/>
          <w:szCs w:val="24"/>
        </w:rPr>
      </w:pPr>
      <w:r>
        <w:rPr>
          <w:rFonts w:hint="eastAsia" w:ascii="宋体" w:hAnsi="宋体" w:eastAsia="宋体" w:cs="宋体"/>
          <w:b/>
          <w:bCs/>
          <w:sz w:val="24"/>
          <w:szCs w:val="24"/>
        </w:rPr>
        <w:t>目  录</w:t>
      </w:r>
    </w:p>
    <w:p>
      <w:pPr>
        <w:jc w:val="center"/>
        <w:rPr>
          <w:rFonts w:ascii="宋体" w:hAnsi="Calibri" w:eastAsia="宋体" w:cs="宋体"/>
          <w:b/>
          <w:bCs/>
          <w:sz w:val="24"/>
          <w:szCs w:val="24"/>
        </w:rPr>
      </w:pPr>
    </w:p>
    <w:p>
      <w:pPr>
        <w:pStyle w:val="18"/>
        <w:tabs>
          <w:tab w:val="right" w:leader="dot" w:pos="9344"/>
        </w:tabs>
        <w:spacing w:line="360" w:lineRule="auto"/>
        <w:rPr>
          <w:rFonts w:asciiTheme="minorHAnsi" w:hAnsiTheme="minorHAnsi" w:eastAsiaTheme="minorEastAsia" w:cstheme="minorBidi"/>
          <w:szCs w:val="22"/>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r>
        <w:fldChar w:fldCharType="begin"/>
      </w:r>
      <w:r>
        <w:instrText xml:space="preserve"> HYPERLINK \l "_Toc488827450" </w:instrText>
      </w:r>
      <w:r>
        <w:fldChar w:fldCharType="separate"/>
      </w:r>
      <w:r>
        <w:rPr>
          <w:rStyle w:val="36"/>
          <w:rFonts w:hint="eastAsia" w:ascii="宋体" w:hAnsi="宋体" w:cs="宋体"/>
          <w:b/>
        </w:rPr>
        <w:t>投标人须知前附表</w:t>
      </w:r>
      <w:r>
        <w:tab/>
      </w:r>
      <w:r>
        <w:fldChar w:fldCharType="begin"/>
      </w:r>
      <w:r>
        <w:instrText xml:space="preserve"> PAGEREF _Toc488827450 \h </w:instrText>
      </w:r>
      <w:r>
        <w:fldChar w:fldCharType="separate"/>
      </w:r>
      <w:r>
        <w:t>1</w:t>
      </w:r>
      <w:r>
        <w:fldChar w:fldCharType="end"/>
      </w:r>
      <w:r>
        <w:fldChar w:fldCharType="end"/>
      </w:r>
    </w:p>
    <w:p>
      <w:pPr>
        <w:pStyle w:val="18"/>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"_Toc488827451" </w:instrText>
      </w:r>
      <w:r>
        <w:fldChar w:fldCharType="separate"/>
      </w:r>
      <w:r>
        <w:rPr>
          <w:rStyle w:val="36"/>
          <w:rFonts w:hint="eastAsia" w:ascii="宋体" w:hAnsi="宋体" w:cs="宋体"/>
          <w:b/>
        </w:rPr>
        <w:t>第一章投标人须知</w:t>
      </w:r>
      <w:r>
        <w:tab/>
      </w:r>
      <w:r>
        <w:fldChar w:fldCharType="begin"/>
      </w:r>
      <w:r>
        <w:instrText xml:space="preserve"> PAGEREF _Toc488827451 \h </w:instrText>
      </w:r>
      <w:r>
        <w:fldChar w:fldCharType="separate"/>
      </w:r>
      <w:r>
        <w:t>3</w:t>
      </w:r>
      <w:r>
        <w:fldChar w:fldCharType="end"/>
      </w:r>
      <w:r>
        <w:fldChar w:fldCharType="end"/>
      </w:r>
    </w:p>
    <w:p>
      <w:pPr>
        <w:pStyle w:val="22"/>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"_Toc488827452" </w:instrText>
      </w:r>
      <w:r>
        <w:fldChar w:fldCharType="separate"/>
      </w:r>
      <w:r>
        <w:rPr>
          <w:rStyle w:val="36"/>
          <w:rFonts w:ascii="宋体" w:hAnsi="宋体" w:cs="宋体"/>
          <w:b/>
        </w:rPr>
        <w:t>1</w:t>
      </w:r>
      <w:r>
        <w:rPr>
          <w:rStyle w:val="36"/>
          <w:rFonts w:hint="eastAsia" w:ascii="宋体" w:hAnsi="宋体" w:cs="宋体"/>
          <w:b/>
        </w:rPr>
        <w:t>．总则</w:t>
      </w:r>
      <w:r>
        <w:tab/>
      </w:r>
      <w:r>
        <w:fldChar w:fldCharType="begin"/>
      </w:r>
      <w:r>
        <w:instrText xml:space="preserve"> PAGEREF _Toc488827452 \h </w:instrText>
      </w:r>
      <w:r>
        <w:fldChar w:fldCharType="separate"/>
      </w:r>
      <w:r>
        <w:t>3</w:t>
      </w:r>
      <w:r>
        <w:fldChar w:fldCharType="end"/>
      </w:r>
      <w:r>
        <w:fldChar w:fldCharType="end"/>
      </w:r>
    </w:p>
    <w:p>
      <w:pPr>
        <w:pStyle w:val="22"/>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"_Toc488827453" </w:instrText>
      </w:r>
      <w:r>
        <w:fldChar w:fldCharType="separate"/>
      </w:r>
      <w:r>
        <w:rPr>
          <w:rStyle w:val="36"/>
          <w:rFonts w:ascii="宋体" w:hAnsi="宋体" w:cs="宋体"/>
          <w:b/>
        </w:rPr>
        <w:t>2</w:t>
      </w:r>
      <w:r>
        <w:rPr>
          <w:rStyle w:val="36"/>
          <w:rFonts w:hint="eastAsia" w:ascii="宋体" w:hAnsi="宋体" w:cs="宋体"/>
          <w:b/>
        </w:rPr>
        <w:t>．招标文件</w:t>
      </w:r>
      <w:r>
        <w:tab/>
      </w:r>
      <w:r>
        <w:fldChar w:fldCharType="begin"/>
      </w:r>
      <w:r>
        <w:instrText xml:space="preserve"> PAGEREF _Toc488827453 \h </w:instrText>
      </w:r>
      <w:r>
        <w:fldChar w:fldCharType="separate"/>
      </w:r>
      <w:r>
        <w:t>5</w:t>
      </w:r>
      <w:r>
        <w:fldChar w:fldCharType="end"/>
      </w:r>
      <w:r>
        <w:fldChar w:fldCharType="end"/>
      </w:r>
    </w:p>
    <w:p>
      <w:pPr>
        <w:pStyle w:val="22"/>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"_Toc488827454" </w:instrText>
      </w:r>
      <w:r>
        <w:fldChar w:fldCharType="separate"/>
      </w:r>
      <w:r>
        <w:rPr>
          <w:rStyle w:val="36"/>
          <w:rFonts w:ascii="宋体" w:hAnsi="宋体" w:cs="宋体"/>
          <w:b/>
        </w:rPr>
        <w:t>3</w:t>
      </w:r>
      <w:r>
        <w:rPr>
          <w:rStyle w:val="36"/>
          <w:rFonts w:hint="eastAsia" w:ascii="宋体" w:hAnsi="宋体" w:cs="宋体"/>
          <w:b/>
        </w:rPr>
        <w:t>．投标文件</w:t>
      </w:r>
      <w:r>
        <w:tab/>
      </w:r>
      <w:r>
        <w:fldChar w:fldCharType="begin"/>
      </w:r>
      <w:r>
        <w:instrText xml:space="preserve"> PAGEREF _Toc488827454 \h </w:instrText>
      </w:r>
      <w:r>
        <w:fldChar w:fldCharType="separate"/>
      </w:r>
      <w:r>
        <w:t>6</w:t>
      </w:r>
      <w:r>
        <w:fldChar w:fldCharType="end"/>
      </w:r>
      <w:r>
        <w:fldChar w:fldCharType="end"/>
      </w:r>
    </w:p>
    <w:p>
      <w:pPr>
        <w:pStyle w:val="22"/>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"_Toc488827455" </w:instrText>
      </w:r>
      <w:r>
        <w:fldChar w:fldCharType="separate"/>
      </w:r>
      <w:r>
        <w:rPr>
          <w:rStyle w:val="36"/>
          <w:rFonts w:ascii="宋体" w:hAnsi="宋体" w:cs="宋体"/>
          <w:b/>
        </w:rPr>
        <w:t>4</w:t>
      </w:r>
      <w:r>
        <w:rPr>
          <w:rStyle w:val="36"/>
          <w:rFonts w:hint="eastAsia" w:ascii="宋体" w:hAnsi="宋体" w:cs="宋体"/>
          <w:b/>
        </w:rPr>
        <w:t>．投标</w:t>
      </w:r>
      <w:r>
        <w:tab/>
      </w:r>
      <w:r>
        <w:fldChar w:fldCharType="begin"/>
      </w:r>
      <w:r>
        <w:instrText xml:space="preserve"> PAGEREF _Toc488827455 \h </w:instrText>
      </w:r>
      <w:r>
        <w:fldChar w:fldCharType="separate"/>
      </w:r>
      <w:r>
        <w:t>8</w:t>
      </w:r>
      <w:r>
        <w:fldChar w:fldCharType="end"/>
      </w:r>
      <w:r>
        <w:fldChar w:fldCharType="end"/>
      </w:r>
    </w:p>
    <w:p>
      <w:pPr>
        <w:pStyle w:val="22"/>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"_Toc488827456" </w:instrText>
      </w:r>
      <w:r>
        <w:fldChar w:fldCharType="separate"/>
      </w:r>
      <w:r>
        <w:rPr>
          <w:rStyle w:val="36"/>
          <w:rFonts w:ascii="宋体" w:hAnsi="宋体" w:cs="宋体"/>
          <w:b/>
        </w:rPr>
        <w:t>5</w:t>
      </w:r>
      <w:r>
        <w:rPr>
          <w:rStyle w:val="36"/>
          <w:rFonts w:hint="eastAsia" w:ascii="宋体" w:hAnsi="宋体" w:cs="宋体"/>
          <w:b/>
        </w:rPr>
        <w:t>．开标</w:t>
      </w:r>
      <w:r>
        <w:tab/>
      </w:r>
      <w:r>
        <w:fldChar w:fldCharType="begin"/>
      </w:r>
      <w:r>
        <w:instrText xml:space="preserve"> PAGEREF _Toc488827456 \h </w:instrText>
      </w:r>
      <w:r>
        <w:fldChar w:fldCharType="separate"/>
      </w:r>
      <w:r>
        <w:t>9</w:t>
      </w:r>
      <w:r>
        <w:fldChar w:fldCharType="end"/>
      </w:r>
      <w:r>
        <w:fldChar w:fldCharType="end"/>
      </w:r>
    </w:p>
    <w:p>
      <w:pPr>
        <w:pStyle w:val="22"/>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"_Toc488827457" </w:instrText>
      </w:r>
      <w:r>
        <w:fldChar w:fldCharType="separate"/>
      </w:r>
      <w:r>
        <w:rPr>
          <w:rStyle w:val="36"/>
          <w:rFonts w:ascii="宋体" w:hAnsi="宋体" w:cs="宋体"/>
          <w:b/>
        </w:rPr>
        <w:t>6</w:t>
      </w:r>
      <w:r>
        <w:rPr>
          <w:rStyle w:val="36"/>
          <w:rFonts w:hint="eastAsia" w:ascii="宋体" w:hAnsi="宋体" w:cs="宋体"/>
          <w:b/>
        </w:rPr>
        <w:t>．评标</w:t>
      </w:r>
      <w:r>
        <w:tab/>
      </w:r>
      <w:r>
        <w:fldChar w:fldCharType="begin"/>
      </w:r>
      <w:r>
        <w:instrText xml:space="preserve"> PAGEREF _Toc488827457 \h </w:instrText>
      </w:r>
      <w:r>
        <w:fldChar w:fldCharType="separate"/>
      </w:r>
      <w:r>
        <w:t>10</w:t>
      </w:r>
      <w:r>
        <w:fldChar w:fldCharType="end"/>
      </w:r>
      <w:r>
        <w:fldChar w:fldCharType="end"/>
      </w:r>
    </w:p>
    <w:p>
      <w:pPr>
        <w:pStyle w:val="22"/>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"_Toc488827458" </w:instrText>
      </w:r>
      <w:r>
        <w:fldChar w:fldCharType="separate"/>
      </w:r>
      <w:r>
        <w:rPr>
          <w:rStyle w:val="36"/>
          <w:rFonts w:ascii="宋体" w:hAnsi="宋体" w:cs="宋体"/>
          <w:b/>
        </w:rPr>
        <w:t>7</w:t>
      </w:r>
      <w:r>
        <w:rPr>
          <w:rStyle w:val="36"/>
          <w:rFonts w:hint="eastAsia" w:ascii="宋体" w:hAnsi="宋体" w:cs="宋体"/>
          <w:b/>
        </w:rPr>
        <w:t>．定标及合同授予</w:t>
      </w:r>
      <w:r>
        <w:tab/>
      </w:r>
      <w:r>
        <w:fldChar w:fldCharType="begin"/>
      </w:r>
      <w:r>
        <w:instrText xml:space="preserve"> PAGEREF _Toc488827458 \h </w:instrText>
      </w:r>
      <w:r>
        <w:fldChar w:fldCharType="separate"/>
      </w:r>
      <w:r>
        <w:t>11</w:t>
      </w:r>
      <w:r>
        <w:fldChar w:fldCharType="end"/>
      </w:r>
      <w:r>
        <w:fldChar w:fldCharType="end"/>
      </w:r>
    </w:p>
    <w:p>
      <w:pPr>
        <w:pStyle w:val="22"/>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"_Toc488827459" </w:instrText>
      </w:r>
      <w:r>
        <w:fldChar w:fldCharType="separate"/>
      </w:r>
      <w:r>
        <w:rPr>
          <w:rStyle w:val="36"/>
          <w:rFonts w:ascii="宋体" w:hAnsi="宋体" w:cs="宋体"/>
          <w:b/>
        </w:rPr>
        <w:t>8</w:t>
      </w:r>
      <w:r>
        <w:rPr>
          <w:rStyle w:val="36"/>
          <w:rFonts w:hint="eastAsia" w:ascii="宋体" w:hAnsi="宋体" w:cs="宋体"/>
          <w:b/>
        </w:rPr>
        <w:t>．纪律和监督</w:t>
      </w:r>
      <w:r>
        <w:tab/>
      </w:r>
      <w:r>
        <w:fldChar w:fldCharType="begin"/>
      </w:r>
      <w:r>
        <w:instrText xml:space="preserve"> PAGEREF _Toc488827459 \h </w:instrText>
      </w:r>
      <w:r>
        <w:fldChar w:fldCharType="separate"/>
      </w:r>
      <w:r>
        <w:t>12</w:t>
      </w:r>
      <w:r>
        <w:fldChar w:fldCharType="end"/>
      </w:r>
      <w:r>
        <w:fldChar w:fldCharType="end"/>
      </w:r>
    </w:p>
    <w:p>
      <w:pPr>
        <w:pStyle w:val="18"/>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"_Toc488827460" </w:instrText>
      </w:r>
      <w:r>
        <w:fldChar w:fldCharType="separate"/>
      </w:r>
      <w:r>
        <w:rPr>
          <w:rStyle w:val="36"/>
          <w:rFonts w:hint="eastAsia" w:ascii="宋体" w:hAnsi="宋体" w:cs="宋体"/>
          <w:b/>
        </w:rPr>
        <w:t>第二章评标办法（综合评估法）</w:t>
      </w:r>
      <w:r>
        <w:tab/>
      </w:r>
      <w:r>
        <w:fldChar w:fldCharType="begin"/>
      </w:r>
      <w:r>
        <w:instrText xml:space="preserve"> PAGEREF _Toc488827460 \h </w:instrText>
      </w:r>
      <w:r>
        <w:fldChar w:fldCharType="separate"/>
      </w:r>
      <w:r>
        <w:t>13</w:t>
      </w:r>
      <w:r>
        <w:fldChar w:fldCharType="end"/>
      </w:r>
      <w:r>
        <w:fldChar w:fldCharType="end"/>
      </w:r>
    </w:p>
    <w:p>
      <w:pPr>
        <w:pStyle w:val="22"/>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"_Toc488827461" </w:instrText>
      </w:r>
      <w:r>
        <w:fldChar w:fldCharType="separate"/>
      </w:r>
      <w:r>
        <w:rPr>
          <w:rStyle w:val="36"/>
          <w:rFonts w:hint="eastAsia" w:ascii="宋体" w:hAnsi="宋体" w:cs="宋体"/>
          <w:b/>
        </w:rPr>
        <w:t>评标办法前附表</w:t>
      </w:r>
      <w:r>
        <w:tab/>
      </w:r>
      <w:r>
        <w:fldChar w:fldCharType="begin"/>
      </w:r>
      <w:r>
        <w:instrText xml:space="preserve"> PAGEREF _Toc488827461 \h </w:instrText>
      </w:r>
      <w:r>
        <w:fldChar w:fldCharType="separate"/>
      </w:r>
      <w:r>
        <w:t>13</w:t>
      </w:r>
      <w:r>
        <w:fldChar w:fldCharType="end"/>
      </w:r>
      <w:r>
        <w:fldChar w:fldCharType="end"/>
      </w:r>
    </w:p>
    <w:p>
      <w:pPr>
        <w:pStyle w:val="22"/>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"_Toc488827462" </w:instrText>
      </w:r>
      <w:r>
        <w:fldChar w:fldCharType="separate"/>
      </w:r>
      <w:r>
        <w:rPr>
          <w:rStyle w:val="36"/>
          <w:rFonts w:hint="eastAsia" w:ascii="宋体" w:hAnsi="宋体" w:cs="宋体"/>
          <w:b/>
        </w:rPr>
        <w:t>资格审查标准</w:t>
      </w:r>
      <w:r>
        <w:tab/>
      </w:r>
      <w:r>
        <w:fldChar w:fldCharType="begin"/>
      </w:r>
      <w:r>
        <w:instrText xml:space="preserve"> PAGEREF _Toc488827462 \h </w:instrText>
      </w:r>
      <w:r>
        <w:fldChar w:fldCharType="separate"/>
      </w:r>
      <w:r>
        <w:t>13</w:t>
      </w:r>
      <w:r>
        <w:fldChar w:fldCharType="end"/>
      </w:r>
      <w:r>
        <w:fldChar w:fldCharType="end"/>
      </w:r>
    </w:p>
    <w:p>
      <w:pPr>
        <w:pStyle w:val="22"/>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"_Toc488827463" </w:instrText>
      </w:r>
      <w:r>
        <w:fldChar w:fldCharType="separate"/>
      </w:r>
      <w:r>
        <w:rPr>
          <w:rStyle w:val="36"/>
          <w:rFonts w:hint="eastAsia" w:ascii="宋体" w:hAnsi="宋体" w:cs="宋体"/>
          <w:b/>
        </w:rPr>
        <w:t>初步评审标准</w:t>
      </w:r>
      <w:r>
        <w:tab/>
      </w:r>
      <w:r>
        <w:fldChar w:fldCharType="begin"/>
      </w:r>
      <w:r>
        <w:instrText xml:space="preserve"> PAGEREF _Toc488827463 \h </w:instrText>
      </w:r>
      <w:r>
        <w:fldChar w:fldCharType="separate"/>
      </w:r>
      <w:r>
        <w:t>14</w:t>
      </w:r>
      <w:r>
        <w:fldChar w:fldCharType="end"/>
      </w:r>
      <w:r>
        <w:fldChar w:fldCharType="end"/>
      </w:r>
    </w:p>
    <w:p>
      <w:pPr>
        <w:pStyle w:val="22"/>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"_Toc488827464" </w:instrText>
      </w:r>
      <w:r>
        <w:fldChar w:fldCharType="separate"/>
      </w:r>
      <w:r>
        <w:rPr>
          <w:rStyle w:val="36"/>
          <w:rFonts w:hint="eastAsia" w:ascii="宋体" w:hAnsi="宋体" w:cs="宋体"/>
          <w:b/>
        </w:rPr>
        <w:t>详细评审标准</w:t>
      </w:r>
      <w:r>
        <w:tab/>
      </w:r>
      <w:r>
        <w:fldChar w:fldCharType="begin"/>
      </w:r>
      <w:r>
        <w:instrText xml:space="preserve"> PAGEREF _Toc488827464 \h </w:instrText>
      </w:r>
      <w:r>
        <w:fldChar w:fldCharType="separate"/>
      </w:r>
      <w:r>
        <w:t>14</w:t>
      </w:r>
      <w:r>
        <w:fldChar w:fldCharType="end"/>
      </w:r>
      <w:r>
        <w:fldChar w:fldCharType="end"/>
      </w:r>
    </w:p>
    <w:p>
      <w:pPr>
        <w:pStyle w:val="22"/>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"_Toc488827465" </w:instrText>
      </w:r>
      <w:r>
        <w:fldChar w:fldCharType="separate"/>
      </w:r>
      <w:r>
        <w:rPr>
          <w:rStyle w:val="36"/>
          <w:rFonts w:ascii="宋体" w:hAnsi="宋体" w:cs="宋体"/>
          <w:b/>
        </w:rPr>
        <w:t xml:space="preserve">1. </w:t>
      </w:r>
      <w:r>
        <w:rPr>
          <w:rStyle w:val="36"/>
          <w:rFonts w:hint="eastAsia" w:ascii="宋体" w:hAnsi="宋体" w:cs="宋体"/>
          <w:b/>
        </w:rPr>
        <w:t>评标方法</w:t>
      </w:r>
      <w:r>
        <w:tab/>
      </w:r>
      <w:r>
        <w:fldChar w:fldCharType="begin"/>
      </w:r>
      <w:r>
        <w:instrText xml:space="preserve"> PAGEREF _Toc488827465 \h </w:instrText>
      </w:r>
      <w:r>
        <w:fldChar w:fldCharType="separate"/>
      </w:r>
      <w:r>
        <w:t>15</w:t>
      </w:r>
      <w:r>
        <w:fldChar w:fldCharType="end"/>
      </w:r>
      <w:r>
        <w:fldChar w:fldCharType="end"/>
      </w:r>
    </w:p>
    <w:p>
      <w:pPr>
        <w:pStyle w:val="22"/>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"_Toc488827466" </w:instrText>
      </w:r>
      <w:r>
        <w:fldChar w:fldCharType="separate"/>
      </w:r>
      <w:r>
        <w:rPr>
          <w:rStyle w:val="36"/>
          <w:rFonts w:ascii="宋体" w:hAnsi="宋体" w:cs="宋体"/>
          <w:b/>
        </w:rPr>
        <w:t xml:space="preserve">2. </w:t>
      </w:r>
      <w:r>
        <w:rPr>
          <w:rStyle w:val="36"/>
          <w:rFonts w:hint="eastAsia" w:ascii="宋体" w:hAnsi="宋体" w:cs="宋体"/>
          <w:b/>
        </w:rPr>
        <w:t>评审标准</w:t>
      </w:r>
      <w:r>
        <w:tab/>
      </w:r>
      <w:r>
        <w:fldChar w:fldCharType="begin"/>
      </w:r>
      <w:r>
        <w:instrText xml:space="preserve"> PAGEREF _Toc488827466 \h </w:instrText>
      </w:r>
      <w:r>
        <w:fldChar w:fldCharType="separate"/>
      </w:r>
      <w:r>
        <w:t>15</w:t>
      </w:r>
      <w:r>
        <w:fldChar w:fldCharType="end"/>
      </w:r>
      <w:r>
        <w:fldChar w:fldCharType="end"/>
      </w:r>
    </w:p>
    <w:p>
      <w:pPr>
        <w:pStyle w:val="22"/>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"_Toc488827467" </w:instrText>
      </w:r>
      <w:r>
        <w:fldChar w:fldCharType="separate"/>
      </w:r>
      <w:r>
        <w:rPr>
          <w:rStyle w:val="36"/>
          <w:rFonts w:ascii="宋体" w:hAnsi="宋体" w:cs="宋体"/>
          <w:b/>
        </w:rPr>
        <w:t xml:space="preserve">3. </w:t>
      </w:r>
      <w:r>
        <w:rPr>
          <w:rStyle w:val="36"/>
          <w:rFonts w:hint="eastAsia" w:ascii="宋体" w:hAnsi="宋体" w:cs="宋体"/>
          <w:b/>
        </w:rPr>
        <w:t>评标程序</w:t>
      </w:r>
      <w:r>
        <w:tab/>
      </w:r>
      <w:r>
        <w:fldChar w:fldCharType="begin"/>
      </w:r>
      <w:r>
        <w:instrText xml:space="preserve"> PAGEREF _Toc488827467 \h </w:instrText>
      </w:r>
      <w:r>
        <w:fldChar w:fldCharType="separate"/>
      </w:r>
      <w:r>
        <w:t>15</w:t>
      </w:r>
      <w:r>
        <w:fldChar w:fldCharType="end"/>
      </w:r>
      <w:r>
        <w:fldChar w:fldCharType="end"/>
      </w:r>
    </w:p>
    <w:p>
      <w:pPr>
        <w:pStyle w:val="18"/>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"_Toc488827468" </w:instrText>
      </w:r>
      <w:r>
        <w:fldChar w:fldCharType="separate"/>
      </w:r>
      <w:r>
        <w:rPr>
          <w:rStyle w:val="36"/>
          <w:rFonts w:hint="eastAsia" w:ascii="宋体" w:hAnsi="宋体" w:cs="宋体"/>
          <w:b/>
        </w:rPr>
        <w:t>第三章合同</w:t>
      </w:r>
      <w:r>
        <w:tab/>
      </w:r>
      <w:r>
        <w:fldChar w:fldCharType="begin"/>
      </w:r>
      <w:r>
        <w:instrText xml:space="preserve"> PAGEREF _Toc488827468 \h </w:instrText>
      </w:r>
      <w:r>
        <w:fldChar w:fldCharType="separate"/>
      </w:r>
      <w:r>
        <w:t>22</w:t>
      </w:r>
      <w:r>
        <w:fldChar w:fldCharType="end"/>
      </w:r>
      <w:r>
        <w:fldChar w:fldCharType="end"/>
      </w:r>
    </w:p>
    <w:p>
      <w:pPr>
        <w:pStyle w:val="18"/>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"_Toc488827472" </w:instrText>
      </w:r>
      <w:r>
        <w:fldChar w:fldCharType="separate"/>
      </w:r>
      <w:r>
        <w:rPr>
          <w:rStyle w:val="36"/>
          <w:rFonts w:hint="eastAsia" w:ascii="宋体" w:hAnsi="宋体" w:cs="宋体"/>
          <w:b/>
        </w:rPr>
        <w:t>第四章技术标准和要求</w:t>
      </w:r>
      <w:r>
        <w:tab/>
      </w:r>
      <w:r>
        <w:fldChar w:fldCharType="begin"/>
      </w:r>
      <w:r>
        <w:instrText xml:space="preserve"> PAGEREF _Toc488827472 \h </w:instrText>
      </w:r>
      <w:r>
        <w:fldChar w:fldCharType="separate"/>
      </w:r>
      <w:r>
        <w:t>26</w:t>
      </w:r>
      <w:r>
        <w:fldChar w:fldCharType="end"/>
      </w:r>
      <w:r>
        <w:fldChar w:fldCharType="end"/>
      </w:r>
    </w:p>
    <w:p>
      <w:pPr>
        <w:pStyle w:val="18"/>
        <w:tabs>
          <w:tab w:val="right" w:leader="dot" w:pos="9344"/>
        </w:tabs>
        <w:spacing w:line="360" w:lineRule="auto"/>
        <w:rPr>
          <w:rFonts w:asciiTheme="minorHAnsi" w:hAnsiTheme="minorHAnsi" w:eastAsiaTheme="minorEastAsia" w:cstheme="minorBidi"/>
          <w:szCs w:val="22"/>
        </w:rPr>
      </w:pPr>
      <w:r>
        <w:fldChar w:fldCharType="begin"/>
      </w:r>
      <w:r>
        <w:instrText xml:space="preserve"> HYPERLINK \l "_Toc488827473" </w:instrText>
      </w:r>
      <w:r>
        <w:fldChar w:fldCharType="separate"/>
      </w:r>
      <w:r>
        <w:rPr>
          <w:rStyle w:val="36"/>
          <w:rFonts w:hint="eastAsia" w:ascii="宋体" w:hAnsi="宋体" w:cs="宋体"/>
          <w:b/>
        </w:rPr>
        <w:t>第五章投标文件格式</w:t>
      </w:r>
      <w:r>
        <w:tab/>
      </w:r>
      <w:r>
        <w:fldChar w:fldCharType="begin"/>
      </w:r>
      <w:r>
        <w:instrText xml:space="preserve"> PAGEREF _Toc488827473 \h </w:instrText>
      </w:r>
      <w:r>
        <w:fldChar w:fldCharType="separate"/>
      </w:r>
      <w:r>
        <w:t>3</w:t>
      </w:r>
      <w:r>
        <w:rPr>
          <w:rFonts w:hint="eastAsia"/>
          <w:lang w:val="en-US" w:eastAsia="zh-CN"/>
        </w:rPr>
        <w:t>2</w:t>
      </w:r>
      <w:r>
        <w:fldChar w:fldCharType="end"/>
      </w:r>
      <w:r>
        <w:fldChar w:fldCharType="end"/>
      </w:r>
    </w:p>
    <w:p>
      <w:pPr>
        <w:pStyle w:val="18"/>
        <w:tabs>
          <w:tab w:val="right" w:leader="dot" w:pos="9344"/>
        </w:tabs>
        <w:rPr>
          <w:rFonts w:asciiTheme="minorHAnsi" w:hAnsiTheme="minorHAnsi" w:eastAsiaTheme="minorEastAsia" w:cstheme="minorBidi"/>
          <w:szCs w:val="22"/>
        </w:rPr>
      </w:pPr>
      <w:r>
        <w:fldChar w:fldCharType="begin"/>
      </w:r>
      <w:r>
        <w:instrText xml:space="preserve"> HYPERLINK \l "_Toc488827489" </w:instrText>
      </w:r>
      <w:r>
        <w:fldChar w:fldCharType="separate"/>
      </w:r>
      <w:r>
        <w:rPr>
          <w:rStyle w:val="36"/>
          <w:rFonts w:hint="eastAsia" w:ascii="宋体" w:hAnsi="宋体" w:cs="宋体"/>
          <w:b/>
        </w:rPr>
        <w:t>第六章补充条款</w:t>
      </w:r>
      <w:r>
        <w:tab/>
      </w:r>
      <w:r>
        <w:fldChar w:fldCharType="begin"/>
      </w:r>
      <w:r>
        <w:instrText xml:space="preserve"> PAGEREF _Toc488827489 \h </w:instrText>
      </w:r>
      <w:r>
        <w:fldChar w:fldCharType="separate"/>
      </w:r>
      <w:r>
        <w:t>41</w:t>
      </w:r>
      <w:r>
        <w:fldChar w:fldCharType="end"/>
      </w:r>
      <w:r>
        <w:fldChar w:fldCharType="end"/>
      </w:r>
    </w:p>
    <w:p>
      <w:pPr>
        <w:rPr>
          <w:rFonts w:ascii="宋体" w:hAnsi="Calibri" w:eastAsia="宋体" w:cs="宋体"/>
          <w:b/>
          <w:bCs/>
        </w:rPr>
        <w:sectPr>
          <w:headerReference r:id="rId5" w:type="default"/>
          <w:footerReference r:id="rId6" w:type="default"/>
          <w:footerReference r:id="rId7" w:type="even"/>
          <w:pgSz w:w="11906" w:h="16838"/>
          <w:pgMar w:top="1418" w:right="1134" w:bottom="1418" w:left="1418" w:header="851" w:footer="992" w:gutter="0"/>
          <w:pgNumType w:start="1"/>
          <w:cols w:space="720" w:num="1"/>
          <w:docGrid w:type="lines" w:linePitch="312" w:charSpace="0"/>
        </w:sectPr>
      </w:pPr>
      <w:r>
        <w:rPr>
          <w:rFonts w:ascii="宋体" w:hAnsi="宋体" w:eastAsia="宋体" w:cs="宋体"/>
          <w:b/>
          <w:bCs/>
          <w:sz w:val="24"/>
        </w:rPr>
        <w:fldChar w:fldCharType="end"/>
      </w:r>
    </w:p>
    <w:p>
      <w:pPr>
        <w:spacing w:line="440" w:lineRule="exact"/>
        <w:jc w:val="center"/>
        <w:outlineLvl w:val="0"/>
        <w:rPr>
          <w:rFonts w:ascii="宋体" w:hAnsi="宋体" w:eastAsia="宋体" w:cs="宋体"/>
          <w:b/>
          <w:sz w:val="24"/>
          <w:szCs w:val="24"/>
        </w:rPr>
      </w:pPr>
      <w:bookmarkStart w:id="0" w:name="_Toc488827450"/>
      <w:r>
        <w:rPr>
          <w:rFonts w:hint="eastAsia" w:ascii="宋体" w:hAnsi="宋体" w:eastAsia="宋体" w:cs="宋体"/>
          <w:b/>
          <w:sz w:val="24"/>
          <w:szCs w:val="24"/>
        </w:rPr>
        <w:t>投标人须知前附表</w:t>
      </w:r>
      <w:bookmarkEnd w:id="0"/>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57" w:type="dxa"/>
          <w:bottom w:w="57" w:type="dxa"/>
          <w:right w:w="57" w:type="dxa"/>
        </w:tblCellMar>
      </w:tblPr>
      <w:tblGrid>
        <w:gridCol w:w="597"/>
        <w:gridCol w:w="1410"/>
        <w:gridCol w:w="7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60" w:hRule="atLeast"/>
          <w:jc w:val="center"/>
        </w:trPr>
        <w:tc>
          <w:tcPr>
            <w:tcW w:w="597" w:type="dxa"/>
            <w:vAlign w:val="center"/>
          </w:tcPr>
          <w:p>
            <w:pPr>
              <w:jc w:val="center"/>
              <w:rPr>
                <w:rFonts w:cs="Times New Roman" w:asciiTheme="minorEastAsia" w:hAnsiTheme="minorEastAsia" w:eastAsiaTheme="minorEastAsia"/>
                <w:b/>
                <w:kern w:val="0"/>
                <w:sz w:val="24"/>
                <w:szCs w:val="24"/>
              </w:rPr>
            </w:pPr>
            <w:r>
              <w:rPr>
                <w:rFonts w:hint="eastAsia" w:cs="Times New Roman" w:asciiTheme="minorEastAsia" w:hAnsiTheme="minorEastAsia" w:eastAsiaTheme="minorEastAsia"/>
                <w:b/>
                <w:kern w:val="0"/>
                <w:sz w:val="24"/>
                <w:szCs w:val="24"/>
              </w:rPr>
              <w:t>项号</w:t>
            </w:r>
          </w:p>
        </w:tc>
        <w:tc>
          <w:tcPr>
            <w:tcW w:w="8483" w:type="dxa"/>
            <w:gridSpan w:val="2"/>
          </w:tcPr>
          <w:p>
            <w:pPr>
              <w:jc w:val="center"/>
              <w:rPr>
                <w:rFonts w:cs="Times New Roman" w:asciiTheme="minorEastAsia" w:hAnsiTheme="minorEastAsia" w:eastAsiaTheme="minorEastAsia"/>
                <w:b/>
                <w:kern w:val="0"/>
                <w:sz w:val="24"/>
                <w:szCs w:val="24"/>
              </w:rPr>
            </w:pPr>
            <w:r>
              <w:rPr>
                <w:rFonts w:hint="eastAsia" w:cs="Times New Roman" w:asciiTheme="minorEastAsia" w:hAnsiTheme="minorEastAsia" w:eastAsiaTheme="minorEastAsia"/>
                <w:b/>
                <w:kern w:val="0"/>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eastAsiaTheme="minorEastAsia"/>
                <w:kern w:val="0"/>
                <w:sz w:val="24"/>
                <w:szCs w:val="24"/>
              </w:rPr>
            </w:pPr>
            <w:r>
              <w:rPr>
                <w:rFonts w:cs="Times New Roman" w:asciiTheme="minorEastAsia" w:hAnsiTheme="minorEastAsia" w:eastAsiaTheme="minorEastAsia"/>
                <w:kern w:val="0"/>
                <w:sz w:val="24"/>
                <w:szCs w:val="24"/>
              </w:rPr>
              <w:t>1</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项目名称</w:t>
            </w:r>
          </w:p>
        </w:tc>
        <w:tc>
          <w:tcPr>
            <w:tcW w:w="7073" w:type="dxa"/>
          </w:tcPr>
          <w:p>
            <w:pPr>
              <w:keepNext/>
              <w:widowControl/>
              <w:jc w:val="left"/>
              <w:rPr>
                <w:rFonts w:cs="Arial" w:asciiTheme="minorEastAsia" w:hAnsiTheme="minorEastAsia" w:eastAsiaTheme="minorEastAsia"/>
                <w:color w:val="000000"/>
                <w:kern w:val="0"/>
                <w:sz w:val="24"/>
                <w:szCs w:val="24"/>
              </w:rPr>
            </w:pPr>
            <w:r>
              <w:rPr>
                <w:rFonts w:ascii="宋体" w:hAnsi="宋体" w:eastAsia="宋体" w:cs="宋体"/>
                <w:b w:val="0"/>
                <w:bCs w:val="0"/>
                <w:sz w:val="24"/>
                <w:szCs w:val="24"/>
              </w:rPr>
              <w:t>新疆维吾尔自治区乌鲁木齐第二强制隔离戒毒所</w:t>
            </w:r>
            <w:r>
              <w:rPr>
                <w:rFonts w:hint="eastAsia" w:ascii="宋体" w:hAnsi="宋体" w:eastAsia="宋体" w:cs="宋体"/>
                <w:b w:val="0"/>
                <w:bCs w:val="0"/>
                <w:sz w:val="24"/>
                <w:szCs w:val="24"/>
                <w:lang w:eastAsia="zh-CN"/>
              </w:rPr>
              <w:t>五金交电</w:t>
            </w:r>
            <w:r>
              <w:rPr>
                <w:rFonts w:ascii="宋体" w:hAnsi="宋体" w:eastAsia="宋体" w:cs="宋体"/>
                <w:b w:val="0"/>
                <w:bCs w:val="0"/>
                <w:sz w:val="24"/>
                <w:szCs w:val="24"/>
              </w:rPr>
              <w:t>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项目编号</w:t>
            </w:r>
          </w:p>
        </w:tc>
        <w:tc>
          <w:tcPr>
            <w:tcW w:w="7073" w:type="dxa"/>
            <w:vAlign w:val="center"/>
          </w:tcPr>
          <w:p>
            <w:pPr>
              <w:keepNext/>
              <w:widowControl/>
              <w:jc w:val="left"/>
              <w:rPr>
                <w:rFonts w:hint="eastAsia" w:eastAsia="宋体" w:cs="Arial" w:asciiTheme="minorEastAsia" w:hAnsiTheme="minorEastAsia"/>
                <w:color w:val="000000"/>
                <w:kern w:val="0"/>
                <w:sz w:val="24"/>
                <w:szCs w:val="24"/>
                <w:lang w:val="en-US" w:eastAsia="zh-CN"/>
              </w:rPr>
            </w:pPr>
            <w:r>
              <w:rPr>
                <w:rFonts w:ascii="宋体" w:hAnsi="宋体" w:eastAsia="宋体" w:cs="宋体"/>
                <w:sz w:val="24"/>
                <w:szCs w:val="24"/>
              </w:rPr>
              <w:t>DSTC-2022-01</w:t>
            </w:r>
            <w:r>
              <w:rPr>
                <w:rFonts w:hint="eastAsia" w:ascii="宋体" w:hAnsi="宋体" w:eastAsia="宋体" w:cs="宋体"/>
                <w:sz w:val="24"/>
                <w:szCs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招标人</w:t>
            </w:r>
          </w:p>
        </w:tc>
        <w:tc>
          <w:tcPr>
            <w:tcW w:w="7073" w:type="dxa"/>
            <w:vAlign w:val="center"/>
          </w:tcPr>
          <w:p>
            <w:pPr>
              <w:keepNext/>
              <w:widowControl/>
              <w:jc w:val="left"/>
              <w:rPr>
                <w:rFonts w:cs="Arial" w:asciiTheme="minorEastAsia" w:hAnsiTheme="minorEastAsia" w:eastAsiaTheme="minorEastAsia"/>
                <w:color w:val="000000"/>
                <w:kern w:val="0"/>
                <w:sz w:val="24"/>
                <w:szCs w:val="24"/>
              </w:rPr>
            </w:pPr>
            <w:r>
              <w:rPr>
                <w:rFonts w:ascii="宋体" w:hAnsi="宋体" w:eastAsia="宋体" w:cs="宋体"/>
                <w:sz w:val="24"/>
                <w:szCs w:val="24"/>
              </w:rPr>
              <w:t>新疆维吾尔自治区乌鲁木齐第二强制隔离戒毒所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招标代理机构</w:t>
            </w:r>
          </w:p>
        </w:tc>
        <w:tc>
          <w:tcPr>
            <w:tcW w:w="7073" w:type="dxa"/>
            <w:vAlign w:val="center"/>
          </w:tcPr>
          <w:p>
            <w:pPr>
              <w:keepNext/>
              <w:widowControl/>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新疆德顺天诚工程管理有限公司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项目地点</w:t>
            </w:r>
          </w:p>
        </w:tc>
        <w:tc>
          <w:tcPr>
            <w:tcW w:w="7073" w:type="dxa"/>
            <w:vAlign w:val="center"/>
          </w:tcPr>
          <w:p>
            <w:pPr>
              <w:keepNext/>
              <w:widowControl/>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乌鲁木齐市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43" w:hRule="atLeast"/>
          <w:jc w:val="center"/>
        </w:trPr>
        <w:tc>
          <w:tcPr>
            <w:tcW w:w="597" w:type="dxa"/>
            <w:vMerge w:val="continue"/>
            <w:vAlign w:val="center"/>
          </w:tcPr>
          <w:p>
            <w:pPr>
              <w:jc w:val="center"/>
              <w:rPr>
                <w:rFonts w:eastAsia="宋体" w:cs="Times New Roman" w:asciiTheme="minorEastAsia" w:hAnsi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资金来源</w:t>
            </w:r>
          </w:p>
        </w:tc>
        <w:tc>
          <w:tcPr>
            <w:tcW w:w="7073" w:type="dxa"/>
            <w:vAlign w:val="center"/>
          </w:tcPr>
          <w:p>
            <w:pPr>
              <w:keepNext/>
              <w:widowControl/>
              <w:jc w:val="left"/>
              <w:rPr>
                <w:rFonts w:hint="eastAsia" w:cs="Arial" w:asciiTheme="minorEastAsia" w:hAnsiTheme="minorEastAsia" w:eastAsiaTheme="minorEastAsia"/>
                <w:color w:val="000000"/>
                <w:kern w:val="0"/>
                <w:sz w:val="24"/>
                <w:szCs w:val="24"/>
                <w:lang w:eastAsia="zh-CN"/>
              </w:rPr>
            </w:pPr>
            <w:r>
              <w:rPr>
                <w:rFonts w:hint="eastAsia" w:cs="Arial" w:asciiTheme="minorEastAsia" w:hAnsiTheme="minorEastAsia"/>
                <w:color w:val="000000"/>
                <w:kern w:val="0"/>
                <w:sz w:val="24"/>
                <w:szCs w:val="24"/>
                <w:lang w:eastAsia="zh-CN"/>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总投资</w:t>
            </w:r>
          </w:p>
        </w:tc>
        <w:tc>
          <w:tcPr>
            <w:tcW w:w="7073" w:type="dxa"/>
            <w:vAlign w:val="center"/>
          </w:tcPr>
          <w:p>
            <w:pPr>
              <w:keepNext/>
              <w:widowControl/>
              <w:jc w:val="left"/>
              <w:rPr>
                <w:rFonts w:hint="default" w:cs="Arial" w:asciiTheme="minorEastAsia" w:hAnsiTheme="minorEastAsia"/>
                <w:color w:val="000000"/>
                <w:kern w:val="0"/>
                <w:sz w:val="24"/>
                <w:szCs w:val="24"/>
                <w:lang w:val="en-US" w:eastAsia="zh-CN"/>
              </w:rPr>
            </w:pPr>
            <w:r>
              <w:rPr>
                <w:rFonts w:hint="eastAsia" w:cs="Arial" w:asciiTheme="minorEastAsia" w:hAnsiTheme="minorEastAsia"/>
                <w:color w:val="000000"/>
                <w:kern w:val="0"/>
                <w:sz w:val="24"/>
                <w:szCs w:val="24"/>
                <w:lang w:val="en-US" w:eastAsia="zh-CN"/>
              </w:rPr>
              <w:t>25万元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招标范围</w:t>
            </w:r>
          </w:p>
        </w:tc>
        <w:tc>
          <w:tcPr>
            <w:tcW w:w="7073" w:type="dxa"/>
            <w:vAlign w:val="center"/>
          </w:tcPr>
          <w:p>
            <w:pPr>
              <w:keepNext/>
              <w:widowControl/>
              <w:jc w:val="left"/>
              <w:rPr>
                <w:rFonts w:cs="Arial" w:asciiTheme="minorEastAsia" w:hAnsiTheme="minorEastAsia" w:eastAsiaTheme="minorEastAsia"/>
                <w:color w:val="000000" w:themeColor="text1"/>
                <w:kern w:val="0"/>
                <w:sz w:val="24"/>
                <w:szCs w:val="24"/>
              </w:rPr>
            </w:pPr>
            <w:r>
              <w:rPr>
                <w:rFonts w:ascii="宋体" w:hAnsi="宋体" w:eastAsia="宋体" w:cs="宋体"/>
                <w:b w:val="0"/>
                <w:bCs w:val="0"/>
                <w:sz w:val="24"/>
                <w:szCs w:val="24"/>
              </w:rPr>
              <w:t>新疆维吾尔自治区乌鲁木齐第二强制隔离戒毒所</w:t>
            </w:r>
            <w:r>
              <w:rPr>
                <w:rFonts w:hint="eastAsia" w:ascii="宋体" w:hAnsi="宋体" w:eastAsia="宋体" w:cs="宋体"/>
                <w:b w:val="0"/>
                <w:bCs w:val="0"/>
                <w:sz w:val="24"/>
                <w:szCs w:val="24"/>
                <w:lang w:eastAsia="zh-CN"/>
              </w:rPr>
              <w:t>五金交电</w:t>
            </w:r>
            <w:r>
              <w:rPr>
                <w:rFonts w:ascii="宋体" w:hAnsi="宋体" w:eastAsia="宋体" w:cs="宋体"/>
                <w:b w:val="0"/>
                <w:bCs w:val="0"/>
                <w:sz w:val="24"/>
                <w:szCs w:val="24"/>
              </w:rPr>
              <w:t>采购项目</w:t>
            </w:r>
            <w:r>
              <w:rPr>
                <w:rFonts w:hint="eastAsia" w:cs="Arial" w:asciiTheme="minorEastAsia" w:hAnsiTheme="minorEastAsia" w:eastAsiaTheme="minorEastAsia"/>
                <w:color w:val="000000"/>
                <w:kern w:val="0"/>
                <w:sz w:val="24"/>
                <w:szCs w:val="24"/>
              </w:rPr>
              <w:t>采购</w:t>
            </w:r>
            <w:r>
              <w:rPr>
                <w:rFonts w:hint="eastAsia" w:cs="Arial" w:asciiTheme="minorEastAsia" w:hAnsiTheme="minorEastAsia" w:eastAsiaTheme="minorEastAsia"/>
                <w:color w:val="000000" w:themeColor="text1"/>
                <w:kern w:val="0"/>
                <w:sz w:val="24"/>
                <w:szCs w:val="24"/>
              </w:rPr>
              <w:t>范围内所有工作内容，关于招标范围的详细说明见第四章“技术标准和要求”。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2</w:t>
            </w:r>
          </w:p>
        </w:tc>
        <w:tc>
          <w:tcPr>
            <w:tcW w:w="1410" w:type="dxa"/>
            <w:vAlign w:val="center"/>
          </w:tcPr>
          <w:p>
            <w:pPr>
              <w:keepNext/>
              <w:widowControl/>
              <w:jc w:val="distribute"/>
              <w:rPr>
                <w:rFonts w:cs="Arial" w:asciiTheme="minorEastAsia" w:hAnsiTheme="minorEastAsia" w:eastAsiaTheme="minorEastAsia"/>
                <w:color w:val="000000"/>
                <w:kern w:val="0"/>
                <w:sz w:val="24"/>
                <w:szCs w:val="24"/>
                <w:highlight w:val="none"/>
              </w:rPr>
            </w:pPr>
            <w:r>
              <w:rPr>
                <w:rFonts w:hint="eastAsia" w:cs="Arial" w:asciiTheme="minorEastAsia" w:hAnsiTheme="minorEastAsia" w:eastAsiaTheme="minorEastAsia"/>
                <w:color w:val="000000"/>
                <w:kern w:val="0"/>
                <w:sz w:val="24"/>
                <w:szCs w:val="24"/>
                <w:highlight w:val="none"/>
              </w:rPr>
              <w:t>供货周期</w:t>
            </w:r>
          </w:p>
        </w:tc>
        <w:tc>
          <w:tcPr>
            <w:tcW w:w="7073" w:type="dxa"/>
            <w:vAlign w:val="center"/>
          </w:tcPr>
          <w:p>
            <w:pPr>
              <w:keepNext/>
              <w:widowControl/>
              <w:jc w:val="left"/>
              <w:rPr>
                <w:rFonts w:cs="Arial" w:asciiTheme="minorEastAsia" w:hAnsiTheme="minorEastAsia" w:eastAsiaTheme="minorEastAsia"/>
                <w:color w:val="000000" w:themeColor="text1"/>
                <w:kern w:val="0"/>
                <w:sz w:val="24"/>
                <w:szCs w:val="24"/>
                <w:highlight w:val="none"/>
              </w:rPr>
            </w:pPr>
            <w:r>
              <w:rPr>
                <w:rFonts w:hint="eastAsia" w:cs="Arial" w:asciiTheme="minorEastAsia" w:hAnsiTheme="minorEastAsia" w:eastAsiaTheme="minorEastAsia"/>
                <w:color w:val="000000" w:themeColor="text1"/>
                <w:kern w:val="0"/>
                <w:sz w:val="24"/>
                <w:szCs w:val="24"/>
                <w:highlight w:val="none"/>
              </w:rPr>
              <w:t>自合同签订之日起</w:t>
            </w:r>
            <w:r>
              <w:rPr>
                <w:rFonts w:hint="eastAsia" w:cs="Arial" w:asciiTheme="minorEastAsia" w:hAnsiTheme="minorEastAsia"/>
                <w:color w:val="000000" w:themeColor="text1"/>
                <w:kern w:val="0"/>
                <w:sz w:val="24"/>
                <w:szCs w:val="24"/>
                <w:highlight w:val="none"/>
                <w:lang w:val="en-US" w:eastAsia="zh-CN"/>
              </w:rPr>
              <w:t>7</w:t>
            </w:r>
            <w:r>
              <w:rPr>
                <w:rFonts w:hint="eastAsia" w:cs="Arial" w:asciiTheme="minorEastAsia" w:hAnsiTheme="minorEastAsia" w:eastAsiaTheme="minorEastAsia"/>
                <w:color w:val="000000" w:themeColor="text1"/>
                <w:kern w:val="0"/>
                <w:sz w:val="24"/>
                <w:szCs w:val="24"/>
                <w:highlight w:val="none"/>
              </w:rPr>
              <w:t>日历日内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highlight w:val="none"/>
              </w:rPr>
            </w:pPr>
            <w:r>
              <w:rPr>
                <w:rFonts w:hint="eastAsia" w:cs="Arial" w:asciiTheme="minorEastAsia" w:hAnsiTheme="minorEastAsia" w:eastAsiaTheme="minorEastAsia"/>
                <w:color w:val="000000"/>
                <w:kern w:val="0"/>
                <w:sz w:val="24"/>
                <w:szCs w:val="24"/>
                <w:highlight w:val="none"/>
              </w:rPr>
              <w:t>供货地点</w:t>
            </w:r>
          </w:p>
        </w:tc>
        <w:tc>
          <w:tcPr>
            <w:tcW w:w="7073" w:type="dxa"/>
            <w:vAlign w:val="center"/>
          </w:tcPr>
          <w:p>
            <w:pPr>
              <w:keepNext/>
              <w:widowControl/>
              <w:jc w:val="left"/>
              <w:rPr>
                <w:rFonts w:cs="Arial" w:asciiTheme="minorEastAsia" w:hAnsiTheme="minorEastAsia" w:eastAsiaTheme="minorEastAsia"/>
                <w:color w:val="000000" w:themeColor="text1"/>
                <w:kern w:val="0"/>
                <w:sz w:val="24"/>
                <w:szCs w:val="24"/>
                <w:highlight w:val="none"/>
              </w:rPr>
            </w:pPr>
            <w:r>
              <w:rPr>
                <w:rFonts w:hint="eastAsia" w:cs="Arial" w:asciiTheme="minorEastAsia" w:hAnsiTheme="minorEastAsia" w:eastAsiaTheme="minorEastAsia"/>
                <w:color w:val="000000" w:themeColor="text1"/>
                <w:kern w:val="0"/>
                <w:sz w:val="24"/>
                <w:szCs w:val="24"/>
                <w:highlight w:val="none"/>
              </w:rPr>
              <w:t>甲方指定地点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highlight w:val="none"/>
              </w:rPr>
            </w:pPr>
            <w:r>
              <w:rPr>
                <w:rFonts w:hint="eastAsia" w:cs="Arial" w:asciiTheme="minorEastAsia" w:hAnsiTheme="minorEastAsia" w:eastAsiaTheme="minorEastAsia"/>
                <w:color w:val="000000"/>
                <w:kern w:val="0"/>
                <w:sz w:val="24"/>
                <w:szCs w:val="24"/>
                <w:highlight w:val="none"/>
              </w:rPr>
              <w:t>质保期</w:t>
            </w:r>
          </w:p>
        </w:tc>
        <w:tc>
          <w:tcPr>
            <w:tcW w:w="7073" w:type="dxa"/>
            <w:vAlign w:val="center"/>
          </w:tcPr>
          <w:p>
            <w:pPr>
              <w:keepNext/>
              <w:widowControl/>
              <w:jc w:val="left"/>
              <w:rPr>
                <w:rFonts w:cs="Arial" w:asciiTheme="minorEastAsia" w:hAnsiTheme="minorEastAsia" w:eastAsiaTheme="minorEastAsia"/>
                <w:color w:val="000000" w:themeColor="text1"/>
                <w:kern w:val="0"/>
                <w:sz w:val="24"/>
                <w:szCs w:val="24"/>
                <w:highlight w:val="none"/>
              </w:rPr>
            </w:pPr>
            <w:r>
              <w:rPr>
                <w:rFonts w:hint="eastAsia" w:cs="Arial" w:asciiTheme="minorEastAsia" w:hAnsiTheme="minorEastAsia" w:eastAsiaTheme="minorEastAsia"/>
                <w:color w:val="000000" w:themeColor="text1"/>
                <w:kern w:val="0"/>
                <w:sz w:val="24"/>
                <w:szCs w:val="24"/>
                <w:highlight w:val="none"/>
              </w:rPr>
              <w:t>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3</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招标方式</w:t>
            </w:r>
          </w:p>
        </w:tc>
        <w:tc>
          <w:tcPr>
            <w:tcW w:w="7073" w:type="dxa"/>
            <w:vAlign w:val="center"/>
          </w:tcPr>
          <w:p>
            <w:pPr>
              <w:keepNext/>
              <w:widowControl/>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资格审查方式</w:t>
            </w:r>
          </w:p>
        </w:tc>
        <w:tc>
          <w:tcPr>
            <w:tcW w:w="7073" w:type="dxa"/>
            <w:vAlign w:val="center"/>
          </w:tcPr>
          <w:p>
            <w:pPr>
              <w:keepNext/>
              <w:widowControl/>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4</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评标办法</w:t>
            </w:r>
          </w:p>
        </w:tc>
        <w:tc>
          <w:tcPr>
            <w:tcW w:w="7073" w:type="dxa"/>
            <w:vAlign w:val="center"/>
          </w:tcPr>
          <w:p>
            <w:pPr>
              <w:keepNext/>
              <w:widowControl/>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综合评</w:t>
            </w:r>
            <w:r>
              <w:rPr>
                <w:rFonts w:hint="eastAsia" w:cs="Arial" w:asciiTheme="minorEastAsia" w:hAnsiTheme="minorEastAsia"/>
                <w:color w:val="000000" w:themeColor="text1"/>
                <w:kern w:val="0"/>
                <w:sz w:val="24"/>
                <w:szCs w:val="24"/>
                <w:lang w:eastAsia="zh-CN"/>
              </w:rPr>
              <w:t>分</w:t>
            </w:r>
            <w:r>
              <w:rPr>
                <w:rFonts w:hint="eastAsia" w:cs="Arial" w:asciiTheme="minorEastAsia" w:hAnsiTheme="minorEastAsia" w:eastAsiaTheme="minorEastAsia"/>
                <w:color w:val="000000" w:themeColor="text1"/>
                <w:kern w:val="0"/>
                <w:sz w:val="24"/>
                <w:szCs w:val="24"/>
              </w:rPr>
              <w:t>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cs="Times New Roman" w:asciiTheme="minorEastAsia" w:hAnsiTheme="minorEastAsia" w:eastAsiaTheme="minorEastAsia"/>
                <w:kern w:val="0"/>
                <w:sz w:val="24"/>
                <w:szCs w:val="24"/>
              </w:rPr>
            </w:pP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定标方法</w:t>
            </w:r>
          </w:p>
        </w:tc>
        <w:tc>
          <w:tcPr>
            <w:tcW w:w="7073" w:type="dxa"/>
            <w:vAlign w:val="center"/>
          </w:tcPr>
          <w:p>
            <w:pPr>
              <w:keepNext/>
              <w:widowControl/>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推荐三名中标候选人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5</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投标人资格条件和能力</w:t>
            </w:r>
          </w:p>
        </w:tc>
        <w:tc>
          <w:tcPr>
            <w:tcW w:w="7073" w:type="dxa"/>
            <w:vAlign w:val="center"/>
          </w:tcPr>
          <w:p>
            <w:pPr>
              <w:rPr>
                <w:rFonts w:hint="eastAsia" w:ascii="Times New Roman" w:hAnsi="Times New Roman" w:eastAsia="宋体" w:cs="Times New Roman"/>
                <w:kern w:val="0"/>
                <w:sz w:val="24"/>
                <w:szCs w:val="24"/>
                <w:lang w:eastAsia="zh-CN"/>
              </w:rPr>
            </w:pPr>
            <w:r>
              <w:rPr>
                <w:rFonts w:ascii="宋体" w:hAnsi="宋体" w:eastAsia="宋体" w:cs="宋体"/>
                <w:sz w:val="24"/>
                <w:szCs w:val="24"/>
              </w:rPr>
              <w:t>1、必须具备《中华人民共和国政府采购法》第二十二条规定的条件： </w:t>
            </w:r>
            <w:r>
              <w:rPr>
                <w:rFonts w:ascii="宋体" w:hAnsi="宋体" w:eastAsia="宋体" w:cs="宋体"/>
                <w:sz w:val="24"/>
                <w:szCs w:val="24"/>
              </w:rPr>
              <w:br w:type="textWrapping"/>
            </w:r>
            <w:r>
              <w:rPr>
                <w:rFonts w:ascii="宋体" w:hAnsi="宋体" w:eastAsia="宋体" w:cs="宋体"/>
                <w:sz w:val="24"/>
                <w:szCs w:val="24"/>
              </w:rPr>
              <w:t>1.1 具有独立承担民事责任的能力； </w:t>
            </w:r>
            <w:r>
              <w:rPr>
                <w:rFonts w:ascii="宋体" w:hAnsi="宋体" w:eastAsia="宋体" w:cs="宋体"/>
                <w:sz w:val="24"/>
                <w:szCs w:val="24"/>
              </w:rPr>
              <w:br w:type="textWrapping"/>
            </w:r>
            <w:r>
              <w:rPr>
                <w:rFonts w:ascii="宋体" w:hAnsi="宋体" w:eastAsia="宋体" w:cs="宋体"/>
                <w:sz w:val="24"/>
                <w:szCs w:val="24"/>
              </w:rPr>
              <w:t>1.2 具有良好的商业信誉和健全的财务会计制度； </w:t>
            </w:r>
            <w:r>
              <w:rPr>
                <w:rFonts w:ascii="宋体" w:hAnsi="宋体" w:eastAsia="宋体" w:cs="宋体"/>
                <w:sz w:val="24"/>
                <w:szCs w:val="24"/>
              </w:rPr>
              <w:br w:type="textWrapping"/>
            </w:r>
            <w:r>
              <w:rPr>
                <w:rFonts w:ascii="宋体" w:hAnsi="宋体" w:eastAsia="宋体" w:cs="宋体"/>
                <w:sz w:val="24"/>
                <w:szCs w:val="24"/>
              </w:rPr>
              <w:t>1.3 具有履行合同所必需的设备和专业技术能力； </w:t>
            </w:r>
            <w:r>
              <w:rPr>
                <w:rFonts w:ascii="宋体" w:hAnsi="宋体" w:eastAsia="宋体" w:cs="宋体"/>
                <w:sz w:val="24"/>
                <w:szCs w:val="24"/>
              </w:rPr>
              <w:br w:type="textWrapping"/>
            </w:r>
            <w:r>
              <w:rPr>
                <w:rFonts w:ascii="宋体" w:hAnsi="宋体" w:eastAsia="宋体" w:cs="宋体"/>
                <w:sz w:val="24"/>
                <w:szCs w:val="24"/>
              </w:rPr>
              <w:t>1.4 有依法缴纳税收和社会保障资金的良好记录； </w:t>
            </w:r>
            <w:r>
              <w:rPr>
                <w:rFonts w:ascii="宋体" w:hAnsi="宋体" w:eastAsia="宋体" w:cs="宋体"/>
                <w:sz w:val="24"/>
                <w:szCs w:val="24"/>
              </w:rPr>
              <w:br w:type="textWrapping"/>
            </w:r>
            <w:r>
              <w:rPr>
                <w:rFonts w:ascii="宋体" w:hAnsi="宋体" w:eastAsia="宋体" w:cs="宋体"/>
                <w:sz w:val="24"/>
                <w:szCs w:val="24"/>
              </w:rPr>
              <w:t>1.5 参加政府采购活动前三年内，在经营活动中没有重大违法记录； </w:t>
            </w:r>
            <w:r>
              <w:rPr>
                <w:rFonts w:ascii="宋体" w:hAnsi="宋体" w:eastAsia="宋体" w:cs="宋体"/>
                <w:sz w:val="24"/>
                <w:szCs w:val="24"/>
              </w:rPr>
              <w:br w:type="textWrapping"/>
            </w:r>
            <w:r>
              <w:rPr>
                <w:rFonts w:ascii="宋体" w:hAnsi="宋体" w:eastAsia="宋体" w:cs="宋体"/>
                <w:sz w:val="24"/>
                <w:szCs w:val="24"/>
              </w:rPr>
              <w:t>1.6 法律、行政法规规定的其他条件。</w:t>
            </w:r>
            <w:r>
              <w:rPr>
                <w:rFonts w:ascii="宋体" w:hAnsi="宋体" w:eastAsia="宋体" w:cs="宋体"/>
                <w:sz w:val="24"/>
                <w:szCs w:val="24"/>
              </w:rPr>
              <w:br w:type="textWrapping"/>
            </w:r>
            <w:r>
              <w:rPr>
                <w:rFonts w:ascii="宋体" w:hAnsi="宋体" w:eastAsia="宋体" w:cs="宋体"/>
                <w:sz w:val="24"/>
                <w:szCs w:val="24"/>
              </w:rPr>
              <w:t>2.须提供在“信用中国”（www.creditchina.gov.cn）和中国政府采购网（www.ccgp.gov.cn）网站上未被列入失信被执行人、重大税收违法案件当事人名单以及政府采购严重违法失信行为记录名单的网页打印件（网页打印件须自磋商公告发布之日起至首次提交响应文件截止时间内从上述网站中打印）；</w:t>
            </w:r>
          </w:p>
          <w:p>
            <w:pP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3.本项目不接受联合体投标。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6</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现场踏勘</w:t>
            </w:r>
          </w:p>
        </w:tc>
        <w:tc>
          <w:tcPr>
            <w:tcW w:w="7073" w:type="dxa"/>
            <w:vAlign w:val="center"/>
          </w:tcPr>
          <w:p>
            <w:pPr>
              <w:keepNext/>
              <w:widowControl/>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7</w:t>
            </w:r>
          </w:p>
        </w:tc>
        <w:tc>
          <w:tcPr>
            <w:tcW w:w="1410" w:type="dxa"/>
            <w:vAlign w:val="center"/>
          </w:tcPr>
          <w:p>
            <w:pPr>
              <w:keepNext/>
              <w:widowControl/>
              <w:jc w:val="distribute"/>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招标文件费</w:t>
            </w:r>
          </w:p>
        </w:tc>
        <w:tc>
          <w:tcPr>
            <w:tcW w:w="7073" w:type="dxa"/>
            <w:vAlign w:val="center"/>
          </w:tcPr>
          <w:p>
            <w:pPr>
              <w:keepNext/>
              <w:widowControl/>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color w:val="000000" w:themeColor="text1"/>
                <w:kern w:val="0"/>
                <w:sz w:val="24"/>
                <w:szCs w:val="24"/>
                <w:lang w:val="en-US" w:eastAsia="zh-CN"/>
              </w:rPr>
              <w:t>200</w:t>
            </w:r>
            <w:r>
              <w:rPr>
                <w:rFonts w:hint="eastAsia" w:cs="Arial" w:asciiTheme="minorEastAsia" w:hAnsiTheme="minorEastAsia" w:eastAsiaTheme="minorEastAsia"/>
                <w:color w:val="000000" w:themeColor="text1"/>
                <w:kern w:val="0"/>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8</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招标答疑</w:t>
            </w:r>
          </w:p>
        </w:tc>
        <w:tc>
          <w:tcPr>
            <w:tcW w:w="7073" w:type="dxa"/>
            <w:vAlign w:val="center"/>
          </w:tcPr>
          <w:p>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投标文件递交截止时间</w:t>
            </w:r>
            <w:r>
              <w:rPr>
                <w:rFonts w:cs="宋体" w:asciiTheme="minorEastAsia" w:hAnsiTheme="minorEastAsia" w:eastAsiaTheme="minorEastAsia"/>
                <w:kern w:val="0"/>
                <w:sz w:val="24"/>
                <w:szCs w:val="24"/>
              </w:rPr>
              <w:t>72</w:t>
            </w:r>
            <w:r>
              <w:rPr>
                <w:rFonts w:hint="eastAsia" w:cs="宋体" w:asciiTheme="minorEastAsia" w:hAnsiTheme="minorEastAsia" w:eastAsiaTheme="minorEastAsia"/>
                <w:kern w:val="0"/>
                <w:sz w:val="24"/>
                <w:szCs w:val="24"/>
              </w:rPr>
              <w:t>小时前以书面形式加盖公章递交至新疆德顺天诚工程管理有限公司，否则招标人不作任何解释。</w:t>
            </w:r>
          </w:p>
          <w:p>
            <w:pPr>
              <w:keepNext/>
              <w:widowControl/>
              <w:jc w:val="left"/>
              <w:rPr>
                <w:rFonts w:cs="Arial" w:asciiTheme="minorEastAsia" w:hAnsiTheme="minorEastAsia" w:eastAsiaTheme="minorEastAsia"/>
                <w:color w:val="000000"/>
                <w:kern w:val="0"/>
                <w:sz w:val="24"/>
                <w:szCs w:val="24"/>
              </w:rPr>
            </w:pPr>
            <w:r>
              <w:rPr>
                <w:rFonts w:hint="eastAsia" w:cs="Times New Roman" w:asciiTheme="minorEastAsia" w:hAnsiTheme="minorEastAsia" w:eastAsiaTheme="minorEastAsia"/>
                <w:kern w:val="0"/>
                <w:sz w:val="24"/>
                <w:szCs w:val="24"/>
              </w:rPr>
              <w:t>招标人将在投标截止时间</w:t>
            </w:r>
            <w:r>
              <w:rPr>
                <w:rFonts w:cs="Times New Roman" w:asciiTheme="minorEastAsia" w:hAnsiTheme="minorEastAsia" w:eastAsiaTheme="minorEastAsia"/>
                <w:kern w:val="0"/>
                <w:sz w:val="24"/>
                <w:szCs w:val="24"/>
              </w:rPr>
              <w:t>48</w:t>
            </w:r>
            <w:r>
              <w:rPr>
                <w:rFonts w:hint="eastAsia" w:cs="Times New Roman" w:asciiTheme="minorEastAsia" w:hAnsiTheme="minorEastAsia" w:eastAsiaTheme="minorEastAsia"/>
                <w:kern w:val="0"/>
                <w:sz w:val="24"/>
                <w:szCs w:val="24"/>
              </w:rPr>
              <w:t>小时前对投标人的疑问作出统一解答以招标文件补充形式发出。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9</w:t>
            </w:r>
          </w:p>
        </w:tc>
        <w:tc>
          <w:tcPr>
            <w:tcW w:w="1410" w:type="dxa"/>
            <w:vAlign w:val="center"/>
          </w:tcPr>
          <w:p>
            <w:pPr>
              <w:keepNext/>
              <w:widowControl/>
              <w:jc w:val="distribute"/>
              <w:rPr>
                <w:rFonts w:cs="Arial" w:asciiTheme="minorEastAsia" w:hAnsiTheme="minorEastAsia" w:eastAsiaTheme="minorEastAsia"/>
                <w:color w:val="000000"/>
                <w:kern w:val="0"/>
                <w:sz w:val="24"/>
                <w:szCs w:val="24"/>
                <w:highlight w:val="none"/>
              </w:rPr>
            </w:pPr>
            <w:r>
              <w:rPr>
                <w:rFonts w:hint="eastAsia" w:cs="Arial" w:asciiTheme="minorEastAsia" w:hAnsiTheme="minorEastAsia" w:eastAsiaTheme="minorEastAsia"/>
                <w:color w:val="000000"/>
                <w:kern w:val="0"/>
                <w:sz w:val="24"/>
                <w:szCs w:val="24"/>
                <w:highlight w:val="none"/>
              </w:rPr>
              <w:t>投标保证金</w:t>
            </w:r>
          </w:p>
        </w:tc>
        <w:tc>
          <w:tcPr>
            <w:tcW w:w="7073" w:type="dxa"/>
            <w:vAlign w:val="center"/>
          </w:tcPr>
          <w:p>
            <w:pPr>
              <w:keepNext/>
              <w:widowControl/>
              <w:jc w:val="left"/>
              <w:rPr>
                <w:rFonts w:hint="eastAsia" w:cs="Arial" w:asciiTheme="minorEastAsia" w:hAnsiTheme="minorEastAsia" w:eastAsiaTheme="minorEastAsia"/>
                <w:color w:val="000000"/>
                <w:kern w:val="0"/>
                <w:sz w:val="24"/>
                <w:szCs w:val="24"/>
                <w:highlight w:val="none"/>
              </w:rPr>
            </w:pPr>
            <w:r>
              <w:rPr>
                <w:rFonts w:hint="eastAsia" w:cs="Arial" w:asciiTheme="minorEastAsia" w:hAnsiTheme="minorEastAsia"/>
                <w:color w:val="000000"/>
                <w:kern w:val="0"/>
                <w:sz w:val="24"/>
                <w:szCs w:val="24"/>
                <w:highlight w:val="none"/>
                <w:lang w:val="en-US" w:eastAsia="zh-CN"/>
              </w:rPr>
              <w:t>5000</w:t>
            </w:r>
            <w:r>
              <w:rPr>
                <w:rFonts w:hint="eastAsia" w:cs="Arial" w:asciiTheme="minorEastAsia" w:hAnsiTheme="minorEastAsia" w:eastAsiaTheme="minorEastAsia"/>
                <w:color w:val="000000"/>
                <w:kern w:val="0"/>
                <w:sz w:val="24"/>
                <w:szCs w:val="24"/>
                <w:highlight w:val="none"/>
              </w:rPr>
              <w:t>元整</w:t>
            </w:r>
          </w:p>
          <w:p>
            <w:pPr>
              <w:keepNext/>
              <w:widowControl/>
              <w:jc w:val="left"/>
              <w:rPr>
                <w:rFonts w:hint="eastAsia" w:cs="Arial" w:asciiTheme="minorEastAsia" w:hAnsiTheme="minorEastAsia" w:eastAsiaTheme="minorEastAsia"/>
                <w:color w:val="000000"/>
                <w:kern w:val="0"/>
                <w:sz w:val="24"/>
                <w:szCs w:val="24"/>
                <w:highlight w:val="none"/>
              </w:rPr>
            </w:pPr>
            <w:r>
              <w:rPr>
                <w:rFonts w:hint="eastAsia" w:cs="Arial" w:asciiTheme="minorEastAsia" w:hAnsiTheme="minorEastAsia" w:eastAsiaTheme="minorEastAsia"/>
                <w:color w:val="000000"/>
                <w:kern w:val="0"/>
                <w:sz w:val="24"/>
                <w:szCs w:val="24"/>
                <w:highlight w:val="none"/>
              </w:rPr>
              <w:t>交纳截止时间：</w:t>
            </w:r>
            <w:r>
              <w:rPr>
                <w:rFonts w:hint="eastAsia" w:cs="Arial" w:asciiTheme="minorEastAsia" w:hAnsiTheme="minorEastAsia" w:eastAsiaTheme="minorEastAsia"/>
                <w:color w:val="000000"/>
                <w:kern w:val="0"/>
                <w:sz w:val="24"/>
                <w:szCs w:val="24"/>
                <w:highlight w:val="none"/>
                <w:lang w:val="en-US" w:eastAsia="zh-CN"/>
              </w:rPr>
              <w:t>2022</w:t>
            </w:r>
            <w:r>
              <w:rPr>
                <w:rFonts w:hint="eastAsia" w:cs="Arial" w:asciiTheme="minorEastAsia" w:hAnsiTheme="minorEastAsia" w:eastAsiaTheme="minorEastAsia"/>
                <w:color w:val="000000"/>
                <w:kern w:val="0"/>
                <w:sz w:val="24"/>
                <w:szCs w:val="24"/>
                <w:highlight w:val="none"/>
              </w:rPr>
              <w:t>年</w:t>
            </w:r>
            <w:r>
              <w:rPr>
                <w:rFonts w:hint="eastAsia" w:cs="Arial" w:asciiTheme="minorEastAsia" w:hAnsiTheme="minorEastAsia"/>
                <w:color w:val="000000"/>
                <w:kern w:val="0"/>
                <w:sz w:val="24"/>
                <w:szCs w:val="24"/>
                <w:highlight w:val="none"/>
                <w:lang w:val="en-US" w:eastAsia="zh-CN"/>
              </w:rPr>
              <w:t>05</w:t>
            </w:r>
            <w:r>
              <w:rPr>
                <w:rFonts w:hint="eastAsia" w:cs="Arial" w:asciiTheme="minorEastAsia" w:hAnsiTheme="minorEastAsia" w:eastAsiaTheme="minorEastAsia"/>
                <w:color w:val="000000"/>
                <w:kern w:val="0"/>
                <w:sz w:val="24"/>
                <w:szCs w:val="24"/>
                <w:highlight w:val="none"/>
              </w:rPr>
              <w:t>月</w:t>
            </w:r>
            <w:r>
              <w:rPr>
                <w:rFonts w:hint="eastAsia" w:cs="Arial" w:asciiTheme="minorEastAsia" w:hAnsiTheme="minorEastAsia"/>
                <w:color w:val="000000"/>
                <w:kern w:val="0"/>
                <w:sz w:val="24"/>
                <w:szCs w:val="24"/>
                <w:highlight w:val="none"/>
                <w:lang w:val="en-US" w:eastAsia="zh-CN"/>
              </w:rPr>
              <w:t>11</w:t>
            </w:r>
            <w:r>
              <w:rPr>
                <w:rFonts w:hint="eastAsia" w:cs="Arial" w:asciiTheme="minorEastAsia" w:hAnsiTheme="minorEastAsia" w:eastAsiaTheme="minorEastAsia"/>
                <w:color w:val="000000"/>
                <w:kern w:val="0"/>
                <w:sz w:val="24"/>
                <w:szCs w:val="24"/>
                <w:highlight w:val="none"/>
              </w:rPr>
              <w:t>日</w:t>
            </w:r>
            <w:r>
              <w:rPr>
                <w:rFonts w:hint="eastAsia" w:cs="Arial" w:asciiTheme="minorEastAsia" w:hAnsiTheme="minorEastAsia" w:eastAsiaTheme="minorEastAsia"/>
                <w:color w:val="000000"/>
                <w:kern w:val="0"/>
                <w:sz w:val="24"/>
                <w:szCs w:val="24"/>
                <w:highlight w:val="none"/>
                <w:lang w:val="en-US" w:eastAsia="zh-CN"/>
              </w:rPr>
              <w:t>11</w:t>
            </w:r>
            <w:r>
              <w:rPr>
                <w:rFonts w:hint="eastAsia" w:cs="Arial" w:asciiTheme="minorEastAsia" w:hAnsiTheme="minorEastAsia" w:eastAsiaTheme="minorEastAsia"/>
                <w:color w:val="000000"/>
                <w:kern w:val="0"/>
                <w:sz w:val="24"/>
                <w:szCs w:val="24"/>
                <w:highlight w:val="none"/>
              </w:rPr>
              <w:t>:</w:t>
            </w:r>
            <w:r>
              <w:rPr>
                <w:rFonts w:hint="eastAsia" w:cs="Arial" w:asciiTheme="minorEastAsia" w:hAnsiTheme="minorEastAsia" w:eastAsiaTheme="minorEastAsia"/>
                <w:color w:val="000000"/>
                <w:kern w:val="0"/>
                <w:sz w:val="24"/>
                <w:szCs w:val="24"/>
                <w:highlight w:val="none"/>
                <w:lang w:val="en-US" w:eastAsia="zh-CN"/>
              </w:rPr>
              <w:t>00</w:t>
            </w:r>
            <w:r>
              <w:rPr>
                <w:rFonts w:hint="eastAsia" w:cs="Arial" w:asciiTheme="minorEastAsia" w:hAnsiTheme="minorEastAsia" w:eastAsiaTheme="minorEastAsia"/>
                <w:color w:val="000000"/>
                <w:kern w:val="0"/>
                <w:sz w:val="24"/>
                <w:szCs w:val="24"/>
                <w:highlight w:val="none"/>
              </w:rPr>
              <w:t xml:space="preserve"> (本项目投标截止时间），以投标保证金账户实际收款为准。</w:t>
            </w:r>
          </w:p>
          <w:p>
            <w:pPr>
              <w:keepNext/>
              <w:widowControl/>
              <w:jc w:val="left"/>
              <w:rPr>
                <w:rFonts w:hint="eastAsia" w:cs="Arial" w:asciiTheme="minorEastAsia" w:hAnsiTheme="minorEastAsia" w:eastAsiaTheme="minorEastAsia"/>
                <w:color w:val="000000"/>
                <w:kern w:val="0"/>
                <w:sz w:val="24"/>
                <w:szCs w:val="24"/>
                <w:highlight w:val="none"/>
              </w:rPr>
            </w:pPr>
            <w:r>
              <w:rPr>
                <w:rFonts w:hint="eastAsia" w:cs="Arial" w:asciiTheme="minorEastAsia" w:hAnsiTheme="minorEastAsia" w:eastAsiaTheme="minorEastAsia"/>
                <w:color w:val="000000"/>
                <w:kern w:val="0"/>
                <w:sz w:val="24"/>
                <w:szCs w:val="24"/>
                <w:highlight w:val="none"/>
              </w:rPr>
              <w:t>缴纳办法：投标单位必须通过基本账户转账至投标保证金账户。</w:t>
            </w:r>
          </w:p>
          <w:p>
            <w:pPr>
              <w:keepNext/>
              <w:widowControl/>
              <w:jc w:val="left"/>
              <w:rPr>
                <w:rFonts w:hint="eastAsia" w:cs="Arial" w:asciiTheme="minorEastAsia" w:hAnsiTheme="minorEastAsia" w:eastAsiaTheme="minorEastAsia"/>
                <w:color w:val="000000"/>
                <w:kern w:val="0"/>
                <w:sz w:val="24"/>
                <w:szCs w:val="24"/>
                <w:highlight w:val="none"/>
              </w:rPr>
            </w:pPr>
            <w:r>
              <w:rPr>
                <w:rFonts w:hint="eastAsia" w:cs="Arial" w:asciiTheme="minorEastAsia" w:hAnsiTheme="minorEastAsia" w:eastAsiaTheme="minorEastAsia"/>
                <w:color w:val="000000"/>
                <w:kern w:val="0"/>
                <w:sz w:val="24"/>
                <w:szCs w:val="24"/>
                <w:highlight w:val="none"/>
              </w:rPr>
              <w:t>缴纳投标保证金账户信息：</w:t>
            </w:r>
          </w:p>
          <w:p>
            <w:pPr>
              <w:keepNext/>
              <w:widowControl/>
              <w:jc w:val="left"/>
              <w:rPr>
                <w:rFonts w:hint="eastAsia" w:cs="Arial" w:asciiTheme="minorEastAsia" w:hAnsiTheme="minorEastAsia" w:eastAsiaTheme="minorEastAsia"/>
                <w:color w:val="000000"/>
                <w:kern w:val="0"/>
                <w:sz w:val="24"/>
                <w:szCs w:val="24"/>
                <w:highlight w:val="none"/>
              </w:rPr>
            </w:pPr>
            <w:r>
              <w:rPr>
                <w:rFonts w:hint="eastAsia" w:cs="Arial" w:asciiTheme="minorEastAsia" w:hAnsiTheme="minorEastAsia" w:eastAsiaTheme="minorEastAsia"/>
                <w:color w:val="000000"/>
                <w:kern w:val="0"/>
                <w:sz w:val="24"/>
                <w:szCs w:val="24"/>
                <w:highlight w:val="none"/>
              </w:rPr>
              <w:t>账户名称: 新疆德顺天诚工程管理有限公司</w:t>
            </w:r>
          </w:p>
          <w:p>
            <w:pPr>
              <w:keepNext/>
              <w:widowControl/>
              <w:jc w:val="left"/>
              <w:rPr>
                <w:rFonts w:hint="eastAsia" w:cs="Arial" w:asciiTheme="minorEastAsia" w:hAnsiTheme="minorEastAsia" w:eastAsiaTheme="minorEastAsia"/>
                <w:color w:val="000000"/>
                <w:kern w:val="0"/>
                <w:sz w:val="24"/>
                <w:szCs w:val="24"/>
                <w:highlight w:val="none"/>
              </w:rPr>
            </w:pPr>
            <w:r>
              <w:rPr>
                <w:rFonts w:hint="eastAsia" w:cs="Arial" w:asciiTheme="minorEastAsia" w:hAnsiTheme="minorEastAsia" w:eastAsiaTheme="minorEastAsia"/>
                <w:color w:val="000000"/>
                <w:kern w:val="0"/>
                <w:sz w:val="24"/>
                <w:szCs w:val="24"/>
                <w:highlight w:val="none"/>
              </w:rPr>
              <w:t>账    号: 65050188863700000488</w:t>
            </w:r>
          </w:p>
          <w:p>
            <w:pPr>
              <w:keepNext/>
              <w:widowControl/>
              <w:jc w:val="left"/>
              <w:rPr>
                <w:rFonts w:hint="eastAsia" w:cs="Arial" w:asciiTheme="minorEastAsia" w:hAnsiTheme="minorEastAsia" w:eastAsiaTheme="minorEastAsia"/>
                <w:color w:val="000000"/>
                <w:kern w:val="0"/>
                <w:sz w:val="24"/>
                <w:szCs w:val="24"/>
                <w:highlight w:val="none"/>
              </w:rPr>
            </w:pPr>
            <w:r>
              <w:rPr>
                <w:rFonts w:hint="eastAsia" w:cs="Arial" w:asciiTheme="minorEastAsia" w:hAnsiTheme="minorEastAsia" w:eastAsiaTheme="minorEastAsia"/>
                <w:color w:val="000000"/>
                <w:kern w:val="0"/>
                <w:sz w:val="24"/>
                <w:szCs w:val="24"/>
                <w:highlight w:val="none"/>
              </w:rPr>
              <w:t>开户银行: 建设银行乌鲁木齐市高新区支行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10</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投标文件份数</w:t>
            </w:r>
          </w:p>
        </w:tc>
        <w:tc>
          <w:tcPr>
            <w:tcW w:w="7073" w:type="dxa"/>
            <w:vAlign w:val="center"/>
          </w:tcPr>
          <w:p>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正本</w:t>
            </w: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份；副本</w:t>
            </w:r>
            <w:r>
              <w:rPr>
                <w:rFonts w:hint="eastAsia" w:cs="宋体" w:asciiTheme="minorEastAsia" w:hAnsiTheme="minorEastAsia"/>
                <w:kern w:val="0"/>
                <w:sz w:val="24"/>
                <w:szCs w:val="24"/>
                <w:lang w:val="en-US" w:eastAsia="zh-CN"/>
              </w:rPr>
              <w:t>3</w:t>
            </w:r>
            <w:r>
              <w:rPr>
                <w:rFonts w:hint="eastAsia" w:cs="宋体" w:asciiTheme="minorEastAsia" w:hAnsiTheme="minorEastAsia" w:eastAsiaTheme="minorEastAsia"/>
                <w:kern w:val="0"/>
                <w:sz w:val="24"/>
                <w:szCs w:val="24"/>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11</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投标文件递交</w:t>
            </w:r>
          </w:p>
        </w:tc>
        <w:tc>
          <w:tcPr>
            <w:tcW w:w="7073" w:type="dxa"/>
            <w:vAlign w:val="center"/>
          </w:tcPr>
          <w:p>
            <w:pPr>
              <w:rPr>
                <w:rFonts w:cs="宋体" w:asciiTheme="minorEastAsia" w:hAnsiTheme="minorEastAsia" w:eastAsiaTheme="minorEastAsia"/>
                <w:color w:val="000000" w:themeColor="text1"/>
                <w:kern w:val="0"/>
                <w:sz w:val="24"/>
                <w:szCs w:val="24"/>
              </w:rPr>
            </w:pPr>
            <w:r>
              <w:rPr>
                <w:rFonts w:hint="eastAsia" w:cs="宋体" w:asciiTheme="minorEastAsia" w:hAnsiTheme="minorEastAsia" w:eastAsiaTheme="minorEastAsia"/>
                <w:color w:val="000000" w:themeColor="text1"/>
                <w:kern w:val="0"/>
                <w:sz w:val="24"/>
                <w:szCs w:val="24"/>
              </w:rPr>
              <w:t>截止时间：</w:t>
            </w:r>
            <w:r>
              <w:rPr>
                <w:rFonts w:hint="eastAsia" w:cs="宋体" w:asciiTheme="minorEastAsia" w:hAnsiTheme="minorEastAsia"/>
                <w:color w:val="000000" w:themeColor="text1"/>
                <w:kern w:val="0"/>
                <w:sz w:val="24"/>
                <w:szCs w:val="24"/>
                <w:u w:val="single"/>
                <w:lang w:val="en-US" w:eastAsia="zh-CN"/>
              </w:rPr>
              <w:t>2022</w:t>
            </w:r>
            <w:r>
              <w:rPr>
                <w:rFonts w:hint="eastAsia" w:cs="宋体" w:asciiTheme="minorEastAsia" w:hAnsiTheme="minorEastAsia" w:eastAsiaTheme="minorEastAsia"/>
                <w:color w:val="000000" w:themeColor="text1"/>
                <w:kern w:val="0"/>
                <w:sz w:val="24"/>
                <w:szCs w:val="24"/>
                <w:u w:val="single"/>
              </w:rPr>
              <w:t>年</w:t>
            </w:r>
            <w:r>
              <w:rPr>
                <w:rFonts w:hint="eastAsia" w:cs="宋体" w:asciiTheme="minorEastAsia" w:hAnsiTheme="minorEastAsia"/>
                <w:color w:val="000000" w:themeColor="text1"/>
                <w:kern w:val="0"/>
                <w:sz w:val="24"/>
                <w:szCs w:val="24"/>
                <w:u w:val="single"/>
                <w:lang w:val="en-US" w:eastAsia="zh-CN"/>
              </w:rPr>
              <w:t>05</w:t>
            </w:r>
            <w:r>
              <w:rPr>
                <w:rFonts w:hint="eastAsia" w:cs="宋体" w:asciiTheme="minorEastAsia" w:hAnsiTheme="minorEastAsia" w:eastAsiaTheme="minorEastAsia"/>
                <w:color w:val="000000" w:themeColor="text1"/>
                <w:kern w:val="0"/>
                <w:sz w:val="24"/>
                <w:szCs w:val="24"/>
                <w:u w:val="single"/>
              </w:rPr>
              <w:t>月</w:t>
            </w:r>
            <w:r>
              <w:rPr>
                <w:rFonts w:hint="eastAsia" w:cs="宋体" w:asciiTheme="minorEastAsia" w:hAnsiTheme="minorEastAsia"/>
                <w:color w:val="000000" w:themeColor="text1"/>
                <w:kern w:val="0"/>
                <w:sz w:val="24"/>
                <w:szCs w:val="24"/>
                <w:u w:val="single"/>
                <w:lang w:val="en-US" w:eastAsia="zh-CN"/>
              </w:rPr>
              <w:t>11</w:t>
            </w:r>
            <w:r>
              <w:rPr>
                <w:rFonts w:hint="eastAsia" w:cs="宋体" w:asciiTheme="minorEastAsia" w:hAnsiTheme="minorEastAsia" w:eastAsiaTheme="minorEastAsia"/>
                <w:color w:val="000000" w:themeColor="text1"/>
                <w:kern w:val="0"/>
                <w:sz w:val="24"/>
                <w:szCs w:val="24"/>
                <w:u w:val="single"/>
              </w:rPr>
              <w:t>日</w:t>
            </w:r>
            <w:r>
              <w:rPr>
                <w:rFonts w:hint="eastAsia" w:cs="宋体" w:asciiTheme="minorEastAsia" w:hAnsiTheme="minorEastAsia"/>
                <w:color w:val="000000" w:themeColor="text1"/>
                <w:kern w:val="0"/>
                <w:sz w:val="24"/>
                <w:szCs w:val="24"/>
                <w:u w:val="single"/>
                <w:lang w:val="en-US" w:eastAsia="zh-CN"/>
              </w:rPr>
              <w:t>11</w:t>
            </w:r>
            <w:r>
              <w:rPr>
                <w:rFonts w:hint="eastAsia" w:cs="宋体" w:asciiTheme="minorEastAsia" w:hAnsiTheme="minorEastAsia" w:eastAsiaTheme="minorEastAsia"/>
                <w:color w:val="000000" w:themeColor="text1"/>
                <w:kern w:val="0"/>
                <w:sz w:val="24"/>
                <w:szCs w:val="24"/>
                <w:u w:val="single"/>
              </w:rPr>
              <w:t>时</w:t>
            </w:r>
            <w:r>
              <w:rPr>
                <w:rFonts w:cs="宋体" w:asciiTheme="minorEastAsia" w:hAnsiTheme="minorEastAsia" w:eastAsiaTheme="minorEastAsia"/>
                <w:color w:val="000000" w:themeColor="text1"/>
                <w:kern w:val="0"/>
                <w:sz w:val="24"/>
                <w:szCs w:val="24"/>
                <w:u w:val="single"/>
              </w:rPr>
              <w:t>00</w:t>
            </w:r>
            <w:r>
              <w:rPr>
                <w:rFonts w:hint="eastAsia" w:cs="宋体" w:asciiTheme="minorEastAsia" w:hAnsiTheme="minorEastAsia" w:eastAsiaTheme="minorEastAsia"/>
                <w:color w:val="000000" w:themeColor="text1"/>
                <w:kern w:val="0"/>
                <w:sz w:val="24"/>
                <w:szCs w:val="24"/>
                <w:u w:val="single"/>
              </w:rPr>
              <w:t>分</w:t>
            </w:r>
            <w:r>
              <w:rPr>
                <w:rFonts w:hint="eastAsia" w:cs="宋体" w:asciiTheme="minorEastAsia" w:hAnsiTheme="minorEastAsia" w:eastAsiaTheme="minorEastAsia"/>
                <w:color w:val="000000" w:themeColor="text1"/>
                <w:kern w:val="0"/>
                <w:sz w:val="24"/>
                <w:szCs w:val="24"/>
              </w:rPr>
              <w:t>（北京时间）</w:t>
            </w:r>
          </w:p>
          <w:p>
            <w:pPr>
              <w:keepNext/>
              <w:widowControl/>
              <w:jc w:val="left"/>
              <w:rPr>
                <w:rFonts w:hint="eastAsia" w:cs="Arial" w:asciiTheme="minorEastAsia" w:hAnsiTheme="minorEastAsia" w:eastAsiaTheme="minorEastAsia"/>
                <w:color w:val="000000" w:themeColor="text1"/>
                <w:kern w:val="0"/>
                <w:sz w:val="24"/>
                <w:szCs w:val="24"/>
                <w:lang w:eastAsia="zh-CN"/>
              </w:rPr>
            </w:pPr>
            <w:r>
              <w:rPr>
                <w:rFonts w:hint="eastAsia" w:cs="宋体" w:asciiTheme="minorEastAsia" w:hAnsiTheme="minorEastAsia" w:eastAsiaTheme="minorEastAsia"/>
                <w:color w:val="000000" w:themeColor="text1"/>
                <w:kern w:val="0"/>
                <w:sz w:val="24"/>
                <w:szCs w:val="24"/>
              </w:rPr>
              <w:t>递交地点：乌鲁木齐市天山区光明路 59 号时代广场 A 座 10楼F室</w:t>
            </w:r>
            <w:r>
              <w:rPr>
                <w:rFonts w:hint="eastAsia" w:cs="Times New Roman" w:asciiTheme="minorEastAsia" w:hAnsiTheme="minorEastAsia"/>
                <w:color w:val="000000" w:themeColor="text1"/>
                <w:kern w:val="0"/>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12</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开标时间及地点</w:t>
            </w:r>
          </w:p>
        </w:tc>
        <w:tc>
          <w:tcPr>
            <w:tcW w:w="7073" w:type="dxa"/>
            <w:vAlign w:val="center"/>
          </w:tcPr>
          <w:p>
            <w:pPr>
              <w:rPr>
                <w:rFonts w:cs="宋体" w:asciiTheme="minorEastAsia" w:hAnsiTheme="minorEastAsia" w:eastAsiaTheme="minorEastAsia"/>
                <w:color w:val="000000" w:themeColor="text1"/>
                <w:kern w:val="0"/>
                <w:sz w:val="24"/>
                <w:szCs w:val="24"/>
              </w:rPr>
            </w:pPr>
            <w:r>
              <w:rPr>
                <w:rFonts w:hint="eastAsia" w:cs="宋体" w:asciiTheme="minorEastAsia" w:hAnsiTheme="minorEastAsia" w:eastAsiaTheme="minorEastAsia"/>
                <w:color w:val="000000" w:themeColor="text1"/>
                <w:kern w:val="0"/>
                <w:sz w:val="24"/>
                <w:szCs w:val="24"/>
              </w:rPr>
              <w:t>时间：</w:t>
            </w:r>
            <w:r>
              <w:rPr>
                <w:rFonts w:hint="eastAsia" w:cs="宋体" w:asciiTheme="minorEastAsia" w:hAnsiTheme="minorEastAsia"/>
                <w:color w:val="000000" w:themeColor="text1"/>
                <w:kern w:val="0"/>
                <w:sz w:val="24"/>
                <w:szCs w:val="24"/>
                <w:u w:val="single"/>
                <w:lang w:val="en-US" w:eastAsia="zh-CN"/>
              </w:rPr>
              <w:t>2022</w:t>
            </w:r>
            <w:r>
              <w:rPr>
                <w:rFonts w:hint="eastAsia" w:cs="宋体" w:asciiTheme="minorEastAsia" w:hAnsiTheme="minorEastAsia" w:eastAsiaTheme="minorEastAsia"/>
                <w:color w:val="000000" w:themeColor="text1"/>
                <w:kern w:val="0"/>
                <w:sz w:val="24"/>
                <w:szCs w:val="24"/>
                <w:u w:val="single"/>
              </w:rPr>
              <w:t>年</w:t>
            </w:r>
            <w:r>
              <w:rPr>
                <w:rFonts w:hint="eastAsia" w:cs="宋体" w:asciiTheme="minorEastAsia" w:hAnsiTheme="minorEastAsia"/>
                <w:color w:val="000000" w:themeColor="text1"/>
                <w:kern w:val="0"/>
                <w:sz w:val="24"/>
                <w:szCs w:val="24"/>
                <w:u w:val="single"/>
                <w:lang w:val="en-US" w:eastAsia="zh-CN"/>
              </w:rPr>
              <w:t>05</w:t>
            </w:r>
            <w:r>
              <w:rPr>
                <w:rFonts w:hint="eastAsia" w:cs="宋体" w:asciiTheme="minorEastAsia" w:hAnsiTheme="minorEastAsia" w:eastAsiaTheme="minorEastAsia"/>
                <w:color w:val="000000" w:themeColor="text1"/>
                <w:kern w:val="0"/>
                <w:sz w:val="24"/>
                <w:szCs w:val="24"/>
                <w:u w:val="single"/>
              </w:rPr>
              <w:t>月</w:t>
            </w:r>
            <w:r>
              <w:rPr>
                <w:rFonts w:hint="eastAsia" w:cs="宋体" w:asciiTheme="minorEastAsia" w:hAnsiTheme="minorEastAsia"/>
                <w:color w:val="000000" w:themeColor="text1"/>
                <w:kern w:val="0"/>
                <w:sz w:val="24"/>
                <w:szCs w:val="24"/>
                <w:u w:val="single"/>
                <w:lang w:val="en-US" w:eastAsia="zh-CN"/>
              </w:rPr>
              <w:t>11</w:t>
            </w:r>
            <w:r>
              <w:rPr>
                <w:rFonts w:hint="eastAsia" w:cs="宋体" w:asciiTheme="minorEastAsia" w:hAnsiTheme="minorEastAsia" w:eastAsiaTheme="minorEastAsia"/>
                <w:color w:val="000000" w:themeColor="text1"/>
                <w:kern w:val="0"/>
                <w:sz w:val="24"/>
                <w:szCs w:val="24"/>
                <w:u w:val="single"/>
              </w:rPr>
              <w:t>日</w:t>
            </w:r>
            <w:r>
              <w:rPr>
                <w:rFonts w:hint="eastAsia" w:cs="宋体" w:asciiTheme="minorEastAsia" w:hAnsiTheme="minorEastAsia"/>
                <w:color w:val="000000" w:themeColor="text1"/>
                <w:kern w:val="0"/>
                <w:sz w:val="24"/>
                <w:szCs w:val="24"/>
                <w:u w:val="single"/>
                <w:lang w:val="en-US" w:eastAsia="zh-CN"/>
              </w:rPr>
              <w:t>11</w:t>
            </w:r>
            <w:r>
              <w:rPr>
                <w:rFonts w:hint="eastAsia" w:cs="宋体" w:asciiTheme="minorEastAsia" w:hAnsiTheme="minorEastAsia" w:eastAsiaTheme="minorEastAsia"/>
                <w:color w:val="000000" w:themeColor="text1"/>
                <w:kern w:val="0"/>
                <w:sz w:val="24"/>
                <w:szCs w:val="24"/>
                <w:u w:val="single"/>
              </w:rPr>
              <w:t>时</w:t>
            </w:r>
            <w:r>
              <w:rPr>
                <w:rFonts w:cs="宋体" w:asciiTheme="minorEastAsia" w:hAnsiTheme="minorEastAsia" w:eastAsiaTheme="minorEastAsia"/>
                <w:color w:val="000000" w:themeColor="text1"/>
                <w:kern w:val="0"/>
                <w:sz w:val="24"/>
                <w:szCs w:val="24"/>
                <w:u w:val="single"/>
              </w:rPr>
              <w:t>00</w:t>
            </w:r>
            <w:r>
              <w:rPr>
                <w:rFonts w:hint="eastAsia" w:cs="宋体" w:asciiTheme="minorEastAsia" w:hAnsiTheme="minorEastAsia" w:eastAsiaTheme="minorEastAsia"/>
                <w:color w:val="000000" w:themeColor="text1"/>
                <w:kern w:val="0"/>
                <w:sz w:val="24"/>
                <w:szCs w:val="24"/>
                <w:u w:val="single"/>
              </w:rPr>
              <w:t>分</w:t>
            </w:r>
            <w:r>
              <w:rPr>
                <w:rFonts w:hint="eastAsia" w:cs="宋体" w:asciiTheme="minorEastAsia" w:hAnsiTheme="minorEastAsia" w:eastAsiaTheme="minorEastAsia"/>
                <w:color w:val="000000" w:themeColor="text1"/>
                <w:kern w:val="0"/>
                <w:sz w:val="24"/>
                <w:szCs w:val="24"/>
              </w:rPr>
              <w:t>（北京时间）</w:t>
            </w:r>
          </w:p>
          <w:p>
            <w:pPr>
              <w:keepNext/>
              <w:widowControl/>
              <w:jc w:val="left"/>
              <w:rPr>
                <w:rFonts w:hint="eastAsia" w:cs="Arial" w:asciiTheme="minorEastAsia" w:hAnsiTheme="minorEastAsia" w:eastAsiaTheme="minorEastAsia"/>
                <w:color w:val="000000" w:themeColor="text1"/>
                <w:kern w:val="0"/>
                <w:sz w:val="24"/>
                <w:szCs w:val="24"/>
                <w:lang w:eastAsia="zh-CN"/>
              </w:rPr>
            </w:pPr>
            <w:r>
              <w:rPr>
                <w:rFonts w:hint="eastAsia" w:cs="宋体" w:asciiTheme="minorEastAsia" w:hAnsiTheme="minorEastAsia" w:eastAsiaTheme="minorEastAsia"/>
                <w:color w:val="000000" w:themeColor="text1"/>
                <w:kern w:val="0"/>
                <w:sz w:val="24"/>
                <w:szCs w:val="24"/>
              </w:rPr>
              <w:t>地点：乌鲁木齐市天山区光明路 59 号时代广场 A 座 10楼F室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13</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投标有效期</w:t>
            </w:r>
          </w:p>
        </w:tc>
        <w:tc>
          <w:tcPr>
            <w:tcW w:w="7073" w:type="dxa"/>
            <w:vAlign w:val="center"/>
          </w:tcPr>
          <w:p>
            <w:pPr>
              <w:keepNext/>
              <w:widowControl/>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自投标截止之日</w:t>
            </w:r>
            <w:r>
              <w:rPr>
                <w:rFonts w:cs="Arial" w:asciiTheme="minorEastAsia" w:hAnsiTheme="minorEastAsia" w:eastAsiaTheme="minorEastAsia"/>
                <w:color w:val="000000"/>
                <w:kern w:val="0"/>
                <w:sz w:val="24"/>
                <w:szCs w:val="24"/>
              </w:rPr>
              <w:t>30</w:t>
            </w:r>
            <w:r>
              <w:rPr>
                <w:rFonts w:hint="eastAsia" w:cs="Arial" w:asciiTheme="minorEastAsia" w:hAnsiTheme="minorEastAsia" w:eastAsiaTheme="minorEastAsia"/>
                <w:color w:val="000000"/>
                <w:kern w:val="0"/>
                <w:sz w:val="24"/>
                <w:szCs w:val="24"/>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14</w:t>
            </w:r>
          </w:p>
        </w:tc>
        <w:tc>
          <w:tcPr>
            <w:tcW w:w="1410" w:type="dxa"/>
            <w:vAlign w:val="center"/>
          </w:tcPr>
          <w:p>
            <w:pPr>
              <w:jc w:val="distribute"/>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招标公告发布媒介</w:t>
            </w:r>
          </w:p>
        </w:tc>
        <w:tc>
          <w:tcPr>
            <w:tcW w:w="7073" w:type="dxa"/>
            <w:vAlign w:val="center"/>
          </w:tcPr>
          <w:p>
            <w:pPr>
              <w:rPr>
                <w:rFonts w:cs="宋体" w:asciiTheme="minorEastAsia" w:hAnsiTheme="minorEastAsia" w:eastAsiaTheme="minorEastAsia"/>
                <w:kern w:val="0"/>
                <w:sz w:val="24"/>
                <w:szCs w:val="24"/>
                <w:u w:val="single"/>
              </w:rPr>
            </w:pPr>
            <w:r>
              <w:rPr>
                <w:rFonts w:hint="eastAsia" w:cs="Times New Roman" w:asciiTheme="minorEastAsia" w:hAnsiTheme="minorEastAsia"/>
                <w:kern w:val="0"/>
                <w:sz w:val="24"/>
                <w:szCs w:val="24"/>
                <w:lang w:eastAsia="zh-CN"/>
              </w:rPr>
              <w:t>新疆政府采购网</w:t>
            </w:r>
            <w:r>
              <w:rPr>
                <w:rFonts w:hint="eastAsia" w:cs="Times New Roman" w:asciiTheme="minorEastAsia" w:hAnsiTheme="minorEastAsia" w:eastAsiaTheme="minorEastAsia"/>
                <w:kern w:val="0"/>
                <w:sz w:val="24"/>
                <w:szCs w:val="24"/>
              </w:rPr>
              <w:t>（http://www.ccgp-xinjiang.gov.cn/）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15</w:t>
            </w:r>
          </w:p>
        </w:tc>
        <w:tc>
          <w:tcPr>
            <w:tcW w:w="1410" w:type="dxa"/>
            <w:vAlign w:val="center"/>
          </w:tcPr>
          <w:p>
            <w:pPr>
              <w:keepNext/>
              <w:widowControl/>
              <w:jc w:val="distribute"/>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其他</w:t>
            </w:r>
          </w:p>
        </w:tc>
        <w:tc>
          <w:tcPr>
            <w:tcW w:w="7073" w:type="dxa"/>
            <w:vAlign w:val="center"/>
          </w:tcPr>
          <w:p>
            <w:pPr>
              <w:keepNext/>
              <w:widowControl/>
              <w:jc w:val="left"/>
              <w:rPr>
                <w:rFonts w:cs="Arial" w:asciiTheme="minorEastAsia" w:hAnsiTheme="minorEastAsia" w:eastAsiaTheme="minorEastAsia"/>
                <w:color w:val="000000"/>
                <w:kern w:val="0"/>
                <w:sz w:val="24"/>
                <w:szCs w:val="24"/>
              </w:rPr>
            </w:pPr>
            <w:r>
              <w:rPr>
                <w:rFonts w:hint="eastAsia" w:cs="Arial" w:asciiTheme="minorEastAsia" w:hAnsiTheme="minorEastAsia" w:eastAsiaTheme="minorEastAsia"/>
                <w:color w:val="000000"/>
                <w:kern w:val="0"/>
                <w:sz w:val="24"/>
                <w:szCs w:val="24"/>
              </w:rPr>
              <w:t>招标代理服务费由中标人支付</w:t>
            </w:r>
          </w:p>
        </w:tc>
      </w:tr>
    </w:tbl>
    <w:p>
      <w:pPr>
        <w:rPr>
          <w:rFonts w:ascii="宋体" w:hAnsi="Calibri" w:eastAsia="宋体" w:cs="Times New Roman"/>
          <w:kern w:val="0"/>
          <w:sz w:val="24"/>
          <w:szCs w:val="24"/>
        </w:rPr>
      </w:pPr>
    </w:p>
    <w:p>
      <w:pPr>
        <w:spacing w:line="440" w:lineRule="exact"/>
        <w:jc w:val="center"/>
        <w:outlineLvl w:val="0"/>
        <w:rPr>
          <w:rFonts w:ascii="宋体" w:hAnsi="宋体" w:eastAsia="宋体" w:cs="宋体"/>
          <w:b/>
          <w:sz w:val="24"/>
          <w:szCs w:val="24"/>
        </w:rPr>
      </w:pPr>
      <w:bookmarkStart w:id="1" w:name="_BookMark_3"/>
      <w:bookmarkEnd w:id="1"/>
      <w:r>
        <w:rPr>
          <w:rFonts w:ascii="宋体" w:hAnsi="Calibri" w:eastAsia="宋体" w:cs="Arial"/>
          <w:color w:val="000000"/>
          <w:kern w:val="0"/>
          <w:sz w:val="24"/>
          <w:szCs w:val="24"/>
        </w:rPr>
        <w:br w:type="page"/>
      </w:r>
      <w:bookmarkStart w:id="2" w:name="_Toc488827451"/>
      <w:r>
        <w:rPr>
          <w:rFonts w:hint="eastAsia" w:ascii="宋体" w:hAnsi="宋体" w:eastAsia="宋体" w:cs="宋体"/>
          <w:b/>
          <w:sz w:val="24"/>
          <w:szCs w:val="24"/>
        </w:rPr>
        <w:t>第一章投标人须知</w:t>
      </w:r>
      <w:bookmarkEnd w:id="2"/>
      <w:bookmarkStart w:id="3" w:name="_BookMark_2"/>
      <w:bookmarkEnd w:id="3"/>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4" w:name="_Toc488827452"/>
      <w:r>
        <w:rPr>
          <w:rFonts w:ascii="宋体" w:hAnsi="宋体" w:eastAsia="宋体" w:cs="宋体"/>
          <w:b/>
          <w:sz w:val="24"/>
          <w:szCs w:val="24"/>
        </w:rPr>
        <w:t>1</w:t>
      </w:r>
      <w:r>
        <w:rPr>
          <w:rFonts w:hint="eastAsia" w:ascii="宋体" w:hAnsi="宋体" w:eastAsia="宋体" w:cs="宋体"/>
          <w:b/>
          <w:sz w:val="24"/>
          <w:szCs w:val="24"/>
        </w:rPr>
        <w:t>．总则</w:t>
      </w:r>
      <w:bookmarkEnd w:id="4"/>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 </w:t>
      </w:r>
      <w:r>
        <w:rPr>
          <w:rFonts w:hint="eastAsia" w:ascii="宋体" w:hAnsi="宋体" w:eastAsia="宋体" w:cs="Arial"/>
          <w:color w:val="000000"/>
          <w:kern w:val="0"/>
          <w:sz w:val="24"/>
          <w:szCs w:val="24"/>
        </w:rPr>
        <w:t>招标项目概况</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1.1.1 </w:t>
      </w:r>
      <w:r>
        <w:rPr>
          <w:rFonts w:hint="eastAsia" w:ascii="宋体" w:hAnsi="宋体" w:eastAsia="宋体" w:cs="Arial"/>
          <w:color w:val="000000"/>
          <w:kern w:val="0"/>
          <w:sz w:val="24"/>
          <w:szCs w:val="24"/>
        </w:rPr>
        <w:t>项目名称：见投标人须知前附表。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1.1.2 </w:t>
      </w:r>
      <w:r>
        <w:rPr>
          <w:rFonts w:hint="eastAsia" w:ascii="宋体" w:hAnsi="宋体" w:eastAsia="宋体" w:cs="Arial"/>
          <w:color w:val="000000"/>
          <w:kern w:val="0"/>
          <w:sz w:val="24"/>
          <w:szCs w:val="24"/>
        </w:rPr>
        <w:t>招标人：见投标人须知前附表。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1.1.3 </w:t>
      </w:r>
      <w:r>
        <w:rPr>
          <w:rFonts w:hint="eastAsia" w:ascii="宋体" w:hAnsi="宋体" w:eastAsia="宋体" w:cs="Arial"/>
          <w:color w:val="000000"/>
          <w:kern w:val="0"/>
          <w:sz w:val="24"/>
          <w:szCs w:val="24"/>
        </w:rPr>
        <w:t>招标代理机构：见投标人须知前附表。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1.1.4 </w:t>
      </w:r>
      <w:r>
        <w:rPr>
          <w:rFonts w:hint="eastAsia" w:ascii="宋体" w:hAnsi="宋体" w:eastAsia="宋体" w:cs="Arial"/>
          <w:color w:val="000000"/>
          <w:kern w:val="0"/>
          <w:sz w:val="24"/>
          <w:szCs w:val="24"/>
        </w:rPr>
        <w:t>建设地点：见投标人须知前附表。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1.1.5 </w:t>
      </w:r>
      <w:r>
        <w:rPr>
          <w:rFonts w:hint="eastAsia" w:ascii="宋体" w:hAnsi="宋体" w:eastAsia="宋体" w:cs="Arial"/>
          <w:color w:val="000000"/>
          <w:kern w:val="0"/>
          <w:sz w:val="24"/>
          <w:szCs w:val="24"/>
        </w:rPr>
        <w:t>投资额：见投标人须知前附表。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1.1.6 </w:t>
      </w:r>
      <w:r>
        <w:rPr>
          <w:rFonts w:hint="eastAsia" w:ascii="宋体" w:hAnsi="宋体" w:eastAsia="宋体" w:cs="Arial"/>
          <w:color w:val="000000"/>
          <w:kern w:val="0"/>
          <w:sz w:val="24"/>
          <w:szCs w:val="24"/>
        </w:rPr>
        <w:t>资金来源：见投标人须知前附表。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1.1.7 </w:t>
      </w:r>
      <w:r>
        <w:rPr>
          <w:rFonts w:hint="eastAsia" w:ascii="宋体" w:hAnsi="宋体" w:eastAsia="宋体" w:cs="Arial"/>
          <w:color w:val="000000"/>
          <w:kern w:val="0"/>
          <w:sz w:val="24"/>
          <w:szCs w:val="24"/>
        </w:rPr>
        <w:t>招标范围：见投标人须知前附表。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1.2 </w:t>
      </w:r>
      <w:r>
        <w:rPr>
          <w:rFonts w:hint="eastAsia" w:ascii="宋体" w:hAnsi="宋体" w:eastAsia="宋体" w:cs="Arial"/>
          <w:color w:val="000000"/>
          <w:kern w:val="0"/>
          <w:sz w:val="24"/>
          <w:szCs w:val="24"/>
        </w:rPr>
        <w:t>供货周期和供货地点</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1.2.1 </w:t>
      </w:r>
      <w:r>
        <w:rPr>
          <w:rFonts w:hint="eastAsia" w:ascii="宋体" w:hAnsi="宋体" w:eastAsia="宋体" w:cs="Arial"/>
          <w:color w:val="000000"/>
          <w:kern w:val="0"/>
          <w:sz w:val="24"/>
          <w:szCs w:val="24"/>
        </w:rPr>
        <w:t>供货周期：见投标人须知前附表。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1.2.2 </w:t>
      </w:r>
      <w:r>
        <w:rPr>
          <w:rFonts w:hint="eastAsia" w:ascii="宋体" w:hAnsi="宋体" w:eastAsia="宋体" w:cs="Arial"/>
          <w:color w:val="000000"/>
          <w:kern w:val="0"/>
          <w:sz w:val="24"/>
          <w:szCs w:val="24"/>
        </w:rPr>
        <w:t>供货地点：见投标人须知前附表。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1.2.3 </w:t>
      </w:r>
      <w:r>
        <w:rPr>
          <w:rFonts w:hint="eastAsia" w:ascii="宋体" w:hAnsi="宋体" w:eastAsia="宋体" w:cs="Arial"/>
          <w:color w:val="000000"/>
          <w:kern w:val="0"/>
          <w:sz w:val="24"/>
          <w:szCs w:val="24"/>
        </w:rPr>
        <w:t>质保期：见投标人须知前附表。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1.3 </w:t>
      </w:r>
      <w:r>
        <w:rPr>
          <w:rFonts w:hint="eastAsia" w:ascii="宋体" w:hAnsi="宋体" w:eastAsia="宋体" w:cs="Arial"/>
          <w:color w:val="000000"/>
          <w:kern w:val="0"/>
          <w:sz w:val="24"/>
          <w:szCs w:val="24"/>
        </w:rPr>
        <w:t>招标方式和资格审查方式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1.3.1 </w:t>
      </w:r>
      <w:r>
        <w:rPr>
          <w:rFonts w:hint="eastAsia" w:ascii="宋体" w:hAnsi="宋体" w:eastAsia="宋体" w:cs="Arial"/>
          <w:color w:val="000000"/>
          <w:kern w:val="0"/>
          <w:sz w:val="24"/>
          <w:szCs w:val="24"/>
        </w:rPr>
        <w:t>招标方式：见投标人须知前附表。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1.3.2 </w:t>
      </w:r>
      <w:r>
        <w:rPr>
          <w:rFonts w:hint="eastAsia" w:ascii="宋体" w:hAnsi="宋体" w:eastAsia="宋体" w:cs="Arial"/>
          <w:color w:val="000000"/>
          <w:kern w:val="0"/>
          <w:sz w:val="24"/>
          <w:szCs w:val="24"/>
        </w:rPr>
        <w:t>资格审查方式：见投标人须知前附表。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 </w:t>
      </w:r>
      <w:r>
        <w:rPr>
          <w:rFonts w:hint="eastAsia" w:ascii="宋体" w:hAnsi="宋体" w:eastAsia="宋体" w:cs="Arial"/>
          <w:kern w:val="0"/>
          <w:sz w:val="24"/>
          <w:szCs w:val="24"/>
        </w:rPr>
        <w:t>评标办法及定标方法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1.4.1 </w:t>
      </w:r>
      <w:r>
        <w:rPr>
          <w:rFonts w:hint="eastAsia" w:ascii="宋体" w:hAnsi="宋体" w:eastAsia="宋体" w:cs="Arial"/>
          <w:kern w:val="0"/>
          <w:sz w:val="24"/>
          <w:szCs w:val="24"/>
        </w:rPr>
        <w:t>评标办法：见投标人须知前附表。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1.4.2</w:t>
      </w:r>
      <w:r>
        <w:rPr>
          <w:rFonts w:hint="eastAsia" w:ascii="宋体" w:hAnsi="宋体" w:eastAsia="宋体" w:cs="Arial"/>
          <w:kern w:val="0"/>
          <w:sz w:val="24"/>
          <w:szCs w:val="24"/>
        </w:rPr>
        <w:t xml:space="preserve"> 定标方法：见投标人须知前附表。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1.5 </w:t>
      </w:r>
      <w:r>
        <w:rPr>
          <w:rFonts w:hint="eastAsia" w:ascii="宋体" w:hAnsi="宋体" w:eastAsia="宋体" w:cs="Arial"/>
          <w:color w:val="000000"/>
          <w:kern w:val="0"/>
          <w:sz w:val="24"/>
          <w:szCs w:val="24"/>
        </w:rPr>
        <w:t>投标人资格条件和能力要求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1.5.1 </w:t>
      </w:r>
      <w:r>
        <w:rPr>
          <w:rFonts w:hint="eastAsia" w:ascii="宋体" w:hAnsi="宋体" w:eastAsia="宋体" w:cs="Arial"/>
          <w:color w:val="000000"/>
          <w:kern w:val="0"/>
          <w:sz w:val="24"/>
          <w:szCs w:val="24"/>
        </w:rPr>
        <w:t>投标人应具备承担本招标项目的资格条件和能力，具体要求见投标人须知前附表。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1.5.2 </w:t>
      </w:r>
      <w:r>
        <w:rPr>
          <w:rFonts w:hint="eastAsia" w:ascii="宋体" w:hAnsi="宋体" w:eastAsia="宋体" w:cs="Arial"/>
          <w:color w:val="000000"/>
          <w:kern w:val="0"/>
          <w:sz w:val="24"/>
          <w:szCs w:val="24"/>
        </w:rPr>
        <w:t>投标人须知前附表规定接受联合体投标的，除应符合本章第</w:t>
      </w:r>
      <w:r>
        <w:rPr>
          <w:rFonts w:ascii="宋体" w:hAnsi="宋体" w:eastAsia="宋体" w:cs="Arial"/>
          <w:color w:val="000000"/>
          <w:kern w:val="0"/>
          <w:sz w:val="24"/>
          <w:szCs w:val="24"/>
        </w:rPr>
        <w:t>1.4.1</w:t>
      </w:r>
      <w:r>
        <w:rPr>
          <w:rFonts w:hint="eastAsia" w:ascii="宋体" w:hAnsi="宋体" w:eastAsia="宋体" w:cs="Arial"/>
          <w:color w:val="000000"/>
          <w:kern w:val="0"/>
          <w:sz w:val="24"/>
          <w:szCs w:val="24"/>
        </w:rPr>
        <w:t>项和投标人须知前附表的要求外，还应遵守以下规定：（</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）联合体各方应按招标文件提供的格式签订联合体协议书，明确联合体牵头人和各方权利义务；（</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）联合体各方不得再以自己名义单独或参加其他联合体在本招标项目中投标。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1.5.3 </w:t>
      </w:r>
      <w:r>
        <w:rPr>
          <w:rFonts w:hint="eastAsia" w:ascii="宋体" w:hAnsi="宋体" w:eastAsia="宋体" w:cs="Arial"/>
          <w:color w:val="000000"/>
          <w:kern w:val="0"/>
          <w:sz w:val="24"/>
          <w:szCs w:val="24"/>
        </w:rPr>
        <w:t>投标人不得存在下列情形之一，否则相关投标均应被否决：</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）与招标人存在利害关系可能影响招标公正性的法人、其他组织或者个人的；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480" w:firstLineChars="200"/>
        <w:rPr>
          <w:rFonts w:ascii="宋体" w:hAnsi="Calibri" w:eastAsia="宋体" w:cs="Arial"/>
          <w:color w:val="000000" w:themeColor="text1"/>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）法定代表人为同一个人的两个及两个以上法人，母公司、全资子公司及其控</w:t>
      </w:r>
      <w:r>
        <w:rPr>
          <w:rFonts w:hint="eastAsia" w:ascii="宋体" w:hAnsi="宋体" w:eastAsia="宋体" w:cs="Arial"/>
          <w:color w:val="000000" w:themeColor="text1"/>
          <w:kern w:val="0"/>
          <w:sz w:val="24"/>
          <w:szCs w:val="24"/>
        </w:rPr>
        <w:t>股公司，参加同一标段投标或者未划分标段的同一招标项目投标的；</w:t>
      </w:r>
    </w:p>
    <w:p>
      <w:pPr>
        <w:widowControl/>
        <w:shd w:val="clear" w:color="auto" w:fill="FFFFFF"/>
        <w:snapToGrid w:val="0"/>
        <w:spacing w:line="360" w:lineRule="auto"/>
        <w:ind w:firstLine="480" w:firstLineChars="200"/>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w:t>
      </w:r>
      <w:r>
        <w:rPr>
          <w:rFonts w:ascii="宋体" w:hAnsi="宋体" w:eastAsia="宋体" w:cs="Arial"/>
          <w:color w:val="000000" w:themeColor="text1"/>
          <w:kern w:val="0"/>
          <w:sz w:val="24"/>
          <w:szCs w:val="24"/>
        </w:rPr>
        <w:t>4</w:t>
      </w:r>
      <w:r>
        <w:rPr>
          <w:rFonts w:hint="eastAsia" w:ascii="宋体" w:hAnsi="宋体" w:eastAsia="宋体" w:cs="Arial"/>
          <w:color w:val="000000" w:themeColor="text1"/>
          <w:kern w:val="0"/>
          <w:sz w:val="24"/>
          <w:szCs w:val="24"/>
        </w:rPr>
        <w:t>）本招标项目接受代理商投标时，一个制造商对同一品牌同一型号的货物，委托两个及两个以上代理商参加投标的；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）被责令停业的；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6</w:t>
      </w:r>
      <w:r>
        <w:rPr>
          <w:rFonts w:hint="eastAsia" w:ascii="宋体" w:hAnsi="宋体" w:eastAsia="宋体" w:cs="Arial"/>
          <w:color w:val="000000"/>
          <w:kern w:val="0"/>
          <w:sz w:val="24"/>
          <w:szCs w:val="24"/>
        </w:rPr>
        <w:t>）被暂停或取消投标资格的；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7</w:t>
      </w:r>
      <w:r>
        <w:rPr>
          <w:rFonts w:hint="eastAsia" w:ascii="宋体" w:hAnsi="宋体" w:eastAsia="宋体" w:cs="Arial"/>
          <w:color w:val="000000"/>
          <w:kern w:val="0"/>
          <w:sz w:val="24"/>
          <w:szCs w:val="24"/>
        </w:rPr>
        <w:t>）财产被接管或冻结的；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8</w:t>
      </w:r>
      <w:r>
        <w:rPr>
          <w:rFonts w:hint="eastAsia" w:ascii="宋体" w:hAnsi="宋体" w:eastAsia="宋体" w:cs="Arial"/>
          <w:color w:val="000000"/>
          <w:kern w:val="0"/>
          <w:sz w:val="24"/>
          <w:szCs w:val="24"/>
        </w:rPr>
        <w:t>）在最近三年内有骗取中标或严重违约或重大质量问题的；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9</w:t>
      </w:r>
      <w:r>
        <w:rPr>
          <w:rFonts w:hint="eastAsia" w:ascii="宋体" w:hAnsi="宋体" w:eastAsia="宋体" w:cs="Arial"/>
          <w:color w:val="000000"/>
          <w:kern w:val="0"/>
          <w:sz w:val="24"/>
          <w:szCs w:val="24"/>
        </w:rPr>
        <w:t>）法律规定的其他情形。</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bookmarkStart w:id="5" w:name="_BookMark_5"/>
      <w:bookmarkEnd w:id="5"/>
      <w:r>
        <w:rPr>
          <w:rFonts w:ascii="宋体" w:hAnsi="宋体" w:eastAsia="宋体" w:cs="Arial"/>
          <w:color w:val="000000"/>
          <w:kern w:val="0"/>
          <w:sz w:val="24"/>
          <w:szCs w:val="24"/>
        </w:rPr>
        <w:t xml:space="preserve">1.6 </w:t>
      </w:r>
      <w:r>
        <w:rPr>
          <w:rFonts w:hint="eastAsia" w:ascii="宋体" w:hAnsi="宋体" w:eastAsia="宋体" w:cs="Arial"/>
          <w:color w:val="000000"/>
          <w:kern w:val="0"/>
          <w:sz w:val="24"/>
          <w:szCs w:val="24"/>
        </w:rPr>
        <w:t>费用承担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投标人应承担其编制投标文件与递交投标文件所涉及的一切费用，无论投标结果如何，招标人对上述费用不作任何补偿。招标代理咨询费由中标人支付。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1.7 </w:t>
      </w:r>
      <w:r>
        <w:rPr>
          <w:rFonts w:hint="eastAsia" w:ascii="宋体" w:hAnsi="宋体" w:eastAsia="宋体" w:cs="Arial"/>
          <w:color w:val="000000"/>
          <w:kern w:val="0"/>
          <w:sz w:val="24"/>
          <w:szCs w:val="24"/>
        </w:rPr>
        <w:t>保密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参与招标投标活动的各方应当对招标文件和投标文件中的商业和技术等秘密保密，否则应当承担相应的法律责任。</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1.8 </w:t>
      </w:r>
      <w:r>
        <w:rPr>
          <w:rFonts w:hint="eastAsia" w:ascii="宋体" w:hAnsi="宋体" w:eastAsia="宋体" w:cs="Arial"/>
          <w:color w:val="000000"/>
          <w:kern w:val="0"/>
          <w:sz w:val="24"/>
          <w:szCs w:val="24"/>
        </w:rPr>
        <w:t>语言文字</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除专用术语外，与招标投标有关的语言均应当使用中文。必要时专用术语应附有中文注释。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1.9 </w:t>
      </w:r>
      <w:r>
        <w:rPr>
          <w:rFonts w:hint="eastAsia" w:ascii="宋体" w:hAnsi="宋体" w:eastAsia="宋体" w:cs="Arial"/>
          <w:color w:val="000000"/>
          <w:kern w:val="0"/>
          <w:sz w:val="24"/>
          <w:szCs w:val="24"/>
        </w:rPr>
        <w:t>计量单位</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所有计量均采用中华人民共和国法定计量单位。</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1.10 </w:t>
      </w:r>
      <w:r>
        <w:rPr>
          <w:rFonts w:hint="eastAsia" w:ascii="宋体" w:hAnsi="宋体" w:eastAsia="宋体" w:cs="Arial"/>
          <w:color w:val="000000"/>
          <w:kern w:val="0"/>
          <w:sz w:val="24"/>
          <w:szCs w:val="24"/>
        </w:rPr>
        <w:t>踏勘现场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1.10.1 </w:t>
      </w:r>
      <w:r>
        <w:rPr>
          <w:rFonts w:hint="eastAsia" w:ascii="宋体" w:hAnsi="宋体" w:eastAsia="宋体" w:cs="Arial"/>
          <w:color w:val="000000"/>
          <w:kern w:val="0"/>
          <w:sz w:val="24"/>
          <w:szCs w:val="24"/>
        </w:rPr>
        <w:t>投标人须知前附表规定组织踏勘现场的，招标人按投标人须知前附表规定的时间、地点组织投标人踏勘项目现场。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1.10.2 </w:t>
      </w:r>
      <w:r>
        <w:rPr>
          <w:rFonts w:hint="eastAsia" w:ascii="宋体" w:hAnsi="宋体" w:eastAsia="宋体" w:cs="Arial"/>
          <w:color w:val="000000"/>
          <w:kern w:val="0"/>
          <w:sz w:val="24"/>
          <w:szCs w:val="24"/>
        </w:rPr>
        <w:t>投标人踏勘现场发生的费用自理。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1.10.3 </w:t>
      </w:r>
      <w:r>
        <w:rPr>
          <w:rFonts w:hint="eastAsia" w:ascii="宋体" w:hAnsi="宋体" w:eastAsia="宋体" w:cs="Arial"/>
          <w:color w:val="000000"/>
          <w:kern w:val="0"/>
          <w:sz w:val="24"/>
          <w:szCs w:val="24"/>
        </w:rPr>
        <w:t>除招标人的原因外，投标人自行负责在踏勘现场中所发生的人员伤亡和财产损失。</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1.10.4 </w:t>
      </w:r>
      <w:r>
        <w:rPr>
          <w:rFonts w:hint="eastAsia" w:ascii="宋体" w:hAnsi="宋体" w:eastAsia="宋体" w:cs="Arial"/>
          <w:color w:val="000000"/>
          <w:kern w:val="0"/>
          <w:sz w:val="24"/>
          <w:szCs w:val="24"/>
        </w:rPr>
        <w:t>招标人在踏勘现场中介绍的工程场地和相关的周边环境情况，供投标人在编制投标文件时参考，招标人不对投标人据此作出的判断和决策负责。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1.11 </w:t>
      </w:r>
      <w:r>
        <w:rPr>
          <w:rFonts w:hint="eastAsia" w:ascii="宋体" w:hAnsi="宋体" w:eastAsia="宋体" w:cs="Arial"/>
          <w:color w:val="000000"/>
          <w:kern w:val="0"/>
          <w:sz w:val="24"/>
          <w:szCs w:val="24"/>
        </w:rPr>
        <w:t>招标答疑会和招标澄清答疑要求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1.11.1 </w:t>
      </w:r>
      <w:r>
        <w:rPr>
          <w:rFonts w:hint="eastAsia" w:ascii="宋体" w:hAnsi="宋体" w:eastAsia="宋体" w:cs="Arial"/>
          <w:color w:val="000000"/>
          <w:kern w:val="0"/>
          <w:sz w:val="24"/>
          <w:szCs w:val="24"/>
        </w:rPr>
        <w:t>投标人须知前附表规定召开招标答疑会的，招标人按照投标人须知前附表规定的时间和地点召开招标答疑会，澄清投标人提出的问题。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1.11.2 </w:t>
      </w:r>
      <w:r>
        <w:rPr>
          <w:rFonts w:hint="eastAsia" w:ascii="宋体" w:hAnsi="宋体" w:eastAsia="宋体" w:cs="Arial"/>
          <w:color w:val="000000"/>
          <w:kern w:val="0"/>
          <w:sz w:val="24"/>
          <w:szCs w:val="24"/>
        </w:rPr>
        <w:t>投标人若有疑问，应按投标人须知前附表规定的时间、方式向招标人提出，要求招标人对招标文件予以澄清。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1.11.3 </w:t>
      </w:r>
      <w:r>
        <w:rPr>
          <w:rFonts w:hint="eastAsia" w:ascii="宋体" w:hAnsi="宋体" w:eastAsia="宋体" w:cs="Arial"/>
          <w:color w:val="000000"/>
          <w:kern w:val="0"/>
          <w:sz w:val="24"/>
          <w:szCs w:val="24"/>
        </w:rPr>
        <w:t>招标人将按照投标人须知前附表规定的时间方式对投标人的疑问作出统一的解答。</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1.12 </w:t>
      </w:r>
      <w:r>
        <w:rPr>
          <w:rFonts w:hint="eastAsia" w:ascii="宋体" w:hAnsi="宋体" w:eastAsia="宋体" w:cs="Arial"/>
          <w:color w:val="000000"/>
          <w:kern w:val="0"/>
          <w:sz w:val="24"/>
          <w:szCs w:val="24"/>
        </w:rPr>
        <w:t>偏离</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投标文件与招标文件某些要求产生偏离的，偏离应当符合招标文件规定的偏离范围和幅度。</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6" w:name="_Toc488827453"/>
      <w:r>
        <w:rPr>
          <w:rFonts w:ascii="宋体" w:hAnsi="宋体" w:eastAsia="宋体" w:cs="宋体"/>
          <w:b/>
          <w:sz w:val="24"/>
          <w:szCs w:val="24"/>
        </w:rPr>
        <w:t>2</w:t>
      </w:r>
      <w:r>
        <w:rPr>
          <w:rFonts w:hint="eastAsia" w:ascii="宋体" w:hAnsi="宋体" w:eastAsia="宋体" w:cs="宋体"/>
          <w:b/>
          <w:sz w:val="24"/>
          <w:szCs w:val="24"/>
        </w:rPr>
        <w:t>．招标文件</w:t>
      </w:r>
      <w:bookmarkEnd w:id="6"/>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2.1 </w:t>
      </w:r>
      <w:r>
        <w:rPr>
          <w:rFonts w:hint="eastAsia" w:ascii="宋体" w:hAnsi="宋体" w:eastAsia="宋体" w:cs="Arial"/>
          <w:color w:val="000000"/>
          <w:kern w:val="0"/>
          <w:sz w:val="24"/>
          <w:szCs w:val="24"/>
        </w:rPr>
        <w:t>招标文件的组成</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）投标人须知；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）评标办法；</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）合同条款及格式；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）技术标准和要求；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）投标文件格式；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6</w:t>
      </w:r>
      <w:r>
        <w:rPr>
          <w:rFonts w:hint="eastAsia" w:ascii="宋体" w:hAnsi="宋体" w:eastAsia="宋体" w:cs="Arial"/>
          <w:color w:val="000000"/>
          <w:kern w:val="0"/>
          <w:sz w:val="24"/>
          <w:szCs w:val="24"/>
        </w:rPr>
        <w:t>）补充条款。</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根据本章第</w:t>
      </w:r>
      <w:r>
        <w:rPr>
          <w:rFonts w:ascii="宋体" w:hAnsi="宋体" w:eastAsia="宋体" w:cs="Arial"/>
          <w:color w:val="000000"/>
          <w:kern w:val="0"/>
          <w:sz w:val="24"/>
          <w:szCs w:val="24"/>
        </w:rPr>
        <w:t>2.4</w:t>
      </w:r>
      <w:r>
        <w:rPr>
          <w:rFonts w:hint="eastAsia" w:ascii="宋体" w:hAnsi="宋体" w:eastAsia="宋体" w:cs="Arial"/>
          <w:color w:val="000000"/>
          <w:kern w:val="0"/>
          <w:sz w:val="24"/>
          <w:szCs w:val="24"/>
        </w:rPr>
        <w:t>款和第</w:t>
      </w:r>
      <w:r>
        <w:rPr>
          <w:rFonts w:ascii="宋体" w:hAnsi="宋体" w:eastAsia="宋体" w:cs="Arial"/>
          <w:color w:val="000000"/>
          <w:kern w:val="0"/>
          <w:sz w:val="24"/>
          <w:szCs w:val="24"/>
        </w:rPr>
        <w:t>2.5</w:t>
      </w:r>
      <w:r>
        <w:rPr>
          <w:rFonts w:hint="eastAsia" w:ascii="宋体" w:hAnsi="宋体" w:eastAsia="宋体" w:cs="Arial"/>
          <w:color w:val="000000"/>
          <w:kern w:val="0"/>
          <w:sz w:val="24"/>
          <w:szCs w:val="24"/>
        </w:rPr>
        <w:t>款对招标文件所作的澄清、修改，构成招标文件的组成部分。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2.2 </w:t>
      </w:r>
      <w:r>
        <w:rPr>
          <w:rFonts w:hint="eastAsia" w:ascii="宋体" w:hAnsi="宋体" w:eastAsia="宋体" w:cs="Arial"/>
          <w:color w:val="000000"/>
          <w:kern w:val="0"/>
          <w:sz w:val="24"/>
          <w:szCs w:val="24"/>
        </w:rPr>
        <w:t>招标文件费用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2.3 </w:t>
      </w:r>
      <w:r>
        <w:rPr>
          <w:rFonts w:hint="eastAsia" w:ascii="宋体" w:hAnsi="宋体" w:eastAsia="宋体" w:cs="Arial"/>
          <w:color w:val="000000"/>
          <w:kern w:val="0"/>
          <w:sz w:val="24"/>
          <w:szCs w:val="24"/>
        </w:rPr>
        <w:t>招标文件的获取</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凡有意参加并符合投标人须知前附表“投标人资格条件和能力”的投标人，均可在招标代理机构获取招标文件。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2.4 </w:t>
      </w:r>
      <w:r>
        <w:rPr>
          <w:rFonts w:hint="eastAsia" w:ascii="宋体" w:hAnsi="宋体" w:eastAsia="宋体" w:cs="Arial"/>
          <w:color w:val="000000"/>
          <w:kern w:val="0"/>
          <w:sz w:val="24"/>
          <w:szCs w:val="24"/>
        </w:rPr>
        <w:t>招标文件的澄清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2.4.1 </w:t>
      </w:r>
      <w:r>
        <w:rPr>
          <w:rFonts w:hint="eastAsia" w:ascii="宋体" w:hAnsi="宋体" w:eastAsia="宋体" w:cs="Arial"/>
          <w:color w:val="000000"/>
          <w:kern w:val="0"/>
          <w:sz w:val="24"/>
          <w:szCs w:val="24"/>
        </w:rPr>
        <w:t>投标人应当仔细阅读和检查招标文件的全部内容。如发现缺页或附件不全，应当及时向招标人提出，以便补齐。如有疑问，应当在投标人须知前附表规定的时间、方式向招标人提出，要求招标人对招标文件予以澄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2.4.2 </w:t>
      </w:r>
      <w:r>
        <w:rPr>
          <w:rFonts w:hint="eastAsia" w:ascii="宋体" w:hAnsi="宋体" w:eastAsia="宋体" w:cs="Arial"/>
          <w:color w:val="000000"/>
          <w:kern w:val="0"/>
          <w:sz w:val="24"/>
          <w:szCs w:val="24"/>
        </w:rPr>
        <w:t>招标文件的澄清将按照投标人须知前附表规定的时间、方式发布，但不指明澄清问题的来源。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2.5</w:t>
      </w:r>
      <w:r>
        <w:rPr>
          <w:rFonts w:hint="eastAsia" w:ascii="宋体" w:hAnsi="宋体" w:eastAsia="宋体" w:cs="Arial"/>
          <w:color w:val="000000"/>
          <w:kern w:val="0"/>
          <w:sz w:val="24"/>
          <w:szCs w:val="24"/>
        </w:rPr>
        <w:t>招标文件的修改</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2.5.1 </w:t>
      </w:r>
      <w:r>
        <w:rPr>
          <w:rFonts w:hint="eastAsia" w:ascii="宋体" w:hAnsi="宋体" w:eastAsia="宋体" w:cs="Arial"/>
          <w:color w:val="000000"/>
          <w:kern w:val="0"/>
          <w:sz w:val="24"/>
          <w:szCs w:val="24"/>
        </w:rPr>
        <w:t>招标文件的修改将按照投标人须知前附表规定的时间、方式发布，但不指明澄清问题的来源。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2.5.2 </w:t>
      </w:r>
      <w:r>
        <w:rPr>
          <w:rFonts w:hint="eastAsia" w:ascii="宋体" w:hAnsi="宋体" w:eastAsia="宋体" w:cs="Arial"/>
          <w:color w:val="000000"/>
          <w:kern w:val="0"/>
          <w:sz w:val="24"/>
          <w:szCs w:val="24"/>
        </w:rPr>
        <w:t>在投标人须知前附表规定的截止时间前，无论出于何种原因，招标代理机构和招标人可主动地或在解答潜在投标人提出的澄清问题时对招标文件进行修改。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2.5.3 </w:t>
      </w:r>
      <w:r>
        <w:rPr>
          <w:rFonts w:hint="eastAsia" w:ascii="宋体" w:hAnsi="宋体" w:eastAsia="宋体" w:cs="Arial"/>
          <w:kern w:val="0"/>
          <w:sz w:val="24"/>
          <w:szCs w:val="24"/>
        </w:rPr>
        <w:t>招标文件的修改部分是招标文件的组成部分对投标人具有约束力。</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2.5.4 </w:t>
      </w:r>
      <w:r>
        <w:rPr>
          <w:rFonts w:hint="eastAsia" w:ascii="宋体" w:hAnsi="宋体" w:eastAsia="宋体" w:cs="Arial"/>
          <w:color w:val="000000"/>
          <w:kern w:val="0"/>
          <w:sz w:val="24"/>
          <w:szCs w:val="24"/>
        </w:rPr>
        <w:t>为使投标人准备投标时有充分时间对招标文件的修改部分进行研究，招标人可适当推迟投标截止期。</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2.5.5 </w:t>
      </w:r>
      <w:r>
        <w:rPr>
          <w:rFonts w:hint="eastAsia" w:ascii="宋体" w:hAnsi="宋体" w:eastAsia="宋体" w:cs="Arial"/>
          <w:color w:val="000000"/>
          <w:kern w:val="0"/>
          <w:sz w:val="24"/>
          <w:szCs w:val="24"/>
        </w:rPr>
        <w:t>当招标人发放的招标文件及招标文件的答疑文件、修改文件、补充文件前后不一致，发生矛盾情况时，以最后发出的为准。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2.5.6 </w:t>
      </w:r>
      <w:r>
        <w:rPr>
          <w:rFonts w:hint="eastAsia" w:ascii="宋体" w:hAnsi="宋体" w:eastAsia="宋体" w:cs="Arial"/>
          <w:color w:val="000000"/>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招标人依据合同有关条款而做出的书面澄清。</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7" w:name="_BookMark_6"/>
      <w:bookmarkEnd w:id="7"/>
      <w:bookmarkStart w:id="8" w:name="_Toc488827454"/>
      <w:r>
        <w:rPr>
          <w:rFonts w:ascii="宋体" w:hAnsi="宋体" w:eastAsia="宋体" w:cs="宋体"/>
          <w:b/>
          <w:sz w:val="24"/>
          <w:szCs w:val="24"/>
        </w:rPr>
        <w:t>3</w:t>
      </w:r>
      <w:r>
        <w:rPr>
          <w:rFonts w:hint="eastAsia" w:ascii="宋体" w:hAnsi="宋体" w:eastAsia="宋体" w:cs="宋体"/>
          <w:b/>
          <w:sz w:val="24"/>
          <w:szCs w:val="24"/>
        </w:rPr>
        <w:t>．投标文件</w:t>
      </w:r>
      <w:bookmarkEnd w:id="8"/>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3.1 </w:t>
      </w:r>
      <w:r>
        <w:rPr>
          <w:rFonts w:hint="eastAsia" w:ascii="宋体" w:hAnsi="宋体" w:eastAsia="宋体" w:cs="Arial"/>
          <w:color w:val="000000"/>
          <w:kern w:val="0"/>
          <w:sz w:val="24"/>
          <w:szCs w:val="24"/>
        </w:rPr>
        <w:t>投标文件的组成</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ascii="宋体" w:hAnsi="宋体" w:eastAsia="宋体" w:cs="Arial"/>
          <w:color w:val="000000"/>
          <w:kern w:val="0"/>
          <w:sz w:val="24"/>
          <w:szCs w:val="24"/>
        </w:rPr>
        <w:t>3.1.1</w:t>
      </w:r>
      <w:r>
        <w:rPr>
          <w:rFonts w:hint="eastAsia" w:ascii="宋体" w:hAnsi="宋体" w:eastAsia="宋体" w:cs="Arial"/>
          <w:color w:val="000000"/>
          <w:kern w:val="0"/>
          <w:sz w:val="24"/>
          <w:szCs w:val="24"/>
        </w:rPr>
        <w:t>投标文件应包括下列内容：</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（1）投标承诺书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（2）法定代表人身份证明书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（3）法定代表人授权委托书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（4）投标报价单</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（5）报价明细表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（6）企业概况</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（7）投标人自201</w:t>
      </w:r>
      <w:r>
        <w:rPr>
          <w:rFonts w:hint="eastAsia" w:ascii="宋体" w:hAnsi="宋体" w:eastAsia="宋体" w:cs="Arial"/>
          <w:color w:val="000000"/>
          <w:kern w:val="0"/>
          <w:sz w:val="24"/>
          <w:szCs w:val="24"/>
          <w:lang w:val="en-US" w:eastAsia="zh-CN"/>
        </w:rPr>
        <w:t>9</w:t>
      </w:r>
      <w:r>
        <w:rPr>
          <w:rFonts w:hint="eastAsia" w:ascii="宋体" w:hAnsi="宋体" w:eastAsia="宋体" w:cs="Arial"/>
          <w:color w:val="000000"/>
          <w:kern w:val="0"/>
          <w:sz w:val="24"/>
          <w:szCs w:val="24"/>
        </w:rPr>
        <w:t>年1月1日起至今完成的类似业绩</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（8）商务条款偏离表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（9）技术条款偏离表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（10）产品介绍及项目技术方案</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（11）供货方案及技术说明</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（12）质量保证体系及措施</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（13）规格、技术参数</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（14）性能保证</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（15）售后服务承诺等，投标人认为有必要提供的其他相关资料等。</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3.1.2 </w:t>
      </w:r>
      <w:r>
        <w:rPr>
          <w:rFonts w:hint="eastAsia" w:ascii="宋体" w:hAnsi="宋体" w:eastAsia="宋体" w:cs="Arial"/>
          <w:color w:val="000000"/>
          <w:kern w:val="0"/>
          <w:sz w:val="24"/>
          <w:szCs w:val="24"/>
        </w:rPr>
        <w:t>投标人须知前附表规定不接受联合体投标的，或投标人没有组成联合体的，投标文件不包括本章第</w:t>
      </w:r>
      <w:r>
        <w:rPr>
          <w:rFonts w:ascii="宋体" w:hAnsi="宋体" w:eastAsia="宋体" w:cs="Arial"/>
          <w:color w:val="000000"/>
          <w:kern w:val="0"/>
          <w:sz w:val="24"/>
          <w:szCs w:val="24"/>
        </w:rPr>
        <w:t>3.1.1</w:t>
      </w:r>
      <w:r>
        <w:rPr>
          <w:rFonts w:hint="eastAsia" w:ascii="宋体" w:hAnsi="宋体" w:eastAsia="宋体" w:cs="Arial"/>
          <w:color w:val="000000"/>
          <w:kern w:val="0"/>
          <w:sz w:val="24"/>
          <w:szCs w:val="24"/>
        </w:rPr>
        <w:t>（</w:t>
      </w:r>
      <w:r>
        <w:rPr>
          <w:rFonts w:ascii="宋体" w:hAnsi="宋体" w:eastAsia="宋体" w:cs="Arial"/>
          <w:color w:val="000000"/>
          <w:kern w:val="0"/>
          <w:sz w:val="24"/>
          <w:szCs w:val="24"/>
        </w:rPr>
        <w:t>7</w:t>
      </w:r>
      <w:r>
        <w:rPr>
          <w:rFonts w:hint="eastAsia" w:ascii="宋体" w:hAnsi="宋体" w:eastAsia="宋体" w:cs="Arial"/>
          <w:color w:val="000000"/>
          <w:kern w:val="0"/>
          <w:sz w:val="24"/>
          <w:szCs w:val="24"/>
        </w:rPr>
        <w:t>）目所指的联合体协议书。</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 </w:t>
      </w:r>
      <w:r>
        <w:rPr>
          <w:rFonts w:hint="eastAsia" w:ascii="宋体" w:hAnsi="宋体" w:eastAsia="宋体" w:cs="Arial"/>
          <w:color w:val="000000"/>
          <w:kern w:val="0"/>
          <w:sz w:val="24"/>
          <w:szCs w:val="24"/>
        </w:rPr>
        <w:t>投标报价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3.2.1 </w:t>
      </w:r>
      <w:r>
        <w:rPr>
          <w:rFonts w:hint="eastAsia" w:ascii="宋体" w:hAnsi="宋体" w:eastAsia="宋体" w:cs="Arial"/>
          <w:color w:val="000000"/>
          <w:kern w:val="0"/>
          <w:sz w:val="24"/>
          <w:szCs w:val="24"/>
        </w:rPr>
        <w:t>投标人应当按第四章“技术标准和要求”的规定进行投标报价，并填写第五章“投标文件格式”中的投标报价明细表。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3.2.2 </w:t>
      </w:r>
      <w:r>
        <w:rPr>
          <w:rFonts w:hint="eastAsia" w:ascii="宋体" w:hAnsi="宋体" w:eastAsia="宋体" w:cs="Arial"/>
          <w:color w:val="000000"/>
          <w:kern w:val="0"/>
          <w:sz w:val="24"/>
          <w:szCs w:val="24"/>
        </w:rPr>
        <w:t>投标人的投标报价不能超出本项目投资额。</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3.2.3</w:t>
      </w:r>
      <w:r>
        <w:rPr>
          <w:rFonts w:hint="eastAsia" w:ascii="宋体" w:hAnsi="宋体" w:eastAsia="宋体" w:cs="Arial"/>
          <w:color w:val="000000"/>
          <w:kern w:val="0"/>
          <w:sz w:val="24"/>
          <w:szCs w:val="24"/>
        </w:rPr>
        <w:t>投标人的货物只允许有一个报价，招标人不接受有任何选择的报价。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3.2.4 </w:t>
      </w:r>
      <w:r>
        <w:rPr>
          <w:rFonts w:hint="eastAsia" w:ascii="宋体" w:hAnsi="宋体" w:eastAsia="宋体" w:cs="Arial"/>
          <w:color w:val="000000"/>
          <w:kern w:val="0"/>
          <w:sz w:val="24"/>
          <w:szCs w:val="24"/>
        </w:rPr>
        <w:t>投标人在投标截止时间前修改投标函中的投标总价的，应同时修改第五章“投标文件格式”中投标报价明细表中的相应报价。此修改须符合本章第</w:t>
      </w:r>
      <w:r>
        <w:rPr>
          <w:rFonts w:ascii="宋体" w:hAnsi="宋体" w:eastAsia="宋体" w:cs="Arial"/>
          <w:color w:val="000000"/>
          <w:kern w:val="0"/>
          <w:sz w:val="24"/>
          <w:szCs w:val="24"/>
        </w:rPr>
        <w:t>4.3</w:t>
      </w:r>
      <w:r>
        <w:rPr>
          <w:rFonts w:hint="eastAsia" w:ascii="宋体" w:hAnsi="宋体" w:eastAsia="宋体" w:cs="Arial"/>
          <w:color w:val="000000"/>
          <w:kern w:val="0"/>
          <w:sz w:val="24"/>
          <w:szCs w:val="24"/>
        </w:rPr>
        <w:t>款的有关要求。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3.2.5</w:t>
      </w:r>
      <w:r>
        <w:rPr>
          <w:rFonts w:hint="eastAsia" w:ascii="宋体" w:hAnsi="宋体" w:eastAsia="宋体" w:cs="Arial"/>
          <w:color w:val="000000"/>
          <w:kern w:val="0"/>
          <w:sz w:val="24"/>
          <w:szCs w:val="24"/>
        </w:rPr>
        <w:t>投标人提供的货物和服务一律用人民币报价。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 </w:t>
      </w:r>
      <w:r>
        <w:rPr>
          <w:rFonts w:hint="eastAsia" w:ascii="宋体" w:hAnsi="宋体" w:eastAsia="宋体" w:cs="Arial"/>
          <w:color w:val="000000"/>
          <w:kern w:val="0"/>
          <w:sz w:val="24"/>
          <w:szCs w:val="24"/>
        </w:rPr>
        <w:t>投标有效期</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3.3.1 </w:t>
      </w:r>
      <w:r>
        <w:rPr>
          <w:rFonts w:hint="eastAsia" w:ascii="宋体" w:hAnsi="宋体" w:eastAsia="宋体" w:cs="Arial"/>
          <w:color w:val="000000"/>
          <w:kern w:val="0"/>
          <w:sz w:val="24"/>
          <w:szCs w:val="24"/>
        </w:rPr>
        <w:t>在投标人须知前附表规定的投标有效期内，投标人不得要求撤销或修改其投标文件。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3.3.2 </w:t>
      </w:r>
      <w:r>
        <w:rPr>
          <w:rFonts w:hint="eastAsia" w:ascii="宋体" w:hAnsi="宋体" w:eastAsia="宋体" w:cs="Arial"/>
          <w:color w:val="000000"/>
          <w:kern w:val="0"/>
          <w:sz w:val="24"/>
          <w:szCs w:val="24"/>
        </w:rPr>
        <w:t>出现特殊情况需要延长投标有效期的，招标人将通知所有投标人延长投标有效期。投标人同意延长的，应当相应延长其投标保证金的有效期，但不得要求或被允许修改或撤销其投标文件；投标人拒绝延长的，其投标失效，但投标人有权收回其投标保证金。</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3.3.3 </w:t>
      </w:r>
      <w:r>
        <w:rPr>
          <w:rFonts w:hint="eastAsia" w:ascii="宋体" w:hAnsi="宋体" w:eastAsia="宋体" w:cs="Arial"/>
          <w:color w:val="000000"/>
          <w:kern w:val="0"/>
          <w:sz w:val="24"/>
          <w:szCs w:val="24"/>
        </w:rPr>
        <w:t>投标保证金的有效期与投标有效期一致。</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 </w:t>
      </w:r>
      <w:r>
        <w:rPr>
          <w:rFonts w:hint="eastAsia" w:ascii="宋体" w:hAnsi="宋体" w:eastAsia="宋体" w:cs="Arial"/>
          <w:color w:val="000000"/>
          <w:kern w:val="0"/>
          <w:sz w:val="24"/>
          <w:szCs w:val="24"/>
        </w:rPr>
        <w:t>投标保证金</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3.4.1 </w:t>
      </w:r>
      <w:r>
        <w:rPr>
          <w:rFonts w:hint="eastAsia" w:ascii="宋体" w:hAnsi="宋体" w:eastAsia="宋体" w:cs="Arial"/>
          <w:color w:val="000000"/>
          <w:kern w:val="0"/>
          <w:sz w:val="24"/>
          <w:szCs w:val="24"/>
        </w:rPr>
        <w:t>投标人应于投标截止时间前按投标人须知前附表规定数额和要求提交投标保证金，并作为其投标文件的组成部分。</w:t>
      </w:r>
      <w:r>
        <w:rPr>
          <w:rFonts w:hint="eastAsia" w:ascii="宋体" w:hAnsi="宋体" w:eastAsia="宋体" w:cs="Arial"/>
          <w:kern w:val="0"/>
          <w:sz w:val="24"/>
          <w:szCs w:val="24"/>
        </w:rPr>
        <w:t>未</w:t>
      </w:r>
      <w:r>
        <w:rPr>
          <w:rFonts w:hint="eastAsia" w:ascii="宋体" w:hAnsi="宋体" w:eastAsia="宋体" w:cs="Arial"/>
          <w:color w:val="000000"/>
          <w:kern w:val="0"/>
          <w:sz w:val="24"/>
          <w:szCs w:val="24"/>
        </w:rPr>
        <w:t>提交投标保证金的，将被视为非响应性投标而予以拒绝。联合体投标的，其投标保证金由牵头人递交，并应符合投标人须知前附表的规定。</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3.4.2 </w:t>
      </w:r>
      <w:r>
        <w:rPr>
          <w:rFonts w:hint="eastAsia" w:ascii="宋体" w:hAnsi="宋体" w:eastAsia="宋体" w:cs="Arial"/>
          <w:color w:val="000000"/>
          <w:kern w:val="0"/>
          <w:sz w:val="24"/>
          <w:szCs w:val="24"/>
        </w:rPr>
        <w:t>投标保证金是为了保护招标人免遭因投标人的行为而蒙受损失。招标人在因投标人的行为受到损害时可根据相关法律规定没收投标人的投标保证金。</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3.4.3 </w:t>
      </w:r>
      <w:r>
        <w:rPr>
          <w:rFonts w:hint="eastAsia" w:ascii="宋体" w:hAnsi="宋体" w:eastAsia="宋体" w:cs="Arial"/>
          <w:color w:val="000000"/>
          <w:kern w:val="0"/>
          <w:sz w:val="24"/>
          <w:szCs w:val="24"/>
        </w:rPr>
        <w:t>未中标的投标人的保证金将在公示期满后</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个工作日内按相关规定退还给投标人。中标人的投标保证金将在合同签订后</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日内按相关规定退还。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3.4.4 </w:t>
      </w:r>
      <w:r>
        <w:rPr>
          <w:rFonts w:hint="eastAsia" w:ascii="宋体" w:hAnsi="宋体" w:eastAsia="宋体" w:cs="Arial"/>
          <w:color w:val="000000"/>
          <w:kern w:val="0"/>
          <w:sz w:val="24"/>
          <w:szCs w:val="24"/>
        </w:rPr>
        <w:t>投标保证金有效期与投标有效期一致。</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3.4.5 </w:t>
      </w:r>
      <w:r>
        <w:rPr>
          <w:rFonts w:hint="eastAsia" w:ascii="宋体" w:hAnsi="宋体" w:eastAsia="宋体" w:cs="Arial"/>
          <w:color w:val="000000"/>
          <w:kern w:val="0"/>
          <w:sz w:val="24"/>
          <w:szCs w:val="24"/>
        </w:rPr>
        <w:t>有下列情形之一的，投标保证金不予退还：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）投标人在规定的投标有效期内撤销或修改其投标文件的；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）中标人在收到中标通知书后，无正当理由拒签合同协议书或在签订合同时提出附加条件或者更改合同实质性内容的。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）未按招标文件规定提交履约保证金的。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 </w:t>
      </w:r>
      <w:r>
        <w:rPr>
          <w:rFonts w:hint="eastAsia" w:ascii="宋体" w:hAnsi="宋体" w:eastAsia="宋体" w:cs="Arial"/>
          <w:color w:val="000000"/>
          <w:kern w:val="0"/>
          <w:sz w:val="24"/>
          <w:szCs w:val="24"/>
        </w:rPr>
        <w:t>投标文件的编制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3.5.1</w:t>
      </w:r>
      <w:r>
        <w:rPr>
          <w:rFonts w:hint="eastAsia" w:ascii="宋体" w:hAnsi="宋体" w:eastAsia="宋体" w:cs="Arial"/>
          <w:color w:val="000000"/>
          <w:kern w:val="0"/>
          <w:sz w:val="24"/>
          <w:szCs w:val="24"/>
        </w:rPr>
        <w:t>投标文件应按第五章“投标文件格式”进行编写，如有必要，可以增加附页，作为投标文件的组成部分。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color w:val="000000"/>
          <w:kern w:val="0"/>
          <w:sz w:val="24"/>
          <w:szCs w:val="24"/>
        </w:rPr>
        <w:t>3.5.2</w:t>
      </w:r>
      <w:r>
        <w:rPr>
          <w:rFonts w:hint="eastAsia" w:ascii="宋体" w:hAnsi="宋体" w:eastAsia="宋体" w:cs="Arial"/>
          <w:kern w:val="0"/>
          <w:sz w:val="24"/>
          <w:szCs w:val="24"/>
        </w:rPr>
        <w:t>投标文件应当对招标文件有关招标范围、技术与服务要求等实质性内容做出响应。</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3.5.3 </w:t>
      </w:r>
      <w:r>
        <w:rPr>
          <w:rFonts w:hint="eastAsia" w:ascii="宋体" w:hAnsi="宋体" w:eastAsia="宋体" w:cs="Arial"/>
          <w:kern w:val="0"/>
          <w:sz w:val="24"/>
          <w:szCs w:val="24"/>
        </w:rPr>
        <w:t>投标文件要求盖章处均应加盖。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3.5.4 </w:t>
      </w:r>
      <w:r>
        <w:rPr>
          <w:rFonts w:hint="eastAsia" w:ascii="宋体" w:hAnsi="宋体" w:eastAsia="宋体" w:cs="Arial"/>
          <w:kern w:val="0"/>
          <w:sz w:val="24"/>
          <w:szCs w:val="24"/>
        </w:rPr>
        <w:t>投标文件采用</w:t>
      </w:r>
      <w:r>
        <w:rPr>
          <w:rFonts w:ascii="宋体" w:hAnsi="宋体" w:eastAsia="宋体" w:cs="Arial"/>
          <w:kern w:val="0"/>
          <w:sz w:val="24"/>
          <w:szCs w:val="24"/>
        </w:rPr>
        <w:t>A4</w:t>
      </w:r>
      <w:r>
        <w:rPr>
          <w:rFonts w:hint="eastAsia" w:ascii="宋体" w:hAnsi="宋体" w:eastAsia="宋体" w:cs="Arial"/>
          <w:kern w:val="0"/>
          <w:sz w:val="24"/>
          <w:szCs w:val="24"/>
        </w:rPr>
        <w:t>打印纸。</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3.5.5 </w:t>
      </w:r>
      <w:r>
        <w:rPr>
          <w:rFonts w:hint="eastAsia" w:ascii="宋体" w:hAnsi="宋体" w:eastAsia="宋体" w:cs="Arial"/>
          <w:kern w:val="0"/>
          <w:sz w:val="24"/>
          <w:szCs w:val="24"/>
        </w:rPr>
        <w:t>投标文件可以用蓝黑墨水笔或炭素笔书写</w:t>
      </w:r>
      <w:r>
        <w:rPr>
          <w:rFonts w:ascii="宋体" w:hAnsi="Calibri" w:eastAsia="宋体" w:cs="Arial"/>
          <w:kern w:val="0"/>
          <w:sz w:val="24"/>
          <w:szCs w:val="24"/>
        </w:rPr>
        <w:t>,</w:t>
      </w:r>
      <w:r>
        <w:rPr>
          <w:rFonts w:hint="eastAsia" w:ascii="宋体" w:hAnsi="宋体" w:eastAsia="宋体" w:cs="Arial"/>
          <w:kern w:val="0"/>
          <w:sz w:val="24"/>
          <w:szCs w:val="24"/>
        </w:rPr>
        <w:t>但建议最好采用打印书写方式书写。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3.5.6 </w:t>
      </w:r>
      <w:r>
        <w:rPr>
          <w:rFonts w:hint="eastAsia" w:ascii="宋体" w:hAnsi="宋体" w:eastAsia="宋体" w:cs="Arial"/>
          <w:kern w:val="0"/>
          <w:sz w:val="24"/>
          <w:szCs w:val="24"/>
        </w:rPr>
        <w:t>投标人应按投标人须知前附表规定，编制投标文件“正本”和“副本”份数。封面必须注明“正本”或“副本”字样。</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3.5.7 </w:t>
      </w:r>
      <w:r>
        <w:rPr>
          <w:rFonts w:hint="eastAsia" w:ascii="宋体" w:hAnsi="宋体" w:eastAsia="宋体" w:cs="Arial"/>
          <w:kern w:val="0"/>
          <w:sz w:val="24"/>
          <w:szCs w:val="24"/>
        </w:rPr>
        <w:t>投标文件正本和副本如有不一致之处，以正本为准。</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9" w:name="_BookMark_7"/>
      <w:bookmarkEnd w:id="9"/>
      <w:bookmarkStart w:id="10" w:name="_Toc488827455"/>
      <w:r>
        <w:rPr>
          <w:rFonts w:ascii="宋体" w:hAnsi="宋体" w:eastAsia="宋体" w:cs="宋体"/>
          <w:b/>
          <w:sz w:val="24"/>
          <w:szCs w:val="24"/>
        </w:rPr>
        <w:t>4</w:t>
      </w:r>
      <w:r>
        <w:rPr>
          <w:rFonts w:hint="eastAsia" w:ascii="宋体" w:hAnsi="宋体" w:eastAsia="宋体" w:cs="宋体"/>
          <w:b/>
          <w:sz w:val="24"/>
          <w:szCs w:val="24"/>
        </w:rPr>
        <w:t>．投标</w:t>
      </w:r>
      <w:bookmarkEnd w:id="10"/>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4.1 </w:t>
      </w:r>
      <w:r>
        <w:rPr>
          <w:rFonts w:hint="eastAsia" w:ascii="宋体" w:hAnsi="宋体" w:eastAsia="宋体" w:cs="Arial"/>
          <w:kern w:val="0"/>
          <w:sz w:val="24"/>
          <w:szCs w:val="24"/>
        </w:rPr>
        <w:t>投标文件的密封和标识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4.1.1</w:t>
      </w:r>
      <w:r>
        <w:rPr>
          <w:rFonts w:hint="eastAsia" w:ascii="宋体" w:hAnsi="宋体" w:eastAsia="宋体" w:cs="Arial"/>
          <w:kern w:val="0"/>
          <w:sz w:val="24"/>
          <w:szCs w:val="24"/>
        </w:rPr>
        <w:t>、投标人必须将投标文件密封装袋，并在封套正面注明：“投标文件”投标字样，即“投标文件”封袋。否则整个投标文件将被视为不响应招标文件，而予以拒绝评审。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4.1.2</w:t>
      </w:r>
      <w:r>
        <w:rPr>
          <w:rFonts w:hint="eastAsia" w:ascii="宋体" w:hAnsi="宋体" w:eastAsia="宋体" w:cs="Arial"/>
          <w:kern w:val="0"/>
          <w:sz w:val="24"/>
          <w:szCs w:val="24"/>
        </w:rPr>
        <w:t>、投标文件封袋必须在开启处密封，并加盖投标人章。否则整个投标文件将被视为不响应招标文件，而予以拒绝评审。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4.1.3</w:t>
      </w:r>
      <w:r>
        <w:rPr>
          <w:rFonts w:hint="eastAsia" w:ascii="宋体" w:hAnsi="宋体" w:eastAsia="宋体" w:cs="Arial"/>
          <w:kern w:val="0"/>
          <w:sz w:val="24"/>
          <w:szCs w:val="24"/>
        </w:rPr>
        <w:t>、投标文件封袋上应写明招标人名称、投标人名称和项目名称。</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4.2 </w:t>
      </w:r>
      <w:r>
        <w:rPr>
          <w:rFonts w:hint="eastAsia" w:ascii="宋体" w:hAnsi="宋体" w:eastAsia="宋体" w:cs="Arial"/>
          <w:color w:val="000000"/>
          <w:kern w:val="0"/>
          <w:sz w:val="24"/>
          <w:szCs w:val="24"/>
        </w:rPr>
        <w:t>投标文件的递交</w:t>
      </w:r>
    </w:p>
    <w:p>
      <w:pPr>
        <w:widowControl/>
        <w:shd w:val="clear" w:color="auto" w:fill="FFFFFF"/>
        <w:snapToGrid w:val="0"/>
        <w:spacing w:line="360" w:lineRule="auto"/>
        <w:ind w:firstLine="480" w:firstLineChars="200"/>
        <w:rPr>
          <w:rFonts w:ascii="宋体" w:hAnsi="Calibri" w:eastAsia="宋体" w:cs="Arial"/>
          <w:kern w:val="0"/>
          <w:sz w:val="24"/>
          <w:szCs w:val="24"/>
        </w:rPr>
      </w:pPr>
      <w:bookmarkStart w:id="11" w:name="_Hlk23746209"/>
      <w:bookmarkStart w:id="12" w:name="_Hlk57105547"/>
      <w:bookmarkStart w:id="13" w:name="_Hlk22461104"/>
      <w:bookmarkStart w:id="14" w:name="_Hlk57105548"/>
      <w:bookmarkStart w:id="15" w:name="_Hlk23746210"/>
      <w:bookmarkStart w:id="16" w:name="_Hlk57105549"/>
      <w:bookmarkStart w:id="17" w:name="_Hlk23651229"/>
      <w:bookmarkStart w:id="18" w:name="_Hlk18820306"/>
      <w:bookmarkStart w:id="19" w:name="_Hlk22461103"/>
      <w:bookmarkStart w:id="20" w:name="_Hlk23651228"/>
      <w:bookmarkStart w:id="21" w:name="_Hlk23746208"/>
      <w:bookmarkStart w:id="22" w:name="_Hlk23651230"/>
      <w:bookmarkStart w:id="23" w:name="_Hlk22461105"/>
      <w:bookmarkStart w:id="24" w:name="_Hlk18820304"/>
      <w:bookmarkStart w:id="25" w:name="_Hlk18820305"/>
      <w:r>
        <w:rPr>
          <w:rFonts w:ascii="宋体" w:hAnsi="宋体" w:eastAsia="宋体" w:cs="Arial"/>
          <w:kern w:val="0"/>
          <w:sz w:val="24"/>
          <w:szCs w:val="24"/>
        </w:rPr>
        <w:t>4</w:t>
      </w:r>
      <w:r>
        <w:rPr>
          <w:rFonts w:ascii="宋体" w:hAnsi="Calibri" w:eastAsia="宋体" w:cs="Arial"/>
          <w:kern w:val="0"/>
          <w:sz w:val="24"/>
          <w:szCs w:val="24"/>
        </w:rPr>
        <w:t>.</w:t>
      </w:r>
      <w:r>
        <w:rPr>
          <w:rFonts w:ascii="宋体" w:hAnsi="宋体" w:eastAsia="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hint="eastAsia" w:ascii="宋体" w:hAnsi="宋体" w:eastAsia="宋体" w:cs="Arial"/>
          <w:kern w:val="0"/>
          <w:sz w:val="24"/>
          <w:szCs w:val="24"/>
        </w:rPr>
        <w:t>、投标人必须按投标人须知前附表规定，将投标文件在截止时间前送至递交地点。违反的将视为整个投标文件不响应招标文件</w:t>
      </w:r>
      <w:r>
        <w:rPr>
          <w:rFonts w:ascii="宋体" w:hAnsi="Calibri" w:eastAsia="宋体" w:cs="Arial"/>
          <w:kern w:val="0"/>
          <w:sz w:val="24"/>
          <w:szCs w:val="24"/>
        </w:rPr>
        <w:t>,</w:t>
      </w:r>
      <w:r>
        <w:rPr>
          <w:rFonts w:hint="eastAsia" w:ascii="宋体" w:hAnsi="宋体" w:eastAsia="宋体" w:cs="Arial"/>
          <w:kern w:val="0"/>
          <w:sz w:val="24"/>
          <w:szCs w:val="24"/>
        </w:rPr>
        <w:t>而予以拒绝评审。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w:t>
      </w:r>
      <w:r>
        <w:rPr>
          <w:rFonts w:ascii="宋体" w:hAnsi="Calibri" w:eastAsia="宋体" w:cs="Arial"/>
          <w:kern w:val="0"/>
          <w:sz w:val="24"/>
          <w:szCs w:val="24"/>
        </w:rPr>
        <w:t>.</w:t>
      </w:r>
      <w:r>
        <w:rPr>
          <w:rFonts w:ascii="宋体" w:hAnsi="宋体" w:eastAsia="宋体" w:cs="Arial"/>
          <w:kern w:val="0"/>
          <w:sz w:val="24"/>
          <w:szCs w:val="24"/>
        </w:rPr>
        <w:t>2.2</w:t>
      </w:r>
      <w:r>
        <w:rPr>
          <w:rFonts w:hint="eastAsia" w:ascii="宋体" w:hAnsi="宋体" w:eastAsia="宋体" w:cs="Arial"/>
          <w:kern w:val="0"/>
          <w:sz w:val="24"/>
          <w:szCs w:val="24"/>
        </w:rPr>
        <w:t>、招标人事先约定延长投标截止时间的，招标人与投标人以前的投标截止期方面的全部权利、责任和义务，将适用延长至新的投标截止期。</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4.2.4 </w:t>
      </w:r>
      <w:r>
        <w:rPr>
          <w:rFonts w:hint="eastAsia" w:ascii="宋体" w:hAnsi="宋体" w:eastAsia="宋体" w:cs="Arial"/>
          <w:color w:val="000000"/>
          <w:kern w:val="0"/>
          <w:sz w:val="24"/>
          <w:szCs w:val="24"/>
        </w:rPr>
        <w:t>投标人或其投标文件存在下列情形之一的，招标人对其投标文件不予受理：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）逾期送达的投标文件；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）未按本章第</w:t>
      </w:r>
      <w:r>
        <w:rPr>
          <w:rFonts w:ascii="宋体" w:hAnsi="宋体" w:eastAsia="宋体" w:cs="Arial"/>
          <w:color w:val="000000"/>
          <w:kern w:val="0"/>
          <w:sz w:val="24"/>
          <w:szCs w:val="24"/>
        </w:rPr>
        <w:t>4.1</w:t>
      </w:r>
      <w:r>
        <w:rPr>
          <w:rFonts w:hint="eastAsia" w:ascii="宋体" w:hAnsi="宋体" w:eastAsia="宋体" w:cs="Arial"/>
          <w:color w:val="000000"/>
          <w:kern w:val="0"/>
          <w:sz w:val="24"/>
          <w:szCs w:val="24"/>
        </w:rPr>
        <w:t>款要求密封的投标文件。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4.3 </w:t>
      </w:r>
      <w:r>
        <w:rPr>
          <w:rFonts w:hint="eastAsia" w:ascii="宋体" w:hAnsi="宋体" w:eastAsia="宋体" w:cs="Arial"/>
          <w:color w:val="000000"/>
          <w:kern w:val="0"/>
          <w:sz w:val="24"/>
          <w:szCs w:val="24"/>
        </w:rPr>
        <w:t>投标文件的修改与撤回</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4.3.1 </w:t>
      </w:r>
      <w:r>
        <w:rPr>
          <w:rFonts w:hint="eastAsia" w:ascii="宋体" w:hAnsi="宋体" w:eastAsia="宋体" w:cs="Arial"/>
          <w:color w:val="000000"/>
          <w:kern w:val="0"/>
          <w:sz w:val="24"/>
          <w:szCs w:val="24"/>
        </w:rPr>
        <w:t>投标人递交投标文件后，在规定投标截止时间前，可以书面形式向招标人递交修改或撤回其投标文件的通知。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4.3.2 </w:t>
      </w:r>
      <w:r>
        <w:rPr>
          <w:rFonts w:hint="eastAsia" w:ascii="宋体" w:hAnsi="宋体" w:eastAsia="宋体" w:cs="Arial"/>
          <w:color w:val="000000"/>
          <w:kern w:val="0"/>
          <w:sz w:val="24"/>
          <w:szCs w:val="24"/>
        </w:rPr>
        <w:t>修改的内容为投标文件的组成部分。修改的投标文件应按照本招标文件的规定进行编制、密封、标记和递交，并标明“修改”字样。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4.4</w:t>
      </w:r>
      <w:r>
        <w:rPr>
          <w:rFonts w:hint="eastAsia" w:ascii="宋体" w:hAnsi="宋体" w:eastAsia="宋体" w:cs="Arial"/>
          <w:color w:val="000000"/>
          <w:kern w:val="0"/>
          <w:sz w:val="24"/>
          <w:szCs w:val="24"/>
        </w:rPr>
        <w:t>投标文件格式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4.4.1 </w:t>
      </w:r>
      <w:r>
        <w:rPr>
          <w:rFonts w:hint="eastAsia" w:ascii="宋体" w:hAnsi="宋体" w:eastAsia="宋体" w:cs="Arial"/>
          <w:color w:val="000000"/>
          <w:kern w:val="0"/>
          <w:sz w:val="24"/>
          <w:szCs w:val="24"/>
        </w:rPr>
        <w:t>投标文件格式见第五章。</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4.4.2 </w:t>
      </w:r>
      <w:r>
        <w:rPr>
          <w:rFonts w:hint="eastAsia" w:ascii="宋体" w:hAnsi="宋体" w:eastAsia="宋体" w:cs="Arial"/>
          <w:color w:val="000000"/>
          <w:kern w:val="0"/>
          <w:sz w:val="24"/>
          <w:szCs w:val="24"/>
        </w:rPr>
        <w:t>投标人应使用本招标文件后面提供的投标文件格式填写，如不够用时，投标人可按同样格式自行编制和填补，如果本招标文件未提供格式的，投标人可自行编制。</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6" w:name="_BookMark_8"/>
      <w:bookmarkEnd w:id="26"/>
      <w:bookmarkStart w:id="27" w:name="_Toc488827456"/>
      <w:r>
        <w:rPr>
          <w:rFonts w:ascii="宋体" w:hAnsi="宋体" w:eastAsia="宋体" w:cs="宋体"/>
          <w:b/>
          <w:sz w:val="24"/>
          <w:szCs w:val="24"/>
        </w:rPr>
        <w:t>5</w:t>
      </w:r>
      <w:r>
        <w:rPr>
          <w:rFonts w:hint="eastAsia" w:ascii="宋体" w:hAnsi="宋体" w:eastAsia="宋体" w:cs="宋体"/>
          <w:b/>
          <w:sz w:val="24"/>
          <w:szCs w:val="24"/>
        </w:rPr>
        <w:t>．开标</w:t>
      </w:r>
      <w:bookmarkEnd w:id="27"/>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5.1 </w:t>
      </w:r>
      <w:r>
        <w:rPr>
          <w:rFonts w:hint="eastAsia" w:ascii="宋体" w:hAnsi="宋体" w:eastAsia="宋体" w:cs="Arial"/>
          <w:color w:val="000000"/>
          <w:kern w:val="0"/>
          <w:sz w:val="24"/>
          <w:szCs w:val="24"/>
        </w:rPr>
        <w:t>开标时间和地点</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招标人在投标人须知前附表规定的时间、地点公开开标，并邀请所有投标人的法定代表人或其授权委托人准时参加。</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5.2 </w:t>
      </w:r>
      <w:r>
        <w:rPr>
          <w:rFonts w:hint="eastAsia" w:ascii="宋体" w:hAnsi="宋体" w:eastAsia="宋体" w:cs="Arial"/>
          <w:color w:val="000000"/>
          <w:kern w:val="0"/>
          <w:sz w:val="24"/>
          <w:szCs w:val="24"/>
        </w:rPr>
        <w:t>开标注意事项</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5.2.1 </w:t>
      </w:r>
      <w:r>
        <w:rPr>
          <w:rFonts w:hint="eastAsia" w:ascii="宋体" w:hAnsi="宋体" w:eastAsia="宋体" w:cs="Arial"/>
          <w:color w:val="000000"/>
          <w:kern w:val="0"/>
          <w:sz w:val="24"/>
          <w:szCs w:val="24"/>
        </w:rPr>
        <w:t>投标人法人授权委托人应按时参加开标会并携带一份法定代表人授权委托书及有效身份证明。若是法定代表人参加开标会应携带法定代表人身份证明书及有效身份证明。</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5.3 </w:t>
      </w:r>
      <w:r>
        <w:rPr>
          <w:rFonts w:hint="eastAsia" w:ascii="宋体" w:hAnsi="宋体" w:eastAsia="宋体" w:cs="Arial"/>
          <w:color w:val="000000"/>
          <w:kern w:val="0"/>
          <w:sz w:val="24"/>
          <w:szCs w:val="24"/>
        </w:rPr>
        <w:t>开标程序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按下列程序进行开标：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）宣布开标纪律；</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）开标会主持人介绍参加会议的人员；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）公布在投标截止时间前递交投标文件的投标人名称，并点名确认投标人是否派人到场，由招标人或监督人查验投标人法定代表人身份证明书或法定代表人授权委托书及其有效身份证明；</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）由投标人代表检查投标文件的密封情况；</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）按照规定启封投标文件，公布投标人名称、投标报价、供货周期等其他实质性内容，并作记录；</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6</w:t>
      </w:r>
      <w:r>
        <w:rPr>
          <w:rFonts w:hint="eastAsia" w:ascii="宋体" w:hAnsi="宋体" w:eastAsia="宋体" w:cs="Arial"/>
          <w:color w:val="000000"/>
          <w:kern w:val="0"/>
          <w:sz w:val="24"/>
          <w:szCs w:val="24"/>
        </w:rPr>
        <w:t>）相关人员在开标记录表上签字；</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7</w:t>
      </w:r>
      <w:r>
        <w:rPr>
          <w:rFonts w:hint="eastAsia" w:ascii="宋体" w:hAnsi="宋体" w:eastAsia="宋体" w:cs="Arial"/>
          <w:color w:val="000000"/>
          <w:kern w:val="0"/>
          <w:sz w:val="24"/>
          <w:szCs w:val="24"/>
        </w:rPr>
        <w:t>）开标结束。</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8" w:name="_BookMark_9"/>
      <w:bookmarkEnd w:id="28"/>
      <w:bookmarkStart w:id="29" w:name="_Toc488827457"/>
      <w:r>
        <w:rPr>
          <w:rFonts w:ascii="宋体" w:hAnsi="宋体" w:eastAsia="宋体" w:cs="宋体"/>
          <w:b/>
          <w:sz w:val="24"/>
          <w:szCs w:val="24"/>
        </w:rPr>
        <w:t>6</w:t>
      </w:r>
      <w:r>
        <w:rPr>
          <w:rFonts w:hint="eastAsia" w:ascii="宋体" w:hAnsi="宋体" w:eastAsia="宋体" w:cs="宋体"/>
          <w:b/>
          <w:sz w:val="24"/>
          <w:szCs w:val="24"/>
        </w:rPr>
        <w:t>．评标</w:t>
      </w:r>
      <w:bookmarkEnd w:id="29"/>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6.1 </w:t>
      </w:r>
      <w:r>
        <w:rPr>
          <w:rFonts w:hint="eastAsia" w:ascii="宋体" w:hAnsi="宋体" w:eastAsia="宋体" w:cs="Arial"/>
          <w:color w:val="000000"/>
          <w:kern w:val="0"/>
          <w:sz w:val="24"/>
          <w:szCs w:val="24"/>
        </w:rPr>
        <w:t>评标委员会</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6.1.1 </w:t>
      </w:r>
      <w:r>
        <w:rPr>
          <w:rFonts w:hint="eastAsia" w:ascii="宋体" w:hAnsi="宋体" w:eastAsia="宋体" w:cs="Arial"/>
          <w:color w:val="000000"/>
          <w:kern w:val="0"/>
          <w:sz w:val="24"/>
          <w:szCs w:val="24"/>
        </w:rPr>
        <w:t>评标由招标人依法组建的评标委员会负责。评标委员会由招标人熟悉相关业务的代表，以及有关技术、经济等方面的专家组成。</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招标人评标代表须具备相关专业副高级（含）以上职称。评标委员会负责评标工作，并向招标人提交书面评标报告。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6.1.2 </w:t>
      </w:r>
      <w:r>
        <w:rPr>
          <w:rFonts w:hint="eastAsia" w:ascii="宋体" w:hAnsi="宋体" w:eastAsia="宋体" w:cs="Arial"/>
          <w:color w:val="000000"/>
          <w:kern w:val="0"/>
          <w:sz w:val="24"/>
          <w:szCs w:val="24"/>
        </w:rPr>
        <w:t>评标委员会成员有下列情形之一的，应当回避：</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）招标人或投标人的主要负责人的近亲属；</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）项目主管部门或者行政监督部门的人员；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）与投标人有经济利益关系，可能影响投标公正评审的；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）曾因在招标、评标以及其他与招标投标有关活动中从事违法行为而受过行政处罚或刑事处罚的。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6.2 </w:t>
      </w:r>
      <w:r>
        <w:rPr>
          <w:rFonts w:hint="eastAsia" w:ascii="宋体" w:hAnsi="宋体" w:eastAsia="宋体" w:cs="Arial"/>
          <w:color w:val="000000"/>
          <w:kern w:val="0"/>
          <w:sz w:val="24"/>
          <w:szCs w:val="24"/>
        </w:rPr>
        <w:t>评标原则</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评标活动遵循公平、公正、科学和择优的原则。</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6.3 </w:t>
      </w:r>
      <w:r>
        <w:rPr>
          <w:rFonts w:hint="eastAsia" w:ascii="宋体" w:hAnsi="宋体" w:eastAsia="宋体" w:cs="Arial"/>
          <w:color w:val="000000"/>
          <w:kern w:val="0"/>
          <w:sz w:val="24"/>
          <w:szCs w:val="24"/>
        </w:rPr>
        <w:t>评标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评标委员会按照第二章“评标办法”规定的方法、评审因素、标准和程序对投标文件进行评审。</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30" w:name="_BookMark_10"/>
      <w:bookmarkEnd w:id="30"/>
      <w:bookmarkStart w:id="31" w:name="_Toc488827458"/>
      <w:r>
        <w:rPr>
          <w:rFonts w:ascii="宋体" w:hAnsi="宋体" w:eastAsia="宋体" w:cs="宋体"/>
          <w:b/>
          <w:sz w:val="24"/>
          <w:szCs w:val="24"/>
        </w:rPr>
        <w:t>7</w:t>
      </w:r>
      <w:r>
        <w:rPr>
          <w:rFonts w:hint="eastAsia" w:ascii="宋体" w:hAnsi="宋体" w:eastAsia="宋体" w:cs="宋体"/>
          <w:b/>
          <w:sz w:val="24"/>
          <w:szCs w:val="24"/>
        </w:rPr>
        <w:t>．定标及合同授予</w:t>
      </w:r>
      <w:bookmarkEnd w:id="31"/>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7.1 </w:t>
      </w:r>
      <w:r>
        <w:rPr>
          <w:rFonts w:hint="eastAsia" w:ascii="宋体" w:hAnsi="宋体" w:eastAsia="宋体" w:cs="Arial"/>
          <w:color w:val="000000"/>
          <w:kern w:val="0"/>
          <w:sz w:val="24"/>
          <w:szCs w:val="24"/>
        </w:rPr>
        <w:t>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7.1.1 </w:t>
      </w:r>
      <w:r>
        <w:rPr>
          <w:rFonts w:hint="eastAsia" w:ascii="宋体" w:hAnsi="宋体" w:eastAsia="宋体" w:cs="Arial"/>
          <w:kern w:val="0"/>
          <w:sz w:val="24"/>
          <w:szCs w:val="24"/>
        </w:rPr>
        <w:t>定标方法：评标活动遵循公平、公正、科学和择优的原则。评标委员会按照最终得分由高到低的顺序推荐中标候选人。招标人依据评标委员会推荐的中标候选人确定中标人。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7.1.2</w:t>
      </w:r>
      <w:r>
        <w:rPr>
          <w:rFonts w:hint="eastAsia" w:ascii="宋体" w:hAnsi="宋体" w:eastAsia="宋体" w:cs="Arial"/>
          <w:kern w:val="0"/>
          <w:sz w:val="24"/>
          <w:szCs w:val="24"/>
        </w:rPr>
        <w:t>评标委员会对</w:t>
      </w:r>
      <w:r>
        <w:rPr>
          <w:rFonts w:hint="eastAsia" w:ascii="宋体" w:hAnsi="宋体" w:eastAsia="宋体" w:cs="Arial"/>
          <w:color w:val="000000"/>
          <w:kern w:val="0"/>
          <w:sz w:val="24"/>
          <w:szCs w:val="24"/>
        </w:rPr>
        <w:t>进入详细评审的投标人进行综合评分并按分数高低作出排序，如果有两个投标人得分相同时，以投标报价低者排名靠前。</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7.1.3 </w:t>
      </w:r>
      <w:r>
        <w:rPr>
          <w:rFonts w:hint="eastAsia" w:ascii="宋体" w:hAnsi="宋体" w:eastAsia="宋体" w:cs="Arial"/>
          <w:color w:val="000000"/>
          <w:kern w:val="0"/>
          <w:sz w:val="24"/>
          <w:szCs w:val="24"/>
        </w:rPr>
        <w:t>评标委员会推荐中标候选人，综合得分最高的投标人将被确定为第一中标候选人，以此类推，确定出规定数量的的中标候选人。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7.1.4 </w:t>
      </w:r>
      <w:r>
        <w:rPr>
          <w:rFonts w:hint="eastAsia" w:ascii="宋体" w:hAnsi="宋体" w:eastAsia="宋体" w:cs="Arial"/>
          <w:color w:val="000000"/>
          <w:kern w:val="0"/>
          <w:sz w:val="24"/>
          <w:szCs w:val="24"/>
        </w:rPr>
        <w:t>招标人从中标候选人中确定出中标人的原则：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7.2 </w:t>
      </w:r>
      <w:r>
        <w:rPr>
          <w:rFonts w:hint="eastAsia" w:ascii="宋体" w:hAnsi="宋体" w:eastAsia="宋体" w:cs="Arial"/>
          <w:color w:val="000000"/>
          <w:kern w:val="0"/>
          <w:sz w:val="24"/>
          <w:szCs w:val="24"/>
        </w:rPr>
        <w:t>中标候选人公示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在中标通知书发出前，中标候选人的情况将在招标公告发布的媒体上公示，公示期不得少于</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7.3 </w:t>
      </w:r>
      <w:r>
        <w:rPr>
          <w:rFonts w:hint="eastAsia" w:ascii="宋体" w:hAnsi="宋体" w:eastAsia="宋体" w:cs="Arial"/>
          <w:color w:val="000000"/>
          <w:kern w:val="0"/>
          <w:sz w:val="24"/>
          <w:szCs w:val="24"/>
        </w:rPr>
        <w:t>中标通知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公示期满后，招标人以书面形式向中标人发出中标通知书，并及时通知其它投标人中标结果。</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7.4 </w:t>
      </w:r>
      <w:r>
        <w:rPr>
          <w:rFonts w:hint="eastAsia" w:ascii="宋体" w:hAnsi="宋体" w:eastAsia="宋体" w:cs="Arial"/>
          <w:color w:val="000000"/>
          <w:kern w:val="0"/>
          <w:sz w:val="24"/>
          <w:szCs w:val="24"/>
        </w:rPr>
        <w:t>履约保证金</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7.4.1 </w:t>
      </w:r>
      <w:r>
        <w:rPr>
          <w:rFonts w:hint="eastAsia" w:ascii="宋体" w:hAnsi="宋体" w:eastAsia="宋体" w:cs="Arial"/>
          <w:color w:val="000000"/>
          <w:kern w:val="0"/>
          <w:sz w:val="24"/>
          <w:szCs w:val="24"/>
        </w:rPr>
        <w:t>在签订合同前，中标人应按投标人须知前附表规定的金额、形式向招标人提交履约保证金。联合体中标的，其履约保证金由牵头人提交，并应符合投标人须知前附表的规定。</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7.4.2 </w:t>
      </w:r>
      <w:r>
        <w:rPr>
          <w:rFonts w:hint="eastAsia" w:ascii="宋体" w:hAnsi="宋体" w:eastAsia="宋体" w:cs="Arial"/>
          <w:color w:val="000000"/>
          <w:kern w:val="0"/>
          <w:sz w:val="24"/>
          <w:szCs w:val="24"/>
        </w:rPr>
        <w:t>中标人不能按本章第</w:t>
      </w:r>
      <w:r>
        <w:rPr>
          <w:rFonts w:ascii="宋体" w:hAnsi="宋体" w:eastAsia="宋体" w:cs="Arial"/>
          <w:color w:val="000000"/>
          <w:kern w:val="0"/>
          <w:sz w:val="24"/>
          <w:szCs w:val="24"/>
        </w:rPr>
        <w:t>7.4.1</w:t>
      </w:r>
      <w:r>
        <w:rPr>
          <w:rFonts w:hint="eastAsia" w:ascii="宋体" w:hAnsi="宋体" w:eastAsia="宋体" w:cs="Arial"/>
          <w:color w:val="000000"/>
          <w:kern w:val="0"/>
          <w:sz w:val="24"/>
          <w:szCs w:val="24"/>
        </w:rPr>
        <w:t>项要求提交履约保证金的，视为放弃中标，其投标保证金不予退还；给招标人造成的损失超过投标保证金数额的，中标人还应当对超过部分予以赔偿。</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7.5 </w:t>
      </w:r>
      <w:r>
        <w:rPr>
          <w:rFonts w:hint="eastAsia" w:ascii="宋体" w:hAnsi="宋体" w:eastAsia="宋体" w:cs="Arial"/>
          <w:color w:val="000000"/>
          <w:kern w:val="0"/>
          <w:sz w:val="24"/>
          <w:szCs w:val="24"/>
        </w:rPr>
        <w:t>签订合同</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7.5.1</w:t>
      </w:r>
      <w:r>
        <w:rPr>
          <w:rFonts w:hint="eastAsia" w:ascii="宋体" w:hAnsi="宋体" w:eastAsia="宋体" w:cs="Arial"/>
          <w:color w:val="000000"/>
          <w:kern w:val="0"/>
          <w:sz w:val="24"/>
          <w:szCs w:val="24"/>
        </w:rPr>
        <w:t>招标人和中标人应当自中标通知书发出之日起</w:t>
      </w:r>
      <w:r>
        <w:rPr>
          <w:rFonts w:ascii="宋体" w:hAnsi="宋体" w:eastAsia="宋体" w:cs="Arial"/>
          <w:color w:val="000000"/>
          <w:kern w:val="0"/>
          <w:sz w:val="24"/>
          <w:szCs w:val="24"/>
        </w:rPr>
        <w:t>30</w:t>
      </w:r>
      <w:r>
        <w:rPr>
          <w:rFonts w:hint="eastAsia" w:ascii="宋体" w:hAnsi="宋体" w:eastAsia="宋体" w:cs="Arial"/>
          <w:color w:val="000000"/>
          <w:kern w:val="0"/>
          <w:sz w:val="24"/>
          <w:szCs w:val="24"/>
        </w:rPr>
        <w:t>天内，根据招标文件和中标人的投标文件订立书面合同。招标人和中标人不得再行订立背离合同实质性内容的其他协议。中标人无正当理由拒签合同的，招标人取消其中标资格，其投标保证金不予退还；给招标人造成的损失超过投标保证金数额的，中标人还应当对超过部分予以赔偿。</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7.5.2 </w:t>
      </w:r>
      <w:r>
        <w:rPr>
          <w:rFonts w:hint="eastAsia" w:ascii="宋体" w:hAnsi="宋体" w:eastAsia="宋体" w:cs="Arial"/>
          <w:color w:val="000000"/>
          <w:kern w:val="0"/>
          <w:sz w:val="24"/>
          <w:szCs w:val="24"/>
        </w:rPr>
        <w:t>发出中标通知书后，招标人无正当理由拒签合同的，给中标人造成损失的，还应当赔偿中标人损失。</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32" w:name="_BookMark_11"/>
      <w:bookmarkEnd w:id="32"/>
      <w:bookmarkStart w:id="33" w:name="_Toc488827459"/>
      <w:r>
        <w:rPr>
          <w:rFonts w:ascii="宋体" w:hAnsi="宋体" w:eastAsia="宋体" w:cs="宋体"/>
          <w:b/>
          <w:sz w:val="24"/>
          <w:szCs w:val="24"/>
        </w:rPr>
        <w:t>8</w:t>
      </w:r>
      <w:r>
        <w:rPr>
          <w:rFonts w:hint="eastAsia" w:ascii="宋体" w:hAnsi="宋体" w:eastAsia="宋体" w:cs="宋体"/>
          <w:b/>
          <w:sz w:val="24"/>
          <w:szCs w:val="24"/>
        </w:rPr>
        <w:t>．纪律和监督</w:t>
      </w:r>
      <w:bookmarkEnd w:id="33"/>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8.1 </w:t>
      </w:r>
      <w:r>
        <w:rPr>
          <w:rFonts w:hint="eastAsia" w:ascii="宋体" w:hAnsi="宋体" w:eastAsia="宋体" w:cs="Arial"/>
          <w:color w:val="000000"/>
          <w:kern w:val="0"/>
          <w:sz w:val="24"/>
          <w:szCs w:val="24"/>
        </w:rPr>
        <w:t>对招标人的纪律要求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招标人不得泄漏招标投标活动中应当保密的情况和资料，不得与投标人串通损害国家利益、社会公共利益或者他人合法权益。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8.2 </w:t>
      </w:r>
      <w:r>
        <w:rPr>
          <w:rFonts w:hint="eastAsia" w:ascii="宋体" w:hAnsi="宋体" w:eastAsia="宋体" w:cs="Arial"/>
          <w:color w:val="000000"/>
          <w:kern w:val="0"/>
          <w:sz w:val="24"/>
          <w:szCs w:val="24"/>
        </w:rPr>
        <w:t>对投标人的纪律要求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8.3 </w:t>
      </w:r>
      <w:r>
        <w:rPr>
          <w:rFonts w:hint="eastAsia" w:ascii="宋体" w:hAnsi="宋体" w:eastAsia="宋体" w:cs="Arial"/>
          <w:color w:val="000000"/>
          <w:kern w:val="0"/>
          <w:sz w:val="24"/>
          <w:szCs w:val="24"/>
        </w:rPr>
        <w:t>对评标委员会成员的纪律要求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二章“评标办法”没有规定的评审因素和标准进行评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8.4 </w:t>
      </w:r>
      <w:r>
        <w:rPr>
          <w:rFonts w:hint="eastAsia" w:ascii="宋体" w:hAnsi="宋体" w:eastAsia="宋体" w:cs="Arial"/>
          <w:color w:val="000000"/>
          <w:kern w:val="0"/>
          <w:sz w:val="24"/>
          <w:szCs w:val="24"/>
        </w:rPr>
        <w:t>对与评标活动有关的工作人员的纪律要求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8.5 </w:t>
      </w:r>
      <w:r>
        <w:rPr>
          <w:rFonts w:hint="eastAsia" w:ascii="宋体" w:hAnsi="宋体" w:eastAsia="宋体" w:cs="Arial"/>
          <w:color w:val="000000"/>
          <w:kern w:val="0"/>
          <w:sz w:val="24"/>
          <w:szCs w:val="24"/>
        </w:rPr>
        <w:t>监督本项目的招标投标活动及其相关当事人应当接受有管辖权的监督部门依法实施的监督。</w:t>
      </w:r>
      <w:bookmarkStart w:id="34" w:name="_BookMark_12"/>
      <w:bookmarkEnd w:id="34"/>
    </w:p>
    <w:p>
      <w:pPr>
        <w:spacing w:line="440" w:lineRule="exact"/>
        <w:jc w:val="center"/>
        <w:outlineLvl w:val="0"/>
        <w:rPr>
          <w:rFonts w:ascii="宋体" w:hAnsi="宋体" w:eastAsia="宋体" w:cs="宋体"/>
          <w:b/>
          <w:sz w:val="24"/>
          <w:szCs w:val="24"/>
        </w:rPr>
      </w:pPr>
      <w:r>
        <w:rPr>
          <w:rFonts w:ascii="宋体" w:hAnsi="Calibri" w:eastAsia="宋体" w:cs="Arial"/>
          <w:bCs/>
          <w:color w:val="000000"/>
          <w:kern w:val="0"/>
          <w:sz w:val="24"/>
          <w:szCs w:val="24"/>
        </w:rPr>
        <w:br w:type="page"/>
      </w:r>
      <w:bookmarkStart w:id="35" w:name="_Toc488827460"/>
      <w:r>
        <w:rPr>
          <w:rFonts w:hint="eastAsia" w:ascii="宋体" w:hAnsi="宋体" w:eastAsia="宋体" w:cs="宋体"/>
          <w:b/>
          <w:sz w:val="24"/>
          <w:szCs w:val="24"/>
        </w:rPr>
        <w:t>第二章评标办法（综合评</w:t>
      </w:r>
      <w:r>
        <w:rPr>
          <w:rFonts w:hint="eastAsia" w:ascii="宋体" w:hAnsi="宋体" w:eastAsia="宋体" w:cs="宋体"/>
          <w:b/>
          <w:sz w:val="24"/>
          <w:szCs w:val="24"/>
          <w:lang w:eastAsia="zh-CN"/>
        </w:rPr>
        <w:t>分</w:t>
      </w:r>
      <w:r>
        <w:rPr>
          <w:rFonts w:hint="eastAsia" w:ascii="宋体" w:hAnsi="宋体" w:eastAsia="宋体" w:cs="宋体"/>
          <w:b/>
          <w:sz w:val="24"/>
          <w:szCs w:val="24"/>
        </w:rPr>
        <w:t>法）</w:t>
      </w:r>
      <w:bookmarkEnd w:id="35"/>
    </w:p>
    <w:p>
      <w:pPr>
        <w:tabs>
          <w:tab w:val="center" w:pos="4832"/>
          <w:tab w:val="left" w:pos="7140"/>
        </w:tabs>
        <w:spacing w:line="360" w:lineRule="auto"/>
        <w:jc w:val="center"/>
        <w:outlineLvl w:val="1"/>
        <w:rPr>
          <w:rFonts w:ascii="宋体" w:hAnsi="宋体" w:eastAsia="宋体" w:cs="宋体"/>
          <w:b/>
          <w:sz w:val="24"/>
          <w:szCs w:val="24"/>
        </w:rPr>
      </w:pPr>
      <w:bookmarkStart w:id="36" w:name="_BookMark_1"/>
      <w:bookmarkEnd w:id="36"/>
      <w:bookmarkStart w:id="37" w:name="_Toc488827461"/>
      <w:r>
        <w:rPr>
          <w:rFonts w:hint="eastAsia" w:ascii="宋体" w:hAnsi="宋体" w:eastAsia="宋体" w:cs="宋体"/>
          <w:b/>
          <w:sz w:val="24"/>
          <w:szCs w:val="24"/>
        </w:rPr>
        <w:t>评标办法前附表</w:t>
      </w:r>
      <w:bookmarkEnd w:id="37"/>
    </w:p>
    <w:tbl>
      <w:tblPr>
        <w:tblStyle w:val="26"/>
        <w:tblW w:w="0" w:type="auto"/>
        <w:jc w:val="center"/>
        <w:tblLayout w:type="autofit"/>
        <w:tblCellMar>
          <w:top w:w="0" w:type="dxa"/>
          <w:left w:w="0" w:type="dxa"/>
          <w:bottom w:w="0" w:type="dxa"/>
          <w:right w:w="0" w:type="dxa"/>
        </w:tblCellMar>
      </w:tblPr>
      <w:tblGrid>
        <w:gridCol w:w="610"/>
        <w:gridCol w:w="2771"/>
        <w:gridCol w:w="5745"/>
      </w:tblGrid>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序号</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条款内容</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编列内容</w:t>
            </w:r>
          </w:p>
        </w:tc>
      </w:tr>
      <w:tr>
        <w:tblPrEx>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1</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分值构成及权重</w:t>
            </w:r>
          </w:p>
          <w:p>
            <w:pPr>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总分</w:t>
            </w:r>
            <w:r>
              <w:rPr>
                <w:rFonts w:ascii="宋体" w:hAnsi="宋体" w:eastAsia="宋体" w:cs="Times New Roman"/>
                <w:sz w:val="24"/>
                <w:szCs w:val="24"/>
              </w:rPr>
              <w:t>100</w:t>
            </w:r>
            <w:r>
              <w:rPr>
                <w:rFonts w:hint="eastAsia" w:ascii="宋体" w:hAnsi="宋体" w:eastAsia="宋体" w:cs="Times New Roman"/>
                <w:sz w:val="24"/>
                <w:szCs w:val="24"/>
              </w:rPr>
              <w:t>分</w:t>
            </w:r>
            <w:r>
              <w:rPr>
                <w:rFonts w:ascii="宋体" w:hAnsi="宋体" w:eastAsia="宋体" w:cs="Times New Roman"/>
                <w:sz w:val="24"/>
                <w:szCs w:val="24"/>
              </w:rPr>
              <w:t>)</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详细评审部分权重</w:t>
            </w:r>
            <w:r>
              <w:rPr>
                <w:rFonts w:ascii="宋体" w:hAnsi="宋体" w:eastAsia="宋体" w:cs="Times New Roman"/>
                <w:sz w:val="24"/>
                <w:szCs w:val="24"/>
              </w:rPr>
              <w:t>Q1=70%</w:t>
            </w:r>
          </w:p>
          <w:p>
            <w:pP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投标报价权重</w:t>
            </w:r>
            <w:r>
              <w:rPr>
                <w:rFonts w:ascii="宋体" w:hAnsi="宋体" w:eastAsia="宋体" w:cs="Times New Roman"/>
                <w:sz w:val="24"/>
                <w:szCs w:val="24"/>
              </w:rPr>
              <w:t>Q2=30%</w:t>
            </w:r>
          </w:p>
        </w:tc>
      </w:tr>
      <w:tr>
        <w:tblPrEx>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2</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资格审查</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详见资格审查评审标准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3</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初步评审</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详见初步评审标准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4</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详细评审</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详见详细评审标准</w:t>
            </w:r>
          </w:p>
        </w:tc>
      </w:tr>
      <w:tr>
        <w:tblPrEx>
          <w:tblCellMar>
            <w:top w:w="0" w:type="dxa"/>
            <w:left w:w="0" w:type="dxa"/>
            <w:bottom w:w="0" w:type="dxa"/>
            <w:right w:w="0" w:type="dxa"/>
          </w:tblCellMar>
        </w:tblPrEx>
        <w:trPr>
          <w:cantSplit/>
          <w:trHeight w:val="3729"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5</w:t>
            </w:r>
          </w:p>
        </w:tc>
        <w:tc>
          <w:tcPr>
            <w:tcW w:w="2783"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投标报价得分计算方法</w:t>
            </w:r>
          </w:p>
        </w:tc>
        <w:tc>
          <w:tcPr>
            <w:tcW w:w="576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pPr>
              <w:rPr>
                <w:rFonts w:ascii="宋体" w:hAnsi="宋体" w:eastAsia="宋体" w:cs="Times New Roman"/>
                <w:bCs/>
                <w:sz w:val="24"/>
                <w:szCs w:val="24"/>
              </w:rPr>
            </w:pPr>
            <w:r>
              <w:rPr>
                <w:rFonts w:hint="eastAsia" w:ascii="宋体" w:hAnsi="宋体" w:eastAsia="宋体" w:cs="Times New Roman"/>
                <w:bCs/>
                <w:sz w:val="24"/>
                <w:szCs w:val="24"/>
              </w:rPr>
              <w:t>1.投标报价的确定</w:t>
            </w:r>
          </w:p>
          <w:p>
            <w:pPr>
              <w:rPr>
                <w:rFonts w:ascii="宋体" w:hAnsi="宋体" w:eastAsia="宋体" w:cs="Times New Roman"/>
                <w:bCs/>
                <w:sz w:val="24"/>
                <w:szCs w:val="24"/>
              </w:rPr>
            </w:pPr>
            <w:r>
              <w:rPr>
                <w:rFonts w:hint="eastAsia" w:ascii="宋体" w:hAnsi="宋体" w:eastAsia="宋体" w:cs="Times New Roman"/>
                <w:bCs/>
                <w:sz w:val="24"/>
                <w:szCs w:val="24"/>
              </w:rPr>
              <w:t>投标报价＝经评审后的投标报价</w:t>
            </w:r>
          </w:p>
          <w:p>
            <w:pPr>
              <w:rPr>
                <w:rFonts w:ascii="宋体" w:hAnsi="宋体" w:eastAsia="宋体" w:cs="Times New Roman"/>
                <w:bCs/>
                <w:sz w:val="24"/>
                <w:szCs w:val="24"/>
              </w:rPr>
            </w:pPr>
            <w:r>
              <w:rPr>
                <w:rFonts w:hint="eastAsia" w:ascii="宋体" w:hAnsi="宋体" w:eastAsia="宋体" w:cs="Times New Roman"/>
                <w:bCs/>
                <w:sz w:val="24"/>
                <w:szCs w:val="24"/>
              </w:rPr>
              <w:t>2.有效投标报价</w:t>
            </w:r>
          </w:p>
          <w:p>
            <w:pPr>
              <w:rPr>
                <w:rFonts w:ascii="宋体" w:hAnsi="宋体" w:eastAsia="宋体" w:cs="Times New Roman"/>
                <w:bCs/>
                <w:sz w:val="24"/>
                <w:szCs w:val="24"/>
              </w:rPr>
            </w:pPr>
            <w:r>
              <w:rPr>
                <w:rFonts w:hint="eastAsia" w:ascii="宋体" w:hAnsi="宋体" w:eastAsia="宋体" w:cs="Times New Roman"/>
                <w:bCs/>
                <w:sz w:val="24"/>
                <w:szCs w:val="24"/>
              </w:rPr>
              <w:t>有效投标报价是指通过评标委员会资格审查、</w:t>
            </w:r>
            <w:r>
              <w:rPr>
                <w:rFonts w:hint="eastAsia" w:ascii="宋体" w:hAnsi="宋体" w:eastAsia="宋体" w:cs="Times New Roman"/>
                <w:sz w:val="24"/>
                <w:szCs w:val="24"/>
              </w:rPr>
              <w:t>商务标完备性及符合性审查</w:t>
            </w:r>
            <w:r>
              <w:rPr>
                <w:rFonts w:hint="eastAsia" w:ascii="宋体" w:hAnsi="宋体" w:eastAsia="宋体" w:cs="Times New Roman"/>
                <w:bCs/>
                <w:sz w:val="24"/>
                <w:szCs w:val="24"/>
              </w:rPr>
              <w:t>、技术标初步评审、经济标初步评审合格后的投标人的投标报价</w:t>
            </w:r>
          </w:p>
          <w:p>
            <w:pPr>
              <w:rPr>
                <w:rFonts w:ascii="宋体" w:hAnsi="宋体" w:eastAsia="宋体" w:cs="Times New Roman"/>
                <w:bCs/>
                <w:sz w:val="24"/>
                <w:szCs w:val="24"/>
              </w:rPr>
            </w:pPr>
            <w:r>
              <w:rPr>
                <w:rFonts w:hint="eastAsia" w:ascii="宋体" w:hAnsi="宋体" w:eastAsia="宋体" w:cs="Times New Roman"/>
                <w:bCs/>
                <w:sz w:val="24"/>
                <w:szCs w:val="24"/>
              </w:rPr>
              <w:t>3.评标基准价的确定</w:t>
            </w:r>
          </w:p>
          <w:p>
            <w:pPr>
              <w:rPr>
                <w:rFonts w:ascii="宋体" w:hAnsi="宋体" w:eastAsia="宋体" w:cs="Times New Roman"/>
                <w:bCs/>
                <w:sz w:val="24"/>
                <w:szCs w:val="24"/>
              </w:rPr>
            </w:pPr>
            <w:r>
              <w:rPr>
                <w:rFonts w:ascii="宋体" w:hAnsi="宋体" w:eastAsia="宋体" w:cs="Times New Roman"/>
                <w:bCs/>
                <w:sz w:val="24"/>
                <w:szCs w:val="24"/>
              </w:rPr>
              <w:t>满足招标文件要求且投标价格最低的投标报价为评标基准价</w:t>
            </w:r>
          </w:p>
          <w:p>
            <w:pPr>
              <w:rPr>
                <w:rFonts w:ascii="宋体" w:hAnsi="宋体" w:eastAsia="宋体" w:cs="Times New Roman"/>
                <w:bCs/>
                <w:sz w:val="24"/>
                <w:szCs w:val="24"/>
              </w:rPr>
            </w:pPr>
            <w:r>
              <w:rPr>
                <w:rFonts w:hint="eastAsia" w:ascii="宋体" w:hAnsi="宋体" w:eastAsia="宋体" w:cs="Times New Roman"/>
                <w:bCs/>
                <w:sz w:val="24"/>
                <w:szCs w:val="24"/>
              </w:rPr>
              <w:t>4.</w:t>
            </w:r>
            <w:r>
              <w:rPr>
                <w:rFonts w:ascii="宋体" w:hAnsi="宋体" w:eastAsia="宋体" w:cs="Times New Roman"/>
                <w:bCs/>
                <w:sz w:val="24"/>
                <w:szCs w:val="24"/>
              </w:rPr>
              <w:t>投标报价得分=(评标基准价／投标报价)×100×</w:t>
            </w:r>
            <w:r>
              <w:rPr>
                <w:rFonts w:hint="eastAsia" w:ascii="宋体" w:hAnsi="宋体" w:eastAsia="宋体" w:cs="Times New Roman"/>
                <w:bCs/>
                <w:sz w:val="24"/>
                <w:szCs w:val="24"/>
              </w:rPr>
              <w:t>Q2</w:t>
            </w:r>
          </w:p>
          <w:p>
            <w:pPr>
              <w:rPr>
                <w:rFonts w:ascii="宋体" w:hAnsi="Calibri" w:eastAsia="宋体" w:cs="Times New Roman"/>
                <w:sz w:val="24"/>
                <w:szCs w:val="24"/>
              </w:rPr>
            </w:pPr>
            <w:r>
              <w:rPr>
                <w:rFonts w:hint="eastAsia" w:ascii="宋体" w:hAnsi="宋体" w:eastAsia="宋体" w:cs="Times New Roman"/>
                <w:bCs/>
                <w:sz w:val="24"/>
                <w:szCs w:val="24"/>
              </w:rPr>
              <w:t>5.</w:t>
            </w:r>
            <w:r>
              <w:rPr>
                <w:rFonts w:hint="eastAsia" w:ascii="宋体" w:hAnsi="宋体" w:eastAsia="宋体" w:cs="Times New Roman"/>
                <w:sz w:val="24"/>
                <w:szCs w:val="24"/>
              </w:rPr>
              <w:t>评分分值计算保留小数点后两位，小数点后三位“四舍五入”。</w:t>
            </w:r>
          </w:p>
        </w:tc>
      </w:tr>
    </w:tbl>
    <w:p>
      <w:pPr>
        <w:tabs>
          <w:tab w:val="center" w:pos="4832"/>
          <w:tab w:val="left" w:pos="7140"/>
        </w:tabs>
        <w:spacing w:line="360" w:lineRule="auto"/>
        <w:jc w:val="center"/>
        <w:outlineLvl w:val="1"/>
        <w:rPr>
          <w:rFonts w:ascii="宋体" w:hAnsi="宋体" w:eastAsia="宋体" w:cs="宋体"/>
          <w:b/>
          <w:sz w:val="24"/>
          <w:szCs w:val="24"/>
        </w:rPr>
      </w:pPr>
      <w:bookmarkStart w:id="38" w:name="_Toc488827462"/>
      <w:r>
        <w:rPr>
          <w:rFonts w:hint="eastAsia" w:ascii="宋体" w:hAnsi="宋体" w:eastAsia="宋体" w:cs="宋体"/>
          <w:b/>
          <w:sz w:val="24"/>
          <w:szCs w:val="24"/>
        </w:rPr>
        <w:t>资格审查标准</w:t>
      </w:r>
      <w:bookmarkEnd w:id="38"/>
    </w:p>
    <w:tbl>
      <w:tblPr>
        <w:tblStyle w:val="26"/>
        <w:tblW w:w="0" w:type="auto"/>
        <w:jc w:val="center"/>
        <w:tblLayout w:type="autofit"/>
        <w:tblCellMar>
          <w:top w:w="0" w:type="dxa"/>
          <w:left w:w="0" w:type="dxa"/>
          <w:bottom w:w="0" w:type="dxa"/>
          <w:right w:w="0" w:type="dxa"/>
        </w:tblCellMar>
      </w:tblPr>
      <w:tblGrid>
        <w:gridCol w:w="623"/>
        <w:gridCol w:w="8467"/>
      </w:tblGrid>
      <w:tr>
        <w:tblPrEx>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评审标准</w:t>
            </w:r>
          </w:p>
        </w:tc>
      </w:tr>
      <w:tr>
        <w:tblPrEx>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rPr>
            </w:pPr>
            <w:r>
              <w:rPr>
                <w:rFonts w:ascii="宋体" w:hAnsi="宋体" w:eastAsia="宋体" w:cs="Arial"/>
                <w:color w:val="000000" w:themeColor="text1"/>
                <w:kern w:val="0"/>
                <w:sz w:val="24"/>
                <w:szCs w:val="24"/>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hAnsi="宋体" w:eastAsia="宋体" w:cs="Arial"/>
                <w:color w:val="000000" w:themeColor="text1"/>
                <w:kern w:val="0"/>
                <w:sz w:val="24"/>
                <w:szCs w:val="24"/>
              </w:rPr>
            </w:pPr>
            <w:r>
              <w:rPr>
                <w:rFonts w:ascii="宋体" w:hAnsi="宋体" w:eastAsia="宋体" w:cs="宋体"/>
                <w:sz w:val="24"/>
                <w:szCs w:val="24"/>
              </w:rPr>
              <w:t>必须具备《中华人民共和国政府采购法》第二十二条规定的条件： </w:t>
            </w:r>
            <w:r>
              <w:rPr>
                <w:rFonts w:ascii="宋体" w:hAnsi="宋体" w:eastAsia="宋体" w:cs="宋体"/>
                <w:sz w:val="24"/>
                <w:szCs w:val="24"/>
              </w:rPr>
              <w:br w:type="textWrapping"/>
            </w:r>
            <w:r>
              <w:rPr>
                <w:rFonts w:ascii="宋体" w:hAnsi="宋体" w:eastAsia="宋体" w:cs="宋体"/>
                <w:sz w:val="24"/>
                <w:szCs w:val="24"/>
              </w:rPr>
              <w:t>1.1 具有独立承担民事责任的能力； </w:t>
            </w:r>
            <w:r>
              <w:rPr>
                <w:rFonts w:ascii="宋体" w:hAnsi="宋体" w:eastAsia="宋体" w:cs="宋体"/>
                <w:sz w:val="24"/>
                <w:szCs w:val="24"/>
              </w:rPr>
              <w:br w:type="textWrapping"/>
            </w:r>
            <w:r>
              <w:rPr>
                <w:rFonts w:ascii="宋体" w:hAnsi="宋体" w:eastAsia="宋体" w:cs="宋体"/>
                <w:sz w:val="24"/>
                <w:szCs w:val="24"/>
              </w:rPr>
              <w:t>1.2 具有良好的商业信誉和健全的财务会计制度； </w:t>
            </w:r>
            <w:r>
              <w:rPr>
                <w:rFonts w:ascii="宋体" w:hAnsi="宋体" w:eastAsia="宋体" w:cs="宋体"/>
                <w:sz w:val="24"/>
                <w:szCs w:val="24"/>
              </w:rPr>
              <w:br w:type="textWrapping"/>
            </w:r>
            <w:r>
              <w:rPr>
                <w:rFonts w:ascii="宋体" w:hAnsi="宋体" w:eastAsia="宋体" w:cs="宋体"/>
                <w:sz w:val="24"/>
                <w:szCs w:val="24"/>
              </w:rPr>
              <w:t>1.3 具有履行合同所必需的设备和专业技术能力； </w:t>
            </w:r>
            <w:r>
              <w:rPr>
                <w:rFonts w:ascii="宋体" w:hAnsi="宋体" w:eastAsia="宋体" w:cs="宋体"/>
                <w:sz w:val="24"/>
                <w:szCs w:val="24"/>
              </w:rPr>
              <w:br w:type="textWrapping"/>
            </w:r>
            <w:r>
              <w:rPr>
                <w:rFonts w:ascii="宋体" w:hAnsi="宋体" w:eastAsia="宋体" w:cs="宋体"/>
                <w:sz w:val="24"/>
                <w:szCs w:val="24"/>
              </w:rPr>
              <w:t>1.4 有依法缴纳税收和社会保障资金的良好记录； </w:t>
            </w:r>
            <w:r>
              <w:rPr>
                <w:rFonts w:ascii="宋体" w:hAnsi="宋体" w:eastAsia="宋体" w:cs="宋体"/>
                <w:sz w:val="24"/>
                <w:szCs w:val="24"/>
              </w:rPr>
              <w:br w:type="textWrapping"/>
            </w:r>
            <w:r>
              <w:rPr>
                <w:rFonts w:ascii="宋体" w:hAnsi="宋体" w:eastAsia="宋体" w:cs="宋体"/>
                <w:sz w:val="24"/>
                <w:szCs w:val="24"/>
              </w:rPr>
              <w:t>1.5 参加政府采购活动前三年内，在经营活动中没有重大违法记录； </w:t>
            </w:r>
            <w:r>
              <w:rPr>
                <w:rFonts w:ascii="宋体" w:hAnsi="宋体" w:eastAsia="宋体" w:cs="宋体"/>
                <w:sz w:val="24"/>
                <w:szCs w:val="24"/>
              </w:rPr>
              <w:br w:type="textWrapping"/>
            </w:r>
            <w:r>
              <w:rPr>
                <w:rFonts w:ascii="宋体" w:hAnsi="宋体" w:eastAsia="宋体" w:cs="宋体"/>
                <w:sz w:val="24"/>
                <w:szCs w:val="24"/>
              </w:rPr>
              <w:t>1.6 法律、行政法规规定的其他条件。</w:t>
            </w:r>
          </w:p>
        </w:tc>
      </w:tr>
      <w:tr>
        <w:tblPrEx>
          <w:tblCellMar>
            <w:top w:w="0" w:type="dxa"/>
            <w:left w:w="0" w:type="dxa"/>
            <w:bottom w:w="0" w:type="dxa"/>
            <w:right w:w="0" w:type="dxa"/>
          </w:tblCellMar>
        </w:tblPrEx>
        <w:trPr>
          <w:cantSplit/>
          <w:trHeight w:val="1016"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rPr>
            </w:pPr>
            <w:r>
              <w:rPr>
                <w:rFonts w:ascii="宋体" w:hAnsi="宋体" w:eastAsia="宋体" w:cs="Arial"/>
                <w:color w:val="000000" w:themeColor="text1"/>
                <w:kern w:val="0"/>
                <w:sz w:val="24"/>
                <w:szCs w:val="24"/>
              </w:rPr>
              <w:t>2</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ascii="宋体" w:hAnsi="宋体" w:eastAsia="宋体" w:cs="宋体"/>
                <w:sz w:val="24"/>
                <w:szCs w:val="24"/>
              </w:rPr>
              <w:t>须提供在“信用中国”（www.creditchina.gov.cn）和中国政府采购网（www.ccgp.gov.cn）网站上未被列入失信被执行人、重大税收违法案件当事人名单以及政府采购严重违法失信行为记录名单的网页打印件（网页打印件须自磋商公告发布之日起至首次提交响应文件截止时间内从上述网站中打印）；</w:t>
            </w:r>
          </w:p>
        </w:tc>
      </w:tr>
      <w:tr>
        <w:tblPrEx>
          <w:tblCellMar>
            <w:top w:w="0" w:type="dxa"/>
            <w:left w:w="0" w:type="dxa"/>
            <w:bottom w:w="0" w:type="dxa"/>
            <w:right w:w="0" w:type="dxa"/>
          </w:tblCellMar>
        </w:tblPrEx>
        <w:trPr>
          <w:cantSplit/>
          <w:trHeight w:val="411"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rPr>
            </w:pPr>
            <w:r>
              <w:rPr>
                <w:rFonts w:hint="eastAsia" w:ascii="宋体" w:hAnsi="宋体" w:eastAsia="宋体" w:cs="Arial"/>
                <w:color w:val="000000" w:themeColor="text1"/>
                <w:kern w:val="0"/>
                <w:sz w:val="24"/>
                <w:szCs w:val="24"/>
              </w:rPr>
              <w:t>3</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hint="eastAsia" w:ascii="宋体" w:hAnsi="宋体" w:eastAsia="宋体" w:cs="Times New Roman"/>
                <w:color w:val="000000" w:themeColor="text1"/>
                <w:sz w:val="24"/>
                <w:szCs w:val="24"/>
              </w:rPr>
              <w:t>投标人应按照投标人须知前附表规定递交投标保证金</w:t>
            </w:r>
            <w:r>
              <w:rPr>
                <w:rFonts w:hint="eastAsia" w:ascii="宋体" w:hAnsi="宋体" w:eastAsia="宋体" w:cs="Arial"/>
                <w:color w:val="000000" w:themeColor="text1"/>
                <w:kern w:val="0"/>
                <w:sz w:val="24"/>
                <w:szCs w:val="24"/>
              </w:rPr>
              <w:t>。</w:t>
            </w:r>
          </w:p>
        </w:tc>
      </w:tr>
      <w:tr>
        <w:tblPrEx>
          <w:tblCellMar>
            <w:top w:w="0" w:type="dxa"/>
            <w:left w:w="0" w:type="dxa"/>
            <w:bottom w:w="0" w:type="dxa"/>
            <w:right w:w="0" w:type="dxa"/>
          </w:tblCellMar>
        </w:tblPrEx>
        <w:trPr>
          <w:cantSplit/>
          <w:trHeight w:val="950" w:hRule="atLeast"/>
          <w:jc w:val="center"/>
        </w:trPr>
        <w:tc>
          <w:tcPr>
            <w:tcW w:w="916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备注：</w:t>
            </w:r>
            <w:r>
              <w:rPr>
                <w:rFonts w:ascii="宋体" w:hAnsi="宋体" w:eastAsia="宋体" w:cs="Arial"/>
                <w:color w:val="000000" w:themeColor="text1"/>
                <w:kern w:val="0"/>
                <w:sz w:val="24"/>
                <w:szCs w:val="24"/>
              </w:rPr>
              <w:t>1</w:t>
            </w:r>
            <w:r>
              <w:rPr>
                <w:rFonts w:hint="eastAsia" w:ascii="宋体" w:hAnsi="宋体" w:eastAsia="宋体" w:cs="Arial"/>
                <w:color w:val="000000" w:themeColor="text1"/>
                <w:kern w:val="0"/>
                <w:sz w:val="24"/>
                <w:szCs w:val="24"/>
              </w:rPr>
              <w:t>、以上审查项目中，凡要求提交原件审查的，资格审查时以原件为准。</w:t>
            </w:r>
          </w:p>
          <w:p>
            <w:pPr>
              <w:widowControl/>
              <w:shd w:val="clear" w:color="auto" w:fill="FFFFFF"/>
              <w:snapToGrid w:val="0"/>
              <w:ind w:firstLine="480" w:firstLineChars="200"/>
              <w:rPr>
                <w:rFonts w:ascii="宋体" w:hAnsi="Calibri" w:eastAsia="宋体" w:cs="Arial"/>
                <w:color w:val="000000" w:themeColor="text1"/>
                <w:kern w:val="0"/>
                <w:sz w:val="24"/>
                <w:szCs w:val="24"/>
              </w:rPr>
            </w:pPr>
            <w:r>
              <w:rPr>
                <w:rFonts w:ascii="宋体" w:hAnsi="宋体" w:eastAsia="宋体" w:cs="Arial"/>
                <w:color w:val="000000" w:themeColor="text1"/>
                <w:kern w:val="0"/>
                <w:sz w:val="24"/>
                <w:szCs w:val="24"/>
              </w:rPr>
              <w:t>2</w:t>
            </w:r>
            <w:r>
              <w:rPr>
                <w:rFonts w:hint="eastAsia" w:ascii="宋体" w:hAnsi="宋体" w:eastAsia="宋体" w:cs="Arial"/>
                <w:color w:val="000000" w:themeColor="text1"/>
                <w:kern w:val="0"/>
                <w:sz w:val="24"/>
                <w:szCs w:val="24"/>
              </w:rPr>
              <w:t>、如果资格评审中有一项不满足审查标准的，评标委员会将认定该投标人不通过资格审查，不得进入下一阶段评审。并且不允许投标人通过修改或撤销其不符合要求的差异或保留，使之成为具有响应性的投标。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pPr>
        <w:tabs>
          <w:tab w:val="center" w:pos="4832"/>
          <w:tab w:val="left" w:pos="7140"/>
        </w:tabs>
        <w:spacing w:line="360" w:lineRule="auto"/>
        <w:jc w:val="center"/>
        <w:outlineLvl w:val="1"/>
        <w:rPr>
          <w:rFonts w:hint="eastAsia" w:ascii="宋体" w:hAnsi="宋体" w:eastAsia="宋体" w:cs="宋体"/>
          <w:b/>
          <w:sz w:val="24"/>
          <w:szCs w:val="24"/>
        </w:rPr>
      </w:pPr>
      <w:bookmarkStart w:id="39" w:name="_Toc488827463"/>
    </w:p>
    <w:p>
      <w:pPr>
        <w:tabs>
          <w:tab w:val="center" w:pos="4832"/>
          <w:tab w:val="left" w:pos="7140"/>
        </w:tabs>
        <w:spacing w:line="360" w:lineRule="auto"/>
        <w:jc w:val="center"/>
        <w:outlineLvl w:val="1"/>
        <w:rPr>
          <w:rFonts w:hint="eastAsia" w:ascii="宋体" w:hAnsi="宋体" w:eastAsia="宋体" w:cs="宋体"/>
          <w:b/>
          <w:sz w:val="24"/>
          <w:szCs w:val="24"/>
        </w:rPr>
      </w:pPr>
    </w:p>
    <w:p>
      <w:pPr>
        <w:tabs>
          <w:tab w:val="center" w:pos="4832"/>
          <w:tab w:val="left" w:pos="7140"/>
        </w:tabs>
        <w:spacing w:line="360" w:lineRule="auto"/>
        <w:jc w:val="center"/>
        <w:outlineLvl w:val="1"/>
        <w:rPr>
          <w:rFonts w:ascii="宋体" w:hAnsi="宋体" w:eastAsia="宋体" w:cs="宋体"/>
          <w:b/>
          <w:sz w:val="24"/>
          <w:szCs w:val="24"/>
        </w:rPr>
      </w:pPr>
      <w:r>
        <w:rPr>
          <w:rFonts w:hint="eastAsia" w:ascii="宋体" w:hAnsi="宋体" w:eastAsia="宋体" w:cs="宋体"/>
          <w:b/>
          <w:sz w:val="24"/>
          <w:szCs w:val="24"/>
        </w:rPr>
        <w:t>初步评审标准</w:t>
      </w:r>
      <w:bookmarkEnd w:id="39"/>
    </w:p>
    <w:tbl>
      <w:tblPr>
        <w:tblStyle w:val="26"/>
        <w:tblW w:w="9177" w:type="dxa"/>
        <w:jc w:val="center"/>
        <w:tblLayout w:type="fixed"/>
        <w:tblCellMar>
          <w:top w:w="0" w:type="dxa"/>
          <w:left w:w="0" w:type="dxa"/>
          <w:bottom w:w="0" w:type="dxa"/>
          <w:right w:w="0" w:type="dxa"/>
        </w:tblCellMar>
      </w:tblPr>
      <w:tblGrid>
        <w:gridCol w:w="621"/>
        <w:gridCol w:w="8556"/>
      </w:tblGrid>
      <w:tr>
        <w:tblPrEx>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评审标准</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rPr>
            </w:pPr>
            <w:r>
              <w:rPr>
                <w:rFonts w:ascii="宋体" w:hAnsi="宋体" w:eastAsia="宋体" w:cs="Arial"/>
                <w:color w:val="000000" w:themeColor="text1"/>
                <w:kern w:val="0"/>
                <w:sz w:val="24"/>
                <w:szCs w:val="24"/>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投标文件要求加盖投标人章、法定代表人章处未加盖的；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rPr>
            </w:pPr>
            <w:r>
              <w:rPr>
                <w:rFonts w:ascii="宋体" w:hAnsi="宋体" w:eastAsia="宋体" w:cs="Arial"/>
                <w:color w:val="000000" w:themeColor="text1"/>
                <w:kern w:val="0"/>
                <w:sz w:val="24"/>
                <w:szCs w:val="24"/>
              </w:rPr>
              <w:t>2</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投标文件未按招标文件要求编制，内容不全或字迹模糊、辨认不清的；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rPr>
            </w:pPr>
            <w:r>
              <w:rPr>
                <w:rFonts w:ascii="宋体" w:hAnsi="宋体" w:eastAsia="宋体" w:cs="Arial"/>
                <w:color w:val="000000" w:themeColor="text1"/>
                <w:kern w:val="0"/>
                <w:sz w:val="24"/>
                <w:szCs w:val="24"/>
              </w:rPr>
              <w:t>3</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技术参数、技术性能不满足招标文件要求的；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rPr>
            </w:pPr>
            <w:r>
              <w:rPr>
                <w:rFonts w:ascii="宋体" w:hAnsi="宋体" w:eastAsia="宋体" w:cs="Arial"/>
                <w:color w:val="000000" w:themeColor="text1"/>
                <w:kern w:val="0"/>
                <w:sz w:val="24"/>
                <w:szCs w:val="24"/>
              </w:rPr>
              <w:t>4</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售后服务承诺未提供的；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color w:val="000000" w:themeColor="text1"/>
                <w:kern w:val="0"/>
                <w:sz w:val="24"/>
                <w:szCs w:val="24"/>
                <w:lang w:eastAsia="zh-CN"/>
              </w:rPr>
            </w:pPr>
            <w:r>
              <w:rPr>
                <w:rFonts w:hint="eastAsia" w:ascii="宋体" w:hAnsi="宋体" w:eastAsia="宋体" w:cs="Arial"/>
                <w:color w:val="000000" w:themeColor="text1"/>
                <w:kern w:val="0"/>
                <w:sz w:val="24"/>
                <w:szCs w:val="24"/>
                <w:lang w:val="en-US" w:eastAsia="zh-CN"/>
              </w:rPr>
              <w:t>5</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投标文件不符合招标文件实质性要求的；</w:t>
            </w:r>
          </w:p>
        </w:tc>
      </w:tr>
      <w:tr>
        <w:tblPrEx>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rPr>
            </w:pPr>
            <w:r>
              <w:rPr>
                <w:rFonts w:hint="eastAsia" w:ascii="宋体" w:hAnsi="宋体" w:eastAsia="宋体" w:cs="Arial"/>
                <w:color w:val="000000" w:themeColor="text1"/>
                <w:kern w:val="0"/>
                <w:sz w:val="24"/>
                <w:szCs w:val="24"/>
              </w:rPr>
              <w:t>备注：初步评审中有一项不满足评审标准的，评标委员会将认定该投标人不通过初步评审，不得进入下一阶段评审。并且不允许投标人通过修改或撤销其不符合要求的差异或保留，使之成为具有响应性的投标。</w:t>
            </w:r>
          </w:p>
        </w:tc>
      </w:tr>
    </w:tbl>
    <w:p>
      <w:pPr>
        <w:tabs>
          <w:tab w:val="center" w:pos="4832"/>
          <w:tab w:val="left" w:pos="7140"/>
        </w:tabs>
        <w:spacing w:line="360" w:lineRule="auto"/>
        <w:jc w:val="center"/>
        <w:outlineLvl w:val="1"/>
        <w:rPr>
          <w:rFonts w:ascii="宋体" w:hAnsi="宋体" w:eastAsia="宋体" w:cs="宋体"/>
          <w:b/>
          <w:sz w:val="24"/>
          <w:szCs w:val="24"/>
        </w:rPr>
      </w:pPr>
      <w:bookmarkStart w:id="40" w:name="_Toc488827464"/>
      <w:r>
        <w:rPr>
          <w:rFonts w:hint="eastAsia" w:ascii="宋体" w:hAnsi="宋体" w:eastAsia="宋体" w:cs="宋体"/>
          <w:b/>
          <w:sz w:val="24"/>
          <w:szCs w:val="24"/>
        </w:rPr>
        <w:t>详细评审标准</w:t>
      </w:r>
      <w:bookmarkEnd w:id="40"/>
    </w:p>
    <w:tbl>
      <w:tblPr>
        <w:tblStyle w:val="26"/>
        <w:tblW w:w="4930" w:type="pct"/>
        <w:jc w:val="center"/>
        <w:tblLayout w:type="autofit"/>
        <w:tblCellMar>
          <w:top w:w="0" w:type="dxa"/>
          <w:left w:w="0" w:type="dxa"/>
          <w:bottom w:w="0" w:type="dxa"/>
          <w:right w:w="0" w:type="dxa"/>
        </w:tblCellMar>
      </w:tblPr>
      <w:tblGrid>
        <w:gridCol w:w="664"/>
        <w:gridCol w:w="1500"/>
        <w:gridCol w:w="1141"/>
        <w:gridCol w:w="5851"/>
      </w:tblGrid>
      <w:tr>
        <w:tblPrEx>
          <w:tblCellMar>
            <w:top w:w="0" w:type="dxa"/>
            <w:left w:w="0" w:type="dxa"/>
            <w:bottom w:w="0" w:type="dxa"/>
            <w:right w:w="0" w:type="dxa"/>
          </w:tblCellMar>
        </w:tblPrEx>
        <w:trPr>
          <w:trHeight w:val="312" w:hRule="atLeast"/>
          <w:jc w:val="center"/>
        </w:trPr>
        <w:tc>
          <w:tcPr>
            <w:tcW w:w="363"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left="-50" w:leftChars="-24" w:right="-4" w:rightChars="-2"/>
              <w:jc w:val="center"/>
              <w:rPr>
                <w:rFonts w:ascii="宋体" w:hAnsi="Calibri" w:eastAsia="宋体" w:cs="Arial"/>
                <w:color w:val="000000"/>
                <w:kern w:val="0"/>
                <w:sz w:val="24"/>
                <w:szCs w:val="24"/>
              </w:rPr>
            </w:pPr>
            <w:r>
              <w:rPr>
                <w:rFonts w:hint="eastAsia" w:ascii="宋体" w:hAnsi="宋体" w:eastAsia="宋体" w:cs="Arial"/>
                <w:color w:val="000000"/>
                <w:kern w:val="0"/>
                <w:sz w:val="24"/>
                <w:szCs w:val="24"/>
              </w:rPr>
              <w:t>序号</w:t>
            </w:r>
          </w:p>
        </w:tc>
        <w:tc>
          <w:tcPr>
            <w:tcW w:w="819"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Calibri" w:eastAsia="宋体" w:cs="Arial"/>
                <w:color w:val="000000"/>
                <w:kern w:val="0"/>
                <w:sz w:val="24"/>
                <w:szCs w:val="24"/>
              </w:rPr>
            </w:pPr>
            <w:r>
              <w:rPr>
                <w:rFonts w:hint="eastAsia" w:ascii="宋体" w:hAnsi="宋体" w:eastAsia="宋体" w:cs="Arial"/>
                <w:color w:val="000000"/>
                <w:kern w:val="0"/>
                <w:sz w:val="24"/>
                <w:szCs w:val="24"/>
              </w:rPr>
              <w:t>评审项目</w:t>
            </w:r>
          </w:p>
        </w:tc>
        <w:tc>
          <w:tcPr>
            <w:tcW w:w="623"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ind w:left="-101" w:leftChars="-48" w:right="-105" w:rightChars="-50"/>
              <w:jc w:val="center"/>
              <w:rPr>
                <w:rFonts w:ascii="宋体" w:hAnsi="Calibri" w:eastAsia="宋体" w:cs="Arial"/>
                <w:color w:val="000000"/>
                <w:kern w:val="0"/>
                <w:sz w:val="24"/>
                <w:szCs w:val="24"/>
              </w:rPr>
            </w:pPr>
            <w:r>
              <w:rPr>
                <w:rFonts w:hint="eastAsia" w:ascii="宋体" w:hAnsi="宋体" w:eastAsia="宋体" w:cs="Arial"/>
                <w:color w:val="000000"/>
                <w:kern w:val="0"/>
                <w:sz w:val="24"/>
                <w:szCs w:val="24"/>
              </w:rPr>
              <w:t>标准分</w:t>
            </w:r>
          </w:p>
        </w:tc>
        <w:tc>
          <w:tcPr>
            <w:tcW w:w="3195" w:type="pct"/>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Calibri" w:eastAsia="宋体" w:cs="Arial"/>
                <w:color w:val="000000"/>
                <w:kern w:val="0"/>
                <w:sz w:val="24"/>
                <w:szCs w:val="24"/>
              </w:rPr>
            </w:pPr>
            <w:r>
              <w:rPr>
                <w:rFonts w:hint="eastAsia" w:ascii="宋体" w:hAnsi="宋体" w:eastAsia="宋体" w:cs="Arial"/>
                <w:color w:val="000000"/>
                <w:kern w:val="0"/>
                <w:sz w:val="24"/>
                <w:szCs w:val="24"/>
              </w:rPr>
              <w:t>评审标准</w:t>
            </w:r>
          </w:p>
        </w:tc>
      </w:tr>
      <w:tr>
        <w:tblPrEx>
          <w:tblCellMar>
            <w:top w:w="0" w:type="dxa"/>
            <w:left w:w="0" w:type="dxa"/>
            <w:bottom w:w="0" w:type="dxa"/>
            <w:right w:w="0" w:type="dxa"/>
          </w:tblCellMar>
        </w:tblPrEx>
        <w:trPr>
          <w:trHeight w:val="312" w:hRule="atLeast"/>
          <w:jc w:val="center"/>
        </w:trPr>
        <w:tc>
          <w:tcPr>
            <w:tcW w:w="363" w:type="pct"/>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Arial"/>
                <w:color w:val="000000"/>
                <w:kern w:val="0"/>
                <w:sz w:val="24"/>
                <w:szCs w:val="24"/>
              </w:rPr>
            </w:pPr>
          </w:p>
        </w:tc>
        <w:tc>
          <w:tcPr>
            <w:tcW w:w="819" w:type="pct"/>
            <w:vMerge w:val="continue"/>
            <w:tcBorders>
              <w:top w:val="single" w:color="auto" w:sz="8" w:space="0"/>
              <w:left w:val="nil"/>
              <w:bottom w:val="single" w:color="auto" w:sz="8" w:space="0"/>
              <w:right w:val="single" w:color="auto" w:sz="8" w:space="0"/>
            </w:tcBorders>
            <w:vAlign w:val="center"/>
          </w:tcPr>
          <w:p>
            <w:pPr>
              <w:rPr>
                <w:rFonts w:ascii="宋体" w:hAnsi="Calibri" w:eastAsia="宋体" w:cs="Arial"/>
                <w:color w:val="000000"/>
                <w:kern w:val="0"/>
                <w:sz w:val="24"/>
                <w:szCs w:val="24"/>
              </w:rPr>
            </w:pPr>
          </w:p>
        </w:tc>
        <w:tc>
          <w:tcPr>
            <w:tcW w:w="623" w:type="pct"/>
            <w:vMerge w:val="continue"/>
            <w:tcBorders>
              <w:top w:val="single" w:color="auto" w:sz="8" w:space="0"/>
              <w:left w:val="nil"/>
              <w:bottom w:val="single" w:color="auto" w:sz="8" w:space="0"/>
              <w:right w:val="single" w:color="auto" w:sz="8" w:space="0"/>
            </w:tcBorders>
            <w:vAlign w:val="center"/>
          </w:tcPr>
          <w:p>
            <w:pPr>
              <w:jc w:val="center"/>
              <w:rPr>
                <w:rFonts w:ascii="宋体" w:hAnsi="Calibri" w:eastAsia="宋体" w:cs="Arial"/>
                <w:color w:val="000000"/>
                <w:kern w:val="0"/>
                <w:sz w:val="24"/>
                <w:szCs w:val="24"/>
              </w:rPr>
            </w:pPr>
          </w:p>
        </w:tc>
        <w:tc>
          <w:tcPr>
            <w:tcW w:w="3195" w:type="pct"/>
            <w:vMerge w:val="continue"/>
            <w:tcBorders>
              <w:top w:val="single" w:color="auto" w:sz="8" w:space="0"/>
              <w:left w:val="nil"/>
              <w:bottom w:val="single" w:color="auto" w:sz="8" w:space="0"/>
              <w:right w:val="single" w:color="auto" w:sz="8" w:space="0"/>
            </w:tcBorders>
            <w:vAlign w:val="center"/>
          </w:tcPr>
          <w:p>
            <w:pPr>
              <w:rPr>
                <w:rFonts w:ascii="宋体" w:hAnsi="Calibri" w:eastAsia="宋体" w:cs="Arial"/>
                <w:color w:val="000000"/>
                <w:kern w:val="0"/>
                <w:sz w:val="24"/>
                <w:szCs w:val="24"/>
              </w:rPr>
            </w:pPr>
          </w:p>
        </w:tc>
      </w:tr>
      <w:tr>
        <w:trPr>
          <w:trHeight w:val="310" w:hRule="atLeast"/>
          <w:jc w:val="center"/>
        </w:trPr>
        <w:tc>
          <w:tcPr>
            <w:tcW w:w="36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ascii="宋体" w:hAnsi="宋体" w:eastAsia="宋体" w:cs="Arial"/>
                <w:color w:val="000000"/>
                <w:kern w:val="0"/>
                <w:sz w:val="24"/>
                <w:szCs w:val="24"/>
              </w:rPr>
              <w:t>1</w:t>
            </w:r>
          </w:p>
        </w:tc>
        <w:tc>
          <w:tcPr>
            <w:tcW w:w="819"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企业的基本概况</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3</w:t>
            </w:r>
          </w:p>
        </w:tc>
        <w:tc>
          <w:tcPr>
            <w:tcW w:w="3195"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Arial"/>
                <w:color w:val="000000"/>
                <w:kern w:val="0"/>
                <w:sz w:val="24"/>
                <w:szCs w:val="24"/>
              </w:rPr>
            </w:pPr>
            <w:r>
              <w:rPr>
                <w:rFonts w:hint="eastAsia" w:ascii="宋体" w:hAnsi="宋体" w:eastAsia="宋体" w:cs="Arial"/>
                <w:color w:val="000000"/>
                <w:kern w:val="0"/>
                <w:sz w:val="24"/>
                <w:szCs w:val="24"/>
              </w:rPr>
              <w:t>资金财务状况良好，技术力量雄厚，装备齐全，人员及设备配置合理</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2</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3</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；资金财务状况一般，技术力量一般，装备较全，人员及设备配置较合理（1</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2</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；技术力量较弱，装备较差，资金财务状况较差，人员及设备配置不合理</w:t>
            </w:r>
            <w:r>
              <w:rPr>
                <w:rFonts w:ascii="宋体" w:hAnsi="宋体" w:eastAsia="宋体" w:cs="Arial"/>
                <w:color w:val="000000"/>
                <w:kern w:val="0"/>
                <w:sz w:val="24"/>
                <w:szCs w:val="24"/>
              </w:rPr>
              <w:t>[0-</w:t>
            </w:r>
            <w:r>
              <w:rPr>
                <w:rFonts w:hint="eastAsia" w:ascii="宋体" w:hAnsi="宋体" w:eastAsia="宋体" w:cs="Arial"/>
                <w:color w:val="000000"/>
                <w:kern w:val="0"/>
                <w:sz w:val="24"/>
                <w:szCs w:val="24"/>
              </w:rPr>
              <w:t>1</w:t>
            </w:r>
            <w:r>
              <w:rPr>
                <w:rFonts w:ascii="宋体" w:hAnsi="宋体" w:eastAsia="宋体" w:cs="Arial"/>
                <w:color w:val="000000"/>
                <w:kern w:val="0"/>
                <w:sz w:val="24"/>
                <w:szCs w:val="24"/>
              </w:rPr>
              <w:t>]</w:t>
            </w:r>
          </w:p>
        </w:tc>
      </w:tr>
      <w:tr>
        <w:tblPrEx>
          <w:tblCellMar>
            <w:top w:w="0" w:type="dxa"/>
            <w:left w:w="0" w:type="dxa"/>
            <w:bottom w:w="0" w:type="dxa"/>
            <w:right w:w="0" w:type="dxa"/>
          </w:tblCellMar>
        </w:tblPrEx>
        <w:trPr>
          <w:trHeight w:val="310" w:hRule="atLeast"/>
          <w:jc w:val="center"/>
        </w:trPr>
        <w:tc>
          <w:tcPr>
            <w:tcW w:w="36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ascii="宋体" w:hAnsi="宋体" w:eastAsia="宋体" w:cs="Arial"/>
                <w:color w:val="000000"/>
                <w:kern w:val="0"/>
                <w:sz w:val="24"/>
                <w:szCs w:val="24"/>
              </w:rPr>
              <w:t>2</w:t>
            </w:r>
          </w:p>
        </w:tc>
        <w:tc>
          <w:tcPr>
            <w:tcW w:w="819"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近三年类似业绩</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5</w:t>
            </w:r>
          </w:p>
        </w:tc>
        <w:tc>
          <w:tcPr>
            <w:tcW w:w="3195"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投标人近三年（</w:t>
            </w:r>
            <w:r>
              <w:rPr>
                <w:rFonts w:ascii="宋体" w:hAnsi="宋体" w:eastAsia="宋体" w:cs="Arial"/>
                <w:color w:val="000000"/>
                <w:kern w:val="0"/>
                <w:sz w:val="24"/>
                <w:szCs w:val="24"/>
              </w:rPr>
              <w:t>20</w:t>
            </w:r>
            <w:r>
              <w:rPr>
                <w:rFonts w:hint="eastAsia" w:ascii="宋体" w:hAnsi="宋体" w:eastAsia="宋体" w:cs="Arial"/>
                <w:color w:val="000000"/>
                <w:kern w:val="0"/>
                <w:sz w:val="24"/>
                <w:szCs w:val="24"/>
              </w:rPr>
              <w:t>1</w:t>
            </w:r>
            <w:r>
              <w:rPr>
                <w:rFonts w:hint="eastAsia" w:ascii="宋体" w:hAnsi="宋体" w:eastAsia="宋体" w:cs="Arial"/>
                <w:color w:val="000000"/>
                <w:kern w:val="0"/>
                <w:sz w:val="24"/>
                <w:szCs w:val="24"/>
                <w:lang w:val="en-US" w:eastAsia="zh-CN"/>
              </w:rPr>
              <w:t>9</w:t>
            </w:r>
            <w:r>
              <w:rPr>
                <w:rFonts w:hint="eastAsia" w:ascii="宋体" w:hAnsi="宋体" w:eastAsia="宋体" w:cs="Arial"/>
                <w:color w:val="000000"/>
                <w:kern w:val="0"/>
                <w:sz w:val="24"/>
                <w:szCs w:val="24"/>
              </w:rPr>
              <w:t>年</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月</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日</w:t>
            </w:r>
            <w:r>
              <w:rPr>
                <w:rFonts w:ascii="宋体" w:hAnsi="Calibri" w:eastAsia="宋体" w:cs="Arial"/>
                <w:color w:val="000000"/>
                <w:kern w:val="0"/>
                <w:sz w:val="24"/>
                <w:szCs w:val="24"/>
              </w:rPr>
              <w:t>-</w:t>
            </w:r>
            <w:r>
              <w:rPr>
                <w:rFonts w:hint="eastAsia" w:ascii="宋体" w:hAnsi="宋体" w:eastAsia="宋体" w:cs="Arial"/>
                <w:color w:val="000000"/>
                <w:kern w:val="0"/>
                <w:sz w:val="24"/>
                <w:szCs w:val="24"/>
              </w:rPr>
              <w:t>至今）完成的类似项目供货业绩，一项计1分，最多计</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项；（需提供相关业绩证明复印件）</w:t>
            </w:r>
          </w:p>
        </w:tc>
      </w:tr>
      <w:tr>
        <w:tblPrEx>
          <w:tblCellMar>
            <w:top w:w="0" w:type="dxa"/>
            <w:left w:w="0" w:type="dxa"/>
            <w:bottom w:w="0" w:type="dxa"/>
            <w:right w:w="0" w:type="dxa"/>
          </w:tblCellMar>
        </w:tblPrEx>
        <w:trPr>
          <w:trHeight w:val="310" w:hRule="atLeast"/>
          <w:jc w:val="center"/>
        </w:trPr>
        <w:tc>
          <w:tcPr>
            <w:tcW w:w="36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ascii="宋体" w:hAnsi="宋体" w:eastAsia="宋体" w:cs="Arial"/>
                <w:color w:val="000000"/>
                <w:kern w:val="0"/>
                <w:sz w:val="24"/>
                <w:szCs w:val="24"/>
              </w:rPr>
              <w:t>3</w:t>
            </w:r>
          </w:p>
        </w:tc>
        <w:tc>
          <w:tcPr>
            <w:tcW w:w="819"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产品性能技术指标</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25</w:t>
            </w:r>
          </w:p>
        </w:tc>
        <w:tc>
          <w:tcPr>
            <w:tcW w:w="3195"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Arial"/>
                <w:color w:val="000000"/>
                <w:kern w:val="0"/>
                <w:sz w:val="24"/>
                <w:szCs w:val="24"/>
              </w:rPr>
            </w:pPr>
            <w:r>
              <w:rPr>
                <w:rFonts w:hint="eastAsia" w:ascii="宋体" w:hAnsi="宋体" w:eastAsia="宋体" w:cs="Arial"/>
                <w:color w:val="000000"/>
                <w:kern w:val="0"/>
                <w:sz w:val="24"/>
                <w:szCs w:val="24"/>
              </w:rPr>
              <w:t>全部满足招标文件技术要求，科学合理，技术要求无偏离（20</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25</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；产品性能技术要求基本满足招标文件技术要求，基本可行，技术要求部分偏离（15</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20</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；产品性能技术缺陷有误，部分满足招标文件技术要求，技术要求偏离</w:t>
            </w:r>
            <w:r>
              <w:rPr>
                <w:rFonts w:ascii="宋体" w:hAnsi="宋体" w:eastAsia="宋体" w:cs="Arial"/>
                <w:color w:val="000000"/>
                <w:kern w:val="0"/>
                <w:sz w:val="24"/>
                <w:szCs w:val="24"/>
              </w:rPr>
              <w:t xml:space="preserve"> [</w:t>
            </w:r>
            <w:r>
              <w:rPr>
                <w:rFonts w:hint="eastAsia" w:ascii="宋体" w:hAnsi="宋体" w:eastAsia="宋体" w:cs="Arial"/>
                <w:color w:val="000000"/>
                <w:kern w:val="0"/>
                <w:sz w:val="24"/>
                <w:szCs w:val="24"/>
              </w:rPr>
              <w:t>5</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15</w:t>
            </w:r>
            <w:r>
              <w:rPr>
                <w:rFonts w:ascii="宋体" w:hAnsi="宋体" w:eastAsia="宋体" w:cs="Arial"/>
                <w:color w:val="000000"/>
                <w:kern w:val="0"/>
                <w:sz w:val="24"/>
                <w:szCs w:val="24"/>
              </w:rPr>
              <w:t>]</w:t>
            </w:r>
          </w:p>
        </w:tc>
      </w:tr>
      <w:tr>
        <w:tblPrEx>
          <w:tblCellMar>
            <w:top w:w="0" w:type="dxa"/>
            <w:left w:w="0" w:type="dxa"/>
            <w:bottom w:w="0" w:type="dxa"/>
            <w:right w:w="0" w:type="dxa"/>
          </w:tblCellMar>
        </w:tblPrEx>
        <w:trPr>
          <w:trHeight w:val="310" w:hRule="atLeast"/>
          <w:jc w:val="center"/>
        </w:trPr>
        <w:tc>
          <w:tcPr>
            <w:tcW w:w="36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ascii="宋体" w:hAnsi="宋体" w:eastAsia="宋体" w:cs="Arial"/>
                <w:color w:val="000000"/>
                <w:kern w:val="0"/>
                <w:sz w:val="24"/>
                <w:szCs w:val="24"/>
              </w:rPr>
              <w:t>4</w:t>
            </w:r>
          </w:p>
        </w:tc>
        <w:tc>
          <w:tcPr>
            <w:tcW w:w="819"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Arial"/>
                <w:color w:val="000000"/>
                <w:kern w:val="0"/>
                <w:sz w:val="24"/>
                <w:szCs w:val="24"/>
              </w:rPr>
            </w:pPr>
            <w:r>
              <w:rPr>
                <w:rFonts w:hint="eastAsia" w:ascii="宋体" w:hAnsi="宋体" w:eastAsia="宋体" w:cs="Arial"/>
                <w:color w:val="000000"/>
                <w:kern w:val="0"/>
                <w:sz w:val="24"/>
                <w:szCs w:val="24"/>
              </w:rPr>
              <w:t>供货方案</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15</w:t>
            </w:r>
          </w:p>
        </w:tc>
        <w:tc>
          <w:tcPr>
            <w:tcW w:w="3195"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Arial"/>
                <w:color w:val="000000"/>
                <w:kern w:val="0"/>
                <w:sz w:val="24"/>
                <w:szCs w:val="24"/>
              </w:rPr>
            </w:pPr>
            <w:r>
              <w:rPr>
                <w:rFonts w:hint="eastAsia" w:ascii="宋体" w:hAnsi="宋体" w:eastAsia="宋体" w:cs="Arial"/>
                <w:color w:val="000000"/>
                <w:kern w:val="0"/>
                <w:sz w:val="24"/>
                <w:szCs w:val="24"/>
              </w:rPr>
              <w:t>供货计划详尽合理，主要包括总体进度计划及保障措施和供货措施，方案详细全面（10</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15</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，良好的（7</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10</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，一般的（3</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7</w:t>
            </w:r>
            <w:r>
              <w:rPr>
                <w:rFonts w:ascii="宋体" w:hAnsi="宋体" w:eastAsia="宋体" w:cs="Arial"/>
                <w:color w:val="000000"/>
                <w:kern w:val="0"/>
                <w:sz w:val="24"/>
                <w:szCs w:val="24"/>
              </w:rPr>
              <w:t>]</w:t>
            </w:r>
          </w:p>
        </w:tc>
      </w:tr>
      <w:tr>
        <w:tblPrEx>
          <w:tblCellMar>
            <w:top w:w="0" w:type="dxa"/>
            <w:left w:w="0" w:type="dxa"/>
            <w:bottom w:w="0" w:type="dxa"/>
            <w:right w:w="0" w:type="dxa"/>
          </w:tblCellMar>
        </w:tblPrEx>
        <w:trPr>
          <w:trHeight w:val="310" w:hRule="atLeast"/>
          <w:jc w:val="center"/>
        </w:trPr>
        <w:tc>
          <w:tcPr>
            <w:tcW w:w="36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ascii="宋体" w:hAnsi="宋体" w:eastAsia="宋体" w:cs="Arial"/>
                <w:color w:val="000000"/>
                <w:kern w:val="0"/>
                <w:sz w:val="24"/>
                <w:szCs w:val="24"/>
              </w:rPr>
              <w:t>5</w:t>
            </w:r>
          </w:p>
        </w:tc>
        <w:tc>
          <w:tcPr>
            <w:tcW w:w="819"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产品质量保证体系及措施</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10</w:t>
            </w:r>
          </w:p>
        </w:tc>
        <w:tc>
          <w:tcPr>
            <w:tcW w:w="3195"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宋体" w:hAnsi="宋体" w:eastAsia="宋体" w:cs="Arial"/>
                <w:color w:val="000000"/>
                <w:kern w:val="0"/>
                <w:sz w:val="24"/>
                <w:szCs w:val="24"/>
                <w:lang w:eastAsia="zh-CN"/>
              </w:rPr>
            </w:pPr>
            <w:r>
              <w:rPr>
                <w:rFonts w:hint="eastAsia" w:ascii="宋体" w:hAnsi="宋体" w:eastAsia="宋体" w:cs="Arial"/>
                <w:color w:val="000000"/>
                <w:kern w:val="0"/>
                <w:sz w:val="24"/>
                <w:szCs w:val="24"/>
              </w:rPr>
              <w:t>产品质量保证体系健全，质量控制手段完善，</w:t>
            </w:r>
            <w:r>
              <w:rPr>
                <w:rFonts w:ascii="宋体" w:hAnsi="宋体" w:eastAsia="宋体" w:cs="Arial"/>
                <w:color w:val="000000"/>
                <w:kern w:val="0"/>
                <w:sz w:val="24"/>
                <w:szCs w:val="24"/>
              </w:rPr>
              <w:t xml:space="preserve"> (</w:t>
            </w:r>
            <w:r>
              <w:rPr>
                <w:rFonts w:hint="eastAsia" w:ascii="宋体" w:hAnsi="宋体" w:eastAsia="宋体" w:cs="Arial"/>
                <w:color w:val="000000"/>
                <w:kern w:val="0"/>
                <w:sz w:val="24"/>
                <w:szCs w:val="24"/>
              </w:rPr>
              <w:t>8</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1</w:t>
            </w:r>
            <w:r>
              <w:rPr>
                <w:rFonts w:ascii="宋体" w:hAnsi="宋体" w:eastAsia="宋体" w:cs="Arial"/>
                <w:color w:val="000000"/>
                <w:kern w:val="0"/>
                <w:sz w:val="24"/>
                <w:szCs w:val="24"/>
              </w:rPr>
              <w:t>0]</w:t>
            </w:r>
            <w:r>
              <w:rPr>
                <w:rFonts w:hint="eastAsia" w:ascii="宋体" w:hAnsi="宋体" w:eastAsia="宋体" w:cs="Arial"/>
                <w:color w:val="000000"/>
                <w:kern w:val="0"/>
                <w:sz w:val="24"/>
                <w:szCs w:val="24"/>
              </w:rPr>
              <w:t>；产品质量保证体系健全，质量控制手段一般（5</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8</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；有产品质量保证体系，质量控制手段一般</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3</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5</w:t>
            </w:r>
            <w:r>
              <w:rPr>
                <w:rFonts w:ascii="宋体" w:hAnsi="宋体" w:eastAsia="宋体" w:cs="Arial"/>
                <w:color w:val="000000"/>
                <w:kern w:val="0"/>
                <w:sz w:val="24"/>
                <w:szCs w:val="24"/>
              </w:rPr>
              <w:t>]</w:t>
            </w:r>
            <w:r>
              <w:rPr>
                <w:rFonts w:hint="eastAsia" w:ascii="宋体" w:hAnsi="宋体" w:eastAsia="宋体" w:cs="Arial"/>
                <w:color w:val="000000"/>
                <w:kern w:val="0"/>
                <w:sz w:val="24"/>
                <w:szCs w:val="24"/>
                <w:lang w:eastAsia="zh-CN"/>
              </w:rPr>
              <w:t>；</w:t>
            </w:r>
          </w:p>
        </w:tc>
      </w:tr>
      <w:tr>
        <w:tblPrEx>
          <w:tblCellMar>
            <w:top w:w="0" w:type="dxa"/>
            <w:left w:w="0" w:type="dxa"/>
            <w:bottom w:w="0" w:type="dxa"/>
            <w:right w:w="0" w:type="dxa"/>
          </w:tblCellMar>
        </w:tblPrEx>
        <w:trPr>
          <w:trHeight w:val="310" w:hRule="atLeast"/>
          <w:jc w:val="center"/>
        </w:trPr>
        <w:tc>
          <w:tcPr>
            <w:tcW w:w="36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ascii="宋体" w:hAnsi="宋体" w:eastAsia="宋体" w:cs="Arial"/>
                <w:color w:val="000000"/>
                <w:kern w:val="0"/>
                <w:sz w:val="24"/>
                <w:szCs w:val="24"/>
              </w:rPr>
              <w:t>6</w:t>
            </w:r>
          </w:p>
        </w:tc>
        <w:tc>
          <w:tcPr>
            <w:tcW w:w="819"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售后服务及维保计划</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ascii="宋体" w:hAnsi="宋体" w:eastAsia="宋体" w:cs="Arial"/>
                <w:color w:val="000000"/>
                <w:kern w:val="0"/>
                <w:sz w:val="24"/>
                <w:szCs w:val="24"/>
              </w:rPr>
              <w:t>10</w:t>
            </w:r>
          </w:p>
        </w:tc>
        <w:tc>
          <w:tcPr>
            <w:tcW w:w="3195"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Arial"/>
                <w:color w:val="000000"/>
                <w:kern w:val="0"/>
                <w:sz w:val="24"/>
                <w:szCs w:val="24"/>
              </w:rPr>
            </w:pPr>
            <w:r>
              <w:rPr>
                <w:rFonts w:hint="eastAsia" w:ascii="宋体" w:hAnsi="宋体" w:eastAsia="宋体" w:cs="Arial"/>
                <w:color w:val="000000"/>
                <w:kern w:val="0"/>
                <w:sz w:val="24"/>
                <w:szCs w:val="24"/>
              </w:rPr>
              <w:t>有优质的售后服务措施的供应方案，维保计划详细可行（</w:t>
            </w:r>
            <w:r>
              <w:rPr>
                <w:rFonts w:ascii="宋体" w:hAnsi="宋体" w:eastAsia="宋体" w:cs="Arial"/>
                <w:color w:val="000000"/>
                <w:kern w:val="0"/>
                <w:sz w:val="24"/>
                <w:szCs w:val="24"/>
              </w:rPr>
              <w:t>5-10]</w:t>
            </w:r>
            <w:r>
              <w:rPr>
                <w:rFonts w:hint="eastAsia" w:ascii="宋体" w:hAnsi="宋体" w:eastAsia="宋体" w:cs="Arial"/>
                <w:color w:val="000000"/>
                <w:kern w:val="0"/>
                <w:sz w:val="24"/>
                <w:szCs w:val="24"/>
              </w:rPr>
              <w:t>；有售后服务措施的供应方案，维保计划一般（</w:t>
            </w:r>
            <w:r>
              <w:rPr>
                <w:rFonts w:ascii="宋体" w:hAnsi="宋体" w:eastAsia="宋体" w:cs="Arial"/>
                <w:color w:val="000000"/>
                <w:kern w:val="0"/>
                <w:sz w:val="24"/>
                <w:szCs w:val="24"/>
              </w:rPr>
              <w:t>2-5]</w:t>
            </w:r>
            <w:r>
              <w:rPr>
                <w:rFonts w:hint="eastAsia" w:ascii="宋体" w:hAnsi="宋体" w:eastAsia="宋体" w:cs="Arial"/>
                <w:color w:val="000000"/>
                <w:kern w:val="0"/>
                <w:sz w:val="24"/>
                <w:szCs w:val="24"/>
              </w:rPr>
              <w:t>；没有完整的售后服务措施的供应方案，维保计划较差</w:t>
            </w:r>
            <w:r>
              <w:rPr>
                <w:rFonts w:ascii="宋体" w:hAnsi="宋体" w:eastAsia="宋体" w:cs="Arial"/>
                <w:color w:val="000000"/>
                <w:kern w:val="0"/>
                <w:sz w:val="24"/>
                <w:szCs w:val="24"/>
              </w:rPr>
              <w:t>[0-2]</w:t>
            </w:r>
          </w:p>
        </w:tc>
      </w:tr>
      <w:tr>
        <w:tblPrEx>
          <w:tblCellMar>
            <w:top w:w="0" w:type="dxa"/>
            <w:left w:w="0" w:type="dxa"/>
            <w:bottom w:w="0" w:type="dxa"/>
            <w:right w:w="0" w:type="dxa"/>
          </w:tblCellMar>
        </w:tblPrEx>
        <w:trPr>
          <w:trHeight w:val="310" w:hRule="atLeast"/>
          <w:jc w:val="center"/>
        </w:trPr>
        <w:tc>
          <w:tcPr>
            <w:tcW w:w="36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7</w:t>
            </w:r>
          </w:p>
        </w:tc>
        <w:tc>
          <w:tcPr>
            <w:tcW w:w="819"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标函质量</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2</w:t>
            </w:r>
          </w:p>
        </w:tc>
        <w:tc>
          <w:tcPr>
            <w:tcW w:w="3195"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Arial"/>
                <w:color w:val="000000"/>
                <w:kern w:val="0"/>
                <w:sz w:val="24"/>
                <w:szCs w:val="24"/>
              </w:rPr>
            </w:pPr>
            <w:r>
              <w:rPr>
                <w:rFonts w:hint="eastAsia" w:ascii="宋体" w:hAnsi="宋体" w:eastAsia="宋体" w:cs="Arial"/>
                <w:color w:val="000000"/>
                <w:kern w:val="0"/>
                <w:sz w:val="24"/>
                <w:szCs w:val="24"/>
              </w:rPr>
              <w:t>标函编制内容完整、齐全、叙述严谨。标书无涂改、错页、漏页现象得2分；标函编制内容不完整、叙述简单。标书有涂改、错页、漏页现象</w:t>
            </w:r>
            <w:r>
              <w:rPr>
                <w:rFonts w:ascii="宋体" w:hAnsi="宋体" w:eastAsia="宋体" w:cs="Arial"/>
                <w:color w:val="000000"/>
                <w:kern w:val="0"/>
                <w:sz w:val="24"/>
                <w:szCs w:val="24"/>
              </w:rPr>
              <w:t>[0-2]</w:t>
            </w:r>
          </w:p>
        </w:tc>
      </w:tr>
      <w:tr>
        <w:tblPrEx>
          <w:tblCellMar>
            <w:top w:w="0" w:type="dxa"/>
            <w:left w:w="0" w:type="dxa"/>
            <w:bottom w:w="0" w:type="dxa"/>
            <w:right w:w="0" w:type="dxa"/>
          </w:tblCellMar>
        </w:tblPrEx>
        <w:trPr>
          <w:trHeight w:val="439" w:hRule="atLeast"/>
          <w:jc w:val="center"/>
        </w:trPr>
        <w:tc>
          <w:tcPr>
            <w:tcW w:w="1182"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Calibri" w:eastAsia="宋体" w:cs="Arial"/>
                <w:color w:val="000000"/>
                <w:kern w:val="0"/>
                <w:sz w:val="24"/>
                <w:szCs w:val="24"/>
              </w:rPr>
            </w:pPr>
            <w:r>
              <w:rPr>
                <w:rFonts w:hint="eastAsia" w:ascii="宋体" w:hAnsi="宋体" w:eastAsia="宋体" w:cs="Arial"/>
                <w:color w:val="000000"/>
                <w:kern w:val="0"/>
                <w:sz w:val="24"/>
                <w:szCs w:val="24"/>
              </w:rPr>
              <w:t>合计</w:t>
            </w:r>
          </w:p>
        </w:tc>
        <w:tc>
          <w:tcPr>
            <w:tcW w:w="623"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color w:val="000000"/>
                <w:kern w:val="0"/>
                <w:sz w:val="24"/>
                <w:szCs w:val="24"/>
              </w:rPr>
            </w:pPr>
            <w:r>
              <w:rPr>
                <w:rFonts w:hint="eastAsia" w:ascii="宋体" w:hAnsi="宋体" w:eastAsia="宋体" w:cs="Arial"/>
                <w:color w:val="000000"/>
                <w:kern w:val="0"/>
                <w:sz w:val="24"/>
                <w:szCs w:val="24"/>
              </w:rPr>
              <w:t>7</w:t>
            </w:r>
            <w:r>
              <w:rPr>
                <w:rFonts w:ascii="宋体" w:hAnsi="宋体" w:eastAsia="宋体" w:cs="Arial"/>
                <w:color w:val="000000"/>
                <w:kern w:val="0"/>
                <w:sz w:val="24"/>
                <w:szCs w:val="24"/>
              </w:rPr>
              <w:t>0</w:t>
            </w:r>
          </w:p>
        </w:tc>
        <w:tc>
          <w:tcPr>
            <w:tcW w:w="3195"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color w:val="000000"/>
                <w:kern w:val="0"/>
                <w:sz w:val="24"/>
                <w:szCs w:val="24"/>
              </w:rPr>
            </w:pPr>
          </w:p>
        </w:tc>
      </w:tr>
    </w:tbl>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41" w:name="_Toc488827465"/>
      <w:r>
        <w:rPr>
          <w:rFonts w:ascii="宋体" w:hAnsi="宋体" w:eastAsia="宋体" w:cs="宋体"/>
          <w:b/>
          <w:sz w:val="24"/>
          <w:szCs w:val="24"/>
        </w:rPr>
        <w:t xml:space="preserve">1. </w:t>
      </w:r>
      <w:r>
        <w:rPr>
          <w:rFonts w:hint="eastAsia" w:ascii="宋体" w:hAnsi="宋体" w:eastAsia="宋体" w:cs="宋体"/>
          <w:b/>
          <w:sz w:val="24"/>
          <w:szCs w:val="24"/>
        </w:rPr>
        <w:t>评标方法</w:t>
      </w:r>
      <w:bookmarkEnd w:id="41"/>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本次评标采用综合评估法。评标委员会对满足招标文件实质性要求的投标文件，按照本章规定的评审标准进行评审，并按得分由高到低顺序推荐中标候选人。评标中各评委若发生意见分歧，以少数服从多数原则确定。</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42" w:name="_Toc488827466"/>
      <w:r>
        <w:rPr>
          <w:rFonts w:ascii="宋体" w:hAnsi="宋体" w:eastAsia="宋体" w:cs="宋体"/>
          <w:b/>
          <w:sz w:val="24"/>
          <w:szCs w:val="24"/>
        </w:rPr>
        <w:t xml:space="preserve">2. </w:t>
      </w:r>
      <w:r>
        <w:rPr>
          <w:rFonts w:hint="eastAsia" w:ascii="宋体" w:hAnsi="宋体" w:eastAsia="宋体" w:cs="宋体"/>
          <w:b/>
          <w:sz w:val="24"/>
          <w:szCs w:val="24"/>
        </w:rPr>
        <w:t>评审标准</w:t>
      </w:r>
      <w:bookmarkEnd w:id="42"/>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2.1 </w:t>
      </w:r>
      <w:r>
        <w:rPr>
          <w:rFonts w:hint="eastAsia" w:ascii="宋体" w:hAnsi="宋体" w:eastAsia="宋体" w:cs="Arial"/>
          <w:color w:val="000000"/>
          <w:kern w:val="0"/>
          <w:sz w:val="24"/>
          <w:szCs w:val="24"/>
        </w:rPr>
        <w:t>资格审查标准：评审因素和评审标准见《资格审查标准》。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2.2 </w:t>
      </w:r>
      <w:r>
        <w:rPr>
          <w:rFonts w:hint="eastAsia" w:ascii="宋体" w:hAnsi="宋体" w:eastAsia="宋体" w:cs="Arial"/>
          <w:color w:val="000000"/>
          <w:kern w:val="0"/>
          <w:sz w:val="24"/>
          <w:szCs w:val="24"/>
        </w:rPr>
        <w:t>初步评审标准：评审因素和评审标准见《初步评审标准》。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2.3 </w:t>
      </w:r>
      <w:r>
        <w:rPr>
          <w:rFonts w:hint="eastAsia" w:ascii="宋体" w:hAnsi="宋体" w:eastAsia="宋体" w:cs="Arial"/>
          <w:color w:val="000000"/>
          <w:kern w:val="0"/>
          <w:sz w:val="24"/>
          <w:szCs w:val="24"/>
        </w:rPr>
        <w:t>详细评审标准：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2.3.1</w:t>
      </w:r>
      <w:r>
        <w:rPr>
          <w:rFonts w:hint="eastAsia" w:ascii="宋体" w:hAnsi="宋体" w:eastAsia="宋体" w:cs="Arial"/>
          <w:color w:val="000000"/>
          <w:kern w:val="0"/>
          <w:sz w:val="24"/>
          <w:szCs w:val="24"/>
        </w:rPr>
        <w:t>详细评审标准：评审因素和评审标准见《详细评审标准》。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2.3.2 </w:t>
      </w:r>
      <w:r>
        <w:rPr>
          <w:rFonts w:hint="eastAsia" w:ascii="宋体" w:hAnsi="宋体" w:eastAsia="宋体" w:cs="Arial"/>
          <w:color w:val="000000"/>
          <w:kern w:val="0"/>
          <w:sz w:val="24"/>
          <w:szCs w:val="24"/>
        </w:rPr>
        <w:t>投标报价评分标准：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）分值构成及权重：见评标办法前附表。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）评标基准价计算：见评标办法前附表。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）投标报价的偏差率计算：见评标办法前附表。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）投标报价得分的计算：见评标办法前附表。</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43" w:name="_Toc488827467"/>
      <w:r>
        <w:rPr>
          <w:rFonts w:ascii="宋体" w:hAnsi="宋体" w:eastAsia="宋体" w:cs="宋体"/>
          <w:b/>
          <w:sz w:val="24"/>
          <w:szCs w:val="24"/>
        </w:rPr>
        <w:t xml:space="preserve">3. </w:t>
      </w:r>
      <w:r>
        <w:rPr>
          <w:rFonts w:hint="eastAsia" w:ascii="宋体" w:hAnsi="宋体" w:eastAsia="宋体" w:cs="宋体"/>
          <w:b/>
          <w:sz w:val="24"/>
          <w:szCs w:val="24"/>
        </w:rPr>
        <w:t>评标程序</w:t>
      </w:r>
      <w:bookmarkEnd w:id="43"/>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3.1 </w:t>
      </w:r>
      <w:r>
        <w:rPr>
          <w:rFonts w:hint="eastAsia" w:ascii="宋体" w:hAnsi="宋体" w:eastAsia="宋体" w:cs="Arial"/>
          <w:color w:val="000000"/>
          <w:kern w:val="0"/>
          <w:sz w:val="24"/>
          <w:szCs w:val="24"/>
        </w:rPr>
        <w:t>基本程序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评标活动将按以下步骤进行：</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）评标准备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）资格审查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）初步评审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）详细评审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）澄清、说明或补正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6</w:t>
      </w:r>
      <w:r>
        <w:rPr>
          <w:rFonts w:hint="eastAsia" w:ascii="宋体" w:hAnsi="宋体" w:eastAsia="宋体" w:cs="Arial"/>
          <w:color w:val="000000"/>
          <w:kern w:val="0"/>
          <w:sz w:val="24"/>
          <w:szCs w:val="24"/>
        </w:rPr>
        <w:t>）推荐中标候选人及提交评标报告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 </w:t>
      </w:r>
      <w:r>
        <w:rPr>
          <w:rFonts w:hint="eastAsia" w:ascii="宋体" w:hAnsi="宋体" w:eastAsia="宋体" w:cs="Arial"/>
          <w:color w:val="000000"/>
          <w:kern w:val="0"/>
          <w:sz w:val="24"/>
          <w:szCs w:val="24"/>
        </w:rPr>
        <w:t>评标准备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3.2.1</w:t>
      </w:r>
      <w:r>
        <w:rPr>
          <w:rFonts w:hint="eastAsia" w:ascii="宋体" w:hAnsi="宋体" w:eastAsia="宋体" w:cs="Arial"/>
          <w:color w:val="000000"/>
          <w:kern w:val="0"/>
          <w:sz w:val="24"/>
          <w:szCs w:val="24"/>
        </w:rPr>
        <w:t>评标委员会成员签到</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评标委员会成员到达评标现场时应当在签到表上签到以证明其出席。</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3.2.2 </w:t>
      </w:r>
      <w:r>
        <w:rPr>
          <w:rFonts w:hint="eastAsia" w:ascii="宋体" w:hAnsi="宋体" w:eastAsia="宋体" w:cs="Arial"/>
          <w:color w:val="000000"/>
          <w:kern w:val="0"/>
          <w:sz w:val="24"/>
          <w:szCs w:val="24"/>
        </w:rPr>
        <w:t>评标委员会的分工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3.2.2.1</w:t>
      </w:r>
      <w:r>
        <w:rPr>
          <w:rFonts w:hint="eastAsia" w:ascii="宋体" w:hAnsi="宋体" w:eastAsia="宋体" w:cs="Arial"/>
          <w:color w:val="000000"/>
          <w:kern w:val="0"/>
          <w:sz w:val="24"/>
          <w:szCs w:val="24"/>
        </w:rPr>
        <w:t>评标委员会首先推选一名评标委员会主任。评标委员会主任负责评标活动的组织领导工作。评标委员会主任与评标委员会其他成员具有同等的评标权力。</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3.2.2.2 </w:t>
      </w:r>
      <w:r>
        <w:rPr>
          <w:rFonts w:hint="eastAsia" w:ascii="宋体" w:hAnsi="宋体" w:eastAsia="宋体" w:cs="Arial"/>
          <w:color w:val="000000"/>
          <w:kern w:val="0"/>
          <w:sz w:val="24"/>
          <w:szCs w:val="24"/>
        </w:rPr>
        <w:t>评标委员会主任除履行自己作为评标委员会成员独立评标的职责外，主要负责以下工作：</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）组织评标委员会成员学习招标文件；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）汇总各评标委员会成员认为需要投标人澄清、说明或者补正的问题；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）组织评标委员会对投标人质询并对投标人的答复进行评审；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）对出现较大争议的事项进行书面记录；</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6</w:t>
      </w:r>
      <w:r>
        <w:rPr>
          <w:rFonts w:hint="eastAsia" w:ascii="宋体" w:hAnsi="宋体" w:eastAsia="宋体" w:cs="Arial"/>
          <w:color w:val="000000"/>
          <w:kern w:val="0"/>
          <w:sz w:val="24"/>
          <w:szCs w:val="24"/>
        </w:rPr>
        <w:t>）组织对评标结论进行复核确认；</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7</w:t>
      </w:r>
      <w:r>
        <w:rPr>
          <w:rFonts w:hint="eastAsia" w:ascii="宋体" w:hAnsi="宋体" w:eastAsia="宋体" w:cs="Arial"/>
          <w:color w:val="000000"/>
          <w:kern w:val="0"/>
          <w:sz w:val="24"/>
          <w:szCs w:val="24"/>
        </w:rPr>
        <w:t>）组织编写评标报告。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3.2.3 </w:t>
      </w:r>
      <w:r>
        <w:rPr>
          <w:rFonts w:hint="eastAsia" w:ascii="宋体" w:hAnsi="宋体" w:eastAsia="宋体" w:cs="Arial"/>
          <w:color w:val="000000"/>
          <w:kern w:val="0"/>
          <w:sz w:val="24"/>
          <w:szCs w:val="24"/>
        </w:rPr>
        <w:t>熟悉文件资料</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3.2.3.1 </w:t>
      </w:r>
      <w:r>
        <w:rPr>
          <w:rFonts w:hint="eastAsia" w:ascii="宋体" w:hAnsi="宋体" w:eastAsia="宋体" w:cs="Arial"/>
          <w:color w:val="000000"/>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3.2.3.2 </w:t>
      </w:r>
      <w:r>
        <w:rPr>
          <w:rFonts w:hint="eastAsia" w:ascii="宋体" w:hAnsi="宋体" w:eastAsia="宋体" w:cs="Arial"/>
          <w:color w:val="000000"/>
          <w:kern w:val="0"/>
          <w:sz w:val="24"/>
          <w:szCs w:val="24"/>
        </w:rPr>
        <w:t>招标人或招标代理机构应当向评标委员会提供评标所需的信息和数据，包括：</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）招标文件及其澄清修改等招标文件补充；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）未在开标会上当场拒绝的各投标文件；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）开标会记录；</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）评标表格；</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）其他信息和数据。</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 </w:t>
      </w:r>
      <w:r>
        <w:rPr>
          <w:rFonts w:hint="eastAsia" w:ascii="宋体" w:hAnsi="宋体" w:eastAsia="宋体" w:cs="Arial"/>
          <w:color w:val="000000"/>
          <w:kern w:val="0"/>
          <w:sz w:val="24"/>
          <w:szCs w:val="24"/>
        </w:rPr>
        <w:t>资格审查（适用于资格后审）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依据本章规定的评审因素和评审标准，对投标人的资格审查资料进行资格评审。资格审查有一项未通过审查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 </w:t>
      </w:r>
      <w:r>
        <w:rPr>
          <w:rFonts w:hint="eastAsia" w:ascii="宋体" w:hAnsi="宋体" w:eastAsia="宋体" w:cs="Arial"/>
          <w:color w:val="000000"/>
          <w:kern w:val="0"/>
          <w:sz w:val="24"/>
          <w:szCs w:val="24"/>
        </w:rPr>
        <w:t>初步评审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3.4.1 </w:t>
      </w:r>
      <w:r>
        <w:rPr>
          <w:rFonts w:hint="eastAsia" w:ascii="宋体" w:hAnsi="宋体" w:eastAsia="宋体" w:cs="Arial"/>
          <w:color w:val="000000"/>
          <w:kern w:val="0"/>
          <w:sz w:val="24"/>
          <w:szCs w:val="24"/>
        </w:rPr>
        <w:t>评标委员会依据本章规定的评审因素和评审标准，对投标人的投标文件进行符合性审查。初步评审有一项未通过审查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3.4.2 </w:t>
      </w:r>
      <w:r>
        <w:rPr>
          <w:rFonts w:hint="eastAsia" w:ascii="宋体" w:hAnsi="宋体" w:eastAsia="宋体" w:cs="Arial"/>
          <w:color w:val="000000"/>
          <w:kern w:val="0"/>
          <w:sz w:val="24"/>
          <w:szCs w:val="24"/>
        </w:rPr>
        <w:t>初步评审条款是指对本招标项目产生了重大影响的重大偏差，而且纠正此类偏差将会对响应本次招标的其他投标人的竞争地位产生不公正的影响。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3.4.3</w:t>
      </w:r>
      <w:r>
        <w:rPr>
          <w:rFonts w:hint="eastAsia" w:ascii="宋体" w:hAnsi="宋体" w:eastAsia="宋体" w:cs="Arial"/>
          <w:color w:val="000000"/>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 </w:t>
      </w:r>
      <w:r>
        <w:rPr>
          <w:rFonts w:hint="eastAsia" w:ascii="宋体" w:hAnsi="宋体" w:eastAsia="宋体" w:cs="Arial"/>
          <w:color w:val="000000"/>
          <w:kern w:val="0"/>
          <w:sz w:val="24"/>
          <w:szCs w:val="24"/>
        </w:rPr>
        <w:t>详细评审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3.5.1.</w:t>
      </w:r>
      <w:r>
        <w:rPr>
          <w:rFonts w:hint="eastAsia" w:ascii="宋体" w:hAnsi="宋体" w:eastAsia="宋体" w:cs="Arial"/>
          <w:color w:val="000000"/>
          <w:kern w:val="0"/>
          <w:sz w:val="24"/>
          <w:szCs w:val="24"/>
        </w:rPr>
        <w:t>只有通过了资格审查、初步评审的投标方可进入详细评审。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3.5.2 </w:t>
      </w:r>
      <w:r>
        <w:rPr>
          <w:rFonts w:hint="eastAsia" w:ascii="宋体" w:hAnsi="宋体" w:eastAsia="宋体" w:cs="Arial"/>
          <w:color w:val="000000"/>
          <w:kern w:val="0"/>
          <w:sz w:val="24"/>
          <w:szCs w:val="24"/>
        </w:rPr>
        <w:t>澄清答疑：在不改变投标人投标文件实质性内容的前提下，评标委员会应当对投标文件进行基础性数据分析和整理，从而发现并提取其中可能存在的对招标范围理解的偏差、技术响应偏离、投标报价的算术性错误、错漏项、投标报价构成不合理、不平衡报价等存在明显异常的问题。评标委员会针对需要投标人进行书面澄清、说明或补正的，可向投标人发出书面澄清通知。澄清通知不得向投标人提出带有暗示性或诱导性问题，或向其明确投标文件中的遗漏和错误。投标人接到评标委员会发出的书面澄清通知后，应按评标委员会的要求提供书面澄清资料，并在规定的时间递交到指定地点。</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3.5.3</w:t>
      </w:r>
      <w:r>
        <w:rPr>
          <w:rFonts w:hint="eastAsia" w:ascii="宋体" w:hAnsi="宋体" w:eastAsia="宋体" w:cs="Arial"/>
          <w:color w:val="000000"/>
          <w:kern w:val="0"/>
          <w:sz w:val="24"/>
          <w:szCs w:val="24"/>
        </w:rPr>
        <w:t>详细评审：见附表《详细评审标准》。投标人详细评审得分等于评委评分去掉一个最高分和一个最低分后的算术平均值。</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3.5.4 </w:t>
      </w:r>
      <w:r>
        <w:rPr>
          <w:rFonts w:hint="eastAsia" w:ascii="宋体" w:hAnsi="宋体" w:eastAsia="宋体" w:cs="Arial"/>
          <w:color w:val="000000"/>
          <w:kern w:val="0"/>
          <w:sz w:val="24"/>
          <w:szCs w:val="24"/>
        </w:rPr>
        <w:t>算术错误修正：投标报价有算术错误的，评标委员会按以下原则对投标报价进行修正，修正的价格经投标人书面确认后具有约束力。投标人不接受修正价格的，其投标将被否决。</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）投标文件中的大写金额与小写金额不一致的，以大写金额为准；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3.5.5 </w:t>
      </w:r>
      <w:r>
        <w:rPr>
          <w:rFonts w:hint="eastAsia" w:ascii="宋体" w:hAnsi="宋体" w:eastAsia="宋体" w:cs="Arial"/>
          <w:color w:val="000000"/>
          <w:kern w:val="0"/>
          <w:sz w:val="24"/>
          <w:szCs w:val="24"/>
        </w:rPr>
        <w:t>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3.5.6 </w:t>
      </w:r>
      <w:r>
        <w:rPr>
          <w:rFonts w:hint="eastAsia" w:ascii="宋体" w:hAnsi="宋体" w:eastAsia="宋体" w:cs="Arial"/>
          <w:color w:val="000000"/>
          <w:kern w:val="0"/>
          <w:sz w:val="24"/>
          <w:szCs w:val="24"/>
        </w:rPr>
        <w:t>投标报价评分：对经过上述评审的有效投标报价进行投标报价得分计算，计算方法详见评标办法前附表。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3.5.7 </w:t>
      </w:r>
      <w:r>
        <w:rPr>
          <w:rFonts w:hint="eastAsia" w:ascii="宋体" w:hAnsi="宋体" w:eastAsia="宋体" w:cs="Arial"/>
          <w:color w:val="000000"/>
          <w:kern w:val="0"/>
          <w:sz w:val="24"/>
          <w:szCs w:val="24"/>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3.5.8 </w:t>
      </w:r>
      <w:r>
        <w:rPr>
          <w:rFonts w:hint="eastAsia" w:ascii="宋体" w:hAnsi="宋体" w:eastAsia="宋体" w:cs="Arial"/>
          <w:color w:val="000000"/>
          <w:kern w:val="0"/>
          <w:sz w:val="24"/>
          <w:szCs w:val="24"/>
        </w:rPr>
        <w:t>详细评审工作全部结束后，按照详细评审最终得分由高到低的次序对投标人进行排序。如果出现最终得分相同的情况时，以投标报价低者优先。</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3.6 </w:t>
      </w:r>
      <w:r>
        <w:rPr>
          <w:rFonts w:hint="eastAsia" w:ascii="宋体" w:hAnsi="宋体" w:eastAsia="宋体" w:cs="Arial"/>
          <w:color w:val="000000"/>
          <w:kern w:val="0"/>
          <w:sz w:val="24"/>
          <w:szCs w:val="24"/>
        </w:rPr>
        <w:t>澄清、说明或补正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3.6.1</w:t>
      </w:r>
      <w:r>
        <w:rPr>
          <w:rFonts w:hint="eastAsia" w:ascii="宋体" w:hAnsi="宋体" w:eastAsia="宋体" w:cs="Arial"/>
          <w:color w:val="000000"/>
          <w:kern w:val="0"/>
          <w:sz w:val="24"/>
          <w:szCs w:val="24"/>
        </w:rPr>
        <w:t>在评标过程中，评标委员会可以书面形式要求投标人对所提交投标文件中不明确的内容进行书面澄清或说明，或者对细微偏差进行补正。评标委员会不接受投标人主动提出的澄清、说明或补正。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3.6.2 </w:t>
      </w:r>
      <w:r>
        <w:rPr>
          <w:rFonts w:hint="eastAsia" w:ascii="宋体" w:hAnsi="宋体" w:eastAsia="宋体" w:cs="Arial"/>
          <w:color w:val="000000"/>
          <w:kern w:val="0"/>
          <w:sz w:val="24"/>
          <w:szCs w:val="24"/>
        </w:rPr>
        <w:t>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3.6.3 </w:t>
      </w:r>
      <w:r>
        <w:rPr>
          <w:rFonts w:hint="eastAsia" w:ascii="宋体" w:hAnsi="宋体" w:eastAsia="宋体" w:cs="Arial"/>
          <w:color w:val="000000"/>
          <w:kern w:val="0"/>
          <w:sz w:val="24"/>
          <w:szCs w:val="24"/>
        </w:rPr>
        <w:t>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3.7 </w:t>
      </w:r>
      <w:r>
        <w:rPr>
          <w:rFonts w:hint="eastAsia" w:ascii="宋体" w:hAnsi="宋体" w:eastAsia="宋体" w:cs="Arial"/>
          <w:color w:val="000000"/>
          <w:kern w:val="0"/>
          <w:sz w:val="24"/>
          <w:szCs w:val="24"/>
        </w:rPr>
        <w:t>推荐中标候选人及提交评标报告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3.7.1</w:t>
      </w:r>
      <w:r>
        <w:rPr>
          <w:rFonts w:hint="eastAsia" w:ascii="宋体" w:hAnsi="宋体" w:eastAsia="宋体" w:cs="Arial"/>
          <w:kern w:val="0"/>
          <w:sz w:val="24"/>
          <w:szCs w:val="24"/>
        </w:rPr>
        <w:t>评标委员会按照最终得分由高到低的顺序推荐前三名中标候选人。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3.7.2 </w:t>
      </w:r>
      <w:r>
        <w:rPr>
          <w:rFonts w:hint="eastAsia" w:ascii="宋体" w:hAnsi="宋体" w:eastAsia="宋体" w:cs="Arial"/>
          <w:color w:val="000000"/>
          <w:kern w:val="0"/>
          <w:sz w:val="24"/>
          <w:szCs w:val="24"/>
        </w:rPr>
        <w:t>有效投标人数量少于三个或者所有投标被否决的，招标人应当依法重新招标。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3.7.3 </w:t>
      </w:r>
      <w:r>
        <w:rPr>
          <w:rFonts w:hint="eastAsia" w:ascii="宋体" w:hAnsi="宋体" w:eastAsia="宋体" w:cs="Arial"/>
          <w:color w:val="000000"/>
          <w:kern w:val="0"/>
          <w:sz w:val="24"/>
          <w:szCs w:val="24"/>
        </w:rPr>
        <w:t>评标委员会完成评标后，应当向招标人提交书面评标报告。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 </w:t>
      </w:r>
      <w:r>
        <w:rPr>
          <w:rFonts w:hint="eastAsia" w:ascii="宋体" w:hAnsi="宋体" w:eastAsia="宋体" w:cs="Arial"/>
          <w:color w:val="000000"/>
          <w:kern w:val="0"/>
          <w:sz w:val="24"/>
          <w:szCs w:val="24"/>
        </w:rPr>
        <w:t>特殊情况的处置程序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3.8.1 </w:t>
      </w:r>
      <w:r>
        <w:rPr>
          <w:rFonts w:hint="eastAsia" w:ascii="宋体" w:hAnsi="宋体" w:eastAsia="宋体" w:cs="Arial"/>
          <w:color w:val="000000"/>
          <w:kern w:val="0"/>
          <w:sz w:val="24"/>
          <w:szCs w:val="24"/>
        </w:rPr>
        <w:t>关于评标活动暂停</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3.8.2</w:t>
      </w:r>
      <w:r>
        <w:rPr>
          <w:rFonts w:hint="eastAsia" w:ascii="宋体" w:hAnsi="宋体" w:eastAsia="宋体" w:cs="Arial"/>
          <w:color w:val="000000"/>
          <w:kern w:val="0"/>
          <w:sz w:val="24"/>
          <w:szCs w:val="24"/>
        </w:rPr>
        <w:t>关于评标中途更换评委</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3.8.2.1 </w:t>
      </w:r>
      <w:r>
        <w:rPr>
          <w:rFonts w:hint="eastAsia" w:ascii="宋体" w:hAnsi="宋体" w:eastAsia="宋体" w:cs="Arial"/>
          <w:color w:val="000000"/>
          <w:kern w:val="0"/>
          <w:sz w:val="24"/>
          <w:szCs w:val="24"/>
        </w:rPr>
        <w:t>除非发生下列情况之一，评标委员会成员不得在评标中途更换：</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）因不可抗拒的客观原因，不能到场或需在评标中途退出评标活动。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）根据法律法规规定，某个或某几个评标委员会成员需要回避。</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3.8.2.2 </w:t>
      </w:r>
      <w:r>
        <w:rPr>
          <w:rFonts w:hint="eastAsia" w:ascii="宋体" w:hAnsi="宋体" w:eastAsia="宋体" w:cs="Arial"/>
          <w:color w:val="000000"/>
          <w:kern w:val="0"/>
          <w:sz w:val="24"/>
          <w:szCs w:val="24"/>
        </w:rPr>
        <w:t>退出评标的评标委员会成员，其已完成的评标行为无效，由更换的评委进行评标。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3.8.3 </w:t>
      </w:r>
      <w:r>
        <w:rPr>
          <w:rFonts w:hint="eastAsia" w:ascii="宋体" w:hAnsi="宋体" w:eastAsia="宋体" w:cs="Arial"/>
          <w:color w:val="000000"/>
          <w:kern w:val="0"/>
          <w:sz w:val="24"/>
          <w:szCs w:val="24"/>
        </w:rPr>
        <w:t>在评标环节中，需评标委员会就某项定性的评审结论做出表决的，由评标委员会全体成员按照少数服从多数的原则确定。</w:t>
      </w:r>
    </w:p>
    <w:p>
      <w:pPr>
        <w:widowControl/>
        <w:shd w:val="clear" w:color="auto" w:fill="FFFFFF"/>
        <w:snapToGrid w:val="0"/>
        <w:spacing w:line="360" w:lineRule="auto"/>
        <w:jc w:val="center"/>
        <w:rPr>
          <w:rFonts w:ascii="宋体" w:hAnsi="Calibri" w:eastAsia="宋体" w:cs="Times New Roman"/>
          <w:b/>
          <w:sz w:val="24"/>
          <w:szCs w:val="24"/>
        </w:rPr>
      </w:pPr>
      <w:r>
        <w:rPr>
          <w:rFonts w:ascii="宋体" w:hAnsi="Calibri" w:eastAsia="宋体" w:cs="Arial"/>
          <w:color w:val="000000"/>
          <w:kern w:val="0"/>
          <w:sz w:val="24"/>
          <w:szCs w:val="24"/>
        </w:rPr>
        <w:br w:type="page"/>
      </w:r>
      <w:bookmarkStart w:id="44" w:name="_Toc485312286"/>
      <w:r>
        <w:rPr>
          <w:rFonts w:hint="eastAsia" w:ascii="宋体" w:hAnsi="宋体" w:eastAsia="宋体" w:cs="Times New Roman"/>
          <w:b/>
          <w:sz w:val="24"/>
          <w:szCs w:val="24"/>
        </w:rPr>
        <w:t>问题澄清通知</w:t>
      </w:r>
    </w:p>
    <w:p>
      <w:pPr>
        <w:rPr>
          <w:rFonts w:ascii="宋体" w:hAnsi="Calibri" w:eastAsia="宋体" w:cs="Times New Roman"/>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（投标人名称）：</w:t>
      </w:r>
    </w:p>
    <w:p>
      <w:pPr>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（招标项目名称）招标的评标委员会，对你方的投标文件进行了仔细的审查，现需你方对本通知所附质疑问卷中的问题以书面形式予以澄清、说明或者补正。</w:t>
      </w: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质疑问题：</w:t>
      </w: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评标委员会员（签字）：</w:t>
      </w: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w:t>
      </w:r>
      <w:r>
        <w:rPr>
          <w:rFonts w:hint="eastAsia" w:ascii="宋体" w:hAnsi="宋体" w:eastAsia="宋体" w:cs="Arial"/>
          <w:color w:val="000000"/>
          <w:kern w:val="0"/>
          <w:sz w:val="24"/>
          <w:szCs w:val="24"/>
          <w:lang w:val="en-US" w:eastAsia="zh-CN"/>
        </w:rPr>
        <w:t xml:space="preserve"> </w:t>
      </w:r>
      <w:r>
        <w:rPr>
          <w:rFonts w:hint="eastAsia" w:ascii="宋体" w:hAnsi="宋体" w:eastAsia="宋体" w:cs="Arial"/>
          <w:color w:val="000000"/>
          <w:kern w:val="0"/>
          <w:sz w:val="24"/>
          <w:szCs w:val="24"/>
        </w:rPr>
        <w:t>月</w:t>
      </w:r>
      <w:r>
        <w:rPr>
          <w:rFonts w:hint="eastAsia" w:ascii="宋体" w:hAnsi="宋体" w:eastAsia="宋体" w:cs="Arial"/>
          <w:color w:val="000000"/>
          <w:kern w:val="0"/>
          <w:sz w:val="24"/>
          <w:szCs w:val="24"/>
          <w:lang w:val="en-US" w:eastAsia="zh-CN"/>
        </w:rPr>
        <w:t xml:space="preserve"> </w:t>
      </w:r>
      <w:r>
        <w:rPr>
          <w:rFonts w:hint="eastAsia" w:ascii="宋体" w:hAnsi="宋体" w:eastAsia="宋体" w:cs="Arial"/>
          <w:color w:val="000000"/>
          <w:kern w:val="0"/>
          <w:sz w:val="24"/>
          <w:szCs w:val="24"/>
        </w:rPr>
        <w:t>日</w:t>
      </w:r>
    </w:p>
    <w:p>
      <w:pPr>
        <w:jc w:val="center"/>
        <w:rPr>
          <w:rFonts w:ascii="宋体" w:hAnsi="Calibri" w:eastAsia="宋体" w:cs="Times New Roman"/>
          <w:b/>
          <w:sz w:val="24"/>
          <w:szCs w:val="24"/>
        </w:rPr>
      </w:pPr>
      <w:r>
        <w:rPr>
          <w:rFonts w:ascii="宋体" w:hAnsi="Calibri" w:eastAsia="宋体" w:cs="Arial"/>
          <w:color w:val="000000"/>
          <w:kern w:val="0"/>
          <w:sz w:val="24"/>
          <w:szCs w:val="24"/>
        </w:rPr>
        <w:br w:type="page"/>
      </w:r>
      <w:r>
        <w:rPr>
          <w:rFonts w:hint="eastAsia" w:ascii="宋体" w:hAnsi="宋体" w:eastAsia="宋体" w:cs="Times New Roman"/>
          <w:b/>
          <w:sz w:val="24"/>
          <w:szCs w:val="24"/>
        </w:rPr>
        <w:t>问题的澄清、说明或补正</w:t>
      </w:r>
    </w:p>
    <w:p>
      <w:pPr>
        <w:rPr>
          <w:rFonts w:ascii="宋体" w:hAnsi="宋体"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w:t>
      </w:r>
    </w:p>
    <w:p>
      <w:pPr>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（招标项目名称）的问题澄清通知已收悉，现澄清、说明或者补正如下：</w:t>
      </w: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法定代表人或其授权委托人（签字）：</w:t>
      </w: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日期：年月日</w:t>
      </w:r>
    </w:p>
    <w:p>
      <w:pPr>
        <w:spacing w:line="440" w:lineRule="exact"/>
        <w:jc w:val="center"/>
        <w:outlineLvl w:val="0"/>
        <w:rPr>
          <w:rFonts w:ascii="宋体" w:hAnsi="宋体" w:eastAsia="宋体" w:cs="宋体"/>
          <w:b/>
          <w:sz w:val="24"/>
          <w:szCs w:val="24"/>
        </w:rPr>
      </w:pPr>
      <w:r>
        <w:rPr>
          <w:rFonts w:ascii="宋体" w:hAnsi="Calibri" w:eastAsia="宋体" w:cs="Arial"/>
          <w:color w:val="000000"/>
          <w:kern w:val="0"/>
          <w:sz w:val="24"/>
          <w:szCs w:val="24"/>
        </w:rPr>
        <w:br w:type="page"/>
      </w:r>
      <w:bookmarkStart w:id="45" w:name="_Toc488827468"/>
      <w:r>
        <w:rPr>
          <w:rFonts w:hint="eastAsia" w:ascii="宋体" w:hAnsi="宋体" w:eastAsia="宋体" w:cs="宋体"/>
          <w:b/>
          <w:sz w:val="24"/>
          <w:szCs w:val="24"/>
        </w:rPr>
        <w:t>第三章合同</w:t>
      </w:r>
      <w:bookmarkEnd w:id="44"/>
      <w:bookmarkEnd w:id="45"/>
    </w:p>
    <w:p>
      <w:pPr>
        <w:spacing w:line="440" w:lineRule="exact"/>
        <w:jc w:val="center"/>
        <w:rPr>
          <w:rFonts w:hint="eastAsia" w:ascii="宋体" w:hAnsi="宋体" w:cs="宋体"/>
          <w:b/>
          <w:bCs/>
          <w:kern w:val="0"/>
          <w:sz w:val="30"/>
          <w:szCs w:val="30"/>
        </w:rPr>
      </w:pPr>
      <w:r>
        <w:rPr>
          <w:rFonts w:ascii="宋体" w:hAnsi="宋体" w:cs="宋体"/>
          <w:b/>
          <w:bCs/>
          <w:kern w:val="0"/>
          <w:sz w:val="30"/>
          <w:szCs w:val="30"/>
        </w:rPr>
        <w:t>政府采购合同</w:t>
      </w:r>
    </w:p>
    <w:p>
      <w:pPr>
        <w:spacing w:line="440" w:lineRule="exact"/>
        <w:ind w:right="420" w:firstLine="6115" w:firstLineChars="2912"/>
        <w:rPr>
          <w:rFonts w:hint="eastAsia" w:ascii="宋体" w:hAnsi="宋体"/>
          <w:szCs w:val="21"/>
        </w:rPr>
      </w:pPr>
    </w:p>
    <w:p>
      <w:pPr>
        <w:spacing w:line="440" w:lineRule="exact"/>
        <w:ind w:firstLine="4935" w:firstLineChars="2350"/>
        <w:rPr>
          <w:rFonts w:hint="eastAsia" w:ascii="宋体" w:hAnsi="宋体"/>
          <w:szCs w:val="21"/>
          <w:u w:val="single"/>
        </w:rPr>
      </w:pPr>
      <w:r>
        <w:rPr>
          <w:rFonts w:hint="eastAsia" w:ascii="宋体" w:hAnsi="宋体"/>
          <w:szCs w:val="21"/>
        </w:rPr>
        <w:t>合同编号：</w:t>
      </w:r>
      <w:r>
        <w:rPr>
          <w:rFonts w:hint="eastAsia" w:ascii="宋体" w:hAnsi="宋体"/>
          <w:szCs w:val="21"/>
          <w:u w:val="single"/>
        </w:rPr>
        <w:t xml:space="preserve">                      </w:t>
      </w:r>
    </w:p>
    <w:p>
      <w:pPr>
        <w:spacing w:line="440" w:lineRule="exact"/>
        <w:rPr>
          <w:rFonts w:ascii="宋体" w:hAnsi="宋体" w:cs="宋体"/>
          <w:kern w:val="0"/>
          <w:szCs w:val="21"/>
        </w:rPr>
      </w:pPr>
    </w:p>
    <w:p>
      <w:pPr>
        <w:spacing w:line="440" w:lineRule="exact"/>
        <w:rPr>
          <w:rFonts w:hint="eastAsia" w:ascii="宋体" w:hAnsi="宋体" w:cs="宋体"/>
          <w:kern w:val="0"/>
          <w:szCs w:val="21"/>
        </w:rPr>
      </w:pPr>
      <w:r>
        <w:rPr>
          <w:rFonts w:ascii="宋体" w:hAnsi="宋体" w:cs="宋体"/>
          <w:kern w:val="0"/>
          <w:szCs w:val="21"/>
        </w:rPr>
        <w:t>　　甲方（采购单位）：</w:t>
      </w:r>
      <w:r>
        <w:rPr>
          <w:rFonts w:hint="eastAsia" w:ascii="宋体" w:hAnsi="宋体" w:cs="宋体"/>
          <w:kern w:val="0"/>
          <w:szCs w:val="21"/>
          <w:u w:val="single"/>
        </w:rPr>
        <w:t xml:space="preserve">     乌鲁木齐第二强制隔离戒毒所             </w:t>
      </w:r>
    </w:p>
    <w:p>
      <w:pPr>
        <w:spacing w:line="440" w:lineRule="exact"/>
        <w:rPr>
          <w:rFonts w:hint="eastAsia" w:ascii="宋体" w:hAnsi="宋体" w:cs="宋体"/>
          <w:kern w:val="0"/>
          <w:szCs w:val="21"/>
        </w:rPr>
      </w:pPr>
      <w:r>
        <w:rPr>
          <w:rFonts w:ascii="宋体" w:hAnsi="宋体" w:cs="宋体"/>
          <w:kern w:val="0"/>
          <w:szCs w:val="21"/>
        </w:rPr>
        <w:t>　　乙方（供货单位）：</w:t>
      </w:r>
      <w:r>
        <w:rPr>
          <w:rFonts w:hint="eastAsia" w:ascii="宋体" w:hAnsi="宋体" w:cs="宋体"/>
          <w:kern w:val="0"/>
          <w:szCs w:val="21"/>
          <w:u w:val="single"/>
        </w:rPr>
        <w:t xml:space="preserve">                                          </w:t>
      </w:r>
    </w:p>
    <w:p>
      <w:pPr>
        <w:spacing w:line="440" w:lineRule="exact"/>
        <w:ind w:firstLine="420" w:firstLineChars="200"/>
        <w:rPr>
          <w:rFonts w:ascii="宋体" w:hAnsi="宋体" w:cs="宋体"/>
          <w:kern w:val="0"/>
          <w:szCs w:val="21"/>
        </w:rPr>
      </w:pPr>
      <w:r>
        <w:rPr>
          <w:rFonts w:ascii="宋体" w:hAnsi="宋体" w:cs="宋体"/>
          <w:kern w:val="0"/>
          <w:szCs w:val="21"/>
        </w:rPr>
        <w:t>根据《中华人民共和国</w:t>
      </w:r>
      <w:r>
        <w:rPr>
          <w:rFonts w:hint="eastAsia" w:ascii="宋体" w:hAnsi="宋体" w:cs="宋体"/>
          <w:kern w:val="0"/>
          <w:szCs w:val="21"/>
        </w:rPr>
        <w:t>民法典</w:t>
      </w:r>
      <w:r>
        <w:rPr>
          <w:rFonts w:ascii="宋体" w:hAnsi="宋体" w:cs="宋体"/>
          <w:kern w:val="0"/>
          <w:szCs w:val="21"/>
        </w:rPr>
        <w:t>》及</w:t>
      </w:r>
      <w:r>
        <w:rPr>
          <w:rFonts w:hint="eastAsia" w:ascii="宋体" w:hAnsi="宋体" w:cs="宋体"/>
          <w:kern w:val="0"/>
          <w:szCs w:val="21"/>
          <w:u w:val="single"/>
        </w:rPr>
        <w:t xml:space="preserve">          </w:t>
      </w:r>
      <w:r>
        <w:rPr>
          <w:rFonts w:ascii="宋体" w:hAnsi="宋体" w:cs="宋体"/>
          <w:kern w:val="0"/>
          <w:szCs w:val="21"/>
        </w:rPr>
        <w:t>年</w:t>
      </w:r>
      <w:r>
        <w:rPr>
          <w:rFonts w:hint="eastAsia" w:ascii="宋体" w:hAnsi="宋体" w:cs="宋体"/>
          <w:kern w:val="0"/>
          <w:szCs w:val="21"/>
          <w:u w:val="single"/>
        </w:rPr>
        <w:t xml:space="preserve">         </w:t>
      </w:r>
      <w:r>
        <w:rPr>
          <w:rFonts w:ascii="宋体" w:hAnsi="宋体" w:cs="宋体"/>
          <w:kern w:val="0"/>
          <w:szCs w:val="21"/>
        </w:rPr>
        <w:t>月</w:t>
      </w:r>
      <w:r>
        <w:rPr>
          <w:rFonts w:hint="eastAsia" w:ascii="宋体" w:hAnsi="宋体" w:cs="宋体"/>
          <w:kern w:val="0"/>
          <w:szCs w:val="21"/>
          <w:u w:val="single"/>
        </w:rPr>
        <w:t xml:space="preserve">          </w:t>
      </w:r>
      <w:r>
        <w:rPr>
          <w:rFonts w:ascii="宋体" w:hAnsi="宋体" w:cs="宋体"/>
          <w:kern w:val="0"/>
          <w:szCs w:val="21"/>
        </w:rPr>
        <w:t>日</w:t>
      </w:r>
      <w:r>
        <w:rPr>
          <w:rFonts w:hint="eastAsia" w:ascii="宋体" w:hAnsi="宋体" w:cs="宋体"/>
          <w:kern w:val="0"/>
          <w:szCs w:val="21"/>
          <w:u w:val="single"/>
        </w:rPr>
        <w:t xml:space="preserve">         </w:t>
      </w:r>
      <w:r>
        <w:rPr>
          <w:rFonts w:ascii="宋体" w:hAnsi="宋体" w:cs="宋体"/>
          <w:kern w:val="0"/>
          <w:szCs w:val="21"/>
        </w:rPr>
        <w:t>（招标中心名称）关于</w:t>
      </w:r>
      <w:r>
        <w:rPr>
          <w:rFonts w:hint="eastAsia" w:ascii="宋体" w:hAnsi="宋体" w:cs="宋体"/>
          <w:kern w:val="0"/>
          <w:szCs w:val="21"/>
          <w:u w:val="single"/>
        </w:rPr>
        <w:t xml:space="preserve">          </w:t>
      </w:r>
      <w:r>
        <w:rPr>
          <w:rFonts w:ascii="宋体" w:hAnsi="宋体" w:cs="宋体"/>
          <w:kern w:val="0"/>
          <w:szCs w:val="21"/>
        </w:rPr>
        <w:t>项目的招标结果和招标文件（招标编号：</w:t>
      </w:r>
      <w:r>
        <w:rPr>
          <w:rFonts w:hint="eastAsia" w:ascii="宋体" w:hAnsi="宋体" w:cs="宋体"/>
          <w:kern w:val="0"/>
          <w:szCs w:val="21"/>
          <w:u w:val="single"/>
        </w:rPr>
        <w:t xml:space="preserve">          </w:t>
      </w:r>
      <w:r>
        <w:rPr>
          <w:rFonts w:ascii="宋体" w:hAnsi="宋体" w:cs="宋体"/>
          <w:kern w:val="0"/>
          <w:szCs w:val="21"/>
        </w:rPr>
        <w:t>）的要求，经双方协商一致，签订本合同。</w:t>
      </w:r>
    </w:p>
    <w:p>
      <w:pPr>
        <w:spacing w:line="440" w:lineRule="exact"/>
        <w:rPr>
          <w:rFonts w:ascii="宋体" w:hAnsi="宋体" w:cs="宋体"/>
          <w:kern w:val="0"/>
          <w:szCs w:val="21"/>
        </w:rPr>
      </w:pPr>
      <w:r>
        <w:rPr>
          <w:rFonts w:ascii="宋体" w:hAnsi="宋体" w:cs="宋体"/>
          <w:kern w:val="0"/>
          <w:szCs w:val="21"/>
        </w:rPr>
        <w:t>　　</w:t>
      </w:r>
      <w:r>
        <w:rPr>
          <w:rFonts w:ascii="宋体" w:hAnsi="宋体" w:cs="宋体"/>
          <w:b/>
          <w:kern w:val="0"/>
          <w:szCs w:val="21"/>
        </w:rPr>
        <w:t>第一条</w:t>
      </w:r>
      <w:r>
        <w:rPr>
          <w:rFonts w:hint="eastAsia" w:ascii="宋体" w:hAnsi="宋体" w:cs="宋体"/>
          <w:b/>
          <w:kern w:val="0"/>
          <w:szCs w:val="21"/>
        </w:rPr>
        <w:t xml:space="preserve"> </w:t>
      </w:r>
      <w:r>
        <w:rPr>
          <w:rFonts w:ascii="宋体" w:hAnsi="宋体" w:cs="宋体"/>
          <w:kern w:val="0"/>
          <w:szCs w:val="21"/>
        </w:rPr>
        <w:t>合同货物</w:t>
      </w:r>
    </w:p>
    <w:p>
      <w:pPr>
        <w:spacing w:line="440" w:lineRule="exact"/>
        <w:ind w:firstLine="420" w:firstLineChars="200"/>
        <w:rPr>
          <w:rFonts w:hint="eastAsia" w:ascii="宋体" w:hAnsi="宋体" w:cs="宋体"/>
          <w:kern w:val="0"/>
          <w:szCs w:val="21"/>
        </w:rPr>
      </w:pPr>
      <w:r>
        <w:rPr>
          <w:rFonts w:ascii="宋体" w:hAnsi="宋体" w:cs="宋体"/>
          <w:kern w:val="0"/>
          <w:szCs w:val="21"/>
        </w:rPr>
        <w:t>乙方根据甲方要求提供以下货物：</w:t>
      </w:r>
      <w:r>
        <w:rPr>
          <w:rFonts w:hint="eastAsia" w:ascii="宋体" w:hAnsi="宋体" w:cs="宋体"/>
          <w:kern w:val="0"/>
          <w:szCs w:val="21"/>
        </w:rPr>
        <w:t>2022年自合同签订生效之日起一年内，甲方向乙方采购的货物（包括服务）。</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80"/>
        <w:gridCol w:w="900"/>
        <w:gridCol w:w="900"/>
        <w:gridCol w:w="900"/>
        <w:gridCol w:w="900"/>
        <w:gridCol w:w="720"/>
        <w:gridCol w:w="807"/>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260" w:type="dxa"/>
            <w:noWrap w:val="0"/>
            <w:vAlign w:val="center"/>
          </w:tcPr>
          <w:p>
            <w:pPr>
              <w:spacing w:line="440" w:lineRule="exact"/>
              <w:rPr>
                <w:rFonts w:hint="eastAsia" w:ascii="宋体" w:hAnsi="宋体" w:cs="宋体"/>
                <w:kern w:val="0"/>
                <w:szCs w:val="21"/>
              </w:rPr>
            </w:pPr>
            <w:r>
              <w:rPr>
                <w:rFonts w:hint="eastAsia" w:ascii="宋体" w:hAnsi="宋体" w:cs="宋体"/>
                <w:kern w:val="0"/>
                <w:szCs w:val="21"/>
              </w:rPr>
              <w:t>货物品名</w:t>
            </w:r>
          </w:p>
        </w:tc>
        <w:tc>
          <w:tcPr>
            <w:tcW w:w="1080" w:type="dxa"/>
            <w:noWrap w:val="0"/>
            <w:vAlign w:val="center"/>
          </w:tcPr>
          <w:p>
            <w:pPr>
              <w:spacing w:line="440" w:lineRule="exact"/>
              <w:rPr>
                <w:rFonts w:hint="eastAsia" w:ascii="宋体" w:hAnsi="宋体" w:cs="宋体"/>
                <w:kern w:val="0"/>
                <w:szCs w:val="21"/>
              </w:rPr>
            </w:pPr>
            <w:r>
              <w:rPr>
                <w:rFonts w:hint="eastAsia" w:ascii="宋体" w:hAnsi="宋体" w:cs="宋体"/>
                <w:kern w:val="0"/>
                <w:szCs w:val="21"/>
              </w:rPr>
              <w:t>规格</w:t>
            </w:r>
          </w:p>
        </w:tc>
        <w:tc>
          <w:tcPr>
            <w:tcW w:w="900" w:type="dxa"/>
            <w:noWrap w:val="0"/>
            <w:vAlign w:val="center"/>
          </w:tcPr>
          <w:p>
            <w:pPr>
              <w:spacing w:line="440" w:lineRule="exact"/>
              <w:rPr>
                <w:rFonts w:hint="eastAsia" w:ascii="宋体" w:hAnsi="宋体" w:cs="宋体"/>
                <w:kern w:val="0"/>
                <w:szCs w:val="21"/>
              </w:rPr>
            </w:pPr>
            <w:r>
              <w:rPr>
                <w:rFonts w:hint="eastAsia" w:ascii="宋体" w:hAnsi="宋体" w:cs="宋体"/>
                <w:kern w:val="0"/>
                <w:szCs w:val="21"/>
              </w:rPr>
              <w:t>产地</w:t>
            </w:r>
          </w:p>
        </w:tc>
        <w:tc>
          <w:tcPr>
            <w:tcW w:w="900" w:type="dxa"/>
            <w:noWrap w:val="0"/>
            <w:vAlign w:val="center"/>
          </w:tcPr>
          <w:p>
            <w:pPr>
              <w:spacing w:line="440" w:lineRule="exact"/>
              <w:rPr>
                <w:rFonts w:hint="eastAsia" w:ascii="宋体" w:hAnsi="宋体" w:cs="宋体"/>
                <w:kern w:val="0"/>
                <w:szCs w:val="21"/>
              </w:rPr>
            </w:pPr>
            <w:r>
              <w:rPr>
                <w:rFonts w:hint="eastAsia" w:ascii="宋体" w:hAnsi="宋体" w:cs="宋体"/>
                <w:kern w:val="0"/>
                <w:szCs w:val="21"/>
              </w:rPr>
              <w:t>单位</w:t>
            </w:r>
          </w:p>
        </w:tc>
        <w:tc>
          <w:tcPr>
            <w:tcW w:w="900" w:type="dxa"/>
            <w:noWrap w:val="0"/>
            <w:vAlign w:val="center"/>
          </w:tcPr>
          <w:p>
            <w:pPr>
              <w:spacing w:line="440" w:lineRule="exact"/>
              <w:rPr>
                <w:rFonts w:hint="eastAsia" w:ascii="宋体" w:hAnsi="宋体" w:cs="宋体"/>
                <w:kern w:val="0"/>
                <w:szCs w:val="21"/>
              </w:rPr>
            </w:pPr>
            <w:r>
              <w:rPr>
                <w:rFonts w:hint="eastAsia" w:ascii="宋体" w:hAnsi="宋体" w:cs="宋体"/>
                <w:kern w:val="0"/>
                <w:szCs w:val="21"/>
              </w:rPr>
              <w:t>数量</w:t>
            </w:r>
          </w:p>
        </w:tc>
        <w:tc>
          <w:tcPr>
            <w:tcW w:w="900" w:type="dxa"/>
            <w:noWrap w:val="0"/>
            <w:vAlign w:val="center"/>
          </w:tcPr>
          <w:p>
            <w:pPr>
              <w:spacing w:line="440" w:lineRule="exact"/>
              <w:rPr>
                <w:rFonts w:hint="eastAsia" w:ascii="宋体" w:hAnsi="宋体" w:cs="宋体"/>
                <w:kern w:val="0"/>
                <w:szCs w:val="21"/>
              </w:rPr>
            </w:pPr>
            <w:r>
              <w:rPr>
                <w:rFonts w:hint="eastAsia" w:ascii="宋体" w:hAnsi="宋体" w:cs="宋体"/>
                <w:kern w:val="0"/>
                <w:szCs w:val="21"/>
              </w:rPr>
              <w:t>单价</w:t>
            </w:r>
          </w:p>
        </w:tc>
        <w:tc>
          <w:tcPr>
            <w:tcW w:w="720" w:type="dxa"/>
            <w:noWrap w:val="0"/>
            <w:vAlign w:val="center"/>
          </w:tcPr>
          <w:p>
            <w:pPr>
              <w:spacing w:line="440" w:lineRule="exact"/>
              <w:rPr>
                <w:rFonts w:hint="eastAsia" w:ascii="宋体" w:hAnsi="宋体" w:cs="宋体"/>
                <w:kern w:val="0"/>
                <w:szCs w:val="21"/>
              </w:rPr>
            </w:pPr>
            <w:r>
              <w:rPr>
                <w:rFonts w:hint="eastAsia" w:ascii="宋体" w:hAnsi="宋体" w:cs="宋体"/>
                <w:kern w:val="0"/>
                <w:szCs w:val="21"/>
              </w:rPr>
              <w:t>总价</w:t>
            </w:r>
          </w:p>
        </w:tc>
        <w:tc>
          <w:tcPr>
            <w:tcW w:w="807" w:type="dxa"/>
            <w:noWrap w:val="0"/>
            <w:vAlign w:val="center"/>
          </w:tcPr>
          <w:p>
            <w:pPr>
              <w:spacing w:line="440" w:lineRule="exact"/>
              <w:rPr>
                <w:rFonts w:hint="eastAsia" w:ascii="宋体" w:hAnsi="宋体" w:cs="宋体"/>
                <w:kern w:val="0"/>
                <w:szCs w:val="21"/>
              </w:rPr>
            </w:pPr>
            <w:r>
              <w:rPr>
                <w:rFonts w:hint="eastAsia" w:ascii="宋体" w:hAnsi="宋体" w:cs="宋体"/>
                <w:kern w:val="0"/>
                <w:szCs w:val="21"/>
              </w:rPr>
              <w:t>配件</w:t>
            </w:r>
          </w:p>
        </w:tc>
        <w:tc>
          <w:tcPr>
            <w:tcW w:w="813" w:type="dxa"/>
            <w:noWrap w:val="0"/>
            <w:vAlign w:val="center"/>
          </w:tcPr>
          <w:p>
            <w:pPr>
              <w:spacing w:line="440" w:lineRule="exact"/>
              <w:jc w:val="center"/>
              <w:rPr>
                <w:rFonts w:hint="eastAsia" w:ascii="宋体" w:hAnsi="宋体" w:cs="宋体"/>
                <w:kern w:val="0"/>
                <w:szCs w:val="21"/>
              </w:rPr>
            </w:pPr>
            <w:r>
              <w:rPr>
                <w:rFonts w:hint="eastAsia" w:ascii="宋体" w:hAnsi="宋体" w:cs="宋体"/>
                <w:kern w:val="0"/>
                <w:szCs w:val="21"/>
              </w:rPr>
              <w:t>交货</w:t>
            </w:r>
          </w:p>
          <w:p>
            <w:pPr>
              <w:spacing w:line="440" w:lineRule="exact"/>
              <w:jc w:val="center"/>
              <w:rPr>
                <w:rFonts w:hint="eastAsia" w:ascii="宋体" w:hAnsi="宋体" w:cs="宋体"/>
                <w:kern w:val="0"/>
                <w:szCs w:val="21"/>
              </w:rPr>
            </w:pPr>
            <w:r>
              <w:rPr>
                <w:rFonts w:hint="eastAsia" w:ascii="宋体" w:hAnsi="宋体" w:cs="宋体"/>
                <w:kern w:val="0"/>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noWrap w:val="0"/>
            <w:vAlign w:val="center"/>
          </w:tcPr>
          <w:p>
            <w:pPr>
              <w:spacing w:line="440" w:lineRule="exact"/>
              <w:rPr>
                <w:rFonts w:hint="eastAsia" w:ascii="宋体" w:hAnsi="宋体" w:cs="宋体"/>
                <w:kern w:val="0"/>
                <w:szCs w:val="21"/>
              </w:rPr>
            </w:pPr>
          </w:p>
        </w:tc>
        <w:tc>
          <w:tcPr>
            <w:tcW w:w="1080" w:type="dxa"/>
            <w:noWrap w:val="0"/>
            <w:vAlign w:val="center"/>
          </w:tcPr>
          <w:p>
            <w:pPr>
              <w:spacing w:line="440" w:lineRule="exact"/>
              <w:rPr>
                <w:rFonts w:hint="eastAsia" w:ascii="宋体" w:hAnsi="宋体" w:cs="宋体"/>
                <w:kern w:val="0"/>
                <w:szCs w:val="21"/>
              </w:rPr>
            </w:pPr>
          </w:p>
        </w:tc>
        <w:tc>
          <w:tcPr>
            <w:tcW w:w="900" w:type="dxa"/>
            <w:noWrap w:val="0"/>
            <w:vAlign w:val="center"/>
          </w:tcPr>
          <w:p>
            <w:pPr>
              <w:spacing w:line="440" w:lineRule="exact"/>
              <w:rPr>
                <w:rFonts w:hint="eastAsia" w:ascii="宋体" w:hAnsi="宋体" w:cs="宋体"/>
                <w:kern w:val="0"/>
                <w:szCs w:val="21"/>
              </w:rPr>
            </w:pPr>
          </w:p>
        </w:tc>
        <w:tc>
          <w:tcPr>
            <w:tcW w:w="900" w:type="dxa"/>
            <w:noWrap w:val="0"/>
            <w:vAlign w:val="center"/>
          </w:tcPr>
          <w:p>
            <w:pPr>
              <w:spacing w:line="440" w:lineRule="exact"/>
              <w:rPr>
                <w:rFonts w:hint="eastAsia" w:ascii="宋体" w:hAnsi="宋体" w:cs="宋体"/>
                <w:kern w:val="0"/>
                <w:szCs w:val="21"/>
              </w:rPr>
            </w:pPr>
          </w:p>
        </w:tc>
        <w:tc>
          <w:tcPr>
            <w:tcW w:w="900" w:type="dxa"/>
            <w:noWrap w:val="0"/>
            <w:vAlign w:val="center"/>
          </w:tcPr>
          <w:p>
            <w:pPr>
              <w:spacing w:line="440" w:lineRule="exact"/>
              <w:rPr>
                <w:rFonts w:hint="eastAsia" w:ascii="宋体" w:hAnsi="宋体" w:cs="宋体"/>
                <w:kern w:val="0"/>
                <w:szCs w:val="21"/>
              </w:rPr>
            </w:pPr>
          </w:p>
        </w:tc>
        <w:tc>
          <w:tcPr>
            <w:tcW w:w="900" w:type="dxa"/>
            <w:noWrap w:val="0"/>
            <w:vAlign w:val="center"/>
          </w:tcPr>
          <w:p>
            <w:pPr>
              <w:spacing w:line="440" w:lineRule="exact"/>
              <w:rPr>
                <w:rFonts w:hint="eastAsia" w:ascii="宋体" w:hAnsi="宋体" w:cs="宋体"/>
                <w:kern w:val="0"/>
                <w:szCs w:val="21"/>
              </w:rPr>
            </w:pPr>
          </w:p>
        </w:tc>
        <w:tc>
          <w:tcPr>
            <w:tcW w:w="720" w:type="dxa"/>
            <w:noWrap w:val="0"/>
            <w:vAlign w:val="center"/>
          </w:tcPr>
          <w:p>
            <w:pPr>
              <w:spacing w:line="440" w:lineRule="exact"/>
              <w:rPr>
                <w:rFonts w:hint="eastAsia" w:ascii="宋体" w:hAnsi="宋体" w:cs="宋体"/>
                <w:kern w:val="0"/>
                <w:szCs w:val="21"/>
              </w:rPr>
            </w:pPr>
          </w:p>
        </w:tc>
        <w:tc>
          <w:tcPr>
            <w:tcW w:w="807" w:type="dxa"/>
            <w:noWrap w:val="0"/>
            <w:vAlign w:val="center"/>
          </w:tcPr>
          <w:p>
            <w:pPr>
              <w:spacing w:line="440" w:lineRule="exact"/>
              <w:rPr>
                <w:rFonts w:hint="eastAsia" w:ascii="宋体" w:hAnsi="宋体" w:cs="宋体"/>
                <w:kern w:val="0"/>
                <w:szCs w:val="21"/>
              </w:rPr>
            </w:pPr>
          </w:p>
        </w:tc>
        <w:tc>
          <w:tcPr>
            <w:tcW w:w="813" w:type="dxa"/>
            <w:noWrap w:val="0"/>
            <w:vAlign w:val="center"/>
          </w:tcPr>
          <w:p>
            <w:pPr>
              <w:spacing w:line="440" w:lineRule="exac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60" w:type="dxa"/>
            <w:noWrap w:val="0"/>
            <w:vAlign w:val="center"/>
          </w:tcPr>
          <w:p>
            <w:pPr>
              <w:spacing w:line="440" w:lineRule="exact"/>
              <w:rPr>
                <w:rFonts w:hint="eastAsia" w:ascii="宋体" w:hAnsi="宋体" w:cs="宋体"/>
                <w:kern w:val="0"/>
                <w:szCs w:val="21"/>
              </w:rPr>
            </w:pPr>
          </w:p>
        </w:tc>
        <w:tc>
          <w:tcPr>
            <w:tcW w:w="1080" w:type="dxa"/>
            <w:noWrap w:val="0"/>
            <w:vAlign w:val="center"/>
          </w:tcPr>
          <w:p>
            <w:pPr>
              <w:spacing w:line="440" w:lineRule="exact"/>
              <w:rPr>
                <w:rFonts w:hint="eastAsia" w:ascii="宋体" w:hAnsi="宋体" w:cs="宋体"/>
                <w:kern w:val="0"/>
                <w:szCs w:val="21"/>
              </w:rPr>
            </w:pPr>
          </w:p>
        </w:tc>
        <w:tc>
          <w:tcPr>
            <w:tcW w:w="900" w:type="dxa"/>
            <w:noWrap w:val="0"/>
            <w:vAlign w:val="center"/>
          </w:tcPr>
          <w:p>
            <w:pPr>
              <w:spacing w:line="440" w:lineRule="exact"/>
              <w:rPr>
                <w:rFonts w:hint="eastAsia" w:ascii="宋体" w:hAnsi="宋体" w:cs="宋体"/>
                <w:kern w:val="0"/>
                <w:szCs w:val="21"/>
              </w:rPr>
            </w:pPr>
          </w:p>
        </w:tc>
        <w:tc>
          <w:tcPr>
            <w:tcW w:w="900" w:type="dxa"/>
            <w:noWrap w:val="0"/>
            <w:vAlign w:val="center"/>
          </w:tcPr>
          <w:p>
            <w:pPr>
              <w:spacing w:line="440" w:lineRule="exact"/>
              <w:rPr>
                <w:rFonts w:hint="eastAsia" w:ascii="宋体" w:hAnsi="宋体" w:cs="宋体"/>
                <w:kern w:val="0"/>
                <w:szCs w:val="21"/>
              </w:rPr>
            </w:pPr>
          </w:p>
        </w:tc>
        <w:tc>
          <w:tcPr>
            <w:tcW w:w="900" w:type="dxa"/>
            <w:noWrap w:val="0"/>
            <w:vAlign w:val="center"/>
          </w:tcPr>
          <w:p>
            <w:pPr>
              <w:spacing w:line="440" w:lineRule="exact"/>
              <w:rPr>
                <w:rFonts w:hint="eastAsia" w:ascii="宋体" w:hAnsi="宋体" w:cs="宋体"/>
                <w:kern w:val="0"/>
                <w:szCs w:val="21"/>
              </w:rPr>
            </w:pPr>
          </w:p>
        </w:tc>
        <w:tc>
          <w:tcPr>
            <w:tcW w:w="900" w:type="dxa"/>
            <w:noWrap w:val="0"/>
            <w:vAlign w:val="center"/>
          </w:tcPr>
          <w:p>
            <w:pPr>
              <w:spacing w:line="440" w:lineRule="exact"/>
              <w:rPr>
                <w:rFonts w:hint="eastAsia" w:ascii="宋体" w:hAnsi="宋体" w:cs="宋体"/>
                <w:kern w:val="0"/>
                <w:szCs w:val="21"/>
              </w:rPr>
            </w:pPr>
          </w:p>
        </w:tc>
        <w:tc>
          <w:tcPr>
            <w:tcW w:w="720" w:type="dxa"/>
            <w:noWrap w:val="0"/>
            <w:vAlign w:val="center"/>
          </w:tcPr>
          <w:p>
            <w:pPr>
              <w:spacing w:line="440" w:lineRule="exact"/>
              <w:rPr>
                <w:rFonts w:hint="eastAsia" w:ascii="宋体" w:hAnsi="宋体" w:cs="宋体"/>
                <w:kern w:val="0"/>
                <w:szCs w:val="21"/>
              </w:rPr>
            </w:pPr>
          </w:p>
        </w:tc>
        <w:tc>
          <w:tcPr>
            <w:tcW w:w="807" w:type="dxa"/>
            <w:noWrap w:val="0"/>
            <w:vAlign w:val="center"/>
          </w:tcPr>
          <w:p>
            <w:pPr>
              <w:spacing w:line="440" w:lineRule="exact"/>
              <w:rPr>
                <w:rFonts w:hint="eastAsia" w:ascii="宋体" w:hAnsi="宋体" w:cs="宋体"/>
                <w:kern w:val="0"/>
                <w:szCs w:val="21"/>
              </w:rPr>
            </w:pPr>
          </w:p>
        </w:tc>
        <w:tc>
          <w:tcPr>
            <w:tcW w:w="813" w:type="dxa"/>
            <w:noWrap w:val="0"/>
            <w:vAlign w:val="center"/>
          </w:tcPr>
          <w:p>
            <w:pPr>
              <w:spacing w:line="440" w:lineRule="exact"/>
              <w:rPr>
                <w:rFonts w:hint="eastAsia" w:ascii="宋体" w:hAnsi="宋体" w:cs="宋体"/>
                <w:kern w:val="0"/>
                <w:szCs w:val="21"/>
              </w:rPr>
            </w:pPr>
          </w:p>
        </w:tc>
      </w:tr>
    </w:tbl>
    <w:p>
      <w:pPr>
        <w:spacing w:line="440" w:lineRule="exact"/>
        <w:rPr>
          <w:rFonts w:ascii="宋体" w:hAnsi="宋体" w:cs="宋体"/>
          <w:color w:val="FF0000"/>
          <w:kern w:val="0"/>
          <w:szCs w:val="21"/>
        </w:rPr>
      </w:pPr>
      <w:r>
        <w:rPr>
          <w:rFonts w:ascii="宋体" w:hAnsi="宋体" w:cs="宋体"/>
          <w:kern w:val="0"/>
          <w:szCs w:val="21"/>
        </w:rPr>
        <w:t>　　</w:t>
      </w:r>
      <w:r>
        <w:rPr>
          <w:rFonts w:ascii="宋体" w:hAnsi="宋体" w:cs="宋体"/>
          <w:b/>
          <w:color w:val="FF0000"/>
          <w:kern w:val="0"/>
          <w:szCs w:val="21"/>
        </w:rPr>
        <w:t>第二条</w:t>
      </w:r>
      <w:r>
        <w:rPr>
          <w:rFonts w:hint="eastAsia" w:ascii="宋体" w:hAnsi="宋体" w:cs="宋体"/>
          <w:b/>
          <w:color w:val="FF0000"/>
          <w:kern w:val="0"/>
          <w:szCs w:val="21"/>
        </w:rPr>
        <w:t xml:space="preserve"> </w:t>
      </w:r>
      <w:r>
        <w:rPr>
          <w:rFonts w:ascii="宋体" w:hAnsi="宋体" w:cs="宋体"/>
          <w:color w:val="FF0000"/>
          <w:kern w:val="0"/>
          <w:szCs w:val="21"/>
        </w:rPr>
        <w:t>合同</w:t>
      </w:r>
      <w:r>
        <w:rPr>
          <w:rFonts w:hint="eastAsia" w:ascii="宋体" w:hAnsi="宋体" w:cs="宋体"/>
          <w:color w:val="FF0000"/>
          <w:kern w:val="0"/>
          <w:szCs w:val="21"/>
        </w:rPr>
        <w:t>金额</w:t>
      </w:r>
    </w:p>
    <w:p>
      <w:pPr>
        <w:spacing w:line="440" w:lineRule="exact"/>
        <w:ind w:firstLine="420"/>
        <w:rPr>
          <w:rFonts w:hint="eastAsia" w:ascii="宋体" w:hAnsi="宋体" w:cs="宋体"/>
          <w:color w:val="FF0000"/>
          <w:kern w:val="0"/>
          <w:szCs w:val="21"/>
        </w:rPr>
      </w:pPr>
      <w:r>
        <w:rPr>
          <w:rFonts w:hint="eastAsia" w:ascii="宋体" w:hAnsi="宋体" w:cs="宋体"/>
          <w:color w:val="FF0000"/>
          <w:kern w:val="0"/>
          <w:szCs w:val="21"/>
        </w:rPr>
        <w:t>合同金额根据在合同签订期限内甲方需要货物品种、数量、规格等指标，按照</w:t>
      </w:r>
      <w:r>
        <w:rPr>
          <w:rFonts w:hint="eastAsia" w:ascii="宋体" w:hAnsi="宋体" w:cs="宋体"/>
          <w:color w:val="FF0000"/>
          <w:kern w:val="0"/>
          <w:szCs w:val="21"/>
          <w:lang w:eastAsia="zh-CN"/>
        </w:rPr>
        <w:t>中标价</w:t>
      </w:r>
      <w:r>
        <w:rPr>
          <w:rFonts w:hint="eastAsia" w:ascii="宋体" w:hAnsi="宋体" w:cs="宋体"/>
          <w:color w:val="FF0000"/>
          <w:kern w:val="0"/>
          <w:szCs w:val="21"/>
        </w:rPr>
        <w:t>确定，其中包括</w:t>
      </w:r>
      <w:r>
        <w:rPr>
          <w:rFonts w:ascii="宋体" w:hAnsi="宋体" w:cs="宋体"/>
          <w:color w:val="FF0000"/>
          <w:kern w:val="0"/>
          <w:szCs w:val="21"/>
        </w:rPr>
        <w:t>货物设计、制造、包装、仓储、运输、安装及验收合格之前及保修期内备品</w:t>
      </w:r>
      <w:r>
        <w:rPr>
          <w:rFonts w:hint="eastAsia" w:ascii="宋体" w:hAnsi="宋体" w:cs="宋体"/>
          <w:color w:val="FF0000"/>
          <w:kern w:val="0"/>
          <w:szCs w:val="21"/>
        </w:rPr>
        <w:t>/</w:t>
      </w:r>
      <w:r>
        <w:rPr>
          <w:rFonts w:ascii="宋体" w:hAnsi="宋体" w:cs="宋体"/>
          <w:color w:val="FF0000"/>
          <w:kern w:val="0"/>
          <w:szCs w:val="21"/>
        </w:rPr>
        <w:t>备件发生的所有含税费用。</w:t>
      </w:r>
    </w:p>
    <w:p>
      <w:pPr>
        <w:spacing w:line="440" w:lineRule="exact"/>
        <w:ind w:firstLine="420"/>
        <w:rPr>
          <w:rFonts w:ascii="宋体" w:hAnsi="宋体" w:cs="宋体"/>
          <w:kern w:val="0"/>
          <w:szCs w:val="21"/>
        </w:rPr>
      </w:pPr>
      <w:r>
        <w:rPr>
          <w:rFonts w:ascii="宋体" w:hAnsi="宋体" w:cs="宋体"/>
          <w:b/>
          <w:kern w:val="0"/>
          <w:szCs w:val="21"/>
        </w:rPr>
        <w:t>第三条　</w:t>
      </w:r>
      <w:r>
        <w:rPr>
          <w:rFonts w:ascii="宋体" w:hAnsi="宋体" w:cs="宋体"/>
          <w:kern w:val="0"/>
          <w:szCs w:val="21"/>
        </w:rPr>
        <w:t>质量</w:t>
      </w:r>
    </w:p>
    <w:p>
      <w:pPr>
        <w:spacing w:line="440" w:lineRule="exact"/>
        <w:rPr>
          <w:rFonts w:ascii="宋体" w:hAnsi="宋体" w:cs="宋体"/>
          <w:kern w:val="0"/>
          <w:szCs w:val="21"/>
        </w:rPr>
      </w:pPr>
      <w:r>
        <w:rPr>
          <w:rFonts w:ascii="宋体" w:hAnsi="宋体" w:cs="宋体"/>
          <w:kern w:val="0"/>
          <w:szCs w:val="21"/>
        </w:rPr>
        <w:t>　　1. 乙方须提供全新的、符合</w:t>
      </w:r>
      <w:r>
        <w:rPr>
          <w:rFonts w:hint="eastAsia" w:ascii="宋体" w:hAnsi="宋体" w:cs="宋体"/>
          <w:kern w:val="0"/>
          <w:szCs w:val="21"/>
          <w:lang w:eastAsia="zh-CN"/>
        </w:rPr>
        <w:t>本合同或招标文件要求以及</w:t>
      </w:r>
      <w:r>
        <w:rPr>
          <w:rFonts w:ascii="宋体" w:hAnsi="宋体" w:cs="宋体"/>
          <w:kern w:val="0"/>
          <w:szCs w:val="21"/>
        </w:rPr>
        <w:t>国家有关质量标准和规范、环保要求的货物</w:t>
      </w:r>
      <w:r>
        <w:rPr>
          <w:rFonts w:hint="eastAsia" w:ascii="宋体" w:hAnsi="宋体" w:cs="宋体"/>
          <w:kern w:val="0"/>
          <w:szCs w:val="21"/>
        </w:rPr>
        <w:t>。</w:t>
      </w:r>
    </w:p>
    <w:p>
      <w:pPr>
        <w:spacing w:line="440" w:lineRule="exact"/>
        <w:rPr>
          <w:rFonts w:ascii="宋体" w:hAnsi="宋体" w:cs="宋体"/>
          <w:kern w:val="0"/>
          <w:szCs w:val="21"/>
        </w:rPr>
      </w:pPr>
      <w:r>
        <w:rPr>
          <w:rFonts w:ascii="宋体" w:hAnsi="宋体" w:cs="宋体"/>
          <w:kern w:val="0"/>
          <w:szCs w:val="21"/>
        </w:rPr>
        <w:t>　　2. 每台货物上均应钉有</w:t>
      </w:r>
      <w:r>
        <w:rPr>
          <w:rFonts w:hint="eastAsia" w:ascii="宋体" w:hAnsi="宋体" w:cs="宋体"/>
          <w:kern w:val="0"/>
          <w:szCs w:val="21"/>
        </w:rPr>
        <w:t>铭</w:t>
      </w:r>
      <w:r>
        <w:rPr>
          <w:rFonts w:ascii="宋体" w:hAnsi="宋体" w:cs="宋体"/>
          <w:kern w:val="0"/>
          <w:szCs w:val="21"/>
        </w:rPr>
        <w:t>牌（内容包括：制造商、货物名称、型号规格、出厂日期等）并附有产品质量检验合格标志。</w:t>
      </w:r>
    </w:p>
    <w:p>
      <w:pPr>
        <w:spacing w:line="440" w:lineRule="exact"/>
        <w:rPr>
          <w:rFonts w:ascii="宋体" w:hAnsi="宋体" w:cs="宋体"/>
          <w:kern w:val="0"/>
          <w:szCs w:val="21"/>
        </w:rPr>
      </w:pPr>
      <w:r>
        <w:rPr>
          <w:rFonts w:ascii="宋体" w:hAnsi="宋体" w:cs="宋体"/>
          <w:kern w:val="0"/>
          <w:szCs w:val="21"/>
        </w:rPr>
        <w:t xml:space="preserve">　　3. </w:t>
      </w:r>
      <w:r>
        <w:rPr>
          <w:rFonts w:hint="eastAsia" w:ascii="宋体" w:hAnsi="宋体" w:cs="宋体"/>
          <w:kern w:val="0"/>
          <w:szCs w:val="21"/>
        </w:rPr>
        <w:t>乙方提供的货物</w:t>
      </w:r>
      <w:r>
        <w:rPr>
          <w:rFonts w:ascii="宋体" w:hAnsi="宋体" w:cs="宋体"/>
          <w:kern w:val="0"/>
          <w:szCs w:val="21"/>
        </w:rPr>
        <w:t>出现问题，乙方应负责三包（包修、包换、包退），费用由乙方负责。</w:t>
      </w:r>
    </w:p>
    <w:p>
      <w:pPr>
        <w:spacing w:line="440" w:lineRule="exact"/>
        <w:rPr>
          <w:rFonts w:ascii="宋体" w:hAnsi="宋体" w:cs="宋体"/>
          <w:kern w:val="0"/>
          <w:szCs w:val="21"/>
        </w:rPr>
      </w:pPr>
      <w:r>
        <w:rPr>
          <w:rFonts w:ascii="宋体" w:hAnsi="宋体" w:cs="宋体"/>
          <w:kern w:val="0"/>
          <w:szCs w:val="21"/>
        </w:rPr>
        <w:t>　　4. 货到现场后由于甲方保管不当造成的质量问题，乙方亦应负责修理，但费用由甲方负担。</w:t>
      </w:r>
    </w:p>
    <w:p>
      <w:pPr>
        <w:spacing w:line="440" w:lineRule="exact"/>
        <w:rPr>
          <w:rFonts w:ascii="宋体" w:hAnsi="宋体" w:cs="宋体"/>
          <w:kern w:val="0"/>
          <w:szCs w:val="21"/>
        </w:rPr>
      </w:pPr>
      <w:r>
        <w:rPr>
          <w:rFonts w:ascii="宋体" w:hAnsi="宋体" w:cs="宋体"/>
          <w:kern w:val="0"/>
          <w:szCs w:val="21"/>
        </w:rPr>
        <w:t>　　</w:t>
      </w:r>
      <w:r>
        <w:rPr>
          <w:rFonts w:ascii="宋体" w:hAnsi="宋体" w:cs="宋体"/>
          <w:b/>
          <w:kern w:val="0"/>
          <w:szCs w:val="21"/>
        </w:rPr>
        <w:t>第四条</w:t>
      </w:r>
      <w:r>
        <w:rPr>
          <w:rFonts w:hint="eastAsia" w:ascii="宋体" w:hAnsi="宋体" w:cs="宋体"/>
          <w:b/>
          <w:kern w:val="0"/>
          <w:szCs w:val="21"/>
        </w:rPr>
        <w:t xml:space="preserve"> </w:t>
      </w:r>
      <w:r>
        <w:rPr>
          <w:rFonts w:ascii="宋体" w:hAnsi="宋体" w:cs="宋体"/>
          <w:kern w:val="0"/>
          <w:szCs w:val="21"/>
        </w:rPr>
        <w:t>交货及验收</w:t>
      </w:r>
    </w:p>
    <w:p>
      <w:pPr>
        <w:spacing w:line="440" w:lineRule="exact"/>
        <w:ind w:firstLine="420"/>
        <w:rPr>
          <w:rFonts w:hint="eastAsia" w:ascii="宋体" w:hAnsi="宋体" w:cs="宋体"/>
          <w:kern w:val="0"/>
          <w:szCs w:val="21"/>
        </w:rPr>
      </w:pPr>
      <w:r>
        <w:rPr>
          <w:rFonts w:ascii="宋体" w:hAnsi="宋体" w:cs="宋体"/>
          <w:kern w:val="0"/>
          <w:szCs w:val="21"/>
        </w:rPr>
        <w:t xml:space="preserve">1. </w:t>
      </w:r>
      <w:r>
        <w:rPr>
          <w:rFonts w:hint="eastAsia" w:ascii="宋体" w:hAnsi="宋体" w:cs="宋体"/>
          <w:kern w:val="0"/>
          <w:szCs w:val="21"/>
          <w:lang w:eastAsia="zh-CN"/>
        </w:rPr>
        <w:t>甲方在本合同履行期间采购的本合同项下的每批货物，乙方需在甲方要求的送货时间内送达货物</w:t>
      </w:r>
      <w:r>
        <w:rPr>
          <w:rFonts w:ascii="宋体" w:hAnsi="宋体" w:cs="宋体"/>
          <w:kern w:val="0"/>
          <w:szCs w:val="21"/>
        </w:rPr>
        <w:t>，</w:t>
      </w:r>
      <w:r>
        <w:rPr>
          <w:rFonts w:hint="eastAsia" w:ascii="宋体" w:hAnsi="宋体" w:cs="宋体"/>
          <w:kern w:val="0"/>
          <w:szCs w:val="21"/>
        </w:rPr>
        <w:t>乙方免费送货至甲方指定地点</w:t>
      </w:r>
      <w:commentRangeStart w:id="0"/>
      <w:r>
        <w:rPr>
          <w:rFonts w:hint="eastAsia" w:ascii="宋体" w:hAnsi="宋体" w:cs="宋体"/>
          <w:kern w:val="0"/>
          <w:szCs w:val="21"/>
          <w:u w:val="single"/>
          <w:lang w:eastAsia="zh-CN"/>
        </w:rPr>
        <w:t>：</w:t>
      </w:r>
      <w:r>
        <w:rPr>
          <w:rFonts w:hint="eastAsia" w:ascii="宋体" w:hAnsi="宋体" w:cs="宋体"/>
          <w:kern w:val="0"/>
          <w:szCs w:val="21"/>
          <w:u w:val="single"/>
          <w:lang w:val="en-US" w:eastAsia="zh-CN"/>
        </w:rPr>
        <w:t xml:space="preserve">          </w:t>
      </w:r>
      <w:commentRangeEnd w:id="0"/>
      <w:r>
        <w:commentReference w:id="0"/>
      </w:r>
      <w:r>
        <w:rPr>
          <w:rFonts w:hint="eastAsia" w:ascii="宋体" w:hAnsi="宋体" w:cs="宋体"/>
          <w:kern w:val="0"/>
          <w:szCs w:val="21"/>
        </w:rPr>
        <w:t>，</w:t>
      </w:r>
      <w:r>
        <w:rPr>
          <w:rFonts w:ascii="宋体" w:hAnsi="宋体" w:cs="宋体"/>
          <w:kern w:val="0"/>
          <w:szCs w:val="21"/>
        </w:rPr>
        <w:t>由乙方免费完成货物和系统的安装调试工作，</w:t>
      </w:r>
      <w:r>
        <w:rPr>
          <w:rFonts w:hint="eastAsia" w:ascii="宋体" w:hAnsi="宋体" w:cs="宋体"/>
          <w:kern w:val="0"/>
          <w:szCs w:val="21"/>
          <w:lang w:eastAsia="zh-CN"/>
        </w:rPr>
        <w:t>货物验收合格或安装调试完成（如有），由甲方进行验收，签署质量验收表</w:t>
      </w:r>
      <w:r>
        <w:rPr>
          <w:rFonts w:hint="eastAsia" w:ascii="宋体" w:hAnsi="宋体" w:cs="宋体"/>
          <w:kern w:val="0"/>
          <w:szCs w:val="21"/>
        </w:rPr>
        <w:t>。</w:t>
      </w:r>
    </w:p>
    <w:p>
      <w:pPr>
        <w:spacing w:line="440" w:lineRule="exact"/>
        <w:ind w:firstLine="420"/>
        <w:rPr>
          <w:rFonts w:hint="eastAsia"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1</w:t>
      </w:r>
      <w:r>
        <w:rPr>
          <w:rFonts w:hint="eastAsia" w:ascii="宋体" w:hAnsi="宋体" w:cs="宋体"/>
          <w:kern w:val="0"/>
          <w:szCs w:val="21"/>
          <w:lang w:eastAsia="zh-CN"/>
        </w:rPr>
        <w:t>）</w:t>
      </w:r>
      <w:r>
        <w:rPr>
          <w:rFonts w:hint="eastAsia" w:ascii="宋体" w:hAnsi="宋体" w:cs="宋体"/>
          <w:kern w:val="0"/>
          <w:szCs w:val="21"/>
        </w:rPr>
        <w:t>安装调试（如有）：乙方负责在甲方指定的时间内，按照甲方的要求完成货物的安装调试。乙方应严格遵守安全法律法规，采取安全保障措施，保证人员安全。因乙方原因造成的人员伤亡和财产损失，均由乙方承担。</w:t>
      </w:r>
    </w:p>
    <w:p>
      <w:pPr>
        <w:spacing w:line="440" w:lineRule="exact"/>
        <w:ind w:firstLine="420"/>
        <w:rPr>
          <w:rFonts w:hint="eastAsia" w:ascii="宋体" w:hAnsi="宋体" w:cs="宋体"/>
          <w:kern w:val="0"/>
          <w:szCs w:val="21"/>
        </w:rPr>
      </w:pPr>
      <w:r>
        <w:rPr>
          <w:rFonts w:hint="eastAsia" w:ascii="宋体" w:hAnsi="宋体" w:cs="宋体"/>
          <w:kern w:val="0"/>
          <w:szCs w:val="21"/>
          <w:lang w:eastAsia="zh-CN"/>
        </w:rPr>
        <w:t>（</w:t>
      </w:r>
      <w:r>
        <w:rPr>
          <w:rFonts w:hint="eastAsia" w:ascii="宋体" w:hAnsi="宋体" w:cs="宋体"/>
          <w:kern w:val="0"/>
          <w:szCs w:val="21"/>
          <w:lang w:val="en-US" w:eastAsia="zh-CN"/>
        </w:rPr>
        <w:t>2</w:t>
      </w:r>
      <w:r>
        <w:rPr>
          <w:rFonts w:hint="eastAsia" w:ascii="宋体" w:hAnsi="宋体" w:cs="宋体"/>
          <w:kern w:val="0"/>
          <w:szCs w:val="21"/>
          <w:lang w:eastAsia="zh-CN"/>
        </w:rPr>
        <w:t>）</w:t>
      </w:r>
      <w:r>
        <w:rPr>
          <w:rFonts w:hint="eastAsia" w:ascii="宋体" w:hAnsi="宋体" w:cs="宋体"/>
          <w:kern w:val="0"/>
          <w:szCs w:val="21"/>
        </w:rPr>
        <w:t>到货验收：甲方应在收到货物后</w:t>
      </w:r>
      <w:r>
        <w:rPr>
          <w:rFonts w:hint="eastAsia" w:ascii="宋体" w:hAnsi="宋体" w:cs="宋体"/>
          <w:kern w:val="0"/>
          <w:szCs w:val="21"/>
          <w:lang w:val="en-US" w:eastAsia="zh-CN"/>
        </w:rPr>
        <w:t>10</w:t>
      </w:r>
      <w:r>
        <w:rPr>
          <w:rFonts w:hint="eastAsia" w:ascii="宋体" w:hAnsi="宋体" w:cs="宋体"/>
          <w:kern w:val="0"/>
          <w:szCs w:val="21"/>
        </w:rPr>
        <w:t>个工作日内进行到货验收。甲方仅对产品的数量和外观进行检验，并不因此减轻或免除乙方所应承担的质量保证责任。</w:t>
      </w:r>
    </w:p>
    <w:p>
      <w:pPr>
        <w:spacing w:line="440" w:lineRule="exact"/>
        <w:ind w:firstLine="420"/>
        <w:rPr>
          <w:rFonts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最终验收：如</w:t>
      </w:r>
      <w:r>
        <w:rPr>
          <w:rFonts w:hint="eastAsia" w:ascii="宋体" w:hAnsi="宋体" w:cs="宋体"/>
          <w:kern w:val="0"/>
          <w:szCs w:val="21"/>
          <w:lang w:eastAsia="zh-CN"/>
        </w:rPr>
        <w:t>货物需</w:t>
      </w:r>
      <w:r>
        <w:rPr>
          <w:rFonts w:hint="eastAsia" w:ascii="宋体" w:hAnsi="宋体" w:cs="宋体"/>
          <w:kern w:val="0"/>
          <w:szCs w:val="21"/>
        </w:rPr>
        <w:t>安装调测</w:t>
      </w:r>
      <w:r>
        <w:rPr>
          <w:rFonts w:hint="eastAsia" w:ascii="宋体" w:hAnsi="宋体" w:cs="宋体"/>
          <w:kern w:val="0"/>
          <w:szCs w:val="21"/>
          <w:lang w:eastAsia="zh-CN"/>
        </w:rPr>
        <w:t>，乙方</w:t>
      </w:r>
      <w:r>
        <w:rPr>
          <w:rFonts w:hint="eastAsia" w:ascii="宋体" w:hAnsi="宋体" w:cs="宋体"/>
          <w:kern w:val="0"/>
          <w:szCs w:val="21"/>
        </w:rPr>
        <w:t>安装调测完毕后，应配合甲方进行最终验收，验收结果以甲方签署的</w:t>
      </w:r>
      <w:r>
        <w:rPr>
          <w:rFonts w:hint="eastAsia" w:ascii="宋体" w:hAnsi="宋体" w:cs="宋体"/>
          <w:kern w:val="0"/>
          <w:szCs w:val="21"/>
          <w:lang w:eastAsia="zh-CN"/>
        </w:rPr>
        <w:t>质量验收表</w:t>
      </w:r>
      <w:r>
        <w:rPr>
          <w:rFonts w:hint="eastAsia" w:ascii="宋体" w:hAnsi="宋体" w:cs="宋体"/>
          <w:kern w:val="0"/>
          <w:szCs w:val="21"/>
        </w:rPr>
        <w:t>为准。</w:t>
      </w:r>
    </w:p>
    <w:p>
      <w:pPr>
        <w:spacing w:line="440" w:lineRule="exact"/>
        <w:rPr>
          <w:rFonts w:ascii="宋体" w:hAnsi="宋体" w:cs="宋体"/>
          <w:kern w:val="0"/>
          <w:szCs w:val="21"/>
        </w:rPr>
      </w:pPr>
      <w:r>
        <w:rPr>
          <w:rFonts w:ascii="宋体" w:hAnsi="宋体" w:cs="宋体"/>
          <w:kern w:val="0"/>
          <w:szCs w:val="21"/>
        </w:rPr>
        <w:t>　　2. 货物的到货验收包括：型号、规格、数量、外观质量及货物包装完整无损。</w:t>
      </w:r>
    </w:p>
    <w:p>
      <w:pPr>
        <w:spacing w:line="440" w:lineRule="exact"/>
        <w:rPr>
          <w:rFonts w:ascii="宋体" w:hAnsi="宋体" w:cs="宋体"/>
          <w:kern w:val="0"/>
          <w:szCs w:val="21"/>
        </w:rPr>
      </w:pPr>
      <w:r>
        <w:rPr>
          <w:rFonts w:ascii="宋体" w:hAnsi="宋体" w:cs="宋体"/>
          <w:kern w:val="0"/>
          <w:szCs w:val="21"/>
        </w:rPr>
        <w:t>　　3. 货物和系统调试验收的标准：按行业通行标准、厂方出厂标准和乙方投标文件的承诺。</w:t>
      </w:r>
    </w:p>
    <w:p>
      <w:pPr>
        <w:spacing w:line="440" w:lineRule="exact"/>
        <w:rPr>
          <w:rFonts w:ascii="宋体" w:hAnsi="宋体" w:cs="宋体"/>
          <w:kern w:val="0"/>
          <w:szCs w:val="21"/>
        </w:rPr>
      </w:pPr>
      <w:r>
        <w:rPr>
          <w:rFonts w:ascii="宋体" w:hAnsi="宋体" w:cs="宋体"/>
          <w:kern w:val="0"/>
          <w:szCs w:val="21"/>
        </w:rPr>
        <w:t>　　</w:t>
      </w:r>
      <w:r>
        <w:rPr>
          <w:rFonts w:hint="eastAsia" w:ascii="宋体" w:hAnsi="宋体" w:cs="宋体"/>
          <w:kern w:val="0"/>
          <w:szCs w:val="21"/>
          <w:lang w:val="en-US" w:eastAsia="zh-CN"/>
        </w:rPr>
        <w:t>4</w:t>
      </w:r>
      <w:r>
        <w:rPr>
          <w:rFonts w:ascii="宋体" w:hAnsi="宋体" w:cs="宋体"/>
          <w:kern w:val="0"/>
          <w:szCs w:val="21"/>
        </w:rPr>
        <w:t>. 国内产品或合资厂的产品必须具备出厂合格证和原厂保修卡。</w:t>
      </w:r>
    </w:p>
    <w:p>
      <w:pPr>
        <w:spacing w:line="440" w:lineRule="exact"/>
        <w:rPr>
          <w:rFonts w:ascii="宋体" w:hAnsi="宋体" w:cs="宋体"/>
          <w:kern w:val="0"/>
          <w:szCs w:val="21"/>
        </w:rPr>
      </w:pPr>
      <w:r>
        <w:rPr>
          <w:rFonts w:ascii="宋体" w:hAnsi="宋体" w:cs="宋体"/>
          <w:kern w:val="0"/>
          <w:szCs w:val="21"/>
        </w:rPr>
        <w:t>　　</w:t>
      </w:r>
      <w:r>
        <w:rPr>
          <w:rFonts w:hint="eastAsia" w:ascii="宋体" w:hAnsi="宋体" w:cs="宋体"/>
          <w:kern w:val="0"/>
          <w:szCs w:val="21"/>
          <w:lang w:val="en-US" w:eastAsia="zh-CN"/>
        </w:rPr>
        <w:t>5</w:t>
      </w:r>
      <w:r>
        <w:rPr>
          <w:rFonts w:ascii="宋体" w:hAnsi="宋体" w:cs="宋体"/>
          <w:kern w:val="0"/>
          <w:szCs w:val="21"/>
        </w:rPr>
        <w:t>. 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spacing w:line="440" w:lineRule="exact"/>
        <w:rPr>
          <w:rFonts w:ascii="宋体" w:hAnsi="宋体" w:cs="宋体"/>
          <w:kern w:val="0"/>
          <w:szCs w:val="21"/>
        </w:rPr>
      </w:pPr>
      <w:r>
        <w:rPr>
          <w:rFonts w:ascii="宋体" w:hAnsi="宋体" w:cs="宋体"/>
          <w:kern w:val="0"/>
          <w:szCs w:val="21"/>
        </w:rPr>
        <w:t>　　</w:t>
      </w:r>
      <w:r>
        <w:rPr>
          <w:rFonts w:ascii="宋体" w:hAnsi="宋体" w:cs="宋体"/>
          <w:b/>
          <w:kern w:val="0"/>
          <w:szCs w:val="21"/>
        </w:rPr>
        <w:t>第五条</w:t>
      </w:r>
      <w:r>
        <w:rPr>
          <w:rFonts w:hint="eastAsia" w:ascii="宋体" w:hAnsi="宋体" w:cs="宋体"/>
          <w:b/>
          <w:kern w:val="0"/>
          <w:szCs w:val="21"/>
        </w:rPr>
        <w:t xml:space="preserve"> </w:t>
      </w:r>
      <w:r>
        <w:rPr>
          <w:rFonts w:ascii="宋体" w:hAnsi="宋体" w:cs="宋体"/>
          <w:kern w:val="0"/>
          <w:szCs w:val="21"/>
        </w:rPr>
        <w:t>付款方式</w:t>
      </w:r>
    </w:p>
    <w:p>
      <w:pPr>
        <w:spacing w:line="440" w:lineRule="exact"/>
        <w:ind w:firstLine="420"/>
        <w:rPr>
          <w:rFonts w:hint="eastAsia" w:ascii="宋体" w:hAnsi="宋体" w:cs="宋体"/>
          <w:b/>
          <w:color w:val="FF0000"/>
          <w:kern w:val="0"/>
          <w:szCs w:val="21"/>
        </w:rPr>
      </w:pPr>
      <w:r>
        <w:rPr>
          <w:rFonts w:hint="eastAsia" w:ascii="宋体" w:hAnsi="宋体" w:cs="宋体"/>
          <w:color w:val="FF0000"/>
          <w:kern w:val="0"/>
          <w:szCs w:val="21"/>
        </w:rPr>
        <w:t>每月结束，乙方提供当月货物统计及费用明细，经甲方对货物验收合格交付使用确认无异议后，凭验收合格证明及开具的完税发票按月向乙方支付当月批次的货物价款。</w:t>
      </w:r>
      <w:r>
        <w:rPr>
          <w:rFonts w:ascii="宋体" w:hAnsi="宋体" w:cs="宋体"/>
          <w:color w:val="FF0000"/>
          <w:kern w:val="0"/>
          <w:szCs w:val="21"/>
        </w:rPr>
        <w:t>　　</w:t>
      </w:r>
      <w:r>
        <w:rPr>
          <w:rFonts w:hint="eastAsia" w:ascii="宋体" w:hAnsi="宋体" w:cs="宋体"/>
          <w:color w:val="FF0000"/>
          <w:kern w:val="0"/>
          <w:szCs w:val="21"/>
        </w:rPr>
        <w:t xml:space="preserve">   </w:t>
      </w:r>
    </w:p>
    <w:p>
      <w:pPr>
        <w:spacing w:line="440" w:lineRule="exact"/>
        <w:ind w:firstLine="420"/>
        <w:rPr>
          <w:rFonts w:ascii="宋体" w:hAnsi="宋体" w:cs="宋体"/>
          <w:kern w:val="0"/>
          <w:szCs w:val="21"/>
        </w:rPr>
      </w:pPr>
      <w:r>
        <w:rPr>
          <w:rFonts w:ascii="宋体" w:hAnsi="宋体" w:cs="宋体"/>
          <w:b/>
          <w:kern w:val="0"/>
          <w:szCs w:val="21"/>
        </w:rPr>
        <w:t>第</w:t>
      </w:r>
      <w:r>
        <w:rPr>
          <w:rFonts w:hint="eastAsia" w:ascii="宋体" w:hAnsi="宋体" w:cs="宋体"/>
          <w:b/>
          <w:kern w:val="0"/>
          <w:szCs w:val="21"/>
        </w:rPr>
        <w:t>六</w:t>
      </w:r>
      <w:r>
        <w:rPr>
          <w:rFonts w:ascii="宋体" w:hAnsi="宋体" w:cs="宋体"/>
          <w:b/>
          <w:kern w:val="0"/>
          <w:szCs w:val="21"/>
        </w:rPr>
        <w:t>条</w:t>
      </w:r>
      <w:r>
        <w:rPr>
          <w:rFonts w:hint="eastAsia" w:ascii="宋体" w:hAnsi="宋体" w:cs="宋体"/>
          <w:b/>
          <w:kern w:val="0"/>
          <w:szCs w:val="21"/>
        </w:rPr>
        <w:t xml:space="preserve"> </w:t>
      </w:r>
      <w:r>
        <w:rPr>
          <w:rFonts w:hint="eastAsia" w:ascii="宋体" w:hAnsi="宋体" w:cs="宋体"/>
          <w:kern w:val="0"/>
          <w:szCs w:val="21"/>
        </w:rPr>
        <w:t>售后服务</w:t>
      </w:r>
    </w:p>
    <w:p>
      <w:pPr>
        <w:spacing w:line="440" w:lineRule="exact"/>
        <w:ind w:firstLine="420"/>
        <w:rPr>
          <w:rFonts w:ascii="宋体" w:hAnsi="宋体" w:cs="宋体"/>
          <w:kern w:val="0"/>
          <w:szCs w:val="21"/>
        </w:rPr>
      </w:pPr>
      <w:r>
        <w:rPr>
          <w:rFonts w:ascii="宋体" w:hAnsi="宋体" w:cs="宋体"/>
          <w:kern w:val="0"/>
          <w:szCs w:val="21"/>
        </w:rPr>
        <w:t>1. 乙方应为甲方提供免费培训服务，并指派专人负责与甲方联系售后服务事宜。主要培训内容为货物的基本结构、性能、主要部件的构造及处理，日常使用操作、保养与管理、常见故障的排除、紧急情况的处理等。</w:t>
      </w:r>
    </w:p>
    <w:p>
      <w:pPr>
        <w:spacing w:line="440" w:lineRule="exact"/>
        <w:ind w:firstLine="420"/>
        <w:rPr>
          <w:rFonts w:hint="eastAsia" w:ascii="宋体" w:hAnsi="宋体" w:cs="宋体"/>
          <w:kern w:val="0"/>
          <w:szCs w:val="21"/>
          <w:lang w:val="en-US" w:eastAsia="zh-CN"/>
        </w:rPr>
      </w:pPr>
      <w:r>
        <w:rPr>
          <w:rFonts w:hint="eastAsia" w:ascii="宋体" w:hAnsi="宋体" w:cs="宋体"/>
          <w:kern w:val="0"/>
          <w:szCs w:val="21"/>
          <w:lang w:val="en-US" w:eastAsia="zh-CN"/>
        </w:rPr>
        <w:t>2.产品自售出之日起 7日内，发生性能故障，甲方可以选择退货、换货或修理；产品自售出之日起l5日内，发生性能故障，甲方可以选择换货或修理。</w:t>
      </w:r>
    </w:p>
    <w:p>
      <w:pPr>
        <w:spacing w:line="440" w:lineRule="exact"/>
        <w:ind w:firstLine="420"/>
        <w:rPr>
          <w:rFonts w:hint="eastAsia" w:ascii="宋体" w:hAnsi="宋体" w:cs="宋体"/>
          <w:kern w:val="0"/>
          <w:szCs w:val="21"/>
          <w:lang w:val="en-US" w:eastAsia="zh-CN"/>
        </w:rPr>
      </w:pPr>
      <w:r>
        <w:rPr>
          <w:rFonts w:hint="eastAsia" w:ascii="宋体" w:hAnsi="宋体" w:cs="宋体"/>
          <w:kern w:val="0"/>
          <w:szCs w:val="21"/>
          <w:lang w:val="en-US" w:eastAsia="zh-CN"/>
        </w:rPr>
        <w:t>3. 所购货物若为电子产品则由乙方提供至少3年的整机保修和系统维护；若为其他货物则按生产厂家的标准执行，但不得少于1年；保修期自甲方在货物质量验收单上签字之日起计算，保修费用计入总价。</w:t>
      </w:r>
    </w:p>
    <w:p>
      <w:pPr>
        <w:spacing w:line="440" w:lineRule="exact"/>
        <w:ind w:firstLine="420" w:firstLineChars="200"/>
        <w:rPr>
          <w:rFonts w:hint="default" w:ascii="宋体" w:hAnsi="宋体" w:cs="宋体"/>
          <w:kern w:val="0"/>
          <w:szCs w:val="21"/>
          <w:lang w:val="en-US" w:eastAsia="zh-CN"/>
        </w:rPr>
      </w:pPr>
      <w:r>
        <w:rPr>
          <w:rFonts w:hint="eastAsia" w:ascii="宋体" w:hAnsi="宋体" w:cs="宋体"/>
          <w:kern w:val="0"/>
          <w:szCs w:val="21"/>
          <w:lang w:val="en-US" w:eastAsia="zh-CN"/>
        </w:rPr>
        <w:t>4.保修</w:t>
      </w:r>
      <w:r>
        <w:rPr>
          <w:rFonts w:hint="default" w:ascii="宋体" w:hAnsi="宋体" w:cs="宋体"/>
          <w:kern w:val="0"/>
          <w:szCs w:val="21"/>
          <w:lang w:val="en-US" w:eastAsia="zh-CN"/>
        </w:rPr>
        <w:t>期内，乙方应当提供7×24小时电话支持服务。乙方接到甲方保修通知后12个小时内响应</w:t>
      </w:r>
      <w:r>
        <w:rPr>
          <w:rFonts w:hint="eastAsia" w:ascii="宋体" w:hAnsi="宋体" w:cs="宋体"/>
          <w:kern w:val="0"/>
          <w:szCs w:val="21"/>
          <w:lang w:val="en-US" w:eastAsia="zh-CN"/>
        </w:rPr>
        <w:t>，</w:t>
      </w:r>
      <w:r>
        <w:rPr>
          <w:rFonts w:hint="default" w:ascii="宋体" w:hAnsi="宋体" w:cs="宋体"/>
          <w:kern w:val="0"/>
          <w:szCs w:val="21"/>
          <w:lang w:val="en-US" w:eastAsia="zh-CN"/>
        </w:rPr>
        <w:t>2个小时内排除故障；对于质保期内不能修复的产品/部件，乙方应在</w:t>
      </w:r>
      <w:r>
        <w:rPr>
          <w:rFonts w:hint="eastAsia" w:ascii="宋体" w:hAnsi="宋体" w:cs="宋体"/>
          <w:kern w:val="0"/>
          <w:szCs w:val="21"/>
          <w:lang w:val="en-US" w:eastAsia="zh-CN"/>
        </w:rPr>
        <w:t>24</w:t>
      </w:r>
      <w:r>
        <w:rPr>
          <w:rFonts w:hint="default" w:ascii="宋体" w:hAnsi="宋体" w:cs="宋体"/>
          <w:kern w:val="0"/>
          <w:szCs w:val="21"/>
          <w:lang w:val="en-US" w:eastAsia="zh-CN"/>
        </w:rPr>
        <w:t>个小时内免费更换备品备件；因货物质量问题，质保期内维修不收取任何费用</w:t>
      </w:r>
      <w:r>
        <w:rPr>
          <w:rFonts w:hint="eastAsia" w:ascii="宋体" w:hAnsi="宋体" w:cs="宋体"/>
          <w:kern w:val="0"/>
          <w:szCs w:val="21"/>
          <w:lang w:val="en-US" w:eastAsia="zh-CN"/>
        </w:rPr>
        <w:t>；</w:t>
      </w:r>
      <w:r>
        <w:rPr>
          <w:rFonts w:ascii="宋体" w:hAnsi="宋体" w:cs="宋体"/>
          <w:kern w:val="0"/>
          <w:szCs w:val="21"/>
        </w:rPr>
        <w:t>若货物故障在检修工作</w:t>
      </w:r>
      <w:r>
        <w:rPr>
          <w:rFonts w:ascii="宋体" w:hAnsi="宋体" w:cs="宋体"/>
          <w:kern w:val="0"/>
          <w:szCs w:val="21"/>
          <w:lang w:val="en-US"/>
        </w:rPr>
        <w:t>8</w:t>
      </w:r>
      <w:r>
        <w:rPr>
          <w:rFonts w:ascii="宋体" w:hAnsi="宋体" w:cs="宋体"/>
          <w:kern w:val="0"/>
          <w:szCs w:val="21"/>
        </w:rPr>
        <w:t>小时后仍无法排除，乙方应在48小时内免费提供不低于故障货物规格型号档次的备用货物供甲方使用，直至故障货物修复。</w:t>
      </w:r>
    </w:p>
    <w:p>
      <w:pPr>
        <w:spacing w:line="440" w:lineRule="exact"/>
        <w:ind w:firstLine="420"/>
        <w:rPr>
          <w:rFonts w:hint="default" w:ascii="宋体" w:hAnsi="宋体" w:cs="宋体"/>
          <w:kern w:val="0"/>
          <w:szCs w:val="21"/>
          <w:lang w:val="en-US" w:eastAsia="zh-CN"/>
        </w:rPr>
      </w:pPr>
      <w:r>
        <w:rPr>
          <w:rFonts w:hint="eastAsia" w:ascii="宋体" w:hAnsi="宋体" w:cs="宋体"/>
          <w:kern w:val="0"/>
          <w:szCs w:val="21"/>
          <w:lang w:val="en-US" w:eastAsia="zh-CN"/>
        </w:rPr>
        <w:t>5</w:t>
      </w:r>
      <w:r>
        <w:rPr>
          <w:rFonts w:hint="default" w:ascii="宋体" w:hAnsi="宋体" w:cs="宋体"/>
          <w:kern w:val="0"/>
          <w:szCs w:val="21"/>
          <w:lang w:val="en-US" w:eastAsia="zh-CN"/>
        </w:rPr>
        <w:t>、货物保修期内修理两次，仍不能正常使用的，甲方有权调换同型号同规格的产品或直接退货，如退货，乙方应全额退款；保修期应扣除因修理占用和无零配件待修的时间；换货后的保修期自换货之日起重新计算。</w:t>
      </w:r>
    </w:p>
    <w:p>
      <w:pPr>
        <w:spacing w:line="440" w:lineRule="exact"/>
        <w:ind w:firstLine="420"/>
        <w:rPr>
          <w:rFonts w:hint="default" w:ascii="宋体" w:hAnsi="宋体" w:cs="宋体"/>
          <w:kern w:val="0"/>
          <w:szCs w:val="21"/>
          <w:lang w:val="en-US" w:eastAsia="zh-CN"/>
        </w:rPr>
      </w:pPr>
      <w:r>
        <w:rPr>
          <w:rFonts w:hint="eastAsia" w:ascii="宋体" w:hAnsi="宋体" w:cs="宋体"/>
          <w:kern w:val="0"/>
          <w:szCs w:val="21"/>
          <w:lang w:val="en-US" w:eastAsia="zh-CN"/>
        </w:rPr>
        <w:t>6</w:t>
      </w:r>
      <w:r>
        <w:rPr>
          <w:rFonts w:hint="default" w:ascii="宋体" w:hAnsi="宋体" w:cs="宋体"/>
          <w:kern w:val="0"/>
          <w:szCs w:val="21"/>
          <w:lang w:val="en-US" w:eastAsia="zh-CN"/>
        </w:rPr>
        <w:t>、保修期届满后，乙方对本合同项下货物提供终身维修服务，且维修时只收取所需维修部件的成本费，服务内容应与保修期内的要求相一致。</w:t>
      </w:r>
    </w:p>
    <w:p>
      <w:pPr>
        <w:spacing w:line="440" w:lineRule="exact"/>
        <w:rPr>
          <w:rFonts w:ascii="宋体" w:hAnsi="宋体" w:cs="宋体"/>
          <w:kern w:val="0"/>
          <w:szCs w:val="21"/>
        </w:rPr>
      </w:pPr>
      <w:r>
        <w:rPr>
          <w:rFonts w:ascii="宋体" w:hAnsi="宋体" w:cs="宋体"/>
          <w:kern w:val="0"/>
          <w:szCs w:val="21"/>
        </w:rPr>
        <w:t>　　</w:t>
      </w:r>
      <w:r>
        <w:rPr>
          <w:rFonts w:hint="eastAsia" w:ascii="宋体" w:hAnsi="宋体" w:cs="宋体"/>
          <w:kern w:val="0"/>
          <w:szCs w:val="21"/>
          <w:lang w:val="en-US" w:eastAsia="zh-CN"/>
        </w:rPr>
        <w:t>7</w:t>
      </w:r>
      <w:r>
        <w:rPr>
          <w:rFonts w:ascii="宋体" w:hAnsi="宋体" w:cs="宋体"/>
          <w:kern w:val="0"/>
          <w:szCs w:val="21"/>
        </w:rPr>
        <w:t>. 所有货物保修服务方式均为乙方上门保修，即由乙方派员到货物使用现场维修，由此产生的一切费用均由乙方承担。</w:t>
      </w:r>
    </w:p>
    <w:p>
      <w:pPr>
        <w:spacing w:line="440" w:lineRule="exact"/>
        <w:rPr>
          <w:rFonts w:ascii="宋体" w:hAnsi="宋体" w:cs="宋体"/>
          <w:kern w:val="0"/>
          <w:szCs w:val="21"/>
        </w:rPr>
      </w:pPr>
      <w:r>
        <w:rPr>
          <w:rFonts w:ascii="宋体" w:hAnsi="宋体" w:cs="宋体"/>
          <w:kern w:val="0"/>
          <w:szCs w:val="21"/>
        </w:rPr>
        <w:t>　　　　</w:t>
      </w:r>
      <w:r>
        <w:rPr>
          <w:rFonts w:ascii="宋体" w:hAnsi="宋体" w:cs="宋体"/>
          <w:b/>
          <w:kern w:val="0"/>
          <w:szCs w:val="21"/>
        </w:rPr>
        <w:t>第七条</w:t>
      </w:r>
      <w:r>
        <w:rPr>
          <w:rFonts w:hint="eastAsia" w:ascii="宋体" w:hAnsi="宋体" w:cs="宋体"/>
          <w:b/>
          <w:kern w:val="0"/>
          <w:szCs w:val="21"/>
        </w:rPr>
        <w:t xml:space="preserve"> </w:t>
      </w:r>
      <w:r>
        <w:rPr>
          <w:rFonts w:ascii="宋体" w:hAnsi="宋体" w:cs="宋体"/>
          <w:kern w:val="0"/>
          <w:szCs w:val="21"/>
        </w:rPr>
        <w:t>违约责任</w:t>
      </w:r>
    </w:p>
    <w:p>
      <w:pPr>
        <w:spacing w:line="440" w:lineRule="exact"/>
        <w:rPr>
          <w:rFonts w:ascii="宋体" w:hAnsi="宋体" w:cs="宋体"/>
          <w:kern w:val="0"/>
          <w:szCs w:val="21"/>
        </w:rPr>
      </w:pPr>
      <w:r>
        <w:rPr>
          <w:rFonts w:ascii="宋体" w:hAnsi="宋体" w:cs="宋体"/>
          <w:kern w:val="0"/>
          <w:szCs w:val="21"/>
        </w:rPr>
        <w:t>　　1. 甲方无正当理由拒收货物、拒付货款的，由甲方向乙方偿付</w:t>
      </w:r>
      <w:r>
        <w:rPr>
          <w:rFonts w:hint="eastAsia" w:ascii="宋体" w:hAnsi="宋体" w:cs="宋体"/>
          <w:kern w:val="0"/>
          <w:szCs w:val="21"/>
        </w:rPr>
        <w:t>当批次货物价款</w:t>
      </w:r>
      <w:r>
        <w:rPr>
          <w:rFonts w:ascii="宋体" w:hAnsi="宋体" w:cs="宋体"/>
          <w:kern w:val="0"/>
          <w:szCs w:val="21"/>
        </w:rPr>
        <w:t>的5‰的违约金。</w:t>
      </w:r>
    </w:p>
    <w:p>
      <w:pPr>
        <w:spacing w:line="440" w:lineRule="exact"/>
        <w:rPr>
          <w:rFonts w:ascii="宋体" w:hAnsi="宋体" w:cs="宋体"/>
          <w:kern w:val="0"/>
          <w:szCs w:val="21"/>
        </w:rPr>
      </w:pPr>
      <w:r>
        <w:rPr>
          <w:rFonts w:ascii="宋体" w:hAnsi="宋体" w:cs="宋体"/>
          <w:kern w:val="0"/>
          <w:szCs w:val="21"/>
        </w:rPr>
        <w:t>　　</w:t>
      </w:r>
      <w:r>
        <w:rPr>
          <w:rFonts w:hint="eastAsia" w:ascii="宋体" w:hAnsi="宋体" w:cs="宋体"/>
          <w:kern w:val="0"/>
          <w:szCs w:val="21"/>
          <w:lang w:val="en-US" w:eastAsia="zh-CN"/>
        </w:rPr>
        <w:t>2</w:t>
      </w:r>
      <w:r>
        <w:rPr>
          <w:rFonts w:ascii="宋体" w:hAnsi="宋体" w:cs="宋体"/>
          <w:kern w:val="0"/>
          <w:szCs w:val="21"/>
        </w:rPr>
        <w:t>. 乙方不能交付货物，则由乙方向甲方支付</w:t>
      </w:r>
      <w:r>
        <w:rPr>
          <w:rFonts w:hint="eastAsia" w:ascii="宋体" w:hAnsi="宋体" w:cs="宋体"/>
          <w:kern w:val="0"/>
          <w:szCs w:val="21"/>
        </w:rPr>
        <w:t>当批次货物价款</w:t>
      </w:r>
      <w:r>
        <w:rPr>
          <w:rFonts w:ascii="宋体" w:hAnsi="宋体" w:cs="宋体"/>
          <w:kern w:val="0"/>
          <w:szCs w:val="21"/>
        </w:rPr>
        <w:t>的</w:t>
      </w:r>
      <w:r>
        <w:rPr>
          <w:rFonts w:hint="eastAsia" w:ascii="宋体" w:hAnsi="宋体" w:cs="宋体"/>
          <w:kern w:val="0"/>
          <w:szCs w:val="21"/>
          <w:lang w:val="en-US" w:eastAsia="zh-CN"/>
        </w:rPr>
        <w:t>5%</w:t>
      </w:r>
      <w:r>
        <w:rPr>
          <w:rFonts w:ascii="宋体" w:hAnsi="宋体" w:cs="宋体"/>
          <w:kern w:val="0"/>
          <w:szCs w:val="21"/>
        </w:rPr>
        <w:t>的违约金。</w:t>
      </w:r>
    </w:p>
    <w:p>
      <w:pPr>
        <w:spacing w:line="440" w:lineRule="exact"/>
        <w:ind w:firstLine="420"/>
        <w:rPr>
          <w:rFonts w:ascii="宋体" w:hAnsi="宋体" w:cs="宋体"/>
          <w:spacing w:val="-4"/>
          <w:kern w:val="0"/>
          <w:szCs w:val="21"/>
        </w:rPr>
      </w:pPr>
      <w:r>
        <w:rPr>
          <w:rFonts w:hint="eastAsia" w:ascii="宋体" w:hAnsi="宋体" w:cs="宋体"/>
          <w:spacing w:val="-4"/>
          <w:kern w:val="0"/>
          <w:szCs w:val="21"/>
          <w:lang w:val="en-US" w:eastAsia="zh-CN"/>
        </w:rPr>
        <w:t>3</w:t>
      </w:r>
      <w:r>
        <w:rPr>
          <w:rFonts w:ascii="宋体" w:hAnsi="宋体" w:cs="宋体"/>
          <w:spacing w:val="-4"/>
          <w:kern w:val="0"/>
          <w:szCs w:val="21"/>
        </w:rPr>
        <w:t>. 乙方逾期交付货物的，每逾期1天，乙方向甲方偿付逾期交货部分货款总额的5‰的滞纳金，逾期交货超过10天，甲方有权</w:t>
      </w:r>
      <w:r>
        <w:rPr>
          <w:rFonts w:hint="eastAsia" w:ascii="宋体" w:hAnsi="宋体" w:cs="宋体"/>
          <w:spacing w:val="-4"/>
          <w:kern w:val="0"/>
          <w:szCs w:val="21"/>
          <w:lang w:eastAsia="zh-CN"/>
        </w:rPr>
        <w:t>单方</w:t>
      </w:r>
      <w:r>
        <w:rPr>
          <w:rFonts w:ascii="宋体" w:hAnsi="宋体" w:cs="宋体"/>
          <w:spacing w:val="-4"/>
          <w:kern w:val="0"/>
          <w:szCs w:val="21"/>
        </w:rPr>
        <w:t>终止合同，并按第七条第</w:t>
      </w:r>
      <w:r>
        <w:rPr>
          <w:rFonts w:hint="eastAsia" w:ascii="宋体" w:hAnsi="宋体" w:cs="宋体"/>
          <w:spacing w:val="-4"/>
          <w:kern w:val="0"/>
          <w:szCs w:val="21"/>
          <w:lang w:val="en-US" w:eastAsia="zh-CN"/>
        </w:rPr>
        <w:t>2</w:t>
      </w:r>
      <w:r>
        <w:rPr>
          <w:rFonts w:ascii="宋体" w:hAnsi="宋体" w:cs="宋体"/>
          <w:spacing w:val="-4"/>
          <w:kern w:val="0"/>
          <w:szCs w:val="21"/>
        </w:rPr>
        <w:t>款处理。</w:t>
      </w:r>
    </w:p>
    <w:p>
      <w:pPr>
        <w:spacing w:line="440" w:lineRule="exact"/>
        <w:ind w:firstLine="420"/>
        <w:rPr>
          <w:rFonts w:ascii="宋体" w:hAnsi="宋体" w:cs="宋体"/>
          <w:spacing w:val="-4"/>
          <w:kern w:val="0"/>
          <w:szCs w:val="21"/>
        </w:rPr>
      </w:pPr>
      <w:r>
        <w:rPr>
          <w:rFonts w:hint="eastAsia" w:ascii="宋体" w:hAnsi="宋体" w:cs="宋体"/>
          <w:spacing w:val="-4"/>
          <w:kern w:val="0"/>
          <w:szCs w:val="21"/>
        </w:rPr>
        <w:t>乙方未在约定时间内完成安装调试（如有）的，参照前款约定承担违约责任。</w:t>
      </w:r>
    </w:p>
    <w:p>
      <w:pPr>
        <w:spacing w:line="440" w:lineRule="exact"/>
        <w:rPr>
          <w:rFonts w:ascii="宋体" w:hAnsi="宋体" w:eastAsia="宋体" w:cs="宋体"/>
          <w:kern w:val="0"/>
          <w:szCs w:val="21"/>
        </w:rPr>
      </w:pPr>
      <w:r>
        <w:rPr>
          <w:rFonts w:ascii="宋体" w:hAnsi="宋体" w:cs="宋体"/>
          <w:kern w:val="0"/>
          <w:szCs w:val="21"/>
        </w:rPr>
        <w:t>　　</w:t>
      </w:r>
      <w:r>
        <w:rPr>
          <w:rFonts w:hint="eastAsia" w:ascii="宋体" w:hAnsi="宋体" w:cs="宋体"/>
          <w:kern w:val="0"/>
          <w:szCs w:val="21"/>
          <w:lang w:val="en-US" w:eastAsia="zh-CN"/>
        </w:rPr>
        <w:t>4</w:t>
      </w:r>
      <w:r>
        <w:rPr>
          <w:rFonts w:ascii="宋体" w:hAnsi="宋体" w:cs="宋体"/>
          <w:kern w:val="0"/>
          <w:szCs w:val="21"/>
        </w:rPr>
        <w:t>. 乙方所</w:t>
      </w:r>
      <w:r>
        <w:rPr>
          <w:rFonts w:ascii="宋体" w:hAnsi="宋体" w:eastAsia="宋体" w:cs="宋体"/>
          <w:kern w:val="0"/>
          <w:szCs w:val="21"/>
        </w:rPr>
        <w:t>交的货物品种、型号、规格不符合合同规定的，甲方有权拒收设备。乙方向甲方支付</w:t>
      </w:r>
      <w:r>
        <w:rPr>
          <w:rFonts w:hint="default" w:ascii="宋体" w:hAnsi="宋体" w:eastAsia="宋体" w:cs="宋体"/>
          <w:kern w:val="0"/>
          <w:szCs w:val="21"/>
          <w:lang w:eastAsia="zh-CN"/>
        </w:rPr>
        <w:t>不合格</w:t>
      </w:r>
      <w:r>
        <w:rPr>
          <w:rFonts w:ascii="宋体" w:hAnsi="宋体" w:eastAsia="宋体" w:cs="宋体"/>
          <w:kern w:val="0"/>
          <w:szCs w:val="21"/>
        </w:rPr>
        <w:t>货款总额的</w:t>
      </w:r>
      <w:r>
        <w:rPr>
          <w:rFonts w:hint="default" w:ascii="宋体" w:hAnsi="宋体" w:eastAsia="宋体" w:cs="宋体"/>
          <w:kern w:val="0"/>
          <w:szCs w:val="21"/>
          <w:lang w:val="en-US" w:eastAsia="zh-CN"/>
        </w:rPr>
        <w:t>5%</w:t>
      </w:r>
      <w:r>
        <w:rPr>
          <w:rFonts w:ascii="宋体" w:hAnsi="宋体" w:eastAsia="宋体" w:cs="宋体"/>
          <w:kern w:val="0"/>
          <w:szCs w:val="21"/>
        </w:rPr>
        <w:t>的违约金。</w:t>
      </w:r>
    </w:p>
    <w:p>
      <w:pPr>
        <w:spacing w:line="440" w:lineRule="exact"/>
        <w:rPr>
          <w:rFonts w:ascii="宋体" w:hAnsi="宋体" w:cs="宋体"/>
          <w:kern w:val="0"/>
          <w:szCs w:val="21"/>
        </w:rPr>
      </w:pPr>
      <w:r>
        <w:rPr>
          <w:rFonts w:ascii="宋体" w:hAnsi="宋体" w:eastAsia="宋体" w:cs="宋体"/>
          <w:kern w:val="0"/>
          <w:szCs w:val="21"/>
        </w:rPr>
        <w:t>　　</w:t>
      </w:r>
      <w:r>
        <w:rPr>
          <w:rFonts w:hint="default" w:ascii="宋体" w:hAnsi="宋体" w:eastAsia="宋体" w:cs="宋体"/>
          <w:kern w:val="0"/>
          <w:szCs w:val="21"/>
          <w:lang w:val="en-US" w:eastAsia="zh-CN"/>
        </w:rPr>
        <w:t>5</w:t>
      </w:r>
      <w:r>
        <w:rPr>
          <w:rFonts w:ascii="宋体" w:hAnsi="宋体" w:eastAsia="宋体" w:cs="宋体"/>
          <w:kern w:val="0"/>
          <w:szCs w:val="21"/>
        </w:rPr>
        <w:t>. 如经乙方两次维修，货物仍不能达到合同约定质量标准，甲方有权退货，乙方退回全部货款，并按第七条第3款处理，同时，乙方还须赔偿甲方因此遭受的损失</w:t>
      </w:r>
      <w:r>
        <w:rPr>
          <w:rFonts w:hint="default" w:ascii="宋体" w:hAnsi="宋体" w:eastAsia="宋体" w:cs="宋体"/>
          <w:kern w:val="0"/>
          <w:szCs w:val="21"/>
          <w:lang w:eastAsia="zh-CN"/>
        </w:rPr>
        <w:t>；</w:t>
      </w:r>
      <w:r>
        <w:rPr>
          <w:rFonts w:hint="default" w:ascii="宋体" w:hAnsi="宋体" w:eastAsia="宋体" w:cs="宋体"/>
          <w:b w:val="0"/>
          <w:bCs w:val="0"/>
          <w:kern w:val="0"/>
          <w:sz w:val="21"/>
          <w:szCs w:val="21"/>
          <w:shd w:val="clear" w:color="auto" w:fill="auto"/>
          <w:lang w:eastAsia="zh-CN"/>
        </w:rPr>
        <w:t>若乙方不履行合同约定的保修义务，</w:t>
      </w:r>
      <w:r>
        <w:rPr>
          <w:rFonts w:hint="default" w:ascii="宋体" w:hAnsi="宋体" w:eastAsia="宋体" w:cs="宋体"/>
          <w:b w:val="0"/>
          <w:bCs w:val="0"/>
          <w:kern w:val="0"/>
          <w:sz w:val="21"/>
          <w:szCs w:val="21"/>
          <w:shd w:val="clear" w:color="auto" w:fill="auto"/>
        </w:rPr>
        <w:t>甲方有权</w:t>
      </w:r>
      <w:r>
        <w:rPr>
          <w:rFonts w:hint="default" w:ascii="宋体" w:hAnsi="宋体" w:eastAsia="宋体" w:cs="宋体"/>
          <w:b w:val="0"/>
          <w:bCs w:val="0"/>
          <w:kern w:val="0"/>
          <w:sz w:val="21"/>
          <w:szCs w:val="21"/>
          <w:shd w:val="clear" w:color="auto" w:fill="auto"/>
          <w:lang w:eastAsia="zh-CN"/>
        </w:rPr>
        <w:t>另行</w:t>
      </w:r>
      <w:r>
        <w:rPr>
          <w:rFonts w:hint="default" w:ascii="宋体" w:hAnsi="宋体" w:eastAsia="宋体" w:cs="宋体"/>
          <w:b w:val="0"/>
          <w:bCs w:val="0"/>
          <w:kern w:val="0"/>
          <w:sz w:val="21"/>
          <w:szCs w:val="21"/>
          <w:shd w:val="clear" w:color="auto" w:fill="auto"/>
        </w:rPr>
        <w:t>委托第三方进行保修，所产生的费用由乙方承担</w:t>
      </w:r>
      <w:r>
        <w:rPr>
          <w:rFonts w:hint="default" w:ascii="宋体" w:hAnsi="宋体" w:eastAsia="宋体" w:cs="宋体"/>
          <w:b w:val="0"/>
          <w:bCs w:val="0"/>
          <w:kern w:val="0"/>
          <w:sz w:val="21"/>
          <w:szCs w:val="21"/>
          <w:shd w:val="clear" w:color="auto" w:fill="auto"/>
          <w:lang w:eastAsia="zh-CN"/>
        </w:rPr>
        <w:t>；</w:t>
      </w:r>
      <w:r>
        <w:rPr>
          <w:rFonts w:hint="default" w:ascii="宋体" w:hAnsi="宋体" w:eastAsia="宋体" w:cs="宋体"/>
          <w:b w:val="0"/>
          <w:bCs w:val="0"/>
          <w:kern w:val="0"/>
          <w:sz w:val="21"/>
          <w:szCs w:val="21"/>
          <w:shd w:val="clear" w:color="auto" w:fill="auto"/>
        </w:rPr>
        <w:t>若因货物缺陷或乙方服务质量等问题造成甲方或任何人员人身、财产损害的，乙方应承担有关责任并作出相应赔偿。</w:t>
      </w:r>
    </w:p>
    <w:p>
      <w:pPr>
        <w:spacing w:line="440" w:lineRule="exact"/>
        <w:ind w:firstLine="420"/>
        <w:rPr>
          <w:rFonts w:ascii="宋体" w:hAnsi="宋体" w:cs="宋体"/>
          <w:kern w:val="0"/>
          <w:szCs w:val="21"/>
        </w:rPr>
      </w:pPr>
      <w:r>
        <w:rPr>
          <w:rFonts w:hint="eastAsia" w:ascii="宋体" w:hAnsi="宋体" w:cs="宋体"/>
          <w:kern w:val="0"/>
          <w:szCs w:val="21"/>
          <w:lang w:val="en-US" w:eastAsia="zh-CN"/>
        </w:rPr>
        <w:t>6</w:t>
      </w:r>
      <w:r>
        <w:rPr>
          <w:rFonts w:ascii="宋体" w:hAnsi="宋体" w:cs="宋体"/>
          <w:kern w:val="0"/>
          <w:szCs w:val="21"/>
        </w:rPr>
        <w:t>. 乙方所供货物必须权属清楚，不得侵害他人的知识产权，否则构成对甲方违约，违约金按第七条第</w:t>
      </w:r>
      <w:r>
        <w:rPr>
          <w:rFonts w:hint="eastAsia" w:ascii="宋体" w:hAnsi="宋体" w:cs="宋体"/>
          <w:kern w:val="0"/>
          <w:szCs w:val="21"/>
          <w:lang w:val="en-US" w:eastAsia="zh-CN"/>
        </w:rPr>
        <w:t>2</w:t>
      </w:r>
      <w:r>
        <w:rPr>
          <w:rFonts w:hint="eastAsia" w:ascii="宋体" w:hAnsi="宋体" w:cs="宋体"/>
          <w:kern w:val="0"/>
          <w:szCs w:val="21"/>
        </w:rPr>
        <w:t>、</w:t>
      </w:r>
      <w:r>
        <w:rPr>
          <w:rFonts w:hint="eastAsia" w:ascii="宋体" w:hAnsi="宋体" w:cs="宋体"/>
          <w:kern w:val="0"/>
          <w:szCs w:val="21"/>
          <w:lang w:val="en-US" w:eastAsia="zh-CN"/>
        </w:rPr>
        <w:t>3</w:t>
      </w:r>
      <w:r>
        <w:rPr>
          <w:rFonts w:ascii="宋体" w:hAnsi="宋体" w:cs="宋体"/>
          <w:kern w:val="0"/>
          <w:szCs w:val="21"/>
        </w:rPr>
        <w:t>款执行。</w:t>
      </w:r>
    </w:p>
    <w:p>
      <w:pPr>
        <w:spacing w:line="440" w:lineRule="exact"/>
        <w:ind w:firstLine="420"/>
        <w:rPr>
          <w:rFonts w:hint="default" w:ascii="宋体" w:hAnsi="宋体" w:eastAsia="宋体" w:cs="宋体"/>
          <w:kern w:val="0"/>
          <w:szCs w:val="21"/>
          <w:lang w:val="en-US" w:eastAsia="zh-CN"/>
        </w:rPr>
      </w:pPr>
      <w:r>
        <w:rPr>
          <w:rFonts w:hint="eastAsia" w:ascii="宋体" w:hAnsi="宋体" w:cs="宋体"/>
          <w:kern w:val="0"/>
          <w:szCs w:val="21"/>
          <w:lang w:val="en-US" w:eastAsia="zh-CN"/>
        </w:rPr>
        <w:t>7.本合同中的违约条款不影响乙方其他合同责任的承担，包括但不限于退货、换货、维修责任。  </w:t>
      </w:r>
    </w:p>
    <w:p>
      <w:pPr>
        <w:spacing w:line="440" w:lineRule="exact"/>
        <w:rPr>
          <w:rFonts w:hint="eastAsia" w:ascii="宋体" w:hAnsi="宋体" w:cs="宋体"/>
          <w:kern w:val="0"/>
          <w:szCs w:val="21"/>
        </w:rPr>
      </w:pPr>
      <w:r>
        <w:rPr>
          <w:rFonts w:ascii="宋体" w:hAnsi="宋体" w:cs="宋体"/>
          <w:kern w:val="0"/>
          <w:szCs w:val="21"/>
        </w:rPr>
        <w:t>　　</w:t>
      </w:r>
      <w:r>
        <w:rPr>
          <w:rFonts w:ascii="宋体" w:hAnsi="宋体" w:cs="宋体"/>
          <w:b/>
          <w:kern w:val="0"/>
          <w:szCs w:val="21"/>
        </w:rPr>
        <w:t>第八条</w:t>
      </w:r>
      <w:r>
        <w:rPr>
          <w:rFonts w:hint="eastAsia" w:ascii="宋体" w:hAnsi="宋体" w:cs="宋体"/>
          <w:b/>
          <w:kern w:val="0"/>
          <w:szCs w:val="21"/>
        </w:rPr>
        <w:t xml:space="preserve"> </w:t>
      </w:r>
      <w:r>
        <w:rPr>
          <w:rFonts w:ascii="宋体" w:hAnsi="宋体" w:cs="宋体"/>
          <w:kern w:val="0"/>
          <w:szCs w:val="21"/>
        </w:rPr>
        <w:t>争议</w:t>
      </w:r>
      <w:r>
        <w:rPr>
          <w:rFonts w:hint="eastAsia" w:ascii="宋体" w:hAnsi="宋体" w:cs="宋体"/>
          <w:kern w:val="0"/>
          <w:szCs w:val="21"/>
        </w:rPr>
        <w:t>解决</w:t>
      </w:r>
    </w:p>
    <w:p>
      <w:pPr>
        <w:spacing w:line="440" w:lineRule="exact"/>
        <w:ind w:firstLine="420" w:firstLineChars="200"/>
        <w:rPr>
          <w:rFonts w:hint="eastAsia" w:ascii="宋体" w:hAnsi="宋体"/>
          <w:szCs w:val="21"/>
        </w:rPr>
      </w:pPr>
      <w:r>
        <w:rPr>
          <w:rFonts w:hint="eastAsia" w:ascii="宋体" w:hAnsi="宋体"/>
          <w:szCs w:val="21"/>
        </w:rPr>
        <w:t>本合同在履行过程中发生的争议</w:t>
      </w:r>
      <w:r>
        <w:rPr>
          <w:rFonts w:ascii="宋体" w:hAnsi="宋体"/>
          <w:szCs w:val="21"/>
        </w:rPr>
        <w:t xml:space="preserve">, </w:t>
      </w:r>
      <w:r>
        <w:rPr>
          <w:rFonts w:hint="eastAsia" w:ascii="宋体" w:hAnsi="宋体"/>
          <w:szCs w:val="21"/>
        </w:rPr>
        <w:t>由双方当事人协商解决</w:t>
      </w:r>
      <w:r>
        <w:rPr>
          <w:rFonts w:ascii="宋体" w:hAnsi="宋体"/>
          <w:szCs w:val="21"/>
        </w:rPr>
        <w:t>；</w:t>
      </w:r>
      <w:r>
        <w:rPr>
          <w:rFonts w:hint="eastAsia" w:ascii="宋体" w:hAnsi="宋体"/>
          <w:szCs w:val="21"/>
        </w:rPr>
        <w:t>协商不成的</w:t>
      </w:r>
      <w:r>
        <w:rPr>
          <w:rFonts w:ascii="宋体" w:hAnsi="宋体"/>
          <w:szCs w:val="21"/>
        </w:rPr>
        <w:t xml:space="preserve">, </w:t>
      </w:r>
      <w:r>
        <w:rPr>
          <w:rFonts w:hint="eastAsia" w:ascii="宋体" w:hAnsi="宋体"/>
          <w:szCs w:val="21"/>
        </w:rPr>
        <w:t>依法向甲方所在地人民法院起诉。</w:t>
      </w:r>
    </w:p>
    <w:p>
      <w:pPr>
        <w:spacing w:line="440" w:lineRule="exact"/>
        <w:rPr>
          <w:rFonts w:ascii="宋体" w:hAnsi="宋体" w:cs="宋体"/>
          <w:kern w:val="0"/>
          <w:szCs w:val="21"/>
        </w:rPr>
      </w:pPr>
      <w:r>
        <w:rPr>
          <w:rFonts w:ascii="宋体" w:hAnsi="宋体" w:cs="宋体"/>
          <w:kern w:val="0"/>
          <w:szCs w:val="21"/>
        </w:rPr>
        <w:t>　　</w:t>
      </w:r>
      <w:r>
        <w:rPr>
          <w:rFonts w:ascii="宋体" w:hAnsi="宋体" w:cs="宋体"/>
          <w:b/>
          <w:kern w:val="0"/>
          <w:szCs w:val="21"/>
        </w:rPr>
        <w:t>第九条　</w:t>
      </w:r>
      <w:r>
        <w:rPr>
          <w:rFonts w:ascii="宋体" w:hAnsi="宋体" w:cs="宋体"/>
          <w:kern w:val="0"/>
          <w:szCs w:val="21"/>
        </w:rPr>
        <w:t>其他</w:t>
      </w:r>
    </w:p>
    <w:p>
      <w:pPr>
        <w:spacing w:line="440" w:lineRule="exact"/>
        <w:ind w:firstLine="480"/>
        <w:rPr>
          <w:rFonts w:hint="eastAsia" w:ascii="宋体" w:hAnsi="宋体" w:cs="宋体"/>
          <w:kern w:val="0"/>
          <w:szCs w:val="21"/>
        </w:rPr>
      </w:pPr>
      <w:r>
        <w:rPr>
          <w:rFonts w:ascii="宋体" w:hAnsi="宋体" w:cs="宋体"/>
          <w:kern w:val="0"/>
          <w:szCs w:val="21"/>
        </w:rPr>
        <w:t>1. 本合同正本</w:t>
      </w:r>
      <w:r>
        <w:rPr>
          <w:rFonts w:hint="eastAsia" w:ascii="宋体" w:hAnsi="宋体" w:cs="宋体"/>
          <w:kern w:val="0"/>
          <w:szCs w:val="21"/>
          <w:u w:val="single"/>
        </w:rPr>
        <w:t xml:space="preserve">          </w:t>
      </w:r>
      <w:r>
        <w:rPr>
          <w:rFonts w:ascii="宋体" w:hAnsi="宋体" w:cs="宋体"/>
          <w:kern w:val="0"/>
          <w:szCs w:val="21"/>
        </w:rPr>
        <w:t>份，具有同等法律效力，甲、乙双方各执</w:t>
      </w:r>
      <w:r>
        <w:rPr>
          <w:rFonts w:hint="eastAsia" w:ascii="宋体" w:hAnsi="宋体" w:cs="宋体"/>
          <w:kern w:val="0"/>
          <w:szCs w:val="21"/>
          <w:u w:val="single"/>
        </w:rPr>
        <w:t xml:space="preserve">          </w:t>
      </w:r>
      <w:r>
        <w:rPr>
          <w:rFonts w:ascii="宋体" w:hAnsi="宋体" w:cs="宋体"/>
          <w:kern w:val="0"/>
          <w:szCs w:val="21"/>
        </w:rPr>
        <w:t>份</w:t>
      </w:r>
      <w:r>
        <w:rPr>
          <w:rFonts w:hint="eastAsia" w:ascii="宋体" w:hAnsi="宋体" w:cs="宋体"/>
          <w:kern w:val="0"/>
          <w:szCs w:val="21"/>
        </w:rPr>
        <w:t>。</w:t>
      </w:r>
    </w:p>
    <w:p>
      <w:pPr>
        <w:spacing w:line="440" w:lineRule="exact"/>
        <w:ind w:firstLine="480"/>
        <w:rPr>
          <w:rFonts w:hint="eastAsia" w:ascii="宋体" w:hAnsi="宋体" w:cs="宋体"/>
          <w:kern w:val="0"/>
          <w:szCs w:val="21"/>
        </w:rPr>
      </w:pPr>
      <w:r>
        <w:rPr>
          <w:rFonts w:ascii="宋体" w:hAnsi="宋体" w:cs="宋体"/>
          <w:kern w:val="0"/>
          <w:szCs w:val="21"/>
        </w:rPr>
        <w:t>2.合同自</w:t>
      </w:r>
      <w:r>
        <w:rPr>
          <w:rFonts w:hint="eastAsia" w:ascii="宋体" w:hAnsi="宋体" w:cs="宋体"/>
          <w:kern w:val="0"/>
          <w:szCs w:val="21"/>
        </w:rPr>
        <w:t>双方</w:t>
      </w:r>
      <w:r>
        <w:rPr>
          <w:rFonts w:ascii="宋体" w:hAnsi="宋体" w:cs="宋体"/>
          <w:kern w:val="0"/>
          <w:szCs w:val="21"/>
        </w:rPr>
        <w:t>签字之日起即时生效。</w:t>
      </w:r>
    </w:p>
    <w:p>
      <w:pPr>
        <w:spacing w:line="440" w:lineRule="exact"/>
        <w:ind w:firstLine="48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.本合同未尽事宜，由双方协商处理。</w:t>
      </w:r>
    </w:p>
    <w:p>
      <w:pPr>
        <w:spacing w:line="440" w:lineRule="exact"/>
        <w:rPr>
          <w:rFonts w:hint="eastAsia" w:ascii="宋体" w:hAnsi="宋体" w:cs="宋体"/>
          <w:kern w:val="0"/>
          <w:szCs w:val="21"/>
        </w:rPr>
      </w:pPr>
      <w:r>
        <w:rPr>
          <w:rFonts w:ascii="宋体" w:hAnsi="宋体" w:cs="宋体"/>
          <w:kern w:val="0"/>
          <w:szCs w:val="21"/>
        </w:rPr>
        <w:t>　　</w:t>
      </w:r>
    </w:p>
    <w:p>
      <w:pPr>
        <w:spacing w:line="440" w:lineRule="exact"/>
        <w:ind w:firstLine="420" w:firstLineChars="200"/>
        <w:rPr>
          <w:rFonts w:ascii="宋体" w:hAnsi="宋体" w:cs="宋体"/>
          <w:kern w:val="0"/>
          <w:szCs w:val="21"/>
        </w:rPr>
      </w:pPr>
      <w:r>
        <w:rPr>
          <w:rFonts w:ascii="宋体" w:hAnsi="宋体" w:cs="宋体"/>
          <w:kern w:val="0"/>
          <w:szCs w:val="21"/>
        </w:rPr>
        <w:t>甲方（盖章）：</w:t>
      </w:r>
      <w:r>
        <w:rPr>
          <w:rFonts w:hint="eastAsia" w:ascii="宋体" w:hAnsi="宋体" w:cs="宋体"/>
          <w:kern w:val="0"/>
          <w:szCs w:val="21"/>
          <w:u w:val="single"/>
          <w:lang w:val="en-US" w:eastAsia="zh-CN"/>
        </w:rPr>
        <w:t xml:space="preserve">                     </w:t>
      </w:r>
      <w:r>
        <w:rPr>
          <w:rFonts w:ascii="宋体" w:hAnsi="宋体" w:cs="宋体"/>
          <w:kern w:val="0"/>
          <w:szCs w:val="21"/>
          <w:u w:val="single"/>
        </w:rPr>
        <w:t>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ascii="宋体" w:hAnsi="宋体" w:cs="宋体"/>
          <w:kern w:val="0"/>
          <w:szCs w:val="21"/>
        </w:rPr>
        <w:t>乙方（盖章）：</w:t>
      </w:r>
      <w:r>
        <w:rPr>
          <w:rFonts w:hint="eastAsia" w:ascii="宋体" w:hAnsi="宋体" w:cs="宋体"/>
          <w:kern w:val="0"/>
          <w:szCs w:val="21"/>
          <w:u w:val="single"/>
          <w:lang w:val="en-US" w:eastAsia="zh-CN"/>
        </w:rPr>
        <w:t xml:space="preserve">                    </w:t>
      </w:r>
    </w:p>
    <w:p>
      <w:pPr>
        <w:spacing w:line="440" w:lineRule="exact"/>
        <w:rPr>
          <w:rFonts w:ascii="宋体" w:hAnsi="宋体" w:cs="宋体"/>
          <w:kern w:val="0"/>
          <w:szCs w:val="21"/>
        </w:rPr>
      </w:pPr>
      <w:r>
        <w:rPr>
          <w:rFonts w:ascii="宋体" w:hAnsi="宋体" w:cs="宋体"/>
          <w:kern w:val="0"/>
          <w:szCs w:val="21"/>
        </w:rPr>
        <w:t>　　签约代表（签字）：</w:t>
      </w:r>
      <w:r>
        <w:rPr>
          <w:rFonts w:hint="eastAsia" w:ascii="宋体" w:hAnsi="宋体" w:cs="宋体"/>
          <w:kern w:val="0"/>
          <w:szCs w:val="21"/>
          <w:u w:val="single"/>
          <w:lang w:val="en-US" w:eastAsia="zh-CN"/>
        </w:rPr>
        <w:t xml:space="preserve">          </w:t>
      </w:r>
      <w:r>
        <w:rPr>
          <w:rFonts w:ascii="宋体" w:hAnsi="宋体" w:cs="宋体"/>
          <w:kern w:val="0"/>
          <w:szCs w:val="21"/>
          <w:u w:val="single"/>
        </w:rPr>
        <w:t>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ascii="宋体" w:hAnsi="宋体" w:cs="宋体"/>
          <w:kern w:val="0"/>
          <w:szCs w:val="21"/>
        </w:rPr>
        <w:t>签约代表（签字）：</w:t>
      </w:r>
      <w:r>
        <w:rPr>
          <w:rFonts w:hint="eastAsia" w:ascii="宋体" w:hAnsi="宋体" w:cs="宋体"/>
          <w:kern w:val="0"/>
          <w:szCs w:val="21"/>
          <w:u w:val="single"/>
          <w:lang w:val="en-US" w:eastAsia="zh-CN"/>
        </w:rPr>
        <w:t xml:space="preserve">                </w:t>
      </w:r>
    </w:p>
    <w:p>
      <w:pPr>
        <w:spacing w:line="440" w:lineRule="exact"/>
        <w:rPr>
          <w:rFonts w:ascii="宋体" w:hAnsi="宋体" w:cs="宋体"/>
          <w:kern w:val="0"/>
          <w:szCs w:val="21"/>
        </w:rPr>
      </w:pPr>
      <w:r>
        <w:rPr>
          <w:rFonts w:ascii="宋体" w:hAnsi="宋体" w:cs="宋体"/>
          <w:kern w:val="0"/>
          <w:szCs w:val="21"/>
        </w:rPr>
        <w:t>　　地址：</w:t>
      </w:r>
      <w:r>
        <w:rPr>
          <w:rFonts w:hint="eastAsia" w:ascii="宋体" w:hAnsi="宋体" w:cs="宋体"/>
          <w:kern w:val="0"/>
          <w:szCs w:val="21"/>
          <w:u w:val="single"/>
          <w:lang w:val="en-US" w:eastAsia="zh-CN"/>
        </w:rPr>
        <w:t xml:space="preserve">        </w:t>
      </w:r>
      <w:r>
        <w:rPr>
          <w:rFonts w:ascii="宋体" w:hAnsi="宋体" w:cs="宋体"/>
          <w:kern w:val="0"/>
          <w:szCs w:val="21"/>
          <w:u w:val="single"/>
        </w:rPr>
        <w:t>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ascii="宋体" w:hAnsi="宋体" w:cs="宋体"/>
          <w:kern w:val="0"/>
          <w:szCs w:val="21"/>
        </w:rPr>
        <w:t>地址：</w:t>
      </w:r>
      <w:r>
        <w:rPr>
          <w:rFonts w:hint="eastAsia" w:ascii="宋体" w:hAnsi="宋体" w:cs="宋体"/>
          <w:kern w:val="0"/>
          <w:szCs w:val="21"/>
          <w:u w:val="single"/>
          <w:lang w:val="en-US" w:eastAsia="zh-CN"/>
        </w:rPr>
        <w:t xml:space="preserve">                            </w:t>
      </w:r>
    </w:p>
    <w:p>
      <w:pPr>
        <w:spacing w:line="440" w:lineRule="exact"/>
        <w:rPr>
          <w:rFonts w:ascii="宋体" w:hAnsi="宋体" w:cs="宋体"/>
          <w:kern w:val="0"/>
          <w:szCs w:val="21"/>
        </w:rPr>
      </w:pPr>
      <w:r>
        <w:rPr>
          <w:rFonts w:ascii="宋体" w:hAnsi="宋体" w:cs="宋体"/>
          <w:kern w:val="0"/>
          <w:szCs w:val="21"/>
        </w:rPr>
        <w:t>　　电话：</w:t>
      </w:r>
      <w:r>
        <w:rPr>
          <w:rFonts w:hint="eastAsia" w:ascii="宋体" w:hAnsi="宋体" w:cs="宋体"/>
          <w:kern w:val="0"/>
          <w:szCs w:val="21"/>
          <w:u w:val="single"/>
          <w:lang w:val="en-US" w:eastAsia="zh-CN"/>
        </w:rPr>
        <w:t xml:space="preserve">        </w:t>
      </w:r>
      <w:r>
        <w:rPr>
          <w:rFonts w:ascii="宋体" w:hAnsi="宋体" w:cs="宋体"/>
          <w:kern w:val="0"/>
          <w:szCs w:val="21"/>
          <w:u w:val="single"/>
        </w:rPr>
        <w:t>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ascii="宋体" w:hAnsi="宋体" w:cs="宋体"/>
          <w:kern w:val="0"/>
          <w:szCs w:val="21"/>
        </w:rPr>
        <w:t>电话：</w:t>
      </w:r>
      <w:r>
        <w:rPr>
          <w:rFonts w:hint="eastAsia" w:ascii="宋体" w:hAnsi="宋体" w:cs="宋体"/>
          <w:kern w:val="0"/>
          <w:szCs w:val="21"/>
          <w:u w:val="single"/>
          <w:lang w:val="en-US" w:eastAsia="zh-CN"/>
        </w:rPr>
        <w:t xml:space="preserve">                                  </w:t>
      </w:r>
    </w:p>
    <w:p>
      <w:pPr>
        <w:spacing w:line="440" w:lineRule="exact"/>
        <w:rPr>
          <w:rFonts w:hint="default" w:ascii="宋体" w:hAnsi="宋体" w:eastAsia="宋体" w:cs="宋体"/>
          <w:kern w:val="0"/>
          <w:szCs w:val="21"/>
          <w:lang w:val="en-US" w:eastAsia="zh-CN"/>
        </w:rPr>
      </w:pPr>
      <w:r>
        <w:rPr>
          <w:rFonts w:ascii="宋体" w:hAnsi="宋体" w:cs="宋体"/>
          <w:kern w:val="0"/>
          <w:szCs w:val="21"/>
        </w:rPr>
        <w:t>　　传真：</w:t>
      </w:r>
      <w:r>
        <w:rPr>
          <w:rFonts w:ascii="宋体" w:hAnsi="宋体" w:cs="宋体"/>
          <w:kern w:val="0"/>
          <w:szCs w:val="21"/>
          <w:u w:val="single"/>
        </w:rPr>
        <w:t>　　　　</w:t>
      </w:r>
      <w:r>
        <w:rPr>
          <w:rFonts w:hint="eastAsia" w:ascii="宋体" w:hAnsi="宋体" w:cs="宋体"/>
          <w:kern w:val="0"/>
          <w:szCs w:val="21"/>
          <w:u w:val="single"/>
          <w:lang w:val="en-US" w:eastAsia="zh-CN"/>
        </w:rPr>
        <w:t xml:space="preserve">          </w:t>
      </w:r>
      <w:r>
        <w:rPr>
          <w:rFonts w:ascii="宋体" w:hAnsi="宋体" w:cs="宋体"/>
          <w:kern w:val="0"/>
          <w:szCs w:val="21"/>
          <w:u w:val="single"/>
        </w:rPr>
        <w:t>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ascii="宋体" w:hAnsi="宋体" w:cs="宋体"/>
          <w:kern w:val="0"/>
          <w:szCs w:val="21"/>
        </w:rPr>
        <w:t>传真：</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w:t>
      </w:r>
    </w:p>
    <w:p>
      <w:pPr>
        <w:spacing w:line="440" w:lineRule="exact"/>
        <w:ind w:firstLine="420" w:firstLineChars="200"/>
        <w:rPr>
          <w:rFonts w:hint="eastAsia" w:ascii="宋体" w:hAnsi="宋体" w:cs="宋体"/>
          <w:kern w:val="0"/>
          <w:szCs w:val="21"/>
        </w:rPr>
      </w:pPr>
      <w:r>
        <w:rPr>
          <w:rFonts w:hint="eastAsia" w:ascii="宋体" w:hAnsi="宋体" w:cs="宋体"/>
          <w:kern w:val="0"/>
          <w:szCs w:val="21"/>
          <w:u w:val="single"/>
        </w:rPr>
        <w:t xml:space="preserve">          </w:t>
      </w:r>
      <w:r>
        <w:rPr>
          <w:rFonts w:ascii="宋体" w:hAnsi="宋体" w:cs="宋体"/>
          <w:kern w:val="0"/>
          <w:szCs w:val="21"/>
        </w:rPr>
        <w:t>年</w:t>
      </w:r>
      <w:r>
        <w:rPr>
          <w:rFonts w:hint="eastAsia" w:ascii="宋体" w:hAnsi="宋体" w:cs="宋体"/>
          <w:kern w:val="0"/>
          <w:szCs w:val="21"/>
          <w:u w:val="single"/>
        </w:rPr>
        <w:t xml:space="preserve">          </w:t>
      </w:r>
      <w:r>
        <w:rPr>
          <w:rFonts w:ascii="宋体" w:hAnsi="宋体" w:cs="宋体"/>
          <w:kern w:val="0"/>
          <w:szCs w:val="21"/>
        </w:rPr>
        <w:t>月</w:t>
      </w:r>
      <w:r>
        <w:rPr>
          <w:rFonts w:hint="eastAsia" w:ascii="宋体" w:hAnsi="宋体" w:cs="宋体"/>
          <w:kern w:val="0"/>
          <w:szCs w:val="21"/>
          <w:u w:val="single"/>
        </w:rPr>
        <w:t xml:space="preserve">          </w:t>
      </w:r>
      <w:r>
        <w:rPr>
          <w:rFonts w:ascii="宋体" w:hAnsi="宋体" w:cs="宋体"/>
          <w:kern w:val="0"/>
          <w:szCs w:val="21"/>
        </w:rPr>
        <w:t>日　</w:t>
      </w:r>
      <w:r>
        <w:rPr>
          <w:rFonts w:hint="eastAsia" w:ascii="宋体" w:hAnsi="宋体" w:cs="宋体"/>
          <w:kern w:val="0"/>
          <w:szCs w:val="21"/>
        </w:rPr>
        <w:t xml:space="preserve">   </w:t>
      </w:r>
      <w:r>
        <w:rPr>
          <w:rFonts w:hint="eastAsia" w:ascii="宋体" w:hAnsi="宋体" w:cs="宋体"/>
          <w:kern w:val="0"/>
          <w:szCs w:val="21"/>
          <w:u w:val="single"/>
        </w:rPr>
        <w:t xml:space="preserve">          </w:t>
      </w:r>
      <w:r>
        <w:rPr>
          <w:rFonts w:ascii="宋体" w:hAnsi="宋体" w:cs="宋体"/>
          <w:kern w:val="0"/>
          <w:szCs w:val="21"/>
        </w:rPr>
        <w:t>年</w:t>
      </w:r>
      <w:r>
        <w:rPr>
          <w:rFonts w:hint="eastAsia" w:ascii="宋体" w:hAnsi="宋体" w:cs="宋体"/>
          <w:kern w:val="0"/>
          <w:szCs w:val="21"/>
          <w:u w:val="single"/>
        </w:rPr>
        <w:t xml:space="preserve">         </w:t>
      </w:r>
      <w:r>
        <w:rPr>
          <w:rFonts w:ascii="宋体" w:hAnsi="宋体" w:cs="宋体"/>
          <w:kern w:val="0"/>
          <w:szCs w:val="21"/>
        </w:rPr>
        <w:t>月</w:t>
      </w:r>
      <w:r>
        <w:rPr>
          <w:rFonts w:hint="eastAsia" w:ascii="宋体" w:hAnsi="宋体" w:cs="宋体"/>
          <w:kern w:val="0"/>
          <w:szCs w:val="21"/>
          <w:u w:val="single"/>
        </w:rPr>
        <w:t xml:space="preserve">         </w:t>
      </w:r>
      <w:r>
        <w:rPr>
          <w:rFonts w:ascii="宋体" w:hAnsi="宋体" w:cs="宋体"/>
          <w:kern w:val="0"/>
          <w:szCs w:val="21"/>
        </w:rPr>
        <w:t>日</w:t>
      </w:r>
    </w:p>
    <w:p/>
    <w:p/>
    <w:p>
      <w:pPr>
        <w:spacing w:line="440" w:lineRule="exact"/>
        <w:jc w:val="center"/>
        <w:outlineLvl w:val="0"/>
        <w:rPr>
          <w:rFonts w:ascii="宋体" w:hAnsi="Calibri" w:eastAsia="宋体" w:cs="宋体"/>
          <w:b/>
          <w:sz w:val="24"/>
          <w:szCs w:val="24"/>
        </w:rPr>
      </w:pPr>
    </w:p>
    <w:p>
      <w:pPr>
        <w:snapToGrid w:val="0"/>
        <w:spacing w:line="480" w:lineRule="auto"/>
        <w:rPr>
          <w:rFonts w:ascii="宋体" w:hAnsi="宋体" w:eastAsia="宋体"/>
          <w:b/>
          <w:sz w:val="24"/>
          <w:szCs w:val="24"/>
        </w:rPr>
      </w:pPr>
      <w:r>
        <w:rPr>
          <w:rFonts w:hint="eastAsia" w:ascii="宋体" w:hAnsi="宋体" w:eastAsia="宋体"/>
          <w:b/>
          <w:sz w:val="24"/>
          <w:szCs w:val="24"/>
        </w:rPr>
        <w:t>注：本合同为招标文件制式合同版本，最终以招标人与中标单位签订的合同为准。</w:t>
      </w:r>
    </w:p>
    <w:p>
      <w:pPr>
        <w:numPr>
          <w:ilvl w:val="0"/>
          <w:numId w:val="1"/>
        </w:numPr>
        <w:spacing w:line="440" w:lineRule="exact"/>
        <w:jc w:val="center"/>
        <w:outlineLvl w:val="0"/>
        <w:rPr>
          <w:rFonts w:hint="eastAsia" w:ascii="宋体" w:hAnsi="宋体" w:eastAsia="宋体" w:cs="宋体"/>
          <w:b/>
          <w:sz w:val="24"/>
          <w:szCs w:val="24"/>
        </w:rPr>
      </w:pPr>
      <w:r>
        <w:rPr>
          <w:rFonts w:ascii="宋体" w:hAnsi="Calibri" w:eastAsia="宋体" w:cs="宋体"/>
          <w:b/>
          <w:sz w:val="24"/>
          <w:szCs w:val="24"/>
        </w:rPr>
        <w:br w:type="page"/>
      </w:r>
      <w:bookmarkStart w:id="46" w:name="_Toc488827472"/>
      <w:r>
        <w:rPr>
          <w:rFonts w:hint="eastAsia" w:ascii="宋体" w:hAnsi="宋体" w:eastAsia="宋体" w:cs="宋体"/>
          <w:b/>
          <w:sz w:val="24"/>
          <w:szCs w:val="24"/>
        </w:rPr>
        <w:t>项目清单及技术标准和要求</w:t>
      </w:r>
      <w:bookmarkEnd w:id="46"/>
      <w:bookmarkStart w:id="47" w:name="_Toc138638910"/>
      <w:bookmarkEnd w:id="47"/>
      <w:bookmarkStart w:id="48" w:name="_Toc138639091"/>
      <w:bookmarkEnd w:id="48"/>
      <w:bookmarkStart w:id="49" w:name="_Toc138638702"/>
      <w:bookmarkEnd w:id="49"/>
      <w:bookmarkStart w:id="50" w:name="_Toc138638718"/>
      <w:bookmarkEnd w:id="50"/>
      <w:bookmarkStart w:id="51" w:name="_Toc138638773"/>
      <w:bookmarkEnd w:id="51"/>
      <w:bookmarkStart w:id="52" w:name="_Toc138638538"/>
      <w:bookmarkEnd w:id="52"/>
      <w:bookmarkStart w:id="53" w:name="_Toc138638907"/>
      <w:bookmarkEnd w:id="53"/>
      <w:bookmarkStart w:id="54" w:name="_Toc138639074"/>
      <w:bookmarkEnd w:id="54"/>
      <w:bookmarkStart w:id="55" w:name="_Toc138639145"/>
      <w:bookmarkEnd w:id="55"/>
      <w:bookmarkStart w:id="56" w:name="_Toc138638884"/>
      <w:bookmarkEnd w:id="56"/>
      <w:bookmarkStart w:id="57" w:name="_合同文件的组成及解释顺序"/>
      <w:bookmarkEnd w:id="57"/>
      <w:bookmarkStart w:id="58" w:name="_Toc138638883"/>
      <w:bookmarkEnd w:id="58"/>
      <w:bookmarkStart w:id="59" w:name="_Toc138638510"/>
      <w:bookmarkEnd w:id="59"/>
      <w:bookmarkStart w:id="60" w:name="_Toc138638906"/>
      <w:bookmarkEnd w:id="60"/>
      <w:bookmarkStart w:id="61" w:name="_Toc138639090"/>
      <w:bookmarkEnd w:id="61"/>
      <w:bookmarkStart w:id="62" w:name="_Toc138638509"/>
      <w:bookmarkEnd w:id="62"/>
      <w:bookmarkStart w:id="63" w:name="_Toc138638534"/>
      <w:bookmarkEnd w:id="63"/>
      <w:bookmarkStart w:id="64" w:name="_Toc138638535"/>
      <w:bookmarkEnd w:id="64"/>
      <w:bookmarkStart w:id="65" w:name="_Toc138638719"/>
      <w:bookmarkEnd w:id="65"/>
    </w:p>
    <w:tbl>
      <w:tblPr>
        <w:tblStyle w:val="26"/>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0"/>
        <w:gridCol w:w="2190"/>
        <w:gridCol w:w="3602"/>
        <w:gridCol w:w="88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暗装插座</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10A</w:t>
            </w:r>
            <w:r>
              <w:rPr>
                <w:rFonts w:hint="eastAsia" w:ascii="宋体" w:hAnsi="宋体" w:eastAsia="宋体" w:cs="宋体"/>
                <w:i w:val="0"/>
                <w:iCs w:val="0"/>
                <w:color w:val="000000"/>
                <w:kern w:val="0"/>
                <w:sz w:val="21"/>
                <w:szCs w:val="21"/>
                <w:u w:val="none"/>
                <w:lang w:val="en-US" w:eastAsia="zh-CN" w:bidi="ar"/>
              </w:rPr>
              <w:t>斜五孔插座</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暗装单联开关</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开</w:t>
            </w:r>
            <w:r>
              <w:rPr>
                <w:rFonts w:hint="default"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控开关</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暗装双联开关</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二开单控开关</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明装</w:t>
            </w:r>
            <w:r>
              <w:rPr>
                <w:rFonts w:hint="default" w:ascii="Calibri" w:hAnsi="Calibri" w:eastAsia="宋体" w:cs="Calibri"/>
                <w:i w:val="0"/>
                <w:iCs w:val="0"/>
                <w:color w:val="000000"/>
                <w:kern w:val="0"/>
                <w:sz w:val="21"/>
                <w:szCs w:val="21"/>
                <w:u w:val="none"/>
                <w:lang w:val="en-US" w:eastAsia="zh-CN" w:bidi="ar"/>
              </w:rPr>
              <w:t>16A</w:t>
            </w:r>
            <w:r>
              <w:rPr>
                <w:rFonts w:hint="eastAsia" w:ascii="宋体" w:hAnsi="宋体" w:eastAsia="宋体" w:cs="宋体"/>
                <w:i w:val="0"/>
                <w:iCs w:val="0"/>
                <w:color w:val="000000"/>
                <w:kern w:val="0"/>
                <w:sz w:val="21"/>
                <w:szCs w:val="21"/>
                <w:u w:val="none"/>
                <w:lang w:val="en-US" w:eastAsia="zh-CN" w:bidi="ar"/>
              </w:rPr>
              <w:t>插座</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16A</w:t>
            </w:r>
            <w:r>
              <w:rPr>
                <w:rFonts w:hint="eastAsia" w:ascii="宋体" w:hAnsi="宋体" w:eastAsia="宋体" w:cs="宋体"/>
                <w:i w:val="0"/>
                <w:iCs w:val="0"/>
                <w:color w:val="000000"/>
                <w:kern w:val="0"/>
                <w:sz w:val="21"/>
                <w:szCs w:val="21"/>
                <w:u w:val="none"/>
                <w:lang w:val="en-US" w:eastAsia="zh-CN" w:bidi="ar"/>
              </w:rPr>
              <w:t>三孔空调插座</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明装</w:t>
            </w:r>
            <w:r>
              <w:rPr>
                <w:rFonts w:hint="default" w:ascii="Calibri" w:hAnsi="Calibri" w:eastAsia="宋体" w:cs="Calibri"/>
                <w:i w:val="0"/>
                <w:iCs w:val="0"/>
                <w:color w:val="000000"/>
                <w:kern w:val="0"/>
                <w:sz w:val="21"/>
                <w:szCs w:val="21"/>
                <w:u w:val="none"/>
                <w:lang w:val="en-US" w:eastAsia="zh-CN" w:bidi="ar"/>
              </w:rPr>
              <w:t>10A</w:t>
            </w:r>
            <w:r>
              <w:rPr>
                <w:rFonts w:hint="eastAsia" w:ascii="宋体" w:hAnsi="宋体" w:eastAsia="宋体" w:cs="宋体"/>
                <w:i w:val="0"/>
                <w:iCs w:val="0"/>
                <w:color w:val="000000"/>
                <w:kern w:val="0"/>
                <w:sz w:val="21"/>
                <w:szCs w:val="21"/>
                <w:u w:val="none"/>
                <w:lang w:val="en-US" w:eastAsia="zh-CN" w:bidi="ar"/>
              </w:rPr>
              <w:t>插座</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10A</w:t>
            </w:r>
            <w:r>
              <w:rPr>
                <w:rFonts w:hint="eastAsia" w:ascii="宋体" w:hAnsi="宋体" w:eastAsia="宋体" w:cs="宋体"/>
                <w:i w:val="0"/>
                <w:iCs w:val="0"/>
                <w:color w:val="000000"/>
                <w:kern w:val="0"/>
                <w:sz w:val="21"/>
                <w:szCs w:val="21"/>
                <w:u w:val="none"/>
                <w:lang w:val="en-US" w:eastAsia="zh-CN" w:bidi="ar"/>
              </w:rPr>
              <w:t>五孔插座</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明装单联开关</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一开单开单控</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明装双联开关</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双联单控</w:t>
            </w:r>
            <w:r>
              <w:rPr>
                <w:rFonts w:hint="default" w:ascii="Calibri" w:hAnsi="Calibri" w:eastAsia="宋体" w:cs="Calibri"/>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开</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电缆线</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Fonts w:hint="default" w:ascii="Calibri" w:hAnsi="Calibri" w:eastAsia="宋体" w:cs="Calibri"/>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 三芯</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电缆线</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㎡五芯</w:t>
            </w:r>
            <w:r>
              <w:rPr>
                <w:rFonts w:hint="default" w:ascii="Calibri" w:hAnsi="Calibri" w:eastAsia="宋体" w:cs="Calibri"/>
                <w:i w:val="0"/>
                <w:iCs w:val="0"/>
                <w:color w:val="000000"/>
                <w:kern w:val="0"/>
                <w:sz w:val="21"/>
                <w:szCs w:val="21"/>
                <w:u w:val="none"/>
                <w:lang w:val="en-US" w:eastAsia="zh-CN" w:bidi="ar"/>
              </w:rPr>
              <w:t>(3+2)</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电缆线</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Fonts w:hint="default" w:ascii="Calibri" w:hAnsi="Calibri" w:eastAsia="宋体" w:cs="Calibri"/>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㎡三芯</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电缆线</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Fonts w:hint="default" w:ascii="Calibri" w:hAnsi="Calibri" w:eastAsia="宋体" w:cs="Calibri"/>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㎡五芯</w:t>
            </w:r>
            <w:r>
              <w:rPr>
                <w:rFonts w:hint="default" w:ascii="Calibri" w:hAnsi="Calibri" w:eastAsia="宋体" w:cs="Calibri"/>
                <w:i w:val="0"/>
                <w:iCs w:val="0"/>
                <w:color w:val="000000"/>
                <w:kern w:val="0"/>
                <w:sz w:val="21"/>
                <w:szCs w:val="21"/>
                <w:u w:val="none"/>
                <w:lang w:val="en-US" w:eastAsia="zh-CN" w:bidi="ar"/>
              </w:rPr>
              <w:t>(3+2)</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电缆线</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㎡五芯</w:t>
            </w:r>
            <w:r>
              <w:rPr>
                <w:rFonts w:hint="default" w:ascii="Calibri" w:hAnsi="Calibri" w:eastAsia="宋体" w:cs="Calibri"/>
                <w:i w:val="0"/>
                <w:iCs w:val="0"/>
                <w:color w:val="000000"/>
                <w:kern w:val="0"/>
                <w:sz w:val="21"/>
                <w:szCs w:val="21"/>
                <w:u w:val="none"/>
                <w:lang w:val="en-US" w:eastAsia="zh-CN" w:bidi="ar"/>
              </w:rPr>
              <w:t>(3+2)</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电缆线</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㎡四芯</w:t>
            </w:r>
            <w:r>
              <w:rPr>
                <w:rFonts w:hint="default" w:ascii="Calibri" w:hAnsi="Calibri" w:eastAsia="宋体" w:cs="Calibri"/>
                <w:i w:val="0"/>
                <w:iCs w:val="0"/>
                <w:color w:val="000000"/>
                <w:kern w:val="0"/>
                <w:sz w:val="21"/>
                <w:szCs w:val="21"/>
                <w:u w:val="none"/>
                <w:lang w:val="en-US" w:eastAsia="zh-CN" w:bidi="ar"/>
              </w:rPr>
              <w:t>(3+1)</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电缆线</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Fonts w:hint="default" w:ascii="Calibri" w:hAnsi="Calibri" w:eastAsia="宋体" w:cs="Calibri"/>
                <w:i w:val="0"/>
                <w:iCs w:val="0"/>
                <w:color w:val="000000"/>
                <w:kern w:val="0"/>
                <w:sz w:val="21"/>
                <w:szCs w:val="21"/>
                <w:u w:val="none"/>
                <w:lang w:val="en-US" w:eastAsia="zh-CN" w:bidi="ar"/>
              </w:rPr>
              <w:t>16m</w:t>
            </w:r>
            <w:r>
              <w:rPr>
                <w:rFonts w:hint="eastAsia" w:ascii="宋体" w:hAnsi="宋体" w:eastAsia="宋体" w:cs="宋体"/>
                <w:i w:val="0"/>
                <w:iCs w:val="0"/>
                <w:color w:val="000000"/>
                <w:kern w:val="0"/>
                <w:sz w:val="21"/>
                <w:szCs w:val="21"/>
                <w:u w:val="none"/>
                <w:lang w:val="en-US" w:eastAsia="zh-CN" w:bidi="ar"/>
              </w:rPr>
              <w:t>四芯</w:t>
            </w:r>
            <w:r>
              <w:rPr>
                <w:rFonts w:hint="default" w:ascii="Calibri" w:hAnsi="Calibri" w:eastAsia="宋体" w:cs="Calibri"/>
                <w:i w:val="0"/>
                <w:iCs w:val="0"/>
                <w:color w:val="000000"/>
                <w:kern w:val="0"/>
                <w:sz w:val="21"/>
                <w:szCs w:val="21"/>
                <w:u w:val="none"/>
                <w:lang w:val="en-US" w:eastAsia="zh-CN" w:bidi="ar"/>
              </w:rPr>
              <w:t>(3+1)</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电缆线</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w:t>
            </w:r>
            <w:r>
              <w:rPr>
                <w:rFonts w:hint="eastAsia" w:ascii="宋体" w:hAnsi="宋体" w:eastAsia="宋体" w:cs="宋体"/>
                <w:i w:val="0"/>
                <w:iCs w:val="0"/>
                <w:color w:val="000000"/>
                <w:kern w:val="0"/>
                <w:sz w:val="21"/>
                <w:szCs w:val="21"/>
                <w:u w:val="none"/>
                <w:lang w:val="en-US" w:eastAsia="zh-CN" w:bidi="ar"/>
              </w:rPr>
              <w:t>㎡五芯</w:t>
            </w:r>
            <w:r>
              <w:rPr>
                <w:rFonts w:hint="default" w:ascii="Calibri" w:hAnsi="Calibri" w:eastAsia="宋体" w:cs="Calibri"/>
                <w:i w:val="0"/>
                <w:iCs w:val="0"/>
                <w:color w:val="000000"/>
                <w:kern w:val="0"/>
                <w:sz w:val="21"/>
                <w:szCs w:val="21"/>
                <w:u w:val="none"/>
                <w:lang w:val="en-US" w:eastAsia="zh-CN" w:bidi="ar"/>
              </w:rPr>
              <w:t>(3+2)</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电缆线</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35m</w:t>
            </w:r>
            <w:r>
              <w:rPr>
                <w:rFonts w:hint="eastAsia" w:ascii="宋体" w:hAnsi="宋体" w:eastAsia="宋体" w:cs="宋体"/>
                <w:i w:val="0"/>
                <w:iCs w:val="0"/>
                <w:color w:val="000000"/>
                <w:kern w:val="0"/>
                <w:sz w:val="21"/>
                <w:szCs w:val="21"/>
                <w:u w:val="none"/>
                <w:lang w:val="en-US" w:eastAsia="zh-CN" w:bidi="ar"/>
              </w:rPr>
              <w:t>五芯</w:t>
            </w:r>
            <w:r>
              <w:rPr>
                <w:rFonts w:hint="default" w:ascii="Calibri" w:hAnsi="Calibri" w:eastAsia="宋体" w:cs="Calibri"/>
                <w:i w:val="0"/>
                <w:iCs w:val="0"/>
                <w:color w:val="000000"/>
                <w:kern w:val="0"/>
                <w:sz w:val="21"/>
                <w:szCs w:val="21"/>
                <w:u w:val="none"/>
                <w:lang w:val="en-US" w:eastAsia="zh-CN" w:bidi="ar"/>
              </w:rPr>
              <w:t>(3+2)</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电缆线</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Fonts w:hint="default" w:ascii="Calibri" w:hAnsi="Calibri" w:eastAsia="宋体" w:cs="Calibri"/>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㎡五芯</w:t>
            </w:r>
            <w:r>
              <w:rPr>
                <w:rFonts w:hint="default" w:ascii="Calibri" w:hAnsi="Calibri" w:eastAsia="宋体" w:cs="Calibri"/>
                <w:i w:val="0"/>
                <w:iCs w:val="0"/>
                <w:color w:val="000000"/>
                <w:kern w:val="0"/>
                <w:sz w:val="21"/>
                <w:szCs w:val="21"/>
                <w:u w:val="none"/>
                <w:lang w:val="en-US" w:eastAsia="zh-CN" w:bidi="ar"/>
              </w:rPr>
              <w:t>(3+2)</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电缆线</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r>
              <w:rPr>
                <w:rFonts w:hint="eastAsia" w:ascii="宋体" w:hAnsi="宋体" w:eastAsia="宋体" w:cs="宋体"/>
                <w:i w:val="0"/>
                <w:iCs w:val="0"/>
                <w:color w:val="000000"/>
                <w:kern w:val="0"/>
                <w:sz w:val="21"/>
                <w:szCs w:val="21"/>
                <w:u w:val="none"/>
                <w:lang w:val="en-US" w:eastAsia="zh-CN" w:bidi="ar"/>
              </w:rPr>
              <w:t>㎡五芯</w:t>
            </w:r>
            <w:r>
              <w:rPr>
                <w:rFonts w:hint="default" w:ascii="Calibri" w:hAnsi="Calibri" w:eastAsia="宋体" w:cs="Calibri"/>
                <w:i w:val="0"/>
                <w:iCs w:val="0"/>
                <w:color w:val="000000"/>
                <w:kern w:val="0"/>
                <w:sz w:val="21"/>
                <w:szCs w:val="21"/>
                <w:u w:val="none"/>
                <w:lang w:val="en-US" w:eastAsia="zh-CN" w:bidi="ar"/>
              </w:rPr>
              <w:t>(3+2)</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19</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电缆线</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r>
              <w:rPr>
                <w:rFonts w:hint="eastAsia" w:ascii="宋体" w:hAnsi="宋体" w:eastAsia="宋体" w:cs="宋体"/>
                <w:i w:val="0"/>
                <w:iCs w:val="0"/>
                <w:color w:val="000000"/>
                <w:kern w:val="0"/>
                <w:sz w:val="21"/>
                <w:szCs w:val="21"/>
                <w:u w:val="none"/>
                <w:lang w:val="en-US" w:eastAsia="zh-CN" w:bidi="ar"/>
              </w:rPr>
              <w:t>㎡五芯</w:t>
            </w:r>
            <w:r>
              <w:rPr>
                <w:rFonts w:hint="default" w:ascii="Calibri" w:hAnsi="Calibri" w:eastAsia="宋体" w:cs="Calibri"/>
                <w:i w:val="0"/>
                <w:iCs w:val="0"/>
                <w:color w:val="000000"/>
                <w:kern w:val="0"/>
                <w:sz w:val="21"/>
                <w:szCs w:val="21"/>
                <w:u w:val="none"/>
                <w:lang w:val="en-US" w:eastAsia="zh-CN" w:bidi="ar"/>
              </w:rPr>
              <w:t>(3+2)</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电缆线</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r>
              <w:rPr>
                <w:rFonts w:hint="eastAsia" w:ascii="宋体" w:hAnsi="宋体" w:eastAsia="宋体" w:cs="宋体"/>
                <w:i w:val="0"/>
                <w:iCs w:val="0"/>
                <w:color w:val="000000"/>
                <w:kern w:val="0"/>
                <w:sz w:val="21"/>
                <w:szCs w:val="21"/>
                <w:u w:val="none"/>
                <w:lang w:val="en-US" w:eastAsia="zh-CN" w:bidi="ar"/>
              </w:rPr>
              <w:t>㎡五芯</w:t>
            </w:r>
            <w:r>
              <w:rPr>
                <w:rFonts w:hint="default" w:ascii="Calibri" w:hAnsi="Calibri" w:eastAsia="宋体" w:cs="Calibri"/>
                <w:i w:val="0"/>
                <w:iCs w:val="0"/>
                <w:color w:val="000000"/>
                <w:kern w:val="0"/>
                <w:sz w:val="21"/>
                <w:szCs w:val="21"/>
                <w:u w:val="none"/>
                <w:lang w:val="en-US" w:eastAsia="zh-CN" w:bidi="ar"/>
              </w:rPr>
              <w:t>(3+2)</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电缆线</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--120</w:t>
            </w:r>
            <w:r>
              <w:rPr>
                <w:rFonts w:hint="eastAsia" w:ascii="宋体" w:hAnsi="宋体" w:eastAsia="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电缆线</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35</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70</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95</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120</w:t>
            </w:r>
            <w:r>
              <w:rPr>
                <w:rFonts w:hint="eastAsia" w:ascii="宋体" w:hAnsi="宋体" w:eastAsia="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23</w:t>
            </w:r>
          </w:p>
        </w:tc>
        <w:tc>
          <w:tcPr>
            <w:tcW w:w="21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PVC</w:t>
            </w:r>
            <w:r>
              <w:rPr>
                <w:rFonts w:hint="eastAsia" w:ascii="宋体" w:hAnsi="宋体" w:eastAsia="宋体" w:cs="宋体"/>
                <w:i w:val="0"/>
                <w:iCs w:val="0"/>
                <w:color w:val="000000"/>
                <w:kern w:val="0"/>
                <w:sz w:val="21"/>
                <w:szCs w:val="21"/>
                <w:u w:val="none"/>
                <w:lang w:val="en-US" w:eastAsia="zh-CN" w:bidi="ar"/>
              </w:rPr>
              <w:t>穿线管</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20ф</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24</w:t>
            </w:r>
          </w:p>
        </w:tc>
        <w:tc>
          <w:tcPr>
            <w:tcW w:w="21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PVC</w:t>
            </w:r>
            <w:r>
              <w:rPr>
                <w:rFonts w:hint="eastAsia" w:ascii="宋体" w:hAnsi="宋体" w:eastAsia="宋体" w:cs="宋体"/>
                <w:i w:val="0"/>
                <w:iCs w:val="0"/>
                <w:color w:val="000000"/>
                <w:kern w:val="0"/>
                <w:sz w:val="21"/>
                <w:szCs w:val="21"/>
                <w:u w:val="none"/>
                <w:lang w:val="en-US" w:eastAsia="zh-CN" w:bidi="ar"/>
              </w:rPr>
              <w:t>穿线管</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r>
              <w:rPr>
                <w:rFonts w:hint="eastAsia" w:ascii="宋体" w:hAnsi="宋体" w:eastAsia="宋体" w:cs="宋体"/>
                <w:i w:val="0"/>
                <w:iCs w:val="0"/>
                <w:color w:val="000000"/>
                <w:kern w:val="0"/>
                <w:sz w:val="21"/>
                <w:szCs w:val="21"/>
                <w:u w:val="none"/>
                <w:lang w:val="en-US" w:eastAsia="zh-CN" w:bidi="ar"/>
              </w:rPr>
              <w:t>ф</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1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PVC </w:t>
            </w:r>
            <w:r>
              <w:rPr>
                <w:rFonts w:hint="eastAsia" w:ascii="宋体" w:hAnsi="宋体" w:eastAsia="宋体" w:cs="宋体"/>
                <w:i w:val="0"/>
                <w:iCs w:val="0"/>
                <w:color w:val="000000"/>
                <w:kern w:val="0"/>
                <w:sz w:val="21"/>
                <w:szCs w:val="21"/>
                <w:u w:val="none"/>
                <w:lang w:val="en-US" w:eastAsia="zh-CN" w:bidi="ar"/>
              </w:rPr>
              <w:t>线槽</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3 </w:t>
            </w:r>
            <w:r>
              <w:rPr>
                <w:rFonts w:hint="eastAsia" w:ascii="宋体" w:hAnsi="宋体" w:eastAsia="宋体" w:cs="宋体"/>
                <w:i w:val="0"/>
                <w:iCs w:val="0"/>
                <w:color w:val="000000"/>
                <w:kern w:val="0"/>
                <w:sz w:val="21"/>
                <w:szCs w:val="21"/>
                <w:u w:val="none"/>
                <w:lang w:val="en-US" w:eastAsia="zh-CN" w:bidi="ar"/>
              </w:rPr>
              <w:t>公分</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w:t>
            </w:r>
          </w:p>
        </w:tc>
        <w:tc>
          <w:tcPr>
            <w:tcW w:w="21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PVC </w:t>
            </w:r>
            <w:r>
              <w:rPr>
                <w:rFonts w:hint="eastAsia" w:ascii="宋体" w:hAnsi="宋体" w:eastAsia="宋体" w:cs="宋体"/>
                <w:i w:val="0"/>
                <w:iCs w:val="0"/>
                <w:color w:val="000000"/>
                <w:kern w:val="0"/>
                <w:sz w:val="21"/>
                <w:szCs w:val="21"/>
                <w:u w:val="none"/>
                <w:lang w:val="en-US" w:eastAsia="zh-CN" w:bidi="ar"/>
              </w:rPr>
              <w:t>线槽</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5 </w:t>
            </w:r>
            <w:r>
              <w:rPr>
                <w:rFonts w:hint="eastAsia" w:ascii="宋体" w:hAnsi="宋体" w:eastAsia="宋体" w:cs="宋体"/>
                <w:i w:val="0"/>
                <w:iCs w:val="0"/>
                <w:color w:val="000000"/>
                <w:kern w:val="0"/>
                <w:sz w:val="21"/>
                <w:szCs w:val="21"/>
                <w:u w:val="none"/>
                <w:lang w:val="en-US" w:eastAsia="zh-CN" w:bidi="ar"/>
              </w:rPr>
              <w:t>公分</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27</w:t>
            </w:r>
          </w:p>
        </w:tc>
        <w:tc>
          <w:tcPr>
            <w:tcW w:w="21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PVC </w:t>
            </w:r>
            <w:r>
              <w:rPr>
                <w:rFonts w:hint="eastAsia" w:ascii="宋体" w:hAnsi="宋体" w:eastAsia="宋体" w:cs="宋体"/>
                <w:i w:val="0"/>
                <w:iCs w:val="0"/>
                <w:color w:val="000000"/>
                <w:kern w:val="0"/>
                <w:sz w:val="21"/>
                <w:szCs w:val="21"/>
                <w:u w:val="none"/>
                <w:lang w:val="en-US" w:eastAsia="zh-CN" w:bidi="ar"/>
              </w:rPr>
              <w:t>线槽</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10 </w:t>
            </w:r>
            <w:r>
              <w:rPr>
                <w:rFonts w:hint="eastAsia" w:ascii="宋体" w:hAnsi="宋体" w:eastAsia="宋体" w:cs="宋体"/>
                <w:i w:val="0"/>
                <w:iCs w:val="0"/>
                <w:color w:val="000000"/>
                <w:kern w:val="0"/>
                <w:sz w:val="21"/>
                <w:szCs w:val="21"/>
                <w:u w:val="none"/>
                <w:lang w:val="en-US" w:eastAsia="zh-CN" w:bidi="ar"/>
              </w:rPr>
              <w:t>公分</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铁线槽</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公分</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29</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铁线槽</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10 </w:t>
            </w:r>
            <w:r>
              <w:rPr>
                <w:rFonts w:hint="eastAsia" w:ascii="宋体" w:hAnsi="宋体" w:eastAsia="宋体" w:cs="宋体"/>
                <w:i w:val="0"/>
                <w:iCs w:val="0"/>
                <w:color w:val="000000"/>
                <w:kern w:val="0"/>
                <w:sz w:val="21"/>
                <w:szCs w:val="21"/>
                <w:u w:val="none"/>
                <w:lang w:val="en-US" w:eastAsia="zh-CN" w:bidi="ar"/>
              </w:rPr>
              <w:t>公分</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高压胶布</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橡胶绝缘胶带耐高温电工胶带</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31</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低压电工胶布</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(PVC)</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32</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电工手套</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电工电气 工业施工手套</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33</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电笔</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感应电笔验电笔家用高精度电工笔非接触式测电笔带照明</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34</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启子</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平口大</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35</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启子</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平口中</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36</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启子</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平口小</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37</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启子</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梅花大</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38</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启子</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梅花中</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39</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启子</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梅花中</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钳子</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老虎钳、钳子电工钳</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41</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尖嘴钳</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尖嘴钳</w:t>
            </w:r>
            <w:r>
              <w:rPr>
                <w:rFonts w:hint="default" w:ascii="Calibri" w:hAnsi="Calibri" w:eastAsia="宋体" w:cs="Calibri"/>
                <w:i w:val="0"/>
                <w:iCs w:val="0"/>
                <w:color w:val="000000"/>
                <w:kern w:val="0"/>
                <w:sz w:val="21"/>
                <w:szCs w:val="21"/>
                <w:u w:val="none"/>
                <w:lang w:val="en-US" w:eastAsia="zh-CN" w:bidi="ar"/>
              </w:rPr>
              <w:t>60</w:t>
            </w:r>
            <w:r>
              <w:rPr>
                <w:rFonts w:hint="eastAsia" w:ascii="宋体" w:hAnsi="宋体" w:eastAsia="宋体" w:cs="宋体"/>
                <w:i w:val="0"/>
                <w:iCs w:val="0"/>
                <w:color w:val="000000"/>
                <w:kern w:val="0"/>
                <w:sz w:val="21"/>
                <w:szCs w:val="21"/>
                <w:u w:val="none"/>
                <w:lang w:val="en-US" w:eastAsia="zh-CN" w:bidi="ar"/>
              </w:rPr>
              <w:t>号铬钒钢夹持钳手柄</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42</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斜口钳</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胶柄斜嘴钳60号铬钒钢斜口钳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子剪线钳6英寸</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43</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美工刀</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美工刀</w:t>
            </w:r>
            <w:r>
              <w:rPr>
                <w:rFonts w:hint="default"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裁纸刀</w:t>
            </w:r>
            <w:r>
              <w:rPr>
                <w:rFonts w:hint="default"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壁纸刀</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44</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冲击钻</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微型电锤电动工具电钻</w:t>
            </w:r>
            <w:r>
              <w:rPr>
                <w:rFonts w:hint="default" w:ascii="Calibri" w:hAnsi="Calibri" w:eastAsia="宋体" w:cs="Calibri"/>
                <w:i w:val="0"/>
                <w:iCs w:val="0"/>
                <w:color w:val="000000"/>
                <w:kern w:val="0"/>
                <w:sz w:val="21"/>
                <w:szCs w:val="21"/>
                <w:u w:val="none"/>
                <w:lang w:val="en-US" w:eastAsia="zh-CN" w:bidi="ar"/>
              </w:rPr>
              <w:t>220V</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45</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手枪钻</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手枪钻</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46</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手枪电池钻</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手枪电池钻</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47</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钳型电流表</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钳型电流表</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摇表</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(500)</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49</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铜芯线</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铜芯线</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51</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铜芯线</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52</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平移线</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双排线</w:t>
            </w:r>
            <w:r>
              <w:rPr>
                <w:rFonts w:hint="default" w:ascii="Calibri" w:hAnsi="Calibri" w:eastAsia="宋体" w:cs="Calibri"/>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53</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线缆</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2. 5</w:t>
            </w:r>
            <w:r>
              <w:rPr>
                <w:rFonts w:hint="eastAsia" w:ascii="宋体" w:hAnsi="宋体" w:eastAsia="宋体" w:cs="宋体"/>
                <w:i w:val="0"/>
                <w:iCs w:val="0"/>
                <w:color w:val="000000"/>
                <w:kern w:val="0"/>
                <w:sz w:val="21"/>
                <w:szCs w:val="21"/>
                <w:u w:val="none"/>
                <w:lang w:val="en-US" w:eastAsia="zh-CN" w:bidi="ar"/>
              </w:rPr>
              <w:t>㎡² ニ芯</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54</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线缆</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r>
              <w:rPr>
                <w:rFonts w:hint="eastAsia" w:ascii="宋体" w:hAnsi="宋体" w:eastAsia="宋体" w:cs="宋体"/>
                <w:i w:val="0"/>
                <w:iCs w:val="0"/>
                <w:color w:val="000000"/>
                <w:kern w:val="0"/>
                <w:sz w:val="21"/>
                <w:szCs w:val="21"/>
                <w:u w:val="none"/>
                <w:lang w:val="en-US" w:eastAsia="zh-CN" w:bidi="ar"/>
              </w:rPr>
              <w:t>㎡三芯</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剥线钳</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带刃口</w:t>
            </w:r>
            <w:r>
              <w:rPr>
                <w:rFonts w:hint="default" w:ascii="Calibri" w:hAnsi="Calibri" w:eastAsia="宋体" w:cs="Calibri"/>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档剥剪钳</w:t>
            </w:r>
            <w:r>
              <w:rPr>
                <w:rFonts w:hint="default" w:ascii="Calibri" w:hAnsi="Calibri" w:eastAsia="宋体" w:cs="Calibri"/>
                <w:i w:val="0"/>
                <w:iCs w:val="0"/>
                <w:color w:val="000000"/>
                <w:kern w:val="0"/>
                <w:sz w:val="21"/>
                <w:szCs w:val="21"/>
                <w:u w:val="none"/>
                <w:lang w:val="en-US" w:eastAsia="zh-CN" w:bidi="ar"/>
              </w:rPr>
              <w:t>0.6-2.6mm</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合</w:t>
            </w:r>
            <w:r>
              <w:rPr>
                <w:rFonts w:hint="default"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多功能电子电工钳</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56</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开口扳手</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8-10</w:t>
            </w:r>
            <w:r>
              <w:rPr>
                <w:rFonts w:hint="eastAsia" w:ascii="宋体" w:hAnsi="宋体" w:eastAsia="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57</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开口扳手</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12-14，</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58</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开口扳手</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17-19，</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59</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开口扳手</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22-24，</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梅花扳手</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8-10</w:t>
            </w:r>
            <w:r>
              <w:rPr>
                <w:rFonts w:hint="eastAsia" w:ascii="宋体" w:hAnsi="宋体" w:eastAsia="宋体" w:cs="宋体"/>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61</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梅花扳手</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12-14，</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62</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梅花扳手</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17-19，</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63</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梅花扳手</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22-24，</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64</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活动扳手</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65</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活动扳手</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66</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活动扳手</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w:t>
            </w:r>
            <w:r>
              <w:rPr>
                <w:rFonts w:ascii="Arial" w:hAnsi="Arial" w:eastAsia="宋体" w:cs="Arial"/>
                <w:i w:val="0"/>
                <w:iCs w:val="0"/>
                <w:color w:val="000000"/>
                <w:kern w:val="0"/>
                <w:sz w:val="21"/>
                <w:szCs w:val="21"/>
                <w:u w:val="none"/>
                <w:lang w:val="en-US" w:eastAsia="zh-CN" w:bidi="ar"/>
              </w:rPr>
              <w:t xml:space="preserve"> </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67</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套筒扳手</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工具省力套筒扳手十字架扳手 </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68</w:t>
            </w:r>
          </w:p>
        </w:tc>
        <w:tc>
          <w:tcPr>
            <w:tcW w:w="21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LED </w:t>
            </w:r>
            <w:r>
              <w:rPr>
                <w:rFonts w:hint="eastAsia" w:ascii="宋体" w:hAnsi="宋体" w:eastAsia="宋体" w:cs="宋体"/>
                <w:i w:val="0"/>
                <w:iCs w:val="0"/>
                <w:color w:val="000000"/>
                <w:kern w:val="0"/>
                <w:sz w:val="21"/>
                <w:szCs w:val="21"/>
                <w:u w:val="none"/>
                <w:lang w:val="en-US" w:eastAsia="zh-CN" w:bidi="ar"/>
              </w:rPr>
              <w:t>灯片</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20w</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25w</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30w</w:t>
            </w:r>
            <w:r>
              <w:rPr>
                <w:rFonts w:ascii="Arial" w:hAnsi="Arial" w:eastAsia="宋体" w:cs="Arial"/>
                <w:i w:val="0"/>
                <w:iCs w:val="0"/>
                <w:color w:val="000000"/>
                <w:kern w:val="0"/>
                <w:sz w:val="21"/>
                <w:szCs w:val="21"/>
                <w:u w:val="none"/>
                <w:lang w:val="en-US" w:eastAsia="zh-CN" w:bidi="ar"/>
              </w:rPr>
              <w:t xml:space="preserve"> </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69</w:t>
            </w:r>
          </w:p>
        </w:tc>
        <w:tc>
          <w:tcPr>
            <w:tcW w:w="21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LED </w:t>
            </w:r>
            <w:r>
              <w:rPr>
                <w:rFonts w:hint="eastAsia" w:ascii="宋体" w:hAnsi="宋体" w:eastAsia="宋体" w:cs="宋体"/>
                <w:i w:val="0"/>
                <w:iCs w:val="0"/>
                <w:color w:val="000000"/>
                <w:kern w:val="0"/>
                <w:sz w:val="21"/>
                <w:szCs w:val="21"/>
                <w:u w:val="none"/>
                <w:lang w:val="en-US" w:eastAsia="zh-CN" w:bidi="ar"/>
              </w:rPr>
              <w:t>灯</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9w</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12w</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15w</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30w</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小屁股灯</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9w</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5w</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71</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平光灯</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300x300</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30w</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72</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平光灯</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300x600</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30w</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73</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平光灯</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600x600</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45w</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74</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30w,50w</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70w</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75</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光控开关</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声光控开关86型开关面板暗装感应声控光控开关220v楼道声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光控延时开关</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76</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时控开关</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时控开关定时器定时开关时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间控制延时开关</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77</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掌控开关</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掌控开关</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78</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应急开关</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呼叫器开关面板火警家用消防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紧急按钮 86 型</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79</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低电灯片</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24w</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1000</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三爪拉力气</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小，中</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82</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高温线</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Fonts w:hint="default" w:ascii="Calibri" w:hAnsi="Calibri" w:eastAsia="宋体" w:cs="Calibri"/>
                <w:i w:val="0"/>
                <w:iCs w:val="0"/>
                <w:color w:val="000000"/>
                <w:kern w:val="0"/>
                <w:sz w:val="21"/>
                <w:szCs w:val="21"/>
                <w:u w:val="none"/>
                <w:lang w:val="en-US" w:eastAsia="zh-CN" w:bidi="ar"/>
              </w:rPr>
              <w:t>2.5m</w:t>
            </w:r>
            <w:r>
              <w:rPr>
                <w:rFonts w:hint="eastAsia" w:ascii="宋体" w:hAnsi="宋体" w:eastAsia="宋体" w:cs="宋体"/>
                <w:i w:val="0"/>
                <w:iCs w:val="0"/>
                <w:color w:val="000000"/>
                <w:kern w:val="0"/>
                <w:sz w:val="21"/>
                <w:szCs w:val="21"/>
                <w:u w:val="none"/>
                <w:lang w:val="en-US" w:eastAsia="zh-CN" w:bidi="ar"/>
              </w:rPr>
              <w:t>²，</w:t>
            </w:r>
            <w:r>
              <w:rPr>
                <w:rFonts w:hint="default" w:ascii="Calibri" w:hAnsi="Calibri" w:eastAsia="宋体" w:cs="Calibri"/>
                <w:i w:val="0"/>
                <w:iCs w:val="0"/>
                <w:color w:val="000000"/>
                <w:kern w:val="0"/>
                <w:sz w:val="21"/>
                <w:szCs w:val="21"/>
                <w:u w:val="none"/>
                <w:lang w:val="en-US" w:eastAsia="zh-CN" w:bidi="ar"/>
              </w:rPr>
              <w:t>4m</w:t>
            </w:r>
            <w:r>
              <w:rPr>
                <w:rFonts w:hint="eastAsia" w:ascii="宋体" w:hAnsi="宋体" w:eastAsia="宋体" w:cs="宋体"/>
                <w:i w:val="0"/>
                <w:iCs w:val="0"/>
                <w:color w:val="000000"/>
                <w:kern w:val="0"/>
                <w:sz w:val="21"/>
                <w:szCs w:val="21"/>
                <w:u w:val="none"/>
                <w:lang w:val="en-US" w:eastAsia="zh-CN" w:bidi="ar"/>
              </w:rPr>
              <w:t>²</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83</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球形锁</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不锈钢球锁 </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84</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防盗锁</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面板</w:t>
            </w:r>
            <w:r>
              <w:rPr>
                <w:rFonts w:hint="default"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标配锁体</w:t>
            </w:r>
            <w:r>
              <w:rPr>
                <w:rFonts w:hint="default"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超</w:t>
            </w:r>
            <w:r>
              <w:rPr>
                <w:rFonts w:hint="default" w:ascii="Calibri" w:hAnsi="Calibri" w:eastAsia="宋体" w:cs="Calibri"/>
                <w:i w:val="0"/>
                <w:iCs w:val="0"/>
                <w:color w:val="000000"/>
                <w:kern w:val="0"/>
                <w:sz w:val="21"/>
                <w:szCs w:val="21"/>
                <w:u w:val="none"/>
                <w:lang w:val="en-US" w:eastAsia="zh-CN" w:bidi="ar"/>
              </w:rPr>
              <w:t>C</w:t>
            </w:r>
            <w:r>
              <w:rPr>
                <w:rFonts w:hint="eastAsia" w:ascii="宋体" w:hAnsi="宋体" w:eastAsia="宋体" w:cs="宋体"/>
                <w:i w:val="0"/>
                <w:iCs w:val="0"/>
                <w:color w:val="000000"/>
                <w:kern w:val="0"/>
                <w:sz w:val="21"/>
                <w:szCs w:val="21"/>
                <w:u w:val="none"/>
                <w:lang w:val="en-US" w:eastAsia="zh-CN" w:bidi="ar"/>
              </w:rPr>
              <w:t>级锁芯</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85</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锁芯</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锁芯</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86</w:t>
            </w:r>
          </w:p>
        </w:tc>
        <w:tc>
          <w:tcPr>
            <w:tcW w:w="21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LED </w:t>
            </w:r>
            <w:r>
              <w:rPr>
                <w:rFonts w:hint="eastAsia" w:ascii="宋体" w:hAnsi="宋体" w:eastAsia="宋体" w:cs="宋体"/>
                <w:i w:val="0"/>
                <w:iCs w:val="0"/>
                <w:color w:val="000000"/>
                <w:kern w:val="0"/>
                <w:sz w:val="21"/>
                <w:szCs w:val="21"/>
                <w:u w:val="none"/>
                <w:lang w:val="en-US" w:eastAsia="zh-CN" w:bidi="ar"/>
              </w:rPr>
              <w:t>灯管</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87</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吸顶灯</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88</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筒灯</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w:t>
            </w:r>
            <w:r>
              <w:rPr>
                <w:rFonts w:hint="eastAsia" w:ascii="宋体" w:hAnsi="宋体" w:eastAsia="宋体" w:cs="宋体"/>
                <w:i w:val="0"/>
                <w:iCs w:val="0"/>
                <w:color w:val="000000"/>
                <w:kern w:val="0"/>
                <w:sz w:val="21"/>
                <w:szCs w:val="21"/>
                <w:u w:val="none"/>
                <w:lang w:val="en-US" w:eastAsia="zh-CN" w:bidi="ar"/>
              </w:rPr>
              <w:t xml:space="preserve"> </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89</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吊顶射灯</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w:t>
            </w:r>
            <w:r>
              <w:rPr>
                <w:rFonts w:hint="eastAsia" w:ascii="宋体" w:hAnsi="宋体" w:eastAsia="宋体" w:cs="宋体"/>
                <w:i w:val="0"/>
                <w:iCs w:val="0"/>
                <w:color w:val="000000"/>
                <w:kern w:val="0"/>
                <w:sz w:val="21"/>
                <w:szCs w:val="21"/>
                <w:u w:val="none"/>
                <w:lang w:val="en-US" w:eastAsia="zh-CN" w:bidi="ar"/>
              </w:rPr>
              <w:t xml:space="preserve"> </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灯条</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w:t>
            </w:r>
            <w:r>
              <w:rPr>
                <w:rFonts w:hint="eastAsia" w:ascii="宋体" w:hAnsi="宋体" w:eastAsia="宋体" w:cs="宋体"/>
                <w:i w:val="0"/>
                <w:iCs w:val="0"/>
                <w:color w:val="000000"/>
                <w:kern w:val="0"/>
                <w:sz w:val="21"/>
                <w:szCs w:val="21"/>
                <w:u w:val="none"/>
                <w:lang w:val="en-US" w:eastAsia="zh-CN" w:bidi="ar"/>
              </w:rPr>
              <w:t xml:space="preserve"> </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91</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玻璃膜</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隔热膜窗户防晒玻璃贴纸单向透视防窥家用阳台遮阳遮光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窗贴膜</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92</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纱窗网</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纱窗网</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93</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窗户把手</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左，右</w:t>
            </w:r>
            <w:r>
              <w:rPr>
                <w:rFonts w:hint="default" w:ascii="Calibri" w:hAnsi="Calibri" w:eastAsia="宋体" w:cs="Calibri"/>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94</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窗户合页</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窗户合页</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排风扇</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小号</w:t>
            </w:r>
            <w:r>
              <w:rPr>
                <w:rFonts w:hint="default" w:ascii="Calibri" w:hAnsi="Calibri" w:eastAsia="宋体" w:cs="Calibri"/>
                <w:i w:val="0"/>
                <w:iCs w:val="0"/>
                <w:color w:val="000000"/>
                <w:kern w:val="0"/>
                <w:sz w:val="21"/>
                <w:szCs w:val="21"/>
                <w:u w:val="none"/>
                <w:lang w:val="en-US" w:eastAsia="zh-CN" w:bidi="ar"/>
              </w:rPr>
              <w:t>)</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96</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门合页</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门合页</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97</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加热管 </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加热管 </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98</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闭合器</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闭合器</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99</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电动门轮子</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小、中</w:t>
            </w:r>
            <w:r>
              <w:rPr>
                <w:rFonts w:hint="default"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 </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加热管</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300w</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4kw</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101</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锂电池冲击扳手</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(18v)</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102</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双面胶</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高粘性棉纸双面胶带</w:t>
            </w:r>
            <w:r>
              <w:rPr>
                <w:rFonts w:hint="default" w:ascii="Calibri" w:hAnsi="Calibri" w:eastAsia="宋体" w:cs="Calibri"/>
                <w:i w:val="0"/>
                <w:iCs w:val="0"/>
                <w:color w:val="000000"/>
                <w:kern w:val="0"/>
                <w:sz w:val="21"/>
                <w:szCs w:val="21"/>
                <w:u w:val="none"/>
                <w:lang w:val="en-US" w:eastAsia="zh-CN" w:bidi="ar"/>
              </w:rPr>
              <w:t>12mm</w:t>
            </w:r>
            <w:r>
              <w:rPr>
                <w:rFonts w:hint="eastAsia" w:ascii="宋体" w:hAnsi="宋体" w:eastAsia="宋体" w:cs="宋体"/>
                <w:i w:val="0"/>
                <w:iCs w:val="0"/>
                <w:color w:val="000000"/>
                <w:kern w:val="0"/>
                <w:sz w:val="21"/>
                <w:szCs w:val="21"/>
                <w:u w:val="none"/>
                <w:lang w:val="en-US" w:eastAsia="zh-CN" w:bidi="ar"/>
              </w:rPr>
              <w:t xml:space="preserve"> </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103</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单联空开</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10A</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16A</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25A</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32A</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104</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100A</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105</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120A</w:t>
            </w:r>
            <w:r>
              <w:rPr>
                <w:rFonts w:hint="eastAsia" w:ascii="宋体" w:hAnsi="宋体" w:eastAsia="宋体" w:cs="宋体"/>
                <w:i w:val="0"/>
                <w:iCs w:val="0"/>
                <w:color w:val="000000"/>
                <w:kern w:val="0"/>
                <w:sz w:val="21"/>
                <w:szCs w:val="21"/>
                <w:u w:val="none"/>
                <w:lang w:val="en-US" w:eastAsia="zh-CN" w:bidi="ar"/>
              </w:rPr>
              <w:t xml:space="preserve"> </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106</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160A</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107</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200A</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108</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直角固件</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（铁直角）</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109</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自攻螺丝 </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公分</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110</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燕尾螺丝</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 xml:space="preserve">2 </w:t>
            </w:r>
            <w:r>
              <w:rPr>
                <w:rFonts w:hint="eastAsia" w:ascii="宋体" w:hAnsi="宋体" w:eastAsia="宋体" w:cs="宋体"/>
                <w:i w:val="0"/>
                <w:iCs w:val="0"/>
                <w:color w:val="000000"/>
                <w:kern w:val="0"/>
                <w:sz w:val="21"/>
                <w:szCs w:val="21"/>
                <w:u w:val="none"/>
                <w:lang w:val="en-US" w:eastAsia="zh-CN" w:bidi="ar"/>
              </w:rPr>
              <w:t>公分，</w:t>
            </w:r>
            <w:r>
              <w:rPr>
                <w:rFonts w:hint="default" w:ascii="Calibri" w:hAnsi="Calibri" w:eastAsia="宋体" w:cs="Calibri"/>
                <w:i w:val="0"/>
                <w:iCs w:val="0"/>
                <w:color w:val="000000"/>
                <w:kern w:val="0"/>
                <w:sz w:val="21"/>
                <w:szCs w:val="21"/>
                <w:u w:val="none"/>
                <w:lang w:val="en-US" w:eastAsia="zh-CN" w:bidi="ar"/>
              </w:rPr>
              <w:t xml:space="preserve">3 </w:t>
            </w:r>
            <w:r>
              <w:rPr>
                <w:rFonts w:hint="eastAsia" w:ascii="宋体" w:hAnsi="宋体" w:eastAsia="宋体" w:cs="宋体"/>
                <w:i w:val="0"/>
                <w:iCs w:val="0"/>
                <w:color w:val="000000"/>
                <w:kern w:val="0"/>
                <w:sz w:val="21"/>
                <w:szCs w:val="21"/>
                <w:u w:val="none"/>
                <w:lang w:val="en-US" w:eastAsia="zh-CN" w:bidi="ar"/>
              </w:rPr>
              <w:t>公分</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111</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胶枪</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胶枪</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112</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电烊铁</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w:t>
            </w:r>
            <w:r>
              <w:rPr>
                <w:rFonts w:hint="eastAsia" w:ascii="宋体" w:hAnsi="宋体" w:eastAsia="宋体" w:cs="宋体"/>
                <w:i w:val="0"/>
                <w:iCs w:val="0"/>
                <w:color w:val="000000"/>
                <w:kern w:val="0"/>
                <w:sz w:val="21"/>
                <w:szCs w:val="21"/>
                <w:u w:val="none"/>
                <w:lang w:val="en-US" w:eastAsia="zh-CN" w:bidi="ar"/>
              </w:rPr>
              <w:t>，</w:t>
            </w:r>
            <w:r>
              <w:rPr>
                <w:rFonts w:hint="default" w:ascii="Calibri" w:hAnsi="Calibri" w:eastAsia="宋体" w:cs="Calibri"/>
                <w:i w:val="0"/>
                <w:iCs w:val="0"/>
                <w:color w:val="000000"/>
                <w:kern w:val="0"/>
                <w:sz w:val="21"/>
                <w:szCs w:val="21"/>
                <w:u w:val="none"/>
                <w:lang w:val="en-US" w:eastAsia="zh-CN" w:bidi="ar"/>
              </w:rPr>
              <w:t>50w</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113</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烊锡丝</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烊锡丝</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114</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烊锡膏</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烊锡膏</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115</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水龙头</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铜制水龙头</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116</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水龙头蕊</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水龙头蕊</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117</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台上单水阀</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洗脸盆洗手盆水龙头</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118</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三角阀</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纯铜</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119</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软管</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r>
              <w:rPr>
                <w:rFonts w:hint="eastAsia" w:ascii="宋体" w:hAnsi="宋体" w:eastAsia="宋体" w:cs="宋体"/>
                <w:i w:val="0"/>
                <w:iCs w:val="0"/>
                <w:color w:val="000000"/>
                <w:kern w:val="0"/>
                <w:sz w:val="21"/>
                <w:szCs w:val="21"/>
                <w:u w:val="none"/>
                <w:lang w:val="en-US" w:eastAsia="zh-CN" w:bidi="ar"/>
              </w:rPr>
              <w:t>公分</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混合阀门</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纯铜</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121</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自来水配件</w:t>
            </w:r>
            <w:r>
              <w:rPr>
                <w:rFonts w:hint="default" w:ascii="Calibri" w:hAnsi="Calibri" w:eastAsia="宋体" w:cs="Calibri"/>
                <w:i w:val="0"/>
                <w:iCs w:val="0"/>
                <w:color w:val="000000"/>
                <w:kern w:val="0"/>
                <w:sz w:val="21"/>
                <w:szCs w:val="21"/>
                <w:u w:val="none"/>
                <w:lang w:val="en-US" w:eastAsia="zh-CN" w:bidi="ar"/>
              </w:rPr>
              <w:t>ppk</w:t>
            </w:r>
            <w:r>
              <w:rPr>
                <w:rFonts w:hint="eastAsia" w:ascii="宋体" w:hAnsi="宋体" w:eastAsia="宋体" w:cs="宋体"/>
                <w:i w:val="0"/>
                <w:iCs w:val="0"/>
                <w:color w:val="000000"/>
                <w:kern w:val="0"/>
                <w:sz w:val="21"/>
                <w:szCs w:val="21"/>
                <w:u w:val="none"/>
                <w:lang w:val="en-US" w:eastAsia="zh-CN" w:bidi="ar"/>
              </w:rPr>
              <w:t>配件弯头三股三通</w:t>
            </w:r>
          </w:p>
        </w:tc>
        <w:tc>
          <w:tcPr>
            <w:tcW w:w="360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(20.25.32)</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122</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铁灼配件</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镀锌管</w:t>
            </w:r>
            <w:r>
              <w:rPr>
                <w:rFonts w:hint="default" w:ascii="Calibri" w:hAnsi="Calibri" w:eastAsia="宋体" w:cs="Calibri"/>
                <w:i w:val="0"/>
                <w:iCs w:val="0"/>
                <w:color w:val="000000"/>
                <w:kern w:val="0"/>
                <w:sz w:val="21"/>
                <w:szCs w:val="21"/>
                <w:u w:val="none"/>
                <w:lang w:val="en-US" w:eastAsia="zh-CN" w:bidi="ar"/>
              </w:rPr>
              <w:t>(20.25.32)</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123</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管子</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镀锌管</w:t>
            </w:r>
            <w:r>
              <w:rPr>
                <w:rFonts w:hint="default" w:ascii="Calibri" w:hAnsi="Calibri" w:eastAsia="宋体" w:cs="Calibri"/>
                <w:i w:val="0"/>
                <w:iCs w:val="0"/>
                <w:color w:val="000000"/>
                <w:kern w:val="0"/>
                <w:sz w:val="21"/>
                <w:szCs w:val="21"/>
                <w:u w:val="none"/>
                <w:lang w:val="en-US" w:eastAsia="zh-CN" w:bidi="ar"/>
              </w:rPr>
              <w:t>pvc</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124</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加热管</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1.5米不锈钢加长水管防爆耐高温</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125</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电磁阀</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二位五通换向阀气阀</w:t>
            </w:r>
            <w:r>
              <w:rPr>
                <w:rFonts w:hint="default" w:ascii="Calibri" w:hAnsi="Calibri" w:eastAsia="宋体" w:cs="Calibri"/>
                <w:i w:val="0"/>
                <w:iCs w:val="0"/>
                <w:color w:val="000000"/>
                <w:kern w:val="0"/>
                <w:sz w:val="21"/>
                <w:szCs w:val="21"/>
                <w:u w:val="none"/>
                <w:lang w:val="en-US" w:eastAsia="zh-CN" w:bidi="ar"/>
              </w:rPr>
              <w:t>220v</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126</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水咀蕊</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水咀蕊</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127</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热能泵电磁阀门</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Fonts w:hint="default" w:ascii="Calibri" w:hAnsi="Calibri" w:eastAsia="宋体" w:cs="Calibri"/>
                <w:i w:val="0"/>
                <w:iCs w:val="0"/>
                <w:color w:val="000000"/>
                <w:kern w:val="0"/>
                <w:sz w:val="21"/>
                <w:szCs w:val="21"/>
                <w:u w:val="none"/>
                <w:lang w:val="en-US" w:eastAsia="zh-CN" w:bidi="ar"/>
              </w:rPr>
              <w:t>(25.32)</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128</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蒸板箱浮球</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不锈钢磁性浮子塑料磁浮球</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129</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下水软管</w:t>
            </w:r>
          </w:p>
        </w:tc>
        <w:tc>
          <w:tcPr>
            <w:tcW w:w="360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面盆菜盆洗手池排水管加长软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管加厚防腐防臭管</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130</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水箱坐便器 </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节水防臭漩涡虹吸式</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131</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暖气配件</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暖气配件</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132</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放气阀铜</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空压机配件气压开关阀门气泵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铜球阀</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133</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焊条</w:t>
            </w:r>
          </w:p>
        </w:tc>
        <w:tc>
          <w:tcPr>
            <w:tcW w:w="3602"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134</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不锈钢焊条ppk配件弯头合法管胶三通</w:t>
            </w:r>
          </w:p>
        </w:tc>
        <w:tc>
          <w:tcPr>
            <w:tcW w:w="3602" w:type="dxa"/>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1"/>
                <w:szCs w:val="21"/>
                <w:u w:val="none"/>
              </w:rPr>
            </w:pPr>
            <w:r>
              <w:rPr>
                <w:rFonts w:ascii="Arial" w:hAnsi="Arial" w:eastAsia="宋体" w:cs="Arial"/>
                <w:i w:val="0"/>
                <w:iCs w:val="0"/>
                <w:color w:val="000000"/>
                <w:kern w:val="0"/>
                <w:sz w:val="21"/>
                <w:szCs w:val="21"/>
                <w:u w:val="none"/>
                <w:lang w:val="en-US" w:eastAsia="zh-CN" w:bidi="ar"/>
              </w:rPr>
              <w:t xml:space="preserve"> </w:t>
            </w:r>
            <w:r>
              <w:rPr>
                <w:rFonts w:hint="default" w:ascii="Calibri" w:hAnsi="Calibri" w:eastAsia="宋体" w:cs="Calibri"/>
                <w:i w:val="0"/>
                <w:iCs w:val="0"/>
                <w:color w:val="000000"/>
                <w:kern w:val="0"/>
                <w:sz w:val="21"/>
                <w:szCs w:val="21"/>
                <w:u w:val="none"/>
                <w:lang w:val="en-US" w:eastAsia="zh-CN" w:bidi="ar"/>
              </w:rPr>
              <w:t>(32 40)</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135</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阀门</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纯铜 </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136</w:t>
            </w:r>
          </w:p>
        </w:tc>
        <w:tc>
          <w:tcPr>
            <w:tcW w:w="21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生胶管</w:t>
            </w:r>
          </w:p>
        </w:tc>
        <w:tc>
          <w:tcPr>
            <w:tcW w:w="36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生胶管</w:t>
            </w:r>
          </w:p>
        </w:tc>
        <w:tc>
          <w:tcPr>
            <w:tcW w:w="88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numPr>
          <w:ilvl w:val="0"/>
          <w:numId w:val="0"/>
        </w:numPr>
        <w:spacing w:line="440" w:lineRule="exact"/>
        <w:jc w:val="both"/>
        <w:outlineLvl w:val="0"/>
        <w:rPr>
          <w:rFonts w:hint="eastAsia" w:ascii="宋体" w:hAnsi="宋体" w:eastAsia="宋体" w:cs="宋体"/>
          <w:b/>
          <w:sz w:val="24"/>
          <w:szCs w:val="24"/>
        </w:rPr>
      </w:pPr>
    </w:p>
    <w:p>
      <w:pPr>
        <w:widowControl/>
        <w:jc w:val="left"/>
        <w:rPr>
          <w:rFonts w:ascii="宋体" w:hAnsi="宋体" w:eastAsia="宋体" w:cs="宋体"/>
          <w:kern w:val="0"/>
          <w:sz w:val="24"/>
          <w:szCs w:val="24"/>
        </w:rPr>
      </w:pPr>
      <w:bookmarkStart w:id="66" w:name="_Toc488827473"/>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bookmarkStart w:id="76" w:name="_GoBack"/>
      <w:bookmarkEnd w:id="76"/>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spacing w:line="440" w:lineRule="exact"/>
        <w:jc w:val="center"/>
        <w:outlineLvl w:val="0"/>
        <w:rPr>
          <w:rFonts w:ascii="宋体" w:hAnsi="宋体" w:eastAsia="宋体" w:cs="宋体"/>
          <w:b/>
          <w:sz w:val="24"/>
          <w:szCs w:val="24"/>
        </w:rPr>
      </w:pPr>
      <w:r>
        <w:rPr>
          <w:rFonts w:hint="eastAsia" w:ascii="宋体" w:hAnsi="宋体" w:eastAsia="宋体" w:cs="宋体"/>
          <w:b/>
          <w:sz w:val="24"/>
          <w:szCs w:val="24"/>
        </w:rPr>
        <w:t>第五章投标文件格式</w:t>
      </w:r>
      <w:bookmarkEnd w:id="66"/>
    </w:p>
    <w:p>
      <w:pPr>
        <w:rPr>
          <w:rFonts w:ascii="宋体" w:hAnsi="Calibri" w:eastAsia="宋体" w:cs="宋体"/>
          <w:b/>
          <w:sz w:val="24"/>
          <w:szCs w:val="24"/>
        </w:rPr>
      </w:pPr>
    </w:p>
    <w:p>
      <w:pPr>
        <w:rPr>
          <w:rFonts w:ascii="宋体" w:hAnsi="Calibri" w:eastAsia="宋体" w:cs="宋体"/>
          <w:b/>
          <w:sz w:val="24"/>
          <w:szCs w:val="24"/>
        </w:rPr>
      </w:pPr>
    </w:p>
    <w:p>
      <w:pPr>
        <w:rPr>
          <w:rFonts w:ascii="宋体" w:hAnsi="Calibri" w:eastAsia="宋体" w:cs="宋体"/>
          <w:color w:val="000000"/>
          <w:sz w:val="24"/>
          <w:szCs w:val="24"/>
          <w:u w:val="single"/>
        </w:rPr>
      </w:pPr>
      <w:r>
        <w:rPr>
          <w:rFonts w:hint="eastAsia" w:ascii="宋体" w:hAnsi="宋体" w:eastAsia="宋体" w:cs="宋体"/>
          <w:color w:val="000000"/>
          <w:sz w:val="24"/>
          <w:szCs w:val="24"/>
          <w:u w:val="single"/>
        </w:rPr>
        <w:t>投标文件封面示例</w:t>
      </w:r>
    </w:p>
    <w:p>
      <w:pPr>
        <w:spacing w:line="720" w:lineRule="auto"/>
        <w:ind w:right="315"/>
        <w:jc w:val="right"/>
        <w:rPr>
          <w:rFonts w:ascii="宋体" w:hAnsi="Calibri" w:eastAsia="宋体" w:cs="宋体"/>
          <w:b/>
          <w:sz w:val="24"/>
          <w:szCs w:val="24"/>
          <w:bdr w:val="single" w:color="auto" w:sz="4" w:space="0"/>
        </w:rPr>
      </w:pPr>
      <w:r>
        <w:rPr>
          <w:rFonts w:hint="eastAsia" w:ascii="宋体" w:hAnsi="宋体" w:eastAsia="宋体" w:cs="宋体"/>
          <w:b/>
          <w:sz w:val="24"/>
          <w:szCs w:val="24"/>
          <w:bdr w:val="single" w:color="auto" w:sz="4" w:space="0"/>
        </w:rPr>
        <w:t>正本</w:t>
      </w:r>
    </w:p>
    <w:p>
      <w:pPr>
        <w:spacing w:line="720" w:lineRule="auto"/>
        <w:jc w:val="center"/>
        <w:rPr>
          <w:rFonts w:ascii="宋体" w:hAnsi="Calibri" w:eastAsia="宋体" w:cs="宋体"/>
          <w:b/>
          <w:bCs/>
          <w:sz w:val="24"/>
          <w:szCs w:val="24"/>
          <w:u w:val="single"/>
        </w:rPr>
      </w:pPr>
      <w:r>
        <w:rPr>
          <w:rFonts w:hint="eastAsia" w:ascii="宋体" w:hAnsi="宋体" w:eastAsia="宋体" w:cs="宋体"/>
          <w:b/>
          <w:bCs/>
          <w:sz w:val="24"/>
          <w:szCs w:val="24"/>
          <w:u w:val="single"/>
        </w:rPr>
        <w:t>（项目名称）</w:t>
      </w:r>
    </w:p>
    <w:p>
      <w:pPr>
        <w:spacing w:line="300" w:lineRule="exact"/>
        <w:jc w:val="center"/>
        <w:rPr>
          <w:rFonts w:ascii="宋体" w:hAnsi="Calibri" w:eastAsia="宋体" w:cs="宋体"/>
          <w:b/>
          <w:bCs/>
          <w:color w:val="000000"/>
          <w:sz w:val="24"/>
          <w:szCs w:val="24"/>
        </w:rPr>
      </w:pPr>
      <w:r>
        <w:rPr>
          <w:rFonts w:hint="eastAsia" w:ascii="宋体" w:hAnsi="宋体" w:eastAsia="宋体" w:cs="宋体"/>
          <w:b/>
          <w:bCs/>
          <w:color w:val="000000"/>
          <w:sz w:val="24"/>
          <w:szCs w:val="24"/>
        </w:rPr>
        <w:t>投标文件</w:t>
      </w:r>
    </w:p>
    <w:p>
      <w:pPr>
        <w:spacing w:line="720" w:lineRule="auto"/>
        <w:rPr>
          <w:rFonts w:ascii="宋体" w:hAnsi="Calibri" w:eastAsia="宋体" w:cs="宋体"/>
          <w:sz w:val="24"/>
          <w:szCs w:val="24"/>
        </w:rPr>
      </w:pPr>
    </w:p>
    <w:p>
      <w:pPr>
        <w:spacing w:line="720" w:lineRule="auto"/>
        <w:rPr>
          <w:rFonts w:ascii="宋体" w:hAnsi="Calibri" w:eastAsia="宋体" w:cs="宋体"/>
          <w:sz w:val="24"/>
          <w:szCs w:val="24"/>
        </w:rPr>
      </w:pPr>
      <w:r>
        <w:rPr>
          <w:rFonts w:hint="eastAsia" w:ascii="宋体" w:hAnsi="宋体" w:eastAsia="宋体" w:cs="宋体"/>
          <w:sz w:val="24"/>
          <w:szCs w:val="24"/>
        </w:rPr>
        <w:t>投标人：（盖章）</w:t>
      </w:r>
    </w:p>
    <w:p>
      <w:pPr>
        <w:spacing w:line="720" w:lineRule="auto"/>
        <w:rPr>
          <w:rFonts w:ascii="宋体" w:hAnsi="Calibri" w:eastAsia="宋体" w:cs="宋体"/>
          <w:sz w:val="24"/>
          <w:szCs w:val="24"/>
        </w:rPr>
      </w:pPr>
      <w:r>
        <w:rPr>
          <w:rFonts w:hint="eastAsia" w:ascii="宋体" w:hAnsi="宋体" w:eastAsia="宋体" w:cs="宋体"/>
          <w:sz w:val="24"/>
          <w:szCs w:val="24"/>
        </w:rPr>
        <w:t>法定代表人：（盖章）</w:t>
      </w:r>
    </w:p>
    <w:p>
      <w:pPr>
        <w:spacing w:line="720" w:lineRule="auto"/>
        <w:rPr>
          <w:rFonts w:ascii="宋体" w:hAnsi="Calibri" w:eastAsia="宋体" w:cs="宋体"/>
          <w:sz w:val="24"/>
          <w:szCs w:val="24"/>
        </w:rPr>
      </w:pPr>
      <w:r>
        <w:rPr>
          <w:rFonts w:hint="eastAsia" w:ascii="宋体" w:hAnsi="宋体" w:eastAsia="宋体" w:cs="宋体"/>
          <w:sz w:val="24"/>
          <w:szCs w:val="24"/>
        </w:rPr>
        <w:t>单位地址：</w:t>
      </w:r>
    </w:p>
    <w:p>
      <w:pPr>
        <w:spacing w:line="720" w:lineRule="auto"/>
        <w:rPr>
          <w:rFonts w:ascii="宋体" w:hAnsi="Calibri" w:eastAsia="宋体" w:cs="宋体"/>
          <w:sz w:val="24"/>
          <w:szCs w:val="24"/>
        </w:rPr>
      </w:pPr>
      <w:r>
        <w:rPr>
          <w:rFonts w:hint="eastAsia" w:ascii="宋体" w:hAnsi="宋体" w:eastAsia="宋体" w:cs="宋体"/>
          <w:sz w:val="24"/>
          <w:szCs w:val="24"/>
        </w:rPr>
        <w:t>邮政编码：</w:t>
      </w:r>
    </w:p>
    <w:p>
      <w:pPr>
        <w:spacing w:line="720" w:lineRule="auto"/>
        <w:rPr>
          <w:rFonts w:ascii="宋体" w:hAnsi="Calibri" w:eastAsia="宋体" w:cs="宋体"/>
          <w:sz w:val="24"/>
          <w:szCs w:val="24"/>
        </w:rPr>
      </w:pPr>
      <w:r>
        <w:rPr>
          <w:rFonts w:hint="eastAsia" w:ascii="宋体" w:hAnsi="宋体" w:eastAsia="宋体" w:cs="宋体"/>
          <w:sz w:val="24"/>
          <w:szCs w:val="24"/>
        </w:rPr>
        <w:t>联系人：</w:t>
      </w:r>
    </w:p>
    <w:p>
      <w:pPr>
        <w:spacing w:line="720" w:lineRule="auto"/>
        <w:rPr>
          <w:rFonts w:ascii="宋体" w:hAnsi="Calibri" w:eastAsia="宋体" w:cs="宋体"/>
          <w:sz w:val="24"/>
          <w:szCs w:val="24"/>
        </w:rPr>
      </w:pPr>
      <w:r>
        <w:rPr>
          <w:rFonts w:hint="eastAsia" w:ascii="宋体" w:hAnsi="宋体" w:eastAsia="宋体" w:cs="宋体"/>
          <w:sz w:val="24"/>
          <w:szCs w:val="24"/>
        </w:rPr>
        <w:t>联系电话：</w:t>
      </w:r>
    </w:p>
    <w:p>
      <w:pPr>
        <w:spacing w:line="720" w:lineRule="auto"/>
        <w:rPr>
          <w:rFonts w:ascii="宋体" w:hAnsi="Calibri" w:eastAsia="宋体" w:cs="宋体"/>
          <w:sz w:val="24"/>
          <w:szCs w:val="24"/>
        </w:rPr>
      </w:pPr>
    </w:p>
    <w:p>
      <w:pPr>
        <w:spacing w:line="720" w:lineRule="auto"/>
        <w:ind w:firstLine="2" w:firstLineChars="1"/>
        <w:jc w:val="right"/>
        <w:rPr>
          <w:rFonts w:ascii="宋体" w:hAnsi="Calibri"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tabs>
          <w:tab w:val="center" w:pos="4832"/>
          <w:tab w:val="left" w:pos="7140"/>
        </w:tabs>
        <w:jc w:val="center"/>
        <w:outlineLvl w:val="1"/>
        <w:rPr>
          <w:rFonts w:hint="eastAsia" w:ascii="宋体" w:hAnsi="宋体" w:eastAsia="宋体" w:cs="宋体"/>
          <w:b/>
          <w:sz w:val="24"/>
          <w:szCs w:val="24"/>
        </w:rPr>
      </w:pPr>
      <w:bookmarkStart w:id="67" w:name="_Toc488827474"/>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hint="eastAsia"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r>
        <w:rPr>
          <w:rFonts w:hint="eastAsia" w:ascii="宋体" w:hAnsi="宋体" w:eastAsia="宋体" w:cs="宋体"/>
          <w:b/>
          <w:sz w:val="24"/>
          <w:szCs w:val="24"/>
        </w:rPr>
        <w:t>目   录</w:t>
      </w:r>
      <w:bookmarkEnd w:id="67"/>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（1）投标承诺书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（2）法定代表人身份证明书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（3）法定代表人授权委托书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（4）投标报价单</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（5）报价明细表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（6）企业概况</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（7）投标人自201</w:t>
      </w:r>
      <w:r>
        <w:rPr>
          <w:rFonts w:hint="eastAsia" w:ascii="宋体" w:hAnsi="宋体" w:eastAsia="宋体" w:cs="Arial"/>
          <w:color w:val="000000"/>
          <w:kern w:val="0"/>
          <w:sz w:val="24"/>
          <w:szCs w:val="24"/>
          <w:lang w:val="en-US" w:eastAsia="zh-CN"/>
        </w:rPr>
        <w:t>9</w:t>
      </w:r>
      <w:r>
        <w:rPr>
          <w:rFonts w:hint="eastAsia" w:ascii="宋体" w:hAnsi="宋体" w:eastAsia="宋体" w:cs="Arial"/>
          <w:color w:val="000000"/>
          <w:kern w:val="0"/>
          <w:sz w:val="24"/>
          <w:szCs w:val="24"/>
        </w:rPr>
        <w:t>年1月1日起至今完成的类似业绩</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（8）商务条款偏离表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（9）技术条款偏离表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（10）产品介绍及项目技术方案</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（11）供货方案及技术说明</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（12）质量保证体系及措施</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（13）规格、技术参数</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（14）性能保证</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（15）售后服务承诺等，投标人认为有必要提供的其他相关资料等。</w:t>
      </w:r>
    </w:p>
    <w:p>
      <w:pPr>
        <w:spacing w:line="280" w:lineRule="exact"/>
        <w:rPr>
          <w:rFonts w:ascii="宋体" w:hAnsi="Calibri" w:eastAsia="宋体" w:cs="Times New Roman"/>
          <w:bCs/>
          <w:color w:val="000000" w:themeColor="text1"/>
          <w:sz w:val="24"/>
          <w:szCs w:val="24"/>
        </w:rPr>
      </w:pPr>
    </w:p>
    <w:p>
      <w:pPr>
        <w:spacing w:line="280" w:lineRule="exact"/>
        <w:rPr>
          <w:rFonts w:ascii="宋体" w:hAnsi="Calibri" w:eastAsia="宋体" w:cs="Times New Roman"/>
          <w:bCs/>
          <w:color w:val="000000" w:themeColor="text1"/>
          <w:sz w:val="24"/>
          <w:szCs w:val="24"/>
        </w:rPr>
      </w:pPr>
      <w:r>
        <w:rPr>
          <w:rFonts w:hint="eastAsia" w:ascii="宋体" w:hAnsi="宋体" w:eastAsia="宋体" w:cs="Times New Roman"/>
          <w:bCs/>
          <w:color w:val="000000" w:themeColor="text1"/>
          <w:sz w:val="24"/>
          <w:szCs w:val="24"/>
        </w:rPr>
        <w:t>注：为了便于查找，请按上述顺序编制投标文件内容，并在目录中标明每项内容的起始页码。</w:t>
      </w:r>
    </w:p>
    <w:p>
      <w:pPr>
        <w:tabs>
          <w:tab w:val="center" w:pos="4832"/>
          <w:tab w:val="left" w:pos="7140"/>
        </w:tabs>
        <w:jc w:val="center"/>
        <w:outlineLvl w:val="1"/>
        <w:rPr>
          <w:rFonts w:ascii="宋体" w:hAnsi="宋体" w:eastAsia="宋体" w:cs="宋体"/>
          <w:b/>
          <w:sz w:val="24"/>
          <w:szCs w:val="24"/>
        </w:rPr>
      </w:pPr>
      <w:r>
        <w:rPr>
          <w:rFonts w:ascii="宋体" w:hAnsi="Calibri" w:eastAsia="宋体" w:cs="宋体"/>
          <w:b/>
          <w:color w:val="000000" w:themeColor="text1"/>
          <w:sz w:val="24"/>
          <w:szCs w:val="24"/>
        </w:rPr>
        <w:br w:type="page"/>
      </w:r>
      <w:r>
        <w:rPr>
          <w:rFonts w:hint="eastAsia" w:ascii="宋体" w:hAnsi="宋体" w:eastAsia="宋体"/>
          <w:b/>
          <w:bCs/>
          <w:snapToGrid w:val="0"/>
          <w:kern w:val="0"/>
          <w:sz w:val="24"/>
          <w:szCs w:val="24"/>
        </w:rPr>
        <w:t>投标承诺书</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致：（招标人名称）</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根据已收到</w:t>
      </w:r>
      <w:r>
        <w:rPr>
          <w:rFonts w:hint="eastAsia" w:ascii="宋体" w:hAnsi="宋体" w:eastAsia="宋体" w:cs="Arial"/>
          <w:color w:val="000000"/>
          <w:kern w:val="0"/>
          <w:sz w:val="24"/>
          <w:szCs w:val="24"/>
          <w:u w:val="single"/>
        </w:rPr>
        <w:t xml:space="preserve">       </w:t>
      </w:r>
      <w:r>
        <w:rPr>
          <w:rFonts w:hint="eastAsia" w:ascii="宋体" w:hAnsi="宋体" w:eastAsia="宋体" w:cs="Arial"/>
          <w:color w:val="000000"/>
          <w:kern w:val="0"/>
          <w:sz w:val="24"/>
          <w:szCs w:val="24"/>
        </w:rPr>
        <w:t>的项目的招标文件，遵照招标投标法律法规的规定，经考察现场和充分研究贵方的招标文件的全部内容后，我方郑重承诺如下：</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我方投标</w:t>
      </w:r>
      <w:r>
        <w:rPr>
          <w:rFonts w:hint="eastAsia" w:ascii="宋体" w:hAnsi="宋体" w:eastAsia="宋体" w:cs="Arial"/>
          <w:color w:val="000000"/>
          <w:kern w:val="0"/>
          <w:sz w:val="24"/>
          <w:szCs w:val="24"/>
          <w:lang w:eastAsia="zh-CN"/>
        </w:rPr>
        <w:t>单价合计</w:t>
      </w:r>
      <w:r>
        <w:rPr>
          <w:rFonts w:hint="eastAsia" w:ascii="宋体" w:hAnsi="宋体" w:eastAsia="宋体" w:cs="Arial"/>
          <w:color w:val="000000"/>
          <w:kern w:val="0"/>
          <w:sz w:val="24"/>
          <w:szCs w:val="24"/>
        </w:rPr>
        <w:t>为人民币</w:t>
      </w:r>
      <w:r>
        <w:rPr>
          <w:rFonts w:hint="eastAsia" w:ascii="宋体" w:hAnsi="宋体" w:eastAsia="宋体"/>
          <w:snapToGrid w:val="0"/>
          <w:kern w:val="0"/>
          <w:sz w:val="24"/>
          <w:szCs w:val="24"/>
          <w:u w:val="single"/>
        </w:rPr>
        <w:t>大写：         元（小写：      元）</w:t>
      </w:r>
      <w:r>
        <w:rPr>
          <w:rFonts w:hint="eastAsia" w:ascii="宋体" w:hAnsi="宋体" w:eastAsia="宋体" w:cs="Arial"/>
          <w:color w:val="000000"/>
          <w:kern w:val="0"/>
          <w:sz w:val="24"/>
          <w:szCs w:val="24"/>
        </w:rPr>
        <w:t>，供货周期为自合同签订之日起</w:t>
      </w:r>
      <w:r>
        <w:rPr>
          <w:rFonts w:hint="eastAsia" w:ascii="宋体" w:hAnsi="宋体" w:eastAsia="宋体" w:cs="Arial"/>
          <w:color w:val="000000"/>
          <w:kern w:val="0"/>
          <w:sz w:val="24"/>
          <w:szCs w:val="24"/>
          <w:u w:val="single"/>
        </w:rPr>
        <w:t xml:space="preserve">    </w:t>
      </w:r>
      <w:r>
        <w:rPr>
          <w:rFonts w:hint="eastAsia" w:ascii="宋体" w:hAnsi="宋体" w:eastAsia="宋体" w:cs="Arial"/>
          <w:color w:val="000000"/>
          <w:kern w:val="0"/>
          <w:sz w:val="24"/>
          <w:szCs w:val="24"/>
        </w:rPr>
        <w:t>日历日内。</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2.</w:t>
      </w:r>
      <w:r>
        <w:rPr>
          <w:rFonts w:hint="eastAsia" w:ascii="宋体" w:hAnsi="宋体" w:eastAsia="宋体" w:cs="Arial"/>
          <w:color w:val="000000"/>
          <w:kern w:val="0"/>
          <w:sz w:val="24"/>
          <w:szCs w:val="24"/>
        </w:rPr>
        <w:t>如果我方中标，我方将按规定履行合同责任义务。保证在合同约定的供货周期内供货，并确保我方提供货物的品种、规格、质量和数量以及相关服务满足招标文件的要求。</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3.</w:t>
      </w:r>
      <w:r>
        <w:rPr>
          <w:rFonts w:hint="eastAsia" w:ascii="宋体" w:hAnsi="宋体" w:eastAsia="宋体" w:cs="Arial"/>
          <w:color w:val="000000"/>
          <w:kern w:val="0"/>
          <w:sz w:val="24"/>
          <w:szCs w:val="24"/>
        </w:rPr>
        <w:t>质保期：本项目货物质保期为</w:t>
      </w:r>
      <w:r>
        <w:rPr>
          <w:rFonts w:hint="eastAsia" w:ascii="宋体" w:hAnsi="宋体" w:eastAsia="宋体" w:cs="Arial"/>
          <w:color w:val="000000"/>
          <w:kern w:val="0"/>
          <w:sz w:val="24"/>
          <w:szCs w:val="24"/>
          <w:u w:val="single"/>
        </w:rPr>
        <w:t xml:space="preserve">    </w:t>
      </w:r>
      <w:r>
        <w:rPr>
          <w:rFonts w:hint="eastAsia" w:ascii="宋体" w:hAnsi="宋体" w:eastAsia="宋体" w:cs="Arial"/>
          <w:color w:val="000000"/>
          <w:kern w:val="0"/>
          <w:sz w:val="24"/>
          <w:szCs w:val="24"/>
        </w:rPr>
        <w:t>年，自甲方及相关部门总体验收合格之日起计算。如果由于我方责任致使不能验收，此质保期相应顺延。</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4.</w:t>
      </w:r>
      <w:r>
        <w:rPr>
          <w:rFonts w:hint="eastAsia" w:ascii="宋体" w:hAnsi="宋体" w:eastAsia="宋体" w:cs="Arial"/>
          <w:color w:val="000000"/>
          <w:kern w:val="0"/>
          <w:sz w:val="24"/>
          <w:szCs w:val="24"/>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5.</w:t>
      </w:r>
      <w:r>
        <w:rPr>
          <w:rFonts w:hint="eastAsia" w:ascii="宋体" w:hAnsi="宋体" w:eastAsia="宋体" w:cs="Arial"/>
          <w:color w:val="000000"/>
          <w:kern w:val="0"/>
          <w:sz w:val="24"/>
          <w:szCs w:val="24"/>
        </w:rPr>
        <w:t>我方已详细审查全部招标文件并完全理解并同意放弃对这方面有不明及误解的权力。</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6.</w:t>
      </w:r>
      <w:r>
        <w:rPr>
          <w:rFonts w:hint="eastAsia" w:ascii="宋体" w:hAnsi="宋体" w:eastAsia="宋体" w:cs="Arial"/>
          <w:color w:val="000000"/>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7.</w:t>
      </w:r>
      <w:r>
        <w:rPr>
          <w:rFonts w:hint="eastAsia" w:ascii="宋体" w:hAnsi="宋体" w:eastAsia="宋体" w:cs="Arial"/>
          <w:color w:val="000000"/>
          <w:kern w:val="0"/>
          <w:sz w:val="24"/>
          <w:szCs w:val="24"/>
        </w:rPr>
        <w:t>我方派法定代表人或其授权委托人作为我方代表，负责按时参加开标会并签署与投标有关的相关文件等。</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投标人：（盖章）</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法定代表人：（盖章）</w:t>
      </w:r>
    </w:p>
    <w:p>
      <w:pPr>
        <w:widowControl/>
        <w:shd w:val="clear" w:color="auto" w:fill="FFFFFF"/>
        <w:wordWrap w:val="0"/>
        <w:snapToGrid w:val="0"/>
        <w:spacing w:line="384" w:lineRule="auto"/>
        <w:ind w:firstLine="420"/>
        <w:jc w:val="right"/>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w:t>
      </w:r>
      <w:r>
        <w:rPr>
          <w:rFonts w:hint="eastAsia" w:ascii="宋体" w:hAnsi="宋体" w:eastAsia="宋体" w:cs="Arial"/>
          <w:color w:val="000000"/>
          <w:kern w:val="0"/>
          <w:sz w:val="24"/>
          <w:szCs w:val="24"/>
          <w:lang w:val="en-US" w:eastAsia="zh-CN"/>
        </w:rPr>
        <w:t xml:space="preserve"> </w:t>
      </w:r>
      <w:r>
        <w:rPr>
          <w:rFonts w:hint="eastAsia" w:ascii="宋体" w:hAnsi="宋体" w:eastAsia="宋体" w:cs="Arial"/>
          <w:color w:val="000000"/>
          <w:kern w:val="0"/>
          <w:sz w:val="24"/>
          <w:szCs w:val="24"/>
        </w:rPr>
        <w:t>月</w:t>
      </w:r>
      <w:r>
        <w:rPr>
          <w:rFonts w:hint="eastAsia" w:ascii="宋体" w:hAnsi="宋体" w:eastAsia="宋体" w:cs="Arial"/>
          <w:color w:val="000000"/>
          <w:kern w:val="0"/>
          <w:sz w:val="24"/>
          <w:szCs w:val="24"/>
          <w:lang w:val="en-US" w:eastAsia="zh-CN"/>
        </w:rPr>
        <w:t xml:space="preserve"> </w:t>
      </w:r>
      <w:r>
        <w:rPr>
          <w:rFonts w:hint="eastAsia" w:ascii="宋体" w:hAnsi="宋体" w:eastAsia="宋体" w:cs="Arial"/>
          <w:color w:val="000000"/>
          <w:kern w:val="0"/>
          <w:sz w:val="24"/>
          <w:szCs w:val="24"/>
        </w:rPr>
        <w:t>日</w:t>
      </w:r>
    </w:p>
    <w:p>
      <w:pPr>
        <w:tabs>
          <w:tab w:val="center" w:pos="4832"/>
          <w:tab w:val="left" w:pos="7140"/>
        </w:tabs>
        <w:jc w:val="center"/>
        <w:outlineLvl w:val="1"/>
        <w:rPr>
          <w:rFonts w:ascii="宋体" w:hAnsi="宋体" w:eastAsia="宋体" w:cs="宋体"/>
          <w:b/>
          <w:sz w:val="24"/>
          <w:szCs w:val="24"/>
        </w:rPr>
      </w:pPr>
      <w:r>
        <w:rPr>
          <w:rFonts w:ascii="宋体" w:hAnsi="Calibri" w:eastAsia="宋体" w:cs="Arial"/>
          <w:color w:val="000000"/>
          <w:kern w:val="0"/>
          <w:sz w:val="24"/>
          <w:szCs w:val="24"/>
        </w:rPr>
        <w:br w:type="page"/>
      </w:r>
      <w:bookmarkStart w:id="68" w:name="_Toc488827476"/>
      <w:r>
        <w:rPr>
          <w:rFonts w:hint="eastAsia" w:ascii="宋体" w:hAnsi="宋体" w:eastAsia="宋体" w:cs="宋体"/>
          <w:b/>
          <w:sz w:val="24"/>
          <w:szCs w:val="24"/>
        </w:rPr>
        <w:t>投标报价明细表</w:t>
      </w:r>
      <w:bookmarkEnd w:id="68"/>
    </w:p>
    <w:p>
      <w:pPr>
        <w:tabs>
          <w:tab w:val="center" w:pos="4832"/>
          <w:tab w:val="left" w:pos="7140"/>
        </w:tabs>
        <w:jc w:val="center"/>
        <w:outlineLvl w:val="1"/>
        <w:rPr>
          <w:rFonts w:ascii="宋体" w:hAnsi="宋体" w:eastAsia="宋体" w:cs="宋体"/>
          <w:b/>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货币单位：人民币元</w:t>
      </w:r>
    </w:p>
    <w:p>
      <w:pPr>
        <w:spacing w:line="360" w:lineRule="auto"/>
        <w:jc w:val="left"/>
        <w:rPr>
          <w:rFonts w:ascii="宋体" w:hAnsi="Calibri" w:eastAsia="宋体" w:cs="Times New Roman"/>
          <w:sz w:val="24"/>
          <w:szCs w:val="24"/>
        </w:rPr>
      </w:pPr>
    </w:p>
    <w:tbl>
      <w:tblPr>
        <w:tblStyle w:val="2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24"/>
        <w:gridCol w:w="1325"/>
        <w:gridCol w:w="1325"/>
        <w:gridCol w:w="1325"/>
        <w:gridCol w:w="1325"/>
        <w:gridCol w:w="1326"/>
        <w:gridCol w:w="1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pct"/>
          </w:tcPr>
          <w:p>
            <w:pPr>
              <w:spacing w:line="360" w:lineRule="auto"/>
              <w:ind w:left="-76" w:leftChars="-36" w:right="-27" w:rightChars="-13"/>
              <w:jc w:val="center"/>
              <w:rPr>
                <w:rFonts w:ascii="宋体" w:hAnsi="Calibri" w:eastAsia="宋体" w:cs="宋体"/>
                <w:sz w:val="24"/>
                <w:szCs w:val="24"/>
              </w:rPr>
            </w:pPr>
            <w:r>
              <w:rPr>
                <w:rFonts w:hint="eastAsia" w:ascii="宋体" w:hAnsi="宋体" w:eastAsia="宋体" w:cs="宋体"/>
                <w:sz w:val="24"/>
                <w:szCs w:val="24"/>
              </w:rPr>
              <w:t>序号</w:t>
            </w:r>
          </w:p>
        </w:tc>
        <w:tc>
          <w:tcPr>
            <w:tcW w:w="714" w:type="pct"/>
          </w:tcPr>
          <w:p>
            <w:pPr>
              <w:spacing w:line="360" w:lineRule="auto"/>
              <w:ind w:left="-76" w:leftChars="-36" w:right="-27" w:rightChars="-13"/>
              <w:jc w:val="center"/>
              <w:rPr>
                <w:rFonts w:ascii="宋体" w:hAnsi="Calibri" w:eastAsia="宋体" w:cs="宋体"/>
                <w:sz w:val="24"/>
                <w:szCs w:val="24"/>
              </w:rPr>
            </w:pPr>
            <w:r>
              <w:rPr>
                <w:rFonts w:hint="eastAsia" w:ascii="宋体" w:hAnsi="宋体" w:eastAsia="宋体" w:cs="宋体"/>
                <w:sz w:val="24"/>
                <w:szCs w:val="24"/>
              </w:rPr>
              <w:t>货物名称</w:t>
            </w:r>
          </w:p>
        </w:tc>
        <w:tc>
          <w:tcPr>
            <w:tcW w:w="714" w:type="pct"/>
          </w:tcPr>
          <w:p>
            <w:pPr>
              <w:spacing w:line="360" w:lineRule="auto"/>
              <w:ind w:left="-76" w:leftChars="-36" w:right="-27" w:rightChars="-13"/>
              <w:jc w:val="center"/>
              <w:rPr>
                <w:rFonts w:ascii="宋体" w:hAnsi="Calibri" w:eastAsia="宋体" w:cs="宋体"/>
                <w:sz w:val="24"/>
                <w:szCs w:val="24"/>
              </w:rPr>
            </w:pPr>
            <w:r>
              <w:rPr>
                <w:rFonts w:hint="eastAsia" w:ascii="宋体" w:hAnsi="宋体" w:eastAsia="宋体" w:cs="宋体"/>
                <w:sz w:val="24"/>
                <w:szCs w:val="24"/>
              </w:rPr>
              <w:t>型号规格</w:t>
            </w:r>
          </w:p>
        </w:tc>
        <w:tc>
          <w:tcPr>
            <w:tcW w:w="714" w:type="pct"/>
          </w:tcPr>
          <w:p>
            <w:pPr>
              <w:spacing w:line="360" w:lineRule="auto"/>
              <w:ind w:left="-76" w:leftChars="-36" w:right="-27" w:rightChars="-13"/>
              <w:jc w:val="center"/>
              <w:rPr>
                <w:rFonts w:ascii="宋体" w:hAnsi="Calibri" w:eastAsia="宋体" w:cs="宋体"/>
                <w:sz w:val="24"/>
                <w:szCs w:val="24"/>
              </w:rPr>
            </w:pPr>
            <w:r>
              <w:rPr>
                <w:rFonts w:hint="eastAsia" w:ascii="宋体" w:hAnsi="宋体" w:eastAsia="宋体" w:cs="宋体"/>
                <w:sz w:val="24"/>
                <w:szCs w:val="24"/>
              </w:rPr>
              <w:t>数量</w:t>
            </w:r>
          </w:p>
        </w:tc>
        <w:tc>
          <w:tcPr>
            <w:tcW w:w="714" w:type="pct"/>
          </w:tcPr>
          <w:p>
            <w:pPr>
              <w:spacing w:line="360" w:lineRule="auto"/>
              <w:ind w:left="-76" w:leftChars="-36" w:right="-27" w:rightChars="-13"/>
              <w:jc w:val="center"/>
              <w:rPr>
                <w:rFonts w:ascii="宋体" w:hAnsi="Calibri" w:eastAsia="宋体" w:cs="宋体"/>
                <w:sz w:val="24"/>
                <w:szCs w:val="24"/>
              </w:rPr>
            </w:pPr>
            <w:r>
              <w:rPr>
                <w:rFonts w:hint="eastAsia" w:ascii="宋体" w:hAnsi="宋体" w:eastAsia="宋体" w:cs="宋体"/>
                <w:sz w:val="24"/>
                <w:szCs w:val="24"/>
              </w:rPr>
              <w:t>品牌</w:t>
            </w:r>
          </w:p>
        </w:tc>
        <w:tc>
          <w:tcPr>
            <w:tcW w:w="714" w:type="pct"/>
          </w:tcPr>
          <w:p>
            <w:pPr>
              <w:spacing w:line="360" w:lineRule="auto"/>
              <w:ind w:left="-76" w:leftChars="-36" w:right="-27" w:rightChars="-13"/>
              <w:jc w:val="center"/>
              <w:rPr>
                <w:rFonts w:hint="eastAsia" w:ascii="宋体" w:hAnsi="Calibri" w:eastAsia="宋体" w:cs="宋体"/>
                <w:sz w:val="24"/>
                <w:szCs w:val="24"/>
                <w:lang w:eastAsia="zh-CN"/>
              </w:rPr>
            </w:pPr>
            <w:r>
              <w:rPr>
                <w:rFonts w:hint="eastAsia" w:ascii="宋体" w:hAnsi="宋体" w:eastAsia="宋体" w:cs="宋体"/>
                <w:sz w:val="24"/>
                <w:szCs w:val="24"/>
                <w:lang w:eastAsia="zh-CN"/>
              </w:rPr>
              <w:t>单价</w:t>
            </w:r>
          </w:p>
        </w:tc>
        <w:tc>
          <w:tcPr>
            <w:tcW w:w="714" w:type="pct"/>
          </w:tcPr>
          <w:p>
            <w:pPr>
              <w:spacing w:line="360" w:lineRule="auto"/>
              <w:ind w:left="-76" w:leftChars="-36" w:right="-27" w:rightChars="-13"/>
              <w:jc w:val="center"/>
              <w:rPr>
                <w:rFonts w:hint="eastAsia" w:ascii="宋体" w:hAnsi="Calibri" w:eastAsia="宋体" w:cs="宋体"/>
                <w:sz w:val="24"/>
                <w:szCs w:val="24"/>
                <w:lang w:eastAsia="zh-CN"/>
              </w:rPr>
            </w:pPr>
            <w:r>
              <w:rPr>
                <w:rFonts w:hint="eastAsia" w:ascii="宋体" w:hAnsi="宋体" w:eastAsia="宋体" w:cs="宋体"/>
                <w:sz w:val="24"/>
                <w:szCs w:val="24"/>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pct"/>
          </w:tcPr>
          <w:p>
            <w:pPr>
              <w:spacing w:line="360" w:lineRule="auto"/>
              <w:jc w:val="center"/>
              <w:rPr>
                <w:rFonts w:ascii="宋体" w:hAnsi="宋体" w:eastAsia="宋体" w:cs="宋体"/>
                <w:sz w:val="24"/>
                <w:szCs w:val="24"/>
              </w:rPr>
            </w:pPr>
            <w:r>
              <w:rPr>
                <w:rFonts w:ascii="宋体" w:hAnsi="宋体" w:eastAsia="宋体" w:cs="宋体"/>
                <w:sz w:val="24"/>
                <w:szCs w:val="24"/>
              </w:rPr>
              <w:t>1</w:t>
            </w: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pct"/>
          </w:tcPr>
          <w:p>
            <w:pPr>
              <w:spacing w:line="360" w:lineRule="auto"/>
              <w:jc w:val="center"/>
              <w:rPr>
                <w:rFonts w:ascii="宋体" w:hAnsi="宋体" w:eastAsia="宋体" w:cs="宋体"/>
                <w:sz w:val="24"/>
                <w:szCs w:val="24"/>
              </w:rPr>
            </w:pPr>
            <w:r>
              <w:rPr>
                <w:rFonts w:ascii="宋体" w:hAnsi="宋体" w:eastAsia="宋体" w:cs="宋体"/>
                <w:sz w:val="24"/>
                <w:szCs w:val="24"/>
              </w:rPr>
              <w:t>2</w:t>
            </w: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pct"/>
          </w:tcPr>
          <w:p>
            <w:pPr>
              <w:spacing w:line="360" w:lineRule="auto"/>
              <w:jc w:val="center"/>
              <w:rPr>
                <w:rFonts w:ascii="宋体" w:hAnsi="宋体" w:eastAsia="宋体" w:cs="宋体"/>
                <w:sz w:val="24"/>
                <w:szCs w:val="24"/>
              </w:rPr>
            </w:pPr>
            <w:r>
              <w:rPr>
                <w:rFonts w:ascii="宋体" w:hAnsi="宋体" w:eastAsia="宋体" w:cs="宋体"/>
                <w:sz w:val="24"/>
                <w:szCs w:val="24"/>
              </w:rPr>
              <w:t>3</w:t>
            </w: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pct"/>
          </w:tcPr>
          <w:p>
            <w:pPr>
              <w:spacing w:line="360" w:lineRule="auto"/>
              <w:jc w:val="center"/>
              <w:rPr>
                <w:rFonts w:ascii="宋体" w:hAnsi="宋体" w:eastAsia="宋体" w:cs="宋体"/>
                <w:sz w:val="24"/>
                <w:szCs w:val="24"/>
              </w:rPr>
            </w:pPr>
            <w:r>
              <w:rPr>
                <w:rFonts w:ascii="宋体" w:hAnsi="宋体" w:eastAsia="宋体" w:cs="宋体"/>
                <w:sz w:val="24"/>
                <w:szCs w:val="24"/>
              </w:rPr>
              <w:t>4</w:t>
            </w: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pct"/>
          </w:tcPr>
          <w:p>
            <w:pPr>
              <w:spacing w:line="360" w:lineRule="auto"/>
              <w:jc w:val="center"/>
              <w:rPr>
                <w:rFonts w:ascii="宋体" w:hAnsi="宋体" w:eastAsia="宋体" w:cs="宋体"/>
                <w:sz w:val="24"/>
                <w:szCs w:val="24"/>
              </w:rPr>
            </w:pPr>
            <w:r>
              <w:rPr>
                <w:rFonts w:ascii="宋体" w:hAnsi="宋体" w:eastAsia="宋体" w:cs="宋体"/>
                <w:sz w:val="24"/>
                <w:szCs w:val="24"/>
              </w:rPr>
              <w:t>5</w:t>
            </w: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c>
          <w:tcPr>
            <w:tcW w:w="714" w:type="pct"/>
          </w:tcPr>
          <w:p>
            <w:pPr>
              <w:spacing w:line="360" w:lineRule="auto"/>
              <w:rPr>
                <w:rFonts w:ascii="宋体" w:hAnsi="Calibri"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7"/>
          </w:tcPr>
          <w:p>
            <w:pPr>
              <w:spacing w:line="360" w:lineRule="auto"/>
              <w:jc w:val="left"/>
              <w:rPr>
                <w:rFonts w:hint="eastAsia" w:ascii="宋体" w:hAnsi="Calibri" w:eastAsia="宋体" w:cs="宋体"/>
                <w:sz w:val="24"/>
                <w:szCs w:val="24"/>
                <w:lang w:eastAsia="zh-CN"/>
              </w:rPr>
            </w:pPr>
            <w:r>
              <w:rPr>
                <w:rFonts w:hint="eastAsia" w:ascii="宋体" w:hAnsi="宋体" w:eastAsia="宋体" w:cs="宋体"/>
                <w:sz w:val="24"/>
                <w:szCs w:val="24"/>
                <w:lang w:eastAsia="zh-CN"/>
              </w:rPr>
              <w:t>单价</w:t>
            </w:r>
            <w:r>
              <w:rPr>
                <w:rFonts w:hint="eastAsia" w:ascii="宋体" w:hAnsi="宋体" w:eastAsia="宋体" w:cs="宋体"/>
                <w:sz w:val="24"/>
                <w:szCs w:val="24"/>
              </w:rPr>
              <w:t>合计</w:t>
            </w:r>
            <w:r>
              <w:rPr>
                <w:rFonts w:hint="eastAsia" w:ascii="宋体" w:hAnsi="宋体" w:eastAsia="宋体" w:cs="宋体"/>
                <w:sz w:val="24"/>
                <w:szCs w:val="24"/>
                <w:lang w:eastAsia="zh-CN"/>
              </w:rPr>
              <w:t>：</w:t>
            </w:r>
          </w:p>
        </w:tc>
      </w:tr>
    </w:tbl>
    <w:p>
      <w:pPr>
        <w:spacing w:line="360" w:lineRule="auto"/>
        <w:jc w:val="left"/>
        <w:rPr>
          <w:rFonts w:ascii="宋体" w:hAnsi="Calibri" w:eastAsia="宋体" w:cs="Times New Roman"/>
          <w:color w:val="000000"/>
          <w:sz w:val="24"/>
          <w:szCs w:val="24"/>
        </w:rPr>
      </w:pPr>
      <w:r>
        <w:rPr>
          <w:rFonts w:hint="eastAsia" w:ascii="宋体" w:hAnsi="宋体" w:eastAsia="宋体" w:cs="Times New Roman"/>
          <w:color w:val="000000"/>
          <w:sz w:val="24"/>
          <w:szCs w:val="24"/>
        </w:rPr>
        <w:t>备注：</w:t>
      </w:r>
    </w:p>
    <w:p>
      <w:pPr>
        <w:spacing w:line="360" w:lineRule="auto"/>
        <w:jc w:val="left"/>
        <w:rPr>
          <w:rFonts w:ascii="宋体" w:hAnsi="Calibri"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、货物名称和数量应按照第四章“技术标准和要求”内容填写。</w:t>
      </w:r>
    </w:p>
    <w:p>
      <w:pPr>
        <w:spacing w:line="360" w:lineRule="auto"/>
        <w:jc w:val="left"/>
        <w:rPr>
          <w:rFonts w:ascii="宋体" w:hAnsi="Calibri" w:eastAsia="宋体" w:cs="Times New Roman"/>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、投标人填报价格合计应与投标函载明价格一致，若不一致，应按照第二章评标办法修正原则进行修正。</w:t>
      </w:r>
    </w:p>
    <w:p>
      <w:pPr>
        <w:spacing w:line="360" w:lineRule="auto"/>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3、单价系指按照招标文件规定技术要求运至招标人指定地点落地价格，包括设备（产品）价格，验收合格前所产生的其他费用等。</w:t>
      </w:r>
    </w:p>
    <w:p>
      <w:pPr>
        <w:spacing w:line="360" w:lineRule="auto"/>
        <w:jc w:val="left"/>
        <w:rPr>
          <w:rFonts w:ascii="宋体" w:hAnsi="Calibri" w:eastAsia="宋体" w:cs="Times New Roman"/>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投标人：（盖章）</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法定代表人：（盖章）</w:t>
      </w:r>
    </w:p>
    <w:p>
      <w:pPr>
        <w:widowControl/>
        <w:shd w:val="clear" w:color="auto" w:fill="FFFFFF"/>
        <w:wordWrap w:val="0"/>
        <w:snapToGrid w:val="0"/>
        <w:spacing w:line="384" w:lineRule="auto"/>
        <w:ind w:firstLine="420"/>
        <w:jc w:val="right"/>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w:t>
      </w:r>
      <w:r>
        <w:rPr>
          <w:rFonts w:hint="eastAsia" w:ascii="宋体" w:hAnsi="宋体" w:eastAsia="宋体" w:cs="Arial"/>
          <w:color w:val="000000"/>
          <w:kern w:val="0"/>
          <w:sz w:val="24"/>
          <w:szCs w:val="24"/>
          <w:lang w:val="en-US" w:eastAsia="zh-CN"/>
        </w:rPr>
        <w:t xml:space="preserve"> </w:t>
      </w:r>
      <w:r>
        <w:rPr>
          <w:rFonts w:hint="eastAsia" w:ascii="宋体" w:hAnsi="宋体" w:eastAsia="宋体" w:cs="Arial"/>
          <w:color w:val="000000"/>
          <w:kern w:val="0"/>
          <w:sz w:val="24"/>
          <w:szCs w:val="24"/>
        </w:rPr>
        <w:t>月</w:t>
      </w:r>
      <w:r>
        <w:rPr>
          <w:rFonts w:hint="eastAsia" w:ascii="宋体" w:hAnsi="宋体" w:eastAsia="宋体" w:cs="Arial"/>
          <w:color w:val="000000"/>
          <w:kern w:val="0"/>
          <w:sz w:val="24"/>
          <w:szCs w:val="24"/>
          <w:lang w:val="en-US" w:eastAsia="zh-CN"/>
        </w:rPr>
        <w:t xml:space="preserve"> </w:t>
      </w:r>
      <w:r>
        <w:rPr>
          <w:rFonts w:hint="eastAsia" w:ascii="宋体" w:hAnsi="宋体" w:eastAsia="宋体" w:cs="Arial"/>
          <w:color w:val="000000"/>
          <w:kern w:val="0"/>
          <w:sz w:val="24"/>
          <w:szCs w:val="24"/>
        </w:rPr>
        <w:t>日</w:t>
      </w:r>
    </w:p>
    <w:p>
      <w:pPr>
        <w:adjustRightInd w:val="0"/>
        <w:snapToGrid w:val="0"/>
        <w:spacing w:line="360" w:lineRule="auto"/>
        <w:jc w:val="center"/>
        <w:rPr>
          <w:rFonts w:ascii="宋体" w:hAnsi="宋体" w:eastAsia="宋体"/>
          <w:b/>
          <w:bCs/>
          <w:snapToGrid w:val="0"/>
          <w:kern w:val="0"/>
          <w:sz w:val="24"/>
          <w:szCs w:val="24"/>
        </w:rPr>
      </w:pPr>
      <w:r>
        <w:rPr>
          <w:rFonts w:ascii="宋体" w:hAnsi="Calibri" w:eastAsia="宋体" w:cs="Arial"/>
          <w:b/>
          <w:bCs/>
          <w:color w:val="020000"/>
          <w:kern w:val="36"/>
          <w:sz w:val="24"/>
          <w:szCs w:val="24"/>
        </w:rPr>
        <w:br w:type="page"/>
      </w:r>
      <w:bookmarkStart w:id="69" w:name="_Toc488827477"/>
      <w:r>
        <w:rPr>
          <w:rFonts w:hint="eastAsia" w:ascii="宋体" w:hAnsi="宋体" w:eastAsia="宋体"/>
          <w:b/>
          <w:bCs/>
          <w:snapToGrid w:val="0"/>
          <w:kern w:val="0"/>
          <w:sz w:val="24"/>
          <w:szCs w:val="24"/>
        </w:rPr>
        <w:t>法定代表人身份证明书</w:t>
      </w:r>
    </w:p>
    <w:p>
      <w:pPr>
        <w:adjustRightInd w:val="0"/>
        <w:snapToGrid w:val="0"/>
        <w:spacing w:line="360" w:lineRule="auto"/>
        <w:jc w:val="center"/>
        <w:rPr>
          <w:rFonts w:ascii="宋体" w:hAnsi="宋体" w:eastAsia="宋体"/>
          <w:b/>
          <w:bCs/>
          <w:snapToGrid w:val="0"/>
          <w:kern w:val="0"/>
          <w:sz w:val="24"/>
          <w:szCs w:val="24"/>
        </w:rPr>
      </w:pPr>
    </w:p>
    <w:p>
      <w:pPr>
        <w:spacing w:line="360" w:lineRule="auto"/>
        <w:jc w:val="center"/>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单位名称：</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企业类型：</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地    址：</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营业期限：</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成立时间：</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u w:val="single"/>
        </w:rPr>
      </w:pPr>
      <w:r>
        <w:rPr>
          <w:rFonts w:hint="eastAsia" w:ascii="宋体" w:hAnsi="宋体" w:eastAsia="宋体"/>
          <w:snapToGrid w:val="0"/>
          <w:kern w:val="0"/>
          <w:sz w:val="24"/>
          <w:szCs w:val="24"/>
        </w:rPr>
        <w:t>姓名：</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性别</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年龄：</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职务：</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系</w:t>
      </w:r>
      <w:r>
        <w:rPr>
          <w:rFonts w:hint="eastAsia" w:ascii="宋体" w:hAnsi="宋体" w:eastAsia="宋体"/>
          <w:snapToGrid w:val="0"/>
          <w:kern w:val="0"/>
          <w:sz w:val="24"/>
          <w:szCs w:val="24"/>
          <w:u w:val="single"/>
        </w:rPr>
        <w:t xml:space="preserve">       （投标人名称）        </w:t>
      </w:r>
      <w:r>
        <w:rPr>
          <w:rFonts w:hint="eastAsia" w:ascii="宋体" w:hAnsi="宋体" w:eastAsia="宋体"/>
          <w:snapToGrid w:val="0"/>
          <w:kern w:val="0"/>
          <w:sz w:val="24"/>
          <w:szCs w:val="24"/>
        </w:rPr>
        <w:t>的法定代表人。</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特此证明。</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pStyle w:val="10"/>
        <w:snapToGrid w:val="0"/>
        <w:ind w:firstLine="3840" w:firstLineChars="1600"/>
        <w:jc w:val="right"/>
        <w:rPr>
          <w:rFonts w:hAnsi="宋体"/>
          <w:snapToGrid w:val="0"/>
        </w:rPr>
      </w:pPr>
      <w:r>
        <w:rPr>
          <w:rFonts w:hint="eastAsia" w:hAnsi="宋体"/>
          <w:snapToGrid w:val="0"/>
        </w:rPr>
        <w:t>投标单位（公章）：</w:t>
      </w:r>
    </w:p>
    <w:p>
      <w:pPr>
        <w:adjustRightInd w:val="0"/>
        <w:snapToGrid w:val="0"/>
        <w:spacing w:line="360" w:lineRule="auto"/>
        <w:ind w:firstLine="4560" w:firstLineChars="1900"/>
        <w:jc w:val="right"/>
        <w:rPr>
          <w:rFonts w:ascii="宋体" w:hAnsi="宋体" w:eastAsia="宋体"/>
          <w:snapToGrid w:val="0"/>
          <w:kern w:val="0"/>
          <w:sz w:val="24"/>
          <w:szCs w:val="24"/>
        </w:rPr>
      </w:pPr>
      <w:r>
        <w:rPr>
          <w:rFonts w:hint="eastAsia" w:ascii="宋体" w:hAnsi="宋体" w:eastAsia="宋体"/>
          <w:snapToGrid w:val="0"/>
          <w:kern w:val="0"/>
          <w:sz w:val="24"/>
          <w:szCs w:val="24"/>
        </w:rPr>
        <w:t>年    月    日</w:t>
      </w:r>
    </w:p>
    <w:p>
      <w:pPr>
        <w:spacing w:line="360" w:lineRule="auto"/>
        <w:jc w:val="right"/>
        <w:rPr>
          <w:rFonts w:ascii="宋体" w:hAnsi="宋体" w:eastAsia="宋体"/>
          <w:snapToGrid w:val="0"/>
          <w:kern w:val="0"/>
          <w:szCs w:val="21"/>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adjustRightInd w:val="0"/>
        <w:snapToGrid w:val="0"/>
        <w:spacing w:line="360" w:lineRule="auto"/>
        <w:jc w:val="center"/>
        <w:rPr>
          <w:rFonts w:ascii="宋体" w:hAnsi="宋体" w:eastAsia="宋体"/>
          <w:b/>
          <w:bCs/>
          <w:snapToGrid w:val="0"/>
          <w:kern w:val="0"/>
          <w:szCs w:val="21"/>
        </w:rPr>
      </w:pPr>
    </w:p>
    <w:p>
      <w:pPr>
        <w:adjustRightInd w:val="0"/>
        <w:snapToGrid w:val="0"/>
        <w:spacing w:line="360" w:lineRule="auto"/>
        <w:jc w:val="center"/>
        <w:rPr>
          <w:rFonts w:ascii="宋体" w:hAnsi="宋体" w:eastAsia="宋体"/>
          <w:b/>
          <w:bCs/>
          <w:snapToGrid w:val="0"/>
          <w:kern w:val="0"/>
          <w:sz w:val="24"/>
          <w:szCs w:val="24"/>
        </w:rPr>
      </w:pPr>
      <w:r>
        <w:rPr>
          <w:rFonts w:hint="eastAsia" w:ascii="宋体" w:hAnsi="宋体" w:eastAsia="宋体"/>
          <w:b/>
          <w:bCs/>
          <w:snapToGrid w:val="0"/>
          <w:kern w:val="0"/>
          <w:sz w:val="24"/>
          <w:szCs w:val="24"/>
        </w:rPr>
        <w:t>法定代表人授权委托书</w:t>
      </w:r>
    </w:p>
    <w:p>
      <w:pPr>
        <w:spacing w:line="360" w:lineRule="auto"/>
        <w:rPr>
          <w:rFonts w:ascii="宋体" w:hAnsi="宋体" w:eastAsia="宋体"/>
          <w:snapToGrid w:val="0"/>
          <w:kern w:val="0"/>
          <w:sz w:val="24"/>
          <w:szCs w:val="24"/>
        </w:rPr>
      </w:pPr>
    </w:p>
    <w:p>
      <w:pPr>
        <w:spacing w:line="360" w:lineRule="auto"/>
        <w:ind w:firstLine="629"/>
        <w:rPr>
          <w:rFonts w:ascii="宋体" w:hAnsi="宋体" w:eastAsia="宋体"/>
          <w:snapToGrid w:val="0"/>
          <w:kern w:val="0"/>
          <w:sz w:val="24"/>
          <w:szCs w:val="24"/>
        </w:rPr>
      </w:pPr>
      <w:r>
        <w:rPr>
          <w:rFonts w:hint="eastAsia" w:ascii="宋体" w:hAnsi="宋体" w:eastAsia="宋体"/>
          <w:snapToGrid w:val="0"/>
          <w:kern w:val="0"/>
          <w:sz w:val="24"/>
          <w:szCs w:val="24"/>
        </w:rPr>
        <w:t>本授权委托书声明：我</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（姓名）系</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（投标人名称）的法定代表人，现授权委托</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（投标人名称）的</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（姓名）为我公司代理人，以本公司的名义参加</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（招标人）的</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招标项目的投标活动。代理人在参加整个项目招标投标活动、合同谈判过程中所签署的一切文件和处理与之有关的一切事物，我均予以承认。</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代理人：</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性别：</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年龄：</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单  位：</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部门：</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职务：</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w:t>
      </w:r>
    </w:p>
    <w:tbl>
      <w:tblPr>
        <w:tblStyle w:val="26"/>
        <w:tblpPr w:leftFromText="180" w:rightFromText="180" w:vertAnchor="text" w:horzAnchor="margin" w:tblpXSpec="center" w:tblpY="3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4387" w:type="dxa"/>
            <w:vAlign w:val="center"/>
          </w:tcPr>
          <w:p>
            <w:pPr>
              <w:spacing w:line="360" w:lineRule="auto"/>
              <w:jc w:val="center"/>
              <w:rPr>
                <w:rFonts w:ascii="宋体" w:hAnsi="宋体" w:eastAsia="宋体"/>
                <w:snapToGrid w:val="0"/>
                <w:kern w:val="0"/>
                <w:sz w:val="24"/>
                <w:szCs w:val="24"/>
              </w:rPr>
            </w:pPr>
            <w:r>
              <w:rPr>
                <w:rFonts w:hint="eastAsia" w:ascii="宋体" w:hAnsi="宋体" w:eastAsia="宋体"/>
                <w:snapToGrid w:val="0"/>
                <w:kern w:val="0"/>
                <w:sz w:val="24"/>
                <w:szCs w:val="24"/>
              </w:rPr>
              <w:t>身份证复印件</w:t>
            </w:r>
          </w:p>
        </w:tc>
      </w:tr>
    </w:tbl>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 xml:space="preserve">代理人无转委权。特此委托。   </w:t>
      </w:r>
    </w:p>
    <w:p>
      <w:pPr>
        <w:spacing w:line="360" w:lineRule="auto"/>
        <w:rPr>
          <w:rFonts w:ascii="宋体" w:hAnsi="宋体" w:eastAsia="宋体"/>
          <w:snapToGrid w:val="0"/>
          <w:kern w:val="0"/>
          <w:sz w:val="24"/>
          <w:szCs w:val="24"/>
        </w:rPr>
      </w:pPr>
    </w:p>
    <w:p>
      <w:pPr>
        <w:adjustRightInd w:val="0"/>
        <w:snapToGrid w:val="0"/>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投标单位（公章）：</w:t>
      </w:r>
    </w:p>
    <w:p>
      <w:pPr>
        <w:pStyle w:val="10"/>
        <w:snapToGrid w:val="0"/>
        <w:rPr>
          <w:rFonts w:hAnsi="宋体"/>
          <w:snapToGrid w:val="0"/>
        </w:rPr>
      </w:pPr>
    </w:p>
    <w:p>
      <w:pPr>
        <w:adjustRightInd w:val="0"/>
        <w:snapToGrid w:val="0"/>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法定代表人（盖章）：</w:t>
      </w:r>
    </w:p>
    <w:p>
      <w:pPr>
        <w:pStyle w:val="10"/>
        <w:snapToGrid w:val="0"/>
        <w:rPr>
          <w:rFonts w:hAnsi="宋体"/>
          <w:snapToGrid w:val="0"/>
        </w:rPr>
      </w:pPr>
    </w:p>
    <w:p>
      <w:pPr>
        <w:adjustRightInd w:val="0"/>
        <w:snapToGrid w:val="0"/>
        <w:spacing w:line="360" w:lineRule="auto"/>
        <w:ind w:firstLine="4560" w:firstLineChars="1900"/>
        <w:rPr>
          <w:rFonts w:ascii="宋体" w:hAnsi="宋体" w:eastAsia="宋体"/>
          <w:snapToGrid w:val="0"/>
          <w:kern w:val="0"/>
          <w:sz w:val="24"/>
          <w:szCs w:val="24"/>
        </w:rPr>
      </w:pPr>
      <w:r>
        <w:rPr>
          <w:rFonts w:hint="eastAsia" w:ascii="宋体" w:hAnsi="宋体" w:eastAsia="宋体"/>
          <w:snapToGrid w:val="0"/>
          <w:kern w:val="0"/>
          <w:sz w:val="24"/>
          <w:szCs w:val="24"/>
        </w:rPr>
        <w:t>年    月    日</w:t>
      </w: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r>
        <w:rPr>
          <w:rFonts w:hint="eastAsia" w:ascii="宋体" w:hAnsi="宋体" w:eastAsia="宋体" w:cs="宋体"/>
          <w:b/>
          <w:sz w:val="24"/>
          <w:szCs w:val="24"/>
        </w:rPr>
        <w:t>投标人概况</w:t>
      </w:r>
    </w:p>
    <w:p>
      <w:pPr>
        <w:tabs>
          <w:tab w:val="left" w:pos="1660"/>
          <w:tab w:val="left" w:pos="9453"/>
        </w:tabs>
        <w:spacing w:line="360" w:lineRule="auto"/>
        <w:jc w:val="left"/>
        <w:rPr>
          <w:rFonts w:ascii="宋体" w:hAnsi="宋体" w:eastAsia="宋体"/>
          <w:bCs/>
          <w:snapToGrid w:val="0"/>
          <w:kern w:val="0"/>
          <w:szCs w:val="21"/>
        </w:rPr>
      </w:pPr>
    </w:p>
    <w:p>
      <w:pPr>
        <w:tabs>
          <w:tab w:val="left" w:pos="1660"/>
          <w:tab w:val="left" w:pos="9453"/>
        </w:tabs>
        <w:spacing w:line="360" w:lineRule="auto"/>
        <w:jc w:val="left"/>
        <w:rPr>
          <w:rFonts w:ascii="宋体" w:hAnsi="宋体" w:eastAsia="宋体" w:cs="Times New Roman"/>
          <w:bCs/>
          <w:snapToGrid w:val="0"/>
          <w:kern w:val="0"/>
          <w:sz w:val="24"/>
          <w:szCs w:val="24"/>
        </w:rPr>
      </w:pPr>
      <w:r>
        <w:rPr>
          <w:rFonts w:ascii="宋体" w:hAnsi="宋体" w:eastAsia="宋体" w:cs="Times New Roman"/>
          <w:bCs/>
          <w:snapToGrid w:val="0"/>
          <w:kern w:val="0"/>
          <w:sz w:val="24"/>
          <w:szCs w:val="24"/>
        </w:rPr>
        <w:t>1</w:t>
      </w:r>
      <w:r>
        <w:rPr>
          <w:rFonts w:hint="eastAsia" w:ascii="宋体" w:hAnsi="宋体" w:eastAsia="宋体" w:cs="Times New Roman"/>
          <w:bCs/>
          <w:snapToGrid w:val="0"/>
          <w:kern w:val="0"/>
          <w:sz w:val="24"/>
          <w:szCs w:val="24"/>
        </w:rPr>
        <w:t>、投标人名称</w:t>
      </w:r>
      <w:r>
        <w:rPr>
          <w:rFonts w:ascii="宋体" w:hAnsi="宋体" w:eastAsia="宋体" w:cs="Times New Roman"/>
          <w:bCs/>
          <w:snapToGrid w:val="0"/>
          <w:kern w:val="0"/>
          <w:sz w:val="24"/>
          <w:szCs w:val="24"/>
        </w:rPr>
        <w:tab/>
      </w:r>
    </w:p>
    <w:p>
      <w:pPr>
        <w:tabs>
          <w:tab w:val="left" w:pos="1660"/>
          <w:tab w:val="left" w:pos="9453"/>
        </w:tabs>
        <w:spacing w:line="360" w:lineRule="auto"/>
        <w:jc w:val="left"/>
        <w:rPr>
          <w:rFonts w:ascii="宋体" w:hAnsi="宋体" w:eastAsia="宋体" w:cs="Times New Roman"/>
          <w:bCs/>
          <w:snapToGrid w:val="0"/>
          <w:kern w:val="0"/>
          <w:sz w:val="24"/>
          <w:szCs w:val="24"/>
        </w:rPr>
      </w:pPr>
      <w:r>
        <w:rPr>
          <w:rFonts w:ascii="宋体" w:hAnsi="宋体" w:eastAsia="宋体" w:cs="Times New Roman"/>
          <w:bCs/>
          <w:snapToGrid w:val="0"/>
          <w:kern w:val="0"/>
          <w:sz w:val="24"/>
          <w:szCs w:val="24"/>
        </w:rPr>
        <w:t>2</w:t>
      </w:r>
      <w:r>
        <w:rPr>
          <w:rFonts w:hint="eastAsia" w:ascii="宋体" w:hAnsi="宋体" w:eastAsia="宋体" w:cs="Times New Roman"/>
          <w:bCs/>
          <w:snapToGrid w:val="0"/>
          <w:kern w:val="0"/>
          <w:sz w:val="24"/>
          <w:szCs w:val="24"/>
        </w:rPr>
        <w:t>、投标人地址</w:t>
      </w:r>
    </w:p>
    <w:p>
      <w:pPr>
        <w:tabs>
          <w:tab w:val="left" w:pos="1660"/>
          <w:tab w:val="left" w:pos="9453"/>
        </w:tabs>
        <w:spacing w:line="360" w:lineRule="auto"/>
        <w:jc w:val="left"/>
        <w:rPr>
          <w:rFonts w:ascii="宋体" w:hAnsi="宋体" w:eastAsia="宋体" w:cs="Times New Roman"/>
          <w:bCs/>
          <w:snapToGrid w:val="0"/>
          <w:kern w:val="0"/>
          <w:sz w:val="24"/>
          <w:szCs w:val="24"/>
        </w:rPr>
      </w:pPr>
      <w:r>
        <w:rPr>
          <w:rFonts w:ascii="宋体" w:hAnsi="宋体" w:eastAsia="宋体" w:cs="Times New Roman"/>
          <w:bCs/>
          <w:snapToGrid w:val="0"/>
          <w:kern w:val="0"/>
          <w:sz w:val="24"/>
          <w:szCs w:val="24"/>
        </w:rPr>
        <w:t>3</w:t>
      </w:r>
      <w:r>
        <w:rPr>
          <w:rFonts w:hint="eastAsia" w:ascii="宋体" w:hAnsi="宋体" w:eastAsia="宋体" w:cs="Times New Roman"/>
          <w:bCs/>
          <w:snapToGrid w:val="0"/>
          <w:kern w:val="0"/>
          <w:sz w:val="24"/>
          <w:szCs w:val="24"/>
        </w:rPr>
        <w:t>、经营范围</w:t>
      </w:r>
      <w:r>
        <w:rPr>
          <w:rFonts w:ascii="宋体" w:hAnsi="宋体" w:eastAsia="宋体" w:cs="Times New Roman"/>
          <w:bCs/>
          <w:snapToGrid w:val="0"/>
          <w:kern w:val="0"/>
          <w:sz w:val="24"/>
          <w:szCs w:val="24"/>
        </w:rPr>
        <w:tab/>
      </w:r>
    </w:p>
    <w:p>
      <w:pPr>
        <w:tabs>
          <w:tab w:val="left" w:pos="1660"/>
          <w:tab w:val="left" w:pos="9453"/>
        </w:tabs>
        <w:spacing w:line="360" w:lineRule="auto"/>
        <w:jc w:val="left"/>
        <w:rPr>
          <w:rFonts w:ascii="宋体" w:hAnsi="宋体" w:eastAsia="宋体" w:cs="Times New Roman"/>
          <w:sz w:val="24"/>
          <w:szCs w:val="24"/>
        </w:rPr>
      </w:pPr>
      <w:r>
        <w:rPr>
          <w:rFonts w:ascii="宋体" w:hAnsi="宋体" w:eastAsia="宋体" w:cs="Times New Roman"/>
          <w:bCs/>
          <w:snapToGrid w:val="0"/>
          <w:kern w:val="0"/>
          <w:sz w:val="24"/>
          <w:szCs w:val="24"/>
        </w:rPr>
        <w:t>4</w:t>
      </w:r>
      <w:r>
        <w:rPr>
          <w:rFonts w:hint="eastAsia" w:ascii="宋体" w:hAnsi="宋体" w:eastAsia="宋体" w:cs="Times New Roman"/>
          <w:sz w:val="24"/>
          <w:szCs w:val="24"/>
        </w:rPr>
        <w:t>、营业场所</w:t>
      </w:r>
    </w:p>
    <w:p>
      <w:pPr>
        <w:tabs>
          <w:tab w:val="left" w:pos="1660"/>
          <w:tab w:val="left" w:pos="9453"/>
        </w:tabs>
        <w:spacing w:line="360" w:lineRule="auto"/>
        <w:jc w:val="left"/>
        <w:rPr>
          <w:rFonts w:ascii="宋体" w:hAnsi="宋体" w:eastAsia="宋体"/>
          <w:sz w:val="24"/>
          <w:szCs w:val="24"/>
        </w:rPr>
      </w:pPr>
      <w:r>
        <w:rPr>
          <w:rFonts w:ascii="宋体" w:hAnsi="宋体" w:eastAsia="宋体" w:cs="Times New Roman"/>
          <w:sz w:val="24"/>
          <w:szCs w:val="24"/>
        </w:rPr>
        <w:t>5</w:t>
      </w:r>
      <w:r>
        <w:rPr>
          <w:rFonts w:hint="eastAsia" w:ascii="宋体" w:hAnsi="宋体" w:eastAsia="宋体" w:cs="Times New Roman"/>
          <w:sz w:val="24"/>
          <w:szCs w:val="24"/>
        </w:rPr>
        <w:t>、投标人自我介绍：</w:t>
      </w:r>
    </w:p>
    <w:p>
      <w:pPr>
        <w:tabs>
          <w:tab w:val="left" w:pos="1660"/>
          <w:tab w:val="left" w:pos="9453"/>
        </w:tabs>
        <w:spacing w:line="360" w:lineRule="auto"/>
        <w:jc w:val="left"/>
        <w:rPr>
          <w:rFonts w:ascii="宋体" w:hAnsi="宋体" w:eastAsia="宋体"/>
          <w:sz w:val="24"/>
          <w:szCs w:val="24"/>
        </w:rPr>
      </w:pPr>
      <w:r>
        <w:rPr>
          <w:rFonts w:hint="eastAsia" w:ascii="宋体" w:hAnsi="宋体" w:eastAsia="宋体" w:cs="Times New Roman"/>
          <w:sz w:val="24"/>
          <w:szCs w:val="24"/>
        </w:rPr>
        <w:t>6、投标应</w:t>
      </w:r>
      <w:r>
        <w:rPr>
          <w:rFonts w:hint="eastAsia" w:ascii="宋体" w:hAnsi="宋体" w:eastAsia="宋体" w:cs="Times New Roman"/>
          <w:bCs/>
          <w:snapToGrid w:val="0"/>
          <w:kern w:val="0"/>
          <w:sz w:val="24"/>
          <w:szCs w:val="24"/>
        </w:rPr>
        <w:t>附企业法人营业执照副本复印件</w:t>
      </w: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bookmarkStart w:id="70" w:name="_Toc488827487"/>
      <w:r>
        <w:rPr>
          <w:rFonts w:hint="eastAsia" w:ascii="宋体" w:hAnsi="宋体" w:eastAsia="宋体" w:cs="宋体"/>
          <w:b/>
          <w:sz w:val="24"/>
          <w:szCs w:val="24"/>
        </w:rPr>
        <w:t>投标人自201</w:t>
      </w:r>
      <w:r>
        <w:rPr>
          <w:rFonts w:hint="eastAsia" w:ascii="宋体" w:hAnsi="宋体" w:eastAsia="宋体" w:cs="宋体"/>
          <w:b/>
          <w:sz w:val="24"/>
          <w:szCs w:val="24"/>
          <w:lang w:val="en-US" w:eastAsia="zh-CN"/>
        </w:rPr>
        <w:t>9</w:t>
      </w:r>
      <w:r>
        <w:rPr>
          <w:rFonts w:hint="eastAsia" w:ascii="宋体" w:hAnsi="宋体" w:eastAsia="宋体" w:cs="宋体"/>
          <w:b/>
          <w:sz w:val="24"/>
          <w:szCs w:val="24"/>
        </w:rPr>
        <w:t>年1月1日起至今完成的类似供货项目情况表</w:t>
      </w:r>
      <w:bookmarkEnd w:id="70"/>
    </w:p>
    <w:p>
      <w:pPr>
        <w:tabs>
          <w:tab w:val="center" w:pos="4832"/>
          <w:tab w:val="left" w:pos="7140"/>
        </w:tabs>
        <w:jc w:val="center"/>
        <w:outlineLvl w:val="1"/>
        <w:rPr>
          <w:rFonts w:ascii="宋体" w:hAnsi="Calibri" w:eastAsia="宋体" w:cs="宋体"/>
          <w:b/>
          <w:sz w:val="24"/>
          <w:szCs w:val="24"/>
        </w:rPr>
      </w:pPr>
    </w:p>
    <w:tbl>
      <w:tblPr>
        <w:tblStyle w:val="26"/>
        <w:tblW w:w="97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83"/>
        <w:gridCol w:w="2129"/>
        <w:gridCol w:w="2057"/>
        <w:gridCol w:w="1869"/>
        <w:gridCol w:w="20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货物项目名称</w:t>
            </w:r>
          </w:p>
        </w:tc>
        <w:tc>
          <w:tcPr>
            <w:tcW w:w="2129"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采购人名称</w:t>
            </w:r>
          </w:p>
        </w:tc>
        <w:tc>
          <w:tcPr>
            <w:tcW w:w="2057" w:type="dxa"/>
            <w:vAlign w:val="center"/>
          </w:tcPr>
          <w:p>
            <w:pPr>
              <w:jc w:val="center"/>
              <w:rPr>
                <w:rFonts w:ascii="宋体" w:hAnsi="Calibri" w:eastAsia="宋体" w:cs="Times New Roman"/>
                <w:sz w:val="24"/>
                <w:szCs w:val="24"/>
              </w:rPr>
            </w:pPr>
            <w:r>
              <w:rPr>
                <w:rFonts w:hint="eastAsia" w:ascii="宋体" w:hAnsi="Calibri" w:eastAsia="宋体" w:cs="Times New Roman"/>
                <w:sz w:val="24"/>
                <w:szCs w:val="24"/>
              </w:rPr>
              <w:t>项目金额</w:t>
            </w:r>
          </w:p>
        </w:tc>
        <w:tc>
          <w:tcPr>
            <w:tcW w:w="1869" w:type="dxa"/>
            <w:vAlign w:val="center"/>
          </w:tcPr>
          <w:p>
            <w:pPr>
              <w:jc w:val="center"/>
              <w:rPr>
                <w:rFonts w:ascii="宋体" w:hAnsi="Calibri" w:eastAsia="宋体" w:cs="Times New Roman"/>
                <w:sz w:val="24"/>
                <w:szCs w:val="24"/>
              </w:rPr>
            </w:pPr>
            <w:r>
              <w:rPr>
                <w:rFonts w:hint="eastAsia" w:ascii="宋体" w:hAnsi="Calibri" w:eastAsia="宋体" w:cs="Times New Roman"/>
                <w:sz w:val="24"/>
                <w:szCs w:val="24"/>
              </w:rPr>
              <w:t>联系人</w:t>
            </w:r>
          </w:p>
        </w:tc>
        <w:tc>
          <w:tcPr>
            <w:tcW w:w="2037" w:type="dxa"/>
            <w:vAlign w:val="center"/>
          </w:tcPr>
          <w:p>
            <w:pPr>
              <w:jc w:val="center"/>
              <w:rPr>
                <w:rFonts w:ascii="宋体" w:hAnsi="Calibri" w:eastAsia="宋体" w:cs="Times New Roman"/>
                <w:sz w:val="24"/>
                <w:szCs w:val="24"/>
              </w:rPr>
            </w:pPr>
            <w:r>
              <w:rPr>
                <w:rFonts w:hint="eastAsia" w:ascii="宋体" w:hAnsi="Calibri" w:eastAsia="宋体" w:cs="Times New Roman"/>
                <w:sz w:val="24"/>
                <w:szCs w:val="24"/>
              </w:rPr>
              <w:t>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1683" w:type="dxa"/>
            <w:vAlign w:val="center"/>
          </w:tcPr>
          <w:p>
            <w:pPr>
              <w:jc w:val="center"/>
              <w:rPr>
                <w:rFonts w:ascii="宋体" w:hAnsi="Calibri" w:eastAsia="宋体" w:cs="Times New Roman"/>
                <w:sz w:val="24"/>
                <w:szCs w:val="24"/>
              </w:rPr>
            </w:pPr>
          </w:p>
        </w:tc>
        <w:tc>
          <w:tcPr>
            <w:tcW w:w="2129" w:type="dxa"/>
            <w:vAlign w:val="center"/>
          </w:tcPr>
          <w:p>
            <w:pPr>
              <w:jc w:val="center"/>
              <w:rPr>
                <w:rFonts w:ascii="宋体" w:hAnsi="Calibri" w:eastAsia="宋体" w:cs="Times New Roman"/>
                <w:sz w:val="24"/>
                <w:szCs w:val="24"/>
              </w:rPr>
            </w:pPr>
          </w:p>
        </w:tc>
        <w:tc>
          <w:tcPr>
            <w:tcW w:w="2057" w:type="dxa"/>
            <w:vAlign w:val="center"/>
          </w:tcPr>
          <w:p>
            <w:pPr>
              <w:jc w:val="center"/>
              <w:rPr>
                <w:rFonts w:ascii="宋体" w:hAnsi="Calibri" w:eastAsia="宋体" w:cs="Times New Roman"/>
                <w:sz w:val="24"/>
                <w:szCs w:val="24"/>
              </w:rPr>
            </w:pPr>
          </w:p>
        </w:tc>
        <w:tc>
          <w:tcPr>
            <w:tcW w:w="1869" w:type="dxa"/>
            <w:vAlign w:val="center"/>
          </w:tcPr>
          <w:p>
            <w:pPr>
              <w:jc w:val="center"/>
              <w:rPr>
                <w:rFonts w:ascii="宋体" w:hAnsi="Calibri" w:eastAsia="宋体" w:cs="Times New Roman"/>
                <w:sz w:val="24"/>
                <w:szCs w:val="24"/>
              </w:rPr>
            </w:pPr>
          </w:p>
        </w:tc>
        <w:tc>
          <w:tcPr>
            <w:tcW w:w="2037" w:type="dxa"/>
            <w:vAlign w:val="center"/>
          </w:tcPr>
          <w:p>
            <w:pPr>
              <w:jc w:val="center"/>
              <w:rPr>
                <w:rFonts w:ascii="宋体" w:hAnsi="Calibri" w:eastAsia="宋体" w:cs="Times New Roman"/>
                <w:sz w:val="24"/>
                <w:szCs w:val="24"/>
              </w:rPr>
            </w:pPr>
          </w:p>
        </w:tc>
      </w:tr>
    </w:tbl>
    <w:p>
      <w:pPr>
        <w:jc w:val="left"/>
        <w:rPr>
          <w:rFonts w:ascii="宋体" w:hAnsi="Calibri" w:eastAsia="宋体" w:cs="Times New Roman"/>
          <w:sz w:val="24"/>
          <w:szCs w:val="24"/>
        </w:rPr>
      </w:pPr>
    </w:p>
    <w:p>
      <w:pPr>
        <w:spacing w:line="360" w:lineRule="auto"/>
        <w:jc w:val="left"/>
        <w:rPr>
          <w:rFonts w:ascii="宋体" w:hAnsi="Calibri" w:eastAsia="宋体" w:cs="Times New Roman"/>
          <w:sz w:val="24"/>
          <w:szCs w:val="24"/>
        </w:rPr>
      </w:pPr>
      <w:r>
        <w:rPr>
          <w:rFonts w:hint="eastAsia" w:ascii="宋体" w:hAnsi="宋体" w:eastAsia="宋体" w:cs="Times New Roman"/>
          <w:sz w:val="24"/>
          <w:szCs w:val="24"/>
        </w:rPr>
        <w:t>备注：</w:t>
      </w:r>
    </w:p>
    <w:p>
      <w:pPr>
        <w:spacing w:line="360" w:lineRule="auto"/>
        <w:jc w:val="left"/>
        <w:rPr>
          <w:rFonts w:ascii="宋体" w:hAnsi="Calibri" w:eastAsia="宋体" w:cs="Times New Roman"/>
          <w:color w:val="000000"/>
          <w:sz w:val="24"/>
          <w:szCs w:val="24"/>
        </w:rPr>
      </w:pPr>
      <w:r>
        <w:rPr>
          <w:rFonts w:ascii="宋体" w:hAnsi="宋体" w:eastAsia="宋体" w:cs="Times New Roman"/>
          <w:sz w:val="24"/>
          <w:szCs w:val="24"/>
        </w:rPr>
        <w:t>1</w:t>
      </w:r>
      <w:r>
        <w:rPr>
          <w:rFonts w:hint="eastAsia" w:ascii="宋体" w:hAnsi="宋体" w:eastAsia="宋体" w:cs="Times New Roman"/>
          <w:sz w:val="24"/>
          <w:szCs w:val="24"/>
        </w:rPr>
        <w:t>、本表后须附类似业绩的证明资料</w:t>
      </w:r>
    </w:p>
    <w:p>
      <w:pPr>
        <w:spacing w:line="360" w:lineRule="auto"/>
        <w:rPr>
          <w:rFonts w:ascii="宋体" w:hAnsi="Calibri" w:eastAsia="宋体" w:cs="Times New Roman"/>
          <w:sz w:val="24"/>
          <w:szCs w:val="24"/>
        </w:rPr>
      </w:pPr>
    </w:p>
    <w:p>
      <w:pPr>
        <w:tabs>
          <w:tab w:val="center" w:pos="4832"/>
          <w:tab w:val="left" w:pos="7140"/>
        </w:tabs>
        <w:jc w:val="center"/>
        <w:outlineLvl w:val="1"/>
        <w:rPr>
          <w:rFonts w:ascii="宋体" w:hAnsi="宋体" w:eastAsia="宋体" w:cs="宋体"/>
          <w:b/>
          <w:sz w:val="24"/>
          <w:szCs w:val="24"/>
        </w:rPr>
      </w:pPr>
      <w:r>
        <w:rPr>
          <w:rFonts w:ascii="宋体" w:hAnsi="Calibri" w:eastAsia="宋体" w:cs="Times New Roman"/>
          <w:sz w:val="24"/>
          <w:szCs w:val="24"/>
        </w:rPr>
        <w:br w:type="page"/>
      </w:r>
    </w:p>
    <w:p>
      <w:pPr>
        <w:tabs>
          <w:tab w:val="center" w:pos="4832"/>
          <w:tab w:val="left" w:pos="7140"/>
        </w:tabs>
        <w:jc w:val="center"/>
        <w:outlineLvl w:val="1"/>
        <w:rPr>
          <w:rFonts w:ascii="宋体" w:hAnsi="宋体" w:eastAsia="宋体" w:cs="宋体"/>
          <w:b/>
          <w:sz w:val="24"/>
          <w:szCs w:val="24"/>
        </w:rPr>
      </w:pPr>
      <w:r>
        <w:rPr>
          <w:rFonts w:hint="eastAsia" w:ascii="宋体" w:hAnsi="宋体" w:eastAsia="宋体" w:cs="宋体"/>
          <w:b/>
          <w:sz w:val="24"/>
          <w:szCs w:val="24"/>
        </w:rPr>
        <w:t>技术条款偏离表</w:t>
      </w:r>
      <w:bookmarkEnd w:id="69"/>
    </w:p>
    <w:p>
      <w:pPr>
        <w:tabs>
          <w:tab w:val="center" w:pos="4832"/>
          <w:tab w:val="left" w:pos="7140"/>
        </w:tabs>
        <w:jc w:val="center"/>
        <w:outlineLvl w:val="1"/>
        <w:rPr>
          <w:rFonts w:ascii="宋体" w:hAnsi="宋体" w:eastAsia="宋体" w:cs="宋体"/>
          <w:b/>
          <w:sz w:val="24"/>
          <w:szCs w:val="24"/>
        </w:rPr>
      </w:pP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
        <w:gridCol w:w="132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序号</w:t>
            </w:r>
          </w:p>
        </w:tc>
        <w:tc>
          <w:tcPr>
            <w:tcW w:w="1327"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货物名称</w:t>
            </w:r>
          </w:p>
        </w:tc>
        <w:tc>
          <w:tcPr>
            <w:tcW w:w="13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招标文件条目号</w:t>
            </w:r>
          </w:p>
        </w:tc>
        <w:tc>
          <w:tcPr>
            <w:tcW w:w="13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招标文件要求规格</w:t>
            </w:r>
          </w:p>
        </w:tc>
        <w:tc>
          <w:tcPr>
            <w:tcW w:w="13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投标规格</w:t>
            </w:r>
          </w:p>
        </w:tc>
        <w:tc>
          <w:tcPr>
            <w:tcW w:w="1327"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偏离</w:t>
            </w:r>
          </w:p>
        </w:tc>
        <w:tc>
          <w:tcPr>
            <w:tcW w:w="1327"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6"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c>
          <w:tcPr>
            <w:tcW w:w="1327" w:type="dxa"/>
          </w:tcPr>
          <w:p>
            <w:pPr>
              <w:jc w:val="center"/>
              <w:rPr>
                <w:rFonts w:ascii="宋体" w:hAnsi="Calibri" w:eastAsia="宋体" w:cs="宋体"/>
                <w:b/>
                <w:bCs/>
                <w:sz w:val="24"/>
                <w:szCs w:val="24"/>
              </w:rPr>
            </w:pPr>
          </w:p>
        </w:tc>
      </w:tr>
    </w:tbl>
    <w:p>
      <w:pPr>
        <w:spacing w:line="360" w:lineRule="auto"/>
        <w:ind w:firstLine="475" w:firstLineChars="198"/>
        <w:jc w:val="left"/>
        <w:rPr>
          <w:rFonts w:ascii="宋体" w:hAnsi="Calibri" w:eastAsia="宋体" w:cs="Times New Roman"/>
          <w:color w:val="000000"/>
          <w:sz w:val="24"/>
          <w:szCs w:val="24"/>
        </w:rPr>
      </w:pPr>
      <w:r>
        <w:rPr>
          <w:rFonts w:hint="eastAsia" w:ascii="宋体" w:hAnsi="宋体" w:eastAsia="宋体" w:cs="Times New Roman"/>
          <w:color w:val="000000"/>
          <w:sz w:val="24"/>
          <w:szCs w:val="24"/>
        </w:rPr>
        <w:t>备注：投标人应根据其提供的货物和服务，对照招标文件第四章“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投标人：（盖章）</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法定代表人：（盖章）</w:t>
      </w:r>
    </w:p>
    <w:p>
      <w:pPr>
        <w:widowControl/>
        <w:shd w:val="clear" w:color="auto" w:fill="FFFFFF"/>
        <w:wordWrap w:val="0"/>
        <w:snapToGrid w:val="0"/>
        <w:spacing w:line="384" w:lineRule="auto"/>
        <w:ind w:firstLine="420"/>
        <w:jc w:val="right"/>
        <w:rPr>
          <w:rFonts w:ascii="宋体" w:hAnsi="Calibri" w:eastAsia="宋体" w:cs="Arial"/>
          <w:color w:val="000000"/>
          <w:kern w:val="0"/>
          <w:sz w:val="24"/>
          <w:szCs w:val="24"/>
        </w:rPr>
      </w:pPr>
      <w:r>
        <w:rPr>
          <w:rFonts w:hint="eastAsia" w:ascii="宋体" w:hAnsi="宋体" w:eastAsia="宋体" w:cs="Arial"/>
          <w:color w:val="000000"/>
          <w:kern w:val="0"/>
          <w:sz w:val="24"/>
          <w:szCs w:val="24"/>
        </w:rPr>
        <w:t>日期： 年  月  日</w:t>
      </w:r>
    </w:p>
    <w:p>
      <w:pPr>
        <w:tabs>
          <w:tab w:val="center" w:pos="4832"/>
          <w:tab w:val="left" w:pos="7140"/>
        </w:tabs>
        <w:jc w:val="center"/>
        <w:outlineLvl w:val="1"/>
        <w:rPr>
          <w:rFonts w:ascii="宋体" w:hAnsi="宋体" w:eastAsia="宋体" w:cs="宋体"/>
          <w:b/>
          <w:sz w:val="24"/>
          <w:szCs w:val="24"/>
        </w:rPr>
      </w:pPr>
      <w:r>
        <w:rPr>
          <w:rFonts w:ascii="宋体" w:hAnsi="Calibri" w:eastAsia="宋体" w:cs="Arial"/>
          <w:b/>
          <w:bCs/>
          <w:color w:val="020000"/>
          <w:kern w:val="36"/>
          <w:sz w:val="24"/>
          <w:szCs w:val="24"/>
        </w:rPr>
        <w:br w:type="page"/>
      </w:r>
      <w:bookmarkStart w:id="71" w:name="_Toc488827478"/>
      <w:r>
        <w:rPr>
          <w:rFonts w:hint="eastAsia" w:ascii="宋体" w:hAnsi="宋体" w:eastAsia="宋体" w:cs="宋体"/>
          <w:b/>
          <w:sz w:val="24"/>
          <w:szCs w:val="24"/>
        </w:rPr>
        <w:t>商务条款偏离表</w:t>
      </w:r>
      <w:bookmarkEnd w:id="71"/>
      <w:r>
        <w:rPr>
          <w:rFonts w:hint="eastAsia" w:ascii="宋体" w:hAnsi="宋体" w:eastAsia="宋体" w:cs="宋体"/>
          <w:b/>
          <w:sz w:val="24"/>
          <w:szCs w:val="24"/>
        </w:rPr>
        <w:t xml:space="preserve">  </w:t>
      </w:r>
    </w:p>
    <w:p>
      <w:pPr>
        <w:tabs>
          <w:tab w:val="center" w:pos="4832"/>
          <w:tab w:val="left" w:pos="7140"/>
        </w:tabs>
        <w:jc w:val="center"/>
        <w:outlineLvl w:val="1"/>
        <w:rPr>
          <w:rFonts w:ascii="宋体" w:hAnsi="宋体" w:eastAsia="宋体" w:cs="宋体"/>
          <w:b/>
          <w:sz w:val="24"/>
          <w:szCs w:val="24"/>
        </w:rPr>
      </w:pP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4"/>
        <w:gridCol w:w="2070"/>
        <w:gridCol w:w="2208"/>
        <w:gridCol w:w="2208"/>
        <w:gridCol w:w="1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817"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序号</w:t>
            </w:r>
          </w:p>
        </w:tc>
        <w:tc>
          <w:tcPr>
            <w:tcW w:w="2126"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招标文件条目号</w:t>
            </w:r>
          </w:p>
        </w:tc>
        <w:tc>
          <w:tcPr>
            <w:tcW w:w="2268"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招标文件的商务条款</w:t>
            </w:r>
          </w:p>
        </w:tc>
        <w:tc>
          <w:tcPr>
            <w:tcW w:w="2268"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投标文件的商务条款</w:t>
            </w:r>
          </w:p>
        </w:tc>
        <w:tc>
          <w:tcPr>
            <w:tcW w:w="2049" w:type="dxa"/>
            <w:vAlign w:val="center"/>
          </w:tcPr>
          <w:p>
            <w:pPr>
              <w:jc w:val="center"/>
              <w:rPr>
                <w:rFonts w:ascii="宋体" w:hAnsi="Calibri" w:eastAsia="宋体" w:cs="宋体"/>
                <w:bCs/>
                <w:sz w:val="24"/>
                <w:szCs w:val="24"/>
              </w:rPr>
            </w:pPr>
            <w:r>
              <w:rPr>
                <w:rFonts w:hint="eastAsia" w:ascii="宋体" w:hAnsi="宋体" w:eastAsia="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817"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049"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817"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049"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817"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049"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817"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049" w:type="dxa"/>
          </w:tcPr>
          <w:p>
            <w:pPr>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817" w:type="dxa"/>
          </w:tcPr>
          <w:p>
            <w:pPr>
              <w:jc w:val="center"/>
              <w:rPr>
                <w:rFonts w:ascii="宋体" w:hAnsi="Calibri" w:eastAsia="宋体" w:cs="宋体"/>
                <w:b/>
                <w:bCs/>
                <w:sz w:val="24"/>
                <w:szCs w:val="24"/>
              </w:rPr>
            </w:pPr>
          </w:p>
        </w:tc>
        <w:tc>
          <w:tcPr>
            <w:tcW w:w="2126"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268" w:type="dxa"/>
          </w:tcPr>
          <w:p>
            <w:pPr>
              <w:jc w:val="center"/>
              <w:rPr>
                <w:rFonts w:ascii="宋体" w:hAnsi="Calibri" w:eastAsia="宋体" w:cs="宋体"/>
                <w:b/>
                <w:bCs/>
                <w:sz w:val="24"/>
                <w:szCs w:val="24"/>
              </w:rPr>
            </w:pPr>
          </w:p>
        </w:tc>
        <w:tc>
          <w:tcPr>
            <w:tcW w:w="2049" w:type="dxa"/>
          </w:tcPr>
          <w:p>
            <w:pPr>
              <w:jc w:val="center"/>
              <w:rPr>
                <w:rFonts w:ascii="宋体" w:hAnsi="Calibri" w:eastAsia="宋体" w:cs="宋体"/>
                <w:b/>
                <w:bCs/>
                <w:sz w:val="24"/>
                <w:szCs w:val="24"/>
              </w:rPr>
            </w:pPr>
          </w:p>
        </w:tc>
      </w:tr>
    </w:tbl>
    <w:p>
      <w:pPr>
        <w:spacing w:line="360" w:lineRule="auto"/>
        <w:ind w:firstLine="480" w:firstLineChars="200"/>
        <w:jc w:val="left"/>
        <w:rPr>
          <w:rFonts w:ascii="宋体" w:hAnsi="Calibri" w:eastAsia="宋体" w:cs="Times New Roman"/>
          <w:color w:val="000000"/>
          <w:sz w:val="24"/>
          <w:szCs w:val="24"/>
        </w:rPr>
      </w:pPr>
      <w:r>
        <w:rPr>
          <w:rFonts w:hint="eastAsia" w:ascii="宋体" w:hAnsi="宋体" w:eastAsia="宋体" w:cs="Times New Roman"/>
          <w:color w:val="000000"/>
          <w:sz w:val="24"/>
          <w:szCs w:val="24"/>
        </w:rPr>
        <w:t>备注：投标人商务条款有差异的，则在此表中列明实际响应的内容提要并加以说明，以便查对。无差异说明表示完全响应。</w:t>
      </w:r>
    </w:p>
    <w:p>
      <w:pPr>
        <w:spacing w:line="360" w:lineRule="auto"/>
        <w:ind w:firstLine="480" w:firstLineChars="200"/>
        <w:jc w:val="left"/>
        <w:rPr>
          <w:rFonts w:ascii="宋体" w:hAnsi="Calibri" w:eastAsia="宋体" w:cs="Times New Roman"/>
          <w:color w:val="000000"/>
          <w:sz w:val="24"/>
          <w:szCs w:val="24"/>
        </w:rPr>
      </w:pPr>
    </w:p>
    <w:p>
      <w:pPr>
        <w:spacing w:line="360" w:lineRule="auto"/>
        <w:ind w:firstLine="480" w:firstLineChars="200"/>
        <w:jc w:val="left"/>
        <w:rPr>
          <w:rFonts w:ascii="宋体" w:hAnsi="Calibri" w:eastAsia="宋体" w:cs="Times New Roman"/>
          <w:color w:val="00000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投标人：（盖章）</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法定代表人：（盖章）</w:t>
      </w:r>
    </w:p>
    <w:p>
      <w:pPr>
        <w:widowControl/>
        <w:shd w:val="clear" w:color="auto" w:fill="FFFFFF"/>
        <w:wordWrap w:val="0"/>
        <w:snapToGrid w:val="0"/>
        <w:spacing w:line="384" w:lineRule="auto"/>
        <w:ind w:firstLine="420"/>
        <w:jc w:val="right"/>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日期：年月日</w:t>
      </w:r>
    </w:p>
    <w:p>
      <w:pPr>
        <w:tabs>
          <w:tab w:val="center" w:pos="4832"/>
          <w:tab w:val="left" w:pos="7140"/>
        </w:tabs>
        <w:jc w:val="center"/>
        <w:outlineLvl w:val="1"/>
        <w:rPr>
          <w:rFonts w:ascii="宋体" w:hAnsi="宋体" w:eastAsia="宋体" w:cs="宋体"/>
          <w:b/>
          <w:sz w:val="24"/>
          <w:szCs w:val="24"/>
        </w:rPr>
      </w:pPr>
      <w:r>
        <w:rPr>
          <w:rFonts w:ascii="宋体" w:hAnsi="Calibri" w:eastAsia="宋体" w:cs="Arial"/>
          <w:b/>
          <w:bCs/>
          <w:color w:val="020000"/>
          <w:kern w:val="36"/>
          <w:sz w:val="24"/>
          <w:szCs w:val="24"/>
        </w:rPr>
        <w:br w:type="page"/>
      </w:r>
      <w:bookmarkStart w:id="72" w:name="_Toc488827482"/>
    </w:p>
    <w:bookmarkEnd w:id="72"/>
    <w:p>
      <w:pPr>
        <w:tabs>
          <w:tab w:val="center" w:pos="4832"/>
          <w:tab w:val="left" w:pos="7140"/>
        </w:tabs>
        <w:jc w:val="center"/>
        <w:outlineLvl w:val="1"/>
        <w:rPr>
          <w:rFonts w:ascii="宋体" w:hAnsi="宋体" w:eastAsia="宋体" w:cs="宋体"/>
          <w:b/>
          <w:sz w:val="24"/>
          <w:szCs w:val="24"/>
        </w:rPr>
      </w:pPr>
      <w:r>
        <w:rPr>
          <w:rFonts w:hint="eastAsia" w:ascii="宋体" w:hAnsi="宋体" w:eastAsia="宋体" w:cs="宋体"/>
          <w:b/>
          <w:sz w:val="24"/>
          <w:szCs w:val="24"/>
        </w:rPr>
        <w:t>技术部分</w:t>
      </w: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（1）产品介绍及项目技术方案</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（2）供货方案及技术说明</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（3）质量保证体系及措施</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（4）规格、技术参数</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（5）性能保证</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（6）售后服务承诺等，投标人认为有必要提供的其他相关资料等。</w:t>
      </w:r>
    </w:p>
    <w:p>
      <w:pPr>
        <w:tabs>
          <w:tab w:val="center" w:pos="4832"/>
          <w:tab w:val="left" w:pos="7140"/>
        </w:tabs>
        <w:jc w:val="center"/>
        <w:outlineLvl w:val="1"/>
        <w:rPr>
          <w:rFonts w:ascii="宋体" w:hAnsi="宋体" w:eastAsia="宋体" w:cs="宋体"/>
          <w:b/>
          <w:sz w:val="24"/>
          <w:szCs w:val="24"/>
        </w:rPr>
      </w:pPr>
    </w:p>
    <w:p>
      <w:pPr>
        <w:shd w:val="clear" w:color="auto" w:fill="FFFFFF"/>
        <w:snapToGrid w:val="0"/>
        <w:spacing w:line="384" w:lineRule="auto"/>
        <w:jc w:val="left"/>
        <w:rPr>
          <w:rFonts w:ascii="宋体" w:hAnsi="Calibri" w:eastAsia="宋体" w:cs="Times New Roman"/>
          <w:color w:val="000000"/>
          <w:sz w:val="24"/>
          <w:szCs w:val="24"/>
        </w:rPr>
      </w:pPr>
      <w:r>
        <w:rPr>
          <w:rFonts w:hint="eastAsia" w:ascii="宋体" w:hAnsi="宋体" w:eastAsia="宋体"/>
          <w:b/>
          <w:snapToGrid w:val="0"/>
          <w:kern w:val="0"/>
          <w:sz w:val="24"/>
          <w:szCs w:val="24"/>
        </w:rPr>
        <w:t>格式投标人自行编制</w:t>
      </w:r>
    </w:p>
    <w:p>
      <w:pPr>
        <w:tabs>
          <w:tab w:val="center" w:pos="4832"/>
          <w:tab w:val="left" w:pos="7140"/>
        </w:tabs>
        <w:jc w:val="center"/>
        <w:outlineLvl w:val="1"/>
        <w:rPr>
          <w:rFonts w:ascii="宋体" w:hAnsi="宋体" w:eastAsia="宋体" w:cs="宋体"/>
          <w:b/>
          <w:sz w:val="24"/>
          <w:szCs w:val="24"/>
        </w:rPr>
      </w:pPr>
      <w:bookmarkStart w:id="73" w:name="_Toc358451723"/>
      <w:bookmarkStart w:id="74" w:name="_Toc488827488"/>
    </w:p>
    <w:bookmarkEnd w:id="73"/>
    <w:bookmarkEnd w:id="74"/>
    <w:p>
      <w:pPr>
        <w:spacing w:line="440" w:lineRule="exact"/>
        <w:jc w:val="center"/>
        <w:outlineLvl w:val="0"/>
        <w:rPr>
          <w:rFonts w:ascii="宋体" w:hAnsi="宋体" w:eastAsia="宋体" w:cs="宋体"/>
          <w:b/>
          <w:sz w:val="24"/>
          <w:szCs w:val="24"/>
        </w:rPr>
      </w:pPr>
      <w:bookmarkStart w:id="75" w:name="_Toc488827489"/>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r>
        <w:rPr>
          <w:rFonts w:hint="eastAsia" w:ascii="宋体" w:hAnsi="宋体" w:eastAsia="宋体" w:cs="宋体"/>
          <w:b/>
          <w:sz w:val="24"/>
          <w:szCs w:val="24"/>
        </w:rPr>
        <w:t>第六章补充条款</w:t>
      </w:r>
      <w:bookmarkEnd w:id="75"/>
    </w:p>
    <w:p/>
    <w:sectPr>
      <w:headerReference r:id="rId8" w:type="default"/>
      <w:footerReference r:id="rId9" w:type="default"/>
      <w:pgSz w:w="11906" w:h="16838"/>
      <w:pgMar w:top="1418" w:right="1418" w:bottom="1418" w:left="1418"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酱紫紫紫" w:date="2022-04-21T19:42:00Z" w:initials="">
    <w:p w14:paraId="05550E0F">
      <w:pPr>
        <w:pStyle w:val="8"/>
        <w:rPr>
          <w:rFonts w:hint="eastAsia" w:eastAsia="宋体"/>
          <w:lang w:eastAsia="zh-CN"/>
        </w:rPr>
      </w:pPr>
      <w:r>
        <w:rPr>
          <w:rFonts w:hint="eastAsia"/>
          <w:lang w:eastAsia="zh-CN"/>
        </w:rPr>
        <w:t>建议明确收货地点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550E0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287" w:usb1="00000000" w:usb2="00000000" w:usb3="00000000" w:csb0="200000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90"/>
      <w:jc w:val="right"/>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68</w:t>
    </w:r>
    <w:r>
      <w:rPr>
        <w:rStyle w:val="30"/>
      </w:rP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docPartObj>
        <w:docPartGallery w:val="autotext"/>
      </w:docPartObj>
    </w:sdtPr>
    <w:sdtEndPr>
      <w:rPr>
        <w:rFonts w:asciiTheme="minorEastAsia" w:hAnsiTheme="minorEastAsia" w:eastAsiaTheme="minorEastAsia"/>
        <w:sz w:val="30"/>
        <w:szCs w:val="30"/>
      </w:rPr>
    </w:sdtEndPr>
    <w:sdtContent>
      <w:p>
        <w:pPr>
          <w:pStyle w:val="16"/>
          <w:jc w:val="right"/>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1</w:t>
        </w:r>
        <w:r>
          <w:rPr>
            <w:rFonts w:asciiTheme="minorEastAsia" w:hAnsiTheme="minorEastAsia" w:eastAsiaTheme="minorEastAsia"/>
            <w:sz w:val="30"/>
            <w:szCs w:val="30"/>
          </w:rPr>
          <w:fldChar w:fldCharType="end"/>
        </w:r>
      </w:p>
    </w:sdtContent>
  </w:sdt>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42789"/>
    <w:multiLevelType w:val="singleLevel"/>
    <w:tmpl w:val="AF842789"/>
    <w:lvl w:ilvl="0" w:tentative="0">
      <w:start w:val="4"/>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酱紫紫紫">
    <w15:presenceInfo w15:providerId="None" w15:userId="酱紫紫紫"/>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4MGM5MjdkYzQyMTI1NzM3Y2U5YTQyZjNkZDlmOTYifQ=="/>
  </w:docVars>
  <w:rsids>
    <w:rsidRoot w:val="00101AA4"/>
    <w:rsid w:val="00001340"/>
    <w:rsid w:val="0005748E"/>
    <w:rsid w:val="000B331B"/>
    <w:rsid w:val="000D171A"/>
    <w:rsid w:val="000E5B9C"/>
    <w:rsid w:val="00101AA4"/>
    <w:rsid w:val="00134E5F"/>
    <w:rsid w:val="001B4C4A"/>
    <w:rsid w:val="001E0C89"/>
    <w:rsid w:val="00200BA8"/>
    <w:rsid w:val="00266F04"/>
    <w:rsid w:val="002967DA"/>
    <w:rsid w:val="002B6E51"/>
    <w:rsid w:val="00315623"/>
    <w:rsid w:val="00362A28"/>
    <w:rsid w:val="003A5B50"/>
    <w:rsid w:val="003D1D2C"/>
    <w:rsid w:val="003D4211"/>
    <w:rsid w:val="0040310D"/>
    <w:rsid w:val="00405F2E"/>
    <w:rsid w:val="00431CEE"/>
    <w:rsid w:val="0045091A"/>
    <w:rsid w:val="004A68AF"/>
    <w:rsid w:val="00520FE8"/>
    <w:rsid w:val="005745F5"/>
    <w:rsid w:val="005802DC"/>
    <w:rsid w:val="00594050"/>
    <w:rsid w:val="005A7434"/>
    <w:rsid w:val="005D3867"/>
    <w:rsid w:val="006153E8"/>
    <w:rsid w:val="00630DFB"/>
    <w:rsid w:val="0063610A"/>
    <w:rsid w:val="0067537F"/>
    <w:rsid w:val="006A24D2"/>
    <w:rsid w:val="006B6739"/>
    <w:rsid w:val="006E344D"/>
    <w:rsid w:val="00704AEC"/>
    <w:rsid w:val="00787569"/>
    <w:rsid w:val="007C66D2"/>
    <w:rsid w:val="007D165D"/>
    <w:rsid w:val="007D7D73"/>
    <w:rsid w:val="007F48A7"/>
    <w:rsid w:val="00812F81"/>
    <w:rsid w:val="008B141B"/>
    <w:rsid w:val="008B5573"/>
    <w:rsid w:val="008F58F8"/>
    <w:rsid w:val="00904E27"/>
    <w:rsid w:val="00962622"/>
    <w:rsid w:val="00965552"/>
    <w:rsid w:val="0096574A"/>
    <w:rsid w:val="0099511A"/>
    <w:rsid w:val="009D6977"/>
    <w:rsid w:val="009F15EF"/>
    <w:rsid w:val="009F1B92"/>
    <w:rsid w:val="00A265FB"/>
    <w:rsid w:val="00A27E5A"/>
    <w:rsid w:val="00A320D2"/>
    <w:rsid w:val="00A46BC3"/>
    <w:rsid w:val="00A82140"/>
    <w:rsid w:val="00AB7A92"/>
    <w:rsid w:val="00AB7D40"/>
    <w:rsid w:val="00AC098E"/>
    <w:rsid w:val="00AC3682"/>
    <w:rsid w:val="00AC4E4B"/>
    <w:rsid w:val="00AD159E"/>
    <w:rsid w:val="00AD3FA3"/>
    <w:rsid w:val="00AE1B73"/>
    <w:rsid w:val="00B3485C"/>
    <w:rsid w:val="00B3551C"/>
    <w:rsid w:val="00B43D3B"/>
    <w:rsid w:val="00B47B4E"/>
    <w:rsid w:val="00B54AD1"/>
    <w:rsid w:val="00BA3240"/>
    <w:rsid w:val="00BB5C5F"/>
    <w:rsid w:val="00BD1FA5"/>
    <w:rsid w:val="00BE6C67"/>
    <w:rsid w:val="00C00062"/>
    <w:rsid w:val="00C13F57"/>
    <w:rsid w:val="00C35DAD"/>
    <w:rsid w:val="00C871ED"/>
    <w:rsid w:val="00CA54EB"/>
    <w:rsid w:val="00CB0B19"/>
    <w:rsid w:val="00CD5E71"/>
    <w:rsid w:val="00CE5EC5"/>
    <w:rsid w:val="00CE77D1"/>
    <w:rsid w:val="00D15B9A"/>
    <w:rsid w:val="00D27953"/>
    <w:rsid w:val="00D87B7E"/>
    <w:rsid w:val="00D90FC1"/>
    <w:rsid w:val="00D94508"/>
    <w:rsid w:val="00DA380B"/>
    <w:rsid w:val="00DE145A"/>
    <w:rsid w:val="00E05CD7"/>
    <w:rsid w:val="00E34FF9"/>
    <w:rsid w:val="00E9078D"/>
    <w:rsid w:val="00F141A0"/>
    <w:rsid w:val="00F41097"/>
    <w:rsid w:val="00F5283D"/>
    <w:rsid w:val="00F70950"/>
    <w:rsid w:val="00FD1156"/>
    <w:rsid w:val="00FF4C85"/>
    <w:rsid w:val="02235459"/>
    <w:rsid w:val="051C7E35"/>
    <w:rsid w:val="0EC40FE2"/>
    <w:rsid w:val="1CA8496F"/>
    <w:rsid w:val="25BC7AD6"/>
    <w:rsid w:val="34BE1074"/>
    <w:rsid w:val="36CE6638"/>
    <w:rsid w:val="4FBB12D5"/>
    <w:rsid w:val="659E4DEE"/>
    <w:rsid w:val="6B5316CB"/>
    <w:rsid w:val="77AB1F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42"/>
    <w:qFormat/>
    <w:uiPriority w:val="99"/>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43"/>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99"/>
    <w:pPr>
      <w:ind w:left="2520" w:leftChars="1200"/>
    </w:pPr>
    <w:rPr>
      <w:rFonts w:ascii="Times New Roman" w:hAnsi="Times New Roman" w:eastAsia="宋体" w:cs="Times New Roman"/>
      <w:szCs w:val="24"/>
    </w:rPr>
  </w:style>
  <w:style w:type="paragraph" w:styleId="6">
    <w:name w:val="Normal Indent"/>
    <w:basedOn w:val="1"/>
    <w:link w:val="94"/>
    <w:qFormat/>
    <w:uiPriority w:val="99"/>
    <w:pPr>
      <w:ind w:firstLine="420" w:firstLineChars="200"/>
    </w:pPr>
    <w:rPr>
      <w:rFonts w:ascii="Times New Roman" w:hAnsi="Times New Roman" w:eastAsia="宋体" w:cs="Times New Roman"/>
      <w:kern w:val="0"/>
      <w:sz w:val="24"/>
      <w:szCs w:val="20"/>
    </w:rPr>
  </w:style>
  <w:style w:type="paragraph" w:styleId="7">
    <w:name w:val="Document Map"/>
    <w:basedOn w:val="1"/>
    <w:link w:val="112"/>
    <w:qFormat/>
    <w:uiPriority w:val="99"/>
    <w:rPr>
      <w:rFonts w:ascii="宋体" w:hAnsi="Calibri" w:eastAsia="宋体" w:cs="Times New Roman"/>
      <w:kern w:val="0"/>
      <w:sz w:val="18"/>
      <w:szCs w:val="20"/>
    </w:rPr>
  </w:style>
  <w:style w:type="paragraph" w:styleId="8">
    <w:name w:val="annotation text"/>
    <w:basedOn w:val="1"/>
    <w:qFormat/>
    <w:uiPriority w:val="0"/>
    <w:pPr>
      <w:jc w:val="left"/>
    </w:pPr>
    <w:rPr>
      <w:rFonts w:ascii="Times New Roman" w:hAnsi="Times New Roman" w:eastAsia="宋体" w:cs="Times New Roman"/>
    </w:rPr>
  </w:style>
  <w:style w:type="paragraph" w:styleId="9">
    <w:name w:val="Body Text"/>
    <w:basedOn w:val="1"/>
    <w:link w:val="115"/>
    <w:qFormat/>
    <w:uiPriority w:val="99"/>
    <w:pPr>
      <w:spacing w:after="120"/>
    </w:pPr>
    <w:rPr>
      <w:rFonts w:ascii="Calibri" w:hAnsi="Calibri" w:eastAsia="宋体" w:cs="Times New Roman"/>
      <w:kern w:val="0"/>
      <w:sz w:val="24"/>
      <w:szCs w:val="20"/>
    </w:rPr>
  </w:style>
  <w:style w:type="paragraph" w:styleId="10">
    <w:name w:val="Body Text Indent"/>
    <w:basedOn w:val="1"/>
    <w:link w:val="46"/>
    <w:qFormat/>
    <w:uiPriority w:val="99"/>
    <w:pPr>
      <w:widowControl/>
      <w:spacing w:after="120"/>
      <w:ind w:left="420"/>
    </w:pPr>
    <w:rPr>
      <w:rFonts w:ascii="??" w:hAnsi="??" w:eastAsia="宋体" w:cs="Arial"/>
      <w:kern w:val="0"/>
      <w:sz w:val="24"/>
      <w:szCs w:val="24"/>
    </w:rPr>
  </w:style>
  <w:style w:type="paragraph" w:styleId="11">
    <w:name w:val="toc 5"/>
    <w:basedOn w:val="1"/>
    <w:next w:val="1"/>
    <w:qFormat/>
    <w:uiPriority w:val="99"/>
    <w:pPr>
      <w:ind w:left="1680" w:leftChars="800"/>
    </w:pPr>
    <w:rPr>
      <w:rFonts w:ascii="Times New Roman" w:hAnsi="Times New Roman" w:eastAsia="宋体" w:cs="Times New Roman"/>
      <w:szCs w:val="24"/>
    </w:rPr>
  </w:style>
  <w:style w:type="paragraph" w:styleId="12">
    <w:name w:val="toc 3"/>
    <w:basedOn w:val="1"/>
    <w:next w:val="1"/>
    <w:qFormat/>
    <w:uiPriority w:val="99"/>
    <w:pPr>
      <w:ind w:left="840" w:leftChars="400"/>
    </w:pPr>
    <w:rPr>
      <w:rFonts w:ascii="Times New Roman" w:hAnsi="Times New Roman" w:eastAsia="宋体" w:cs="Times New Roman"/>
      <w:szCs w:val="24"/>
    </w:rPr>
  </w:style>
  <w:style w:type="paragraph" w:styleId="13">
    <w:name w:val="toc 8"/>
    <w:basedOn w:val="1"/>
    <w:next w:val="1"/>
    <w:qFormat/>
    <w:uiPriority w:val="99"/>
    <w:pPr>
      <w:ind w:left="2940" w:leftChars="1400"/>
    </w:pPr>
    <w:rPr>
      <w:rFonts w:ascii="Times New Roman" w:hAnsi="Times New Roman" w:eastAsia="宋体" w:cs="Times New Roman"/>
      <w:szCs w:val="24"/>
    </w:rPr>
  </w:style>
  <w:style w:type="paragraph" w:styleId="14">
    <w:name w:val="Body Text Indent 2"/>
    <w:basedOn w:val="1"/>
    <w:link w:val="108"/>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15">
    <w:name w:val="Balloon Text"/>
    <w:basedOn w:val="1"/>
    <w:link w:val="58"/>
    <w:qFormat/>
    <w:uiPriority w:val="99"/>
    <w:rPr>
      <w:rFonts w:ascii="Calibri" w:hAnsi="Calibri" w:eastAsia="宋体" w:cs="Times New Roman"/>
      <w:sz w:val="18"/>
      <w:szCs w:val="18"/>
    </w:rPr>
  </w:style>
  <w:style w:type="paragraph" w:styleId="16">
    <w:name w:val="footer"/>
    <w:basedOn w:val="1"/>
    <w:link w:val="45"/>
    <w:qFormat/>
    <w:uiPriority w:val="99"/>
    <w:pPr>
      <w:tabs>
        <w:tab w:val="center" w:pos="4153"/>
        <w:tab w:val="right" w:pos="8306"/>
      </w:tabs>
      <w:snapToGrid w:val="0"/>
      <w:jc w:val="left"/>
    </w:pPr>
    <w:rPr>
      <w:rFonts w:ascii="Calibri" w:hAnsi="Calibri" w:eastAsia="宋体" w:cs="Times New Roman"/>
      <w:sz w:val="18"/>
      <w:szCs w:val="18"/>
    </w:rPr>
  </w:style>
  <w:style w:type="paragraph" w:styleId="17">
    <w:name w:val="header"/>
    <w:basedOn w:val="1"/>
    <w:link w:val="44"/>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8">
    <w:name w:val="toc 1"/>
    <w:basedOn w:val="1"/>
    <w:next w:val="1"/>
    <w:qFormat/>
    <w:uiPriority w:val="39"/>
    <w:rPr>
      <w:rFonts w:ascii="Times New Roman" w:hAnsi="Times New Roman" w:eastAsia="宋体" w:cs="Times New Roman"/>
      <w:szCs w:val="24"/>
    </w:rPr>
  </w:style>
  <w:style w:type="paragraph" w:styleId="19">
    <w:name w:val="toc 4"/>
    <w:basedOn w:val="1"/>
    <w:next w:val="1"/>
    <w:qFormat/>
    <w:uiPriority w:val="99"/>
    <w:pPr>
      <w:ind w:left="1260" w:leftChars="600"/>
    </w:pPr>
    <w:rPr>
      <w:rFonts w:ascii="Times New Roman" w:hAnsi="Times New Roman" w:eastAsia="宋体" w:cs="Times New Roman"/>
      <w:szCs w:val="24"/>
    </w:rPr>
  </w:style>
  <w:style w:type="paragraph" w:styleId="20">
    <w:name w:val="toc 6"/>
    <w:basedOn w:val="1"/>
    <w:next w:val="1"/>
    <w:qFormat/>
    <w:uiPriority w:val="99"/>
    <w:pPr>
      <w:ind w:left="2100" w:leftChars="1000"/>
    </w:pPr>
    <w:rPr>
      <w:rFonts w:ascii="Times New Roman" w:hAnsi="Times New Roman" w:eastAsia="宋体" w:cs="Times New Roman"/>
      <w:szCs w:val="24"/>
    </w:rPr>
  </w:style>
  <w:style w:type="paragraph" w:styleId="21">
    <w:name w:val="Body Text Indent 3"/>
    <w:basedOn w:val="1"/>
    <w:link w:val="110"/>
    <w:qFormat/>
    <w:uiPriority w:val="99"/>
    <w:pPr>
      <w:spacing w:line="440" w:lineRule="exact"/>
      <w:ind w:firstLine="412" w:firstLineChars="200"/>
    </w:pPr>
    <w:rPr>
      <w:rFonts w:ascii="宋体" w:hAnsi="Calibri" w:eastAsia="宋体" w:cs="Times New Roman"/>
      <w:kern w:val="0"/>
      <w:sz w:val="20"/>
      <w:szCs w:val="20"/>
    </w:rPr>
  </w:style>
  <w:style w:type="paragraph" w:styleId="22">
    <w:name w:val="toc 2"/>
    <w:basedOn w:val="1"/>
    <w:next w:val="1"/>
    <w:qFormat/>
    <w:uiPriority w:val="39"/>
    <w:pPr>
      <w:ind w:left="420" w:leftChars="200"/>
    </w:pPr>
    <w:rPr>
      <w:rFonts w:ascii="Times New Roman" w:hAnsi="Times New Roman" w:eastAsia="宋体" w:cs="Times New Roman"/>
      <w:szCs w:val="24"/>
    </w:rPr>
  </w:style>
  <w:style w:type="paragraph" w:styleId="23">
    <w:name w:val="toc 9"/>
    <w:basedOn w:val="1"/>
    <w:next w:val="1"/>
    <w:qFormat/>
    <w:uiPriority w:val="99"/>
    <w:pPr>
      <w:ind w:left="3360" w:leftChars="1600"/>
    </w:pPr>
    <w:rPr>
      <w:rFonts w:ascii="Times New Roman" w:hAnsi="Times New Roman" w:eastAsia="宋体" w:cs="Times New Roman"/>
      <w:szCs w:val="24"/>
    </w:rPr>
  </w:style>
  <w:style w:type="paragraph" w:styleId="24">
    <w:name w:val="List Continue 2"/>
    <w:basedOn w:val="1"/>
    <w:qFormat/>
    <w:uiPriority w:val="99"/>
    <w:pPr>
      <w:spacing w:after="120"/>
      <w:ind w:left="840" w:leftChars="400"/>
    </w:pPr>
    <w:rPr>
      <w:rFonts w:ascii="Times New Roman" w:hAnsi="Times New Roman" w:eastAsia="宋体" w:cs="Times New Roman"/>
      <w:szCs w:val="24"/>
    </w:rPr>
  </w:style>
  <w:style w:type="paragraph" w:styleId="2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27">
    <w:name w:val="Table Grid"/>
    <w:basedOn w:val="26"/>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99"/>
    <w:rPr>
      <w:rFonts w:cs="Times New Roman"/>
      <w:b/>
    </w:rPr>
  </w:style>
  <w:style w:type="character" w:styleId="30">
    <w:name w:val="page number"/>
    <w:basedOn w:val="28"/>
    <w:qFormat/>
    <w:uiPriority w:val="99"/>
    <w:rPr>
      <w:rFonts w:cs="Times New Roman"/>
    </w:rPr>
  </w:style>
  <w:style w:type="character" w:styleId="31">
    <w:name w:val="FollowedHyperlink"/>
    <w:basedOn w:val="28"/>
    <w:qFormat/>
    <w:uiPriority w:val="99"/>
    <w:rPr>
      <w:rFonts w:cs="Times New Roman"/>
      <w:color w:val="555555"/>
      <w:u w:val="none"/>
    </w:rPr>
  </w:style>
  <w:style w:type="character" w:styleId="32">
    <w:name w:val="Emphasis"/>
    <w:basedOn w:val="28"/>
    <w:qFormat/>
    <w:uiPriority w:val="99"/>
    <w:rPr>
      <w:rFonts w:cs="Times New Roman"/>
      <w:i/>
    </w:rPr>
  </w:style>
  <w:style w:type="character" w:styleId="33">
    <w:name w:val="HTML Definition"/>
    <w:basedOn w:val="28"/>
    <w:qFormat/>
    <w:uiPriority w:val="99"/>
    <w:rPr>
      <w:rFonts w:cs="Times New Roman"/>
    </w:rPr>
  </w:style>
  <w:style w:type="character" w:styleId="34">
    <w:name w:val="HTML Acronym"/>
    <w:basedOn w:val="28"/>
    <w:qFormat/>
    <w:uiPriority w:val="99"/>
    <w:rPr>
      <w:rFonts w:cs="Times New Roman"/>
    </w:rPr>
  </w:style>
  <w:style w:type="character" w:styleId="35">
    <w:name w:val="HTML Variable"/>
    <w:basedOn w:val="28"/>
    <w:qFormat/>
    <w:uiPriority w:val="99"/>
    <w:rPr>
      <w:rFonts w:cs="Times New Roman"/>
    </w:rPr>
  </w:style>
  <w:style w:type="character" w:styleId="36">
    <w:name w:val="Hyperlink"/>
    <w:basedOn w:val="28"/>
    <w:qFormat/>
    <w:uiPriority w:val="99"/>
    <w:rPr>
      <w:rFonts w:cs="Times New Roman"/>
      <w:color w:val="555555"/>
      <w:u w:val="none"/>
    </w:rPr>
  </w:style>
  <w:style w:type="character" w:styleId="37">
    <w:name w:val="HTML Code"/>
    <w:basedOn w:val="28"/>
    <w:qFormat/>
    <w:uiPriority w:val="99"/>
    <w:rPr>
      <w:rFonts w:ascii="monospace" w:hAnsi="monospace" w:cs="Times New Roman"/>
      <w:sz w:val="24"/>
    </w:rPr>
  </w:style>
  <w:style w:type="character" w:styleId="38">
    <w:name w:val="HTML Cite"/>
    <w:basedOn w:val="28"/>
    <w:qFormat/>
    <w:uiPriority w:val="99"/>
    <w:rPr>
      <w:rFonts w:cs="Times New Roman"/>
    </w:rPr>
  </w:style>
  <w:style w:type="character" w:styleId="39">
    <w:name w:val="HTML Keyboard"/>
    <w:basedOn w:val="28"/>
    <w:qFormat/>
    <w:uiPriority w:val="99"/>
    <w:rPr>
      <w:rFonts w:ascii="monospace" w:hAnsi="monospace" w:cs="Times New Roman"/>
      <w:sz w:val="24"/>
    </w:rPr>
  </w:style>
  <w:style w:type="character" w:styleId="40">
    <w:name w:val="HTML Sample"/>
    <w:basedOn w:val="28"/>
    <w:qFormat/>
    <w:uiPriority w:val="99"/>
    <w:rPr>
      <w:rFonts w:ascii="monospace" w:hAnsi="monospace" w:cs="Times New Roman"/>
      <w:sz w:val="24"/>
    </w:rPr>
  </w:style>
  <w:style w:type="character" w:customStyle="1" w:styleId="41">
    <w:name w:val="标题 1 Char"/>
    <w:basedOn w:val="28"/>
    <w:link w:val="2"/>
    <w:qFormat/>
    <w:uiPriority w:val="99"/>
    <w:rPr>
      <w:rFonts w:ascii="???" w:hAnsi="???" w:eastAsia="宋体" w:cs="Arial"/>
      <w:b/>
      <w:bCs/>
      <w:color w:val="020000"/>
      <w:kern w:val="36"/>
      <w:sz w:val="44"/>
      <w:szCs w:val="44"/>
    </w:rPr>
  </w:style>
  <w:style w:type="character" w:customStyle="1" w:styleId="42">
    <w:name w:val="标题 2 Char"/>
    <w:basedOn w:val="28"/>
    <w:link w:val="3"/>
    <w:qFormat/>
    <w:uiPriority w:val="99"/>
    <w:rPr>
      <w:rFonts w:ascii="???" w:hAnsi="???" w:eastAsia="宋体" w:cs="Arial"/>
      <w:b/>
      <w:bCs/>
      <w:color w:val="020000"/>
      <w:kern w:val="0"/>
      <w:sz w:val="32"/>
      <w:szCs w:val="32"/>
    </w:rPr>
  </w:style>
  <w:style w:type="character" w:customStyle="1" w:styleId="43">
    <w:name w:val="标题 3 Char"/>
    <w:basedOn w:val="28"/>
    <w:link w:val="4"/>
    <w:qFormat/>
    <w:uiPriority w:val="99"/>
    <w:rPr>
      <w:rFonts w:ascii="??" w:hAnsi="??" w:eastAsia="宋体" w:cs="Arial"/>
      <w:b/>
      <w:bCs/>
      <w:color w:val="000000"/>
      <w:kern w:val="0"/>
      <w:sz w:val="32"/>
      <w:szCs w:val="32"/>
    </w:rPr>
  </w:style>
  <w:style w:type="character" w:customStyle="1" w:styleId="44">
    <w:name w:val="页眉 Char"/>
    <w:basedOn w:val="28"/>
    <w:link w:val="17"/>
    <w:qFormat/>
    <w:uiPriority w:val="99"/>
    <w:rPr>
      <w:rFonts w:ascii="Calibri" w:hAnsi="Calibri" w:eastAsia="宋体" w:cs="Times New Roman"/>
      <w:sz w:val="18"/>
      <w:szCs w:val="18"/>
    </w:rPr>
  </w:style>
  <w:style w:type="character" w:customStyle="1" w:styleId="45">
    <w:name w:val="页脚 Char"/>
    <w:basedOn w:val="28"/>
    <w:link w:val="16"/>
    <w:qFormat/>
    <w:uiPriority w:val="99"/>
    <w:rPr>
      <w:rFonts w:ascii="Calibri" w:hAnsi="Calibri" w:eastAsia="宋体" w:cs="Times New Roman"/>
      <w:sz w:val="18"/>
      <w:szCs w:val="18"/>
    </w:rPr>
  </w:style>
  <w:style w:type="character" w:customStyle="1" w:styleId="46">
    <w:name w:val="正文文本缩进 Char"/>
    <w:basedOn w:val="28"/>
    <w:link w:val="10"/>
    <w:qFormat/>
    <w:uiPriority w:val="99"/>
    <w:rPr>
      <w:rFonts w:ascii="??" w:hAnsi="??" w:eastAsia="宋体" w:cs="Arial"/>
      <w:kern w:val="0"/>
      <w:sz w:val="24"/>
      <w:szCs w:val="24"/>
    </w:rPr>
  </w:style>
  <w:style w:type="paragraph" w:styleId="47">
    <w:name w:val="List Paragraph"/>
    <w:basedOn w:val="1"/>
    <w:qFormat/>
    <w:uiPriority w:val="99"/>
    <w:pPr>
      <w:ind w:firstLine="420" w:firstLineChars="200"/>
    </w:pPr>
    <w:rPr>
      <w:rFonts w:ascii="Calibri" w:hAnsi="Calibri" w:eastAsia="宋体" w:cs="Times New Roman"/>
    </w:rPr>
  </w:style>
  <w:style w:type="character" w:customStyle="1" w:styleId="48">
    <w:name w:val="标题 2 Char Char"/>
    <w:qFormat/>
    <w:uiPriority w:val="99"/>
    <w:rPr>
      <w:rFonts w:ascii="Arial" w:hAnsi="Arial" w:eastAsia="黑体"/>
      <w:b/>
      <w:kern w:val="2"/>
      <w:sz w:val="32"/>
      <w:lang w:val="en-US" w:eastAsia="zh-CN"/>
    </w:rPr>
  </w:style>
  <w:style w:type="character" w:customStyle="1" w:styleId="49">
    <w:name w:val="2charchar"/>
    <w:basedOn w:val="28"/>
    <w:qFormat/>
    <w:uiPriority w:val="99"/>
    <w:rPr>
      <w:rFonts w:cs="Times New Roman"/>
    </w:rPr>
  </w:style>
  <w:style w:type="paragraph" w:customStyle="1" w:styleId="50">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51">
    <w:name w:val="HTML Top of Form"/>
    <w:basedOn w:val="1"/>
    <w:next w:val="1"/>
    <w:link w:val="52"/>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52">
    <w:name w:val="z-窗体顶端 Char"/>
    <w:basedOn w:val="28"/>
    <w:link w:val="51"/>
    <w:semiHidden/>
    <w:qFormat/>
    <w:uiPriority w:val="99"/>
    <w:rPr>
      <w:rFonts w:ascii="Arial" w:hAnsi="Arial" w:eastAsia="宋体" w:cs="Arial"/>
      <w:vanish/>
      <w:kern w:val="0"/>
      <w:sz w:val="16"/>
      <w:szCs w:val="16"/>
    </w:rPr>
  </w:style>
  <w:style w:type="paragraph" w:customStyle="1" w:styleId="53">
    <w:name w:val="HTML Bottom of Form"/>
    <w:basedOn w:val="1"/>
    <w:next w:val="1"/>
    <w:link w:val="54"/>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54">
    <w:name w:val="z-窗体底端 Char"/>
    <w:basedOn w:val="28"/>
    <w:link w:val="53"/>
    <w:semiHidden/>
    <w:qFormat/>
    <w:uiPriority w:val="99"/>
    <w:rPr>
      <w:rFonts w:ascii="Arial" w:hAnsi="Arial" w:eastAsia="宋体" w:cs="Arial"/>
      <w:vanish/>
      <w:kern w:val="0"/>
      <w:sz w:val="16"/>
      <w:szCs w:val="16"/>
    </w:rPr>
  </w:style>
  <w:style w:type="paragraph" w:customStyle="1" w:styleId="55">
    <w:name w:val="hu正文"/>
    <w:basedOn w:val="1"/>
    <w:link w:val="56"/>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56">
    <w:name w:val="hu正文 Char"/>
    <w:link w:val="55"/>
    <w:qFormat/>
    <w:locked/>
    <w:uiPriority w:val="99"/>
    <w:rPr>
      <w:rFonts w:ascii="Times New Roman" w:hAnsi="Times New Roman" w:eastAsia="宋体" w:cs="Times New Roman"/>
      <w:kern w:val="0"/>
      <w:sz w:val="24"/>
      <w:szCs w:val="20"/>
    </w:rPr>
  </w:style>
  <w:style w:type="paragraph" w:styleId="57">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8">
    <w:name w:val="批注框文本 Char"/>
    <w:basedOn w:val="28"/>
    <w:link w:val="15"/>
    <w:qFormat/>
    <w:uiPriority w:val="99"/>
    <w:rPr>
      <w:rFonts w:ascii="Calibri" w:hAnsi="Calibri" w:eastAsia="宋体" w:cs="Times New Roman"/>
      <w:sz w:val="18"/>
      <w:szCs w:val="18"/>
    </w:rPr>
  </w:style>
  <w:style w:type="character" w:customStyle="1" w:styleId="59">
    <w:name w:val="ui-bz-bg-hover1"/>
    <w:basedOn w:val="28"/>
    <w:qFormat/>
    <w:uiPriority w:val="99"/>
    <w:rPr>
      <w:rFonts w:cs="Times New Roman"/>
    </w:rPr>
  </w:style>
  <w:style w:type="character" w:customStyle="1" w:styleId="60">
    <w:name w:val="批注框文本 Char1"/>
    <w:qFormat/>
    <w:uiPriority w:val="99"/>
    <w:rPr>
      <w:rFonts w:ascii="Times New Roman" w:hAnsi="Times New Roman" w:eastAsia="宋体"/>
      <w:sz w:val="18"/>
    </w:rPr>
  </w:style>
  <w:style w:type="character" w:customStyle="1" w:styleId="61">
    <w:name w:val="bds_nopic"/>
    <w:basedOn w:val="28"/>
    <w:qFormat/>
    <w:uiPriority w:val="99"/>
    <w:rPr>
      <w:rFonts w:cs="Times New Roman"/>
    </w:rPr>
  </w:style>
  <w:style w:type="character" w:customStyle="1" w:styleId="62">
    <w:name w:val="tip12"/>
    <w:qFormat/>
    <w:uiPriority w:val="99"/>
    <w:rPr>
      <w:vanish/>
      <w:color w:val="FF0000"/>
      <w:sz w:val="18"/>
    </w:rPr>
  </w:style>
  <w:style w:type="character" w:customStyle="1" w:styleId="63">
    <w:name w:val="Body Text Indent 3 Char"/>
    <w:qFormat/>
    <w:locked/>
    <w:uiPriority w:val="99"/>
    <w:rPr>
      <w:rFonts w:ascii="宋体" w:eastAsia="宋体"/>
    </w:rPr>
  </w:style>
  <w:style w:type="character" w:customStyle="1" w:styleId="64">
    <w:name w:val="HTML Markup"/>
    <w:qFormat/>
    <w:uiPriority w:val="99"/>
    <w:rPr>
      <w:vanish/>
      <w:color w:val="FF0000"/>
    </w:rPr>
  </w:style>
  <w:style w:type="character" w:customStyle="1" w:styleId="65">
    <w:name w:val="tip7"/>
    <w:qFormat/>
    <w:uiPriority w:val="99"/>
    <w:rPr>
      <w:vanish/>
      <w:color w:val="FF0000"/>
      <w:sz w:val="18"/>
    </w:rPr>
  </w:style>
  <w:style w:type="character" w:customStyle="1" w:styleId="66">
    <w:name w:val="f-star"/>
    <w:qFormat/>
    <w:uiPriority w:val="99"/>
    <w:rPr>
      <w:color w:val="999999"/>
      <w:sz w:val="21"/>
    </w:rPr>
  </w:style>
  <w:style w:type="character" w:customStyle="1" w:styleId="67">
    <w:name w:val="Document Map Char1"/>
    <w:qFormat/>
    <w:uiPriority w:val="99"/>
    <w:rPr>
      <w:rFonts w:ascii="Times New Roman" w:hAnsi="Times New Roman"/>
      <w:kern w:val="2"/>
      <w:sz w:val="2"/>
    </w:rPr>
  </w:style>
  <w:style w:type="character" w:customStyle="1" w:styleId="68">
    <w:name w:val="my-class2"/>
    <w:basedOn w:val="28"/>
    <w:qFormat/>
    <w:uiPriority w:val="99"/>
    <w:rPr>
      <w:rFonts w:cs="Times New Roman"/>
    </w:rPr>
  </w:style>
  <w:style w:type="character" w:customStyle="1" w:styleId="69">
    <w:name w:val="no52"/>
    <w:basedOn w:val="28"/>
    <w:qFormat/>
    <w:uiPriority w:val="99"/>
    <w:rPr>
      <w:rFonts w:cs="Times New Roman"/>
    </w:rPr>
  </w:style>
  <w:style w:type="character" w:customStyle="1" w:styleId="70">
    <w:name w:val="no4"/>
    <w:basedOn w:val="28"/>
    <w:qFormat/>
    <w:uiPriority w:val="99"/>
    <w:rPr>
      <w:rFonts w:cs="Times New Roman"/>
    </w:rPr>
  </w:style>
  <w:style w:type="character" w:customStyle="1" w:styleId="71">
    <w:name w:val="my-notice"/>
    <w:basedOn w:val="28"/>
    <w:qFormat/>
    <w:uiPriority w:val="99"/>
    <w:rPr>
      <w:rFonts w:cs="Times New Roman"/>
    </w:rPr>
  </w:style>
  <w:style w:type="character" w:customStyle="1" w:styleId="72">
    <w:name w:val="ico-jiang"/>
    <w:basedOn w:val="28"/>
    <w:qFormat/>
    <w:uiPriority w:val="99"/>
    <w:rPr>
      <w:rFonts w:cs="Times New Roman"/>
    </w:rPr>
  </w:style>
  <w:style w:type="character" w:customStyle="1" w:styleId="73">
    <w:name w:val="ico-jiang2"/>
    <w:basedOn w:val="28"/>
    <w:qFormat/>
    <w:uiPriority w:val="99"/>
    <w:rPr>
      <w:rFonts w:cs="Times New Roman"/>
    </w:rPr>
  </w:style>
  <w:style w:type="character" w:customStyle="1" w:styleId="74">
    <w:name w:val="bds_more1"/>
    <w:qFormat/>
    <w:uiPriority w:val="99"/>
    <w:rPr>
      <w:rFonts w:ascii="宋体" w:hAnsi="宋体" w:eastAsia="宋体"/>
    </w:rPr>
  </w:style>
  <w:style w:type="character" w:customStyle="1" w:styleId="75">
    <w:name w:val="Body Text Indent 2 Char"/>
    <w:qFormat/>
    <w:locked/>
    <w:uiPriority w:val="99"/>
    <w:rPr>
      <w:rFonts w:ascii="宋体" w:eastAsia="宋体"/>
      <w:sz w:val="24"/>
    </w:rPr>
  </w:style>
  <w:style w:type="character" w:customStyle="1" w:styleId="76">
    <w:name w:val="org_name"/>
    <w:basedOn w:val="28"/>
    <w:qFormat/>
    <w:uiPriority w:val="99"/>
    <w:rPr>
      <w:rFonts w:cs="Times New Roman"/>
    </w:rPr>
  </w:style>
  <w:style w:type="character" w:customStyle="1" w:styleId="77">
    <w:name w:val="org_name2"/>
    <w:basedOn w:val="28"/>
    <w:qFormat/>
    <w:uiPriority w:val="99"/>
    <w:rPr>
      <w:rFonts w:cs="Times New Roman"/>
    </w:rPr>
  </w:style>
  <w:style w:type="character" w:customStyle="1" w:styleId="78">
    <w:name w:val="tip10"/>
    <w:qFormat/>
    <w:uiPriority w:val="99"/>
    <w:rPr>
      <w:vanish/>
      <w:color w:val="FF0000"/>
      <w:sz w:val="18"/>
    </w:rPr>
  </w:style>
  <w:style w:type="character" w:customStyle="1" w:styleId="79">
    <w:name w:val="orange"/>
    <w:qFormat/>
    <w:uiPriority w:val="99"/>
    <w:rPr>
      <w:color w:val="3FB58F"/>
    </w:rPr>
  </w:style>
  <w:style w:type="character" w:customStyle="1" w:styleId="80">
    <w:name w:val="bds_more"/>
    <w:basedOn w:val="28"/>
    <w:qFormat/>
    <w:uiPriority w:val="99"/>
    <w:rPr>
      <w:rFonts w:cs="Times New Roman"/>
    </w:rPr>
  </w:style>
  <w:style w:type="character" w:customStyle="1" w:styleId="81">
    <w:name w:val="t-tag"/>
    <w:qFormat/>
    <w:uiPriority w:val="99"/>
    <w:rPr>
      <w:color w:val="FFFFFF"/>
      <w:sz w:val="18"/>
      <w:shd w:val="clear" w:color="auto" w:fill="FE8833"/>
    </w:rPr>
  </w:style>
  <w:style w:type="character" w:customStyle="1" w:styleId="82">
    <w:name w:val="top-icon"/>
    <w:basedOn w:val="28"/>
    <w:qFormat/>
    <w:uiPriority w:val="99"/>
    <w:rPr>
      <w:rFonts w:cs="Times New Roman"/>
    </w:rPr>
  </w:style>
  <w:style w:type="character" w:customStyle="1" w:styleId="83">
    <w:name w:val="Body Text Char"/>
    <w:qFormat/>
    <w:locked/>
    <w:uiPriority w:val="99"/>
    <w:rPr>
      <w:sz w:val="24"/>
    </w:rPr>
  </w:style>
  <w:style w:type="character" w:customStyle="1" w:styleId="84">
    <w:name w:val="no72"/>
    <w:basedOn w:val="28"/>
    <w:qFormat/>
    <w:uiPriority w:val="99"/>
    <w:rPr>
      <w:rFonts w:cs="Times New Roman"/>
    </w:rPr>
  </w:style>
  <w:style w:type="character" w:customStyle="1" w:styleId="85">
    <w:name w:val="bds_nopic2"/>
    <w:basedOn w:val="28"/>
    <w:qFormat/>
    <w:uiPriority w:val="99"/>
    <w:rPr>
      <w:rFonts w:cs="Times New Roman"/>
    </w:rPr>
  </w:style>
  <w:style w:type="character" w:customStyle="1" w:styleId="86">
    <w:name w:val="Document Map Char"/>
    <w:qFormat/>
    <w:uiPriority w:val="99"/>
    <w:rPr>
      <w:rFonts w:ascii="宋体"/>
      <w:sz w:val="18"/>
    </w:rPr>
  </w:style>
  <w:style w:type="character" w:customStyle="1" w:styleId="87">
    <w:name w:val="no6"/>
    <w:basedOn w:val="28"/>
    <w:qFormat/>
    <w:uiPriority w:val="99"/>
    <w:rPr>
      <w:rFonts w:cs="Times New Roman"/>
    </w:rPr>
  </w:style>
  <w:style w:type="character" w:customStyle="1" w:styleId="88">
    <w:name w:val="tip"/>
    <w:qFormat/>
    <w:uiPriority w:val="99"/>
    <w:rPr>
      <w:vanish/>
      <w:color w:val="FF0000"/>
      <w:sz w:val="18"/>
    </w:rPr>
  </w:style>
  <w:style w:type="character" w:customStyle="1" w:styleId="89">
    <w:name w:val="apple-converted-space"/>
    <w:basedOn w:val="28"/>
    <w:qFormat/>
    <w:uiPriority w:val="99"/>
    <w:rPr>
      <w:rFonts w:cs="Times New Roman"/>
    </w:rPr>
  </w:style>
  <w:style w:type="character" w:customStyle="1" w:styleId="90">
    <w:name w:val="bds_more2"/>
    <w:basedOn w:val="28"/>
    <w:qFormat/>
    <w:uiPriority w:val="99"/>
    <w:rPr>
      <w:rFonts w:cs="Times New Roman"/>
    </w:rPr>
  </w:style>
  <w:style w:type="character" w:customStyle="1" w:styleId="91">
    <w:name w:val="my-class"/>
    <w:basedOn w:val="28"/>
    <w:qFormat/>
    <w:uiPriority w:val="99"/>
    <w:rPr>
      <w:rFonts w:cs="Times New Roman"/>
    </w:rPr>
  </w:style>
  <w:style w:type="character" w:customStyle="1" w:styleId="92">
    <w:name w:val="ui-bz-bg-hover"/>
    <w:qFormat/>
    <w:uiPriority w:val="99"/>
    <w:rPr>
      <w:shd w:val="clear" w:color="auto" w:fill="000000"/>
    </w:rPr>
  </w:style>
  <w:style w:type="character" w:customStyle="1" w:styleId="93">
    <w:name w:val="no7"/>
    <w:basedOn w:val="28"/>
    <w:qFormat/>
    <w:uiPriority w:val="99"/>
    <w:rPr>
      <w:rFonts w:cs="Times New Roman"/>
    </w:rPr>
  </w:style>
  <w:style w:type="character" w:customStyle="1" w:styleId="94">
    <w:name w:val="正文缩进 Char"/>
    <w:link w:val="6"/>
    <w:qFormat/>
    <w:locked/>
    <w:uiPriority w:val="99"/>
    <w:rPr>
      <w:rFonts w:ascii="Times New Roman" w:hAnsi="Times New Roman" w:eastAsia="宋体" w:cs="Times New Roman"/>
      <w:kern w:val="0"/>
      <w:sz w:val="24"/>
      <w:szCs w:val="20"/>
    </w:rPr>
  </w:style>
  <w:style w:type="character" w:customStyle="1" w:styleId="95">
    <w:name w:val="ico-jiang1"/>
    <w:basedOn w:val="28"/>
    <w:qFormat/>
    <w:uiPriority w:val="99"/>
    <w:rPr>
      <w:rFonts w:cs="Times New Roman"/>
    </w:rPr>
  </w:style>
  <w:style w:type="character" w:customStyle="1" w:styleId="96">
    <w:name w:val="no62"/>
    <w:basedOn w:val="28"/>
    <w:qFormat/>
    <w:uiPriority w:val="99"/>
    <w:rPr>
      <w:rFonts w:cs="Times New Roman"/>
    </w:rPr>
  </w:style>
  <w:style w:type="character" w:customStyle="1" w:styleId="97">
    <w:name w:val="orange5"/>
    <w:qFormat/>
    <w:uiPriority w:val="99"/>
    <w:rPr>
      <w:color w:val="3FB58F"/>
    </w:rPr>
  </w:style>
  <w:style w:type="character" w:customStyle="1" w:styleId="98">
    <w:name w:val="bds_more4"/>
    <w:basedOn w:val="28"/>
    <w:qFormat/>
    <w:uiPriority w:val="99"/>
    <w:rPr>
      <w:rFonts w:cs="Times New Roman"/>
    </w:rPr>
  </w:style>
  <w:style w:type="character" w:customStyle="1" w:styleId="99">
    <w:name w:val="no5"/>
    <w:basedOn w:val="28"/>
    <w:qFormat/>
    <w:uiPriority w:val="99"/>
    <w:rPr>
      <w:rFonts w:cs="Times New Roman"/>
    </w:rPr>
  </w:style>
  <w:style w:type="character" w:customStyle="1" w:styleId="100">
    <w:name w:val="bds_more3"/>
    <w:basedOn w:val="28"/>
    <w:qFormat/>
    <w:uiPriority w:val="99"/>
    <w:rPr>
      <w:rFonts w:cs="Times New Roman"/>
    </w:rPr>
  </w:style>
  <w:style w:type="character" w:customStyle="1" w:styleId="101">
    <w:name w:val="no42"/>
    <w:basedOn w:val="28"/>
    <w:qFormat/>
    <w:uiPriority w:val="99"/>
    <w:rPr>
      <w:rFonts w:cs="Times New Roman"/>
    </w:rPr>
  </w:style>
  <w:style w:type="character" w:customStyle="1" w:styleId="102">
    <w:name w:val="bds_nopic1"/>
    <w:basedOn w:val="28"/>
    <w:qFormat/>
    <w:uiPriority w:val="99"/>
    <w:rPr>
      <w:rFonts w:cs="Times New Roman"/>
    </w:rPr>
  </w:style>
  <w:style w:type="character" w:customStyle="1" w:styleId="103">
    <w:name w:val="my-notice1"/>
    <w:basedOn w:val="28"/>
    <w:qFormat/>
    <w:uiPriority w:val="99"/>
    <w:rPr>
      <w:rFonts w:cs="Times New Roman"/>
    </w:rPr>
  </w:style>
  <w:style w:type="character" w:customStyle="1" w:styleId="104">
    <w:name w:val="orange6"/>
    <w:qFormat/>
    <w:uiPriority w:val="99"/>
    <w:rPr>
      <w:color w:val="3FB58F"/>
    </w:rPr>
  </w:style>
  <w:style w:type="character" w:customStyle="1" w:styleId="105">
    <w:name w:val="Document Map Char2"/>
    <w:qFormat/>
    <w:locked/>
    <w:uiPriority w:val="99"/>
    <w:rPr>
      <w:rFonts w:ascii="宋体"/>
      <w:sz w:val="18"/>
    </w:rPr>
  </w:style>
  <w:style w:type="character" w:customStyle="1" w:styleId="106">
    <w:name w:val="ico-jiang3"/>
    <w:basedOn w:val="28"/>
    <w:qFormat/>
    <w:uiPriority w:val="99"/>
    <w:rPr>
      <w:rFonts w:cs="Times New Roman"/>
    </w:rPr>
  </w:style>
  <w:style w:type="character" w:customStyle="1" w:styleId="107">
    <w:name w:val="tip13"/>
    <w:qFormat/>
    <w:uiPriority w:val="99"/>
    <w:rPr>
      <w:vanish/>
      <w:color w:val="FF0000"/>
      <w:sz w:val="18"/>
    </w:rPr>
  </w:style>
  <w:style w:type="character" w:customStyle="1" w:styleId="108">
    <w:name w:val="正文文本缩进 2 Char"/>
    <w:basedOn w:val="28"/>
    <w:link w:val="14"/>
    <w:qFormat/>
    <w:uiPriority w:val="99"/>
    <w:rPr>
      <w:rFonts w:ascii="宋体" w:hAnsi="Calibri" w:eastAsia="宋体" w:cs="Times New Roman"/>
      <w:kern w:val="0"/>
      <w:sz w:val="24"/>
      <w:szCs w:val="20"/>
    </w:rPr>
  </w:style>
  <w:style w:type="character" w:customStyle="1" w:styleId="109">
    <w:name w:val="Body Text Indent 2 Char1"/>
    <w:basedOn w:val="28"/>
    <w:semiHidden/>
    <w:qFormat/>
    <w:locked/>
    <w:uiPriority w:val="99"/>
    <w:rPr>
      <w:rFonts w:cs="Times New Roman"/>
    </w:rPr>
  </w:style>
  <w:style w:type="character" w:customStyle="1" w:styleId="110">
    <w:name w:val="正文文本缩进 3 Char"/>
    <w:basedOn w:val="28"/>
    <w:link w:val="21"/>
    <w:qFormat/>
    <w:uiPriority w:val="99"/>
    <w:rPr>
      <w:rFonts w:ascii="宋体" w:hAnsi="Calibri" w:eastAsia="宋体" w:cs="Times New Roman"/>
      <w:kern w:val="0"/>
      <w:sz w:val="20"/>
      <w:szCs w:val="20"/>
    </w:rPr>
  </w:style>
  <w:style w:type="character" w:customStyle="1" w:styleId="111">
    <w:name w:val="Body Text Indent 3 Char1"/>
    <w:basedOn w:val="28"/>
    <w:semiHidden/>
    <w:qFormat/>
    <w:locked/>
    <w:uiPriority w:val="99"/>
    <w:rPr>
      <w:rFonts w:cs="Times New Roman"/>
      <w:sz w:val="16"/>
      <w:szCs w:val="16"/>
    </w:rPr>
  </w:style>
  <w:style w:type="character" w:customStyle="1" w:styleId="112">
    <w:name w:val="文档结构图 Char"/>
    <w:basedOn w:val="28"/>
    <w:link w:val="7"/>
    <w:qFormat/>
    <w:uiPriority w:val="99"/>
    <w:rPr>
      <w:rFonts w:ascii="宋体" w:hAnsi="Calibri" w:eastAsia="宋体" w:cs="Times New Roman"/>
      <w:kern w:val="0"/>
      <w:sz w:val="18"/>
      <w:szCs w:val="20"/>
    </w:rPr>
  </w:style>
  <w:style w:type="character" w:customStyle="1" w:styleId="113">
    <w:name w:val="Document Map Char3"/>
    <w:basedOn w:val="28"/>
    <w:semiHidden/>
    <w:qFormat/>
    <w:locked/>
    <w:uiPriority w:val="99"/>
    <w:rPr>
      <w:rFonts w:ascii="Times New Roman" w:hAnsi="Times New Roman" w:cs="Times New Roman"/>
      <w:sz w:val="2"/>
    </w:rPr>
  </w:style>
  <w:style w:type="paragraph" w:customStyle="1" w:styleId="114">
    <w:name w:val="_Style 1"/>
    <w:basedOn w:val="1"/>
    <w:qFormat/>
    <w:uiPriority w:val="99"/>
    <w:pPr>
      <w:ind w:firstLine="420" w:firstLineChars="200"/>
    </w:pPr>
    <w:rPr>
      <w:rFonts w:ascii="Times New Roman" w:hAnsi="Times New Roman" w:eastAsia="宋体" w:cs="Times New Roman"/>
      <w:szCs w:val="24"/>
    </w:rPr>
  </w:style>
  <w:style w:type="character" w:customStyle="1" w:styleId="115">
    <w:name w:val="正文文本 Char"/>
    <w:basedOn w:val="28"/>
    <w:link w:val="9"/>
    <w:qFormat/>
    <w:uiPriority w:val="99"/>
    <w:rPr>
      <w:rFonts w:ascii="Calibri" w:hAnsi="Calibri" w:eastAsia="宋体" w:cs="Times New Roman"/>
      <w:kern w:val="0"/>
      <w:sz w:val="24"/>
      <w:szCs w:val="20"/>
    </w:rPr>
  </w:style>
  <w:style w:type="character" w:customStyle="1" w:styleId="116">
    <w:name w:val="Body Text Char1"/>
    <w:basedOn w:val="28"/>
    <w:semiHidden/>
    <w:qFormat/>
    <w:locked/>
    <w:uiPriority w:val="99"/>
    <w:rPr>
      <w:rFonts w:cs="Times New Roman"/>
    </w:rPr>
  </w:style>
  <w:style w:type="paragraph" w:customStyle="1" w:styleId="117">
    <w:name w:val="_Style 21"/>
    <w:basedOn w:val="1"/>
    <w:qFormat/>
    <w:uiPriority w:val="99"/>
    <w:rPr>
      <w:rFonts w:ascii="Times New Roman" w:hAnsi="Times New Roman" w:eastAsia="宋体" w:cs="Times New Roman"/>
      <w:szCs w:val="20"/>
    </w:rPr>
  </w:style>
  <w:style w:type="paragraph" w:customStyle="1" w:styleId="118">
    <w:name w:val="p0"/>
    <w:basedOn w:val="1"/>
    <w:qFormat/>
    <w:uiPriority w:val="99"/>
    <w:pPr>
      <w:widowControl/>
    </w:pPr>
    <w:rPr>
      <w:rFonts w:ascii="Times New Roman" w:hAnsi="Times New Roman" w:eastAsia="宋体" w:cs="Times New Roman"/>
      <w:kern w:val="0"/>
      <w:szCs w:val="21"/>
    </w:rPr>
  </w:style>
  <w:style w:type="paragraph" w:customStyle="1" w:styleId="119">
    <w:name w:val="xl37"/>
    <w:basedOn w:val="1"/>
    <w:qFormat/>
    <w:uiPriority w:val="99"/>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20">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21">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22">
    <w:name w:val="无间隔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23">
    <w:name w:val="列出段落11"/>
    <w:basedOn w:val="1"/>
    <w:qFormat/>
    <w:uiPriority w:val="99"/>
    <w:pPr>
      <w:ind w:firstLine="420" w:firstLineChars="200"/>
    </w:pPr>
    <w:rPr>
      <w:rFonts w:ascii="Times New Roman" w:hAnsi="Times New Roman" w:eastAsia="宋体" w:cs="Times New Roman"/>
      <w:szCs w:val="24"/>
    </w:rPr>
  </w:style>
  <w:style w:type="paragraph" w:customStyle="1" w:styleId="124">
    <w:name w:val="_Style 2"/>
    <w:basedOn w:val="1"/>
    <w:qFormat/>
    <w:uiPriority w:val="99"/>
    <w:pPr>
      <w:ind w:firstLine="420" w:firstLineChars="200"/>
    </w:pPr>
    <w:rPr>
      <w:rFonts w:ascii="Calibri" w:hAnsi="Calibri" w:eastAsia="宋体" w:cs="Times New Roman"/>
    </w:rPr>
  </w:style>
  <w:style w:type="paragraph" w:customStyle="1" w:styleId="125">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26">
    <w:name w:val="_Style 11"/>
    <w:basedOn w:val="1"/>
    <w:qFormat/>
    <w:uiPriority w:val="99"/>
    <w:rPr>
      <w:rFonts w:ascii="Times New Roman" w:hAnsi="Times New Roman" w:eastAsia="宋体" w:cs="Times New Roman"/>
      <w:szCs w:val="24"/>
    </w:rPr>
  </w:style>
  <w:style w:type="paragraph" w:customStyle="1" w:styleId="127">
    <w:name w:val="Char"/>
    <w:basedOn w:val="1"/>
    <w:qFormat/>
    <w:uiPriority w:val="99"/>
    <w:rPr>
      <w:rFonts w:ascii="Times New Roman" w:hAnsi="Times New Roman" w:eastAsia="宋体" w:cs="Times New Roman"/>
      <w:szCs w:val="21"/>
    </w:rPr>
  </w:style>
  <w:style w:type="paragraph" w:customStyle="1" w:styleId="128">
    <w:name w:val="列出段落1"/>
    <w:basedOn w:val="1"/>
    <w:qFormat/>
    <w:uiPriority w:val="99"/>
    <w:pPr>
      <w:ind w:firstLine="420" w:firstLineChars="200"/>
    </w:pPr>
    <w:rPr>
      <w:rFonts w:ascii="Times New Roman" w:hAnsi="Times New Roman" w:eastAsia="宋体" w:cs="Times New Roman"/>
      <w:szCs w:val="24"/>
    </w:rPr>
  </w:style>
  <w:style w:type="paragraph" w:customStyle="1" w:styleId="129">
    <w:name w:val="列出段落2"/>
    <w:basedOn w:val="1"/>
    <w:qFormat/>
    <w:uiPriority w:val="99"/>
    <w:pPr>
      <w:ind w:firstLine="420" w:firstLineChars="200"/>
    </w:pPr>
    <w:rPr>
      <w:rFonts w:ascii="Times New Roman" w:hAnsi="Times New Roman" w:eastAsia="宋体" w:cs="Times New Roman"/>
      <w:szCs w:val="24"/>
    </w:rPr>
  </w:style>
  <w:style w:type="paragraph" w:customStyle="1" w:styleId="130">
    <w:name w:val="TOC Heading"/>
    <w:basedOn w:val="2"/>
    <w:next w:val="1"/>
    <w:qFormat/>
    <w:uiPriority w:val="99"/>
    <w:pPr>
      <w:keepLines/>
      <w:spacing w:before="480" w:after="0" w:line="276" w:lineRule="auto"/>
      <w:jc w:val="left"/>
      <w:outlineLvl w:val="9"/>
    </w:pPr>
    <w:rPr>
      <w:rFonts w:ascii="Cambria" w:hAnsi="Cambria" w:cs="Times New Roman"/>
      <w:color w:val="365F91"/>
      <w:kern w:val="0"/>
      <w:sz w:val="28"/>
      <w:szCs w:val="28"/>
    </w:rPr>
  </w:style>
  <w:style w:type="paragraph" w:customStyle="1" w:styleId="131">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paragraph" w:customStyle="1" w:styleId="132">
    <w:name w:val="xl6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
    <w:name w:val="xl67"/>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34">
    <w:name w:val="xl68"/>
    <w:basedOn w:val="1"/>
    <w:qFormat/>
    <w:uiPriority w:val="0"/>
    <w:pPr>
      <w:widowControl/>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3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4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45">
    <w:name w:val="xl79"/>
    <w:basedOn w:val="1"/>
    <w:qFormat/>
    <w:uiPriority w:val="0"/>
    <w:pPr>
      <w:widowControl/>
      <w:spacing w:before="100" w:beforeAutospacing="1" w:after="100" w:afterAutospacing="1"/>
      <w:jc w:val="center"/>
    </w:pPr>
    <w:rPr>
      <w:rFonts w:ascii="宋体" w:hAnsi="宋体" w:eastAsia="宋体" w:cs="宋体"/>
      <w:kern w:val="0"/>
      <w:sz w:val="36"/>
      <w:szCs w:val="36"/>
    </w:rPr>
  </w:style>
  <w:style w:type="paragraph" w:customStyle="1" w:styleId="14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47">
    <w:name w:val="xl81"/>
    <w:basedOn w:val="1"/>
    <w:qFormat/>
    <w:uiPriority w:val="0"/>
    <w:pPr>
      <w:widowControl/>
      <w:pBdr>
        <w:top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14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character" w:customStyle="1" w:styleId="149">
    <w:name w:val="font31"/>
    <w:basedOn w:val="28"/>
    <w:qFormat/>
    <w:uiPriority w:val="0"/>
    <w:rPr>
      <w:rFonts w:hint="default" w:ascii="Calibri" w:hAnsi="Calibri" w:cs="Calibri"/>
      <w:color w:val="000000"/>
      <w:sz w:val="21"/>
      <w:szCs w:val="21"/>
      <w:u w:val="none"/>
    </w:rPr>
  </w:style>
  <w:style w:type="character" w:customStyle="1" w:styleId="150">
    <w:name w:val="font21"/>
    <w:basedOn w:val="28"/>
    <w:qFormat/>
    <w:uiPriority w:val="0"/>
    <w:rPr>
      <w:rFonts w:hint="eastAsia" w:ascii="宋体" w:hAnsi="宋体" w:eastAsia="宋体" w:cs="宋体"/>
      <w:color w:val="000000"/>
      <w:sz w:val="21"/>
      <w:szCs w:val="21"/>
      <w:u w:val="none"/>
    </w:rPr>
  </w:style>
  <w:style w:type="character" w:customStyle="1" w:styleId="151">
    <w:name w:val="font11"/>
    <w:basedOn w:val="28"/>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44</Pages>
  <Words>17930</Words>
  <Characters>19584</Characters>
  <Lines>324</Lines>
  <Paragraphs>91</Paragraphs>
  <TotalTime>38</TotalTime>
  <ScaleCrop>false</ScaleCrop>
  <LinksUpToDate>false</LinksUpToDate>
  <CharactersWithSpaces>21029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2017-07-21T11:07:00Z</dcterms:created>
  <dc:creator>WHB</dc:creator>
  <cp:lastModifiedBy>WPS_1512030460</cp:lastModifiedBy>
  <dcterms:modified xsi:type="dcterms:W3CDTF">2022-05-10T07:43:43Z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3DC3B8E6B6584E0CA5D508B28EA21875</vt:lpwstr>
  </property>
  <property fmtid="{D5CDD505-2E9C-101B-9397-08002B2CF9AE}" pid="4" name="commondata">
    <vt:lpwstr>eyJoZGlkIjoiMDQ4MGM5MjdkYzQyMTI1NzM3Y2U5YTQyZjNkZDlmOTYifQ==</vt:lpwstr>
  </property>
</Properties>
</file>