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2"/>
        <w:rPr>
          <w:rFonts w:hint="eastAsia"/>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cs="宋体"/>
          <w:b/>
          <w:sz w:val="36"/>
          <w:szCs w:val="36"/>
          <w:lang w:eastAsia="zh-CN"/>
        </w:rPr>
      </w:pPr>
      <w:r>
        <w:rPr>
          <w:rFonts w:hint="eastAsia" w:ascii="宋体" w:hAnsi="宋体" w:cs="宋体"/>
          <w:b/>
          <w:sz w:val="36"/>
          <w:szCs w:val="36"/>
          <w:lang w:eastAsia="zh-CN"/>
        </w:rPr>
        <w:t>新疆维吾尔自治区自然资源厅应用综合管理系统</w:t>
      </w: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二期项目</w:t>
      </w:r>
      <w:r>
        <w:rPr>
          <w:rFonts w:hint="eastAsia" w:ascii="宋体" w:hAnsi="宋体" w:eastAsia="宋体" w:cs="宋体"/>
          <w:b/>
          <w:sz w:val="36"/>
          <w:szCs w:val="36"/>
          <w:lang w:eastAsia="zh-CN"/>
        </w:rPr>
        <w:t>　</w:t>
      </w:r>
    </w:p>
    <w:p>
      <w:pPr>
        <w:pStyle w:val="2"/>
        <w:rPr>
          <w:rFonts w:hint="eastAsia"/>
          <w:lang w:eastAsia="zh-CN"/>
        </w:rPr>
      </w:pPr>
    </w:p>
    <w:p>
      <w:pPr>
        <w:pageBreakBefore w:val="0"/>
        <w:tabs>
          <w:tab w:val="left" w:pos="1960"/>
          <w:tab w:val="left" w:pos="3480"/>
          <w:tab w:val="left" w:pos="4980"/>
        </w:tabs>
        <w:kinsoku/>
        <w:topLinePunct w:val="0"/>
        <w:bidi w:val="0"/>
        <w:spacing w:line="400" w:lineRule="exact"/>
        <w:ind w:left="0" w:leftChars="0" w:firstLine="0" w:firstLineChars="0"/>
        <w:jc w:val="center"/>
        <w:rPr>
          <w:rFonts w:hint="eastAsia" w:ascii="宋体" w:hAnsi="宋体" w:eastAsia="宋体" w:cs="宋体"/>
          <w:b/>
          <w:sz w:val="36"/>
          <w:szCs w:val="36"/>
        </w:rPr>
      </w:pPr>
      <w:r>
        <w:rPr>
          <w:rFonts w:hint="eastAsia" w:ascii="宋体" w:hAnsi="宋体" w:eastAsia="宋体" w:cs="宋体"/>
          <w:b/>
          <w:sz w:val="36"/>
          <w:szCs w:val="36"/>
        </w:rPr>
        <w:t>竞争性磋商文件</w:t>
      </w:r>
    </w:p>
    <w:p>
      <w:pPr>
        <w:pStyle w:val="21"/>
        <w:rPr>
          <w:rFonts w:hint="eastAsia"/>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4"/>
          <w:szCs w:val="24"/>
          <w:lang w:val="en-US" w:eastAsia="zh-CN"/>
        </w:rPr>
      </w:pPr>
      <w:r>
        <w:rPr>
          <w:rFonts w:hint="eastAsia" w:ascii="宋体" w:hAnsi="宋体" w:eastAsia="宋体" w:cs="宋体"/>
          <w:b/>
          <w:sz w:val="24"/>
          <w:szCs w:val="24"/>
        </w:rPr>
        <w:t>项目编号：</w:t>
      </w:r>
      <w:r>
        <w:rPr>
          <w:rFonts w:hint="eastAsia" w:ascii="宋体" w:hAnsi="宋体" w:cs="宋体"/>
          <w:b/>
          <w:sz w:val="24"/>
          <w:szCs w:val="24"/>
          <w:lang w:eastAsia="zh-CN"/>
        </w:rPr>
        <w:t>HYGJ-ZFCG-2022-040</w:t>
      </w:r>
    </w:p>
    <w:p>
      <w:pPr>
        <w:pStyle w:val="15"/>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5"/>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2"/>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35"/>
        <w:pageBreakBefore w:val="0"/>
        <w:kinsoku/>
        <w:topLinePunct w:val="0"/>
        <w:bidi w:val="0"/>
        <w:spacing w:after="0" w:line="400" w:lineRule="exact"/>
        <w:ind w:left="0" w:leftChars="0" w:firstLine="0" w:firstLineChars="0"/>
        <w:rPr>
          <w:rFonts w:hint="eastAsia" w:ascii="宋体" w:hAnsi="宋体" w:eastAsia="宋体" w:cs="宋体"/>
          <w:sz w:val="21"/>
          <w:szCs w:val="21"/>
        </w:rPr>
      </w:pPr>
    </w:p>
    <w:p>
      <w:pPr>
        <w:pStyle w:val="2"/>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2"/>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2"/>
        <w:ind w:left="0" w:leftChars="0" w:firstLine="0" w:firstLineChars="0"/>
        <w:rPr>
          <w:rFonts w:hint="eastAsia" w:ascii="宋体" w:hAnsi="宋体" w:eastAsia="宋体" w:cs="宋体"/>
          <w:b/>
          <w:bCs/>
          <w:sz w:val="21"/>
          <w:szCs w:val="21"/>
        </w:rPr>
      </w:pPr>
    </w:p>
    <w:p>
      <w:pPr>
        <w:rPr>
          <w:rFonts w:hint="eastAsia"/>
        </w:rPr>
      </w:pPr>
    </w:p>
    <w:p>
      <w:pPr>
        <w:pStyle w:val="2"/>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采购人名称：</w:t>
      </w:r>
      <w:r>
        <w:rPr>
          <w:rFonts w:hint="eastAsia" w:ascii="宋体" w:hAnsi="宋体" w:cs="宋体"/>
          <w:sz w:val="24"/>
          <w:szCs w:val="24"/>
          <w:lang w:eastAsia="zh-CN"/>
        </w:rPr>
        <w:t>新疆维吾尔自治区测绘成果中心</w:t>
      </w:r>
      <w:r>
        <w:rPr>
          <w:rFonts w:hint="eastAsia" w:ascii="宋体" w:hAnsi="宋体" w:eastAsia="宋体" w:cs="宋体"/>
          <w:sz w:val="24"/>
          <w:szCs w:val="24"/>
        </w:rPr>
        <w:t> </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熊主任</w:t>
      </w:r>
      <w:r>
        <w:rPr>
          <w:rFonts w:hint="eastAsia" w:ascii="宋体" w:hAnsi="宋体" w:eastAsia="宋体" w:cs="宋体"/>
          <w:sz w:val="24"/>
          <w:szCs w:val="24"/>
        </w:rPr>
        <w:t xml:space="preserve">   </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cs="宋体"/>
          <w:sz w:val="24"/>
          <w:szCs w:val="24"/>
          <w:lang w:eastAsia="zh-CN"/>
        </w:rPr>
        <w:t>13999835790</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cs="宋体"/>
          <w:sz w:val="24"/>
          <w:szCs w:val="24"/>
          <w:lang w:eastAsia="zh-CN"/>
        </w:rPr>
        <w:t>乌鲁木齐市中山路462号A-19楼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Style w:val="35"/>
        <w:pageBreakBefore w:val="0"/>
        <w:kinsoku/>
        <w:topLinePunct w:val="0"/>
        <w:bidi w:val="0"/>
        <w:spacing w:after="0" w:line="400" w:lineRule="exact"/>
        <w:ind w:left="0" w:leftChars="0" w:firstLine="0" w:firstLineChars="0"/>
        <w:jc w:val="left"/>
        <w:rPr>
          <w:rFonts w:hint="eastAsia" w:ascii="宋体" w:hAnsi="宋体" w:eastAsia="宋体" w:cs="宋体"/>
          <w:sz w:val="24"/>
          <w:szCs w:val="24"/>
        </w:rPr>
      </w:pP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采购代理机构：宏业国际项目管理有限公司</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联系人：李苗</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联系电话：15022921857</w:t>
      </w:r>
    </w:p>
    <w:p>
      <w:pPr>
        <w:pageBreakBefore w:val="0"/>
        <w:kinsoku/>
        <w:topLinePunct w:val="0"/>
        <w:bidi w:val="0"/>
        <w:spacing w:line="400" w:lineRule="exact"/>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地址：乌鲁木齐水磨沟区红光山路万科大都会8号楼1202</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Style w:val="43"/>
          <w:rFonts w:hint="eastAsia" w:ascii="宋体" w:hAnsi="宋体" w:eastAsia="宋体" w:cs="宋体"/>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TOC \o "1-2" \h \z \u </w:instrText>
      </w:r>
      <w:r>
        <w:rPr>
          <w:rFonts w:hint="eastAsia" w:ascii="宋体" w:hAnsi="宋体" w:eastAsia="宋体" w:cs="宋体"/>
          <w:b/>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"_Toc462223639" </w:instrText>
      </w:r>
      <w:r>
        <w:rPr>
          <w:rFonts w:hint="eastAsia" w:ascii="宋体" w:hAnsi="宋体" w:eastAsia="宋体" w:cs="宋体"/>
          <w:sz w:val="21"/>
          <w:szCs w:val="21"/>
        </w:rPr>
        <w:fldChar w:fldCharType="separate"/>
      </w:r>
    </w:p>
    <w:sdt>
      <w:sdtPr>
        <w:rPr>
          <w:rFonts w:hint="eastAsia" w:ascii="宋体" w:hAnsi="宋体" w:eastAsia="宋体" w:cs="宋体"/>
          <w:sz w:val="21"/>
          <w:szCs w:val="21"/>
        </w:rPr>
        <w:id w:val="147474017"/>
        <w:docPartObj>
          <w:docPartGallery w:val="Table of Contents"/>
          <w:docPartUnique/>
        </w:docPartObj>
      </w:sdtPr>
      <w:sdtEndPr>
        <w:rPr>
          <w:rFonts w:hint="eastAsia" w:ascii="宋体" w:hAnsi="宋体" w:eastAsia="宋体" w:cs="宋体"/>
          <w:sz w:val="21"/>
          <w:szCs w:val="21"/>
        </w:rPr>
      </w:sdtEndPr>
      <w:sdtContent>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目  录</w:t>
          </w:r>
        </w:p>
        <w:p>
          <w:pPr>
            <w:pStyle w:val="124"/>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"_Toc23056"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第一章 </w:t>
          </w:r>
          <w:r>
            <w:rPr>
              <w:rFonts w:hint="eastAsia" w:ascii="宋体" w:hAnsi="宋体" w:eastAsia="宋体" w:cs="宋体"/>
              <w:kern w:val="2"/>
              <w:sz w:val="21"/>
              <w:szCs w:val="21"/>
            </w:rPr>
            <w:t>竞争性磋商公告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_Toc23056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4"/>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"_Toc11946" </w:instrText>
          </w:r>
          <w:r>
            <w:rPr>
              <w:rFonts w:hint="eastAsia" w:ascii="宋体" w:hAnsi="宋体" w:eastAsia="宋体" w:cs="宋体"/>
              <w:sz w:val="21"/>
              <w:szCs w:val="21"/>
            </w:rPr>
            <w:fldChar w:fldCharType="separate"/>
          </w:r>
          <w:r>
            <w:rPr>
              <w:rFonts w:hint="eastAsia" w:ascii="宋体" w:hAnsi="宋体" w:eastAsia="宋体" w:cs="宋体"/>
              <w:sz w:val="21"/>
              <w:szCs w:val="21"/>
            </w:rPr>
            <w:t>第二章  供应商须知</w:t>
          </w:r>
          <w:r>
            <w:rPr>
              <w:rFonts w:hint="eastAsia" w:ascii="宋体" w:hAnsi="宋体" w:eastAsia="宋体" w:cs="宋体"/>
              <w:sz w:val="21"/>
              <w:szCs w:val="21"/>
            </w:rPr>
            <w:tab/>
          </w:r>
          <w:r>
            <w:rPr>
              <w:rFonts w:hint="eastAsia" w:ascii="宋体" w:hAnsi="宋体" w:eastAsia="宋体" w:cs="宋体"/>
              <w:sz w:val="21"/>
              <w:szCs w:val="21"/>
              <w:lang w:val="en-US" w:eastAsia="zh-CN"/>
            </w:rPr>
            <w:t>3</w:t>
          </w:r>
          <w:r>
            <w:rPr>
              <w:rFonts w:hint="eastAsia" w:ascii="宋体" w:hAnsi="宋体" w:eastAsia="宋体" w:cs="宋体"/>
              <w:sz w:val="21"/>
              <w:szCs w:val="21"/>
            </w:rPr>
            <w:fldChar w:fldCharType="end"/>
          </w:r>
        </w:p>
        <w:p>
          <w:pPr>
            <w:pStyle w:val="124"/>
            <w:pageBreakBefore w:val="0"/>
            <w:tabs>
              <w:tab w:val="right" w:leader="dot" w:pos="9299"/>
            </w:tabs>
            <w:kinsoku/>
            <w:topLinePunct w:val="0"/>
            <w:bidi w:val="0"/>
            <w:spacing w:line="400" w:lineRule="exact"/>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"_Toc16105" </w:instrText>
          </w:r>
          <w:r>
            <w:rPr>
              <w:rFonts w:hint="eastAsia" w:ascii="宋体" w:hAnsi="宋体" w:eastAsia="宋体" w:cs="宋体"/>
              <w:sz w:val="21"/>
              <w:szCs w:val="21"/>
            </w:rPr>
            <w:fldChar w:fldCharType="separate"/>
          </w:r>
          <w:r>
            <w:rPr>
              <w:rFonts w:hint="eastAsia" w:ascii="宋体" w:hAnsi="宋体" w:eastAsia="宋体" w:cs="宋体"/>
              <w:sz w:val="21"/>
              <w:szCs w:val="21"/>
            </w:rPr>
            <w:t>第三章  项目需求</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20</w:t>
          </w:r>
        </w:p>
        <w:p>
          <w:pPr>
            <w:pStyle w:val="124"/>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"_Toc28434" </w:instrText>
          </w:r>
          <w:r>
            <w:rPr>
              <w:rFonts w:hint="eastAsia" w:ascii="宋体" w:hAnsi="宋体" w:eastAsia="宋体" w:cs="宋体"/>
              <w:sz w:val="21"/>
              <w:szCs w:val="21"/>
            </w:rPr>
            <w:fldChar w:fldCharType="separate"/>
          </w:r>
          <w:r>
            <w:rPr>
              <w:rFonts w:hint="eastAsia" w:ascii="宋体" w:hAnsi="宋体" w:eastAsia="宋体" w:cs="宋体"/>
              <w:sz w:val="21"/>
              <w:szCs w:val="21"/>
            </w:rPr>
            <w:t>第四章  合同条款（仅供参考）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_Toc28434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4"/>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"_Toc12367" </w:instrText>
          </w:r>
          <w:r>
            <w:rPr>
              <w:rFonts w:hint="eastAsia" w:ascii="宋体" w:hAnsi="宋体" w:eastAsia="宋体" w:cs="宋体"/>
              <w:sz w:val="21"/>
              <w:szCs w:val="21"/>
            </w:rPr>
            <w:fldChar w:fldCharType="separate"/>
          </w:r>
          <w:r>
            <w:rPr>
              <w:rFonts w:hint="eastAsia" w:ascii="宋体" w:hAnsi="宋体" w:eastAsia="宋体" w:cs="宋体"/>
              <w:sz w:val="21"/>
              <w:szCs w:val="21"/>
            </w:rPr>
            <w:t>第五章  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_Toc12367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4"/>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Style w:val="124"/>
            <w:pageBreakBefore w:val="0"/>
            <w:tabs>
              <w:tab w:val="right" w:leader="dot" w:pos="9299"/>
            </w:tabs>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end"/>
          </w:r>
        </w:p>
      </w:sdtContent>
    </w:sdt>
    <w:p>
      <w:pPr>
        <w:pStyle w:val="29"/>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fldChar w:fldCharType="end"/>
      </w:r>
    </w:p>
    <w:p>
      <w:pPr>
        <w:pStyle w:val="29"/>
        <w:pageBreakBefore w:val="0"/>
        <w:tabs>
          <w:tab w:val="right" w:leader="dot" w:pos="9683"/>
        </w:tabs>
        <w:kinsoku/>
        <w:topLinePunct w:val="0"/>
        <w:bidi w:val="0"/>
        <w:spacing w:line="400" w:lineRule="exact"/>
        <w:ind w:left="0" w:leftChars="0" w:firstLine="0" w:firstLineChars="0"/>
        <w:jc w:val="left"/>
        <w:rPr>
          <w:rFonts w:hint="eastAsia" w:ascii="宋体" w:hAnsi="宋体" w:eastAsia="宋体" w:cs="宋体"/>
          <w:sz w:val="21"/>
          <w:szCs w:val="21"/>
        </w:rPr>
      </w:pPr>
    </w:p>
    <w:p>
      <w:pPr>
        <w:pStyle w:val="29"/>
        <w:pageBreakBefore w:val="0"/>
        <w:tabs>
          <w:tab w:val="right" w:leader="dot" w:pos="8541"/>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Style w:val="29"/>
        <w:pageBreakBefore w:val="0"/>
        <w:tabs>
          <w:tab w:val="right" w:leader="dot" w:pos="9683"/>
        </w:tabs>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fldChar w:fldCharType="end"/>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298240402"/>
      <w:bookmarkStart w:id="1" w:name="_Toc462223629"/>
      <w:bookmarkStart w:id="2" w:name="_Toc349637917"/>
      <w:bookmarkStart w:id="3" w:name="_Toc349573118"/>
    </w:p>
    <w:p>
      <w:pPr>
        <w:pageBreakBefore w:val="0"/>
        <w:widowControl/>
        <w:kinsoku/>
        <w:topLinePunct w:val="0"/>
        <w:bidi w:val="0"/>
        <w:spacing w:line="400" w:lineRule="exact"/>
        <w:ind w:left="0" w:leftChars="0" w:firstLine="0" w:firstLineChars="0"/>
        <w:jc w:val="center"/>
        <w:outlineLvl w:val="0"/>
        <w:rPr>
          <w:rFonts w:hint="eastAsia" w:ascii="宋体" w:hAnsi="宋体" w:eastAsia="宋体" w:cs="宋体"/>
          <w:b/>
          <w:sz w:val="21"/>
          <w:szCs w:val="21"/>
        </w:rPr>
      </w:pPr>
      <w:bookmarkStart w:id="4" w:name="_Toc23056"/>
      <w:r>
        <w:rPr>
          <w:rFonts w:hint="eastAsia" w:ascii="宋体" w:hAnsi="宋体" w:eastAsia="宋体" w:cs="宋体"/>
          <w:b/>
          <w:sz w:val="21"/>
          <w:szCs w:val="21"/>
        </w:rPr>
        <w:t>第一章</w:t>
      </w:r>
      <w:bookmarkEnd w:id="0"/>
      <w:bookmarkEnd w:id="1"/>
      <w:bookmarkEnd w:id="2"/>
      <w:bookmarkEnd w:id="3"/>
      <w:bookmarkStart w:id="5" w:name="_Hlk51338716"/>
      <w:bookmarkStart w:id="6" w:name="_Toc267301280"/>
      <w:bookmarkStart w:id="7" w:name="_Toc462223630"/>
      <w:bookmarkStart w:id="8" w:name="_Toc349637918"/>
      <w:bookmarkStart w:id="9" w:name="_Toc298240403"/>
      <w:bookmarkStart w:id="10" w:name="_Toc349573119"/>
      <w:r>
        <w:rPr>
          <w:rFonts w:hint="eastAsia" w:ascii="宋体" w:hAnsi="宋体" w:eastAsia="宋体" w:cs="宋体"/>
          <w:b/>
          <w:sz w:val="21"/>
          <w:szCs w:val="21"/>
        </w:rPr>
        <w:t xml:space="preserve"> 竞争性磋商公告</w:t>
      </w:r>
      <w:bookmarkEnd w:id="4"/>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lang w:eastAsia="zh-CN"/>
        </w:rPr>
      </w:pPr>
      <w:r>
        <w:rPr>
          <w:rFonts w:hint="eastAsia" w:ascii="宋体" w:hAnsi="宋体" w:cs="宋体"/>
          <w:b/>
          <w:sz w:val="21"/>
          <w:szCs w:val="21"/>
          <w:lang w:eastAsia="zh-CN"/>
        </w:rPr>
        <w:t>新疆维吾尔自治区自然资源厅应用综合管理系统二期项目</w:t>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竞争性磋商公告</w:t>
      </w: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项目概况</w:t>
      </w:r>
    </w:p>
    <w:p>
      <w:pPr>
        <w:pageBreakBefore w:val="0"/>
        <w:pBdr>
          <w:top w:val="single" w:color="auto" w:sz="4" w:space="1"/>
          <w:left w:val="single" w:color="auto" w:sz="4" w:space="4"/>
          <w:bottom w:val="single" w:color="auto" w:sz="4" w:space="1"/>
          <w:right w:val="single" w:color="auto" w:sz="4" w:space="4"/>
        </w:pBdr>
        <w:kinsoku/>
        <w:topLinePunct w:val="0"/>
        <w:bidi w:val="0"/>
        <w:spacing w:line="400" w:lineRule="exact"/>
        <w:ind w:left="0" w:leftChars="0" w:firstLine="0" w:firstLineChars="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u w:val="single"/>
          <w:lang w:val="en-US" w:eastAsia="zh-CN" w:bidi="ar-SA"/>
        </w:rPr>
        <w:t xml:space="preserve">新疆维吾尔自治区自然资源厅应用综合管理系统二期项目 </w:t>
      </w:r>
      <w:r>
        <w:rPr>
          <w:rFonts w:hint="eastAsia" w:ascii="宋体" w:hAnsi="宋体" w:eastAsia="宋体" w:cs="宋体"/>
          <w:color w:val="000000"/>
          <w:kern w:val="0"/>
          <w:sz w:val="21"/>
          <w:szCs w:val="21"/>
          <w:highlight w:val="none"/>
          <w:lang w:val="en-US" w:eastAsia="zh-CN" w:bidi="ar-SA"/>
        </w:rPr>
        <w:t>的潜在投标人应在乌鲁木齐水磨沟区红光山路万科大都会8号楼1202室获取招标文件，并于</w:t>
      </w:r>
      <w:r>
        <w:rPr>
          <w:rFonts w:hint="eastAsia" w:ascii="宋体" w:hAnsi="宋体" w:cs="宋体"/>
          <w:color w:val="000000"/>
          <w:kern w:val="0"/>
          <w:sz w:val="21"/>
          <w:szCs w:val="21"/>
          <w:highlight w:val="none"/>
          <w:lang w:val="en-US" w:eastAsia="zh-CN" w:bidi="ar-SA"/>
        </w:rPr>
        <w:t>2022年5月11日11时00分（北京时间）</w:t>
      </w:r>
      <w:r>
        <w:rPr>
          <w:rFonts w:hint="eastAsia" w:ascii="宋体" w:hAnsi="宋体" w:eastAsia="宋体" w:cs="宋体"/>
          <w:color w:val="000000"/>
          <w:kern w:val="0"/>
          <w:sz w:val="21"/>
          <w:szCs w:val="21"/>
          <w:highlight w:val="none"/>
          <w:lang w:val="en-US" w:eastAsia="zh-CN" w:bidi="ar-SA"/>
        </w:rPr>
        <w:t>前递交投标文件。</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9"/>
          <w:rFonts w:hint="eastAsia" w:ascii="宋体" w:hAnsi="宋体" w:eastAsia="宋体" w:cs="宋体"/>
          <w:color w:val="000000"/>
          <w:sz w:val="21"/>
          <w:szCs w:val="21"/>
          <w:highlight w:val="none"/>
        </w:rPr>
        <w:t>一、项目基本情况</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项目编号：</w:t>
      </w:r>
      <w:r>
        <w:rPr>
          <w:rFonts w:hint="eastAsia" w:ascii="宋体" w:hAnsi="宋体" w:eastAsia="宋体" w:cs="宋体"/>
          <w:color w:val="000000"/>
          <w:sz w:val="21"/>
          <w:szCs w:val="21"/>
          <w:highlight w:val="none"/>
          <w:lang w:eastAsia="zh-CN"/>
        </w:rPr>
        <w:t>HYGJ-ZFCG-2022-040</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lang w:eastAsia="zh-CN"/>
        </w:rPr>
        <w:t>新疆维吾尔自治区自然资源厅应用综合管理系统二期项目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采购方式：竞争性磋商</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预算金额（元）：</w:t>
      </w:r>
      <w:r>
        <w:rPr>
          <w:rFonts w:hint="eastAsia" w:ascii="宋体" w:hAnsi="宋体" w:eastAsia="宋体" w:cs="宋体"/>
          <w:color w:val="000000"/>
          <w:sz w:val="21"/>
          <w:szCs w:val="21"/>
          <w:highlight w:val="none"/>
          <w:lang w:val="en-US" w:eastAsia="zh-CN"/>
        </w:rPr>
        <w:t>650000.00</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最高限价（元）：</w:t>
      </w:r>
      <w:r>
        <w:rPr>
          <w:rFonts w:hint="eastAsia" w:ascii="宋体" w:hAnsi="宋体" w:eastAsia="宋体" w:cs="宋体"/>
          <w:color w:val="000000"/>
          <w:sz w:val="21"/>
          <w:szCs w:val="21"/>
          <w:highlight w:val="none"/>
          <w:lang w:val="en-US" w:eastAsia="zh-CN"/>
        </w:rPr>
        <w:t>650000.00</w:t>
      </w:r>
      <w:r>
        <w:rPr>
          <w:rFonts w:hint="eastAsia" w:ascii="宋体" w:hAnsi="宋体" w:eastAsia="宋体" w:cs="宋体"/>
          <w:color w:val="000000"/>
          <w:sz w:val="21"/>
          <w:szCs w:val="21"/>
          <w:highlight w:val="none"/>
        </w:rPr>
        <w:t> </w:t>
      </w:r>
      <w:r>
        <w:rPr>
          <w:rFonts w:hint="eastAsia" w:ascii="宋体" w:hAnsi="宋体" w:eastAsia="宋体" w:cs="宋体"/>
          <w:color w:val="000000"/>
          <w:sz w:val="21"/>
          <w:szCs w:val="21"/>
          <w:highlight w:val="none"/>
          <w:lang w:val="en-US" w:eastAsia="zh-CN"/>
        </w:rPr>
        <w:t xml:space="preserve">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简要描述：</w:t>
      </w:r>
    </w:p>
    <w:p>
      <w:pPr>
        <w:pStyle w:val="33"/>
        <w:pageBreakBefore w:val="0"/>
        <w:kinsoku/>
        <w:topLinePunct w:val="0"/>
        <w:bidi w:val="0"/>
        <w:spacing w:before="0" w:beforeAutospacing="0" w:after="0" w:afterAutospacing="0" w:line="400" w:lineRule="exact"/>
        <w:ind w:left="0" w:leftChars="0"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在现有新疆维吾尔自治区自然资源厅应用综合管理系统统一系统入口、统一用户管理、统一身份认证的基础上，进行子系统授权管理、统一待办管理、统一数据管理和统一支持和安全审计服务等功能开发。</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合同履约期限：本项目要求自合同签订后2个月内完成项目需求调研并完成总体设计方案编制，5个月内完成整个项目的开发、部署、测试，之后进入为期1个月的试运行。</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本项目（否）接受联合体投标。  </w:t>
      </w:r>
    </w:p>
    <w:p>
      <w:pPr>
        <w:pStyle w:val="33"/>
        <w:pageBreakBefore w:val="0"/>
        <w:kinsoku/>
        <w:topLinePunct w:val="0"/>
        <w:bidi w:val="0"/>
        <w:spacing w:before="0" w:beforeAutospacing="0" w:after="0" w:afterAutospacing="0" w:line="400" w:lineRule="exact"/>
        <w:ind w:left="0" w:leftChars="0" w:firstLine="0" w:firstLineChars="0"/>
        <w:jc w:val="both"/>
        <w:rPr>
          <w:rStyle w:val="39"/>
          <w:rFonts w:hint="eastAsia" w:ascii="宋体" w:hAnsi="宋体" w:eastAsia="宋体" w:cs="宋体"/>
          <w:color w:val="000000"/>
          <w:sz w:val="21"/>
          <w:szCs w:val="21"/>
          <w:highlight w:val="none"/>
        </w:rPr>
      </w:pPr>
      <w:r>
        <w:rPr>
          <w:rStyle w:val="39"/>
          <w:rFonts w:hint="eastAsia" w:ascii="宋体" w:hAnsi="宋体" w:eastAsia="宋体" w:cs="宋体"/>
          <w:color w:val="000000"/>
          <w:sz w:val="21"/>
          <w:szCs w:val="21"/>
          <w:highlight w:val="none"/>
        </w:rPr>
        <w:t>二、申请人的资格要求：</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1、落实政府采购政策需满足的资格要求：详见政府采购法；</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满足《中华人民共和国政府采购法》第二十二条规定；</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1）具有独立承担民事责任的能力，有效的营业执照；</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2）具有履行合同所必须的设备、人员、专业</w:t>
      </w:r>
      <w:r>
        <w:rPr>
          <w:rFonts w:hint="eastAsia" w:ascii="宋体" w:hAnsi="宋体" w:eastAsia="宋体" w:cs="宋体"/>
          <w:color w:val="000000"/>
          <w:sz w:val="21"/>
          <w:szCs w:val="21"/>
          <w:highlight w:val="none"/>
          <w:lang w:eastAsia="zh-CN"/>
        </w:rPr>
        <w:t>、资金</w:t>
      </w:r>
      <w:r>
        <w:rPr>
          <w:rFonts w:hint="eastAsia" w:ascii="宋体" w:hAnsi="宋体" w:eastAsia="宋体" w:cs="宋体"/>
          <w:color w:val="000000"/>
          <w:sz w:val="21"/>
          <w:szCs w:val="21"/>
          <w:highlight w:val="none"/>
        </w:rPr>
        <w:t>等方面相应的技术能力；</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4）参加招投标活动前三年内，在经营活动中没重大违法记录（受行政主管部门处罚的不能参加投标，提供声明书）。</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、本项目不接受联合体投标；</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具有行业主管部门颁发的乙级及以上测绘资质</w:t>
      </w:r>
      <w:r>
        <w:rPr>
          <w:rFonts w:hint="eastAsia" w:ascii="宋体" w:hAnsi="宋体" w:eastAsia="宋体" w:cs="宋体"/>
          <w:color w:val="000000"/>
          <w:sz w:val="21"/>
          <w:szCs w:val="21"/>
          <w:highlight w:val="none"/>
          <w:lang w:eastAsia="zh-CN"/>
        </w:rPr>
        <w:t>。</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9"/>
          <w:rFonts w:hint="eastAsia" w:ascii="宋体" w:hAnsi="宋体" w:eastAsia="宋体" w:cs="宋体"/>
          <w:color w:val="000000"/>
          <w:sz w:val="21"/>
          <w:szCs w:val="21"/>
          <w:highlight w:val="none"/>
        </w:rPr>
        <w:t>三、获取采购文件</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时间：2022年</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日至2022年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日，每天上午10:00至13:30，下午16:00至19:00（北京时间，法定节假日除外）</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地点：乌鲁木齐水磨沟区红光山路万科大都会8号楼1202室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方式：线下获取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售价（元）</w:t>
      </w:r>
      <w:r>
        <w:rPr>
          <w:rFonts w:hint="eastAsia" w:ascii="宋体" w:hAnsi="宋体" w:eastAsia="宋体" w:cs="宋体"/>
          <w:sz w:val="21"/>
          <w:szCs w:val="21"/>
          <w:highlight w:val="none"/>
          <w:lang w:val="en-US" w:eastAsia="zh-CN"/>
        </w:rPr>
        <w:t>300</w:t>
      </w:r>
      <w:r>
        <w:rPr>
          <w:rFonts w:hint="eastAsia" w:ascii="宋体" w:hAnsi="宋体" w:eastAsia="宋体" w:cs="宋体"/>
          <w:sz w:val="21"/>
          <w:szCs w:val="21"/>
          <w:highlight w:val="none"/>
        </w:rPr>
        <w:t> </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9"/>
          <w:rFonts w:hint="eastAsia" w:ascii="宋体" w:hAnsi="宋体" w:eastAsia="宋体" w:cs="宋体"/>
          <w:color w:val="000000"/>
          <w:sz w:val="21"/>
          <w:szCs w:val="21"/>
          <w:highlight w:val="none"/>
        </w:rPr>
        <w:t>四、响应文件提交</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截止时间</w:t>
      </w:r>
      <w:r>
        <w:rPr>
          <w:rFonts w:hint="eastAsia" w:ascii="宋体" w:hAnsi="宋体" w:eastAsia="宋体" w:cs="宋体"/>
          <w:sz w:val="21"/>
          <w:szCs w:val="21"/>
          <w:highlight w:val="none"/>
        </w:rPr>
        <w:t>：</w:t>
      </w:r>
      <w:r>
        <w:rPr>
          <w:rFonts w:hint="eastAsia" w:ascii="宋体" w:hAnsi="宋体" w:cs="宋体"/>
          <w:color w:val="000000"/>
          <w:kern w:val="0"/>
          <w:sz w:val="21"/>
          <w:szCs w:val="21"/>
          <w:highlight w:val="none"/>
          <w:lang w:val="en-US" w:eastAsia="zh-CN" w:bidi="ar-SA"/>
        </w:rPr>
        <w:t>2022年5月11日11时00分</w:t>
      </w:r>
      <w:r>
        <w:rPr>
          <w:rFonts w:hint="eastAsia" w:ascii="宋体" w:hAnsi="宋体" w:eastAsia="宋体" w:cs="宋体"/>
          <w:sz w:val="21"/>
          <w:szCs w:val="21"/>
          <w:highlight w:val="none"/>
        </w:rPr>
        <w:t>（北京时间）</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地点：乌鲁木齐水磨沟区红光山路万科大都会8号楼1202室 </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9"/>
          <w:rFonts w:hint="eastAsia" w:ascii="宋体" w:hAnsi="宋体" w:eastAsia="宋体" w:cs="宋体"/>
          <w:sz w:val="21"/>
          <w:szCs w:val="21"/>
          <w:highlight w:val="none"/>
        </w:rPr>
        <w:t>五、响应文件开启</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开启时间：</w:t>
      </w:r>
      <w:r>
        <w:rPr>
          <w:rFonts w:hint="eastAsia" w:ascii="宋体" w:hAnsi="宋体" w:cs="宋体"/>
          <w:color w:val="000000"/>
          <w:kern w:val="0"/>
          <w:sz w:val="21"/>
          <w:szCs w:val="21"/>
          <w:highlight w:val="none"/>
          <w:lang w:val="en-US" w:eastAsia="zh-CN" w:bidi="ar-SA"/>
        </w:rPr>
        <w:t>2022年5月11日11时00分</w:t>
      </w:r>
      <w:r>
        <w:rPr>
          <w:rFonts w:hint="eastAsia" w:ascii="宋体" w:hAnsi="宋体" w:eastAsia="宋体" w:cs="宋体"/>
          <w:sz w:val="21"/>
          <w:szCs w:val="21"/>
          <w:highlight w:val="none"/>
        </w:rPr>
        <w:t>（北京时间）</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地点：乌鲁木齐水磨沟区红光山路万科大都会8号楼1202室 </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9"/>
          <w:rFonts w:hint="eastAsia" w:ascii="宋体" w:hAnsi="宋体" w:eastAsia="宋体" w:cs="宋体"/>
          <w:color w:val="000000"/>
          <w:sz w:val="21"/>
          <w:szCs w:val="21"/>
          <w:highlight w:val="none"/>
        </w:rPr>
        <w:t>六、公告期限</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自本公告发布之日起5个工作日。</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highlight w:val="none"/>
        </w:rPr>
      </w:pPr>
      <w:r>
        <w:rPr>
          <w:rStyle w:val="39"/>
          <w:rFonts w:hint="eastAsia" w:ascii="宋体" w:hAnsi="宋体" w:eastAsia="宋体" w:cs="宋体"/>
          <w:color w:val="000000"/>
          <w:sz w:val="21"/>
          <w:szCs w:val="21"/>
          <w:highlight w:val="none"/>
        </w:rPr>
        <w:t>七、其他补充事宜</w:t>
      </w:r>
      <w:r>
        <w:rPr>
          <w:rFonts w:hint="eastAsia" w:ascii="宋体" w:hAnsi="宋体" w:eastAsia="宋体" w:cs="宋体"/>
          <w:color w:val="000000"/>
          <w:sz w:val="21"/>
          <w:szCs w:val="21"/>
          <w:highlight w:val="none"/>
        </w:rPr>
        <w:t>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投标供应商购买标书时应提交的资料：</w:t>
      </w:r>
    </w:p>
    <w:p>
      <w:pPr>
        <w:pStyle w:val="33"/>
        <w:pageBreakBefore w:val="0"/>
        <w:numPr>
          <w:ilvl w:val="0"/>
          <w:numId w:val="2"/>
        </w:numPr>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满足招标要求的“三证合一的营业执照；</w:t>
      </w:r>
    </w:p>
    <w:p>
      <w:pPr>
        <w:pStyle w:val="33"/>
        <w:pageBreakBefore w:val="0"/>
        <w:numPr>
          <w:ilvl w:val="0"/>
          <w:numId w:val="2"/>
        </w:numPr>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授权委托书原件及被授权人身份证原件（或者法定代表人身份证明书及法定代表人身份证）；</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以</w:t>
      </w:r>
      <w:r>
        <w:rPr>
          <w:rFonts w:hint="eastAsia" w:ascii="宋体" w:hAnsi="宋体" w:eastAsia="宋体" w:cs="宋体"/>
          <w:b/>
          <w:bCs/>
          <w:color w:val="000000"/>
          <w:sz w:val="21"/>
          <w:szCs w:val="21"/>
        </w:rPr>
        <w:t>上资料提交原件审核，复印件叁套加盖</w:t>
      </w:r>
      <w:r>
        <w:rPr>
          <w:rFonts w:hint="eastAsia" w:ascii="宋体" w:hAnsi="宋体" w:eastAsia="宋体" w:cs="宋体"/>
          <w:b/>
          <w:bCs/>
          <w:color w:val="000000"/>
          <w:sz w:val="21"/>
          <w:szCs w:val="21"/>
          <w:lang w:eastAsia="zh-CN"/>
        </w:rPr>
        <w:t>鲜</w:t>
      </w:r>
      <w:r>
        <w:rPr>
          <w:rFonts w:hint="eastAsia" w:ascii="宋体" w:hAnsi="宋体" w:eastAsia="宋体" w:cs="宋体"/>
          <w:b/>
          <w:bCs/>
          <w:color w:val="000000"/>
          <w:sz w:val="21"/>
          <w:szCs w:val="21"/>
        </w:rPr>
        <w:t>章，资料不全者，一律谢绝报名。（报名费以现金方式缴纳） </w:t>
      </w:r>
      <w:r>
        <w:rPr>
          <w:rFonts w:hint="eastAsia" w:ascii="宋体" w:hAnsi="宋体" w:eastAsia="宋体" w:cs="宋体"/>
          <w:color w:val="000000"/>
          <w:sz w:val="21"/>
          <w:szCs w:val="21"/>
        </w:rPr>
        <w:t> </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Style w:val="39"/>
          <w:rFonts w:hint="eastAsia" w:ascii="宋体" w:hAnsi="宋体" w:eastAsia="宋体" w:cs="宋体"/>
          <w:color w:val="000000"/>
          <w:sz w:val="21"/>
          <w:szCs w:val="21"/>
        </w:rPr>
        <w:t>八、凡对本次招标提出询问，请按以下方式联系</w:t>
      </w:r>
      <w:r>
        <w:rPr>
          <w:rFonts w:hint="eastAsia" w:ascii="宋体" w:hAnsi="宋体" w:eastAsia="宋体" w:cs="宋体"/>
          <w:color w:val="000000"/>
          <w:sz w:val="21"/>
          <w:szCs w:val="21"/>
        </w:rPr>
        <w:t>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1.采购人信息</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名 称：</w:t>
      </w:r>
      <w:r>
        <w:rPr>
          <w:rFonts w:hint="eastAsia" w:ascii="宋体" w:hAnsi="宋体" w:eastAsia="宋体" w:cs="宋体"/>
          <w:color w:val="000000"/>
          <w:sz w:val="21"/>
          <w:szCs w:val="21"/>
          <w:lang w:eastAsia="zh-CN"/>
        </w:rPr>
        <w:t>新疆维吾尔自治区测绘成果中心</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eastAsia="zh-CN"/>
        </w:rPr>
        <w:t>熊主任</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联系方式：</w:t>
      </w:r>
      <w:r>
        <w:rPr>
          <w:rFonts w:hint="eastAsia" w:ascii="宋体" w:hAnsi="宋体" w:eastAsia="宋体" w:cs="宋体"/>
          <w:color w:val="000000"/>
          <w:sz w:val="21"/>
          <w:szCs w:val="21"/>
          <w:lang w:eastAsia="zh-CN"/>
        </w:rPr>
        <w:t>13999835790</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lang w:eastAsia="zh-CN"/>
        </w:rPr>
        <w:t>乌鲁木齐市中山路462号A-19楼</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2.采购代理机构信息</w:t>
      </w:r>
    </w:p>
    <w:bookmarkEnd w:id="5"/>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采购代理机构：宏业国际项目管理有限公司</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联系人：李苗</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联系电话：15022921857</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地址：乌鲁木齐水磨沟区红光山路万科大都会8号楼1202</w:t>
      </w:r>
    </w:p>
    <w:p>
      <w:pPr>
        <w:pageBreakBefore w:val="0"/>
        <w:widowControl/>
        <w:shd w:val="clear" w:color="auto" w:fill="FFFFFF"/>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11" w:name="_Toc11946"/>
      <w:r>
        <w:rPr>
          <w:rFonts w:hint="eastAsia" w:ascii="宋体" w:hAnsi="宋体" w:eastAsia="宋体" w:cs="宋体"/>
          <w:b/>
          <w:sz w:val="21"/>
          <w:szCs w:val="21"/>
        </w:rPr>
        <w:t>第二章  供应商须知</w:t>
      </w:r>
      <w:bookmarkEnd w:id="6"/>
      <w:bookmarkEnd w:id="7"/>
      <w:bookmarkEnd w:id="8"/>
      <w:bookmarkEnd w:id="9"/>
      <w:bookmarkEnd w:id="10"/>
      <w:bookmarkEnd w:id="11"/>
      <w:bookmarkStart w:id="12" w:name="_Toc267301281"/>
      <w:bookmarkStart w:id="13" w:name="_Toc349637919"/>
      <w:bookmarkStart w:id="14" w:name="_Toc349573120"/>
      <w:bookmarkStart w:id="15" w:name="_Toc298240404"/>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16" w:name="_Toc462223631"/>
      <w:r>
        <w:rPr>
          <w:rFonts w:hint="eastAsia" w:ascii="宋体" w:hAnsi="宋体" w:eastAsia="宋体" w:cs="宋体"/>
          <w:b/>
          <w:sz w:val="21"/>
          <w:szCs w:val="21"/>
        </w:rPr>
        <w:t>供应商须知前附表</w:t>
      </w:r>
      <w:bookmarkEnd w:id="12"/>
      <w:bookmarkEnd w:id="13"/>
      <w:bookmarkEnd w:id="14"/>
      <w:bookmarkEnd w:id="15"/>
      <w:bookmarkEnd w:id="16"/>
    </w:p>
    <w:tbl>
      <w:tblPr>
        <w:tblStyle w:val="36"/>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sz w:val="21"/>
                <w:szCs w:val="21"/>
              </w:rPr>
              <w:br w:type="page"/>
            </w:r>
            <w:r>
              <w:rPr>
                <w:rFonts w:hint="eastAsia" w:ascii="宋体" w:hAnsi="宋体" w:eastAsia="宋体" w:cs="宋体"/>
                <w:b/>
                <w:bCs w:val="0"/>
                <w:color w:val="auto"/>
                <w:sz w:val="21"/>
                <w:szCs w:val="21"/>
                <w:highlight w:val="none"/>
              </w:rPr>
              <w:t>序列号</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条款名称</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6583" w:type="dxa"/>
            <w:noWrap w:val="0"/>
            <w:vAlign w:val="center"/>
          </w:tcPr>
          <w:p>
            <w:pPr>
              <w:pageBreakBefore w:val="0"/>
              <w:widowControl/>
              <w:kinsoku/>
              <w:wordWrap w:val="0"/>
              <w:topLinePunct w:val="0"/>
              <w:bidi w:val="0"/>
              <w:spacing w:line="400" w:lineRule="exact"/>
              <w:ind w:left="0" w:leftChars="0" w:firstLine="0" w:firstLineChars="0"/>
              <w:jc w:val="both"/>
              <w:rPr>
                <w:rFonts w:hint="eastAsia" w:ascii="宋体" w:hAnsi="宋体" w:eastAsia="宋体" w:cs="宋体"/>
                <w:b w:val="0"/>
                <w:bCs/>
                <w:color w:val="auto"/>
                <w:sz w:val="21"/>
                <w:szCs w:val="21"/>
                <w:highlight w:val="none"/>
              </w:rPr>
            </w:pPr>
            <w:r>
              <w:rPr>
                <w:rFonts w:hint="eastAsia" w:ascii="宋体" w:hAnsi="宋体" w:cs="宋体"/>
                <w:b w:val="0"/>
                <w:bCs/>
                <w:color w:val="000000"/>
                <w:kern w:val="0"/>
                <w:sz w:val="21"/>
                <w:szCs w:val="21"/>
                <w:lang w:val="en-US" w:eastAsia="zh-CN" w:bidi="ar-SA"/>
              </w:rPr>
              <w:t>新疆维吾尔自治区自然资源厅应用综合管理系统二期项目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w:t>
            </w:r>
          </w:p>
        </w:tc>
        <w:tc>
          <w:tcPr>
            <w:tcW w:w="6583" w:type="dxa"/>
            <w:noWrap w:val="0"/>
            <w:vAlign w:val="center"/>
          </w:tcPr>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采购人名称：新疆维吾尔自治区测绘成果中心</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联系人：熊主任</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联系方式：</w:t>
            </w:r>
            <w:r>
              <w:rPr>
                <w:rFonts w:hint="eastAsia" w:ascii="宋体" w:hAnsi="宋体" w:eastAsia="宋体" w:cs="宋体"/>
                <w:b w:val="0"/>
                <w:bCs/>
                <w:color w:val="000000"/>
                <w:sz w:val="21"/>
                <w:szCs w:val="21"/>
                <w:lang w:eastAsia="zh-CN"/>
              </w:rPr>
              <w:t>13999835790</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000000"/>
                <w:sz w:val="21"/>
                <w:szCs w:val="21"/>
              </w:rPr>
              <w:t>地 址：</w:t>
            </w:r>
            <w:r>
              <w:rPr>
                <w:rFonts w:hint="eastAsia" w:ascii="宋体" w:hAnsi="宋体" w:eastAsia="宋体" w:cs="宋体"/>
                <w:b w:val="0"/>
                <w:bCs/>
                <w:color w:val="000000"/>
                <w:sz w:val="21"/>
                <w:szCs w:val="21"/>
                <w:lang w:eastAsia="zh-CN"/>
              </w:rPr>
              <w:t>乌鲁木齐市中山路462号A-19楼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采购代理机构</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名称：宏业国际项目管理有限公司</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地　址：乌鲁木齐水磨沟区红光山路万科大都会8号楼1202室</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联系人：李苗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000000"/>
                <w:kern w:val="0"/>
                <w:sz w:val="21"/>
                <w:szCs w:val="21"/>
                <w:lang w:val="en-US" w:eastAsia="zh-CN" w:bidi="ar-SA"/>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采购方式</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采购内容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详见第一章采购公告或投标邀请书“</w:t>
            </w:r>
            <w:r>
              <w:rPr>
                <w:rFonts w:hint="eastAsia" w:ascii="宋体" w:hAnsi="宋体" w:eastAsia="宋体" w:cs="宋体"/>
                <w:color w:val="000000"/>
                <w:sz w:val="21"/>
                <w:szCs w:val="21"/>
              </w:rPr>
              <w:t>简要规格描述</w:t>
            </w:r>
            <w:r>
              <w:rPr>
                <w:rFonts w:hint="eastAsia" w:ascii="宋体" w:hAnsi="宋体" w:eastAsia="宋体" w:cs="宋体"/>
                <w:b w:val="0"/>
                <w:bCs/>
                <w:color w:val="000000"/>
                <w:kern w:val="0"/>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8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7</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资格审查方式</w:t>
            </w:r>
          </w:p>
        </w:tc>
        <w:tc>
          <w:tcPr>
            <w:tcW w:w="6583"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项目预算（最高限价）</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en-US" w:eastAsia="zh-CN" w:bidi="ar-SA"/>
              </w:rPr>
            </w:pPr>
            <w:r>
              <w:rPr>
                <w:rFonts w:hint="eastAsia" w:ascii="宋体" w:hAnsi="宋体" w:eastAsia="宋体" w:cs="宋体"/>
                <w:b w:val="0"/>
                <w:bCs/>
                <w:color w:val="000000"/>
                <w:kern w:val="0"/>
                <w:sz w:val="21"/>
                <w:szCs w:val="21"/>
                <w:highlight w:val="none"/>
                <w:lang w:val="zh-CN" w:eastAsia="zh-CN" w:bidi="ar-SA"/>
              </w:rPr>
              <w:t>金额（小写）：</w:t>
            </w:r>
            <w:r>
              <w:rPr>
                <w:rFonts w:hint="eastAsia" w:ascii="宋体" w:hAnsi="宋体" w:cs="宋体"/>
                <w:b w:val="0"/>
                <w:bCs/>
                <w:color w:val="000000"/>
                <w:kern w:val="0"/>
                <w:sz w:val="21"/>
                <w:szCs w:val="21"/>
                <w:highlight w:val="none"/>
                <w:lang w:val="en-US" w:eastAsia="zh-CN" w:bidi="ar-SA"/>
              </w:rPr>
              <w:t>650000</w:t>
            </w:r>
            <w:r>
              <w:rPr>
                <w:rFonts w:hint="eastAsia" w:ascii="宋体" w:hAnsi="宋体" w:eastAsia="宋体" w:cs="宋体"/>
                <w:b w:val="0"/>
                <w:bCs/>
                <w:color w:val="000000"/>
                <w:kern w:val="0"/>
                <w:sz w:val="21"/>
                <w:szCs w:val="21"/>
                <w:highlight w:val="none"/>
                <w:lang w:val="en-US" w:eastAsia="zh-CN" w:bidi="ar-SA"/>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服务</w:t>
            </w:r>
            <w:r>
              <w:rPr>
                <w:rFonts w:hint="eastAsia" w:ascii="宋体" w:hAnsi="宋体" w:eastAsia="宋体" w:cs="宋体"/>
                <w:b w:val="0"/>
                <w:bCs/>
                <w:color w:val="auto"/>
                <w:sz w:val="21"/>
                <w:szCs w:val="21"/>
                <w:highlight w:val="none"/>
                <w:lang w:eastAsia="zh-CN"/>
              </w:rPr>
              <w:t>期要求</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rPr>
                <w:rFonts w:hint="default" w:ascii="宋体" w:hAnsi="宋体" w:eastAsia="宋体" w:cs="宋体"/>
                <w:b w:val="0"/>
                <w:bCs/>
                <w:color w:val="000000"/>
                <w:kern w:val="0"/>
                <w:sz w:val="21"/>
                <w:szCs w:val="21"/>
                <w:highlight w:val="none"/>
                <w:lang w:val="en-US" w:eastAsia="zh-CN" w:bidi="ar-SA"/>
              </w:rPr>
            </w:pPr>
            <w:r>
              <w:rPr>
                <w:rFonts w:hint="eastAsia" w:ascii="宋体" w:hAnsi="宋体" w:cs="宋体"/>
                <w:b w:val="0"/>
                <w:bCs/>
                <w:color w:val="000000"/>
                <w:kern w:val="0"/>
                <w:sz w:val="21"/>
                <w:szCs w:val="21"/>
                <w:highlight w:val="none"/>
                <w:lang w:val="en-US" w:eastAsia="zh-CN" w:bidi="ar-SA"/>
              </w:rPr>
              <w:t>按甲方要求。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质保期</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rPr>
                <w:rFonts w:hint="default" w:ascii="宋体" w:hAnsi="宋体" w:eastAsia="宋体" w:cs="宋体"/>
                <w:b w:val="0"/>
                <w:bCs/>
                <w:color w:val="000000"/>
                <w:kern w:val="0"/>
                <w:sz w:val="21"/>
                <w:szCs w:val="21"/>
                <w:highlight w:val="none"/>
                <w:lang w:val="en-US" w:eastAsia="zh-CN" w:bidi="ar-SA"/>
              </w:rPr>
            </w:pPr>
            <w:r>
              <w:rPr>
                <w:rFonts w:hint="eastAsia" w:ascii="宋体" w:hAnsi="宋体" w:cs="宋体"/>
                <w:b w:val="0"/>
                <w:bCs/>
                <w:color w:val="auto"/>
                <w:sz w:val="21"/>
                <w:szCs w:val="21"/>
                <w:highlight w:val="none"/>
                <w:lang w:val="en-US" w:eastAsia="zh-CN"/>
              </w:rPr>
              <w:t>按甲方要求。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付款方式</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rPr>
              <w:t>合同签订后支付合同金额的30%，项目完成后支付合同65%，质保期结束后支付合同金额的5%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12</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质量标准</w:t>
            </w:r>
          </w:p>
        </w:tc>
        <w:tc>
          <w:tcPr>
            <w:tcW w:w="6583" w:type="dxa"/>
            <w:noWrap w:val="0"/>
            <w:vAlign w:val="center"/>
          </w:tcPr>
          <w:p>
            <w:pPr>
              <w:pageBreakBefore w:val="0"/>
              <w:kinsoku/>
              <w:wordWrap w:val="0"/>
              <w:topLinePunct w:val="0"/>
              <w:bidi w:val="0"/>
              <w:spacing w:line="400" w:lineRule="exact"/>
              <w:ind w:left="0" w:leftChars="0" w:firstLine="0" w:firstLineChars="0"/>
              <w:jc w:val="left"/>
              <w:rPr>
                <w:rFonts w:hint="eastAsia" w:ascii="宋体" w:hAnsi="宋体" w:eastAsia="宋体" w:cs="宋体"/>
                <w:b w:val="0"/>
                <w:bCs/>
                <w:color w:val="000000"/>
                <w:kern w:val="0"/>
                <w:sz w:val="21"/>
                <w:szCs w:val="21"/>
                <w:highlight w:val="none"/>
                <w:lang w:val="zh-CN" w:eastAsia="zh-CN" w:bidi="ar-SA"/>
              </w:rPr>
            </w:pPr>
            <w:r>
              <w:rPr>
                <w:rFonts w:hint="eastAsia" w:ascii="宋体" w:hAnsi="宋体" w:eastAsia="宋体" w:cs="宋体"/>
                <w:b w:val="0"/>
                <w:bCs/>
                <w:color w:val="auto"/>
                <w:sz w:val="21"/>
                <w:szCs w:val="21"/>
                <w:highlight w:val="none"/>
              </w:rPr>
              <w:t>合格</w:t>
            </w:r>
            <w:r>
              <w:rPr>
                <w:rFonts w:hint="eastAsia" w:ascii="宋体" w:hAnsi="宋体" w:eastAsia="宋体" w:cs="宋体"/>
                <w:b w:val="0"/>
                <w:bCs/>
                <w:color w:val="auto"/>
                <w:sz w:val="21"/>
                <w:szCs w:val="21"/>
                <w:highlight w:val="none"/>
                <w:lang w:eastAsia="zh-CN"/>
              </w:rPr>
              <w:t>（通过采购人及有关部门组织的项目验收）</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13</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供应商资格条件</w:t>
            </w:r>
          </w:p>
        </w:tc>
        <w:tc>
          <w:tcPr>
            <w:tcW w:w="6583" w:type="dxa"/>
            <w:noWrap w:val="0"/>
            <w:vAlign w:val="center"/>
          </w:tcPr>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lang w:val="en-US" w:eastAsia="zh-CN"/>
              </w:rPr>
              <w:t>1、</w:t>
            </w:r>
            <w:r>
              <w:rPr>
                <w:rFonts w:hint="eastAsia" w:ascii="宋体" w:hAnsi="宋体" w:eastAsia="宋体" w:cs="宋体"/>
                <w:b w:val="0"/>
                <w:bCs/>
                <w:color w:val="000000"/>
                <w:sz w:val="21"/>
                <w:szCs w:val="21"/>
                <w:highlight w:val="none"/>
              </w:rPr>
              <w:t>满足《中华人民共和国政府采购法》第二十二条规定；</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1）具有独立承担民事责任的能力，有效的营业执照；</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2）具有履行合同所必须的设备、人员、专业</w:t>
            </w:r>
            <w:r>
              <w:rPr>
                <w:rFonts w:hint="eastAsia" w:ascii="宋体" w:hAnsi="宋体" w:eastAsia="宋体" w:cs="宋体"/>
                <w:b w:val="0"/>
                <w:bCs/>
                <w:color w:val="000000"/>
                <w:sz w:val="21"/>
                <w:szCs w:val="21"/>
                <w:highlight w:val="none"/>
                <w:lang w:eastAsia="zh-CN"/>
              </w:rPr>
              <w:t>、资金</w:t>
            </w:r>
            <w:r>
              <w:rPr>
                <w:rFonts w:hint="eastAsia" w:ascii="宋体" w:hAnsi="宋体" w:eastAsia="宋体" w:cs="宋体"/>
                <w:b w:val="0"/>
                <w:bCs/>
                <w:color w:val="000000"/>
                <w:sz w:val="21"/>
                <w:szCs w:val="21"/>
                <w:highlight w:val="none"/>
              </w:rPr>
              <w:t>等方面相应的技术能力；</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4）参加招投标活动前三年内，在经营活动中没重大违法记录（受行政主管部门处罚的不能参加投标，提供声明书）。</w:t>
            </w:r>
          </w:p>
          <w:p>
            <w:pPr>
              <w:pStyle w:val="33"/>
              <w:pageBreakBefore w:val="0"/>
              <w:widowControl/>
              <w:kinsoku/>
              <w:wordWrap/>
              <w:topLinePunct w:val="0"/>
              <w:bidi w:val="0"/>
              <w:spacing w:before="0" w:beforeAutospacing="0" w:after="0" w:afterAutospacing="0" w:line="400" w:lineRule="exact"/>
              <w:ind w:left="0" w:leftChars="0" w:right="0" w:rightChars="0" w:firstLine="0" w:firstLineChars="0"/>
              <w:jc w:val="both"/>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r>
              <w:rPr>
                <w:rFonts w:hint="eastAsia" w:ascii="宋体" w:hAnsi="宋体" w:eastAsia="宋体" w:cs="宋体"/>
                <w:b w:val="0"/>
                <w:bCs/>
                <w:color w:val="000000"/>
                <w:sz w:val="21"/>
                <w:szCs w:val="21"/>
                <w:highlight w:val="none"/>
              </w:rPr>
              <w:br w:type="textWrapping"/>
            </w:r>
            <w:r>
              <w:rPr>
                <w:rFonts w:hint="eastAsia" w:ascii="宋体" w:hAnsi="宋体" w:eastAsia="宋体" w:cs="宋体"/>
                <w:b w:val="0"/>
                <w:bCs/>
                <w:color w:val="000000"/>
                <w:sz w:val="21"/>
                <w:szCs w:val="21"/>
                <w:highlight w:val="none"/>
                <w:lang w:val="en-US" w:eastAsia="zh-CN"/>
              </w:rPr>
              <w:t>2</w:t>
            </w:r>
            <w:r>
              <w:rPr>
                <w:rFonts w:hint="eastAsia" w:ascii="宋体" w:hAnsi="宋体" w:eastAsia="宋体" w:cs="宋体"/>
                <w:b w:val="0"/>
                <w:bCs/>
                <w:color w:val="000000"/>
                <w:sz w:val="21"/>
                <w:szCs w:val="21"/>
                <w:highlight w:val="none"/>
              </w:rPr>
              <w:t>、本项目不接受联合体投标；</w:t>
            </w:r>
          </w:p>
          <w:p>
            <w:pPr>
              <w:pStyle w:val="33"/>
              <w:pageBreakBefore w:val="0"/>
              <w:widowControl/>
              <w:kinsoku/>
              <w:wordWrap/>
              <w:topLinePunct w:val="0"/>
              <w:bidi w:val="0"/>
              <w:spacing w:before="0" w:beforeAutospacing="0" w:after="0" w:afterAutospacing="0" w:line="400" w:lineRule="exact"/>
              <w:ind w:left="0" w:leftChars="0" w:right="0" w:rightChars="0" w:firstLine="0" w:firstLineChars="0"/>
              <w:jc w:val="both"/>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3、</w:t>
            </w:r>
            <w:r>
              <w:rPr>
                <w:rFonts w:hint="eastAsia" w:ascii="宋体" w:hAnsi="宋体" w:eastAsia="宋体" w:cs="宋体"/>
                <w:color w:val="000000"/>
                <w:sz w:val="21"/>
                <w:szCs w:val="21"/>
                <w:highlight w:val="none"/>
              </w:rPr>
              <w:t>具有行业主管部门颁发的乙级及以上测绘资质</w:t>
            </w:r>
            <w:r>
              <w:rPr>
                <w:rFonts w:hint="eastAsia" w:ascii="宋体" w:hAnsi="宋体" w:eastAsia="宋体" w:cs="宋体"/>
                <w:color w:val="000000"/>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14</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sz w:val="21"/>
                <w:szCs w:val="21"/>
              </w:rPr>
              <w:t>投标人不得存在的其他情形</w:t>
            </w:r>
          </w:p>
        </w:tc>
        <w:tc>
          <w:tcPr>
            <w:tcW w:w="6583" w:type="dxa"/>
            <w:noWrap w:val="0"/>
            <w:vAlign w:val="center"/>
          </w:tcPr>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（1）为不具有独立法人资格的附属机构（单位）；</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（2）被责令停业或破产状态的；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（3）被暂停或取消投标资格的；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（5）在最近三年内骗取中选的；</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（6）在最近三年内因严重违反合同约定被解除合同/协议，或取消供应商资格的； </w:t>
            </w:r>
          </w:p>
          <w:p>
            <w:pPr>
              <w:pageBreakBefore w:val="0"/>
              <w:tabs>
                <w:tab w:val="left" w:pos="645"/>
                <w:tab w:val="left" w:pos="1146"/>
              </w:tabs>
              <w:kinsoku/>
              <w:topLinePunct w:val="0"/>
              <w:bidi w:val="0"/>
              <w:adjustRightInd w:val="0"/>
              <w:snapToGrid w:val="0"/>
              <w:spacing w:line="400" w:lineRule="exact"/>
              <w:ind w:left="0" w:leftChars="0" w:firstLine="0" w:firstLineChars="0"/>
              <w:rPr>
                <w:rFonts w:hint="eastAsia" w:ascii="宋体" w:hAnsi="宋体" w:eastAsia="宋体" w:cs="宋体"/>
                <w:b w:val="0"/>
                <w:bCs/>
                <w:color w:val="000000"/>
                <w:sz w:val="21"/>
                <w:szCs w:val="21"/>
              </w:rPr>
            </w:pPr>
            <w:r>
              <w:rPr>
                <w:rFonts w:hint="eastAsia" w:ascii="宋体" w:hAnsi="宋体" w:eastAsia="宋体" w:cs="宋体"/>
                <w:sz w:val="21"/>
                <w:szCs w:val="21"/>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15</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联合体投标    </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xml:space="preserve">√不接受 </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备选方案</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 不接受</w:t>
            </w:r>
          </w:p>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响应文件递交截止时间</w:t>
            </w:r>
            <w:r>
              <w:rPr>
                <w:rFonts w:hint="eastAsia" w:ascii="宋体" w:hAnsi="宋体" w:eastAsia="宋体" w:cs="宋体"/>
                <w:b w:val="0"/>
                <w:bCs/>
                <w:color w:val="auto"/>
                <w:sz w:val="21"/>
                <w:szCs w:val="21"/>
                <w:highlight w:val="none"/>
                <w:lang w:eastAsia="zh-CN"/>
              </w:rPr>
              <w:t>及开标时间</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Style w:val="39"/>
                <w:rFonts w:hint="eastAsia" w:ascii="宋体" w:hAnsi="宋体" w:eastAsia="宋体" w:cs="宋体"/>
                <w:b w:val="0"/>
                <w:bCs/>
                <w:color w:val="auto"/>
                <w:kern w:val="0"/>
                <w:sz w:val="21"/>
                <w:szCs w:val="21"/>
                <w:highlight w:val="none"/>
                <w:lang w:val="en-US" w:eastAsia="zh-CN" w:bidi="ar-SA"/>
              </w:rPr>
              <w:t>2022年</w:t>
            </w:r>
            <w:r>
              <w:rPr>
                <w:rStyle w:val="39"/>
                <w:rFonts w:hint="eastAsia" w:ascii="宋体" w:hAnsi="宋体" w:cs="宋体"/>
                <w:b w:val="0"/>
                <w:bCs/>
                <w:color w:val="auto"/>
                <w:kern w:val="0"/>
                <w:sz w:val="21"/>
                <w:szCs w:val="21"/>
                <w:highlight w:val="none"/>
                <w:lang w:val="en-US" w:eastAsia="zh-CN" w:bidi="ar-SA"/>
              </w:rPr>
              <w:t>5</w:t>
            </w:r>
            <w:r>
              <w:rPr>
                <w:rStyle w:val="39"/>
                <w:rFonts w:hint="eastAsia" w:ascii="宋体" w:hAnsi="宋体" w:eastAsia="宋体" w:cs="宋体"/>
                <w:b w:val="0"/>
                <w:bCs/>
                <w:color w:val="auto"/>
                <w:kern w:val="0"/>
                <w:sz w:val="21"/>
                <w:szCs w:val="21"/>
                <w:highlight w:val="none"/>
                <w:lang w:val="en-US" w:eastAsia="zh-CN" w:bidi="ar-SA"/>
              </w:rPr>
              <w:t>月</w:t>
            </w:r>
            <w:r>
              <w:rPr>
                <w:rStyle w:val="39"/>
                <w:rFonts w:hint="eastAsia" w:ascii="宋体" w:hAnsi="宋体" w:cs="宋体"/>
                <w:b w:val="0"/>
                <w:bCs/>
                <w:color w:val="auto"/>
                <w:kern w:val="0"/>
                <w:sz w:val="21"/>
                <w:szCs w:val="21"/>
                <w:highlight w:val="none"/>
                <w:lang w:val="en-US" w:eastAsia="zh-CN" w:bidi="ar-SA"/>
              </w:rPr>
              <w:t>11</w:t>
            </w:r>
            <w:r>
              <w:rPr>
                <w:rStyle w:val="39"/>
                <w:rFonts w:hint="eastAsia" w:ascii="宋体" w:hAnsi="宋体" w:eastAsia="宋体" w:cs="宋体"/>
                <w:b w:val="0"/>
                <w:bCs/>
                <w:color w:val="auto"/>
                <w:kern w:val="0"/>
                <w:sz w:val="21"/>
                <w:szCs w:val="21"/>
                <w:highlight w:val="none"/>
                <w:lang w:val="en-US" w:eastAsia="zh-CN" w:bidi="ar-SA"/>
              </w:rPr>
              <w:t>日1</w:t>
            </w:r>
            <w:r>
              <w:rPr>
                <w:rStyle w:val="39"/>
                <w:rFonts w:hint="eastAsia" w:ascii="宋体" w:hAnsi="宋体" w:cs="宋体"/>
                <w:b w:val="0"/>
                <w:bCs/>
                <w:color w:val="auto"/>
                <w:kern w:val="0"/>
                <w:sz w:val="21"/>
                <w:szCs w:val="21"/>
                <w:highlight w:val="none"/>
                <w:lang w:val="en-US" w:eastAsia="zh-CN" w:bidi="ar-SA"/>
              </w:rPr>
              <w:t>1</w:t>
            </w:r>
            <w:r>
              <w:rPr>
                <w:rStyle w:val="39"/>
                <w:rFonts w:hint="eastAsia" w:ascii="宋体" w:hAnsi="宋体" w:eastAsia="宋体" w:cs="宋体"/>
                <w:b w:val="0"/>
                <w:bCs/>
                <w:color w:val="auto"/>
                <w:kern w:val="0"/>
                <w:sz w:val="21"/>
                <w:szCs w:val="21"/>
                <w:highlight w:val="none"/>
                <w:lang w:val="en-US" w:eastAsia="zh-CN" w:bidi="ar-SA"/>
              </w:rPr>
              <w:t>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18</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响应文件递交截止</w:t>
            </w:r>
            <w:r>
              <w:rPr>
                <w:rFonts w:hint="eastAsia" w:ascii="宋体" w:hAnsi="宋体" w:eastAsia="宋体" w:cs="宋体"/>
                <w:b w:val="0"/>
                <w:bCs/>
                <w:color w:val="auto"/>
                <w:sz w:val="21"/>
                <w:szCs w:val="21"/>
                <w:highlight w:val="none"/>
                <w:lang w:eastAsia="zh-CN"/>
              </w:rPr>
              <w:t>地点及开标地点</w:t>
            </w:r>
          </w:p>
        </w:tc>
        <w:tc>
          <w:tcPr>
            <w:tcW w:w="6583" w:type="dxa"/>
            <w:noWrap w:val="0"/>
            <w:vAlign w:val="center"/>
          </w:tcPr>
          <w:p>
            <w:pPr>
              <w:pageBreakBefore w:val="0"/>
              <w:widowControl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 xml:space="preserve">乌鲁木齐水磨沟区红光山路万科大都会8号楼1202室  </w:t>
            </w: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19</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小组的组建及评审专家的确定方式</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招标采购单位依法组建</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小组共</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rPr>
              <w:t>人组成，其中采购人代表</w:t>
            </w:r>
            <w:r>
              <w:rPr>
                <w:rFonts w:hint="eastAsia" w:ascii="宋体" w:hAnsi="宋体" w:eastAsia="宋体" w:cs="宋体"/>
                <w:b w:val="0"/>
                <w:bCs/>
                <w:color w:val="auto"/>
                <w:sz w:val="21"/>
                <w:szCs w:val="21"/>
                <w:highlight w:val="none"/>
                <w:lang w:eastAsia="zh-CN"/>
              </w:rPr>
              <w:t>不得超过投标小组的三分之一</w:t>
            </w:r>
            <w:r>
              <w:rPr>
                <w:rFonts w:hint="eastAsia" w:ascii="宋体" w:hAnsi="宋体" w:eastAsia="宋体" w:cs="宋体"/>
                <w:b w:val="0"/>
                <w:bCs/>
                <w:color w:val="auto"/>
                <w:sz w:val="21"/>
                <w:szCs w:val="21"/>
                <w:highlight w:val="none"/>
              </w:rPr>
              <w:t>。</w:t>
            </w:r>
          </w:p>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20</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评审办法</w:t>
            </w:r>
          </w:p>
        </w:tc>
        <w:tc>
          <w:tcPr>
            <w:tcW w:w="6583" w:type="dxa"/>
            <w:noWrap w:val="0"/>
            <w:vAlign w:val="center"/>
          </w:tcPr>
          <w:p>
            <w:pPr>
              <w:pageBreakBefore w:val="0"/>
              <w:kinsoku/>
              <w:topLinePunct w:val="0"/>
              <w:bidi w:val="0"/>
              <w:spacing w:line="40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综合评分法，即指</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文件全部实质性要求且按照评审因素的量化指标评审得分最高的</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为中标候选人的评标方法。每一</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21</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有效期</w:t>
            </w:r>
          </w:p>
        </w:tc>
        <w:tc>
          <w:tcPr>
            <w:tcW w:w="6583" w:type="dxa"/>
            <w:noWrap w:val="0"/>
            <w:vAlign w:val="center"/>
          </w:tcPr>
          <w:p>
            <w:pPr>
              <w:pageBreakBefore w:val="0"/>
              <w:kinsoku/>
              <w:topLinePunct w:val="0"/>
              <w:bidi w:val="0"/>
              <w:adjustRightInd w:val="0"/>
              <w:snapToGrid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 xml:space="preserve">0 </w:t>
            </w:r>
            <w:r>
              <w:rPr>
                <w:rFonts w:hint="eastAsia" w:ascii="宋体" w:hAnsi="宋体" w:eastAsia="宋体" w:cs="宋体"/>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投标预备会</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w:t>
            </w:r>
          </w:p>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踏勘现场</w:t>
            </w:r>
          </w:p>
        </w:tc>
        <w:tc>
          <w:tcPr>
            <w:tcW w:w="6583" w:type="dxa"/>
            <w:noWrap w:val="0"/>
            <w:vAlign w:val="center"/>
          </w:tcPr>
          <w:p>
            <w:pPr>
              <w:pageBreakBefore w:val="0"/>
              <w:kinsoku/>
              <w:topLinePunct w:val="0"/>
              <w:autoSpaceDE w:val="0"/>
              <w:autoSpaceDN w:val="0"/>
              <w:bidi w:val="0"/>
              <w:adjustRightInd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24</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资料</w:t>
            </w:r>
            <w:r>
              <w:rPr>
                <w:rFonts w:hint="eastAsia" w:ascii="宋体" w:hAnsi="宋体" w:eastAsia="宋体" w:cs="宋体"/>
                <w:b w:val="0"/>
                <w:bCs/>
                <w:color w:val="auto"/>
                <w:sz w:val="21"/>
                <w:szCs w:val="21"/>
                <w:highlight w:val="none"/>
                <w:lang w:val="en-US" w:eastAsia="zh-CN"/>
              </w:rPr>
              <w:t>备查</w:t>
            </w:r>
          </w:p>
        </w:tc>
        <w:tc>
          <w:tcPr>
            <w:tcW w:w="6583" w:type="dxa"/>
            <w:noWrap w:val="0"/>
            <w:vAlign w:val="center"/>
          </w:tcPr>
          <w:p>
            <w:pPr>
              <w:pageBreakBefore w:val="0"/>
              <w:widowControl/>
              <w:kinsoku/>
              <w:topLinePunct w:val="0"/>
              <w:bidi w:val="0"/>
              <w:spacing w:line="400" w:lineRule="exact"/>
              <w:ind w:left="0" w:leftChars="0" w:firstLine="0" w:firstLineChars="0"/>
              <w:jc w:val="left"/>
              <w:rPr>
                <w:rFonts w:hint="eastAsia"/>
                <w:lang w:val="en-US" w:eastAsia="zh-CN"/>
              </w:rPr>
            </w:pPr>
            <w:r>
              <w:rPr>
                <w:rFonts w:hint="eastAsia"/>
              </w:rPr>
              <w:t>各</w:t>
            </w:r>
            <w:r>
              <w:rPr>
                <w:rFonts w:hint="eastAsia"/>
                <w:lang w:eastAsia="zh-CN"/>
              </w:rPr>
              <w:t>供应商</w:t>
            </w:r>
            <w:r>
              <w:rPr>
                <w:rFonts w:hint="eastAsia"/>
              </w:rPr>
              <w:t>开标会现场需携带以下</w:t>
            </w:r>
            <w:r>
              <w:rPr>
                <w:rFonts w:hint="eastAsia"/>
                <w:lang w:val="en-US" w:eastAsia="zh-CN"/>
              </w:rPr>
              <w:t>资料原件备查</w:t>
            </w:r>
            <w:r>
              <w:rPr>
                <w:rFonts w:hint="eastAsia"/>
                <w:lang w:eastAsia="zh-CN"/>
              </w:rPr>
              <w:t>：</w:t>
            </w:r>
          </w:p>
          <w:p>
            <w:pPr>
              <w:pageBreakBefore w:val="0"/>
              <w:kinsoku/>
              <w:topLinePunct w:val="0"/>
              <w:bidi w:val="0"/>
              <w:spacing w:line="400" w:lineRule="exact"/>
              <w:ind w:left="0" w:leftChars="0" w:firstLine="0" w:firstLineChars="0"/>
              <w:rPr>
                <w:rFonts w:hint="eastAsia"/>
              </w:rPr>
            </w:pPr>
            <w:r>
              <w:rPr>
                <w:rFonts w:hint="eastAsia"/>
              </w:rPr>
              <w:t>（1）营业执照（三证合一）；</w:t>
            </w:r>
          </w:p>
          <w:p>
            <w:pPr>
              <w:pageBreakBefore w:val="0"/>
              <w:kinsoku/>
              <w:topLinePunct w:val="0"/>
              <w:bidi w:val="0"/>
              <w:spacing w:line="400" w:lineRule="exact"/>
              <w:ind w:left="0" w:leftChars="0" w:firstLine="0" w:firstLineChars="0"/>
              <w:rPr>
                <w:rFonts w:hint="eastAsia"/>
                <w:lang w:eastAsia="zh-CN"/>
              </w:rPr>
            </w:pPr>
            <w:r>
              <w:rPr>
                <w:rFonts w:hint="eastAsia"/>
              </w:rPr>
              <w:t>（2）投标方</w:t>
            </w:r>
            <w:r>
              <w:rPr>
                <w:rFonts w:hint="eastAsia"/>
                <w:lang w:eastAsia="zh-CN"/>
              </w:rPr>
              <w:t>为</w:t>
            </w:r>
            <w:r>
              <w:rPr>
                <w:rFonts w:hint="eastAsia"/>
              </w:rPr>
              <w:t>法人投标需携带法人授权委托书原件及被授权人身份证原件或法人身份证明书及身份证原件（加盖公章）</w:t>
            </w:r>
            <w:r>
              <w:rPr>
                <w:rFonts w:hint="eastAsia"/>
                <w:lang w:eastAsia="zh-CN"/>
              </w:rPr>
              <w:t>；</w:t>
            </w:r>
          </w:p>
          <w:p>
            <w:pPr>
              <w:pageBreakBefore w:val="0"/>
              <w:kinsoku/>
              <w:topLinePunct w:val="0"/>
              <w:bidi w:val="0"/>
              <w:spacing w:line="400" w:lineRule="exact"/>
              <w:ind w:left="0" w:leftChars="0" w:firstLine="0" w:firstLineChars="0"/>
              <w:rPr>
                <w:rFonts w:hint="eastAsia"/>
                <w:lang w:eastAsia="zh-CN"/>
              </w:rPr>
            </w:pPr>
            <w:r>
              <w:rPr>
                <w:rFonts w:hint="eastAsia"/>
              </w:rPr>
              <w:t>（3）投标保证金交纳凭证（复印件加盖公章）</w:t>
            </w:r>
            <w:r>
              <w:rPr>
                <w:rFonts w:hint="eastAsia"/>
                <w:lang w:eastAsia="zh-CN"/>
              </w:rPr>
              <w:t>。</w:t>
            </w:r>
          </w:p>
          <w:p>
            <w:pPr>
              <w:pStyle w:val="2"/>
              <w:ind w:left="0" w:leftChars="0" w:firstLine="0" w:firstLineChars="0"/>
              <w:rPr>
                <w:rFonts w:hint="default"/>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color w:val="000000"/>
                <w:sz w:val="21"/>
                <w:szCs w:val="21"/>
                <w:highlight w:val="none"/>
              </w:rPr>
              <w:t>具有行业主管部门颁发的乙级及以上测绘资质</w:t>
            </w:r>
            <w:r>
              <w:rPr>
                <w:rFonts w:hint="eastAsia" w:ascii="宋体" w:hAnsi="宋体" w:eastAsia="宋体" w:cs="宋体"/>
                <w:color w:val="000000"/>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25</w:t>
            </w:r>
          </w:p>
        </w:tc>
        <w:tc>
          <w:tcPr>
            <w:tcW w:w="2350" w:type="dxa"/>
            <w:noWrap w:val="0"/>
            <w:vAlign w:val="center"/>
          </w:tcPr>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投标文件组成</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kinsoku/>
              <w:topLinePunct w:val="0"/>
              <w:autoSpaceDE w:val="0"/>
              <w:autoSpaceDN w:val="0"/>
              <w:bidi w:val="0"/>
              <w:spacing w:line="400" w:lineRule="exact"/>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响应文件的装订及密封要求：</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sz w:val="21"/>
                <w:szCs w:val="21"/>
                <w:highlight w:val="none"/>
              </w:rPr>
              <w:t>正</w:t>
            </w:r>
            <w:r>
              <w:rPr>
                <w:rFonts w:hint="eastAsia" w:ascii="宋体" w:hAnsi="宋体" w:eastAsia="宋体" w:cs="宋体"/>
                <w:b w:val="0"/>
                <w:bCs/>
                <w:color w:val="auto"/>
                <w:sz w:val="21"/>
                <w:szCs w:val="21"/>
                <w:highlight w:val="none"/>
                <w:lang w:val="en-US" w:eastAsia="zh-CN"/>
              </w:rPr>
              <w:t>本壹份，副本</w:t>
            </w:r>
            <w:r>
              <w:rPr>
                <w:rFonts w:hint="eastAsia" w:ascii="宋体" w:hAnsi="宋体" w:cs="宋体"/>
                <w:b w:val="0"/>
                <w:bCs/>
                <w:color w:val="auto"/>
                <w:sz w:val="21"/>
                <w:szCs w:val="21"/>
                <w:highlight w:val="none"/>
                <w:lang w:val="en-US" w:eastAsia="zh-CN"/>
              </w:rPr>
              <w:t>贰</w:t>
            </w:r>
            <w:r>
              <w:rPr>
                <w:rFonts w:hint="eastAsia" w:ascii="宋体" w:hAnsi="宋体" w:eastAsia="宋体" w:cs="宋体"/>
                <w:b w:val="0"/>
                <w:bCs/>
                <w:color w:val="auto"/>
                <w:sz w:val="21"/>
                <w:szCs w:val="21"/>
                <w:highlight w:val="none"/>
                <w:lang w:val="en-US" w:eastAsia="zh-CN"/>
              </w:rPr>
              <w:t>份（共</w:t>
            </w:r>
            <w:r>
              <w:rPr>
                <w:rFonts w:hint="eastAsia" w:ascii="宋体" w:hAnsi="宋体" w:cs="宋体"/>
                <w:b w:val="0"/>
                <w:bCs/>
                <w:color w:val="auto"/>
                <w:sz w:val="21"/>
                <w:szCs w:val="21"/>
                <w:highlight w:val="none"/>
                <w:lang w:val="en-US" w:eastAsia="zh-CN"/>
              </w:rPr>
              <w:t>叁</w:t>
            </w:r>
            <w:r>
              <w:rPr>
                <w:rFonts w:hint="eastAsia" w:ascii="宋体" w:hAnsi="宋体" w:eastAsia="宋体" w:cs="宋体"/>
                <w:b w:val="0"/>
                <w:bCs/>
                <w:color w:val="auto"/>
                <w:sz w:val="21"/>
                <w:szCs w:val="21"/>
                <w:highlight w:val="none"/>
                <w:lang w:val="en-US" w:eastAsia="zh-CN"/>
              </w:rPr>
              <w:t>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开标一览表壹份，</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电子版：U盘壹份，光盘贰份（内容为加盖公章的响应文件扫描件）</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宋体" w:hAnsi="宋体" w:eastAsia="宋体" w:cs="宋体"/>
                <w:b/>
                <w:bCs/>
                <w:sz w:val="21"/>
                <w:szCs w:val="21"/>
                <w:highlight w:val="none"/>
              </w:rPr>
              <w:t>(1)供应商应将</w:t>
            </w:r>
            <w:r>
              <w:rPr>
                <w:rFonts w:hint="eastAsia" w:ascii="宋体" w:hAnsi="宋体" w:eastAsia="宋体" w:cs="宋体"/>
                <w:b/>
                <w:bCs/>
                <w:sz w:val="21"/>
                <w:szCs w:val="21"/>
                <w:highlight w:val="none"/>
                <w:lang w:eastAsia="zh-CN"/>
              </w:rPr>
              <w:t>开标</w:t>
            </w:r>
            <w:r>
              <w:rPr>
                <w:rFonts w:hint="eastAsia" w:ascii="宋体" w:hAnsi="宋体" w:eastAsia="宋体" w:cs="宋体"/>
                <w:b/>
                <w:bCs/>
                <w:sz w:val="21"/>
                <w:szCs w:val="21"/>
                <w:highlight w:val="none"/>
              </w:rPr>
              <w:t>一览表单独密封提交，并在信封上标明"</w:t>
            </w:r>
            <w:r>
              <w:rPr>
                <w:rFonts w:hint="eastAsia" w:ascii="宋体" w:hAnsi="宋体" w:eastAsia="宋体" w:cs="宋体"/>
                <w:b/>
                <w:bCs/>
                <w:sz w:val="21"/>
                <w:szCs w:val="21"/>
                <w:highlight w:val="none"/>
                <w:lang w:eastAsia="zh-CN"/>
              </w:rPr>
              <w:t>开标</w:t>
            </w:r>
            <w:r>
              <w:rPr>
                <w:rFonts w:hint="eastAsia" w:ascii="宋体" w:hAnsi="宋体" w:eastAsia="宋体" w:cs="宋体"/>
                <w:b/>
                <w:bCs/>
                <w:sz w:val="21"/>
                <w:szCs w:val="21"/>
                <w:highlight w:val="none"/>
              </w:rPr>
              <w:t>一览表"字样；</w:t>
            </w:r>
            <w:r>
              <w:rPr>
                <w:rFonts w:hint="eastAsia" w:ascii="宋体" w:hAnsi="宋体" w:eastAsia="宋体" w:cs="宋体"/>
                <w:sz w:val="21"/>
                <w:szCs w:val="21"/>
                <w:highlight w:val="none"/>
              </w:rPr>
              <w:t>(</w:t>
            </w:r>
            <w:r>
              <w:rPr>
                <w:rFonts w:hint="eastAsia" w:ascii="宋体" w:hAnsi="宋体" w:eastAsia="宋体" w:cs="宋体"/>
                <w:b w:val="0"/>
                <w:bCs/>
                <w:color w:val="auto"/>
                <w:sz w:val="21"/>
                <w:szCs w:val="21"/>
                <w:highlight w:val="none"/>
                <w:lang w:val="en-US" w:eastAsia="zh-CN"/>
              </w:rPr>
              <w:t>2)电子版</w:t>
            </w:r>
            <w:r>
              <w:rPr>
                <w:rFonts w:hint="eastAsia" w:ascii="宋体" w:hAnsi="宋体" w:eastAsia="宋体" w:cs="宋体"/>
                <w:b/>
                <w:bCs/>
                <w:sz w:val="21"/>
                <w:szCs w:val="21"/>
                <w:highlight w:val="none"/>
              </w:rPr>
              <w:t>单独密封提交，并在信封上标明"</w:t>
            </w:r>
            <w:r>
              <w:rPr>
                <w:rFonts w:hint="eastAsia" w:ascii="宋体" w:hAnsi="宋体" w:eastAsia="宋体" w:cs="宋体"/>
                <w:b/>
                <w:bCs/>
                <w:sz w:val="21"/>
                <w:szCs w:val="21"/>
                <w:highlight w:val="none"/>
                <w:lang w:eastAsia="zh-CN"/>
              </w:rPr>
              <w:t>电子版</w:t>
            </w:r>
            <w:r>
              <w:rPr>
                <w:rFonts w:hint="eastAsia" w:ascii="宋体" w:hAnsi="宋体" w:eastAsia="宋体" w:cs="宋体"/>
                <w:b/>
                <w:bCs/>
                <w:sz w:val="21"/>
                <w:szCs w:val="21"/>
                <w:highlight w:val="none"/>
              </w:rPr>
              <w:t>"字样；</w:t>
            </w:r>
            <w:r>
              <w:rPr>
                <w:rFonts w:hint="eastAsia" w:ascii="宋体" w:hAnsi="宋体" w:eastAsia="宋体" w:cs="宋体"/>
                <w:sz w:val="21"/>
                <w:szCs w:val="21"/>
                <w:highlight w:val="none"/>
              </w:rPr>
              <w:t>(</w:t>
            </w:r>
            <w:r>
              <w:rPr>
                <w:rFonts w:hint="eastAsia" w:ascii="宋体" w:hAnsi="宋体" w:eastAsia="宋体" w:cs="宋体"/>
                <w:b w:val="0"/>
                <w:bCs/>
                <w:color w:val="auto"/>
                <w:sz w:val="21"/>
                <w:szCs w:val="21"/>
                <w:highlight w:val="none"/>
                <w:lang w:val="en-US" w:eastAsia="zh-CN"/>
              </w:rPr>
              <w:t>3)供应商应将响应文件统包密封，封面应注明项目名称</w:t>
            </w:r>
            <w:r>
              <w:rPr>
                <w:rFonts w:hint="eastAsia" w:ascii="宋体" w:hAnsi="宋体" w:eastAsia="宋体" w:cs="宋体"/>
                <w:color w:val="000000"/>
                <w:sz w:val="21"/>
                <w:szCs w:val="21"/>
                <w:highlight w:val="none"/>
                <w:lang w:val="en-US" w:eastAsia="zh-CN"/>
              </w:rPr>
              <w:t>、</w:t>
            </w:r>
            <w:r>
              <w:rPr>
                <w:rFonts w:hint="eastAsia" w:ascii="宋体" w:hAnsi="宋体" w:eastAsia="宋体" w:cs="宋体"/>
                <w:b w:val="0"/>
                <w:bCs/>
                <w:color w:val="auto"/>
                <w:sz w:val="21"/>
                <w:szCs w:val="21"/>
                <w:highlight w:val="none"/>
                <w:lang w:val="en-US" w:eastAsia="zh-CN"/>
              </w:rPr>
              <w:t>项目编号</w:t>
            </w:r>
            <w:r>
              <w:rPr>
                <w:rFonts w:hint="eastAsia" w:ascii="宋体" w:hAnsi="宋体" w:eastAsia="宋体" w:cs="宋体"/>
                <w:color w:val="000000"/>
                <w:sz w:val="21"/>
                <w:szCs w:val="21"/>
                <w:highlight w:val="none"/>
                <w:lang w:val="en-US" w:eastAsia="zh-CN"/>
              </w:rPr>
              <w:t>、</w:t>
            </w: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6</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eastAsia="zh-CN"/>
              </w:rPr>
              <w:t>投标</w:t>
            </w:r>
            <w:r>
              <w:rPr>
                <w:rFonts w:hint="eastAsia" w:ascii="宋体" w:hAnsi="宋体" w:eastAsia="宋体" w:cs="宋体"/>
                <w:b/>
                <w:bCs w:val="0"/>
                <w:color w:val="auto"/>
                <w:sz w:val="21"/>
                <w:szCs w:val="21"/>
                <w:highlight w:val="none"/>
              </w:rPr>
              <w:t>保证金</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b w:val="0"/>
                <w:bCs/>
                <w:color w:val="auto"/>
                <w:sz w:val="21"/>
                <w:szCs w:val="21"/>
                <w:highlight w:val="none"/>
              </w:rPr>
              <w:t>保证金：</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缴纳方式：电汇、网银转账</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金额（小写）：</w:t>
            </w:r>
            <w:r>
              <w:rPr>
                <w:rFonts w:hint="eastAsia" w:ascii="宋体" w:hAnsi="宋体" w:cs="宋体"/>
                <w:b w:val="0"/>
                <w:bCs/>
                <w:color w:val="auto"/>
                <w:sz w:val="21"/>
                <w:szCs w:val="21"/>
                <w:highlight w:val="none"/>
                <w:lang w:val="en-US" w:eastAsia="zh-CN"/>
              </w:rPr>
              <w:t>13000</w:t>
            </w:r>
            <w:r>
              <w:rPr>
                <w:rFonts w:hint="eastAsia" w:ascii="宋体" w:hAnsi="宋体" w:eastAsia="宋体" w:cs="宋体"/>
                <w:b w:val="0"/>
                <w:bCs/>
                <w:color w:val="auto"/>
                <w:sz w:val="21"/>
                <w:szCs w:val="21"/>
                <w:highlight w:val="none"/>
                <w:lang w:val="en-US" w:eastAsia="zh-CN"/>
              </w:rPr>
              <w:t>.00</w:t>
            </w:r>
            <w:r>
              <w:rPr>
                <w:rFonts w:hint="eastAsia" w:ascii="宋体" w:hAnsi="宋体" w:eastAsia="宋体" w:cs="宋体"/>
                <w:b w:val="0"/>
                <w:bCs/>
                <w:color w:val="auto"/>
                <w:sz w:val="21"/>
                <w:szCs w:val="21"/>
                <w:highlight w:val="none"/>
              </w:rPr>
              <w:t xml:space="preserve">元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金额（大写）：</w:t>
            </w:r>
            <w:r>
              <w:rPr>
                <w:rFonts w:hint="eastAsia" w:ascii="宋体" w:hAnsi="宋体" w:cs="宋体"/>
                <w:b w:val="0"/>
                <w:bCs/>
                <w:color w:val="auto"/>
                <w:sz w:val="21"/>
                <w:szCs w:val="21"/>
                <w:highlight w:val="none"/>
                <w:lang w:val="en-US" w:eastAsia="zh-CN"/>
              </w:rPr>
              <w:t>壹万叁仟</w:t>
            </w:r>
            <w:r>
              <w:rPr>
                <w:rFonts w:hint="eastAsia" w:ascii="宋体" w:hAnsi="宋体" w:eastAsia="宋体" w:cs="宋体"/>
                <w:b w:val="0"/>
                <w:bCs/>
                <w:color w:val="auto"/>
                <w:sz w:val="21"/>
                <w:szCs w:val="21"/>
                <w:highlight w:val="none"/>
                <w:lang w:val="en-US" w:eastAsia="zh-CN"/>
              </w:rPr>
              <w:t>元整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备注项目</w:t>
            </w:r>
            <w:r>
              <w:rPr>
                <w:rFonts w:hint="eastAsia" w:ascii="宋体" w:hAnsi="宋体" w:eastAsia="宋体" w:cs="宋体"/>
                <w:b w:val="0"/>
                <w:bCs/>
                <w:color w:val="auto"/>
                <w:sz w:val="21"/>
                <w:szCs w:val="21"/>
                <w:highlight w:val="none"/>
                <w:lang w:eastAsia="zh-CN"/>
              </w:rPr>
              <w:t>编号、项目</w:t>
            </w:r>
            <w:r>
              <w:rPr>
                <w:rFonts w:hint="eastAsia" w:ascii="宋体" w:hAnsi="宋体" w:eastAsia="宋体" w:cs="宋体"/>
                <w:b w:val="0"/>
                <w:bCs/>
                <w:color w:val="auto"/>
                <w:sz w:val="21"/>
                <w:szCs w:val="21"/>
                <w:highlight w:val="none"/>
              </w:rPr>
              <w:t xml:space="preserve">名称 </w:t>
            </w:r>
            <w:r>
              <w:rPr>
                <w:rFonts w:hint="eastAsia" w:ascii="宋体" w:hAnsi="宋体" w:eastAsia="宋体" w:cs="宋体"/>
                <w:b w:val="0"/>
                <w:bCs/>
                <w:color w:val="auto"/>
                <w:sz w:val="21"/>
                <w:szCs w:val="21"/>
                <w:highlight w:val="none"/>
                <w:lang w:eastAsia="zh-CN"/>
              </w:rPr>
              <w:t>）</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收款单位：</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开户名称：</w:t>
            </w:r>
            <w:r>
              <w:rPr>
                <w:rFonts w:hint="eastAsia" w:ascii="宋体" w:hAnsi="宋体" w:eastAsia="宋体" w:cs="宋体"/>
                <w:b w:val="0"/>
                <w:bCs/>
                <w:color w:val="auto"/>
                <w:sz w:val="21"/>
                <w:szCs w:val="21"/>
                <w:highlight w:val="none"/>
                <w:lang w:eastAsia="zh-CN"/>
              </w:rPr>
              <w:t>宏业国际项目管理有限公司新疆分公司</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开户行：</w:t>
            </w:r>
            <w:r>
              <w:rPr>
                <w:rFonts w:hint="eastAsia" w:ascii="宋体" w:hAnsi="宋体" w:eastAsia="宋体" w:cs="宋体"/>
                <w:b w:val="0"/>
                <w:bCs/>
                <w:color w:val="auto"/>
                <w:sz w:val="21"/>
                <w:szCs w:val="21"/>
                <w:highlight w:val="none"/>
                <w:lang w:eastAsia="zh-CN"/>
              </w:rPr>
              <w:t>交通银行股份有限公司乌鲁木齐大西门支行</w:t>
            </w:r>
            <w:r>
              <w:rPr>
                <w:rFonts w:hint="eastAsia" w:ascii="宋体" w:hAnsi="宋体" w:eastAsia="宋体" w:cs="宋体"/>
                <w:b w:val="0"/>
                <w:bCs/>
                <w:color w:val="auto"/>
                <w:sz w:val="21"/>
                <w:szCs w:val="21"/>
                <w:highlight w:val="non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账   号：</w:t>
            </w:r>
            <w:r>
              <w:rPr>
                <w:rFonts w:hint="eastAsia" w:ascii="宋体" w:hAnsi="宋体" w:eastAsia="宋体" w:cs="宋体"/>
                <w:b w:val="0"/>
                <w:bCs/>
                <w:color w:val="auto"/>
                <w:sz w:val="21"/>
                <w:szCs w:val="21"/>
                <w:highlight w:val="none"/>
                <w:lang w:val="en-US" w:eastAsia="zh-CN"/>
              </w:rPr>
              <w:t>651651001013000714104</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必须</w:t>
            </w:r>
            <w:r>
              <w:rPr>
                <w:rFonts w:hint="eastAsia" w:ascii="宋体" w:hAnsi="宋体" w:eastAsia="宋体" w:cs="宋体"/>
                <w:b w:val="0"/>
                <w:bCs/>
                <w:color w:val="auto"/>
                <w:sz w:val="21"/>
                <w:szCs w:val="21"/>
                <w:highlight w:val="none"/>
                <w:lang w:eastAsia="zh-CN"/>
              </w:rPr>
              <w:t>投标截止时间前</w:t>
            </w:r>
            <w:r>
              <w:rPr>
                <w:rFonts w:hint="eastAsia" w:ascii="宋体" w:hAnsi="宋体" w:eastAsia="宋体" w:cs="宋体"/>
                <w:b w:val="0"/>
                <w:bCs/>
                <w:color w:val="auto"/>
                <w:sz w:val="21"/>
                <w:szCs w:val="21"/>
                <w:highlight w:val="none"/>
              </w:rPr>
              <w:t>完成保证金缴纳工作。</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需自行评估因异地、跨行、公休日等因素造成的投标保证金到账延迟风险，并承担相应责任。</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(2)投标保证金的提交以保证金账户到账时间为准。</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(3)标书内须放置投标保证金缴纳凭证。</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27</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履约保证金</w:t>
            </w:r>
          </w:p>
        </w:tc>
        <w:tc>
          <w:tcPr>
            <w:tcW w:w="6583"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约保证金金额：合同金额的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履约保证金递交：中标单位收到《</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通知书》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签订合同</w:t>
            </w:r>
            <w:r>
              <w:rPr>
                <w:rFonts w:hint="eastAsia" w:ascii="宋体" w:hAnsi="宋体" w:eastAsia="宋体" w:cs="宋体"/>
                <w:b w:val="0"/>
                <w:bCs/>
                <w:color w:val="auto"/>
                <w:sz w:val="21"/>
                <w:szCs w:val="21"/>
                <w:highlight w:val="none"/>
                <w:lang w:val="en-US" w:eastAsia="zh-CN"/>
              </w:rPr>
              <w:t>前</w:t>
            </w:r>
            <w:r>
              <w:rPr>
                <w:rFonts w:hint="eastAsia" w:ascii="宋体" w:hAnsi="宋体" w:eastAsia="宋体" w:cs="宋体"/>
                <w:b w:val="0"/>
                <w:bCs/>
                <w:color w:val="auto"/>
                <w:sz w:val="21"/>
                <w:szCs w:val="21"/>
                <w:highlight w:val="none"/>
              </w:rPr>
              <w:t>缴纳</w:t>
            </w:r>
          </w:p>
          <w:p>
            <w:pPr>
              <w:keepNext w:val="0"/>
              <w:keepLines w:val="0"/>
              <w:pageBreakBefore w:val="0"/>
              <w:widowControl w:val="0"/>
              <w:suppressLineNumbers w:val="0"/>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履约保证金形式：银行转账形式（中标单位未按</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文件规定缴纳履约保证金的，其投标保证金将不予退还）</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zh-CN"/>
              </w:rPr>
              <w:t>履约保证金（质保金）退还：（1）履约保证金的有效期为该项目</w:t>
            </w:r>
            <w:r>
              <w:rPr>
                <w:rFonts w:hint="eastAsia" w:ascii="宋体" w:hAnsi="宋体" w:eastAsia="宋体" w:cs="宋体"/>
                <w:b w:val="0"/>
                <w:bCs/>
                <w:color w:val="auto"/>
                <w:sz w:val="21"/>
                <w:szCs w:val="21"/>
                <w:highlight w:val="none"/>
                <w:lang w:val="en-US" w:eastAsia="zh-CN"/>
              </w:rPr>
              <w:t>完成供货且通过采购人组织的项目验收</w:t>
            </w:r>
            <w:r>
              <w:rPr>
                <w:rFonts w:hint="eastAsia" w:ascii="宋体" w:hAnsi="宋体" w:eastAsia="宋体" w:cs="宋体"/>
                <w:b w:val="0"/>
                <w:bCs/>
                <w:color w:val="auto"/>
                <w:sz w:val="21"/>
                <w:szCs w:val="21"/>
                <w:highlight w:val="none"/>
                <w:lang w:val="zh-CN"/>
              </w:rPr>
              <w:t>止。（2）供应商在</w:t>
            </w:r>
            <w:r>
              <w:rPr>
                <w:rFonts w:hint="eastAsia" w:ascii="宋体" w:hAnsi="宋体" w:eastAsia="宋体" w:cs="宋体"/>
                <w:b w:val="0"/>
                <w:bCs/>
                <w:color w:val="auto"/>
                <w:sz w:val="21"/>
                <w:szCs w:val="21"/>
                <w:highlight w:val="none"/>
                <w:lang w:val="en-US" w:eastAsia="zh-CN"/>
              </w:rPr>
              <w:t>产品</w:t>
            </w:r>
            <w:r>
              <w:rPr>
                <w:rFonts w:hint="eastAsia" w:ascii="宋体" w:hAnsi="宋体" w:eastAsia="宋体" w:cs="宋体"/>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28</w:t>
            </w:r>
          </w:p>
        </w:tc>
        <w:tc>
          <w:tcPr>
            <w:tcW w:w="2350"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代理服务费</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本项目招标代理服务费根据发改价格[2011]534 号及计价格[2002]1980 号文件计算的招标代理服务收费标准</w:t>
            </w:r>
            <w:r>
              <w:rPr>
                <w:rFonts w:hint="eastAsia" w:ascii="宋体" w:hAnsi="宋体" w:eastAsia="宋体" w:cs="宋体"/>
                <w:b w:val="0"/>
                <w:bCs/>
                <w:color w:val="auto"/>
                <w:sz w:val="21"/>
                <w:szCs w:val="21"/>
                <w:highlight w:val="none"/>
                <w:lang w:eastAsia="zh-CN"/>
              </w:rPr>
              <w:t>收取</w:t>
            </w:r>
            <w:r>
              <w:rPr>
                <w:rFonts w:hint="eastAsia" w:ascii="宋体" w:hAnsi="宋体" w:eastAsia="宋体" w:cs="宋体"/>
                <w:b w:val="0"/>
                <w:bCs/>
                <w:color w:val="auto"/>
                <w:sz w:val="21"/>
                <w:szCs w:val="21"/>
                <w:highlight w:val="none"/>
              </w:rPr>
              <w:t>。由中标</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29</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中小微型企业</w:t>
            </w:r>
          </w:p>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有关政策</w:t>
            </w:r>
          </w:p>
        </w:tc>
        <w:tc>
          <w:tcPr>
            <w:tcW w:w="6583" w:type="dxa"/>
            <w:noWrap w:val="0"/>
            <w:vAlign w:val="center"/>
          </w:tcPr>
          <w:p>
            <w:pPr>
              <w:pageBreakBefore w:val="0"/>
              <w:numPr>
                <w:ilvl w:val="0"/>
                <w:numId w:val="3"/>
              </w:numPr>
              <w:kinsoku/>
              <w:topLinePunct w:val="0"/>
              <w:bidi w:val="0"/>
              <w:spacing w:line="400" w:lineRule="exact"/>
              <w:ind w:left="0" w:leftChars="0" w:firstLine="0" w:firstLineChars="0"/>
              <w:rPr>
                <w:rStyle w:val="119"/>
                <w:rFonts w:hint="eastAsia" w:ascii="宋体" w:hAnsi="宋体" w:eastAsia="宋体" w:cs="宋体"/>
                <w:b w:val="0"/>
                <w:bCs/>
                <w:color w:val="auto"/>
                <w:sz w:val="21"/>
                <w:szCs w:val="21"/>
                <w:highlight w:val="none"/>
              </w:rPr>
            </w:pPr>
            <w:r>
              <w:rPr>
                <w:rStyle w:val="119"/>
                <w:rFonts w:hint="eastAsia" w:ascii="宋体" w:hAnsi="宋体" w:eastAsia="宋体" w:cs="宋体"/>
                <w:b w:val="0"/>
                <w:bCs/>
                <w:color w:val="auto"/>
                <w:sz w:val="21"/>
                <w:szCs w:val="21"/>
                <w:highlight w:val="none"/>
              </w:rPr>
              <w:t>《政府采购促进中小企业发展暂行办法》（财库〔2020〕47号）；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p>
            <w:pPr>
              <w:pageBreakBefore w:val="0"/>
              <w:numPr>
                <w:ilvl w:val="0"/>
                <w:numId w:val="0"/>
              </w:numPr>
              <w:kinsoku/>
              <w:topLinePunct w:val="0"/>
              <w:bidi w:val="0"/>
              <w:spacing w:line="400" w:lineRule="exact"/>
              <w:ind w:leftChars="0"/>
              <w:rPr>
                <w:rFonts w:hint="eastAsia" w:ascii="宋体" w:hAnsi="宋体" w:eastAsia="宋体" w:cs="宋体"/>
                <w:b w:val="0"/>
                <w:bCs/>
                <w:color w:val="auto"/>
                <w:kern w:val="2"/>
                <w:sz w:val="21"/>
                <w:szCs w:val="21"/>
                <w:highlight w:val="none"/>
                <w:lang w:val="en-US" w:eastAsia="zh-CN" w:bidi="ar-SA"/>
              </w:rPr>
            </w:pPr>
            <w:r>
              <w:rPr>
                <w:rStyle w:val="119"/>
                <w:rFonts w:hint="eastAsia" w:ascii="宋体" w:hAnsi="宋体" w:eastAsia="宋体" w:cs="宋体"/>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30</w:t>
            </w:r>
          </w:p>
        </w:tc>
        <w:tc>
          <w:tcPr>
            <w:tcW w:w="2350" w:type="dxa"/>
            <w:noWrap w:val="0"/>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封套上应载明的信息</w:t>
            </w:r>
          </w:p>
        </w:tc>
        <w:tc>
          <w:tcPr>
            <w:tcW w:w="6583" w:type="dxa"/>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6"/>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6"/>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宋体" w:hAnsi="宋体" w:cs="宋体"/>
                <w:szCs w:val="21"/>
              </w:rPr>
            </w:pPr>
            <w:r>
              <w:rPr>
                <w:rFonts w:hint="eastAsia" w:ascii="宋体" w:hAnsi="宋体" w:cs="宋体"/>
                <w:szCs w:val="21"/>
              </w:rPr>
              <w:t>需要补充的其他内容</w:t>
            </w:r>
          </w:p>
        </w:tc>
        <w:tc>
          <w:tcPr>
            <w:tcW w:w="6583" w:type="dxa"/>
            <w:noWrap w:val="0"/>
            <w:vAlign w:val="center"/>
          </w:tcPr>
          <w:p>
            <w:pPr>
              <w:autoSpaceDE w:val="0"/>
              <w:autoSpaceDN w:val="0"/>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、本项目投标应以人民币报价；</w:t>
            </w:r>
          </w:p>
          <w:p>
            <w:pPr>
              <w:autoSpaceDE w:val="0"/>
              <w:autoSpaceDN w:val="0"/>
              <w:spacing w:line="360" w:lineRule="auto"/>
              <w:rPr>
                <w:rFonts w:hint="eastAsia" w:ascii="宋体" w:hAnsi="宋体" w:cs="宋体"/>
                <w:szCs w:val="21"/>
              </w:rPr>
            </w:pPr>
            <w:r>
              <w:rPr>
                <w:rFonts w:hint="eastAsia" w:ascii="宋体" w:hAnsi="宋体" w:cs="宋体"/>
                <w:szCs w:val="21"/>
              </w:rPr>
              <w:t>2、不论投标结果如何，投标人均应自行承担所有与投标有关的全部费用</w:t>
            </w:r>
            <w:r>
              <w:rPr>
                <w:rFonts w:hint="eastAsia" w:ascii="宋体" w:hAnsi="宋体" w:cs="宋体"/>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kern w:val="0"/>
                <w:sz w:val="21"/>
                <w:szCs w:val="21"/>
                <w:highlight w:val="none"/>
              </w:rPr>
            </w:pPr>
          </w:p>
        </w:tc>
        <w:tc>
          <w:tcPr>
            <w:tcW w:w="2350" w:type="dxa"/>
            <w:noWrap w:val="0"/>
            <w:vAlign w:val="center"/>
          </w:tcPr>
          <w:p>
            <w:pPr>
              <w:autoSpaceDE w:val="0"/>
              <w:autoSpaceDN w:val="0"/>
              <w:spacing w:line="360" w:lineRule="auto"/>
              <w:rPr>
                <w:rFonts w:hint="eastAsia" w:ascii="宋体" w:hAnsi="宋体" w:cs="宋体"/>
                <w:szCs w:val="21"/>
              </w:rPr>
            </w:pPr>
            <w:r>
              <w:rPr>
                <w:rFonts w:hint="eastAsia" w:ascii="宋体" w:hAnsi="宋体" w:cs="宋体"/>
                <w:szCs w:val="21"/>
              </w:rPr>
              <w:t>备注</w:t>
            </w:r>
          </w:p>
        </w:tc>
        <w:tc>
          <w:tcPr>
            <w:tcW w:w="6583" w:type="dxa"/>
            <w:noWrap w:val="0"/>
            <w:vAlign w:val="center"/>
          </w:tcPr>
          <w:p>
            <w:pPr>
              <w:autoSpaceDE w:val="0"/>
              <w:autoSpaceDN w:val="0"/>
              <w:spacing w:line="360" w:lineRule="auto"/>
              <w:rPr>
                <w:rFonts w:ascii="宋体" w:hAnsi="宋体"/>
                <w:b/>
                <w:bCs/>
                <w:szCs w:val="21"/>
              </w:rPr>
            </w:pPr>
            <w:r>
              <w:rPr>
                <w:rFonts w:hint="eastAsia" w:ascii="宋体" w:hAnsi="宋体" w:eastAsia="宋体" w:cs="Times New Roman"/>
                <w:b/>
                <w:bCs/>
                <w:szCs w:val="21"/>
                <w:lang w:val="en-US" w:eastAsia="zh-CN"/>
              </w:rPr>
              <w:t>1、</w:t>
            </w:r>
            <w:r>
              <w:rPr>
                <w:rFonts w:hint="eastAsia" w:ascii="宋体" w:hAnsi="宋体"/>
                <w:b/>
                <w:bCs/>
                <w:szCs w:val="21"/>
              </w:rPr>
              <w:t>为保证本项目质量，良好的售后服务，最低报价不作为中标的唯一依据。</w:t>
            </w:r>
          </w:p>
          <w:p>
            <w:pPr>
              <w:autoSpaceDE w:val="0"/>
              <w:autoSpaceDN w:val="0"/>
              <w:spacing w:line="360" w:lineRule="auto"/>
              <w:rPr>
                <w:rFonts w:hint="eastAsia" w:ascii="宋体" w:hAnsi="宋体" w:cs="宋体"/>
                <w:color w:val="0070C0"/>
                <w:szCs w:val="21"/>
              </w:rPr>
            </w:pPr>
            <w:r>
              <w:rPr>
                <w:rFonts w:hint="eastAsia" w:ascii="宋体" w:hAnsi="宋体"/>
                <w:szCs w:val="21"/>
                <w:lang w:val="en-US" w:eastAsia="zh-CN"/>
              </w:rPr>
              <w:t>2、</w:t>
            </w:r>
            <w:r>
              <w:rPr>
                <w:rFonts w:hint="eastAsia" w:ascii="宋体" w:hAnsi="宋体"/>
                <w:szCs w:val="21"/>
              </w:rPr>
              <w:t>采购人若发现成交候选</w:t>
            </w:r>
            <w:r>
              <w:rPr>
                <w:rFonts w:hint="eastAsia" w:ascii="宋体" w:hAnsi="宋体"/>
                <w:bCs/>
                <w:szCs w:val="21"/>
              </w:rPr>
              <w:t>供应商</w:t>
            </w:r>
            <w:r>
              <w:rPr>
                <w:rFonts w:hint="eastAsia" w:ascii="宋体" w:hAnsi="宋体"/>
                <w:szCs w:val="21"/>
              </w:rPr>
              <w:t>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noWrap w:val="0"/>
            <w:vAlign w:val="center"/>
          </w:tcPr>
          <w:p>
            <w:pPr>
              <w:pStyle w:val="16"/>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注意</w:t>
            </w:r>
          </w:p>
          <w:p>
            <w:pPr>
              <w:pStyle w:val="16"/>
              <w:pageBreakBefore w:val="0"/>
              <w:kinsoku/>
              <w:topLinePunct w:val="0"/>
              <w:bidi w:val="0"/>
              <w:spacing w:line="400" w:lineRule="exact"/>
              <w:ind w:left="0" w:leftChars="0" w:firstLine="0" w:firstLineChars="0"/>
              <w:contextualSpacing/>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事项</w:t>
            </w:r>
          </w:p>
        </w:tc>
        <w:tc>
          <w:tcPr>
            <w:tcW w:w="8933" w:type="dxa"/>
            <w:gridSpan w:val="2"/>
            <w:noWrap w:val="0"/>
            <w:vAlign w:val="center"/>
          </w:tcPr>
          <w:p>
            <w:pPr>
              <w:pStyle w:val="16"/>
              <w:pageBreakBefore w:val="0"/>
              <w:kinsoku/>
              <w:topLinePunct w:val="0"/>
              <w:bidi w:val="0"/>
              <w:spacing w:line="400" w:lineRule="exact"/>
              <w:ind w:left="0" w:leftChars="0" w:firstLine="0" w:firstLineChars="0"/>
              <w:contextualSpacing/>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各供应商应在本项目采购公告发布之日起到响应文件递交截止时间期间，通过“信用中国”网站（</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www.creditchina.gov.cn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）、中国政府采购网（</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"qq://txfile/"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www.ccgp.gov.cn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noWrap w:val="0"/>
            <w:vAlign w:val="center"/>
          </w:tcPr>
          <w:p>
            <w:pPr>
              <w:pageBreakBefore w:val="0"/>
              <w:kinsoku/>
              <w:topLinePunct w:val="0"/>
              <w:bidi w:val="0"/>
              <w:adjustRightInd w:val="0"/>
              <w:snapToGrid w:val="0"/>
              <w:spacing w:line="400" w:lineRule="exact"/>
              <w:ind w:left="0" w:leftChars="0" w:firstLine="0" w:firstLineChars="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8933" w:type="dxa"/>
            <w:gridSpan w:val="2"/>
            <w:noWrap w:val="0"/>
            <w:vAlign w:val="center"/>
          </w:tcPr>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品牌产品参加投标处理办法：</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9"/>
              <w:pageBreakBefore w:val="0"/>
              <w:kinsoku/>
              <w:topLinePunct w:val="0"/>
              <w:bidi w:val="0"/>
              <w:spacing w:before="0"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非单一产品采购项目，采购人应当根据采购项目技术构成、产品价格比重等合理确定核心产品，并在招标文件中载明。多家投标人提供的核心产品品牌相同的，按前款规定处理。</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特别说明：</w:t>
            </w:r>
          </w:p>
          <w:p>
            <w:pPr>
              <w:pageBreakBefore w:val="0"/>
              <w:kinsoku/>
              <w:topLinePunct w:val="0"/>
              <w:bidi w:val="0"/>
              <w:snapToGrid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1.为保证本项目质量，良好的售后服务，最低报价不作为中标的唯一依据。</w:t>
            </w:r>
          </w:p>
          <w:p>
            <w:pPr>
              <w:pageBreakBefore w:val="0"/>
              <w:kinsoku/>
              <w:topLinePunct w:val="0"/>
              <w:bidi w:val="0"/>
              <w:spacing w:line="400" w:lineRule="exact"/>
              <w:ind w:left="0" w:leftChars="0" w:firstLine="0" w:firstLineChars="0"/>
              <w:rPr>
                <w:rFonts w:hint="eastAsia" w:ascii="宋体" w:hAnsi="宋体" w:eastAsia="宋体" w:cs="宋体"/>
                <w:b w:val="0"/>
                <w:bCs/>
                <w:sz w:val="21"/>
                <w:szCs w:val="21"/>
              </w:rPr>
            </w:pPr>
            <w:r>
              <w:rPr>
                <w:rFonts w:hint="eastAsia" w:ascii="宋体" w:hAnsi="宋体" w:eastAsia="宋体" w:cs="宋体"/>
                <w:b w:val="0"/>
                <w:bCs/>
                <w:sz w:val="21"/>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bl>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Style w:val="2"/>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6"/>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br w:type="page"/>
      </w:r>
      <w:bookmarkStart w:id="17" w:name="_Toc462223632"/>
      <w:bookmarkStart w:id="18" w:name="_Toc349573121"/>
      <w:bookmarkStart w:id="19" w:name="_Toc267301282"/>
      <w:bookmarkStart w:id="20" w:name="_Toc298240405"/>
      <w:bookmarkStart w:id="21" w:name="_Toc349637920"/>
      <w:r>
        <w:rPr>
          <w:rFonts w:hint="eastAsia" w:ascii="宋体" w:hAnsi="宋体" w:eastAsia="宋体" w:cs="宋体"/>
          <w:sz w:val="21"/>
          <w:szCs w:val="21"/>
        </w:rPr>
        <w:t>（一）说　明</w:t>
      </w:r>
      <w:bookmarkEnd w:id="17"/>
      <w:bookmarkEnd w:id="18"/>
      <w:bookmarkEnd w:id="19"/>
      <w:bookmarkEnd w:id="20"/>
      <w:bookmarkEnd w:id="2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1、适用范围</w:t>
      </w:r>
    </w:p>
    <w:p>
      <w:pPr>
        <w:pageBreakBefore w:val="0"/>
        <w:tabs>
          <w:tab w:val="left" w:pos="360"/>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1.1本磋商文件仅适用于本次磋商邀请中所叙述项目的货物及服务采购。</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2、定义</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1 “招标代理机构”系指宏业国际项目管理有限公司；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2.2 “需方”系指</w:t>
      </w:r>
      <w:r>
        <w:rPr>
          <w:rFonts w:hint="eastAsia" w:ascii="宋体" w:hAnsi="宋体" w:cs="宋体"/>
          <w:color w:val="000000"/>
          <w:sz w:val="21"/>
          <w:szCs w:val="21"/>
          <w:lang w:eastAsia="zh-CN"/>
        </w:rPr>
        <w:t>新疆维吾尔自治区测绘成果中心</w:t>
      </w:r>
      <w:r>
        <w:rPr>
          <w:rFonts w:hint="eastAsia" w:ascii="宋体" w:hAnsi="宋体" w:eastAsia="宋体" w:cs="宋体"/>
          <w:color w:val="000000"/>
          <w:sz w:val="21"/>
          <w:szCs w:val="21"/>
        </w:rPr>
        <w:t>；</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2.3 “磋商供应商”系指向招标代理机构提交磋商响应性文件的制造商或代理商；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2.4 “成交方”系指在本次磋商中成交，将被授予合同的供应商，即成为“成交方”。</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3.1 有能力提供磋商文件中所要求的货物及服务、资格审查合格的制造商或代理商为合格的供应商；</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3.2 供应商必须遵守有关的国内法律和规章条例。</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4、供应商资格</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4.1落实政府采购政策需满足的资格要求：详见政府采购法；</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4.2供应商须符合《中华人民共和国政府采购法》第二十二条规定,并提供《中华人民共和国政府采购法实施条例》第十七条所要求的材料；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 供应商提供有效的统一社会信用代码的营业执照，供应商必须是中华人民共和国境内注册的，具有独立承担民事责任的能力；</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② 财务状况报告：供应商提供2020年度经第三方权威机构出具的完整的财务审计报告或自发布公告之日起基本开户银行出具的资信证明；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③ 依法缴纳税收：供应商提供自投标截止之日前半年内任意一个月依法缴纳税收的凭据，依法免税的供应商，应提供充足的证明材料；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④ 依法缴纳社保：供应商提供自投标截止之日前半年内任意一个月依法缴纳社会保障资金的凭据；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⑤ 供应商具备履行合同所必需的设备和专业技术能力的证明材料；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4.3供应商提供法人授权委托书及被授权人身份证原件；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4.5本项目不接受联合体投标；</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4.6单位负责人为同一人或者存在直接控股、管理关系的不同投标人，不得同时参加本项目的竞争。 </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5、磋商费用</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 无论磋商过程中的作法和结果如何，供应商将自行承担所有与参加磋商有关的全部费用。</w:t>
      </w:r>
      <w:bookmarkStart w:id="22" w:name="_Toc349573122"/>
      <w:bookmarkStart w:id="23" w:name="_Toc267301283"/>
      <w:bookmarkStart w:id="24" w:name="_Toc349637921"/>
      <w:bookmarkStart w:id="25" w:name="_Toc298240406"/>
    </w:p>
    <w:p>
      <w:pPr>
        <w:pStyle w:val="6"/>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6" w:name="_Toc462223633"/>
      <w:r>
        <w:rPr>
          <w:rFonts w:hint="eastAsia" w:ascii="宋体" w:hAnsi="宋体" w:eastAsia="宋体" w:cs="宋体"/>
          <w:sz w:val="21"/>
          <w:szCs w:val="21"/>
        </w:rPr>
        <w:t>（二）磋商文件</w:t>
      </w:r>
      <w:bookmarkEnd w:id="22"/>
      <w:bookmarkEnd w:id="23"/>
      <w:bookmarkEnd w:id="24"/>
      <w:bookmarkEnd w:id="25"/>
      <w:bookmarkEnd w:id="2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6、磋商文件构成</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6.1磋商文件包括：</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⑴磋商公告；</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⑵供应商须知；</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⑶项目需求；</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⑷合同条款；</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⑸附件。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highlight w:val="none"/>
        </w:rPr>
        <w:t>6.2 磋商文</w:t>
      </w:r>
      <w:r>
        <w:rPr>
          <w:rFonts w:hint="eastAsia" w:ascii="宋体" w:hAnsi="宋体" w:eastAsia="宋体" w:cs="宋体"/>
          <w:sz w:val="21"/>
          <w:szCs w:val="21"/>
        </w:rPr>
        <w:t>件以中文编写。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7、磋商文件澄清</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7.1 供应商对磋商文件有疑问的，可以向招标代理机构提出询问，招标代理机构将及时做出答复；</w:t>
      </w:r>
    </w:p>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7.2 供应商对磋商文件有质疑，须在磋商响应文件递交截止时间3日以前，以书面形式向招标机构提出质疑；招标机构在收到书面质疑后尽快做出答复，并以书面形式通知质疑供应商。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8、磋商文件的修改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8.1 对磋商文件进行必要的修改，招标代理机构将在投标截止时间2日前以书面形式通知所有购买磋商文件的供应商。该修改的内容为磋商文件的组成部分；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8.2 供应商在规定的时间内未对磋商文件提出澄清要求的，招标代理机构将视其为同意。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8.3在投标截止时间前，招标机构可视具体情况延长磋商截止时间，并将变更时间书面通知所有购买磋商文件的供应商。</w:t>
      </w:r>
    </w:p>
    <w:p>
      <w:pPr>
        <w:pStyle w:val="6"/>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27" w:name="_Toc349573123"/>
      <w:bookmarkStart w:id="28" w:name="_Toc267301284"/>
      <w:bookmarkStart w:id="29" w:name="_Toc298240407"/>
      <w:bookmarkStart w:id="30" w:name="_Toc349637922"/>
      <w:bookmarkStart w:id="31" w:name="_Toc462223634"/>
      <w:r>
        <w:rPr>
          <w:rFonts w:hint="eastAsia" w:ascii="宋体" w:hAnsi="宋体" w:eastAsia="宋体" w:cs="宋体"/>
          <w:sz w:val="21"/>
          <w:szCs w:val="21"/>
        </w:rPr>
        <w:t>（三）磋商响应性文件的编写</w:t>
      </w:r>
      <w:bookmarkEnd w:id="27"/>
      <w:bookmarkEnd w:id="28"/>
      <w:bookmarkEnd w:id="29"/>
      <w:bookmarkEnd w:id="30"/>
      <w:bookmarkEnd w:id="3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9.1 供应商应仔细阅读磋商文件的所有内容，按磋商文件的要求提供磋商响应性文件，并保证所提供的全部资料的真实性，以使其磋商响应对磋商文件作出实质性响应，否则，其磋商可能被拒绝。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10、磋商语言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11、磋商响应性文件的构成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11.1 供应商编写的磋商响应性文件应包括下列内容：</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1）磋 商 响 应 函</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2）法定代表人身份证明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3）法定代表人授权委托书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4）磋商报价表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5）商务偏离表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6）技术偏离表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7）公司业绩一览表</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8）优惠条件承诺书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9）售后服务承诺</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 无重大违法记录声明</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11)供应商反商业贿赂承诺书</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12）中小微企业证明文件等（如有）</w:t>
      </w:r>
    </w:p>
    <w:p>
      <w:pPr>
        <w:pageBreakBefore w:val="0"/>
        <w:kinsoku/>
        <w:topLinePunct w:val="0"/>
        <w:bidi w:val="0"/>
        <w:snapToGrid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13）投标人认为有必要提交的其他相关证明材料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11.2供应商应将磋商响应性文件装订成册，并填写文件资料清单。</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12、磋商响应文件格式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12.1 供应商应按磋商文件的范本格式中提供的文件格式填写。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13.2算术性修正。算术性修正是指对磋商响应文件的报价明细进行校核，并对其算术上和运算上的差错给予修正。修正的原则如下：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13.2.1 当以数字表示的金额与文字表示的金额有差异时，以文字表示的金额为准；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13.2.2 当单价与数量相乘不等于合价时，以单价计算为准。如果单价有明显的小数点位置差错，应以标出的合价为准，同时对单价予以修正；</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13.2.3 当各明细部分的价格累计不等于合价时，应以各明细的累计计数为准，修正合价。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13.2.4 按以上原则对算术性差错修正，应取得供应商的同意，并确认修正后最终磋商报价。如果供应商拒绝确认，则其磋商响应文件将不予以评审并按废标处理，没收其投标担保。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14、投标货币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14.1人民币报价。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15、供应商的证明文件：</w:t>
      </w:r>
    </w:p>
    <w:p>
      <w:pPr>
        <w:pageBreakBefore w:val="0"/>
        <w:kinsoku/>
        <w:topLinePunct w:val="0"/>
        <w:bidi w:val="0"/>
        <w:spacing w:line="400" w:lineRule="exact"/>
        <w:ind w:left="0" w:leftChars="0" w:firstLine="0" w:firstLineChars="0"/>
        <w:rPr>
          <w:rFonts w:hint="eastAsia" w:ascii="宋体" w:hAnsi="宋体" w:eastAsia="宋体" w:cs="宋体"/>
          <w:spacing w:val="8"/>
          <w:sz w:val="21"/>
          <w:szCs w:val="21"/>
        </w:rPr>
      </w:pPr>
      <w:r>
        <w:rPr>
          <w:rFonts w:hint="eastAsia" w:ascii="宋体" w:hAnsi="宋体" w:eastAsia="宋体" w:cs="宋体"/>
          <w:sz w:val="21"/>
          <w:szCs w:val="21"/>
        </w:rPr>
        <w:t>供应商必须提交证明其有资格进行磋商和有能力履行合同的文件（范本格式），作为磋商响应文件的一部分。（</w:t>
      </w:r>
      <w:r>
        <w:rPr>
          <w:rFonts w:hint="eastAsia" w:ascii="宋体" w:hAnsi="宋体" w:eastAsia="宋体" w:cs="宋体"/>
          <w:spacing w:val="8"/>
          <w:sz w:val="21"/>
          <w:szCs w:val="21"/>
        </w:rPr>
        <w:t>如不满足以下条款将导致废标）</w:t>
      </w:r>
    </w:p>
    <w:p>
      <w:pPr>
        <w:pStyle w:val="33"/>
        <w:pageBreakBefore w:val="0"/>
        <w:kinsoku/>
        <w:topLinePunct w:val="0"/>
        <w:bidi w:val="0"/>
        <w:spacing w:before="0" w:beforeAutospacing="0" w:after="0" w:afterAutospacing="0"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15.1落实政府采购政策需满足的资格要求：详见政府采购法；</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15.2供应商须符合《中华人民共和国政府采购法》第二十二条规定,并提供《中华人民共和国政府采购法实施条例》第十七条所要求的材料；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① 供应商提供有效的统一社会信用代码的营业执照，供应商必须是中华人民共和国境内注册的，具有独立承担民事责任的能力；</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② 财务状况报告：供应商提供2020年度经第三方权威机构出具的完整的财务审计报告或自发布公告之日起基本开户银行出具的资信证明；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③ 依法缴纳税收：供应商提供自投标截止之日前半年内任意一个月依法缴纳税收的凭据，依法免税的供应商，应提供充足的证明材料；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④ 依法缴纳社保：供应商提供自投标截止之日前半年内任意一个月依法缴纳社会保障资金的凭据；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⑤ 供应商具备履行合同所必需的设备和专业技术能力的证明材料；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15.3供应商提供法人授权委托书及被授权人身份证原件；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15.5本项目不接受联合体投标；</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15.6投标人</w:t>
      </w:r>
      <w:r>
        <w:rPr>
          <w:rFonts w:hint="eastAsia" w:ascii="宋体" w:hAnsi="宋体" w:eastAsia="宋体" w:cs="宋体"/>
          <w:color w:val="000000"/>
          <w:sz w:val="21"/>
          <w:szCs w:val="21"/>
          <w:highlight w:val="none"/>
        </w:rPr>
        <w:t>具有行业主管部门颁发的乙级及以上测绘资质</w:t>
      </w:r>
      <w:r>
        <w:rPr>
          <w:rFonts w:hint="eastAsia" w:ascii="宋体" w:hAnsi="宋体" w:eastAsia="宋体" w:cs="宋体"/>
          <w:color w:val="000000"/>
          <w:sz w:val="21"/>
          <w:szCs w:val="21"/>
          <w:highlight w:val="none"/>
          <w:lang w:eastAsia="zh-CN"/>
        </w:rPr>
        <w:t>。</w:t>
      </w:r>
    </w:p>
    <w:p>
      <w:pPr>
        <w:pStyle w:val="33"/>
        <w:pageBreakBefore w:val="0"/>
        <w:kinsoku/>
        <w:topLinePunct w:val="0"/>
        <w:bidi w:val="0"/>
        <w:spacing w:before="0" w:beforeAutospacing="0" w:after="0" w:afterAutospacing="0"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15.</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单位负责人为同一人或者存在直接控股、管理关系的不同投标人，不得同时参加本项目的竞争。 </w:t>
      </w:r>
    </w:p>
    <w:p>
      <w:pPr>
        <w:pageBreakBefore w:val="0"/>
        <w:tabs>
          <w:tab w:val="left" w:pos="252"/>
          <w:tab w:val="left" w:pos="671"/>
        </w:tabs>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注：（1）磋商响应性文件中，所有供应商签字、法人代表签字、法人代表授权人签字和其它签字处必须签字有效；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（2）所有资格证明文件必须满足磋商文件要求，否则将导致废标。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16、参数符合磋商文件规定的技术要求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16.1供应商提交的成果资料符合磋商文件规定的要求，作为磋商响应文件的一部分。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17、磋商的有效期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17.1 磋商响应文件从磋商之日起，投标有效期为</w:t>
      </w:r>
      <w:r>
        <w:rPr>
          <w:rFonts w:hint="eastAsia" w:ascii="宋体" w:hAnsi="宋体" w:cs="宋体"/>
          <w:sz w:val="21"/>
          <w:szCs w:val="21"/>
          <w:lang w:val="en-US" w:eastAsia="zh-CN"/>
        </w:rPr>
        <w:t>90</w:t>
      </w:r>
      <w:r>
        <w:rPr>
          <w:rFonts w:hint="eastAsia" w:ascii="宋体" w:hAnsi="宋体" w:eastAsia="宋体" w:cs="宋体"/>
          <w:sz w:val="21"/>
          <w:szCs w:val="21"/>
        </w:rPr>
        <w:t>天。（如不满足将导致废标）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17.2 在特殊情况下，招标代理机构可与供应商商量延长磋商响应文件的有效期。</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18、磋商响应性文件的书写要求。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18.1 磋商响应性文件须打印。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18.2 磋商响应性文件应清楚工整，修改处应由磋商供应商全权代表签章。</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18.3</w:t>
      </w:r>
      <w:r>
        <w:rPr>
          <w:rFonts w:hint="eastAsia" w:ascii="宋体" w:hAnsi="宋体" w:eastAsia="宋体" w:cs="宋体"/>
          <w:b/>
          <w:sz w:val="21"/>
          <w:szCs w:val="21"/>
        </w:rPr>
        <w:t>磋商响应性文件中要求由投标人法定代表人或被授权人签字的内容必须签字、盖章的内容必须盖章，否则视为无效投标。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18.4电报、电话、传真形式的投标概不接受。</w:t>
      </w:r>
    </w:p>
    <w:p>
      <w:pPr>
        <w:pageBreakBefore w:val="0"/>
        <w:kinsoku/>
        <w:topLinePunct w:val="0"/>
        <w:bidi w:val="0"/>
        <w:spacing w:line="400" w:lineRule="exact"/>
        <w:ind w:left="0" w:leftChars="0" w:firstLine="0" w:firstLineChars="0"/>
        <w:rPr>
          <w:rFonts w:hint="eastAsia" w:ascii="宋体" w:hAnsi="宋体" w:eastAsia="宋体" w:cs="宋体"/>
          <w:bCs/>
          <w:color w:val="0000FF"/>
          <w:sz w:val="21"/>
          <w:szCs w:val="21"/>
        </w:rPr>
      </w:pPr>
      <w:r>
        <w:rPr>
          <w:rFonts w:hint="eastAsia" w:ascii="宋体" w:hAnsi="宋体" w:eastAsia="宋体" w:cs="宋体"/>
          <w:bCs/>
          <w:sz w:val="21"/>
          <w:szCs w:val="21"/>
        </w:rPr>
        <w:t>18.5磋商响应文件的份数</w:t>
      </w:r>
      <w:r>
        <w:rPr>
          <w:rFonts w:hint="eastAsia" w:ascii="宋体" w:hAnsi="宋体" w:eastAsia="宋体" w:cs="宋体"/>
          <w:bCs/>
          <w:color w:val="auto"/>
          <w:sz w:val="21"/>
          <w:szCs w:val="21"/>
        </w:rPr>
        <w:t>：</w:t>
      </w:r>
      <w:r>
        <w:rPr>
          <w:rFonts w:hint="eastAsia" w:ascii="宋体" w:hAnsi="宋体" w:eastAsia="宋体" w:cs="宋体"/>
          <w:bCs/>
          <w:sz w:val="21"/>
          <w:szCs w:val="21"/>
        </w:rPr>
        <w:t>正本1份，副本2份，开标一览表1份，电子U盘1份，光盘</w:t>
      </w:r>
      <w:r>
        <w:rPr>
          <w:rFonts w:hint="eastAsia" w:ascii="宋体" w:hAnsi="宋体" w:eastAsia="宋体" w:cs="宋体"/>
          <w:bCs/>
          <w:sz w:val="21"/>
          <w:szCs w:val="21"/>
          <w:lang w:val="en-US" w:eastAsia="zh-CN"/>
        </w:rPr>
        <w:t>2</w:t>
      </w:r>
      <w:r>
        <w:rPr>
          <w:rFonts w:hint="eastAsia" w:ascii="宋体" w:hAnsi="宋体" w:eastAsia="宋体" w:cs="宋体"/>
          <w:bCs/>
          <w:sz w:val="21"/>
          <w:szCs w:val="21"/>
        </w:rPr>
        <w:t>份。</w:t>
      </w:r>
    </w:p>
    <w:p>
      <w:pPr>
        <w:pageBreakBefore w:val="0"/>
        <w:kinsoku/>
        <w:topLinePunct w:val="0"/>
        <w:bidi w:val="0"/>
        <w:spacing w:line="400" w:lineRule="exact"/>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19、投标保证金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19.1供应商按照供应商须知附表中要求缴纳磋商响应保证金。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19.2本次招标接受网银或电汇等非现金方式缴纳作为磋商保证金，磋商保证金有效期应当与磋商响应有效期一致。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19.3磋商保证金的退还时间：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19.3.1中标供应商的投标保证金，将在合同签订后的5个工作日内予以退还；未中标供应商的投标保证金在中标通知书发出后5个工作日内予以退还。</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19.4未按规定提交磋商保证金的投标，将被视为磋商无效。</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19.5下列任何情况发生时，磋商保证金将被没收：</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19.5.1供应商在磋商文件规定的投标有效期内撤回其磋商；</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19.5.2成交方在规定期限内未能：</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19.5.2.1按本须知第31条规定签订合同；</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19.5.2.2按须知第32条向买方提交履约保证金；</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19.5.2.3按本须知第33条规定向招标代理机构交纳代理服务费。</w:t>
      </w:r>
    </w:p>
    <w:p>
      <w:pPr>
        <w:pStyle w:val="6"/>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2" w:name="_Toc267301285"/>
      <w:bookmarkStart w:id="33" w:name="_Toc298240408"/>
      <w:bookmarkStart w:id="34" w:name="_Toc349637923"/>
      <w:bookmarkStart w:id="35" w:name="_Toc349573124"/>
      <w:bookmarkStart w:id="36" w:name="_Toc462223635"/>
      <w:r>
        <w:rPr>
          <w:rFonts w:hint="eastAsia" w:ascii="宋体" w:hAnsi="宋体" w:eastAsia="宋体" w:cs="宋体"/>
          <w:sz w:val="21"/>
          <w:szCs w:val="21"/>
        </w:rPr>
        <w:t>（四）磋商响应文件的递交</w:t>
      </w:r>
      <w:bookmarkEnd w:id="32"/>
      <w:bookmarkEnd w:id="33"/>
      <w:bookmarkEnd w:id="34"/>
      <w:bookmarkEnd w:id="35"/>
      <w:bookmarkEnd w:id="3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20、磋商响应性文件的密封与标记</w:t>
      </w:r>
    </w:p>
    <w:p>
      <w:pPr>
        <w:pageBreakBefore w:val="0"/>
        <w:numPr>
          <w:ilvl w:val="0"/>
          <w:numId w:val="0"/>
        </w:numPr>
        <w:tabs>
          <w:tab w:val="left" w:pos="1080"/>
        </w:tabs>
        <w:kinsoku/>
        <w:topLinePunct w:val="0"/>
        <w:bidi w:val="0"/>
        <w:spacing w:line="400" w:lineRule="exact"/>
        <w:ind w:leftChars="0"/>
        <w:rPr>
          <w:rFonts w:hint="eastAsia" w:ascii="宋体" w:hAnsi="宋体" w:eastAsia="宋体" w:cs="宋体"/>
          <w:sz w:val="21"/>
          <w:szCs w:val="21"/>
        </w:rPr>
      </w:pPr>
      <w:r>
        <w:rPr>
          <w:rFonts w:hint="eastAsia" w:ascii="宋体" w:hAnsi="宋体" w:eastAsia="宋体" w:cs="宋体"/>
          <w:sz w:val="21"/>
          <w:szCs w:val="21"/>
        </w:rPr>
        <w:t>20.1 供应商应将磋商响应性文件正本副本、开标一览表、电子版分别密封，在每个密封件的封面上标明：</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项目编号：</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采购人名称：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u w:val="single"/>
        </w:rPr>
        <w:t xml:space="preserve">                               </w:t>
      </w:r>
    </w:p>
    <w:p>
      <w:pPr>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供应商地址：</w:t>
      </w:r>
      <w:r>
        <w:rPr>
          <w:rFonts w:hint="eastAsia" w:ascii="宋体" w:hAnsi="宋体" w:eastAsia="宋体" w:cs="宋体"/>
          <w:b w:val="0"/>
          <w:bCs/>
          <w:color w:val="auto"/>
          <w:sz w:val="21"/>
          <w:szCs w:val="21"/>
          <w:highlight w:val="none"/>
          <w:u w:val="single"/>
        </w:rPr>
        <w:t xml:space="preserve">                               </w:t>
      </w:r>
    </w:p>
    <w:p>
      <w:pPr>
        <w:pStyle w:val="16"/>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联系人：</w:t>
      </w:r>
      <w:r>
        <w:rPr>
          <w:rFonts w:hint="eastAsia" w:ascii="宋体" w:hAnsi="宋体" w:eastAsia="宋体" w:cs="宋体"/>
          <w:b w:val="0"/>
          <w:bCs/>
          <w:color w:val="auto"/>
          <w:sz w:val="21"/>
          <w:szCs w:val="21"/>
          <w:highlight w:val="none"/>
          <w:u w:val="single"/>
        </w:rPr>
        <w:t xml:space="preserve">                                   </w:t>
      </w:r>
    </w:p>
    <w:p>
      <w:pPr>
        <w:pStyle w:val="16"/>
        <w:pageBreakBefore w:val="0"/>
        <w:kinsoku/>
        <w:topLinePunct w:val="0"/>
        <w:bidi w:val="0"/>
        <w:spacing w:line="40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联系电话：</w:t>
      </w:r>
      <w:r>
        <w:rPr>
          <w:rFonts w:hint="eastAsia" w:ascii="宋体" w:hAnsi="宋体" w:eastAsia="宋体" w:cs="宋体"/>
          <w:b w:val="0"/>
          <w:bCs/>
          <w:color w:val="auto"/>
          <w:sz w:val="21"/>
          <w:szCs w:val="21"/>
          <w:highlight w:val="none"/>
          <w:u w:val="single"/>
        </w:rPr>
        <w:t xml:space="preserve">                                 </w:t>
      </w:r>
    </w:p>
    <w:p>
      <w:pPr>
        <w:pStyle w:val="46"/>
        <w:rPr>
          <w:rFonts w:hint="eastAsia"/>
        </w:rPr>
      </w:pPr>
      <w:r>
        <w:rPr>
          <w:rFonts w:hint="eastAsia" w:ascii="宋体" w:hAnsi="宋体" w:eastAsia="宋体" w:cs="宋体"/>
          <w:b w:val="0"/>
          <w:bCs/>
          <w:color w:val="auto"/>
          <w:sz w:val="21"/>
          <w:szCs w:val="21"/>
          <w:highlight w:val="none"/>
        </w:rPr>
        <w:t>在</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年</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月</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日</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时</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分前不得开启</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20.2为方便磋商，磋商报价表单独密封，并在信封上标明“开标一览表”字样。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20.3磋商响应文件装订要求：磋商响应文件要求不得活页装订</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rPr>
        <w:t>21、磋商响应文件递交截止时间</w:t>
      </w:r>
    </w:p>
    <w:p>
      <w:pPr>
        <w:pageBreakBefore w:val="0"/>
        <w:kinsoku/>
        <w:topLinePunct w:val="0"/>
        <w:bidi w:val="0"/>
        <w:spacing w:line="40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21.1磋商响应文件的递交截止时间为：2022年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日1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：00时（北京时间）。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磋商响应文件以密封形式递交至：开标现场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 所有磋商响应文件都必须按招标代理机构在磋商邀请中规定的投标截止时间之前送到磋商文件规定的地点。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 出现第8.2款因磋商文件的修改推迟投标截止时间时，则按招标代理机构修改通知规定的时间递交。</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22、磋商响应文件的修改和撤销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22.1 供应商在提交磋商响应文件后可对其磋商响应文件进行修改或撤销，但招标代理机构须在投标截止时间之前收到该修改或撤销的书面通知，该通知须有经正式授权的供应商代表签字。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22.2供应商不得在磋商时间起至磋商有效期期满前撤销磋商响应文件。否则招标代理机构将没收其磋商保证金。</w:t>
      </w:r>
    </w:p>
    <w:p>
      <w:pPr>
        <w:pStyle w:val="6"/>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37" w:name="_Toc298240409"/>
      <w:bookmarkStart w:id="38" w:name="_Toc349637924"/>
      <w:bookmarkStart w:id="39" w:name="_Toc349573125"/>
      <w:bookmarkStart w:id="40" w:name="_Toc462223636"/>
      <w:bookmarkStart w:id="41" w:name="_Toc267301286"/>
      <w:r>
        <w:rPr>
          <w:rFonts w:hint="eastAsia" w:ascii="宋体" w:hAnsi="宋体" w:eastAsia="宋体" w:cs="宋体"/>
          <w:sz w:val="21"/>
          <w:szCs w:val="21"/>
        </w:rPr>
        <w:t>（五）磋商程序</w:t>
      </w:r>
      <w:bookmarkEnd w:id="37"/>
      <w:bookmarkEnd w:id="38"/>
      <w:bookmarkEnd w:id="39"/>
      <w:bookmarkEnd w:id="40"/>
      <w:bookmarkEnd w:id="41"/>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23.1磋商时，采购人将对供应商进行资格初审。</w:t>
      </w:r>
    </w:p>
    <w:p>
      <w:pPr>
        <w:pageBreakBefore w:val="0"/>
        <w:kinsoku/>
        <w:topLinePunct w:val="0"/>
        <w:bidi w:val="0"/>
        <w:spacing w:line="400" w:lineRule="exact"/>
        <w:ind w:left="0"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开标前，请各投标人委派开标代表携带身份证并按要求提供下列有效资料以备现场查验：（注：开标代表为法定代表人的，须出具法定代表人身份证明书及法定代表人身份证；开标代表为授权委托人的，须出具法定代表人授权委托书及代理人身份证）</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
          <w:bCs/>
          <w:color w:val="000000"/>
          <w:sz w:val="21"/>
          <w:szCs w:val="21"/>
        </w:rPr>
        <w:t>资格审查资料</w:t>
      </w:r>
      <w:r>
        <w:rPr>
          <w:rFonts w:hint="eastAsia" w:ascii="宋体" w:hAnsi="宋体" w:eastAsia="宋体" w:cs="宋体"/>
          <w:color w:val="000000"/>
          <w:sz w:val="21"/>
          <w:szCs w:val="21"/>
        </w:rPr>
        <w:t>：“三证合一营业执照原件；法定代表人身份证明书或法定代表人授权委托书原件；</w:t>
      </w:r>
      <w:r>
        <w:rPr>
          <w:rFonts w:hint="eastAsia" w:ascii="宋体" w:hAnsi="宋体" w:eastAsia="宋体" w:cs="宋体"/>
          <w:color w:val="000000"/>
          <w:sz w:val="21"/>
          <w:szCs w:val="21"/>
          <w:highlight w:val="none"/>
        </w:rPr>
        <w:t>乙级及以上测绘资质</w:t>
      </w:r>
      <w:r>
        <w:rPr>
          <w:rFonts w:hint="eastAsia" w:ascii="宋体" w:hAnsi="宋体" w:cs="宋体"/>
          <w:color w:val="000000"/>
          <w:sz w:val="21"/>
          <w:szCs w:val="21"/>
          <w:highlight w:val="none"/>
          <w:lang w:val="en-US" w:eastAsia="zh-CN"/>
        </w:rPr>
        <w:t>原件；</w:t>
      </w:r>
      <w:r>
        <w:rPr>
          <w:rFonts w:hint="eastAsia" w:ascii="宋体" w:hAnsi="宋体" w:eastAsia="宋体" w:cs="宋体"/>
          <w:color w:val="000000"/>
          <w:sz w:val="21"/>
          <w:szCs w:val="21"/>
        </w:rPr>
        <w:t>投标保证金缴纳凭证复印件加盖单位公章；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投标人须提供上述资格查验资料并按采购文件封装、标识要求，密封后提供，在外封袋标明“</w:t>
      </w:r>
      <w:r>
        <w:rPr>
          <w:rFonts w:hint="eastAsia" w:ascii="宋体" w:hAnsi="宋体" w:eastAsia="宋体" w:cs="宋体"/>
          <w:b/>
          <w:bCs/>
          <w:color w:val="000000"/>
          <w:sz w:val="21"/>
          <w:szCs w:val="21"/>
        </w:rPr>
        <w:t>资质查验</w:t>
      </w:r>
      <w:r>
        <w:rPr>
          <w:rFonts w:hint="eastAsia" w:ascii="宋体" w:hAnsi="宋体" w:eastAsia="宋体" w:cs="宋体"/>
          <w:color w:val="000000"/>
          <w:sz w:val="21"/>
          <w:szCs w:val="21"/>
        </w:rPr>
        <w:t>”字样。</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23</w:t>
      </w:r>
      <w:r>
        <w:rPr>
          <w:rFonts w:hint="eastAsia" w:ascii="宋体" w:hAnsi="宋体" w:eastAsia="宋体" w:cs="宋体"/>
          <w:color w:val="000000"/>
          <w:sz w:val="21"/>
          <w:szCs w:val="21"/>
        </w:rPr>
        <w:t>.2 开标现场提供证件齐全、满足采购文件要求的投标人为合格有效投标人。</w:t>
      </w:r>
    </w:p>
    <w:p>
      <w:pPr>
        <w:pageBreakBefore w:val="0"/>
        <w:kinsoku/>
        <w:topLinePunct w:val="0"/>
        <w:bidi w:val="0"/>
        <w:spacing w:line="40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以备磋商前做初步的审查，确认其是否已具备提交磋商响应文件的资格。但该初步审查并不妨碍磋商小组对供应商进行的进一步资格详细审查。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23.2本次磋商按磋商文件中磋商邀请规定的时间地点进行磋商，</w:t>
      </w:r>
      <w:r>
        <w:rPr>
          <w:rFonts w:hint="eastAsia" w:ascii="宋体" w:hAnsi="宋体" w:eastAsia="宋体" w:cs="宋体"/>
          <w:sz w:val="21"/>
          <w:szCs w:val="21"/>
        </w:rPr>
        <w:t>将邀请供应商的法定代表人或其授权委托人准时参加磋商会。</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23.3宣布磋商响应文件开启顺序。</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23.4磋商时检查磋商响应文件密封情况。</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23.5磋商原则在磋商会议上宣布。</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23.6 对采购方的纪律要求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采购方不得泄露磋商活动中应当保密的情况和资料，不得与供应商串通损害国家利益、社会公共利益或者他人合法权益。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23.7对供应商的纪律要求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23.8 对与磋商活动有关的工作人员的纪律要求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23.9对磋商小组成员要求磋商纪律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23.9.1磋商小组应当依照有关法律法规的规定，按照磋商文件确定的磋商标准和办法客观、公正的对磋商响应文件提出评审意见。磋商文件设有规定的磋商标准和方法不得作为磋商依据。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23.9.2磋商小组成员不得私下接触供应商，不得收受供应商给予的财务或者其他好处，不得向采购方征询确定成交方意向。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23.9.3不得接受任何单位或个人明示或暗示提出的倾向或排斥特定供应商的要求。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23.9.4不得有其他不客观，不公正履行职务的行为。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24、磋商过程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24.1 磋商的依据为磋商文件和磋商响应文件。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24.2 磋商后磋商小组审查磋商响应文件是否完整，是否有计算错误，要求的保证金是否提供，文件是否恰当地签署。</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初步评审（符合性审查）</w:t>
      </w:r>
    </w:p>
    <w:tbl>
      <w:tblPr>
        <w:tblStyle w:val="36"/>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w:t>
            </w:r>
          </w:p>
        </w:tc>
        <w:tc>
          <w:tcPr>
            <w:tcW w:w="4961" w:type="dxa"/>
            <w:gridSpan w:val="2"/>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  审  内  容</w:t>
            </w:r>
          </w:p>
        </w:tc>
        <w:tc>
          <w:tcPr>
            <w:tcW w:w="732"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投标人1</w:t>
            </w:r>
          </w:p>
        </w:tc>
        <w:tc>
          <w:tcPr>
            <w:tcW w:w="72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投标人2</w:t>
            </w:r>
          </w:p>
        </w:tc>
        <w:tc>
          <w:tcPr>
            <w:tcW w:w="684"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投标人3</w:t>
            </w:r>
          </w:p>
        </w:tc>
        <w:tc>
          <w:tcPr>
            <w:tcW w:w="840" w:type="dxa"/>
            <w:tcBorders>
              <w:bottom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投标报价是否高于本项目的最高限价；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投标文件的</w:t>
            </w:r>
            <w:r>
              <w:rPr>
                <w:rFonts w:hint="eastAsia" w:ascii="宋体" w:hAnsi="宋体" w:eastAsia="宋体" w:cs="宋体"/>
                <w:sz w:val="21"/>
                <w:szCs w:val="21"/>
                <w:lang w:eastAsia="zh-CN"/>
              </w:rPr>
              <w:t>服务</w:t>
            </w:r>
            <w:r>
              <w:rPr>
                <w:rFonts w:hint="eastAsia" w:ascii="宋体" w:hAnsi="宋体" w:eastAsia="宋体" w:cs="宋体"/>
                <w:sz w:val="21"/>
                <w:szCs w:val="21"/>
              </w:rPr>
              <w:t>期是否超过采购文件规定期限；</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投标保证金的缴纳主体是否与投标人一致、提供投标担保或者所提供的投标担保不符合采购文件要求；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zh-CN"/>
              </w:rPr>
              <w:t>投标货物的应标参数</w:t>
            </w:r>
            <w:r>
              <w:rPr>
                <w:rFonts w:hint="eastAsia" w:ascii="宋体" w:hAnsi="宋体" w:eastAsia="宋体" w:cs="宋体"/>
                <w:sz w:val="21"/>
                <w:szCs w:val="21"/>
              </w:rPr>
              <w:t>是否满足采购文件技术要求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投标文件是否按采购文件规定格式完整提供、且按采购文件要求签字或盖章；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企业信誉（信用查询）是否满足采购文件的要求；</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法定代表人身份证明书及法定代表人授权委托书是否按采购文件规定格式完整提供、并按采购文件要求签字盖章。</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文件需求</w:t>
            </w:r>
            <w:r>
              <w:rPr>
                <w:rFonts w:hint="eastAsia" w:ascii="宋体" w:hAnsi="宋体" w:eastAsia="宋体" w:cs="宋体"/>
                <w:sz w:val="21"/>
                <w:szCs w:val="21"/>
                <w:lang w:eastAsia="zh-CN"/>
              </w:rPr>
              <w:t>没有采购人不可接收的</w:t>
            </w:r>
            <w:r>
              <w:rPr>
                <w:rFonts w:hint="eastAsia" w:ascii="宋体" w:hAnsi="宋体" w:eastAsia="宋体" w:cs="宋体"/>
                <w:sz w:val="21"/>
                <w:szCs w:val="21"/>
              </w:rPr>
              <w:t>重大偏离</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10</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投标文件是否附有采购人不能接受的条件</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11</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投标文件封面右上角是否注明“正本”或“副本”字样；</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21" w:type="dxa"/>
            <w:vAlign w:val="center"/>
          </w:tcPr>
          <w:p>
            <w:pPr>
              <w:pageBreakBefore w:val="0"/>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12</w:t>
            </w:r>
          </w:p>
        </w:tc>
        <w:tc>
          <w:tcPr>
            <w:tcW w:w="43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是否满足采购文件实质性要求的其他情形</w:t>
            </w:r>
          </w:p>
        </w:tc>
        <w:tc>
          <w:tcPr>
            <w:tcW w:w="732"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72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684"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840"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1"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评标委员会成员签名：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0" w:hRule="atLeast"/>
        </w:trPr>
        <w:tc>
          <w:tcPr>
            <w:tcW w:w="8754" w:type="dxa"/>
            <w:gridSpan w:val="7"/>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pageBreakBefore w:val="0"/>
        <w:shd w:val="clear" w:color="auto" w:fill="FFFFFF"/>
        <w:kinsoku/>
        <w:topLinePunct w:val="0"/>
        <w:bidi w:val="0"/>
        <w:spacing w:line="400" w:lineRule="exact"/>
        <w:ind w:left="0" w:leftChars="0" w:firstLine="0" w:firstLineChars="0"/>
        <w:jc w:val="center"/>
        <w:rPr>
          <w:rFonts w:hint="eastAsia" w:ascii="宋体" w:hAnsi="宋体" w:eastAsia="宋体" w:cs="宋体"/>
          <w:b/>
          <w:color w:val="auto"/>
          <w:sz w:val="21"/>
          <w:szCs w:val="21"/>
          <w:highlight w:val="none"/>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24.3 在对磋商响应文件进行详细评估之前，磋商小组将依据供应商提供的资格证明文件审查供应商的财务、技术和生产能力。如果确定供应商无资格履行合同，其投标将被拒绝。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25、磋商响应文件的澄清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25.2 要澄清的答复应是书面的，但不得对磋商内容进行实质性修改。澄清文件须由供应商法人代表或法人授权代表签字和/或加盖公章并作为磋商响应文件的组成部分。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25.3 磋商结束后，磋商小组要求所有参加磋商的供应商在规定的时间内进行最后报价。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26、确定成交供应商的办法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26.1磋商小组按照磋商文件要求对磋商响应文件中的供应商资格、供应商资格证明文件、重要技术指标以及技术和商务上要求的其它重要内容进行审核。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26.2磋商小组和供应商磋商过程中作出的书面承诺是否符合磋商文件中对质量、技术和服务的要求。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Cs/>
          <w:sz w:val="21"/>
          <w:szCs w:val="21"/>
        </w:rPr>
        <w:t>26.3</w:t>
      </w:r>
      <w:r>
        <w:rPr>
          <w:rFonts w:hint="eastAsia" w:ascii="宋体" w:hAnsi="宋体" w:eastAsia="宋体" w:cs="宋体"/>
          <w:sz w:val="21"/>
          <w:szCs w:val="21"/>
          <w:shd w:val="clear" w:color="auto" w:fill="FFFFFF"/>
        </w:rPr>
        <w:t>经磋商确定最终采购需求和提交最后报价的供应商后，由磋商小组采用综合评分法对提交最后报价的供应商的响应文件和最后报价进行综合评分。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color w:val="000000"/>
          <w:sz w:val="21"/>
          <w:szCs w:val="21"/>
          <w:lang w:eastAsia="zh-CN"/>
        </w:rPr>
      </w:pPr>
      <w:r>
        <w:rPr>
          <w:rFonts w:hint="eastAsia" w:ascii="宋体" w:hAnsi="宋体" w:eastAsia="宋体" w:cs="宋体"/>
          <w:bCs/>
          <w:sz w:val="21"/>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宋体" w:hAnsi="宋体" w:cs="宋体"/>
          <w:bCs/>
          <w:sz w:val="21"/>
          <w:szCs w:val="21"/>
          <w:lang w:val="en-US" w:eastAsia="zh-CN"/>
        </w:rPr>
        <w:t>10</w:t>
      </w:r>
      <w:r>
        <w:rPr>
          <w:rFonts w:hint="eastAsia" w:ascii="宋体" w:hAnsi="宋体" w:eastAsia="宋体" w:cs="宋体"/>
          <w:bCs/>
          <w:sz w:val="21"/>
          <w:szCs w:val="21"/>
        </w:rPr>
        <w:t>分，技术、商务、售后服务因素占</w:t>
      </w:r>
      <w:r>
        <w:rPr>
          <w:rFonts w:hint="eastAsia" w:ascii="宋体" w:hAnsi="宋体" w:cs="宋体"/>
          <w:bCs/>
          <w:sz w:val="21"/>
          <w:szCs w:val="21"/>
          <w:lang w:val="en-US" w:eastAsia="zh-CN"/>
        </w:rPr>
        <w:t>90</w:t>
      </w:r>
      <w:r>
        <w:rPr>
          <w:rFonts w:hint="eastAsia" w:ascii="宋体" w:hAnsi="宋体" w:eastAsia="宋体" w:cs="宋体"/>
          <w:bCs/>
          <w:sz w:val="21"/>
          <w:szCs w:val="21"/>
        </w:rPr>
        <w:t>分。将每位投标商的价格得分、技术得分、商务得分</w:t>
      </w:r>
      <w:r>
        <w:rPr>
          <w:rFonts w:hint="eastAsia" w:ascii="宋体" w:hAnsi="宋体" w:eastAsia="宋体" w:cs="宋体"/>
          <w:bCs/>
          <w:color w:val="000000"/>
          <w:sz w:val="21"/>
          <w:szCs w:val="21"/>
        </w:rPr>
        <w:t>相加即为该投标商的总得分。详细评分标准如下</w:t>
      </w:r>
      <w:r>
        <w:rPr>
          <w:rFonts w:hint="eastAsia" w:ascii="宋体" w:hAnsi="宋体" w:cs="宋体"/>
          <w:bCs/>
          <w:color w:val="000000"/>
          <w:sz w:val="21"/>
          <w:szCs w:val="21"/>
          <w:lang w:eastAsia="zh-CN"/>
        </w:rPr>
        <w:t>：</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color w:val="000000"/>
          <w:sz w:val="21"/>
          <w:szCs w:val="21"/>
        </w:rPr>
      </w:pPr>
      <w:r>
        <w:rPr>
          <w:rFonts w:hint="eastAsia" w:ascii="宋体" w:hAnsi="宋体" w:cs="宋体"/>
          <w:bCs/>
          <w:color w:val="000000"/>
          <w:sz w:val="21"/>
          <w:szCs w:val="21"/>
          <w:lang w:val="en-US" w:eastAsia="zh-CN"/>
        </w:rPr>
        <w:t>1、</w:t>
      </w:r>
      <w:r>
        <w:rPr>
          <w:rFonts w:hint="eastAsia" w:ascii="宋体" w:hAnsi="宋体" w:eastAsia="宋体" w:cs="宋体"/>
          <w:bCs/>
          <w:color w:val="000000"/>
          <w:sz w:val="21"/>
          <w:szCs w:val="21"/>
        </w:rPr>
        <w:t>报价部分  （10分）</w:t>
      </w:r>
    </w:p>
    <w:tbl>
      <w:tblPr>
        <w:tblStyle w:val="36"/>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25"/>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评审项目</w:t>
            </w:r>
          </w:p>
        </w:tc>
        <w:tc>
          <w:tcPr>
            <w:tcW w:w="825" w:type="dxa"/>
            <w:tcBorders>
              <w:top w:val="single" w:color="auto" w:sz="4" w:space="0"/>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分值</w:t>
            </w:r>
          </w:p>
        </w:tc>
        <w:tc>
          <w:tcPr>
            <w:tcW w:w="7361" w:type="dxa"/>
            <w:tcBorders>
              <w:top w:val="single" w:color="auto" w:sz="4" w:space="0"/>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2" w:hRule="atLeast"/>
          <w:jc w:val="center"/>
        </w:trPr>
        <w:tc>
          <w:tcPr>
            <w:tcW w:w="1406" w:type="dxa"/>
            <w:vMerge w:val="restart"/>
            <w:tcBorders>
              <w:top w:val="single" w:color="auto" w:sz="4" w:space="0"/>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价格部分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（10%）</w:t>
            </w:r>
          </w:p>
        </w:tc>
        <w:tc>
          <w:tcPr>
            <w:tcW w:w="825" w:type="dxa"/>
            <w:vMerge w:val="restart"/>
            <w:tcBorders>
              <w:top w:val="single" w:color="auto" w:sz="4" w:space="0"/>
              <w:left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10分</w:t>
            </w:r>
          </w:p>
        </w:tc>
        <w:tc>
          <w:tcPr>
            <w:tcW w:w="7361" w:type="dxa"/>
            <w:tcBorders>
              <w:top w:val="single" w:color="auto" w:sz="4" w:space="0"/>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一、价格分（权值10%）</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满足磋商文件要求且评审价格最低的评审价格为评审 基准价,其价格分为满分。其他投标人的价格分统一按 照下列公式计算：报价得分=（评审基准价/投标报价）×价格权值×100。</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p>
        </w:tc>
        <w:tc>
          <w:tcPr>
            <w:tcW w:w="825" w:type="dxa"/>
            <w:vMerge w:val="continue"/>
            <w:tcBorders>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p>
        </w:tc>
        <w:tc>
          <w:tcPr>
            <w:tcW w:w="7361" w:type="dxa"/>
            <w:tcBorders>
              <w:top w:val="single" w:color="auto" w:sz="4" w:space="0"/>
              <w:left w:val="single" w:color="auto" w:sz="4" w:space="0"/>
              <w:bottom w:val="single" w:color="auto" w:sz="4" w:space="0"/>
              <w:right w:val="single" w:color="auto" w:sz="4" w:space="0"/>
            </w:tcBorders>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对小型和微型企业产品的价格给予6%的扣除，用扣除后的价格参与评审。</w:t>
            </w:r>
          </w:p>
        </w:tc>
      </w:tr>
    </w:tbl>
    <w:p>
      <w:pPr>
        <w:pageBreakBefore w:val="0"/>
        <w:numPr>
          <w:ilvl w:val="0"/>
          <w:numId w:val="4"/>
        </w:numPr>
        <w:kinsoku/>
        <w:topLinePunct w:val="0"/>
        <w:bidi w:val="0"/>
        <w:spacing w:line="400" w:lineRule="exact"/>
        <w:ind w:left="0" w:leftChars="0" w:firstLine="0" w:firstLineChars="0"/>
        <w:rPr>
          <w:rFonts w:hint="eastAsia" w:ascii="宋体" w:hAnsi="宋体" w:cs="宋体"/>
          <w:bCs/>
          <w:sz w:val="21"/>
          <w:szCs w:val="21"/>
          <w:lang w:val="en-US" w:eastAsia="zh-CN"/>
        </w:rPr>
      </w:pPr>
      <w:r>
        <w:rPr>
          <w:rFonts w:hint="eastAsia" w:ascii="宋体" w:hAnsi="宋体" w:cs="宋体"/>
          <w:bCs/>
          <w:sz w:val="21"/>
          <w:szCs w:val="21"/>
          <w:lang w:val="en-US" w:eastAsia="zh-CN"/>
        </w:rPr>
        <w:t>商务部分（40分）</w:t>
      </w:r>
    </w:p>
    <w:tbl>
      <w:tblPr>
        <w:tblStyle w:val="36"/>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798"/>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8" w:type="pct"/>
            <w:vMerge w:val="restar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企业认证</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（7分）</w:t>
            </w:r>
          </w:p>
        </w:tc>
        <w:tc>
          <w:tcPr>
            <w:tcW w:w="416"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2分</w:t>
            </w:r>
          </w:p>
        </w:tc>
        <w:tc>
          <w:tcPr>
            <w:tcW w:w="3835"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投标人具有有效期内的质量管理体系认证证书、环境管理体系认证证书、职业健康安全管理体系认证证书、信息技术服务管理体系认证证书，每满足一项得0.5分，最高得2分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8" w:type="pct"/>
            <w:vMerge w:val="continue"/>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p>
        </w:tc>
        <w:tc>
          <w:tcPr>
            <w:tcW w:w="416"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3分</w:t>
            </w:r>
          </w:p>
        </w:tc>
        <w:tc>
          <w:tcPr>
            <w:tcW w:w="3835"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投标人具有CCRC信息安全服务资质认证证书的，得3分；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8" w:type="pct"/>
            <w:vMerge w:val="continue"/>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p>
        </w:tc>
        <w:tc>
          <w:tcPr>
            <w:tcW w:w="416"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2分</w:t>
            </w:r>
          </w:p>
        </w:tc>
        <w:tc>
          <w:tcPr>
            <w:tcW w:w="3835"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投投标人具有国土空间基础信息平台、数据库管理系统、共享应用服务平台、自然资源业务协同系统软件著作权的，每提供一项得0.5分，最高得2分。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8"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项目团队（6分）</w:t>
            </w:r>
          </w:p>
        </w:tc>
        <w:tc>
          <w:tcPr>
            <w:tcW w:w="416"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6分</w:t>
            </w:r>
          </w:p>
        </w:tc>
        <w:tc>
          <w:tcPr>
            <w:tcW w:w="3835"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1、项目负责人情况：</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项目负责人需同时具有高级信息系统项目管理师证书及PMP证书得2分，在投标人单位工作三年以上的加1分（需提供本单位近三年的缴纳养老保险的证明材料），本项最高得3分。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2、技术负责人情况：</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技术负责人需具有高级信息系统项目管理师证书得1分，在投标人单位工作三年以上的加1分（需提供本单位近三年的缴纳养老保险的证明材料），本项最高得2分。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3、项目核心成员：</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拟投入本项目核心人员中，具有测绘相关专业高级工程师、OCM证书的，每满足一项得0.5分，本项最高得1分。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注：以上人员均需提供本单位近半年的缴纳养老保险的证明材料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8"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本地化服务（5分）</w:t>
            </w:r>
          </w:p>
        </w:tc>
        <w:tc>
          <w:tcPr>
            <w:tcW w:w="416"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5分</w:t>
            </w:r>
          </w:p>
        </w:tc>
        <w:tc>
          <w:tcPr>
            <w:tcW w:w="3835"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1、投标人在项目所在地设有服务机构并有固定办公场所，公司（或分公司）营业执照注册地为本地，得2分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2、投标人具有本地化服务能力，提供10位本地化人员6个月的社保缴纳证明，得2分；提供15位本地化人员6个月的社保缴纳证明，得3分，最高得3分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8"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企业荣誉</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（2分）</w:t>
            </w:r>
          </w:p>
        </w:tc>
        <w:tc>
          <w:tcPr>
            <w:tcW w:w="416"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2分</w:t>
            </w:r>
          </w:p>
        </w:tc>
        <w:tc>
          <w:tcPr>
            <w:tcW w:w="3835"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1、投标人承担的自然资源类项目获得过中国地理信息产业协会颁发的地理信息科技进步奖，得1分；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2、投标人承担的自然资源类项目获得过中国测绘学会颁发的测绘科技进步奖，得1分。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48"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工作业绩（20分）</w:t>
            </w:r>
          </w:p>
        </w:tc>
        <w:tc>
          <w:tcPr>
            <w:tcW w:w="416"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20分</w:t>
            </w:r>
          </w:p>
        </w:tc>
        <w:tc>
          <w:tcPr>
            <w:tcW w:w="3835" w:type="pc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1、投标人具有自然资源类空间数据管理平台、“一张图”展示系统建设相关工作经验的，国家级每类案例得2分，省级每类案例得1分，地市级每类0.5分，最高得8分。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2、投标人具有业务信息系统建设类项目相关工作经验的，国家级每类案例得2分，省级每类案例得1分，地市级每类0.5分，最高得6分。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3、投标人具有自然资源类空间数据共享应用服务软件、空间数据分发同步系统建设相关工作经验的，国家级每类案例得2分，省级每类案例得1分，地市级每类0.5分，最高得6分。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注：1.上述业绩国家级项目的甲方必须是国家部委（部级单位）或其直属事业单位；省、市级项目的甲方必须是相应级别行政主管部门或其直属事业单位；2.同一项目业绩只能在上述一个分项中计分，不重复累计得分；3.提供合同原件扫描件，否则不得分。</w:t>
            </w:r>
          </w:p>
        </w:tc>
      </w:tr>
    </w:tbl>
    <w:p>
      <w:pPr>
        <w:pStyle w:val="2"/>
        <w:numPr>
          <w:ilvl w:val="0"/>
          <w:numId w:val="4"/>
        </w:numPr>
        <w:ind w:left="0" w:leftChars="0"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技术部分（50分）</w:t>
      </w:r>
    </w:p>
    <w:tbl>
      <w:tblPr>
        <w:tblStyle w:val="37"/>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846"/>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评审项目</w:t>
            </w:r>
          </w:p>
        </w:tc>
        <w:tc>
          <w:tcPr>
            <w:tcW w:w="846"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分值</w:t>
            </w:r>
          </w:p>
        </w:tc>
        <w:tc>
          <w:tcPr>
            <w:tcW w:w="7350"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353"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标书方案整体性要求</w:t>
            </w:r>
          </w:p>
        </w:tc>
        <w:tc>
          <w:tcPr>
            <w:tcW w:w="846"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5分</w:t>
            </w:r>
          </w:p>
        </w:tc>
        <w:tc>
          <w:tcPr>
            <w:tcW w:w="7350"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投标文件编制是否完整、格式规范、内容齐全、表述准确、条理清晰，内容无前后矛盾，符合招标文件要求。优得5分、良得2分、一般得1分、差不得分。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53"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现状分析</w:t>
            </w:r>
          </w:p>
        </w:tc>
        <w:tc>
          <w:tcPr>
            <w:tcW w:w="846"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9分</w:t>
            </w:r>
          </w:p>
        </w:tc>
        <w:tc>
          <w:tcPr>
            <w:tcW w:w="7350"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投标文件中对自治区自然资源厅现状了解，并贴合实际。对已建设的应用综合管理系统涉及的功能模块具有清晰描述，优得9分、良得4分、一般得1分、差不得分。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353"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总体技术路线和方法</w:t>
            </w:r>
          </w:p>
        </w:tc>
        <w:tc>
          <w:tcPr>
            <w:tcW w:w="846"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6分</w:t>
            </w:r>
          </w:p>
        </w:tc>
        <w:tc>
          <w:tcPr>
            <w:tcW w:w="7350"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投标方案的整体设计与招标方案需求的吻合度，能否完全满足和实现招标需求，框架设计充分考虑和已建应用综合管理系统设计进行结合。优得6分、良得3分、一般得1分、差不得分。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1353" w:type="dxa"/>
            <w:vMerge w:val="restart"/>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系统建设</w:t>
            </w:r>
          </w:p>
        </w:tc>
        <w:tc>
          <w:tcPr>
            <w:tcW w:w="846"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8分</w:t>
            </w:r>
          </w:p>
        </w:tc>
        <w:tc>
          <w:tcPr>
            <w:tcW w:w="7350" w:type="dxa"/>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对进行统一集成的数据中心具有清晰描述，内容全面、切实可行。</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对待集成的通用应用中，涉及的地图服务、数据服务、空间分析以及接口服务等分类和注册信息描述具有清晰定义，优得4分、良得2分、一般得1分、差不得分。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对注册的服务进行统一运维管理，对服务编排、服务路由、API网管、服务授权和服务监控等具有清晰描述，优得4分、良得2分、一般得1分、差不得分。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53" w:type="dxa"/>
            <w:vMerge w:val="continue"/>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p>
        </w:tc>
        <w:tc>
          <w:tcPr>
            <w:tcW w:w="846"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4分</w:t>
            </w:r>
          </w:p>
        </w:tc>
        <w:tc>
          <w:tcPr>
            <w:tcW w:w="7350"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对待办中心要集成的内容和集成方式进行清晰描述，优得4分、良得2分、一般得1分、差不得分。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vMerge w:val="continue"/>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p>
        </w:tc>
        <w:tc>
          <w:tcPr>
            <w:tcW w:w="846"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8分</w:t>
            </w:r>
          </w:p>
        </w:tc>
        <w:tc>
          <w:tcPr>
            <w:tcW w:w="7350" w:type="dxa"/>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对应用综合管理系统中子系统授权、安全审计等具有清晰描述，内容全面、切合可行。</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对子系统授权管理模块中需要注册的子系统现状、用户具有清晰描述，优得4分、良得2分、一般得1分、差不得分。</w:t>
            </w:r>
          </w:p>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对系统的安全审计模块的设计具有清晰描述，描述清楚安全审计触发的机制和级别调整进行清晰描述，优得4分、一般得2分，一般得1分、差不得分。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组织实施要求</w:t>
            </w:r>
          </w:p>
        </w:tc>
        <w:tc>
          <w:tcPr>
            <w:tcW w:w="846" w:type="dxa"/>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5分</w:t>
            </w:r>
          </w:p>
        </w:tc>
        <w:tc>
          <w:tcPr>
            <w:tcW w:w="7350" w:type="dxa"/>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投标人是否具有完备的管理组织、项目实施规范和管理制度，是否有完整的质量管理体系。优得5分、良得2分、一般得1分。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3" w:type="dxa"/>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培训及售后服务</w:t>
            </w:r>
          </w:p>
        </w:tc>
        <w:tc>
          <w:tcPr>
            <w:tcW w:w="846" w:type="dxa"/>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r>
              <w:rPr>
                <w:rFonts w:hint="eastAsia" w:ascii="宋体" w:hAnsi="宋体" w:eastAsia="宋体" w:cs="宋体"/>
                <w:bCs/>
                <w:sz w:val="21"/>
                <w:szCs w:val="21"/>
              </w:rPr>
              <w:t>5分</w:t>
            </w:r>
          </w:p>
        </w:tc>
        <w:tc>
          <w:tcPr>
            <w:tcW w:w="7350" w:type="dxa"/>
            <w:vAlign w:val="center"/>
          </w:tcPr>
          <w:p>
            <w:pPr>
              <w:pageBreakBefore w:val="0"/>
              <w:tabs>
                <w:tab w:val="left" w:pos="-94"/>
                <w:tab w:val="left" w:pos="428"/>
              </w:tabs>
              <w:kinsoku/>
              <w:topLinePunct w:val="0"/>
              <w:bidi w:val="0"/>
              <w:adjustRightInd w:val="0"/>
              <w:spacing w:line="400" w:lineRule="exact"/>
              <w:ind w:left="0" w:leftChars="0" w:firstLine="0" w:firstLineChars="0"/>
              <w:jc w:val="left"/>
              <w:textAlignment w:val="baseline"/>
              <w:rPr>
                <w:rFonts w:hint="eastAsia" w:ascii="宋体" w:hAnsi="宋体" w:eastAsia="宋体" w:cs="宋体"/>
                <w:bCs/>
                <w:sz w:val="21"/>
                <w:szCs w:val="21"/>
              </w:rPr>
            </w:pPr>
            <w:bookmarkStart w:id="100" w:name="_GoBack"/>
            <w:r>
              <w:rPr>
                <w:rFonts w:hint="eastAsia" w:ascii="宋体" w:hAnsi="宋体" w:eastAsia="宋体" w:cs="宋体"/>
                <w:bCs/>
                <w:sz w:val="21"/>
                <w:szCs w:val="21"/>
              </w:rPr>
              <w:t>投标人提供的售后服务内容全面，故障、技术支持响应时间快，质保期长，拟派售后服务人员多、经验丰富。优得5分、良得2分、一般得1分。</w:t>
            </w:r>
            <w:bookmarkEnd w:id="100"/>
          </w:p>
        </w:tc>
      </w:tr>
    </w:tbl>
    <w:p>
      <w:pPr>
        <w:numPr>
          <w:ilvl w:val="0"/>
          <w:numId w:val="0"/>
        </w:numPr>
        <w:ind w:leftChars="0"/>
        <w:rPr>
          <w:rFonts w:hint="default"/>
          <w:lang w:val="en-US" w:eastAsia="zh-CN"/>
        </w:rPr>
      </w:pPr>
    </w:p>
    <w:p>
      <w:pPr>
        <w:pageBreakBefore w:val="0"/>
        <w:kinsoku/>
        <w:topLinePunct w:val="0"/>
        <w:bidi w:val="0"/>
        <w:spacing w:line="400" w:lineRule="exact"/>
        <w:ind w:left="0" w:leftChars="0" w:firstLine="0" w:firstLineChars="0"/>
        <w:rPr>
          <w:rFonts w:hint="eastAsia" w:ascii="宋体" w:hAnsi="宋体" w:eastAsia="宋体" w:cs="宋体"/>
          <w:sz w:val="21"/>
          <w:szCs w:val="21"/>
          <w:shd w:val="clear" w:color="auto" w:fill="FFFFFF"/>
        </w:rPr>
      </w:pPr>
      <w:r>
        <w:rPr>
          <w:rFonts w:hint="eastAsia" w:ascii="宋体" w:hAnsi="宋体" w:eastAsia="宋体" w:cs="宋体"/>
          <w:bCs/>
          <w:sz w:val="21"/>
          <w:szCs w:val="21"/>
        </w:rPr>
        <w:t>26.4</w:t>
      </w:r>
      <w:r>
        <w:rPr>
          <w:rFonts w:hint="eastAsia" w:ascii="宋体" w:hAnsi="宋体" w:eastAsia="宋体" w:cs="宋体"/>
          <w:sz w:val="21"/>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27．磋商过程的保密性</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27.2 供应商在磋商过程中，所进行的力图影响磋商结果的，不符合《政府采购法》及本次磋商中有关规定的活动，将被取消其磋商资格。</w:t>
      </w:r>
    </w:p>
    <w:p>
      <w:pPr>
        <w:pStyle w:val="6"/>
        <w:pageBreakBefore w:val="0"/>
        <w:kinsoku/>
        <w:topLinePunct w:val="0"/>
        <w:bidi w:val="0"/>
        <w:spacing w:before="0" w:after="0" w:line="400" w:lineRule="exact"/>
        <w:ind w:left="0" w:leftChars="0" w:firstLine="0" w:firstLineChars="0"/>
        <w:jc w:val="center"/>
        <w:rPr>
          <w:rFonts w:hint="eastAsia" w:ascii="宋体" w:hAnsi="宋体" w:eastAsia="宋体" w:cs="宋体"/>
          <w:sz w:val="21"/>
          <w:szCs w:val="21"/>
        </w:rPr>
      </w:pPr>
      <w:bookmarkStart w:id="42" w:name="_Toc349637925"/>
      <w:bookmarkStart w:id="43" w:name="_Toc349573126"/>
      <w:bookmarkStart w:id="44" w:name="_Toc267301287"/>
      <w:bookmarkStart w:id="45" w:name="_Toc298240410"/>
      <w:bookmarkStart w:id="46" w:name="_Toc462223637"/>
      <w:r>
        <w:rPr>
          <w:rFonts w:hint="eastAsia" w:ascii="宋体" w:hAnsi="宋体" w:eastAsia="宋体" w:cs="宋体"/>
          <w:sz w:val="21"/>
          <w:szCs w:val="21"/>
        </w:rPr>
        <w:t>（六）授予合同</w:t>
      </w:r>
      <w:bookmarkEnd w:id="42"/>
      <w:bookmarkEnd w:id="43"/>
      <w:bookmarkEnd w:id="44"/>
      <w:bookmarkEnd w:id="45"/>
      <w:bookmarkEnd w:id="46"/>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28、合同授予标准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28.1</w:t>
      </w:r>
      <w:r>
        <w:rPr>
          <w:rFonts w:hint="eastAsia" w:ascii="宋体" w:hAnsi="宋体" w:eastAsia="宋体" w:cs="宋体"/>
          <w:bCs/>
          <w:sz w:val="21"/>
          <w:szCs w:val="21"/>
        </w:rPr>
        <w:t>合同将授予被确定为实质上响应磋商文件要求，符合采购需求、质量和服务相等且报价最低的供应商</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28.2 最低报价不一定是被授予合同的保证。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28.3 如果确定该供应商无法圆满履行合同，招标代理机构将对下一个可能中标的供应商资格作出类似的审查。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29、接受和拒绝任何或所有磋商的权力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29.1为维护国家利益，买方在授予合同之前仍有选择或拒绝任何全部磋商的权力，并对所采取的行为不作任何解释。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30、成交通知书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30.1 成交公告期满后，招标代理机构将以书面形式发出《成交通知书》，但发出时间不超过磋商有效期，《成交通知书》一经发出即发生法律效力。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30.2 《成交通知书》将作为签订合同的依据。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30.3 招标代理机构将在成交方按规定签订合同并提交履约保证金（如适用）后退还其磋商保证金。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31、签订合同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31.1 供应商收到《成交通知书》后，按《成交通知书》中规定的时间地点与买方签订合同。买方和成交方不得再订立背离合同实质性内容的其他协议。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31.2如成交方拒签合同，则按违约处理。招标代理机构没收其磋商保证金。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31.3磋商文件、成交方的磋商响应文件及其澄清文件等，均为签订经济合同的依据。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32、履约保证金（如适用）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32.1成交方应按合同规定的方式、时间和金额向买方提交履约保证金。</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33、招标代理服务费</w:t>
      </w:r>
    </w:p>
    <w:p>
      <w:pPr>
        <w:pStyle w:val="23"/>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33.1成交方须向招标代理机构按如下标准和期限交纳招标代理代理服务费：</w:t>
      </w:r>
    </w:p>
    <w:p>
      <w:pPr>
        <w:pStyle w:val="23"/>
        <w:pageBreakBefore w:val="0"/>
        <w:kinsoku/>
        <w:topLinePunct w:val="0"/>
        <w:bidi w:val="0"/>
        <w:adjustRightInd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bCs/>
          <w:sz w:val="21"/>
          <w:szCs w:val="21"/>
        </w:rPr>
        <w:t>33.1.1</w:t>
      </w:r>
      <w:r>
        <w:rPr>
          <w:rFonts w:hint="eastAsia" w:ascii="宋体" w:hAnsi="宋体" w:eastAsia="宋体" w:cs="宋体"/>
          <w:sz w:val="21"/>
          <w:szCs w:val="21"/>
        </w:rPr>
        <w:t>成交方须向宏业国际项目管理有限公司支付招标代理服务费。</w:t>
      </w:r>
    </w:p>
    <w:p>
      <w:pPr>
        <w:pStyle w:val="23"/>
        <w:pageBreakBefore w:val="0"/>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33.1.2 在合同签订后一周内，成交方须按规定的标准以网银或电汇的方式一次性向招标代理机构缴纳磋商代理服务费。</w:t>
      </w:r>
      <w:bookmarkStart w:id="47" w:name="_Toc267301288"/>
    </w:p>
    <w:p>
      <w:pPr>
        <w:pStyle w:val="6"/>
        <w:pageBreakBefore w:val="0"/>
        <w:kinsoku/>
        <w:topLinePunct w:val="0"/>
        <w:bidi w:val="0"/>
        <w:spacing w:before="0" w:after="0" w:line="400" w:lineRule="exact"/>
        <w:ind w:left="0" w:leftChars="0" w:firstLine="0" w:firstLineChars="0"/>
        <w:jc w:val="center"/>
        <w:rPr>
          <w:rFonts w:hint="eastAsia" w:ascii="宋体" w:hAnsi="宋体" w:eastAsia="宋体" w:cs="宋体"/>
          <w:bCs/>
          <w:sz w:val="21"/>
          <w:szCs w:val="21"/>
        </w:rPr>
      </w:pPr>
      <w:bookmarkStart w:id="48" w:name="_Toc462223638"/>
      <w:r>
        <w:rPr>
          <w:rFonts w:hint="eastAsia" w:ascii="宋体" w:hAnsi="宋体" w:eastAsia="宋体" w:cs="宋体"/>
          <w:sz w:val="21"/>
          <w:szCs w:val="21"/>
        </w:rPr>
        <w:t>（七）磋商失败条件</w:t>
      </w:r>
      <w:bookmarkEnd w:id="48"/>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34、出现影响采购公正的违法、违规行为的；</w:t>
      </w:r>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35、因重大变故，采购任务取消的；</w:t>
      </w:r>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36、磋商响应文件截止时间后，实际参与的供应商不足法定家数的；</w:t>
      </w:r>
    </w:p>
    <w:p>
      <w:pPr>
        <w:pStyle w:val="23"/>
        <w:pageBreakBefore w:val="0"/>
        <w:tabs>
          <w:tab w:val="left" w:pos="720"/>
          <w:tab w:val="left" w:pos="900"/>
          <w:tab w:val="left" w:pos="1260"/>
        </w:tabs>
        <w:kinsoku/>
        <w:topLinePunct w:val="0"/>
        <w:bidi w:val="0"/>
        <w:adjustRightInd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37、最终报价均超过采购预算的；</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38、对磋商文件作出实质性响应的供应商不足法定家数的；</w:t>
      </w:r>
      <w:bookmarkStart w:id="49" w:name="_Toc298240411"/>
      <w:bookmarkStart w:id="50" w:name="_Toc349573127"/>
      <w:bookmarkStart w:id="51" w:name="_Toc349637926"/>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bookmarkEnd w:id="47"/>
    <w:bookmarkEnd w:id="49"/>
    <w:bookmarkEnd w:id="50"/>
    <w:bookmarkEnd w:id="51"/>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52" w:name="_Toc16105"/>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jc w:val="center"/>
        <w:outlineLvl w:val="0"/>
        <w:rPr>
          <w:rFonts w:hint="eastAsia" w:ascii="宋体" w:hAnsi="宋体" w:eastAsia="宋体" w:cs="宋体"/>
          <w:b/>
          <w:sz w:val="28"/>
          <w:szCs w:val="28"/>
        </w:rPr>
      </w:pPr>
      <w:r>
        <w:rPr>
          <w:rFonts w:hint="eastAsia" w:ascii="宋体" w:hAnsi="宋体" w:eastAsia="宋体" w:cs="宋体"/>
          <w:b/>
          <w:sz w:val="28"/>
          <w:szCs w:val="28"/>
        </w:rPr>
        <w:t>第三章  项目需求</w:t>
      </w:r>
      <w:bookmarkEnd w:id="52"/>
    </w:p>
    <w:p>
      <w:pPr>
        <w:pStyle w:val="34"/>
        <w:ind w:firstLine="643"/>
        <w:rPr>
          <w:rFonts w:asciiTheme="minorHAnsi" w:hAnsiTheme="minorHAnsi" w:cstheme="minorBidi"/>
          <w:snapToGrid/>
          <w:kern w:val="2"/>
          <w:szCs w:val="22"/>
        </w:rPr>
      </w:pPr>
      <w:bookmarkStart w:id="53" w:name="_Toc28434"/>
      <w:r>
        <w:rPr>
          <w:rFonts w:hint="eastAsia" w:asciiTheme="minorHAnsi" w:hAnsiTheme="minorHAnsi" w:cstheme="minorBidi"/>
          <w:snapToGrid/>
          <w:kern w:val="2"/>
          <w:szCs w:val="22"/>
        </w:rPr>
        <w:t>（一）工作背景</w:t>
      </w:r>
    </w:p>
    <w:p>
      <w:pPr>
        <w:pStyle w:val="129"/>
        <w:spacing w:line="560" w:lineRule="exact"/>
        <w:ind w:firstLine="279" w:firstLineChars="133"/>
        <w:rPr>
          <w:rFonts w:hint="eastAsia" w:ascii="Times New Roman" w:hAnsi="Times New Roman" w:eastAsia="宋体" w:cs="Times New Roman"/>
          <w:bCs w:val="0"/>
          <w:kern w:val="2"/>
          <w:sz w:val="21"/>
          <w:szCs w:val="20"/>
          <w:lang w:val="en-US" w:eastAsia="zh-CN" w:bidi="ar-SA"/>
        </w:rPr>
      </w:pPr>
      <w:r>
        <w:rPr>
          <w:rFonts w:hint="eastAsia" w:ascii="Times New Roman" w:hAnsi="Times New Roman" w:eastAsia="宋体" w:cs="Times New Roman"/>
          <w:bCs w:val="0"/>
          <w:kern w:val="2"/>
          <w:sz w:val="21"/>
          <w:szCs w:val="20"/>
          <w:lang w:val="en-US" w:eastAsia="zh-CN" w:bidi="ar-SA"/>
        </w:rPr>
        <w:t>自治区自然资源厅应用综合管理系统实现了自治区自然资源管理部门信息化系统统一系统入口、统一用户管理和统一身份认证服务，提供公文管理平台、业务应用中心和知识中心三大模块，可查看组织机构、人员和在线状态，打造了“一站式”办公和学习平台。</w:t>
      </w:r>
    </w:p>
    <w:p>
      <w:pPr>
        <w:pStyle w:val="129"/>
        <w:spacing w:line="560" w:lineRule="exact"/>
        <w:ind w:firstLine="279" w:firstLineChars="133"/>
        <w:rPr>
          <w:rFonts w:hint="eastAsia" w:ascii="Times New Roman" w:hAnsi="Times New Roman" w:eastAsia="宋体" w:cs="Times New Roman"/>
          <w:bCs w:val="0"/>
          <w:kern w:val="2"/>
          <w:sz w:val="21"/>
          <w:szCs w:val="20"/>
          <w:lang w:val="en-US" w:eastAsia="zh-CN" w:bidi="ar-SA"/>
        </w:rPr>
      </w:pPr>
      <w:r>
        <w:rPr>
          <w:rFonts w:hint="eastAsia" w:ascii="Times New Roman" w:hAnsi="Times New Roman" w:eastAsia="宋体" w:cs="Times New Roman"/>
          <w:bCs w:val="0"/>
          <w:kern w:val="2"/>
          <w:sz w:val="21"/>
          <w:szCs w:val="20"/>
          <w:lang w:val="en-US" w:eastAsia="zh-CN" w:bidi="ar-SA"/>
        </w:rPr>
        <w:t>为响应自治区自然资源信息化“十四五”规划立足基础，统筹整合的基本原则，立足已有信息化基础，通过业务重构、整合集成、升级再造等举措，减少功能单一信息系统，构建统一的数据体系、服务体系和应用体系，组织开展2022年度</w:t>
      </w:r>
      <w:r>
        <w:rPr>
          <w:rFonts w:hint="eastAsia" w:ascii="Times New Roman" w:hAnsi="Times New Roman" w:cs="Times New Roman"/>
          <w:bCs w:val="0"/>
          <w:kern w:val="2"/>
          <w:sz w:val="21"/>
          <w:szCs w:val="20"/>
          <w:lang w:val="en-US" w:eastAsia="zh-CN" w:bidi="ar-SA"/>
        </w:rPr>
        <w:t>新疆维吾尔自治区自然资源厅应用综合管理系统二期项目</w:t>
      </w:r>
      <w:r>
        <w:rPr>
          <w:rFonts w:hint="eastAsia" w:ascii="Times New Roman" w:hAnsi="Times New Roman" w:eastAsia="宋体" w:cs="Times New Roman"/>
          <w:bCs w:val="0"/>
          <w:kern w:val="2"/>
          <w:sz w:val="21"/>
          <w:szCs w:val="20"/>
          <w:lang w:val="en-US" w:eastAsia="zh-CN" w:bidi="ar-SA"/>
        </w:rPr>
        <w:t>建设工作，不断完善应用综合管理系统，加快业务应用整合和数据资源整合，建成与三级自然资源管理体制相适应的、统一融合的自然资源信息化框架体系，实现全区自然资源核心业务信息化管理，实现部门间数据共享和业务协同能力明显提升。</w:t>
      </w:r>
    </w:p>
    <w:p>
      <w:pPr>
        <w:pStyle w:val="34"/>
        <w:ind w:firstLine="643"/>
        <w:rPr>
          <w:rFonts w:asciiTheme="minorHAnsi" w:hAnsiTheme="minorHAnsi" w:cstheme="minorBidi"/>
          <w:snapToGrid/>
          <w:kern w:val="2"/>
          <w:szCs w:val="22"/>
        </w:rPr>
      </w:pPr>
      <w:r>
        <w:rPr>
          <w:rFonts w:hint="eastAsia" w:asciiTheme="minorHAnsi" w:hAnsiTheme="minorHAnsi" w:cstheme="minorBidi"/>
          <w:snapToGrid/>
          <w:kern w:val="2"/>
          <w:szCs w:val="22"/>
        </w:rPr>
        <w:t>（二）工作目标</w:t>
      </w:r>
    </w:p>
    <w:p>
      <w:pPr>
        <w:ind w:firstLine="640"/>
      </w:pPr>
      <w:r>
        <w:rPr>
          <w:rFonts w:hint="eastAsia"/>
        </w:rPr>
        <w:t>应用综合管理系统集成多个已建业务系统，实现多系统的统一系统登录、统一待办展示、统一应用访问、统一授权管理、统一数据服务、统一知识管理、统一搜索服务、统一技术支持，满足各部门、各用户的多样化需求，提高用户办公效率，系统维护和管理也更加便捷化。</w:t>
      </w:r>
    </w:p>
    <w:p>
      <w:pPr>
        <w:pStyle w:val="34"/>
        <w:ind w:firstLine="643"/>
        <w:rPr>
          <w:rFonts w:asciiTheme="minorHAnsi" w:hAnsiTheme="minorHAnsi" w:cstheme="minorBidi"/>
          <w:snapToGrid/>
          <w:kern w:val="2"/>
          <w:szCs w:val="22"/>
        </w:rPr>
      </w:pPr>
      <w:r>
        <w:rPr>
          <w:rFonts w:hint="eastAsia" w:asciiTheme="minorHAnsi" w:hAnsiTheme="minorHAnsi" w:cstheme="minorBidi"/>
          <w:snapToGrid/>
          <w:kern w:val="2"/>
          <w:szCs w:val="22"/>
        </w:rPr>
        <w:t>（三）工作任务</w:t>
      </w:r>
    </w:p>
    <w:p>
      <w:pPr>
        <w:ind w:firstLine="640"/>
        <w:rPr>
          <w:rFonts w:hint="eastAsia"/>
        </w:rPr>
      </w:pPr>
      <w:r>
        <w:rPr>
          <w:rFonts w:hint="eastAsia"/>
        </w:rPr>
        <w:t>在现有新疆维吾尔自治区自然资源厅应用综合管理系统统一系统入口、统一用户管理、统一身份认证的基础上，进行子系统授权管理、统一待办管理、统一数据管理和统一支持和安全审计服务等功能开发。</w:t>
      </w:r>
    </w:p>
    <w:p>
      <w:pPr>
        <w:pStyle w:val="34"/>
        <w:ind w:firstLine="643"/>
        <w:rPr>
          <w:rFonts w:asciiTheme="minorHAnsi" w:hAnsiTheme="minorHAnsi" w:cstheme="minorBidi"/>
          <w:snapToGrid/>
          <w:kern w:val="2"/>
          <w:szCs w:val="22"/>
        </w:rPr>
      </w:pPr>
      <w:r>
        <w:rPr>
          <w:rFonts w:hint="eastAsia" w:asciiTheme="minorHAnsi" w:hAnsiTheme="minorHAnsi" w:cstheme="minorBidi"/>
          <w:snapToGrid/>
          <w:kern w:val="2"/>
          <w:szCs w:val="22"/>
        </w:rPr>
        <w:t>（四）工作内容</w:t>
      </w:r>
    </w:p>
    <w:p>
      <w:pPr>
        <w:ind w:firstLine="640"/>
      </w:pPr>
      <w:r>
        <w:rPr>
          <w:rFonts w:hint="eastAsia"/>
        </w:rPr>
        <w:t>1、</w:t>
      </w:r>
      <w:r>
        <w:rPr>
          <w:rFonts w:hint="eastAsia"/>
          <w:b/>
        </w:rPr>
        <w:t>待办中心</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在系统首页综合展示当前用户在各个系统中的待办事项、集中式的消息提醒、各系统最新升级情况的通知公告等信息。</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2、数据中心</w:t>
      </w:r>
    </w:p>
    <w:p>
      <w:pPr>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数据中心集中展示各类数据资源和功能服务，分为通用应用和数据资源监控两类。其中通用应用主要集成展示发布的地图服务、数据服务、空间分析以及接口服务；监控分析主要展示服务运行情况、服务调用情况和数据资源总体情况。</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3、支持中心</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支持中心主要提供用户常用的一些软件（浏览器、JDK、APP等）、使用手册等的下载功能，以及系统常见问题查看等内容。</w:t>
      </w:r>
    </w:p>
    <w:p>
      <w:pPr>
        <w:pStyle w:val="2"/>
        <w:spacing w:before="217" w:after="217"/>
        <w:ind w:firstLine="643"/>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4、子系统授权管理</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通过数据集成和服务接口与各个子系统建立连接，在系统中可以进行所有人员接入各子系统的授权。</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5、安全审计</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能够完整记录用户的登录日志、访问日志、操作时间、IP等信息，支持管理对访问日志进行审计。</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6、运行维护</w:t>
      </w:r>
    </w:p>
    <w:p>
      <w:pPr>
        <w:pStyle w:val="2"/>
        <w:spacing w:before="217" w:after="217"/>
        <w:ind w:firstLine="640"/>
        <w:rPr>
          <w:rFonts w:hint="eastAsia" w:ascii="宋体" w:hAnsi="宋体" w:eastAsia="宋体" w:cs="Times New Roman"/>
          <w:bCs/>
          <w:kern w:val="2"/>
          <w:sz w:val="21"/>
          <w:lang w:val="en-US" w:eastAsia="zh-CN" w:bidi="ar-SA"/>
        </w:rPr>
      </w:pPr>
      <w:r>
        <w:rPr>
          <w:rFonts w:hint="eastAsia" w:ascii="宋体" w:hAnsi="宋体" w:eastAsia="宋体" w:cs="Times New Roman"/>
          <w:bCs/>
          <w:kern w:val="2"/>
          <w:sz w:val="21"/>
          <w:lang w:val="en-US" w:eastAsia="zh-CN" w:bidi="ar-SA"/>
        </w:rPr>
        <w:t>加强应用综合管理系统的运行维护，建立健全运维机制，确保平台持续高效运行。</w:t>
      </w:r>
    </w:p>
    <w:p>
      <w:pPr>
        <w:pStyle w:val="34"/>
        <w:ind w:firstLine="643"/>
        <w:rPr>
          <w:rFonts w:asciiTheme="minorHAnsi" w:hAnsiTheme="minorHAnsi" w:cstheme="minorBidi"/>
          <w:snapToGrid/>
          <w:kern w:val="2"/>
          <w:szCs w:val="22"/>
        </w:rPr>
      </w:pPr>
      <w:r>
        <w:rPr>
          <w:rFonts w:hint="eastAsia" w:asciiTheme="minorHAnsi" w:hAnsiTheme="minorHAnsi" w:cstheme="minorBidi"/>
          <w:snapToGrid/>
          <w:kern w:val="2"/>
          <w:szCs w:val="22"/>
        </w:rPr>
        <w:t>（五）相关要求</w:t>
      </w:r>
    </w:p>
    <w:p>
      <w:pPr>
        <w:pStyle w:val="34"/>
        <w:ind w:firstLine="643"/>
        <w:rPr>
          <w:rFonts w:asciiTheme="minorHAnsi" w:hAnsiTheme="minorHAnsi" w:cstheme="minorBidi"/>
          <w:snapToGrid/>
          <w:kern w:val="2"/>
          <w:szCs w:val="22"/>
        </w:rPr>
      </w:pPr>
      <w:r>
        <w:rPr>
          <w:rFonts w:asciiTheme="minorHAnsi" w:hAnsiTheme="minorHAnsi" w:cstheme="minorBidi"/>
          <w:snapToGrid/>
          <w:kern w:val="2"/>
          <w:szCs w:val="22"/>
        </w:rPr>
        <w:t>1、质量要求</w:t>
      </w:r>
    </w:p>
    <w:p>
      <w:pPr>
        <w:ind w:firstLine="640"/>
      </w:pPr>
      <w:r>
        <w:rPr>
          <w:rFonts w:hint="eastAsia" w:ascii="宋体" w:hAnsi="宋体"/>
          <w:bCs/>
        </w:rPr>
        <w:t>系统要求运行稳定，各项性能指标包括系统响应速度，平均无故障运行时间间隔等，要求均按照相关标准设计。系统的体系结构必须能够很好地适应目前资源厅网络环境；系统界面友好；操作简单、易学易用，提高办公效率。</w:t>
      </w:r>
    </w:p>
    <w:p>
      <w:pPr>
        <w:pStyle w:val="34"/>
        <w:ind w:firstLine="643"/>
        <w:rPr>
          <w:rFonts w:asciiTheme="minorHAnsi" w:hAnsiTheme="minorHAnsi" w:cstheme="minorBidi"/>
          <w:snapToGrid/>
          <w:kern w:val="2"/>
          <w:szCs w:val="22"/>
        </w:rPr>
      </w:pPr>
      <w:r>
        <w:rPr>
          <w:rFonts w:asciiTheme="minorHAnsi" w:hAnsiTheme="minorHAnsi" w:cstheme="minorBidi"/>
          <w:snapToGrid/>
          <w:kern w:val="2"/>
          <w:szCs w:val="22"/>
        </w:rPr>
        <w:t>2、成果要求</w:t>
      </w:r>
    </w:p>
    <w:p>
      <w:pPr>
        <w:ind w:firstLine="640"/>
      </w:pPr>
      <w:r>
        <w:rPr>
          <w:rFonts w:hint="eastAsia"/>
        </w:rPr>
        <w:t>文档成果：实施方案、总体设计方案、需求规格说明书、用户使用手册、安装部署手册、测试报告、技术总结报告、工作总结报告。</w:t>
      </w:r>
    </w:p>
    <w:p>
      <w:pPr>
        <w:pStyle w:val="2"/>
        <w:spacing w:before="217" w:after="217"/>
        <w:ind w:firstLine="64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系统软件成果：改造后的新疆维吾尔自治区自然资源厅应用综合管理系统。</w:t>
      </w:r>
    </w:p>
    <w:p>
      <w:pPr>
        <w:pStyle w:val="34"/>
        <w:ind w:firstLine="643"/>
        <w:rPr>
          <w:rFonts w:asciiTheme="minorHAnsi" w:hAnsiTheme="minorHAnsi" w:cstheme="minorBidi"/>
          <w:snapToGrid/>
          <w:kern w:val="2"/>
          <w:szCs w:val="22"/>
        </w:rPr>
      </w:pPr>
      <w:r>
        <w:rPr>
          <w:rFonts w:asciiTheme="minorHAnsi" w:hAnsiTheme="minorHAnsi" w:cstheme="minorBidi"/>
          <w:snapToGrid/>
          <w:kern w:val="2"/>
          <w:szCs w:val="22"/>
        </w:rPr>
        <w:t>3、工期要求</w:t>
      </w:r>
    </w:p>
    <w:p>
      <w:pPr>
        <w:ind w:firstLine="640"/>
      </w:pPr>
      <w:r>
        <w:rPr>
          <w:rFonts w:hint="eastAsia"/>
        </w:rPr>
        <w:t>本项目要求自合同签订</w:t>
      </w:r>
      <w:r>
        <w:rPr>
          <w:rFonts w:hint="eastAsia" w:ascii="仿宋" w:hAnsi="仿宋"/>
        </w:rPr>
        <w:t>后2</w:t>
      </w:r>
      <w:r>
        <w:rPr>
          <w:rFonts w:ascii="仿宋" w:hAnsi="仿宋"/>
        </w:rPr>
        <w:t>个</w:t>
      </w:r>
      <w:r>
        <w:t>月内完</w:t>
      </w:r>
      <w:r>
        <w:rPr>
          <w:rFonts w:hint="eastAsia"/>
        </w:rPr>
        <w:t>成项目需求调研并完成总体设计方案编制，5个月内完成</w:t>
      </w:r>
      <w:r>
        <w:t>整个</w:t>
      </w:r>
      <w:r>
        <w:rPr>
          <w:rFonts w:hint="eastAsia"/>
        </w:rPr>
        <w:t>项目的</w:t>
      </w:r>
      <w:r>
        <w:t>开发</w:t>
      </w:r>
      <w:r>
        <w:rPr>
          <w:rFonts w:hint="eastAsia"/>
        </w:rPr>
        <w:t>、</w:t>
      </w:r>
      <w:r>
        <w:t>部署</w:t>
      </w:r>
      <w:r>
        <w:rPr>
          <w:rFonts w:hint="eastAsia"/>
        </w:rPr>
        <w:t>、测试</w:t>
      </w:r>
      <w:r>
        <w:t>，之后进入</w:t>
      </w:r>
      <w:r>
        <w:rPr>
          <w:rFonts w:ascii="仿宋" w:hAnsi="仿宋"/>
        </w:rPr>
        <w:t>为期1个月</w:t>
      </w:r>
      <w:r>
        <w:t>的试运行。</w:t>
      </w:r>
    </w:p>
    <w:p>
      <w:pPr>
        <w:pStyle w:val="34"/>
        <w:ind w:firstLine="643"/>
        <w:rPr>
          <w:rFonts w:asciiTheme="minorHAnsi" w:hAnsiTheme="minorHAnsi" w:cstheme="minorBidi"/>
          <w:snapToGrid/>
          <w:kern w:val="2"/>
          <w:szCs w:val="22"/>
        </w:rPr>
      </w:pPr>
      <w:r>
        <w:rPr>
          <w:rFonts w:asciiTheme="minorHAnsi" w:hAnsiTheme="minorHAnsi" w:cstheme="minorBidi"/>
          <w:snapToGrid/>
          <w:kern w:val="2"/>
          <w:szCs w:val="22"/>
        </w:rPr>
        <w:t>4、人员要求</w:t>
      </w:r>
    </w:p>
    <w:p>
      <w:pPr>
        <w:ind w:firstLine="640"/>
      </w:pPr>
      <w:r>
        <w:rPr>
          <w:rFonts w:hint="eastAsia"/>
        </w:rPr>
        <w:t>（</w:t>
      </w:r>
      <w:r>
        <w:t>1）项目核心技术团队：不少于1名技术负责人、1名业务负责人，人员及技术要求如下：技术负责人和业务负责人应具有省级项目管理经验。</w:t>
      </w:r>
    </w:p>
    <w:p>
      <w:pPr>
        <w:ind w:firstLine="640"/>
      </w:pPr>
      <w:r>
        <w:rPr>
          <w:rFonts w:hint="eastAsia"/>
        </w:rPr>
        <w:t>（</w:t>
      </w:r>
      <w:r>
        <w:t>2）驻场技术人员：投标人承诺组织合格的技术人员在项目执行期间驻场开场工作，驻场人员要求具有地理信息系统专业、计算机等相关专业本科及以上学历。</w:t>
      </w:r>
    </w:p>
    <w:p>
      <w:pPr>
        <w:pStyle w:val="34"/>
        <w:ind w:firstLine="643"/>
        <w:rPr>
          <w:rStyle w:val="127"/>
          <w:b w:val="0"/>
        </w:rPr>
      </w:pPr>
      <w:r>
        <w:t>5、保密要求</w:t>
      </w:r>
    </w:p>
    <w:p>
      <w:pPr>
        <w:ind w:firstLine="640"/>
      </w:pPr>
      <w:r>
        <w:rPr>
          <w:rFonts w:hint="eastAsia"/>
        </w:rPr>
        <w:t>严格遵守国家有关数据安全保密的有关法律法规，确保数据安全。</w:t>
      </w:r>
    </w:p>
    <w:p>
      <w:pPr>
        <w:pStyle w:val="34"/>
        <w:ind w:firstLine="643"/>
        <w:rPr>
          <w:rFonts w:hint="eastAsia"/>
        </w:rPr>
      </w:pPr>
      <w:r>
        <w:rPr>
          <w:rFonts w:hint="eastAsia"/>
          <w:lang w:val="en-US" w:eastAsia="zh-CN"/>
        </w:rPr>
        <w:t>6、</w:t>
      </w:r>
      <w:r>
        <w:rPr>
          <w:rFonts w:hint="eastAsia"/>
        </w:rPr>
        <w:t>售后服务要求</w:t>
      </w:r>
    </w:p>
    <w:p>
      <w:pPr>
        <w:numPr>
          <w:ilvl w:val="0"/>
          <w:numId w:val="0"/>
        </w:numPr>
        <w:ind w:firstLine="420" w:firstLineChars="200"/>
        <w:rPr>
          <w:rFonts w:hint="eastAsia"/>
        </w:rPr>
      </w:pPr>
      <w:r>
        <w:rPr>
          <w:rFonts w:hint="eastAsia"/>
        </w:rPr>
        <w:t>本项目中标人应具有及时、有效、本地化的售后服务和技术支持能力，技术支持方式包括：驻场技术服务、电话技术服务、定期检查服务、技术升级服务等。</w:t>
      </w:r>
    </w:p>
    <w:p>
      <w:pPr>
        <w:pStyle w:val="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本项目自验收合格之日起开始计算，中标人应提供一年的免费技术支持售后服务。</w:t>
      </w:r>
    </w:p>
    <w:p>
      <w:pPr>
        <w:rPr>
          <w:rFonts w:hint="eastAsia"/>
        </w:rPr>
      </w:pPr>
    </w:p>
    <w:p>
      <w:pPr>
        <w:widowControl/>
        <w:shd w:val="clear" w:color="auto" w:fill="FFFFFF"/>
        <w:adjustRightInd w:val="0"/>
        <w:snapToGrid w:val="0"/>
        <w:spacing w:line="360" w:lineRule="auto"/>
        <w:ind w:firstLine="480"/>
        <w:rPr>
          <w:rFonts w:ascii="Times New Roman" w:hAnsi="Times New Roman" w:cs="Times New Roman"/>
          <w:sz w:val="24"/>
          <w:szCs w:val="24"/>
        </w:rPr>
      </w:pPr>
    </w:p>
    <w:p>
      <w:pPr>
        <w:numPr>
          <w:ilvl w:val="0"/>
          <w:numId w:val="0"/>
        </w:numPr>
        <w:rPr>
          <w:rFonts w:hint="eastAsia" w:ascii="仿宋" w:hAnsi="仿宋" w:eastAsia="仿宋" w:cs="仿宋"/>
          <w:sz w:val="28"/>
          <w:szCs w:val="28"/>
          <w:lang w:val="en-US" w:eastAsia="zh-CN"/>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autoSpaceDE w:val="0"/>
        <w:autoSpaceDN w:val="0"/>
        <w:bidi w:val="0"/>
        <w:adjustRightInd w:val="0"/>
        <w:spacing w:line="400" w:lineRule="exact"/>
        <w:ind w:left="0" w:leftChars="0" w:firstLine="0" w:firstLineChars="0"/>
        <w:jc w:val="center"/>
        <w:outlineLvl w:val="0"/>
        <w:rPr>
          <w:rFonts w:hint="eastAsia" w:ascii="宋体" w:hAnsi="宋体" w:eastAsia="宋体" w:cs="宋体"/>
          <w:sz w:val="21"/>
          <w:szCs w:val="21"/>
        </w:rPr>
      </w:pPr>
      <w:r>
        <w:rPr>
          <w:rFonts w:hint="eastAsia" w:ascii="宋体" w:hAnsi="宋体" w:eastAsia="宋体" w:cs="宋体"/>
          <w:b/>
          <w:sz w:val="21"/>
          <w:szCs w:val="21"/>
        </w:rPr>
        <w:t>第四章  合同条款（仅供参考）</w:t>
      </w:r>
      <w:bookmarkEnd w:id="53"/>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1、定义</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 “合同”系指甲方和乙方(以下简称合同双方)已达成的协议，即由双方签订的合同格式文件，包括所有的招标文件、响应性文件、答疑纪录、澄清说明、附件、附录和组成合同的所有其他文件。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 “合同价格”系指根据合同规定，在乙方全面正确地履行合同义务时，甲方应支付给乙方的款项。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 “货物”系指乙方按合同要求相关设备。</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 “服务”系指合同规定乙方必须承担的类似售后义务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 “甲方”、“买方”、“招标方”均系指通过招标采购，接受合同货物及服务的各行政事业单位、社会团体等采购单位及社会代理公司。</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 “乙方”、“卖方”系指中标后提供合同货物和服务的经济实体。</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 “现场”系指本次活动的服务地点。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 “验收”系指甲方依据技术规格规定接受合同货物所依据的程序和条件。</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2、适用范围</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 本合同条款仅适用于本次招标活动。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3、原产地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3.1 原产地系指货物的生产地，或提供辅助服务的来源地。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4、技术规格和标准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4.1本合同项下所供货物的技术规格应与本招标文件技术规格规定的标准相一致。若技术规格中无相应规定，货物则应符合相应的国家标准或有关权威部门最新颁布的相应的正式标准。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5、专利权</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6、包装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6.2 每件包装应附有详细装箱单和质量证书各两套，一套在包装箱里，一套在包装箱外。</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7、保险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7.1在合同价条件下，由乙方负责办理保险。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8、合同价款的支付方式</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8.1 除另有规定者外，本合同价款将由采购人直接向乙方支付。</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9、质量保证</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9.1 在服务最终验收后的质量保证期之内，乙方应对自身缺陷而产生的任何不足或故障负责，费用由乙方负担。</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9.2上述内容以外的保修和售后服务内容为乙方在响应性文件中所承诺的内容。</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10、履约保证金（无）</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11、延期交货与核定损失额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11.1  乙方应按照“磋商响应报价表”规定提供服务，并交付甲方验收使用。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  11.2 如果乙方无正当理由拖延交货，未得到甲方书面同意，将受到以下制裁：</w:t>
      </w:r>
      <w:r>
        <w:rPr>
          <w:rFonts w:hint="eastAsia" w:ascii="宋体" w:hAnsi="宋体" w:eastAsia="宋体" w:cs="宋体"/>
          <w:bCs/>
          <w:sz w:val="21"/>
          <w:szCs w:val="21"/>
        </w:rPr>
        <w:t>不予退还履约保证金，加收误期赔偿或终止合同</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12、不可抗力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13、仲裁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本项目如有合同争议，解决方式优先选择公安厅机关所在地人民法院，不施行仲裁。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14、违约终止合同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(1)如果乙方未能在合同规定的期限内或甲方准许的任何延期内交付部分或全部货物。</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(2)乙方未能履行合同项下的其它义务。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15、变更指示</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15.1甲方可以随时向乙方发出书面指示，在合同总体范围内对如下一点或几点提出变更：</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合同项下需为甲方特殊制定的服务项目；</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 xml:space="preserve">（2） </w:t>
      </w:r>
      <w:r>
        <w:rPr>
          <w:rFonts w:hint="eastAsia" w:ascii="宋体" w:hAnsi="宋体" w:eastAsia="宋体" w:cs="宋体"/>
          <w:sz w:val="21"/>
          <w:szCs w:val="21"/>
        </w:rPr>
        <w:t>服务地点；</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pacing w:val="-2"/>
          <w:sz w:val="21"/>
          <w:szCs w:val="21"/>
        </w:rPr>
        <w:t xml:space="preserve">（3） </w:t>
      </w:r>
      <w:r>
        <w:rPr>
          <w:rFonts w:hint="eastAsia" w:ascii="宋体" w:hAnsi="宋体" w:eastAsia="宋体" w:cs="宋体"/>
          <w:sz w:val="21"/>
          <w:szCs w:val="21"/>
        </w:rPr>
        <w:t>乙方须提供的服务。</w:t>
      </w:r>
    </w:p>
    <w:p>
      <w:pPr>
        <w:pageBreakBefore w:val="0"/>
        <w:kinsoku/>
        <w:overflowPunct w:val="0"/>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16、合同修改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16.1　欲对合同条款做出任何改动或偏离，均须由甲乙双方签署书面的合同修改书。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17、转让与分包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17.1除甲方事先同意外，乙方不得部分转让或全部转让其应履行的合同项下的义务。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17.2乙方应书面通知甲方本合同项下所授予的所有分包合同。但该通知不解除乙方承担的本合同项下的任何责任或义务。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18、适用法律</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18.1　本合同应按中华人民共和国的相关法律解释。</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19、通知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19.1本合同任何一方给另一方的通知都应以书面或电传、电报、传真的形式发送，而另一方应以书面形式确认并发送到对方明确的地址。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20、合同文件及资料的使用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20.2除非执行合同需要，在事先末得到甲方同意的情况下，乙方不得将与本合同有关的任何文件和资料给第三方使用。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20.3除合同本身以外，若甲方要求，乙方应于其合同义务履行完毕以后将这些资料(包括所有副本)退还甲方。</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21、合同生效及其他</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21.1　本合同应在甲方和乙方签字并加盖鉴证章后生效。</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　乙方须按技术规格中的规定，向甲方提供与合同项下本次招标的相关服务。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　商务合同应包括甲方最后确认的价格条款和付款方式。</w:t>
      </w:r>
    </w:p>
    <w:p>
      <w:pPr>
        <w:pageBreakBefore w:val="0"/>
        <w:kinsoku/>
        <w:topLinePunct w:val="0"/>
        <w:bidi w:val="0"/>
        <w:spacing w:line="400" w:lineRule="exact"/>
        <w:ind w:left="0" w:leftChars="0" w:firstLine="0" w:firstLineChars="0"/>
        <w:rPr>
          <w:rFonts w:hint="eastAsia" w:ascii="宋体" w:hAnsi="宋体" w:eastAsia="宋体" w:cs="宋体"/>
          <w:spacing w:val="-6"/>
          <w:sz w:val="21"/>
          <w:szCs w:val="21"/>
        </w:rPr>
      </w:pPr>
      <w:r>
        <w:rPr>
          <w:rFonts w:hint="eastAsia" w:ascii="宋体" w:hAnsi="宋体" w:eastAsia="宋体" w:cs="宋体"/>
          <w:sz w:val="21"/>
          <w:szCs w:val="21"/>
        </w:rPr>
        <w:t>21.4　</w:t>
      </w:r>
      <w:r>
        <w:rPr>
          <w:rFonts w:hint="eastAsia" w:ascii="宋体" w:hAnsi="宋体" w:eastAsia="宋体" w:cs="宋体"/>
          <w:spacing w:val="-6"/>
          <w:sz w:val="21"/>
          <w:szCs w:val="21"/>
        </w:rPr>
        <w:t>下述文件将作为合同附件，为本合同不可分割的组成部分，并与本合具有同等效力：</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磋商文件</w:t>
      </w:r>
      <w:r>
        <w:rPr>
          <w:rFonts w:hint="eastAsia" w:ascii="宋体" w:hAnsi="宋体" w:eastAsia="宋体" w:cs="宋体"/>
          <w:sz w:val="21"/>
          <w:szCs w:val="21"/>
        </w:rPr>
        <w:t>；</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（2）中标通知书；</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（3）中标方的响应性文件及磋商过程中的书面答疑记录。</w:t>
      </w:r>
      <w:bookmarkStart w:id="54" w:name="_Toc381724074"/>
      <w:bookmarkStart w:id="55" w:name="_Toc462223649"/>
      <w:bookmarkStart w:id="56" w:name="_Toc455412770"/>
    </w:p>
    <w:bookmarkEnd w:id="54"/>
    <w:bookmarkEnd w:id="55"/>
    <w:bookmarkEnd w:id="56"/>
    <w:p>
      <w:pPr>
        <w:pageBreakBefore w:val="0"/>
        <w:kinsoku/>
        <w:topLinePunct w:val="0"/>
        <w:bidi w:val="0"/>
        <w:spacing w:line="400" w:lineRule="exact"/>
        <w:ind w:left="0" w:leftChars="0" w:firstLine="0" w:firstLineChars="0"/>
        <w:rPr>
          <w:rFonts w:hint="eastAsia" w:ascii="宋体" w:hAnsi="宋体" w:eastAsia="宋体" w:cs="宋体"/>
          <w:sz w:val="21"/>
          <w:szCs w:val="21"/>
        </w:rPr>
      </w:pPr>
      <w:bookmarkStart w:id="57" w:name="_Toc349637943"/>
      <w:bookmarkStart w:id="58" w:name="_Toc349573144"/>
      <w:bookmarkStart w:id="59" w:name="_Toc298240429"/>
      <w:bookmarkStart w:id="60" w:name="_Toc462223650"/>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Style w:val="5"/>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bookmarkStart w:id="61" w:name="_Toc12367"/>
      <w:r>
        <w:rPr>
          <w:rFonts w:hint="eastAsia" w:ascii="宋体" w:hAnsi="宋体" w:eastAsia="宋体" w:cs="宋体"/>
          <w:sz w:val="21"/>
          <w:szCs w:val="21"/>
        </w:rPr>
        <w:t>第五章</w:t>
      </w:r>
      <w:bookmarkEnd w:id="57"/>
      <w:bookmarkEnd w:id="58"/>
      <w:bookmarkEnd w:id="59"/>
      <w:bookmarkEnd w:id="60"/>
      <w:r>
        <w:rPr>
          <w:rFonts w:hint="eastAsia" w:ascii="宋体" w:hAnsi="宋体" w:eastAsia="宋体" w:cs="宋体"/>
          <w:sz w:val="21"/>
          <w:szCs w:val="21"/>
        </w:rPr>
        <w:t xml:space="preserve">  附件</w:t>
      </w:r>
      <w:bookmarkEnd w:id="61"/>
    </w:p>
    <w:p>
      <w:pPr>
        <w:pageBreakBefore w:val="0"/>
        <w:kinsoku/>
        <w:topLinePunct w:val="0"/>
        <w:bidi w:val="0"/>
        <w:spacing w:line="400" w:lineRule="exact"/>
        <w:ind w:left="0" w:leftChars="0" w:firstLine="0" w:firstLineChars="0"/>
        <w:jc w:val="center"/>
        <w:outlineLvl w:val="0"/>
        <w:rPr>
          <w:rFonts w:hint="eastAsia" w:ascii="宋体" w:hAnsi="宋体" w:eastAsia="宋体" w:cs="宋体"/>
          <w:b/>
          <w:bCs/>
          <w:sz w:val="21"/>
          <w:szCs w:val="21"/>
        </w:rPr>
      </w:pPr>
      <w:bookmarkStart w:id="62" w:name="_Toc10875"/>
      <w:r>
        <w:rPr>
          <w:rFonts w:hint="eastAsia" w:ascii="宋体" w:hAnsi="宋体" w:eastAsia="宋体" w:cs="宋体"/>
          <w:b/>
          <w:bCs/>
          <w:sz w:val="21"/>
          <w:szCs w:val="21"/>
        </w:rPr>
        <w:t>开标一览表</w:t>
      </w:r>
      <w:bookmarkEnd w:id="62"/>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418" w:type="dxa"/>
            <w:vAlign w:val="center"/>
          </w:tcPr>
          <w:p>
            <w:pPr>
              <w:pageBreakBefore w:val="0"/>
              <w:kinsoku/>
              <w:topLinePunct w:val="0"/>
              <w:bidi w:val="0"/>
              <w:spacing w:line="400" w:lineRule="exact"/>
              <w:ind w:left="0" w:leftChars="0"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交付标准</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r>
        <w:rPr>
          <w:rFonts w:hint="eastAsia" w:ascii="宋体" w:hAnsi="宋体" w:eastAsia="宋体" w:cs="宋体"/>
          <w:b/>
          <w:bCs/>
          <w:sz w:val="21"/>
          <w:szCs w:val="21"/>
        </w:rPr>
        <w:t>4、本表须按采购文件要求，单独封装、标识后提交。</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21"/>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63" w:name="_Toc22719"/>
      <w:r>
        <w:rPr>
          <w:rFonts w:hint="eastAsia" w:ascii="宋体" w:hAnsi="宋体" w:eastAsia="宋体" w:cs="宋体"/>
          <w:color w:val="000000"/>
          <w:sz w:val="21"/>
          <w:szCs w:val="21"/>
        </w:rPr>
        <w:t>投标供应商名称（公章）：</w:t>
      </w:r>
      <w:bookmarkEnd w:id="63"/>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u w:val="single"/>
        </w:rPr>
      </w:pPr>
      <w:bookmarkStart w:id="64" w:name="_Toc13389"/>
      <w:r>
        <w:rPr>
          <w:rFonts w:hint="eastAsia" w:ascii="宋体" w:hAnsi="宋体" w:eastAsia="宋体" w:cs="宋体"/>
          <w:color w:val="000000"/>
          <w:sz w:val="21"/>
          <w:szCs w:val="21"/>
        </w:rPr>
        <w:t>法定代表人或授权代表人（签字）：</w:t>
      </w:r>
      <w:bookmarkEnd w:id="64"/>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Cs/>
          <w:color w:val="000000"/>
          <w:sz w:val="21"/>
          <w:szCs w:val="21"/>
        </w:rPr>
        <w:t>日期：</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5" w:name="_Toc30854"/>
      <w:r>
        <w:rPr>
          <w:rFonts w:hint="eastAsia" w:ascii="宋体" w:hAnsi="宋体" w:eastAsia="宋体" w:cs="宋体"/>
          <w:color w:val="000000"/>
          <w:sz w:val="21"/>
          <w:szCs w:val="21"/>
        </w:rPr>
        <w:t>附件1: 磋 商 响 应 函</w:t>
      </w:r>
      <w:bookmarkEnd w:id="65"/>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6" w:name="_Toc18786"/>
      <w:r>
        <w:rPr>
          <w:rFonts w:hint="eastAsia" w:ascii="宋体" w:hAnsi="宋体" w:eastAsia="宋体" w:cs="宋体"/>
          <w:color w:val="000000"/>
          <w:sz w:val="21"/>
          <w:szCs w:val="21"/>
        </w:rPr>
        <w:t>附件2：法定代表人身份证明</w:t>
      </w:r>
      <w:bookmarkEnd w:id="66"/>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7" w:name="_Toc22439"/>
      <w:r>
        <w:rPr>
          <w:rFonts w:hint="eastAsia" w:ascii="宋体" w:hAnsi="宋体" w:eastAsia="宋体" w:cs="宋体"/>
          <w:color w:val="000000"/>
          <w:sz w:val="21"/>
          <w:szCs w:val="21"/>
        </w:rPr>
        <w:t>附件3：法定代表人授权委托书</w:t>
      </w:r>
      <w:bookmarkEnd w:id="67"/>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8" w:name="_Toc24061"/>
      <w:r>
        <w:rPr>
          <w:rFonts w:hint="eastAsia" w:ascii="宋体" w:hAnsi="宋体" w:eastAsia="宋体" w:cs="宋体"/>
          <w:color w:val="000000"/>
          <w:sz w:val="21"/>
          <w:szCs w:val="21"/>
        </w:rPr>
        <w:t>附件4：磋商报价表（开标一览表）</w:t>
      </w:r>
      <w:bookmarkEnd w:id="68"/>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69" w:name="_Toc23676"/>
      <w:r>
        <w:rPr>
          <w:rFonts w:hint="eastAsia" w:ascii="宋体" w:hAnsi="宋体" w:eastAsia="宋体" w:cs="宋体"/>
          <w:color w:val="000000"/>
          <w:sz w:val="21"/>
          <w:szCs w:val="21"/>
        </w:rPr>
        <w:t>附件5：商务偏离表</w:t>
      </w:r>
      <w:bookmarkEnd w:id="69"/>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0" w:name="_Toc32168"/>
      <w:r>
        <w:rPr>
          <w:rFonts w:hint="eastAsia" w:ascii="宋体" w:hAnsi="宋体" w:eastAsia="宋体" w:cs="宋体"/>
          <w:color w:val="000000"/>
          <w:sz w:val="21"/>
          <w:szCs w:val="21"/>
        </w:rPr>
        <w:t>附件6：技术偏离表</w:t>
      </w:r>
      <w:bookmarkEnd w:id="70"/>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1" w:name="_Toc4252"/>
      <w:r>
        <w:rPr>
          <w:rFonts w:hint="eastAsia" w:ascii="宋体" w:hAnsi="宋体" w:eastAsia="宋体" w:cs="宋体"/>
          <w:color w:val="000000"/>
          <w:sz w:val="21"/>
          <w:szCs w:val="21"/>
        </w:rPr>
        <w:t>附件7：公司业绩一览表</w:t>
      </w:r>
      <w:bookmarkEnd w:id="71"/>
    </w:p>
    <w:p>
      <w:pPr>
        <w:pageBreakBefore w:val="0"/>
        <w:kinsoku/>
        <w:topLinePunct w:val="0"/>
        <w:bidi w:val="0"/>
        <w:spacing w:line="400" w:lineRule="exact"/>
        <w:ind w:left="0" w:leftChars="0" w:firstLine="0" w:firstLineChars="0"/>
        <w:outlineLvl w:val="0"/>
        <w:rPr>
          <w:rFonts w:hint="eastAsia" w:ascii="宋体" w:hAnsi="宋体" w:eastAsia="宋体" w:cs="宋体"/>
          <w:color w:val="000000"/>
          <w:sz w:val="21"/>
          <w:szCs w:val="21"/>
        </w:rPr>
      </w:pPr>
      <w:bookmarkStart w:id="72" w:name="_Toc20234"/>
      <w:r>
        <w:rPr>
          <w:rFonts w:hint="eastAsia" w:ascii="宋体" w:hAnsi="宋体" w:eastAsia="宋体" w:cs="宋体"/>
          <w:color w:val="000000"/>
          <w:sz w:val="21"/>
          <w:szCs w:val="21"/>
        </w:rPr>
        <w:t>附件8：优惠条件承诺书</w:t>
      </w:r>
      <w:bookmarkEnd w:id="72"/>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3" w:name="_Toc24015"/>
      <w:r>
        <w:rPr>
          <w:rFonts w:hint="eastAsia" w:ascii="宋体" w:hAnsi="宋体" w:eastAsia="宋体" w:cs="宋体"/>
          <w:color w:val="000000"/>
          <w:sz w:val="21"/>
          <w:szCs w:val="21"/>
        </w:rPr>
        <w:t>附件9：售后服务承诺</w:t>
      </w:r>
      <w:bookmarkEnd w:id="73"/>
      <w:r>
        <w:rPr>
          <w:rFonts w:hint="eastAsia" w:ascii="宋体" w:hAnsi="宋体" w:eastAsia="宋体" w:cs="宋体"/>
          <w:color w:val="000000"/>
          <w:sz w:val="21"/>
          <w:szCs w:val="21"/>
        </w:rPr>
        <w:t xml:space="preserve"> </w:t>
      </w:r>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4" w:name="_Toc901"/>
      <w:r>
        <w:rPr>
          <w:rFonts w:hint="eastAsia" w:ascii="宋体" w:hAnsi="宋体" w:eastAsia="宋体" w:cs="宋体"/>
          <w:color w:val="000000"/>
          <w:sz w:val="21"/>
          <w:szCs w:val="21"/>
        </w:rPr>
        <w:t>附件10：无重大违法记录声明</w:t>
      </w:r>
      <w:bookmarkEnd w:id="74"/>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5" w:name="_Toc19396"/>
      <w:r>
        <w:rPr>
          <w:rFonts w:hint="eastAsia" w:ascii="宋体" w:hAnsi="宋体" w:eastAsia="宋体" w:cs="宋体"/>
          <w:color w:val="000000"/>
          <w:sz w:val="21"/>
          <w:szCs w:val="21"/>
        </w:rPr>
        <w:t>附件 11：供应商反商业贿赂承诺书</w:t>
      </w:r>
      <w:bookmarkEnd w:id="75"/>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6" w:name="_Toc30867"/>
      <w:r>
        <w:rPr>
          <w:rFonts w:hint="eastAsia" w:ascii="宋体" w:hAnsi="宋体" w:eastAsia="宋体" w:cs="宋体"/>
          <w:color w:val="000000"/>
          <w:sz w:val="21"/>
          <w:szCs w:val="21"/>
        </w:rPr>
        <w:t>附件12：中小微企业证明文件等（如有）</w:t>
      </w:r>
      <w:bookmarkEnd w:id="76"/>
    </w:p>
    <w:p>
      <w:pPr>
        <w:pageBreakBefore w:val="0"/>
        <w:kinsoku/>
        <w:topLinePunct w:val="0"/>
        <w:bidi w:val="0"/>
        <w:spacing w:line="400" w:lineRule="exact"/>
        <w:ind w:left="0" w:leftChars="0" w:firstLine="0" w:firstLineChars="0"/>
        <w:textAlignment w:val="baseline"/>
        <w:outlineLvl w:val="0"/>
        <w:rPr>
          <w:rFonts w:hint="eastAsia" w:ascii="宋体" w:hAnsi="宋体" w:eastAsia="宋体" w:cs="宋体"/>
          <w:color w:val="000000"/>
          <w:sz w:val="21"/>
          <w:szCs w:val="21"/>
        </w:rPr>
      </w:pPr>
      <w:bookmarkStart w:id="77" w:name="_Toc3181"/>
      <w:r>
        <w:rPr>
          <w:rFonts w:hint="eastAsia" w:ascii="宋体" w:hAnsi="宋体" w:eastAsia="宋体" w:cs="宋体"/>
          <w:color w:val="000000"/>
          <w:sz w:val="21"/>
          <w:szCs w:val="21"/>
        </w:rPr>
        <w:t>附件13：投标人认为有必要提交的其他相关证明材料</w:t>
      </w:r>
      <w:bookmarkEnd w:id="77"/>
    </w:p>
    <w:p>
      <w:pPr>
        <w:pageBreakBefore w:val="0"/>
        <w:kinsoku/>
        <w:topLinePunct w:val="0"/>
        <w:bidi w:val="0"/>
        <w:spacing w:line="400" w:lineRule="exact"/>
        <w:ind w:left="0" w:leftChars="0" w:firstLine="0" w:firstLineChars="0"/>
        <w:rPr>
          <w:rFonts w:hint="eastAsia" w:ascii="宋体" w:hAnsi="宋体" w:eastAsia="宋体" w:cs="宋体"/>
          <w:sz w:val="21"/>
          <w:szCs w:val="21"/>
        </w:rPr>
        <w:sectPr>
          <w:footerReference r:id="rId7" w:type="first"/>
          <w:footerReference r:id="rId6" w:type="default"/>
          <w:pgSz w:w="11907" w:h="16840"/>
          <w:pgMar w:top="1440" w:right="1247" w:bottom="1440" w:left="1361" w:header="851" w:footer="799" w:gutter="0"/>
          <w:pgNumType w:start="1"/>
          <w:cols w:space="720" w:num="1"/>
          <w:titlePg/>
          <w:docGrid w:type="lines" w:linePitch="409" w:charSpace="0"/>
        </w:sectPr>
      </w:pPr>
    </w:p>
    <w:p>
      <w:pPr>
        <w:pageBreakBefore w:val="0"/>
        <w:kinsoku/>
        <w:topLinePunct w:val="0"/>
        <w:bidi w:val="0"/>
        <w:spacing w:line="400" w:lineRule="exact"/>
        <w:ind w:left="0" w:leftChars="0" w:firstLine="0" w:firstLineChars="0"/>
        <w:rPr>
          <w:rFonts w:hint="eastAsia" w:ascii="宋体" w:hAnsi="宋体" w:eastAsia="宋体" w:cs="宋体"/>
          <w:b/>
          <w:color w:val="000000"/>
          <w:sz w:val="21"/>
          <w:szCs w:val="21"/>
        </w:rPr>
      </w:pPr>
      <w:bookmarkStart w:id="78" w:name="_Toc16702"/>
      <w:r>
        <w:rPr>
          <w:rFonts w:hint="eastAsia" w:ascii="宋体" w:hAnsi="宋体" w:eastAsia="宋体" w:cs="宋体"/>
          <w:b/>
          <w:color w:val="000000"/>
          <w:sz w:val="21"/>
          <w:szCs w:val="21"/>
        </w:rPr>
        <w:t>附件1：</w:t>
      </w:r>
      <w:bookmarkEnd w:id="78"/>
    </w:p>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磋 商 响 应 函</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Cs/>
          <w:color w:val="000000"/>
          <w:sz w:val="21"/>
          <w:szCs w:val="21"/>
        </w:rPr>
        <w:t>致：</w:t>
      </w:r>
      <w:r>
        <w:rPr>
          <w:rFonts w:hint="eastAsia" w:ascii="宋体" w:hAnsi="宋体" w:eastAsia="宋体" w:cs="宋体"/>
          <w:color w:val="000000"/>
          <w:sz w:val="21"/>
          <w:szCs w:val="21"/>
        </w:rPr>
        <w:t>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rPr>
        <w:t>根据贵方项目</w:t>
      </w:r>
      <w:r>
        <w:rPr>
          <w:rFonts w:hint="eastAsia" w:ascii="宋体" w:hAnsi="宋体" w:eastAsia="宋体" w:cs="宋体"/>
          <w:color w:val="000000"/>
          <w:sz w:val="21"/>
          <w:szCs w:val="21"/>
        </w:rPr>
        <w:t>的</w:t>
      </w:r>
      <w:r>
        <w:rPr>
          <w:rFonts w:hint="eastAsia" w:ascii="宋体" w:hAnsi="宋体" w:eastAsia="宋体" w:cs="宋体"/>
          <w:color w:val="000000"/>
          <w:spacing w:val="-6"/>
          <w:sz w:val="21"/>
          <w:szCs w:val="21"/>
        </w:rPr>
        <w:t>招标采购</w:t>
      </w:r>
      <w:r>
        <w:rPr>
          <w:rFonts w:hint="eastAsia" w:ascii="宋体" w:hAnsi="宋体" w:eastAsia="宋体" w:cs="宋体"/>
          <w:color w:val="000000"/>
          <w:sz w:val="21"/>
          <w:szCs w:val="21"/>
        </w:rPr>
        <w:t>(项目</w:t>
      </w:r>
      <w:r>
        <w:rPr>
          <w:rFonts w:hint="eastAsia" w:ascii="宋体" w:hAnsi="宋体" w:eastAsia="宋体" w:cs="宋体"/>
          <w:color w:val="000000"/>
          <w:sz w:val="21"/>
          <w:szCs w:val="21"/>
          <w:highlight w:val="none"/>
        </w:rPr>
        <w:t>编号:      )，正式授权的下述签字人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姓名和职务）代表供应商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磋商供应商名称），提交下述文件正本一份，副本</w:t>
      </w:r>
      <w:r>
        <w:rPr>
          <w:rFonts w:hint="eastAsia" w:ascii="宋体" w:hAnsi="宋体" w:cs="宋体"/>
          <w:color w:val="000000"/>
          <w:sz w:val="21"/>
          <w:szCs w:val="21"/>
          <w:highlight w:val="none"/>
          <w:lang w:eastAsia="zh-CN"/>
        </w:rPr>
        <w:t>二</w:t>
      </w:r>
      <w:r>
        <w:rPr>
          <w:rFonts w:hint="eastAsia" w:ascii="宋体" w:hAnsi="宋体" w:eastAsia="宋体" w:cs="宋体"/>
          <w:color w:val="000000"/>
          <w:sz w:val="21"/>
          <w:szCs w:val="21"/>
          <w:highlight w:val="none"/>
        </w:rPr>
        <w:t>份， 开标一览表一份，电子U盘一份，光盘</w:t>
      </w:r>
      <w:r>
        <w:rPr>
          <w:rFonts w:hint="eastAsia" w:ascii="宋体" w:hAnsi="宋体" w:cs="宋体"/>
          <w:color w:val="000000"/>
          <w:sz w:val="21"/>
          <w:szCs w:val="21"/>
          <w:highlight w:val="none"/>
          <w:lang w:eastAsia="zh-CN"/>
        </w:rPr>
        <w:t>二</w:t>
      </w:r>
      <w:r>
        <w:rPr>
          <w:rFonts w:hint="eastAsia" w:ascii="宋体" w:hAnsi="宋体" w:eastAsia="宋体" w:cs="宋体"/>
          <w:color w:val="000000"/>
          <w:sz w:val="21"/>
          <w:szCs w:val="21"/>
          <w:highlight w:val="none"/>
        </w:rPr>
        <w:t xml:space="preserve">份。   </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1.磋商响应函</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2.开标一览表</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3.磋商报价表</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4.磋商保证金</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5.按磋商文件要求供应商提交的全部文件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据此函，签字人兹宣布同意如下条款：</w:t>
      </w:r>
    </w:p>
    <w:p>
      <w:pPr>
        <w:pageBreakBefore w:val="0"/>
        <w:numPr>
          <w:ilvl w:val="0"/>
          <w:numId w:val="5"/>
        </w:numPr>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所附磋商价格表中规定的应提供和交付的货物及服务磋商总价为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大写）。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⑵ 我们将按磋商文件的规定履行合同责任和义务。</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⑶ 我们已详细审查全部磋商文件，包括修改意见（如有则附）以及全部参考资料和有关附件。我们完全理解并同意放弃对这方面有不明及误解而要求招标方解释和承担责任的权利。</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⑷ 在供应商须知规定的磋商有效期内遵循本磋商响应性文件，并在磋商须知规定的磋商有效期期满之前具有约束力。</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⑸ 如果在规定的磋商有效期内撤回投标，我们的磋商保证金可被贵方没收。</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⑹ 同意提供贵方可能要求的与本投标有关的任何证据或资料。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⑺ 我们同意提供按照招标单位可能出示的与其投标有关的一切数据或资料。</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⑻ 我们理解贵方不一定要接受最低报价的投标或收到的任何投标。</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⑼ 与本投标有关的一切正式往来通讯请寄至：</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79" w:name="_Toc21536"/>
      <w:r>
        <w:rPr>
          <w:rFonts w:hint="eastAsia" w:ascii="宋体" w:hAnsi="宋体" w:eastAsia="宋体" w:cs="宋体"/>
          <w:b/>
          <w:sz w:val="21"/>
          <w:szCs w:val="21"/>
        </w:rPr>
        <w:t>附件2：</w:t>
      </w:r>
      <w:bookmarkEnd w:id="79"/>
      <w:bookmarkStart w:id="80" w:name="_Toc139965362"/>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81" w:name="_Toc327439494"/>
      <w:r>
        <w:rPr>
          <w:rFonts w:hint="eastAsia" w:ascii="宋体" w:hAnsi="宋体" w:eastAsia="宋体" w:cs="宋体"/>
          <w:b/>
          <w:sz w:val="21"/>
          <w:szCs w:val="21"/>
        </w:rPr>
        <w:t>法定代表人身份证明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磋商供应商名称：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单位性质：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地址：</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成立时间：年月日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经营期限：</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性别：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职务：</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身份证号码：</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系（磋商供应商名称）的法定代表人。</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特此证明。</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tbl>
      <w:tblPr>
        <w:tblStyle w:val="36"/>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复印件正面</w:t>
            </w:r>
          </w:p>
        </w:tc>
        <w:tc>
          <w:tcPr>
            <w:tcW w:w="461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法定代表人身份证</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复印件反面</w:t>
            </w:r>
          </w:p>
        </w:tc>
      </w:tr>
    </w:tbl>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 xml:space="preserve">日期：  年   月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2" w:name="_Toc16424"/>
      <w:r>
        <w:rPr>
          <w:rFonts w:hint="eastAsia" w:ascii="宋体" w:hAnsi="宋体" w:eastAsia="宋体" w:cs="宋体"/>
          <w:b/>
          <w:sz w:val="21"/>
          <w:szCs w:val="21"/>
        </w:rPr>
        <w:t>附件3：</w:t>
      </w:r>
      <w:bookmarkEnd w:id="82"/>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法定代表人授权委托书</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本授权书声明：我</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系</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（投标人名称）的法定代表人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本单位授权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（被授权人的姓名、职务）为本单位的合法代理人，以</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（投标人名称）的名义参加</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（项目名称和项目编号）招标项目的投标活动。代理人在参加整个招标投标活动所签署的一切文件和处理与之相关的一切事物，我均予承认。</w:t>
      </w:r>
    </w:p>
    <w:p>
      <w:pPr>
        <w:pageBreakBefore w:val="0"/>
        <w:kinsoku/>
        <w:topLinePunct w:val="0"/>
        <w:bidi w:val="0"/>
        <w:spacing w:line="400" w:lineRule="exact"/>
        <w:ind w:left="0" w:lef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本授权书于年月日签字生效，特此声明。</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jc w:val="right"/>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pacing w:val="1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color w:val="000000"/>
          <w:sz w:val="21"/>
          <w:szCs w:val="21"/>
        </w:rPr>
      </w:pPr>
      <w:bookmarkStart w:id="83" w:name="_Toc9209"/>
      <w:r>
        <w:rPr>
          <w:rFonts w:hint="eastAsia" w:ascii="宋体" w:hAnsi="宋体" w:eastAsia="宋体" w:cs="宋体"/>
          <w:b/>
          <w:color w:val="000000"/>
          <w:sz w:val="21"/>
          <w:szCs w:val="21"/>
        </w:rPr>
        <w:br w:type="page"/>
      </w:r>
    </w:p>
    <w:p>
      <w:pPr>
        <w:pageBreakBefore w:val="0"/>
        <w:kinsoku/>
        <w:topLinePunct w:val="0"/>
        <w:bidi w:val="0"/>
        <w:spacing w:line="400" w:lineRule="exact"/>
        <w:ind w:left="0" w:leftChars="0" w:firstLine="0" w:firstLineChars="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附件4：</w:t>
      </w:r>
      <w:bookmarkEnd w:id="83"/>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报价一览表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    </w:t>
      </w:r>
      <w:r>
        <w:rPr>
          <w:rFonts w:hint="eastAsia" w:ascii="宋体" w:hAnsi="宋体" w:eastAsia="宋体" w:cs="宋体"/>
          <w:sz w:val="21"/>
          <w:szCs w:val="21"/>
        </w:rPr>
        <w:t xml:space="preserve">   </w:t>
      </w:r>
    </w:p>
    <w:tbl>
      <w:tblPr>
        <w:tblStyle w:val="36"/>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18"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w:t>
            </w:r>
          </w:p>
        </w:tc>
        <w:tc>
          <w:tcPr>
            <w:tcW w:w="6801"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总价</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（小写）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lang w:eastAsia="zh-CN"/>
              </w:rPr>
            </w:pPr>
            <w:r>
              <w:rPr>
                <w:rFonts w:hint="eastAsia" w:ascii="宋体" w:hAnsi="宋体" w:cs="宋体"/>
                <w:sz w:val="21"/>
                <w:szCs w:val="21"/>
                <w:lang w:val="en-US" w:eastAsia="zh-CN"/>
              </w:rPr>
              <w:t>服务期</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1418" w:type="dxa"/>
            <w:vAlign w:val="center"/>
          </w:tcPr>
          <w:p>
            <w:pPr>
              <w:pageBreakBefore w:val="0"/>
              <w:kinsoku/>
              <w:topLinePunct w:val="0"/>
              <w:bidi w:val="0"/>
              <w:spacing w:line="400" w:lineRule="exact"/>
              <w:ind w:left="0" w:leftChars="0"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交付标准</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报价说明</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w:t>
            </w:r>
          </w:p>
        </w:tc>
        <w:tc>
          <w:tcPr>
            <w:tcW w:w="1418"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tc>
        <w:tc>
          <w:tcPr>
            <w:tcW w:w="6801" w:type="dxa"/>
            <w:vAlign w:val="center"/>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备注：</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1、投标总价应为各分项报价之和。报价须以元为单位，小数点后保留2位。</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2、投标报价包括投标人为实施本项目提供投标产品及服务内容所包括的全部含税价格的体现。</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3、投标人必须自行考虑本项目在实施期间的一切可能产生的费用。在合同执行过程中，招标人将不再另行支付与本项目相关的任何费用（非本项目要求的其它内容除外）。</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Style w:val="21"/>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u w:val="single"/>
        </w:rPr>
        <w:br w:type="page"/>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报价明细表</w:t>
      </w:r>
    </w:p>
    <w:p>
      <w:pPr>
        <w:pStyle w:val="2"/>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磋商供应商名称：</w:t>
      </w:r>
      <w:r>
        <w:rPr>
          <w:rFonts w:hint="eastAsia" w:ascii="宋体" w:hAnsi="宋体" w:eastAsia="宋体" w:cs="宋体"/>
          <w:bCs/>
          <w:sz w:val="21"/>
          <w:szCs w:val="21"/>
        </w:rPr>
        <w:t xml:space="preserve">             </w:t>
      </w:r>
      <w:r>
        <w:rPr>
          <w:rFonts w:hint="eastAsia" w:ascii="宋体" w:hAnsi="宋体" w:eastAsia="宋体" w:cs="宋体"/>
          <w:color w:val="000000"/>
          <w:sz w:val="21"/>
          <w:szCs w:val="21"/>
        </w:rPr>
        <w:t xml:space="preserve">  项目编号：</w:t>
      </w:r>
    </w:p>
    <w:tbl>
      <w:tblPr>
        <w:tblStyle w:val="36"/>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招标内容</w:t>
            </w: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198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842"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left"/>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1900"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41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985"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c>
          <w:tcPr>
            <w:tcW w:w="1842" w:type="dxa"/>
          </w:tcPr>
          <w:p>
            <w:pPr>
              <w:pageBreakBefore w:val="0"/>
              <w:kinsoku/>
              <w:topLinePunct w:val="0"/>
              <w:bidi w:val="0"/>
              <w:spacing w:line="400" w:lineRule="exact"/>
              <w:ind w:left="0" w:leftChars="0" w:firstLine="0" w:firstLineChars="0"/>
              <w:jc w:val="center"/>
              <w:rPr>
                <w:rFonts w:hint="eastAsia" w:ascii="宋体" w:hAnsi="宋体" w:eastAsia="宋体" w:cs="宋体"/>
                <w:b/>
                <w:color w:val="000000"/>
                <w:sz w:val="21"/>
                <w:szCs w:val="21"/>
                <w:u w:val="single"/>
              </w:rPr>
            </w:pPr>
          </w:p>
        </w:tc>
      </w:tr>
    </w:tbl>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授权代表人签字：</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br w:type="page"/>
      </w:r>
    </w:p>
    <w:bookmarkEnd w:id="80"/>
    <w:bookmarkEnd w:id="81"/>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4" w:name="_Toc32506"/>
      <w:r>
        <w:rPr>
          <w:rFonts w:hint="eastAsia" w:ascii="宋体" w:hAnsi="宋体" w:eastAsia="宋体" w:cs="宋体"/>
          <w:b/>
          <w:sz w:val="21"/>
          <w:szCs w:val="21"/>
        </w:rPr>
        <w:t>附件5：</w:t>
      </w:r>
      <w:bookmarkEnd w:id="84"/>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商务偏离表</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tbl>
      <w:tblPr>
        <w:tblStyle w:val="36"/>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招标文件条目号</w:t>
            </w: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招标文件的商务条款</w:t>
            </w: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投标文件的商务条款</w:t>
            </w: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偏离情况</w:t>
            </w: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983"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8" w:type="dxa"/>
            <w:tcMar>
              <w:top w:w="15" w:type="dxa"/>
              <w:left w:w="15" w:type="dxa"/>
              <w:bottom w:w="0"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2345" w:type="dxa"/>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1274" w:type="dxa"/>
            <w:tcBorders>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c>
          <w:tcPr>
            <w:tcW w:w="900" w:type="dxa"/>
            <w:tcBorders>
              <w:lef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bCs/>
                <w:color w:val="000000"/>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注：除本商务偏离表中所列的偏离内容外，其他所有商务条款均应完全响应“磋商文件”中的要求。</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bookmarkStart w:id="85" w:name="_Toc327439493"/>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napToGrid w:val="0"/>
        <w:spacing w:line="400" w:lineRule="exact"/>
        <w:ind w:left="0" w:leftChars="0" w:firstLine="0" w:firstLineChars="0"/>
        <w:rPr>
          <w:rFonts w:hint="eastAsia" w:ascii="宋体" w:hAnsi="宋体" w:eastAsia="宋体" w:cs="宋体"/>
          <w:bCs/>
          <w:sz w:val="21"/>
          <w:szCs w:val="21"/>
          <w:u w:val="single"/>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6" w:name="_Toc8206"/>
      <w:r>
        <w:rPr>
          <w:rFonts w:hint="eastAsia" w:ascii="宋体" w:hAnsi="宋体" w:eastAsia="宋体" w:cs="宋体"/>
          <w:b/>
          <w:sz w:val="21"/>
          <w:szCs w:val="21"/>
        </w:rPr>
        <w:t>附件6：</w:t>
      </w:r>
      <w:bookmarkEnd w:id="86"/>
    </w:p>
    <w:p>
      <w:pPr>
        <w:pageBreakBefore w:val="0"/>
        <w:kinsoku/>
        <w:topLinePunct w:val="0"/>
        <w:bidi w:val="0"/>
        <w:snapToGrid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技术偏离表</w:t>
      </w:r>
    </w:p>
    <w:tbl>
      <w:tblPr>
        <w:tblStyle w:val="36"/>
        <w:tblW w:w="8496" w:type="dxa"/>
        <w:jc w:val="center"/>
        <w:tblLayout w:type="fixed"/>
        <w:tblCellMar>
          <w:top w:w="0" w:type="dxa"/>
          <w:left w:w="0" w:type="dxa"/>
          <w:bottom w:w="0" w:type="dxa"/>
          <w:right w:w="0" w:type="dxa"/>
        </w:tblCellMar>
      </w:tblPr>
      <w:tblGrid>
        <w:gridCol w:w="1427"/>
        <w:gridCol w:w="1440"/>
        <w:gridCol w:w="2160"/>
        <w:gridCol w:w="2340"/>
        <w:gridCol w:w="1129"/>
      </w:tblGrid>
      <w:tr>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磋商文件技术要求</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磋商供应商的技术响</w:t>
            </w:r>
          </w:p>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jc w:val="center"/>
              <w:rPr>
                <w:rFonts w:hint="eastAsia" w:ascii="宋体" w:hAnsi="宋体" w:eastAsia="宋体" w:cs="宋体"/>
                <w:color w:val="000000"/>
                <w:sz w:val="21"/>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tc>
      </w:tr>
    </w:tbl>
    <w:p>
      <w:pPr>
        <w:pageBreakBefore w:val="0"/>
        <w:kinsoku/>
        <w:topLinePunct w:val="0"/>
        <w:bidi w:val="0"/>
        <w:snapToGrid w:val="0"/>
        <w:spacing w:line="400" w:lineRule="exact"/>
        <w:ind w:left="0" w:leftChars="0" w:firstLine="0" w:firstLineChars="0"/>
        <w:jc w:val="center"/>
        <w:rPr>
          <w:rFonts w:hint="eastAsia" w:ascii="宋体" w:hAnsi="宋体" w:eastAsia="宋体" w:cs="宋体"/>
          <w:b/>
          <w:sz w:val="21"/>
          <w:szCs w:val="21"/>
        </w:rPr>
      </w:pPr>
    </w:p>
    <w:p>
      <w:pPr>
        <w:pStyle w:val="23"/>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Style w:val="30"/>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Style w:val="30"/>
        <w:pageBreakBefore w:val="0"/>
        <w:kinsoku/>
        <w:topLinePunct w:val="0"/>
        <w:bidi w:val="0"/>
        <w:spacing w:line="400" w:lineRule="exact"/>
        <w:ind w:left="0" w:leftChars="0" w:firstLine="0" w:firstLineChars="0"/>
        <w:rPr>
          <w:rFonts w:hint="eastAsia" w:ascii="宋体" w:hAnsi="宋体" w:eastAsia="宋体" w:cs="宋体"/>
          <w:b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bookmarkEnd w:id="85"/>
    <w:p>
      <w:pPr>
        <w:pageBreakBefore w:val="0"/>
        <w:kinsoku/>
        <w:topLinePunct w:val="0"/>
        <w:bidi w:val="0"/>
        <w:spacing w:line="400" w:lineRule="exact"/>
        <w:ind w:left="0" w:leftChars="0" w:firstLine="0" w:firstLineChars="0"/>
        <w:rPr>
          <w:rFonts w:hint="eastAsia" w:ascii="宋体" w:hAnsi="宋体" w:eastAsia="宋体" w:cs="宋体"/>
          <w:sz w:val="21"/>
          <w:szCs w:val="21"/>
        </w:rPr>
        <w:sectPr>
          <w:headerReference r:id="rId8" w:type="default"/>
          <w:pgSz w:w="11906" w:h="16838"/>
          <w:pgMar w:top="1304" w:right="1247" w:bottom="1418" w:left="1247" w:header="851" w:footer="992" w:gutter="0"/>
          <w:cols w:space="720" w:num="1"/>
          <w:docGrid w:linePitch="312" w:charSpace="0"/>
        </w:sectPr>
      </w:pPr>
      <w:bookmarkStart w:id="87" w:name="_Toc400536597"/>
      <w:bookmarkStart w:id="88" w:name="_Toc258923314"/>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89" w:name="_Toc5690"/>
      <w:r>
        <w:rPr>
          <w:rFonts w:hint="eastAsia" w:ascii="宋体" w:hAnsi="宋体" w:eastAsia="宋体" w:cs="宋体"/>
          <w:b/>
          <w:sz w:val="21"/>
          <w:szCs w:val="21"/>
        </w:rPr>
        <w:t>附件7：</w:t>
      </w:r>
      <w:bookmarkEnd w:id="89"/>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公司业绩一览表</w:t>
      </w:r>
      <w:bookmarkEnd w:id="87"/>
      <w:bookmarkEnd w:id="88"/>
    </w:p>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p>
    <w:tbl>
      <w:tblPr>
        <w:tblStyle w:val="36"/>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pageBreakBefore w:val="0"/>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c>
          <w:tcPr>
            <w:tcW w:w="1365" w:type="dxa"/>
            <w:tcBorders>
              <w:top w:val="single" w:color="auto" w:sz="4" w:space="0"/>
              <w:left w:val="single" w:color="auto" w:sz="4" w:space="0"/>
              <w:bottom w:val="single" w:color="auto" w:sz="4" w:space="0"/>
              <w:right w:val="single" w:color="auto" w:sz="4" w:space="0"/>
            </w:tcBorders>
          </w:tcPr>
          <w:p>
            <w:pPr>
              <w:pageBreakBefore w:val="0"/>
              <w:kinsoku/>
              <w:topLinePunct w:val="0"/>
              <w:bidi w:val="0"/>
              <w:spacing w:line="400" w:lineRule="exact"/>
              <w:ind w:left="0" w:leftChars="0" w:firstLine="0" w:firstLineChars="0"/>
              <w:rPr>
                <w:rFonts w:hint="eastAsia" w:ascii="宋体" w:hAnsi="宋体" w:eastAsia="宋体" w:cs="宋体"/>
                <w:sz w:val="21"/>
                <w:szCs w:val="21"/>
              </w:rPr>
            </w:pPr>
          </w:p>
        </w:tc>
      </w:tr>
    </w:tbl>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bookmarkStart w:id="90" w:name="_Toc6256"/>
      <w:r>
        <w:rPr>
          <w:rFonts w:hint="eastAsia" w:ascii="宋体" w:hAnsi="宋体" w:eastAsia="宋体" w:cs="宋体"/>
          <w:b/>
          <w:sz w:val="21"/>
          <w:szCs w:val="21"/>
        </w:rPr>
        <w:t>附件8：</w:t>
      </w:r>
      <w:bookmarkEnd w:id="90"/>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91" w:name="_Toc258923315"/>
      <w:bookmarkStart w:id="92" w:name="_Toc400536598"/>
      <w:r>
        <w:rPr>
          <w:rFonts w:hint="eastAsia" w:ascii="宋体" w:hAnsi="宋体" w:eastAsia="宋体" w:cs="宋体"/>
          <w:b/>
          <w:sz w:val="21"/>
          <w:szCs w:val="21"/>
        </w:rPr>
        <w:t>优惠条件承诺书</w:t>
      </w:r>
      <w:bookmarkEnd w:id="91"/>
      <w:bookmarkEnd w:id="92"/>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经仔细阅读你们的磋商文件，对所投标项目向贵单位特作如下优惠条件承诺：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（1）．．．．．．</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（2）．．．．．．</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（3）．．．．．．</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特此承诺！</w:t>
      </w:r>
    </w:p>
    <w:p>
      <w:pPr>
        <w:pageBreakBefore w:val="0"/>
        <w:kinsoku/>
        <w:topLinePunct w:val="0"/>
        <w:bidi w:val="0"/>
        <w:spacing w:line="400" w:lineRule="exact"/>
        <w:ind w:left="0" w:leftChars="0" w:firstLine="0" w:firstLineChars="0"/>
        <w:textAlignment w:val="baseline"/>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bCs/>
          <w:color w:val="000000"/>
          <w:sz w:val="21"/>
          <w:szCs w:val="21"/>
        </w:rPr>
        <w:t>法定代表人或授权代表人（签字）：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职务：</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地址：</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电话：</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bookmarkStart w:id="93" w:name="_Toc20690"/>
      <w:r>
        <w:rPr>
          <w:rFonts w:hint="eastAsia" w:ascii="宋体" w:hAnsi="宋体" w:eastAsia="宋体" w:cs="宋体"/>
          <w:b/>
          <w:sz w:val="21"/>
          <w:szCs w:val="21"/>
        </w:rPr>
        <w:t>附件9：</w:t>
      </w:r>
      <w:bookmarkEnd w:id="93"/>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bookmarkStart w:id="94" w:name="_Toc400536599"/>
      <w:bookmarkStart w:id="95" w:name="_Toc258923316"/>
      <w:r>
        <w:rPr>
          <w:rFonts w:hint="eastAsia" w:ascii="宋体" w:hAnsi="宋体" w:eastAsia="宋体" w:cs="宋体"/>
          <w:b/>
          <w:sz w:val="21"/>
          <w:szCs w:val="21"/>
        </w:rPr>
        <w:t>售后服务承诺</w:t>
      </w:r>
      <w:bookmarkEnd w:id="94"/>
      <w:bookmarkEnd w:id="95"/>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格式自拟</w:t>
      </w: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6" w:name="_Toc25362"/>
      <w:r>
        <w:rPr>
          <w:rFonts w:hint="eastAsia" w:ascii="宋体" w:hAnsi="宋体" w:eastAsia="宋体" w:cs="宋体"/>
          <w:b/>
          <w:sz w:val="21"/>
          <w:szCs w:val="21"/>
        </w:rPr>
        <w:t>附件10：</w:t>
      </w:r>
      <w:bookmarkEnd w:id="96"/>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无重大违法记录声明</w:t>
      </w:r>
    </w:p>
    <w:p>
      <w:pPr>
        <w:pageBreakBefore w:val="0"/>
        <w:kinsoku/>
        <w:topLinePunct w:val="0"/>
        <w:bidi w:val="0"/>
        <w:spacing w:line="400" w:lineRule="exact"/>
        <w:ind w:left="0" w:leftChars="0" w:firstLine="0" w:firstLineChars="0"/>
        <w:jc w:val="center"/>
        <w:rPr>
          <w:rFonts w:hint="eastAsia" w:ascii="宋体" w:hAnsi="宋体" w:eastAsia="宋体" w:cs="宋体"/>
          <w:b/>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致：宏业国际项目管理有限公司</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我单位参加政府采购活动前三年内，在经营活动中没有重大违法记录。</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若采购单位在本项目采购过程中发现我单位近三年内在经营活动中有重大违法记录，我单位将无条件地退出本项目的招标，并承担因此引起的一切后果。</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特此声明!</w:t>
      </w: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bCs/>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pacing w:line="400" w:lineRule="exact"/>
        <w:ind w:left="0" w:leftChars="0" w:firstLine="0" w:firstLineChars="0"/>
        <w:rPr>
          <w:rFonts w:hint="eastAsia" w:ascii="宋体" w:hAnsi="宋体" w:eastAsia="宋体" w:cs="宋体"/>
          <w:b/>
          <w:bCs/>
          <w:sz w:val="21"/>
          <w:szCs w:val="21"/>
        </w:rPr>
      </w:pPr>
      <w:bookmarkStart w:id="97" w:name="_Toc20687"/>
      <w:r>
        <w:rPr>
          <w:rFonts w:hint="eastAsia" w:ascii="宋体" w:hAnsi="宋体" w:eastAsia="宋体" w:cs="宋体"/>
          <w:b/>
          <w:sz w:val="21"/>
          <w:szCs w:val="21"/>
        </w:rPr>
        <w:t>附件11：</w:t>
      </w:r>
      <w:bookmarkEnd w:id="97"/>
    </w:p>
    <w:p>
      <w:pPr>
        <w:pageBreakBefore w:val="0"/>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供应商反商业贿赂承诺书</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w:t>
      </w:r>
      <w:r>
        <w:rPr>
          <w:rFonts w:hint="eastAsia" w:ascii="宋体" w:hAnsi="宋体" w:eastAsia="宋体" w:cs="宋体"/>
          <w:kern w:val="0"/>
          <w:sz w:val="21"/>
          <w:szCs w:val="21"/>
          <w:u w:val="single"/>
        </w:rPr>
        <w:t>（项目编号、项目名称）</w:t>
      </w:r>
      <w:r>
        <w:rPr>
          <w:rFonts w:hint="eastAsia" w:ascii="宋体" w:hAnsi="宋体" w:eastAsia="宋体" w:cs="宋体"/>
          <w:kern w:val="0"/>
          <w:sz w:val="21"/>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法定代表人：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法人授权代表：</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项目经办人：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我公司承诺在参加本次投标前三年内，无以下行为：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重大违法行为；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商业贿行为；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政府采购法《第七十七条》，列入不良行为记录名单的各种行为；</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kern w:val="0"/>
          <w:sz w:val="21"/>
          <w:szCs w:val="21"/>
        </w:rPr>
      </w:pP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如有上述行为，我公司及项目参与人员自愿放弃本次项目的投标、报价资格，若为预中标、成交人，也自愿放弃中标、成交资格</w:t>
      </w:r>
    </w:p>
    <w:p>
      <w:pPr>
        <w:pageBreakBefore w:val="0"/>
        <w:kinsoku/>
        <w:topLinePunct w:val="0"/>
        <w:autoSpaceDE w:val="0"/>
        <w:autoSpaceDN w:val="0"/>
        <w:bidi w:val="0"/>
        <w:adjustRightInd w:val="0"/>
        <w:spacing w:line="400" w:lineRule="exact"/>
        <w:ind w:left="0" w:leftChars="0" w:firstLine="0" w:firstLineChars="0"/>
        <w:jc w:val="left"/>
        <w:rPr>
          <w:rFonts w:hint="eastAsia" w:ascii="宋体" w:hAnsi="宋体" w:eastAsia="宋体" w:cs="宋体"/>
          <w:b/>
          <w:bCs/>
          <w:kern w:val="0"/>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磋商供应商名称（公章）：</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日期：  年   月   日</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widowControl/>
        <w:kinsoku/>
        <w:topLinePunct w:val="0"/>
        <w:bidi w:val="0"/>
        <w:spacing w:line="400" w:lineRule="exact"/>
        <w:ind w:left="0" w:leftChars="0" w:firstLine="0" w:firstLineChars="0"/>
        <w:rPr>
          <w:rFonts w:hint="eastAsia" w:ascii="宋体" w:hAnsi="宋体" w:eastAsia="宋体" w:cs="宋体"/>
          <w:b/>
          <w:sz w:val="21"/>
          <w:szCs w:val="21"/>
        </w:rPr>
      </w:pPr>
      <w:bookmarkStart w:id="98" w:name="_Toc22028"/>
      <w:r>
        <w:rPr>
          <w:rFonts w:hint="eastAsia" w:ascii="宋体" w:hAnsi="宋体" w:eastAsia="宋体" w:cs="宋体"/>
          <w:b/>
          <w:sz w:val="21"/>
          <w:szCs w:val="21"/>
        </w:rPr>
        <w:t>附件12：</w:t>
      </w:r>
      <w:bookmarkEnd w:id="98"/>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中小企业声明函</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1.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u w:val="single"/>
        </w:rPr>
        <w:t xml:space="preserve"> （标的名称）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，从业人员人，营业收入为万元，资产总额为万元，属于</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以上企业，不属于大企业的分支机构，不存在控股股东为大企业的情形，也不存在与大企业的负责人为同一人的情形。</w:t>
      </w: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 xml:space="preserve">本企业对上述声明内容的真实性负责。如有虚假，将依法承担相应责任。 </w:t>
      </w: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企业名称（盖章）：</w:t>
      </w:r>
    </w:p>
    <w:p>
      <w:pPr>
        <w:pageBreakBefore w:val="0"/>
        <w:widowControl/>
        <w:kinsoku/>
        <w:topLinePunct w:val="0"/>
        <w:bidi w:val="0"/>
        <w:spacing w:line="40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日 期：</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从业人员、营业收入、资产总额填报上一年度数据，无上一年度数据的新成立企业可不填报。</w:t>
      </w: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color w:val="000000"/>
          <w:sz w:val="21"/>
          <w:szCs w:val="21"/>
        </w:rPr>
      </w:pPr>
    </w:p>
    <w:p>
      <w:pPr>
        <w:pageBreakBefore w:val="0"/>
        <w:kinsoku/>
        <w:topLinePunct w:val="0"/>
        <w:bidi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br w:type="page"/>
      </w:r>
    </w:p>
    <w:p>
      <w:pPr>
        <w:pageBreakBefore w:val="0"/>
        <w:kinsoku/>
        <w:topLinePunct w:val="0"/>
        <w:bidi w:val="0"/>
        <w:snapToGrid w:val="0"/>
        <w:spacing w:line="400" w:lineRule="exact"/>
        <w:ind w:left="0" w:leftChars="0" w:firstLine="0" w:firstLineChars="0"/>
        <w:jc w:val="left"/>
        <w:rPr>
          <w:rFonts w:hint="eastAsia" w:ascii="宋体" w:hAnsi="宋体" w:eastAsia="宋体" w:cs="宋体"/>
          <w:b/>
          <w:sz w:val="21"/>
          <w:szCs w:val="21"/>
        </w:rPr>
      </w:pP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pageBreakBefore w:val="0"/>
        <w:widowControl/>
        <w:kinsoku/>
        <w:topLinePunct w:val="0"/>
        <w:bidi w:val="0"/>
        <w:spacing w:line="400" w:lineRule="exact"/>
        <w:ind w:left="0" w:leftChars="0" w:firstLine="0" w:firstLineChars="0"/>
        <w:rPr>
          <w:rFonts w:hint="eastAsia" w:ascii="宋体" w:hAnsi="宋体" w:eastAsia="宋体" w:cs="宋体"/>
          <w:b/>
          <w:sz w:val="21"/>
          <w:szCs w:val="21"/>
        </w:rPr>
      </w:pPr>
      <w:bookmarkStart w:id="99" w:name="_Toc26407"/>
      <w:r>
        <w:rPr>
          <w:rFonts w:hint="eastAsia" w:ascii="宋体" w:hAnsi="宋体" w:eastAsia="宋体" w:cs="宋体"/>
          <w:b/>
          <w:sz w:val="21"/>
          <w:szCs w:val="21"/>
        </w:rPr>
        <w:t>附件13：</w:t>
      </w:r>
      <w:bookmarkEnd w:id="99"/>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p>
    <w:p>
      <w:pPr>
        <w:pageBreakBefore w:val="0"/>
        <w:widowControl/>
        <w:kinsoku/>
        <w:topLinePunct w:val="0"/>
        <w:bidi w:val="0"/>
        <w:spacing w:line="4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投标人认为有必要提交的其他相关证明材料</w:t>
      </w:r>
    </w:p>
    <w:p>
      <w:pPr>
        <w:pageBreakBefore w:val="0"/>
        <w:kinsoku/>
        <w:topLinePunct w:val="0"/>
        <w:bidi w:val="0"/>
        <w:spacing w:line="400" w:lineRule="exact"/>
        <w:ind w:left="0" w:leftChars="0" w:firstLine="0" w:firstLineChars="0"/>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（二次报价单格式）</w:t>
      </w:r>
    </w:p>
    <w:p>
      <w:pPr>
        <w:spacing w:line="360" w:lineRule="auto"/>
        <w:rPr>
          <w:rFonts w:hint="eastAsia" w:ascii="宋体"/>
          <w:sz w:val="24"/>
          <w:szCs w:val="24"/>
        </w:rPr>
      </w:pPr>
    </w:p>
    <w:p>
      <w:pPr>
        <w:pageBreakBefore w:val="0"/>
        <w:widowControl/>
        <w:kinsoku/>
        <w:topLinePunct w:val="0"/>
        <w:bidi w:val="0"/>
        <w:spacing w:line="400" w:lineRule="exact"/>
        <w:ind w:left="0" w:leftChars="0" w:firstLine="210" w:firstLineChars="10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二次(或多次)报价单</w:t>
      </w:r>
    </w:p>
    <w:p>
      <w:pPr>
        <w:rPr>
          <w:rFonts w:ascii="宋体" w:hAnsi="宋体"/>
          <w:sz w:val="28"/>
          <w:szCs w:val="28"/>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致</w:t>
      </w:r>
      <w:r>
        <w:rPr>
          <w:rFonts w:hint="eastAsia" w:ascii="宋体" w:hAnsi="宋体" w:cs="宋体"/>
          <w:color w:val="000000"/>
          <w:kern w:val="0"/>
          <w:sz w:val="21"/>
          <w:szCs w:val="21"/>
          <w:lang w:val="en-US" w:eastAsia="zh-CN"/>
        </w:rPr>
        <w:t>采购</w:t>
      </w:r>
      <w:r>
        <w:rPr>
          <w:rFonts w:hint="eastAsia" w:ascii="宋体" w:hAnsi="宋体" w:eastAsia="宋体" w:cs="宋体"/>
          <w:color w:val="000000"/>
          <w:kern w:val="0"/>
          <w:sz w:val="21"/>
          <w:szCs w:val="21"/>
        </w:rPr>
        <w:t>人：</w:t>
      </w:r>
    </w:p>
    <w:p>
      <w:pPr>
        <w:pStyle w:val="2"/>
        <w:rPr>
          <w:rFonts w:hint="eastAsia"/>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我单位</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（投标人）对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项目名称</w:t>
      </w:r>
      <w:r>
        <w:rPr>
          <w:rFonts w:hint="eastAsia" w:ascii="宋体" w:hAnsi="宋体" w:eastAsia="宋体" w:cs="宋体"/>
          <w:color w:val="000000"/>
          <w:kern w:val="0"/>
          <w:sz w:val="21"/>
          <w:szCs w:val="21"/>
          <w:lang w:eastAsia="zh-CN"/>
        </w:rPr>
        <w:t>、项目编号</w:t>
      </w:r>
      <w:r>
        <w:rPr>
          <w:rFonts w:hint="eastAsia" w:ascii="宋体" w:hAnsi="宋体" w:eastAsia="宋体" w:cs="宋体"/>
          <w:color w:val="000000"/>
          <w:kern w:val="0"/>
          <w:sz w:val="21"/>
          <w:szCs w:val="21"/>
        </w:rPr>
        <w:t>）的二次(或多次)报价为：</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小写：</w:t>
      </w:r>
      <w:r>
        <w:rPr>
          <w:rFonts w:hint="eastAsia" w:ascii="宋体" w:hAnsi="宋体" w:eastAsia="宋体" w:cs="宋体"/>
          <w:color w:val="000000"/>
          <w:kern w:val="0"/>
          <w:sz w:val="21"/>
          <w:szCs w:val="21"/>
          <w:u w:val="single"/>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大写：</w:t>
      </w:r>
      <w:r>
        <w:rPr>
          <w:rFonts w:hint="eastAsia" w:ascii="宋体" w:hAnsi="宋体" w:eastAsia="宋体" w:cs="宋体"/>
          <w:color w:val="000000"/>
          <w:kern w:val="0"/>
          <w:sz w:val="21"/>
          <w:szCs w:val="21"/>
          <w:u w:val="single"/>
        </w:rPr>
        <w:t xml:space="preserve">                      </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并承诺： 本次报价为最终报价。</w:t>
      </w:r>
    </w:p>
    <w:p>
      <w:pPr>
        <w:jc w:val="left"/>
        <w:rPr>
          <w:rFonts w:hint="eastAsia" w:ascii="宋体" w:hAnsi="宋体"/>
          <w:sz w:val="28"/>
          <w:szCs w:val="28"/>
          <w:u w:val="single"/>
        </w:rPr>
      </w:pPr>
    </w:p>
    <w:p>
      <w:pPr>
        <w:ind w:right="560"/>
        <w:rPr>
          <w:rFonts w:ascii="宋体" w:hAnsi="宋体"/>
          <w:sz w:val="28"/>
          <w:szCs w:val="28"/>
        </w:rPr>
      </w:pPr>
    </w:p>
    <w:p>
      <w:pPr>
        <w:pStyle w:val="46"/>
      </w:pPr>
    </w:p>
    <w:p>
      <w:pPr>
        <w:ind w:right="560" w:firstLine="4480" w:firstLineChars="1600"/>
        <w:rPr>
          <w:rFonts w:ascii="宋体" w:hAnsi="宋体"/>
          <w:sz w:val="28"/>
          <w:szCs w:val="28"/>
        </w:rPr>
      </w:pPr>
    </w:p>
    <w:p>
      <w:pPr>
        <w:pageBreakBefore w:val="0"/>
        <w:widowControl/>
        <w:kinsoku/>
        <w:topLinePunct w:val="0"/>
        <w:bidi w:val="0"/>
        <w:spacing w:line="400" w:lineRule="exact"/>
        <w:ind w:firstLine="4830" w:firstLineChars="23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投标单位（盖章）：</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投标单位授权代表签字：</w:t>
      </w: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年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月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p>
    <w:p>
      <w:pPr>
        <w:spacing w:line="360" w:lineRule="auto"/>
        <w:jc w:val="left"/>
        <w:rPr>
          <w:rFonts w:ascii="宋体" w:hAnsi="宋体" w:cs="宋体"/>
          <w:kern w:val="0"/>
          <w:sz w:val="24"/>
          <w:szCs w:val="24"/>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p>
    <w:p>
      <w:pPr>
        <w:pageBreakBefore w:val="0"/>
        <w:widowControl/>
        <w:kinsoku/>
        <w:topLinePunct w:val="0"/>
        <w:bidi w:val="0"/>
        <w:spacing w:line="400" w:lineRule="exact"/>
        <w:ind w:left="0" w:leftChars="0" w:firstLine="0" w:firstLineChars="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注：各投标人将此表内容填写（报价大小写除外），加盖单位公章后，一式两份带到开标地点，现场进行手写二次(或多次)报价。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8D095"/>
    <w:multiLevelType w:val="singleLevel"/>
    <w:tmpl w:val="8018D095"/>
    <w:lvl w:ilvl="0" w:tentative="0">
      <w:start w:val="1"/>
      <w:numFmt w:val="decimal"/>
      <w:suff w:val="nothing"/>
      <w:lvlText w:val="（%1）"/>
      <w:lvlJc w:val="left"/>
    </w:lvl>
  </w:abstractNum>
  <w:abstractNum w:abstractNumId="1">
    <w:nsid w:val="A5EDFEF1"/>
    <w:multiLevelType w:val="singleLevel"/>
    <w:tmpl w:val="A5EDFEF1"/>
    <w:lvl w:ilvl="0" w:tentative="0">
      <w:start w:val="1"/>
      <w:numFmt w:val="decimal"/>
      <w:suff w:val="nothing"/>
      <w:lvlText w:val="（%1）"/>
      <w:lvlJc w:val="left"/>
    </w:lvl>
  </w:abstractNum>
  <w:abstractNum w:abstractNumId="2">
    <w:nsid w:val="C0E7B225"/>
    <w:multiLevelType w:val="singleLevel"/>
    <w:tmpl w:val="C0E7B225"/>
    <w:lvl w:ilvl="0" w:tentative="0">
      <w:start w:val="2"/>
      <w:numFmt w:val="decimal"/>
      <w:suff w:val="nothing"/>
      <w:lvlText w:val="%1、"/>
      <w:lvlJc w:val="left"/>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B22420F"/>
    <w:multiLevelType w:val="multilevel"/>
    <w:tmpl w:val="6B22420F"/>
    <w:lvl w:ilvl="0" w:tentative="0">
      <w:start w:val="1"/>
      <w:numFmt w:val="decimal"/>
      <w:pStyle w:val="12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0B"/>
    <w:rsid w:val="00002FBC"/>
    <w:rsid w:val="00025A80"/>
    <w:rsid w:val="000313A0"/>
    <w:rsid w:val="00032346"/>
    <w:rsid w:val="0003553E"/>
    <w:rsid w:val="00045F15"/>
    <w:rsid w:val="00057DB8"/>
    <w:rsid w:val="00091890"/>
    <w:rsid w:val="000A523F"/>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2384"/>
    <w:rsid w:val="00242897"/>
    <w:rsid w:val="00246883"/>
    <w:rsid w:val="002534B6"/>
    <w:rsid w:val="00265BBB"/>
    <w:rsid w:val="00271014"/>
    <w:rsid w:val="002749C6"/>
    <w:rsid w:val="00285158"/>
    <w:rsid w:val="002861E4"/>
    <w:rsid w:val="00287C22"/>
    <w:rsid w:val="002A0CDC"/>
    <w:rsid w:val="002A2DC3"/>
    <w:rsid w:val="002B4D0A"/>
    <w:rsid w:val="002E3D09"/>
    <w:rsid w:val="002F7C41"/>
    <w:rsid w:val="00305861"/>
    <w:rsid w:val="00312170"/>
    <w:rsid w:val="0031283E"/>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15DC4"/>
    <w:rsid w:val="0043197C"/>
    <w:rsid w:val="0043462D"/>
    <w:rsid w:val="0044554B"/>
    <w:rsid w:val="004634FA"/>
    <w:rsid w:val="004745B1"/>
    <w:rsid w:val="004825FB"/>
    <w:rsid w:val="0049372E"/>
    <w:rsid w:val="0049778E"/>
    <w:rsid w:val="004A03D5"/>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968BF"/>
    <w:rsid w:val="007A4EF4"/>
    <w:rsid w:val="007A6F7C"/>
    <w:rsid w:val="007C16EA"/>
    <w:rsid w:val="007C4BEC"/>
    <w:rsid w:val="007C4F45"/>
    <w:rsid w:val="007E389F"/>
    <w:rsid w:val="00810930"/>
    <w:rsid w:val="008176F9"/>
    <w:rsid w:val="00821731"/>
    <w:rsid w:val="00822AA1"/>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A1488"/>
    <w:rsid w:val="00CC0CB6"/>
    <w:rsid w:val="00CC1D1D"/>
    <w:rsid w:val="00CE6AE3"/>
    <w:rsid w:val="00D0445D"/>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85203"/>
    <w:rsid w:val="00E86886"/>
    <w:rsid w:val="00E93FAB"/>
    <w:rsid w:val="00E95150"/>
    <w:rsid w:val="00E951B1"/>
    <w:rsid w:val="00EA5020"/>
    <w:rsid w:val="00EA58B2"/>
    <w:rsid w:val="00EC4163"/>
    <w:rsid w:val="00ED1483"/>
    <w:rsid w:val="00EE60CD"/>
    <w:rsid w:val="00EF3062"/>
    <w:rsid w:val="00F03F1F"/>
    <w:rsid w:val="00F06CA5"/>
    <w:rsid w:val="00F45575"/>
    <w:rsid w:val="00F77BEC"/>
    <w:rsid w:val="00F9171E"/>
    <w:rsid w:val="00F91C0F"/>
    <w:rsid w:val="00FB1FEF"/>
    <w:rsid w:val="00FB4B91"/>
    <w:rsid w:val="00FC4125"/>
    <w:rsid w:val="00FE6FED"/>
    <w:rsid w:val="00FF5479"/>
    <w:rsid w:val="032C17E0"/>
    <w:rsid w:val="0361265C"/>
    <w:rsid w:val="03BD3E3B"/>
    <w:rsid w:val="03DE5DD4"/>
    <w:rsid w:val="04F002B0"/>
    <w:rsid w:val="052102F4"/>
    <w:rsid w:val="05551D4C"/>
    <w:rsid w:val="05ED58B4"/>
    <w:rsid w:val="06FA704F"/>
    <w:rsid w:val="078539B9"/>
    <w:rsid w:val="0C346B5F"/>
    <w:rsid w:val="0C456161"/>
    <w:rsid w:val="0CC31C91"/>
    <w:rsid w:val="0DDE4FD5"/>
    <w:rsid w:val="0DEB1BBD"/>
    <w:rsid w:val="0F2B4B13"/>
    <w:rsid w:val="0FB01CE0"/>
    <w:rsid w:val="0FC23828"/>
    <w:rsid w:val="10A1579F"/>
    <w:rsid w:val="10D93C93"/>
    <w:rsid w:val="119F4A7B"/>
    <w:rsid w:val="125F245C"/>
    <w:rsid w:val="12BC41EA"/>
    <w:rsid w:val="12BD00BF"/>
    <w:rsid w:val="13F217DA"/>
    <w:rsid w:val="14D93A73"/>
    <w:rsid w:val="1528369E"/>
    <w:rsid w:val="15367EF7"/>
    <w:rsid w:val="16BC3208"/>
    <w:rsid w:val="1814506A"/>
    <w:rsid w:val="19594B0B"/>
    <w:rsid w:val="1C131EBB"/>
    <w:rsid w:val="1C493F61"/>
    <w:rsid w:val="1CA246BC"/>
    <w:rsid w:val="1EF67CA4"/>
    <w:rsid w:val="1F185E6D"/>
    <w:rsid w:val="1F5A46D7"/>
    <w:rsid w:val="1F9C084C"/>
    <w:rsid w:val="205F0320"/>
    <w:rsid w:val="214416D9"/>
    <w:rsid w:val="226F3C3A"/>
    <w:rsid w:val="256614C8"/>
    <w:rsid w:val="25695674"/>
    <w:rsid w:val="26EE6A5B"/>
    <w:rsid w:val="26FE565D"/>
    <w:rsid w:val="283D4B55"/>
    <w:rsid w:val="288A4CC3"/>
    <w:rsid w:val="28FD1D98"/>
    <w:rsid w:val="2A1711BC"/>
    <w:rsid w:val="2B004385"/>
    <w:rsid w:val="2B517DA9"/>
    <w:rsid w:val="2B63208E"/>
    <w:rsid w:val="2B8860AF"/>
    <w:rsid w:val="2C414C55"/>
    <w:rsid w:val="2CB15E25"/>
    <w:rsid w:val="2CDA6F21"/>
    <w:rsid w:val="2DFB0019"/>
    <w:rsid w:val="2E4E5407"/>
    <w:rsid w:val="2E5844D8"/>
    <w:rsid w:val="2F2919D0"/>
    <w:rsid w:val="2FB15C4D"/>
    <w:rsid w:val="2FFA78BA"/>
    <w:rsid w:val="305C3A92"/>
    <w:rsid w:val="30B44F8C"/>
    <w:rsid w:val="3209738A"/>
    <w:rsid w:val="335334BF"/>
    <w:rsid w:val="33622C99"/>
    <w:rsid w:val="344814D4"/>
    <w:rsid w:val="34BD32E6"/>
    <w:rsid w:val="374239FA"/>
    <w:rsid w:val="39303241"/>
    <w:rsid w:val="3A372052"/>
    <w:rsid w:val="3AF801C7"/>
    <w:rsid w:val="3B2C5316"/>
    <w:rsid w:val="3BA63A7F"/>
    <w:rsid w:val="3C326368"/>
    <w:rsid w:val="3C5538B2"/>
    <w:rsid w:val="3E4058AD"/>
    <w:rsid w:val="3E554590"/>
    <w:rsid w:val="3E7A28CA"/>
    <w:rsid w:val="3F3E5881"/>
    <w:rsid w:val="3F746C97"/>
    <w:rsid w:val="40FA40D7"/>
    <w:rsid w:val="41295675"/>
    <w:rsid w:val="41E22DC7"/>
    <w:rsid w:val="41F51C9B"/>
    <w:rsid w:val="428B0580"/>
    <w:rsid w:val="44E95A32"/>
    <w:rsid w:val="454D5977"/>
    <w:rsid w:val="45CF6B25"/>
    <w:rsid w:val="46963997"/>
    <w:rsid w:val="47584B4F"/>
    <w:rsid w:val="478B4A59"/>
    <w:rsid w:val="480B2C86"/>
    <w:rsid w:val="483D3A2C"/>
    <w:rsid w:val="494545E2"/>
    <w:rsid w:val="4A370ACA"/>
    <w:rsid w:val="4B11183E"/>
    <w:rsid w:val="4B450FC6"/>
    <w:rsid w:val="4C3B7513"/>
    <w:rsid w:val="4CA24E44"/>
    <w:rsid w:val="4CC4526E"/>
    <w:rsid w:val="4DD311EA"/>
    <w:rsid w:val="4E537DB9"/>
    <w:rsid w:val="4EB33338"/>
    <w:rsid w:val="50597F0F"/>
    <w:rsid w:val="511B4946"/>
    <w:rsid w:val="513D338D"/>
    <w:rsid w:val="53A771E4"/>
    <w:rsid w:val="54687E3F"/>
    <w:rsid w:val="546B0B19"/>
    <w:rsid w:val="547D1CF3"/>
    <w:rsid w:val="54C85664"/>
    <w:rsid w:val="55DD6EED"/>
    <w:rsid w:val="574F5BC8"/>
    <w:rsid w:val="58AE2DC2"/>
    <w:rsid w:val="5936078B"/>
    <w:rsid w:val="5A4C2893"/>
    <w:rsid w:val="5A5C4659"/>
    <w:rsid w:val="5CAC7619"/>
    <w:rsid w:val="5D564048"/>
    <w:rsid w:val="5DA24E17"/>
    <w:rsid w:val="63065CD5"/>
    <w:rsid w:val="63F57FF1"/>
    <w:rsid w:val="659C1332"/>
    <w:rsid w:val="65FD2C93"/>
    <w:rsid w:val="67C223E6"/>
    <w:rsid w:val="6800454F"/>
    <w:rsid w:val="687B3C27"/>
    <w:rsid w:val="687D3777"/>
    <w:rsid w:val="68AA7102"/>
    <w:rsid w:val="68C2535F"/>
    <w:rsid w:val="69026367"/>
    <w:rsid w:val="6AF905B4"/>
    <w:rsid w:val="6C767A15"/>
    <w:rsid w:val="6D065B63"/>
    <w:rsid w:val="6D201C56"/>
    <w:rsid w:val="6ED04B50"/>
    <w:rsid w:val="6F2B6D0F"/>
    <w:rsid w:val="703B4AE4"/>
    <w:rsid w:val="70ED65E2"/>
    <w:rsid w:val="710F35DD"/>
    <w:rsid w:val="71685DAD"/>
    <w:rsid w:val="71B628C7"/>
    <w:rsid w:val="72CA055B"/>
    <w:rsid w:val="73092508"/>
    <w:rsid w:val="736F496B"/>
    <w:rsid w:val="75CF5CF8"/>
    <w:rsid w:val="75D73501"/>
    <w:rsid w:val="75EC5C91"/>
    <w:rsid w:val="765C387C"/>
    <w:rsid w:val="765E2E38"/>
    <w:rsid w:val="771C566F"/>
    <w:rsid w:val="77821C3D"/>
    <w:rsid w:val="78EE0B2B"/>
    <w:rsid w:val="79FA77BE"/>
    <w:rsid w:val="7B186783"/>
    <w:rsid w:val="7B674B1C"/>
    <w:rsid w:val="7C0D0A8B"/>
    <w:rsid w:val="7C0D1A2A"/>
    <w:rsid w:val="7C2B55CD"/>
    <w:rsid w:val="7D0E3CC8"/>
    <w:rsid w:val="7E805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7"/>
    <w:qFormat/>
    <w:uiPriority w:val="9"/>
    <w:pPr>
      <w:keepNext/>
      <w:tabs>
        <w:tab w:val="left" w:pos="360"/>
      </w:tabs>
      <w:ind w:left="360" w:hanging="360"/>
      <w:outlineLvl w:val="0"/>
    </w:pPr>
    <w:rPr>
      <w:b/>
    </w:rPr>
  </w:style>
  <w:style w:type="paragraph" w:styleId="6">
    <w:name w:val="heading 2"/>
    <w:basedOn w:val="7"/>
    <w:next w:val="1"/>
    <w:link w:val="48"/>
    <w:qFormat/>
    <w:uiPriority w:val="9"/>
    <w:pPr>
      <w:keepNext/>
      <w:keepLines/>
      <w:spacing w:before="260" w:after="260" w:line="416" w:lineRule="auto"/>
      <w:outlineLvl w:val="1"/>
    </w:pPr>
    <w:rPr>
      <w:rFonts w:ascii="Arial" w:hAnsi="Arial" w:eastAsia="黑体"/>
      <w:b/>
      <w:sz w:val="32"/>
    </w:rPr>
  </w:style>
  <w:style w:type="paragraph" w:styleId="8">
    <w:name w:val="heading 3"/>
    <w:basedOn w:val="1"/>
    <w:next w:val="1"/>
    <w:link w:val="49"/>
    <w:qFormat/>
    <w:uiPriority w:val="9"/>
    <w:pPr>
      <w:keepNext/>
      <w:keepLines/>
      <w:spacing w:before="260" w:after="260" w:line="416" w:lineRule="auto"/>
      <w:outlineLvl w:val="2"/>
    </w:pPr>
    <w:rPr>
      <w:b/>
      <w:bCs/>
      <w:sz w:val="32"/>
      <w:szCs w:val="32"/>
    </w:rPr>
  </w:style>
  <w:style w:type="paragraph" w:styleId="9">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51"/>
    <w:qFormat/>
    <w:uiPriority w:val="0"/>
    <w:pPr>
      <w:keepNext/>
      <w:keepLines/>
      <w:tabs>
        <w:tab w:val="left" w:pos="1440"/>
      </w:tabs>
      <w:spacing w:before="280" w:after="290" w:line="372" w:lineRule="auto"/>
      <w:ind w:left="1440" w:hanging="900"/>
      <w:outlineLvl w:val="4"/>
    </w:pPr>
    <w:rPr>
      <w:b/>
      <w:sz w:val="28"/>
    </w:rPr>
  </w:style>
  <w:style w:type="paragraph" w:styleId="11">
    <w:name w:val="heading 6"/>
    <w:basedOn w:val="1"/>
    <w:next w:val="1"/>
    <w:link w:val="5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2">
    <w:name w:val="heading 7"/>
    <w:basedOn w:val="1"/>
    <w:next w:val="1"/>
    <w:link w:val="53"/>
    <w:qFormat/>
    <w:uiPriority w:val="0"/>
    <w:pPr>
      <w:keepNext/>
      <w:keepLines/>
      <w:tabs>
        <w:tab w:val="left" w:pos="1440"/>
      </w:tabs>
      <w:spacing w:before="240" w:after="64" w:line="317" w:lineRule="auto"/>
      <w:ind w:left="1440" w:hanging="900"/>
      <w:outlineLvl w:val="6"/>
    </w:pPr>
    <w:rPr>
      <w:b/>
      <w:sz w:val="24"/>
    </w:rPr>
  </w:style>
  <w:style w:type="paragraph" w:styleId="13">
    <w:name w:val="heading 8"/>
    <w:basedOn w:val="1"/>
    <w:next w:val="1"/>
    <w:link w:val="5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4">
    <w:name w:val="heading 9"/>
    <w:basedOn w:val="1"/>
    <w:next w:val="1"/>
    <w:link w:val="5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rPr>
      <w:rFonts w:ascii="Arial" w:hAnsi="Arial" w:eastAsia="仿宋_GB2312"/>
      <w:sz w:val="28"/>
    </w:rPr>
  </w:style>
  <w:style w:type="paragraph" w:styleId="3">
    <w:name w:val="Body Text Indent"/>
    <w:basedOn w:val="1"/>
    <w:next w:val="4"/>
    <w:link w:val="59"/>
    <w:qFormat/>
    <w:uiPriority w:val="0"/>
    <w:pPr>
      <w:ind w:firstLine="480"/>
    </w:pPr>
    <w:rPr>
      <w:rFonts w:ascii="宋体" w:hAnsi="宋体"/>
      <w:sz w:val="24"/>
    </w:rPr>
  </w:style>
  <w:style w:type="paragraph" w:styleId="4">
    <w:name w:val="envelope return"/>
    <w:basedOn w:val="1"/>
    <w:qFormat/>
    <w:uiPriority w:val="0"/>
    <w:pPr>
      <w:topLinePunct/>
      <w:snapToGrid w:val="0"/>
    </w:pPr>
    <w:rPr>
      <w:rFonts w:ascii="Arial" w:hAnsi="Arial" w:cs="Arial"/>
    </w:rPr>
  </w:style>
  <w:style w:type="paragraph" w:customStyle="1" w:styleId="7">
    <w:name w:val="列出段落1"/>
    <w:basedOn w:val="1"/>
    <w:qFormat/>
    <w:uiPriority w:val="34"/>
    <w:pPr>
      <w:ind w:firstLine="420" w:firstLineChars="200"/>
    </w:pPr>
    <w:rPr>
      <w:rFonts w:ascii="Calibri" w:hAnsi="Calibri"/>
      <w:szCs w:val="22"/>
    </w:rPr>
  </w:style>
  <w:style w:type="paragraph" w:styleId="15">
    <w:name w:val="table of authorities"/>
    <w:basedOn w:val="1"/>
    <w:next w:val="1"/>
    <w:unhideWhenUsed/>
    <w:qFormat/>
    <w:uiPriority w:val="99"/>
    <w:pPr>
      <w:ind w:left="420" w:leftChars="200"/>
    </w:pPr>
  </w:style>
  <w:style w:type="paragraph" w:styleId="16">
    <w:name w:val="Normal Indent"/>
    <w:basedOn w:val="1"/>
    <w:link w:val="80"/>
    <w:qFormat/>
    <w:uiPriority w:val="99"/>
    <w:pPr>
      <w:ind w:firstLine="420" w:firstLineChars="200"/>
    </w:pPr>
    <w:rPr>
      <w:rFonts w:asciiTheme="minorHAnsi" w:hAnsiTheme="minorHAnsi" w:eastAsiaTheme="minorEastAsia" w:cstheme="minorBidi"/>
      <w:szCs w:val="24"/>
    </w:rPr>
  </w:style>
  <w:style w:type="paragraph" w:styleId="17">
    <w:name w:val="caption"/>
    <w:basedOn w:val="1"/>
    <w:next w:val="1"/>
    <w:qFormat/>
    <w:uiPriority w:val="0"/>
    <w:rPr>
      <w:rFonts w:ascii="Arial" w:hAnsi="Arial" w:eastAsia="黑体" w:cs="Arial"/>
      <w:sz w:val="20"/>
    </w:rPr>
  </w:style>
  <w:style w:type="paragraph" w:styleId="18">
    <w:name w:val="Document Map"/>
    <w:basedOn w:val="1"/>
    <w:link w:val="92"/>
    <w:qFormat/>
    <w:uiPriority w:val="0"/>
    <w:pPr>
      <w:shd w:val="clear" w:color="auto" w:fill="000080"/>
    </w:pPr>
    <w:rPr>
      <w:rFonts w:asciiTheme="minorHAnsi" w:hAnsiTheme="minorHAnsi" w:eastAsiaTheme="minorEastAsia" w:cstheme="minorBidi"/>
      <w:szCs w:val="22"/>
    </w:rPr>
  </w:style>
  <w:style w:type="paragraph" w:styleId="19">
    <w:name w:val="toa heading"/>
    <w:basedOn w:val="1"/>
    <w:next w:val="1"/>
    <w:qFormat/>
    <w:uiPriority w:val="0"/>
    <w:pPr>
      <w:spacing w:before="120"/>
    </w:pPr>
    <w:rPr>
      <w:rFonts w:ascii="Arial" w:hAnsi="Arial"/>
      <w:sz w:val="24"/>
      <w:szCs w:val="21"/>
    </w:rPr>
  </w:style>
  <w:style w:type="paragraph" w:styleId="20">
    <w:name w:val="Salutation"/>
    <w:basedOn w:val="1"/>
    <w:next w:val="1"/>
    <w:link w:val="57"/>
    <w:qFormat/>
    <w:uiPriority w:val="0"/>
    <w:rPr>
      <w:rFonts w:ascii="宋体"/>
      <w:b/>
      <w:sz w:val="28"/>
    </w:rPr>
  </w:style>
  <w:style w:type="paragraph" w:styleId="21">
    <w:name w:val="Body Text"/>
    <w:basedOn w:val="1"/>
    <w:next w:val="16"/>
    <w:link w:val="96"/>
    <w:qFormat/>
    <w:uiPriority w:val="0"/>
    <w:rPr>
      <w:rFonts w:ascii="Arial" w:hAnsi="Arial" w:cs="Arial" w:eastAsiaTheme="minorEastAsia"/>
      <w:sz w:val="24"/>
      <w:szCs w:val="22"/>
    </w:rPr>
  </w:style>
  <w:style w:type="paragraph" w:styleId="22">
    <w:name w:val="toc 3"/>
    <w:basedOn w:val="1"/>
    <w:next w:val="1"/>
    <w:qFormat/>
    <w:uiPriority w:val="39"/>
    <w:pPr>
      <w:ind w:left="840" w:leftChars="400"/>
    </w:pPr>
  </w:style>
  <w:style w:type="paragraph" w:styleId="23">
    <w:name w:val="Plain Text"/>
    <w:basedOn w:val="1"/>
    <w:link w:val="98"/>
    <w:qFormat/>
    <w:uiPriority w:val="0"/>
    <w:rPr>
      <w:rFonts w:ascii="宋体" w:hAnsi="Courier New" w:cstheme="minorBidi"/>
      <w:szCs w:val="22"/>
    </w:rPr>
  </w:style>
  <w:style w:type="paragraph" w:styleId="24">
    <w:name w:val="Date"/>
    <w:basedOn w:val="1"/>
    <w:next w:val="1"/>
    <w:link w:val="61"/>
    <w:qFormat/>
    <w:uiPriority w:val="0"/>
    <w:pPr>
      <w:ind w:left="100"/>
    </w:pPr>
    <w:rPr>
      <w:sz w:val="24"/>
    </w:rPr>
  </w:style>
  <w:style w:type="paragraph" w:styleId="25">
    <w:name w:val="Body Text Indent 2"/>
    <w:basedOn w:val="1"/>
    <w:link w:val="91"/>
    <w:qFormat/>
    <w:uiPriority w:val="0"/>
    <w:pPr>
      <w:ind w:firstLine="435"/>
    </w:pPr>
    <w:rPr>
      <w:rFonts w:ascii="宋体" w:hAnsi="宋体" w:eastAsiaTheme="minorEastAsia" w:cstheme="minorBidi"/>
      <w:sz w:val="24"/>
      <w:szCs w:val="22"/>
    </w:rPr>
  </w:style>
  <w:style w:type="paragraph" w:styleId="26">
    <w:name w:val="Balloon Text"/>
    <w:basedOn w:val="1"/>
    <w:link w:val="63"/>
    <w:semiHidden/>
    <w:qFormat/>
    <w:uiPriority w:val="99"/>
    <w:rPr>
      <w:sz w:val="18"/>
      <w:szCs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66"/>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67"/>
    <w:qFormat/>
    <w:uiPriority w:val="0"/>
    <w:pPr>
      <w:spacing w:line="360" w:lineRule="auto"/>
    </w:pPr>
    <w:rPr>
      <w:b/>
      <w:sz w:val="28"/>
      <w:szCs w:val="21"/>
    </w:rPr>
  </w:style>
  <w:style w:type="paragraph" w:styleId="33">
    <w:name w:val="Normal (Web)"/>
    <w:basedOn w:val="1"/>
    <w:link w:val="108"/>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Title"/>
    <w:basedOn w:val="1"/>
    <w:next w:val="1"/>
    <w:qFormat/>
    <w:uiPriority w:val="0"/>
    <w:pPr>
      <w:adjustRightInd w:val="0"/>
      <w:snapToGrid w:val="0"/>
      <w:spacing w:before="120" w:after="120"/>
      <w:outlineLvl w:val="0"/>
    </w:pPr>
    <w:rPr>
      <w:rFonts w:ascii="黑体" w:hAnsi="Times New Roman" w:cs="Times New Roman"/>
      <w:b/>
      <w:snapToGrid w:val="0"/>
      <w:kern w:val="0"/>
      <w:szCs w:val="20"/>
    </w:rPr>
  </w:style>
  <w:style w:type="paragraph" w:styleId="35">
    <w:name w:val="Body Text First Indent"/>
    <w:basedOn w:val="21"/>
    <w:next w:val="2"/>
    <w:link w:val="103"/>
    <w:qFormat/>
    <w:uiPriority w:val="0"/>
    <w:pPr>
      <w:spacing w:after="120"/>
      <w:ind w:firstLine="420" w:firstLineChars="100"/>
    </w:pPr>
  </w:style>
  <w:style w:type="table" w:styleId="37">
    <w:name w:val="Table Grid"/>
    <w:basedOn w:val="3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basedOn w:val="38"/>
    <w:qFormat/>
    <w:uiPriority w:val="99"/>
    <w:rPr>
      <w:color w:val="0000FF"/>
      <w:u w:val="single"/>
    </w:rPr>
  </w:style>
  <w:style w:type="character" w:styleId="44">
    <w:name w:val="annotation reference"/>
    <w:basedOn w:val="38"/>
    <w:semiHidden/>
    <w:unhideWhenUsed/>
    <w:qFormat/>
    <w:uiPriority w:val="99"/>
    <w:rPr>
      <w:sz w:val="21"/>
      <w:szCs w:val="21"/>
    </w:rPr>
  </w:style>
  <w:style w:type="character" w:styleId="45">
    <w:name w:val="HTML Sample"/>
    <w:basedOn w:val="38"/>
    <w:semiHidden/>
    <w:unhideWhenUsed/>
    <w:qFormat/>
    <w:uiPriority w:val="99"/>
    <w:rPr>
      <w:rFonts w:ascii="宋体" w:hAnsi="宋体" w:eastAsia="宋体" w:cs="宋体"/>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7">
    <w:name w:val="标题 1 字符"/>
    <w:basedOn w:val="38"/>
    <w:link w:val="5"/>
    <w:qFormat/>
    <w:uiPriority w:val="9"/>
    <w:rPr>
      <w:rFonts w:ascii="Times New Roman" w:hAnsi="Times New Roman" w:eastAsia="宋体" w:cs="Times New Roman"/>
      <w:b/>
      <w:szCs w:val="20"/>
    </w:rPr>
  </w:style>
  <w:style w:type="character" w:customStyle="1" w:styleId="48">
    <w:name w:val="标题 2 字符"/>
    <w:basedOn w:val="38"/>
    <w:link w:val="6"/>
    <w:qFormat/>
    <w:uiPriority w:val="9"/>
    <w:rPr>
      <w:rFonts w:ascii="Arial" w:hAnsi="Arial" w:eastAsia="黑体" w:cs="Times New Roman"/>
      <w:b/>
      <w:sz w:val="32"/>
      <w:szCs w:val="20"/>
    </w:rPr>
  </w:style>
  <w:style w:type="character" w:customStyle="1" w:styleId="49">
    <w:name w:val="标题 3 字符"/>
    <w:basedOn w:val="38"/>
    <w:link w:val="8"/>
    <w:qFormat/>
    <w:uiPriority w:val="9"/>
    <w:rPr>
      <w:rFonts w:ascii="Times New Roman" w:hAnsi="Times New Roman" w:eastAsia="宋体" w:cs="Times New Roman"/>
      <w:b/>
      <w:bCs/>
      <w:sz w:val="32"/>
      <w:szCs w:val="32"/>
    </w:rPr>
  </w:style>
  <w:style w:type="character" w:customStyle="1" w:styleId="50">
    <w:name w:val="标题 4 字符"/>
    <w:basedOn w:val="38"/>
    <w:link w:val="9"/>
    <w:qFormat/>
    <w:uiPriority w:val="0"/>
    <w:rPr>
      <w:rFonts w:ascii="Arial" w:hAnsi="Arial" w:eastAsia="黑体" w:cs="Times New Roman"/>
      <w:b/>
      <w:bCs/>
      <w:sz w:val="28"/>
      <w:szCs w:val="28"/>
    </w:rPr>
  </w:style>
  <w:style w:type="character" w:customStyle="1" w:styleId="51">
    <w:name w:val="标题 5 字符"/>
    <w:basedOn w:val="38"/>
    <w:link w:val="10"/>
    <w:qFormat/>
    <w:uiPriority w:val="0"/>
    <w:rPr>
      <w:rFonts w:ascii="Times New Roman" w:hAnsi="Times New Roman" w:eastAsia="宋体" w:cs="Times New Roman"/>
      <w:b/>
      <w:sz w:val="28"/>
      <w:szCs w:val="20"/>
    </w:rPr>
  </w:style>
  <w:style w:type="character" w:customStyle="1" w:styleId="52">
    <w:name w:val="标题 6 字符"/>
    <w:basedOn w:val="38"/>
    <w:link w:val="11"/>
    <w:qFormat/>
    <w:uiPriority w:val="0"/>
    <w:rPr>
      <w:rFonts w:ascii="Arial" w:hAnsi="Arial" w:eastAsia="黑体" w:cs="Times New Roman"/>
      <w:b/>
      <w:sz w:val="24"/>
      <w:szCs w:val="20"/>
    </w:rPr>
  </w:style>
  <w:style w:type="character" w:customStyle="1" w:styleId="53">
    <w:name w:val="标题 7 字符"/>
    <w:basedOn w:val="38"/>
    <w:link w:val="12"/>
    <w:qFormat/>
    <w:uiPriority w:val="0"/>
    <w:rPr>
      <w:rFonts w:ascii="Times New Roman" w:hAnsi="Times New Roman" w:eastAsia="宋体" w:cs="Times New Roman"/>
      <w:b/>
      <w:sz w:val="24"/>
      <w:szCs w:val="20"/>
    </w:rPr>
  </w:style>
  <w:style w:type="character" w:customStyle="1" w:styleId="54">
    <w:name w:val="标题 8 字符"/>
    <w:basedOn w:val="38"/>
    <w:link w:val="13"/>
    <w:qFormat/>
    <w:uiPriority w:val="0"/>
    <w:rPr>
      <w:rFonts w:ascii="Arial" w:hAnsi="Arial" w:eastAsia="黑体" w:cs="Times New Roman"/>
      <w:sz w:val="24"/>
      <w:szCs w:val="20"/>
    </w:rPr>
  </w:style>
  <w:style w:type="character" w:customStyle="1" w:styleId="55">
    <w:name w:val="标题 9 字符"/>
    <w:basedOn w:val="38"/>
    <w:link w:val="14"/>
    <w:qFormat/>
    <w:uiPriority w:val="0"/>
    <w:rPr>
      <w:rFonts w:ascii="Arial" w:hAnsi="Arial" w:eastAsia="黑体" w:cs="Times New Roman"/>
      <w:szCs w:val="20"/>
    </w:rPr>
  </w:style>
  <w:style w:type="character" w:customStyle="1" w:styleId="56">
    <w:name w:val="文档结构图 Char"/>
    <w:basedOn w:val="38"/>
    <w:qFormat/>
    <w:uiPriority w:val="0"/>
    <w:rPr>
      <w:rFonts w:ascii="宋体" w:hAnsi="Times New Roman" w:eastAsia="宋体" w:cs="Times New Roman"/>
      <w:sz w:val="18"/>
      <w:szCs w:val="18"/>
    </w:rPr>
  </w:style>
  <w:style w:type="character" w:customStyle="1" w:styleId="57">
    <w:name w:val="称呼 字符"/>
    <w:basedOn w:val="38"/>
    <w:link w:val="20"/>
    <w:qFormat/>
    <w:uiPriority w:val="0"/>
    <w:rPr>
      <w:rFonts w:ascii="宋体" w:hAnsi="Times New Roman" w:eastAsia="宋体" w:cs="Times New Roman"/>
      <w:b/>
      <w:sz w:val="28"/>
      <w:szCs w:val="20"/>
    </w:rPr>
  </w:style>
  <w:style w:type="character" w:customStyle="1" w:styleId="58">
    <w:name w:val="正文文本 Char"/>
    <w:basedOn w:val="38"/>
    <w:qFormat/>
    <w:uiPriority w:val="0"/>
    <w:rPr>
      <w:rFonts w:ascii="Times New Roman" w:hAnsi="Times New Roman" w:eastAsia="宋体" w:cs="Times New Roman"/>
      <w:szCs w:val="20"/>
    </w:rPr>
  </w:style>
  <w:style w:type="character" w:customStyle="1" w:styleId="59">
    <w:name w:val="正文文本缩进 字符"/>
    <w:basedOn w:val="38"/>
    <w:link w:val="3"/>
    <w:qFormat/>
    <w:uiPriority w:val="0"/>
    <w:rPr>
      <w:rFonts w:ascii="宋体" w:hAnsi="宋体" w:eastAsia="宋体" w:cs="Times New Roman"/>
      <w:sz w:val="24"/>
      <w:szCs w:val="20"/>
    </w:rPr>
  </w:style>
  <w:style w:type="character" w:customStyle="1" w:styleId="60">
    <w:name w:val="纯文本 Char"/>
    <w:basedOn w:val="38"/>
    <w:qFormat/>
    <w:uiPriority w:val="0"/>
    <w:rPr>
      <w:rFonts w:ascii="宋体" w:hAnsi="Courier New" w:eastAsia="宋体" w:cs="Courier New"/>
      <w:szCs w:val="21"/>
    </w:rPr>
  </w:style>
  <w:style w:type="character" w:customStyle="1" w:styleId="61">
    <w:name w:val="日期 字符"/>
    <w:basedOn w:val="38"/>
    <w:link w:val="24"/>
    <w:qFormat/>
    <w:uiPriority w:val="0"/>
    <w:rPr>
      <w:rFonts w:ascii="Times New Roman" w:hAnsi="Times New Roman" w:eastAsia="宋体" w:cs="Times New Roman"/>
      <w:sz w:val="24"/>
      <w:szCs w:val="20"/>
    </w:rPr>
  </w:style>
  <w:style w:type="character" w:customStyle="1" w:styleId="62">
    <w:name w:val="正文文本缩进 2 Char"/>
    <w:basedOn w:val="38"/>
    <w:qFormat/>
    <w:uiPriority w:val="0"/>
    <w:rPr>
      <w:rFonts w:ascii="Times New Roman" w:hAnsi="Times New Roman" w:eastAsia="宋体" w:cs="Times New Roman"/>
      <w:szCs w:val="20"/>
    </w:rPr>
  </w:style>
  <w:style w:type="character" w:customStyle="1" w:styleId="63">
    <w:name w:val="批注框文本 字符"/>
    <w:basedOn w:val="38"/>
    <w:link w:val="26"/>
    <w:semiHidden/>
    <w:qFormat/>
    <w:uiPriority w:val="99"/>
    <w:rPr>
      <w:rFonts w:ascii="Times New Roman" w:hAnsi="Times New Roman" w:eastAsia="宋体" w:cs="Times New Roman"/>
      <w:sz w:val="18"/>
      <w:szCs w:val="18"/>
    </w:rPr>
  </w:style>
  <w:style w:type="character" w:customStyle="1" w:styleId="64">
    <w:name w:val="页脚 字符"/>
    <w:basedOn w:val="38"/>
    <w:link w:val="27"/>
    <w:qFormat/>
    <w:uiPriority w:val="99"/>
    <w:rPr>
      <w:rFonts w:ascii="Times New Roman" w:hAnsi="Times New Roman" w:eastAsia="宋体" w:cs="Times New Roman"/>
      <w:sz w:val="18"/>
      <w:szCs w:val="18"/>
    </w:rPr>
  </w:style>
  <w:style w:type="character" w:customStyle="1" w:styleId="65">
    <w:name w:val="页眉 字符"/>
    <w:basedOn w:val="38"/>
    <w:link w:val="28"/>
    <w:qFormat/>
    <w:uiPriority w:val="99"/>
    <w:rPr>
      <w:rFonts w:ascii="Times New Roman" w:hAnsi="Times New Roman" w:eastAsia="宋体" w:cs="Times New Roman"/>
      <w:sz w:val="18"/>
      <w:szCs w:val="18"/>
    </w:rPr>
  </w:style>
  <w:style w:type="character" w:customStyle="1" w:styleId="66">
    <w:name w:val="正文文本缩进 3 字符"/>
    <w:basedOn w:val="38"/>
    <w:link w:val="30"/>
    <w:qFormat/>
    <w:uiPriority w:val="0"/>
    <w:rPr>
      <w:rFonts w:ascii="Arial" w:hAnsi="Arial" w:eastAsia="宋体" w:cs="Arial"/>
      <w:b/>
      <w:bCs/>
      <w:sz w:val="24"/>
      <w:szCs w:val="20"/>
    </w:rPr>
  </w:style>
  <w:style w:type="character" w:customStyle="1" w:styleId="67">
    <w:name w:val="正文文本 2 字符"/>
    <w:basedOn w:val="38"/>
    <w:link w:val="32"/>
    <w:qFormat/>
    <w:uiPriority w:val="0"/>
    <w:rPr>
      <w:rFonts w:ascii="Times New Roman" w:hAnsi="Times New Roman" w:eastAsia="宋体" w:cs="Times New Roman"/>
      <w:b/>
      <w:sz w:val="28"/>
      <w:szCs w:val="21"/>
    </w:rPr>
  </w:style>
  <w:style w:type="character" w:customStyle="1" w:styleId="68">
    <w:name w:val="正文首行缩进 Char"/>
    <w:basedOn w:val="58"/>
    <w:qFormat/>
    <w:uiPriority w:val="0"/>
    <w:rPr>
      <w:rFonts w:ascii="Times New Roman" w:hAnsi="Times New Roman" w:eastAsia="宋体" w:cs="Times New Roman"/>
      <w:szCs w:val="20"/>
    </w:rPr>
  </w:style>
  <w:style w:type="character" w:customStyle="1" w:styleId="69">
    <w:name w:val="p21"/>
    <w:qFormat/>
    <w:uiPriority w:val="0"/>
    <w:rPr>
      <w:rFonts w:hint="default" w:ascii="Arial" w:hAnsi="Arial" w:cs="Arial"/>
      <w:color w:val="333333"/>
      <w:sz w:val="18"/>
      <w:szCs w:val="18"/>
      <w:u w:val="none"/>
    </w:rPr>
  </w:style>
  <w:style w:type="character" w:customStyle="1" w:styleId="70">
    <w:name w:val="font21"/>
    <w:basedOn w:val="38"/>
    <w:qFormat/>
    <w:uiPriority w:val="0"/>
    <w:rPr>
      <w:rFonts w:hint="eastAsia" w:ascii="宋体" w:hAnsi="宋体" w:eastAsia="宋体" w:cs="宋体"/>
      <w:color w:val="000000"/>
      <w:sz w:val="22"/>
      <w:szCs w:val="22"/>
      <w:u w:val="none"/>
    </w:rPr>
  </w:style>
  <w:style w:type="character" w:customStyle="1" w:styleId="71">
    <w:name w:val="所标正文 Char Char"/>
    <w:link w:val="72"/>
    <w:qFormat/>
    <w:uiPriority w:val="0"/>
    <w:rPr>
      <w:rFonts w:ascii="仿宋_GB2312" w:hAnsi="Calibri" w:eastAsia="仿宋_GB2312"/>
      <w:sz w:val="30"/>
      <w:szCs w:val="28"/>
    </w:rPr>
  </w:style>
  <w:style w:type="paragraph" w:customStyle="1" w:styleId="72">
    <w:name w:val="所标正文"/>
    <w:basedOn w:val="1"/>
    <w:link w:val="71"/>
    <w:qFormat/>
    <w:uiPriority w:val="0"/>
    <w:pPr>
      <w:spacing w:line="360" w:lineRule="auto"/>
      <w:ind w:firstLine="200" w:firstLineChars="200"/>
    </w:pPr>
    <w:rPr>
      <w:rFonts w:ascii="仿宋_GB2312" w:hAnsi="Calibri" w:eastAsia="仿宋_GB2312" w:cstheme="minorBidi"/>
      <w:sz w:val="30"/>
      <w:szCs w:val="28"/>
    </w:rPr>
  </w:style>
  <w:style w:type="character" w:customStyle="1" w:styleId="73">
    <w:name w:val="正文文字 Char1"/>
    <w:link w:val="74"/>
    <w:qFormat/>
    <w:uiPriority w:val="0"/>
    <w:rPr>
      <w:rFonts w:ascii="宋体" w:eastAsia="宋体"/>
      <w:color w:val="000000"/>
      <w:sz w:val="28"/>
      <w:u w:color="000000"/>
    </w:rPr>
  </w:style>
  <w:style w:type="paragraph" w:customStyle="1" w:styleId="74">
    <w:name w:val="正文文字"/>
    <w:basedOn w:val="1"/>
    <w:link w:val="73"/>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5">
    <w:name w:val="marklong"/>
    <w:basedOn w:val="38"/>
    <w:qFormat/>
    <w:uiPriority w:val="0"/>
  </w:style>
  <w:style w:type="character" w:customStyle="1" w:styleId="76">
    <w:name w:val="unnamed1"/>
    <w:basedOn w:val="38"/>
    <w:qFormat/>
    <w:uiPriority w:val="0"/>
  </w:style>
  <w:style w:type="character" w:customStyle="1" w:styleId="77">
    <w:name w:val="css21"/>
    <w:qFormat/>
    <w:uiPriority w:val="0"/>
    <w:rPr>
      <w:sz w:val="18"/>
      <w:szCs w:val="18"/>
    </w:rPr>
  </w:style>
  <w:style w:type="character" w:customStyle="1" w:styleId="78">
    <w:name w:val="font01"/>
    <w:basedOn w:val="38"/>
    <w:qFormat/>
    <w:uiPriority w:val="0"/>
    <w:rPr>
      <w:rFonts w:hint="eastAsia" w:ascii="宋体" w:hAnsi="宋体" w:eastAsia="宋体" w:cs="宋体"/>
      <w:color w:val="000000"/>
      <w:sz w:val="22"/>
      <w:szCs w:val="22"/>
      <w:u w:val="none"/>
    </w:rPr>
  </w:style>
  <w:style w:type="character" w:customStyle="1" w:styleId="79">
    <w:name w:val="纯文本 Char Char Char Char Char Char"/>
    <w:qFormat/>
    <w:locked/>
    <w:uiPriority w:val="0"/>
    <w:rPr>
      <w:rFonts w:ascii="宋体" w:hAnsi="Courier New" w:eastAsia="宋体"/>
      <w:kern w:val="2"/>
      <w:sz w:val="21"/>
      <w:lang w:val="en-US" w:eastAsia="zh-CN" w:bidi="ar-SA"/>
    </w:rPr>
  </w:style>
  <w:style w:type="character" w:customStyle="1" w:styleId="80">
    <w:name w:val="正文缩进 字符"/>
    <w:link w:val="16"/>
    <w:qFormat/>
    <w:uiPriority w:val="99"/>
    <w:rPr>
      <w:szCs w:val="24"/>
    </w:rPr>
  </w:style>
  <w:style w:type="character" w:customStyle="1" w:styleId="81">
    <w:name w:val="样式 正文缩进 + 首行缩进:  2 字符 Char"/>
    <w:link w:val="82"/>
    <w:qFormat/>
    <w:uiPriority w:val="0"/>
    <w:rPr>
      <w:sz w:val="24"/>
    </w:rPr>
  </w:style>
  <w:style w:type="paragraph" w:customStyle="1" w:styleId="82">
    <w:name w:val="样式 正文缩进 + 首行缩进:  2 字符"/>
    <w:basedOn w:val="16"/>
    <w:link w:val="81"/>
    <w:qFormat/>
    <w:uiPriority w:val="0"/>
    <w:pPr>
      <w:spacing w:line="360" w:lineRule="auto"/>
      <w:ind w:firstLine="200"/>
    </w:pPr>
    <w:rPr>
      <w:sz w:val="24"/>
      <w:szCs w:val="22"/>
    </w:rPr>
  </w:style>
  <w:style w:type="character" w:customStyle="1" w:styleId="83">
    <w:name w:val="标准段落正文 Char"/>
    <w:link w:val="84"/>
    <w:qFormat/>
    <w:uiPriority w:val="0"/>
    <w:rPr>
      <w:rFonts w:cs="宋体"/>
      <w:sz w:val="24"/>
    </w:rPr>
  </w:style>
  <w:style w:type="paragraph" w:customStyle="1" w:styleId="84">
    <w:name w:val="标准段落正文"/>
    <w:basedOn w:val="1"/>
    <w:link w:val="83"/>
    <w:qFormat/>
    <w:uiPriority w:val="0"/>
    <w:pPr>
      <w:spacing w:line="360" w:lineRule="auto"/>
      <w:ind w:firstLine="482"/>
    </w:pPr>
    <w:rPr>
      <w:rFonts w:cs="宋体" w:asciiTheme="minorHAnsi" w:hAnsiTheme="minorHAnsi" w:eastAsiaTheme="minorEastAsia"/>
      <w:sz w:val="24"/>
      <w:szCs w:val="22"/>
    </w:rPr>
  </w:style>
  <w:style w:type="character" w:customStyle="1" w:styleId="85">
    <w:name w:val="正文文字 Char"/>
    <w:qFormat/>
    <w:uiPriority w:val="0"/>
    <w:rPr>
      <w:rFonts w:ascii="Arial" w:hAnsi="Arial" w:eastAsia="宋体" w:cs="Arial"/>
      <w:kern w:val="2"/>
      <w:sz w:val="24"/>
      <w:lang w:val="en-US" w:eastAsia="zh-CN" w:bidi="ar-SA"/>
    </w:rPr>
  </w:style>
  <w:style w:type="character" w:customStyle="1" w:styleId="86">
    <w:name w:val="书籍标题1"/>
    <w:qFormat/>
    <w:uiPriority w:val="0"/>
    <w:rPr>
      <w:b/>
      <w:bCs/>
      <w:smallCaps/>
      <w:spacing w:val="5"/>
    </w:rPr>
  </w:style>
  <w:style w:type="character" w:customStyle="1" w:styleId="87">
    <w:name w:val="con"/>
    <w:qFormat/>
    <w:uiPriority w:val="0"/>
  </w:style>
  <w:style w:type="character" w:customStyle="1" w:styleId="88">
    <w:name w:val="明显参考1"/>
    <w:qFormat/>
    <w:uiPriority w:val="0"/>
    <w:rPr>
      <w:b/>
      <w:bCs/>
      <w:smallCaps/>
      <w:color w:val="C0504D"/>
      <w:spacing w:val="5"/>
      <w:u w:val="single"/>
    </w:rPr>
  </w:style>
  <w:style w:type="character" w:customStyle="1" w:styleId="89">
    <w:name w:val="grame"/>
    <w:basedOn w:val="38"/>
    <w:qFormat/>
    <w:uiPriority w:val="0"/>
  </w:style>
  <w:style w:type="paragraph" w:customStyle="1" w:styleId="90">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1">
    <w:name w:val="正文文本缩进 2 字符"/>
    <w:basedOn w:val="38"/>
    <w:link w:val="25"/>
    <w:qFormat/>
    <w:uiPriority w:val="0"/>
    <w:rPr>
      <w:rFonts w:ascii="宋体" w:hAnsi="宋体"/>
      <w:sz w:val="24"/>
    </w:rPr>
  </w:style>
  <w:style w:type="character" w:customStyle="1" w:styleId="92">
    <w:name w:val="文档结构图 字符"/>
    <w:basedOn w:val="38"/>
    <w:link w:val="18"/>
    <w:qFormat/>
    <w:uiPriority w:val="0"/>
    <w:rPr>
      <w:shd w:val="clear" w:color="auto" w:fill="000080"/>
    </w:rPr>
  </w:style>
  <w:style w:type="paragraph" w:customStyle="1" w:styleId="93">
    <w:name w:val="Char"/>
    <w:basedOn w:val="1"/>
    <w:semiHidden/>
    <w:qFormat/>
    <w:uiPriority w:val="0"/>
    <w:rPr>
      <w:rFonts w:ascii="Tahoma" w:hAnsi="Tahoma" w:cs="仿宋_GB2312"/>
      <w:sz w:val="24"/>
      <w:szCs w:val="28"/>
    </w:rPr>
  </w:style>
  <w:style w:type="paragraph" w:customStyle="1" w:styleId="94">
    <w:name w:val="正文缩进1"/>
    <w:basedOn w:val="1"/>
    <w:qFormat/>
    <w:uiPriority w:val="0"/>
    <w:pPr>
      <w:ind w:firstLine="420" w:firstLineChars="200"/>
    </w:pPr>
    <w:rPr>
      <w:rFonts w:ascii="Calibri" w:hAnsi="Calibri"/>
    </w:rPr>
  </w:style>
  <w:style w:type="paragraph" w:customStyle="1" w:styleId="95">
    <w:name w:val="条目3"/>
    <w:basedOn w:val="23"/>
    <w:qFormat/>
    <w:uiPriority w:val="0"/>
  </w:style>
  <w:style w:type="character" w:customStyle="1" w:styleId="96">
    <w:name w:val="正文文本 字符"/>
    <w:basedOn w:val="38"/>
    <w:link w:val="21"/>
    <w:qFormat/>
    <w:uiPriority w:val="0"/>
    <w:rPr>
      <w:rFonts w:ascii="Arial" w:hAnsi="Arial" w:cs="Arial"/>
      <w:sz w:val="24"/>
    </w:rPr>
  </w:style>
  <w:style w:type="paragraph" w:customStyle="1" w:styleId="9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8">
    <w:name w:val="纯文本 字符"/>
    <w:basedOn w:val="38"/>
    <w:link w:val="23"/>
    <w:qFormat/>
    <w:uiPriority w:val="0"/>
    <w:rPr>
      <w:rFonts w:ascii="宋体" w:hAnsi="Courier New" w:eastAsia="宋体"/>
    </w:rPr>
  </w:style>
  <w:style w:type="paragraph" w:customStyle="1" w:styleId="99">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0">
    <w:name w:val="列出段落11"/>
    <w:basedOn w:val="1"/>
    <w:qFormat/>
    <w:uiPriority w:val="0"/>
    <w:pPr>
      <w:ind w:firstLine="420" w:firstLineChars="200"/>
    </w:pPr>
  </w:style>
  <w:style w:type="paragraph" w:customStyle="1" w:styleId="101">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2">
    <w:name w:val="首页大标题"/>
    <w:basedOn w:val="72"/>
    <w:qFormat/>
    <w:uiPriority w:val="0"/>
    <w:pPr>
      <w:ind w:firstLine="0" w:firstLineChars="0"/>
      <w:jc w:val="center"/>
    </w:pPr>
    <w:rPr>
      <w:rFonts w:ascii="黑体" w:eastAsia="黑体"/>
      <w:b/>
      <w:sz w:val="52"/>
    </w:rPr>
  </w:style>
  <w:style w:type="character" w:customStyle="1" w:styleId="103">
    <w:name w:val="正文首行缩进 字符"/>
    <w:basedOn w:val="96"/>
    <w:link w:val="35"/>
    <w:qFormat/>
    <w:uiPriority w:val="0"/>
    <w:rPr>
      <w:rFonts w:ascii="Arial" w:hAnsi="Arial" w:cs="Arial"/>
      <w:sz w:val="24"/>
    </w:rPr>
  </w:style>
  <w:style w:type="paragraph" w:customStyle="1" w:styleId="10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5">
    <w:name w:val="p0"/>
    <w:basedOn w:val="1"/>
    <w:qFormat/>
    <w:uiPriority w:val="0"/>
    <w:pPr>
      <w:widowControl/>
    </w:pPr>
    <w:rPr>
      <w:kern w:val="0"/>
      <w:szCs w:val="21"/>
    </w:rPr>
  </w:style>
  <w:style w:type="paragraph" w:customStyle="1" w:styleId="106">
    <w:name w:val="条目2"/>
    <w:basedOn w:val="23"/>
    <w:qFormat/>
    <w:uiPriority w:val="0"/>
    <w:pPr>
      <w:tabs>
        <w:tab w:val="left" w:pos="420"/>
      </w:tabs>
      <w:spacing w:line="360" w:lineRule="auto"/>
      <w:ind w:left="420" w:hanging="420"/>
    </w:pPr>
    <w:rPr>
      <w:color w:val="000000"/>
      <w:sz w:val="30"/>
    </w:rPr>
  </w:style>
  <w:style w:type="paragraph" w:customStyle="1" w:styleId="107">
    <w:name w:val="1 Char Char Char Char"/>
    <w:basedOn w:val="1"/>
    <w:qFormat/>
    <w:uiPriority w:val="0"/>
    <w:rPr>
      <w:rFonts w:ascii="Tahoma" w:hAnsi="Tahoma"/>
      <w:sz w:val="24"/>
    </w:rPr>
  </w:style>
  <w:style w:type="character" w:customStyle="1" w:styleId="108">
    <w:name w:val="普通(网站) 字符"/>
    <w:link w:val="33"/>
    <w:qFormat/>
    <w:uiPriority w:val="99"/>
    <w:rPr>
      <w:rFonts w:ascii="Arial Unicode MS" w:hAnsi="Arial Unicode MS" w:eastAsia="Arial Unicode MS" w:cs="Arial Unicode MS"/>
      <w:kern w:val="0"/>
      <w:sz w:val="24"/>
      <w:szCs w:val="24"/>
    </w:rPr>
  </w:style>
  <w:style w:type="paragraph" w:styleId="109">
    <w:name w:val="List Paragraph"/>
    <w:basedOn w:val="1"/>
    <w:link w:val="118"/>
    <w:qFormat/>
    <w:uiPriority w:val="34"/>
    <w:pPr>
      <w:ind w:firstLine="420" w:firstLineChars="200"/>
    </w:pPr>
    <w:rPr>
      <w:rFonts w:asciiTheme="minorHAnsi" w:hAnsiTheme="minorHAnsi" w:eastAsiaTheme="minorEastAsia" w:cstheme="minorBidi"/>
      <w:szCs w:val="22"/>
    </w:rPr>
  </w:style>
  <w:style w:type="paragraph" w:customStyle="1" w:styleId="110">
    <w:name w:val="宋体小四"/>
    <w:basedOn w:val="1"/>
    <w:qFormat/>
    <w:uiPriority w:val="0"/>
    <w:pPr>
      <w:spacing w:line="360" w:lineRule="auto"/>
      <w:ind w:firstLine="480" w:firstLineChars="200"/>
    </w:pPr>
    <w:rPr>
      <w:rFonts w:ascii="Arial" w:hAnsi="Arial"/>
      <w:sz w:val="24"/>
    </w:rPr>
  </w:style>
  <w:style w:type="paragraph" w:customStyle="1" w:styleId="111">
    <w:name w:val="列出段落2"/>
    <w:basedOn w:val="1"/>
    <w:qFormat/>
    <w:uiPriority w:val="34"/>
    <w:pPr>
      <w:ind w:firstLine="420" w:firstLineChars="200"/>
    </w:pPr>
    <w:rPr>
      <w:rFonts w:asciiTheme="minorHAnsi" w:hAnsiTheme="minorHAnsi" w:cstheme="minorBidi"/>
      <w:szCs w:val="24"/>
    </w:rPr>
  </w:style>
  <w:style w:type="paragraph" w:customStyle="1" w:styleId="112">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3">
    <w:name w:val="样式1"/>
    <w:basedOn w:val="8"/>
    <w:qFormat/>
    <w:uiPriority w:val="0"/>
    <w:pPr>
      <w:spacing w:before="0" w:after="0" w:line="240" w:lineRule="auto"/>
    </w:pPr>
    <w:rPr>
      <w:rFonts w:ascii="宋体" w:hAnsi="宋体"/>
      <w:szCs w:val="21"/>
    </w:rPr>
  </w:style>
  <w:style w:type="paragraph" w:customStyle="1" w:styleId="114">
    <w:name w:val="验收文档-首页主标题"/>
    <w:basedOn w:val="1"/>
    <w:qFormat/>
    <w:uiPriority w:val="0"/>
    <w:pPr>
      <w:jc w:val="center"/>
    </w:pPr>
    <w:rPr>
      <w:rFonts w:ascii="黑体" w:eastAsia="黑体"/>
      <w:sz w:val="52"/>
      <w:szCs w:val="52"/>
    </w:rPr>
  </w:style>
  <w:style w:type="paragraph" w:customStyle="1" w:styleId="115">
    <w:name w:val="TOC 标题1"/>
    <w:basedOn w:val="5"/>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6">
    <w:name w:val="正文1125"/>
    <w:basedOn w:val="1"/>
    <w:qFormat/>
    <w:uiPriority w:val="0"/>
    <w:pPr>
      <w:adjustRightInd w:val="0"/>
      <w:snapToGrid w:val="0"/>
      <w:spacing w:afterLines="50"/>
      <w:ind w:firstLine="560" w:firstLineChars="200"/>
    </w:pPr>
    <w:rPr>
      <w:szCs w:val="28"/>
    </w:rPr>
  </w:style>
  <w:style w:type="paragraph" w:customStyle="1" w:styleId="117">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18">
    <w:name w:val="列出段落 字符"/>
    <w:link w:val="109"/>
    <w:qFormat/>
    <w:uiPriority w:val="34"/>
    <w:rPr>
      <w:kern w:val="2"/>
      <w:sz w:val="21"/>
      <w:szCs w:val="22"/>
    </w:rPr>
  </w:style>
  <w:style w:type="character" w:customStyle="1" w:styleId="119">
    <w:name w:val="bookmark-item"/>
    <w:basedOn w:val="38"/>
    <w:qFormat/>
    <w:uiPriority w:val="0"/>
  </w:style>
  <w:style w:type="paragraph" w:customStyle="1" w:styleId="12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2">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4">
    <w:name w:val="WPSOffice手动目录 1"/>
    <w:qFormat/>
    <w:uiPriority w:val="0"/>
    <w:rPr>
      <w:rFonts w:asciiTheme="minorHAnsi" w:hAnsiTheme="minorHAnsi" w:eastAsiaTheme="minorEastAsia" w:cstheme="minorBidi"/>
      <w:lang w:val="en-US" w:eastAsia="zh-CN" w:bidi="ar-SA"/>
    </w:rPr>
  </w:style>
  <w:style w:type="paragraph" w:customStyle="1" w:styleId="125">
    <w:name w:val="Char Char2 Char Char Char Char"/>
    <w:basedOn w:val="1"/>
    <w:qFormat/>
    <w:uiPriority w:val="0"/>
    <w:rPr>
      <w:rFonts w:ascii="Times New Roman" w:hAnsi="Times New Roman"/>
    </w:rPr>
  </w:style>
  <w:style w:type="paragraph" w:customStyle="1" w:styleId="126">
    <w:name w:val="标题5"/>
    <w:basedOn w:val="1"/>
    <w:qFormat/>
    <w:uiPriority w:val="0"/>
    <w:pPr>
      <w:widowControl/>
      <w:numPr>
        <w:ilvl w:val="0"/>
        <w:numId w:val="1"/>
      </w:numPr>
      <w:spacing w:before="100" w:beforeAutospacing="1" w:after="100" w:afterAutospacing="1"/>
      <w:jc w:val="left"/>
      <w:outlineLvl w:val="4"/>
    </w:pPr>
    <w:rPr>
      <w:rFonts w:ascii="Cambria" w:hAnsi="Cambria" w:eastAsia="微软雅黑"/>
      <w:kern w:val="20"/>
      <w:szCs w:val="20"/>
      <w:lang w:val="zh-CN"/>
    </w:rPr>
  </w:style>
  <w:style w:type="character" w:customStyle="1" w:styleId="127">
    <w:name w:val="标题3"/>
    <w:qFormat/>
    <w:uiPriority w:val="0"/>
    <w:rPr>
      <w:rFonts w:ascii="仿宋" w:hAnsi="仿宋" w:eastAsia="楷体"/>
      <w:b/>
      <w:kern w:val="1"/>
      <w:sz w:val="32"/>
    </w:rPr>
  </w:style>
  <w:style w:type="paragraph" w:customStyle="1" w:styleId="128">
    <w:name w:val="正文1"/>
    <w:qFormat/>
    <w:uiPriority w:val="99"/>
    <w:rPr>
      <w:rFonts w:ascii="Times New Roman" w:hAnsi="Times New Roman" w:eastAsia="Times New Roman" w:cs="Times New Roman"/>
      <w:sz w:val="24"/>
      <w:szCs w:val="24"/>
      <w:lang w:val="en-US" w:eastAsia="zh-CN" w:bidi="ar-SA"/>
    </w:rPr>
  </w:style>
  <w:style w:type="paragraph" w:customStyle="1" w:styleId="129">
    <w:name w:val="使用正文"/>
    <w:basedOn w:val="1"/>
    <w:qFormat/>
    <w:uiPriority w:val="0"/>
    <w:pPr>
      <w:widowControl/>
      <w:spacing w:line="360" w:lineRule="auto"/>
      <w:jc w:val="left"/>
    </w:pPr>
    <w:rPr>
      <w:rFonts w:ascii="仿宋_GB2312" w:hAnsi="仿宋" w:eastAsia="宋体" w:cs="Times New Roman"/>
      <w:bCs/>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DF166-3BB9-4CCE-8B24-8776375523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22018</Words>
  <Characters>23077</Characters>
  <Lines>182</Lines>
  <Paragraphs>51</Paragraphs>
  <TotalTime>37</TotalTime>
  <ScaleCrop>false</ScaleCrop>
  <LinksUpToDate>false</LinksUpToDate>
  <CharactersWithSpaces>24532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2022-03-16T04:43:00Z</dcterms:created>
  <dc:creator>Administrator</dc:creator>
  <cp:lastModifiedBy>WPS_1596254397</cp:lastModifiedBy>
  <cp:lastPrinted>2021-06-18T02:14:00Z</cp:lastPrinted>
  <dcterms:modified xsi:type="dcterms:W3CDTF">2022-04-28T09:44:06Z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DAB96692DA194C7094823AABF184E4E9</vt:lpwstr>
  </property>
</Properties>
</file>